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78B0FF2" w14:textId="77777777" w:rsidTr="00BF1190">
        <w:trPr>
          <w:trHeight w:val="1863"/>
        </w:trPr>
        <w:tc>
          <w:tcPr>
            <w:tcW w:w="3652" w:type="dxa"/>
            <w:tcBorders>
              <w:top w:val="nil"/>
              <w:left w:val="nil"/>
              <w:bottom w:val="nil"/>
              <w:right w:val="nil"/>
            </w:tcBorders>
          </w:tcPr>
          <w:p w14:paraId="24F7F552" w14:textId="79B58229" w:rsidR="008E7846" w:rsidRPr="00096AA7" w:rsidRDefault="005F3793" w:rsidP="00096AA7">
            <w:pPr>
              <w:rPr>
                <w:rFonts w:ascii="Arial" w:hAnsi="Arial" w:cs="Arial"/>
                <w:b/>
                <w:color w:val="002C47"/>
                <w:sz w:val="36"/>
                <w:szCs w:val="36"/>
              </w:rPr>
            </w:pPr>
            <w:bookmarkStart w:id="0" w:name="_GoBack"/>
            <w:bookmarkEnd w:id="0"/>
            <w:r>
              <w:rPr>
                <w:rFonts w:ascii="Arial" w:hAnsi="Arial" w:cs="Arial"/>
                <w:b/>
                <w:color w:val="002C47"/>
                <w:sz w:val="36"/>
                <w:szCs w:val="36"/>
              </w:rPr>
              <w:t xml:space="preserve">February </w:t>
            </w:r>
            <w:r w:rsidR="00F8405A">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F474C9" w:rsidRPr="00F474C9" w14:paraId="61540276" w14:textId="77777777" w:rsidTr="0032583B">
        <w:trPr>
          <w:trHeight w:val="868"/>
        </w:trPr>
        <w:tc>
          <w:tcPr>
            <w:tcW w:w="9079" w:type="dxa"/>
          </w:tcPr>
          <w:p w14:paraId="0CEFA9DC" w14:textId="77777777" w:rsidR="0032583B" w:rsidRPr="00994D36" w:rsidRDefault="0032583B" w:rsidP="00A964D1">
            <w:pPr>
              <w:pStyle w:val="Title"/>
              <w:rPr>
                <w:color w:val="FFFFFF" w:themeColor="background1"/>
              </w:rPr>
            </w:pPr>
            <w:r w:rsidRPr="00994D36">
              <w:rPr>
                <w:color w:val="FFFFFF" w:themeColor="background1"/>
              </w:rPr>
              <w:t xml:space="preserve">Australian Public Assessment Report for </w:t>
            </w:r>
            <w:r w:rsidR="00E62A88" w:rsidRPr="00994D36">
              <w:rPr>
                <w:color w:val="FFFFFF" w:themeColor="background1"/>
              </w:rPr>
              <w:t>Idebenone</w:t>
            </w:r>
          </w:p>
        </w:tc>
      </w:tr>
      <w:tr w:rsidR="00F474C9" w:rsidRPr="00F474C9" w14:paraId="6BE1CB4B" w14:textId="77777777" w:rsidTr="0032583B">
        <w:tc>
          <w:tcPr>
            <w:tcW w:w="9079" w:type="dxa"/>
          </w:tcPr>
          <w:p w14:paraId="6EEF42C7" w14:textId="77777777" w:rsidR="0032583B" w:rsidRPr="00994D36" w:rsidRDefault="0032583B" w:rsidP="00E62A88">
            <w:pPr>
              <w:pStyle w:val="Subtitle"/>
              <w:rPr>
                <w:color w:val="FFFFFF" w:themeColor="background1"/>
              </w:rPr>
            </w:pPr>
            <w:r w:rsidRPr="00994D36">
              <w:rPr>
                <w:color w:val="FFFFFF" w:themeColor="background1"/>
              </w:rPr>
              <w:t xml:space="preserve">Proprietary Product Name: </w:t>
            </w:r>
            <w:r w:rsidR="00E62A88" w:rsidRPr="00994D36">
              <w:rPr>
                <w:color w:val="FFFFFF" w:themeColor="background1"/>
              </w:rPr>
              <w:t>Raxone</w:t>
            </w:r>
          </w:p>
        </w:tc>
      </w:tr>
      <w:tr w:rsidR="00F8405A" w:rsidRPr="00F8405A" w14:paraId="67752148" w14:textId="77777777" w:rsidTr="0032583B">
        <w:trPr>
          <w:trHeight w:val="486"/>
        </w:trPr>
        <w:tc>
          <w:tcPr>
            <w:tcW w:w="9079" w:type="dxa"/>
          </w:tcPr>
          <w:p w14:paraId="5040F7F4" w14:textId="77777777" w:rsidR="0032583B" w:rsidRPr="00F8405A" w:rsidRDefault="0032583B" w:rsidP="0032583B">
            <w:pPr>
              <w:pStyle w:val="Subtitle"/>
              <w:rPr>
                <w:color w:val="FFFFFF" w:themeColor="background1"/>
              </w:rPr>
            </w:pPr>
            <w:r w:rsidRPr="00F8405A">
              <w:rPr>
                <w:color w:val="FFFFFF" w:themeColor="background1"/>
              </w:rPr>
              <w:t xml:space="preserve">Sponsor: </w:t>
            </w:r>
            <w:r w:rsidR="00E62A88" w:rsidRPr="00F8405A">
              <w:rPr>
                <w:color w:val="FFFFFF" w:themeColor="background1"/>
              </w:rPr>
              <w:t>JACE Pharma Pty Ltd</w:t>
            </w:r>
          </w:p>
        </w:tc>
      </w:tr>
    </w:tbl>
    <w:p w14:paraId="138AB89A" w14:textId="7FD5DC7E" w:rsidR="008E7846" w:rsidRPr="0085156D" w:rsidRDefault="008E7846" w:rsidP="0085156D">
      <w:r w:rsidRPr="0085156D">
        <w:br w:type="page"/>
      </w:r>
    </w:p>
    <w:p w14:paraId="4BD89F92" w14:textId="77777777" w:rsidR="008E7846" w:rsidRPr="001F6CBA" w:rsidRDefault="008E7846" w:rsidP="008E7846">
      <w:pPr>
        <w:pStyle w:val="NonTOCHeading2"/>
      </w:pPr>
      <w:r w:rsidRPr="001F6CBA">
        <w:lastRenderedPageBreak/>
        <w:t>About the Therapeutic Goods Administration (TGA)</w:t>
      </w:r>
    </w:p>
    <w:p w14:paraId="506E83A6" w14:textId="77777777" w:rsidR="008E7846" w:rsidRDefault="008E7846" w:rsidP="008B2FAC">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ABD4874" w14:textId="77777777" w:rsidR="008E7846" w:rsidRDefault="00C80137" w:rsidP="008B2FA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A91591E" w14:textId="77777777" w:rsidR="008E7846" w:rsidRDefault="008E7846" w:rsidP="008B2FA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0514989D" w14:textId="77777777" w:rsidR="008E7846" w:rsidRDefault="008E7846" w:rsidP="008B2FA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022F61CE" w14:textId="77777777" w:rsidR="00441C3F" w:rsidRDefault="008E7846" w:rsidP="008B2FAC">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3173BB">
        <w:t xml:space="preserve">&lt; </w:t>
      </w:r>
      <w:hyperlink r:id="rId8" w:history="1">
        <w:r w:rsidR="00441C3F">
          <w:rPr>
            <w:rStyle w:val="Hyperlink"/>
          </w:rPr>
          <w:t>https://www.tga.gov.au</w:t>
        </w:r>
      </w:hyperlink>
      <w:r w:rsidR="003173BB">
        <w:t xml:space="preserve">&gt; </w:t>
      </w:r>
      <w:r w:rsidR="00441C3F">
        <w:t>.</w:t>
      </w:r>
    </w:p>
    <w:p w14:paraId="6EC7DA19" w14:textId="77777777" w:rsidR="008E7846" w:rsidRDefault="008E7846" w:rsidP="00875A6B">
      <w:pPr>
        <w:pStyle w:val="NonTOCHeading2"/>
      </w:pPr>
      <w:r>
        <w:t>About AusPARs</w:t>
      </w:r>
    </w:p>
    <w:p w14:paraId="0406EF1E" w14:textId="77777777" w:rsidR="008E7846" w:rsidRDefault="008E7846" w:rsidP="008B2FAC">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9100A06" w14:textId="77777777" w:rsidR="008E7846" w:rsidRDefault="008E7846" w:rsidP="008B2FAC">
      <w:pPr>
        <w:pStyle w:val="ListBullet"/>
        <w:numPr>
          <w:ilvl w:val="0"/>
          <w:numId w:val="1"/>
        </w:numPr>
        <w:ind w:left="357" w:hanging="357"/>
      </w:pPr>
      <w:r>
        <w:t>AusPARs are prepared and published by the TGA.</w:t>
      </w:r>
    </w:p>
    <w:p w14:paraId="175D3D88" w14:textId="77777777" w:rsidR="008E7846" w:rsidRDefault="008E7846" w:rsidP="008B2FAC">
      <w:pPr>
        <w:pStyle w:val="ListBullet"/>
        <w:numPr>
          <w:ilvl w:val="0"/>
          <w:numId w:val="1"/>
        </w:numPr>
        <w:ind w:left="357" w:hanging="357"/>
      </w:pPr>
      <w:r>
        <w:t>An AusPAR is prepared for submissions that relate to new chemical entities, generic medicines, major variations and extensions of indications.</w:t>
      </w:r>
    </w:p>
    <w:p w14:paraId="6F0E4A78" w14:textId="77777777" w:rsidR="008E7846" w:rsidRDefault="008E7846" w:rsidP="008B2FAC">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24BC30D" w14:textId="77777777" w:rsidR="00B452CE" w:rsidRDefault="008E7846" w:rsidP="008B2FAC">
      <w:pPr>
        <w:pStyle w:val="ListBullet"/>
        <w:numPr>
          <w:ilvl w:val="0"/>
          <w:numId w:val="1"/>
        </w:numPr>
        <w:ind w:left="357" w:hanging="357"/>
      </w:pPr>
      <w:r>
        <w:t>A new AusPAR will be developed to reflect changes to indications and/or major variations to a prescription medicine subject to evaluation by the TGA.</w:t>
      </w:r>
    </w:p>
    <w:p w14:paraId="7F867B19" w14:textId="77777777" w:rsidR="00924482" w:rsidRPr="00DF1D7F" w:rsidRDefault="00924482" w:rsidP="00F54B65">
      <w:pPr>
        <w:pStyle w:val="LegalSubheading"/>
        <w:spacing w:before="3120"/>
      </w:pPr>
      <w:r w:rsidRPr="00DF1D7F">
        <w:t>Copyright</w:t>
      </w:r>
    </w:p>
    <w:p w14:paraId="652D62D2" w14:textId="5FC7AFEA" w:rsidR="00924482" w:rsidRDefault="00924482" w:rsidP="00924482">
      <w:pPr>
        <w:pStyle w:val="LegalCopy"/>
      </w:pPr>
      <w:r w:rsidRPr="00191B3B">
        <w:rPr>
          <w:rFonts w:cs="Arial"/>
          <w:lang w:val="en-GB"/>
        </w:rPr>
        <w:t>© Comm</w:t>
      </w:r>
      <w:r>
        <w:rPr>
          <w:rFonts w:cs="Arial"/>
          <w:lang w:val="en-GB"/>
        </w:rPr>
        <w:t>onwealth of Australia 20</w:t>
      </w:r>
      <w:r w:rsidR="005F3793">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3173BB">
        <w:rPr>
          <w:rFonts w:cs="Arial"/>
          <w:lang w:val="en-GB"/>
        </w:rPr>
        <w:t xml:space="preserve">&lt; </w:t>
      </w:r>
      <w:hyperlink r:id="rId9" w:history="1">
        <w:r w:rsidRPr="00191B3B">
          <w:rPr>
            <w:rStyle w:val="Hyperlink"/>
            <w:rFonts w:cs="Arial"/>
            <w:lang w:val="en-GB"/>
          </w:rPr>
          <w:t>tga.copyright@tga.gov.au</w:t>
        </w:r>
      </w:hyperlink>
      <w:r w:rsidR="003173BB">
        <w:rPr>
          <w:rFonts w:cs="Arial"/>
        </w:rPr>
        <w:t xml:space="preserve">&gt; </w:t>
      </w:r>
      <w:r w:rsidRPr="00191B3B">
        <w:rPr>
          <w:rFonts w:cs="Arial"/>
        </w:rPr>
        <w:t>.</w:t>
      </w:r>
    </w:p>
    <w:p w14:paraId="1934EC21"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E537FAA" w14:textId="77777777" w:rsidR="0089635C" w:rsidRPr="0089635C" w:rsidRDefault="0089635C" w:rsidP="0010788A">
          <w:pPr>
            <w:pStyle w:val="Contents"/>
          </w:pPr>
          <w:r w:rsidRPr="0010788A">
            <w:t>Contents</w:t>
          </w:r>
        </w:p>
        <w:p w14:paraId="2BCDE57E" w14:textId="137C6327" w:rsidR="00AC6A7F"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2828513" w:history="1">
            <w:r w:rsidR="00AC6A7F" w:rsidRPr="00996160">
              <w:rPr>
                <w:rStyle w:val="Hyperlink"/>
                <w:noProof/>
              </w:rPr>
              <w:t>Common abbreviations</w:t>
            </w:r>
            <w:r w:rsidR="00AC6A7F">
              <w:rPr>
                <w:noProof/>
                <w:webHidden/>
              </w:rPr>
              <w:tab/>
            </w:r>
            <w:r w:rsidR="00AC6A7F">
              <w:rPr>
                <w:noProof/>
                <w:webHidden/>
              </w:rPr>
              <w:fldChar w:fldCharType="begin"/>
            </w:r>
            <w:r w:rsidR="00AC6A7F">
              <w:rPr>
                <w:noProof/>
                <w:webHidden/>
              </w:rPr>
              <w:instrText xml:space="preserve"> PAGEREF _Toc32828513 \h </w:instrText>
            </w:r>
            <w:r w:rsidR="00AC6A7F">
              <w:rPr>
                <w:noProof/>
                <w:webHidden/>
              </w:rPr>
            </w:r>
            <w:r w:rsidR="00AC6A7F">
              <w:rPr>
                <w:noProof/>
                <w:webHidden/>
              </w:rPr>
              <w:fldChar w:fldCharType="separate"/>
            </w:r>
            <w:r w:rsidR="00AC6A7F">
              <w:rPr>
                <w:noProof/>
                <w:webHidden/>
              </w:rPr>
              <w:t>5</w:t>
            </w:r>
            <w:r w:rsidR="00AC6A7F">
              <w:rPr>
                <w:noProof/>
                <w:webHidden/>
              </w:rPr>
              <w:fldChar w:fldCharType="end"/>
            </w:r>
          </w:hyperlink>
        </w:p>
        <w:p w14:paraId="14E9D829" w14:textId="38552524" w:rsidR="00AC6A7F" w:rsidRDefault="002125BF">
          <w:pPr>
            <w:pStyle w:val="TOC2"/>
            <w:rPr>
              <w:rFonts w:asciiTheme="minorHAnsi" w:eastAsiaTheme="minorEastAsia" w:hAnsiTheme="minorHAnsi" w:cstheme="minorBidi"/>
              <w:b w:val="0"/>
              <w:noProof/>
              <w:sz w:val="22"/>
              <w:lang w:eastAsia="en-AU"/>
            </w:rPr>
          </w:pPr>
          <w:hyperlink w:anchor="_Toc32828514" w:history="1">
            <w:r w:rsidR="00AC6A7F" w:rsidRPr="00996160">
              <w:rPr>
                <w:rStyle w:val="Hyperlink"/>
                <w:noProof/>
              </w:rPr>
              <w:t>I. Introduction to product submission</w:t>
            </w:r>
            <w:r w:rsidR="00AC6A7F">
              <w:rPr>
                <w:noProof/>
                <w:webHidden/>
              </w:rPr>
              <w:tab/>
            </w:r>
            <w:r w:rsidR="00AC6A7F">
              <w:rPr>
                <w:noProof/>
                <w:webHidden/>
              </w:rPr>
              <w:fldChar w:fldCharType="begin"/>
            </w:r>
            <w:r w:rsidR="00AC6A7F">
              <w:rPr>
                <w:noProof/>
                <w:webHidden/>
              </w:rPr>
              <w:instrText xml:space="preserve"> PAGEREF _Toc32828514 \h </w:instrText>
            </w:r>
            <w:r w:rsidR="00AC6A7F">
              <w:rPr>
                <w:noProof/>
                <w:webHidden/>
              </w:rPr>
            </w:r>
            <w:r w:rsidR="00AC6A7F">
              <w:rPr>
                <w:noProof/>
                <w:webHidden/>
              </w:rPr>
              <w:fldChar w:fldCharType="separate"/>
            </w:r>
            <w:r w:rsidR="00AC6A7F">
              <w:rPr>
                <w:noProof/>
                <w:webHidden/>
              </w:rPr>
              <w:t>9</w:t>
            </w:r>
            <w:r w:rsidR="00AC6A7F">
              <w:rPr>
                <w:noProof/>
                <w:webHidden/>
              </w:rPr>
              <w:fldChar w:fldCharType="end"/>
            </w:r>
          </w:hyperlink>
        </w:p>
        <w:p w14:paraId="6A165803" w14:textId="28D7B7DF" w:rsidR="00AC6A7F" w:rsidRDefault="002125BF">
          <w:pPr>
            <w:pStyle w:val="TOC3"/>
            <w:rPr>
              <w:rFonts w:asciiTheme="minorHAnsi" w:eastAsiaTheme="minorEastAsia" w:hAnsiTheme="minorHAnsi" w:cstheme="minorBidi"/>
              <w:noProof/>
              <w:lang w:eastAsia="en-AU"/>
            </w:rPr>
          </w:pPr>
          <w:hyperlink w:anchor="_Toc32828515" w:history="1">
            <w:r w:rsidR="00AC6A7F" w:rsidRPr="00996160">
              <w:rPr>
                <w:rStyle w:val="Hyperlink"/>
                <w:noProof/>
                <w:lang w:eastAsia="en-AU"/>
              </w:rPr>
              <w:t>Submission details</w:t>
            </w:r>
            <w:r w:rsidR="00AC6A7F">
              <w:rPr>
                <w:noProof/>
                <w:webHidden/>
              </w:rPr>
              <w:tab/>
            </w:r>
            <w:r w:rsidR="00AC6A7F">
              <w:rPr>
                <w:noProof/>
                <w:webHidden/>
              </w:rPr>
              <w:fldChar w:fldCharType="begin"/>
            </w:r>
            <w:r w:rsidR="00AC6A7F">
              <w:rPr>
                <w:noProof/>
                <w:webHidden/>
              </w:rPr>
              <w:instrText xml:space="preserve"> PAGEREF _Toc32828515 \h </w:instrText>
            </w:r>
            <w:r w:rsidR="00AC6A7F">
              <w:rPr>
                <w:noProof/>
                <w:webHidden/>
              </w:rPr>
            </w:r>
            <w:r w:rsidR="00AC6A7F">
              <w:rPr>
                <w:noProof/>
                <w:webHidden/>
              </w:rPr>
              <w:fldChar w:fldCharType="separate"/>
            </w:r>
            <w:r w:rsidR="00AC6A7F">
              <w:rPr>
                <w:noProof/>
                <w:webHidden/>
              </w:rPr>
              <w:t>9</w:t>
            </w:r>
            <w:r w:rsidR="00AC6A7F">
              <w:rPr>
                <w:noProof/>
                <w:webHidden/>
              </w:rPr>
              <w:fldChar w:fldCharType="end"/>
            </w:r>
          </w:hyperlink>
        </w:p>
        <w:p w14:paraId="763B50FD" w14:textId="3B2CDE6B" w:rsidR="00AC6A7F" w:rsidRDefault="002125BF">
          <w:pPr>
            <w:pStyle w:val="TOC3"/>
            <w:rPr>
              <w:rFonts w:asciiTheme="minorHAnsi" w:eastAsiaTheme="minorEastAsia" w:hAnsiTheme="minorHAnsi" w:cstheme="minorBidi"/>
              <w:noProof/>
              <w:lang w:eastAsia="en-AU"/>
            </w:rPr>
          </w:pPr>
          <w:hyperlink w:anchor="_Toc32828516" w:history="1">
            <w:r w:rsidR="00AC6A7F" w:rsidRPr="00996160">
              <w:rPr>
                <w:rStyle w:val="Hyperlink"/>
                <w:noProof/>
              </w:rPr>
              <w:t>Product background</w:t>
            </w:r>
            <w:r w:rsidR="00AC6A7F">
              <w:rPr>
                <w:noProof/>
                <w:webHidden/>
              </w:rPr>
              <w:tab/>
            </w:r>
            <w:r w:rsidR="00AC6A7F">
              <w:rPr>
                <w:noProof/>
                <w:webHidden/>
              </w:rPr>
              <w:fldChar w:fldCharType="begin"/>
            </w:r>
            <w:r w:rsidR="00AC6A7F">
              <w:rPr>
                <w:noProof/>
                <w:webHidden/>
              </w:rPr>
              <w:instrText xml:space="preserve"> PAGEREF _Toc32828516 \h </w:instrText>
            </w:r>
            <w:r w:rsidR="00AC6A7F">
              <w:rPr>
                <w:noProof/>
                <w:webHidden/>
              </w:rPr>
            </w:r>
            <w:r w:rsidR="00AC6A7F">
              <w:rPr>
                <w:noProof/>
                <w:webHidden/>
              </w:rPr>
              <w:fldChar w:fldCharType="separate"/>
            </w:r>
            <w:r w:rsidR="00AC6A7F">
              <w:rPr>
                <w:noProof/>
                <w:webHidden/>
              </w:rPr>
              <w:t>10</w:t>
            </w:r>
            <w:r w:rsidR="00AC6A7F">
              <w:rPr>
                <w:noProof/>
                <w:webHidden/>
              </w:rPr>
              <w:fldChar w:fldCharType="end"/>
            </w:r>
          </w:hyperlink>
        </w:p>
        <w:p w14:paraId="5C9EFB4F" w14:textId="6E07B724" w:rsidR="00AC6A7F" w:rsidRDefault="002125BF">
          <w:pPr>
            <w:pStyle w:val="TOC3"/>
            <w:rPr>
              <w:rFonts w:asciiTheme="minorHAnsi" w:eastAsiaTheme="minorEastAsia" w:hAnsiTheme="minorHAnsi" w:cstheme="minorBidi"/>
              <w:noProof/>
              <w:lang w:eastAsia="en-AU"/>
            </w:rPr>
          </w:pPr>
          <w:hyperlink w:anchor="_Toc32828517" w:history="1">
            <w:r w:rsidR="00AC6A7F" w:rsidRPr="00996160">
              <w:rPr>
                <w:rStyle w:val="Hyperlink"/>
                <w:noProof/>
              </w:rPr>
              <w:t>Regulatory status</w:t>
            </w:r>
            <w:r w:rsidR="00AC6A7F">
              <w:rPr>
                <w:noProof/>
                <w:webHidden/>
              </w:rPr>
              <w:tab/>
            </w:r>
            <w:r w:rsidR="00AC6A7F">
              <w:rPr>
                <w:noProof/>
                <w:webHidden/>
              </w:rPr>
              <w:fldChar w:fldCharType="begin"/>
            </w:r>
            <w:r w:rsidR="00AC6A7F">
              <w:rPr>
                <w:noProof/>
                <w:webHidden/>
              </w:rPr>
              <w:instrText xml:space="preserve"> PAGEREF _Toc32828517 \h </w:instrText>
            </w:r>
            <w:r w:rsidR="00AC6A7F">
              <w:rPr>
                <w:noProof/>
                <w:webHidden/>
              </w:rPr>
            </w:r>
            <w:r w:rsidR="00AC6A7F">
              <w:rPr>
                <w:noProof/>
                <w:webHidden/>
              </w:rPr>
              <w:fldChar w:fldCharType="separate"/>
            </w:r>
            <w:r w:rsidR="00AC6A7F">
              <w:rPr>
                <w:noProof/>
                <w:webHidden/>
              </w:rPr>
              <w:t>11</w:t>
            </w:r>
            <w:r w:rsidR="00AC6A7F">
              <w:rPr>
                <w:noProof/>
                <w:webHidden/>
              </w:rPr>
              <w:fldChar w:fldCharType="end"/>
            </w:r>
          </w:hyperlink>
        </w:p>
        <w:p w14:paraId="5A1BFA36" w14:textId="2DCAABF8" w:rsidR="00AC6A7F" w:rsidRDefault="002125BF">
          <w:pPr>
            <w:pStyle w:val="TOC2"/>
            <w:rPr>
              <w:rFonts w:asciiTheme="minorHAnsi" w:eastAsiaTheme="minorEastAsia" w:hAnsiTheme="minorHAnsi" w:cstheme="minorBidi"/>
              <w:b w:val="0"/>
              <w:noProof/>
              <w:sz w:val="22"/>
              <w:lang w:eastAsia="en-AU"/>
            </w:rPr>
          </w:pPr>
          <w:hyperlink w:anchor="_Toc32828518" w:history="1">
            <w:r w:rsidR="00AC6A7F" w:rsidRPr="00996160">
              <w:rPr>
                <w:rStyle w:val="Hyperlink"/>
                <w:noProof/>
              </w:rPr>
              <w:t>II. Registration time line</w:t>
            </w:r>
            <w:r w:rsidR="00AC6A7F">
              <w:rPr>
                <w:noProof/>
                <w:webHidden/>
              </w:rPr>
              <w:tab/>
            </w:r>
            <w:r w:rsidR="00AC6A7F">
              <w:rPr>
                <w:noProof/>
                <w:webHidden/>
              </w:rPr>
              <w:fldChar w:fldCharType="begin"/>
            </w:r>
            <w:r w:rsidR="00AC6A7F">
              <w:rPr>
                <w:noProof/>
                <w:webHidden/>
              </w:rPr>
              <w:instrText xml:space="preserve"> PAGEREF _Toc32828518 \h </w:instrText>
            </w:r>
            <w:r w:rsidR="00AC6A7F">
              <w:rPr>
                <w:noProof/>
                <w:webHidden/>
              </w:rPr>
            </w:r>
            <w:r w:rsidR="00AC6A7F">
              <w:rPr>
                <w:noProof/>
                <w:webHidden/>
              </w:rPr>
              <w:fldChar w:fldCharType="separate"/>
            </w:r>
            <w:r w:rsidR="00AC6A7F">
              <w:rPr>
                <w:noProof/>
                <w:webHidden/>
              </w:rPr>
              <w:t>11</w:t>
            </w:r>
            <w:r w:rsidR="00AC6A7F">
              <w:rPr>
                <w:noProof/>
                <w:webHidden/>
              </w:rPr>
              <w:fldChar w:fldCharType="end"/>
            </w:r>
          </w:hyperlink>
        </w:p>
        <w:p w14:paraId="7E5AD4C3" w14:textId="423D6D28" w:rsidR="00AC6A7F" w:rsidRDefault="002125BF">
          <w:pPr>
            <w:pStyle w:val="TOC2"/>
            <w:rPr>
              <w:rFonts w:asciiTheme="minorHAnsi" w:eastAsiaTheme="minorEastAsia" w:hAnsiTheme="minorHAnsi" w:cstheme="minorBidi"/>
              <w:b w:val="0"/>
              <w:noProof/>
              <w:sz w:val="22"/>
              <w:lang w:eastAsia="en-AU"/>
            </w:rPr>
          </w:pPr>
          <w:hyperlink w:anchor="_Toc32828519" w:history="1">
            <w:r w:rsidR="00AC6A7F" w:rsidRPr="00996160">
              <w:rPr>
                <w:rStyle w:val="Hyperlink"/>
                <w:noProof/>
              </w:rPr>
              <w:t>III. Quality findings</w:t>
            </w:r>
            <w:r w:rsidR="00AC6A7F">
              <w:rPr>
                <w:noProof/>
                <w:webHidden/>
              </w:rPr>
              <w:tab/>
            </w:r>
            <w:r w:rsidR="00AC6A7F">
              <w:rPr>
                <w:noProof/>
                <w:webHidden/>
              </w:rPr>
              <w:fldChar w:fldCharType="begin"/>
            </w:r>
            <w:r w:rsidR="00AC6A7F">
              <w:rPr>
                <w:noProof/>
                <w:webHidden/>
              </w:rPr>
              <w:instrText xml:space="preserve"> PAGEREF _Toc32828519 \h </w:instrText>
            </w:r>
            <w:r w:rsidR="00AC6A7F">
              <w:rPr>
                <w:noProof/>
                <w:webHidden/>
              </w:rPr>
            </w:r>
            <w:r w:rsidR="00AC6A7F">
              <w:rPr>
                <w:noProof/>
                <w:webHidden/>
              </w:rPr>
              <w:fldChar w:fldCharType="separate"/>
            </w:r>
            <w:r w:rsidR="00AC6A7F">
              <w:rPr>
                <w:noProof/>
                <w:webHidden/>
              </w:rPr>
              <w:t>12</w:t>
            </w:r>
            <w:r w:rsidR="00AC6A7F">
              <w:rPr>
                <w:noProof/>
                <w:webHidden/>
              </w:rPr>
              <w:fldChar w:fldCharType="end"/>
            </w:r>
          </w:hyperlink>
        </w:p>
        <w:p w14:paraId="7DA1334C" w14:textId="66B03F7C" w:rsidR="00AC6A7F" w:rsidRDefault="002125BF">
          <w:pPr>
            <w:pStyle w:val="TOC3"/>
            <w:rPr>
              <w:rFonts w:asciiTheme="minorHAnsi" w:eastAsiaTheme="minorEastAsia" w:hAnsiTheme="minorHAnsi" w:cstheme="minorBidi"/>
              <w:noProof/>
              <w:lang w:eastAsia="en-AU"/>
            </w:rPr>
          </w:pPr>
          <w:hyperlink w:anchor="_Toc32828520" w:history="1">
            <w:r w:rsidR="00AC6A7F" w:rsidRPr="00996160">
              <w:rPr>
                <w:rStyle w:val="Hyperlink"/>
                <w:noProof/>
              </w:rPr>
              <w:t>Introduction</w:t>
            </w:r>
            <w:r w:rsidR="00AC6A7F">
              <w:rPr>
                <w:noProof/>
                <w:webHidden/>
              </w:rPr>
              <w:tab/>
            </w:r>
            <w:r w:rsidR="00AC6A7F">
              <w:rPr>
                <w:noProof/>
                <w:webHidden/>
              </w:rPr>
              <w:fldChar w:fldCharType="begin"/>
            </w:r>
            <w:r w:rsidR="00AC6A7F">
              <w:rPr>
                <w:noProof/>
                <w:webHidden/>
              </w:rPr>
              <w:instrText xml:space="preserve"> PAGEREF _Toc32828520 \h </w:instrText>
            </w:r>
            <w:r w:rsidR="00AC6A7F">
              <w:rPr>
                <w:noProof/>
                <w:webHidden/>
              </w:rPr>
            </w:r>
            <w:r w:rsidR="00AC6A7F">
              <w:rPr>
                <w:noProof/>
                <w:webHidden/>
              </w:rPr>
              <w:fldChar w:fldCharType="separate"/>
            </w:r>
            <w:r w:rsidR="00AC6A7F">
              <w:rPr>
                <w:noProof/>
                <w:webHidden/>
              </w:rPr>
              <w:t>12</w:t>
            </w:r>
            <w:r w:rsidR="00AC6A7F">
              <w:rPr>
                <w:noProof/>
                <w:webHidden/>
              </w:rPr>
              <w:fldChar w:fldCharType="end"/>
            </w:r>
          </w:hyperlink>
        </w:p>
        <w:p w14:paraId="2C39F18F" w14:textId="512BDC3D" w:rsidR="00AC6A7F" w:rsidRDefault="002125BF">
          <w:pPr>
            <w:pStyle w:val="TOC3"/>
            <w:rPr>
              <w:rFonts w:asciiTheme="minorHAnsi" w:eastAsiaTheme="minorEastAsia" w:hAnsiTheme="minorHAnsi" w:cstheme="minorBidi"/>
              <w:noProof/>
              <w:lang w:eastAsia="en-AU"/>
            </w:rPr>
          </w:pPr>
          <w:hyperlink w:anchor="_Toc32828521" w:history="1">
            <w:r w:rsidR="00AC6A7F" w:rsidRPr="00996160">
              <w:rPr>
                <w:rStyle w:val="Hyperlink"/>
                <w:noProof/>
              </w:rPr>
              <w:t>Drug substance (active ingredient)</w:t>
            </w:r>
            <w:r w:rsidR="00AC6A7F">
              <w:rPr>
                <w:noProof/>
                <w:webHidden/>
              </w:rPr>
              <w:tab/>
            </w:r>
            <w:r w:rsidR="00AC6A7F">
              <w:rPr>
                <w:noProof/>
                <w:webHidden/>
              </w:rPr>
              <w:fldChar w:fldCharType="begin"/>
            </w:r>
            <w:r w:rsidR="00AC6A7F">
              <w:rPr>
                <w:noProof/>
                <w:webHidden/>
              </w:rPr>
              <w:instrText xml:space="preserve"> PAGEREF _Toc32828521 \h </w:instrText>
            </w:r>
            <w:r w:rsidR="00AC6A7F">
              <w:rPr>
                <w:noProof/>
                <w:webHidden/>
              </w:rPr>
            </w:r>
            <w:r w:rsidR="00AC6A7F">
              <w:rPr>
                <w:noProof/>
                <w:webHidden/>
              </w:rPr>
              <w:fldChar w:fldCharType="separate"/>
            </w:r>
            <w:r w:rsidR="00AC6A7F">
              <w:rPr>
                <w:noProof/>
                <w:webHidden/>
              </w:rPr>
              <w:t>12</w:t>
            </w:r>
            <w:r w:rsidR="00AC6A7F">
              <w:rPr>
                <w:noProof/>
                <w:webHidden/>
              </w:rPr>
              <w:fldChar w:fldCharType="end"/>
            </w:r>
          </w:hyperlink>
        </w:p>
        <w:p w14:paraId="45F4B3AB" w14:textId="6A1E2023" w:rsidR="00AC6A7F" w:rsidRDefault="002125BF">
          <w:pPr>
            <w:pStyle w:val="TOC3"/>
            <w:rPr>
              <w:rFonts w:asciiTheme="minorHAnsi" w:eastAsiaTheme="minorEastAsia" w:hAnsiTheme="minorHAnsi" w:cstheme="minorBidi"/>
              <w:noProof/>
              <w:lang w:eastAsia="en-AU"/>
            </w:rPr>
          </w:pPr>
          <w:hyperlink w:anchor="_Toc32828522" w:history="1">
            <w:r w:rsidR="00AC6A7F" w:rsidRPr="00996160">
              <w:rPr>
                <w:rStyle w:val="Hyperlink"/>
                <w:noProof/>
              </w:rPr>
              <w:t>Drug product</w:t>
            </w:r>
            <w:r w:rsidR="00AC6A7F">
              <w:rPr>
                <w:noProof/>
                <w:webHidden/>
              </w:rPr>
              <w:tab/>
            </w:r>
            <w:r w:rsidR="00AC6A7F">
              <w:rPr>
                <w:noProof/>
                <w:webHidden/>
              </w:rPr>
              <w:fldChar w:fldCharType="begin"/>
            </w:r>
            <w:r w:rsidR="00AC6A7F">
              <w:rPr>
                <w:noProof/>
                <w:webHidden/>
              </w:rPr>
              <w:instrText xml:space="preserve"> PAGEREF _Toc32828522 \h </w:instrText>
            </w:r>
            <w:r w:rsidR="00AC6A7F">
              <w:rPr>
                <w:noProof/>
                <w:webHidden/>
              </w:rPr>
            </w:r>
            <w:r w:rsidR="00AC6A7F">
              <w:rPr>
                <w:noProof/>
                <w:webHidden/>
              </w:rPr>
              <w:fldChar w:fldCharType="separate"/>
            </w:r>
            <w:r w:rsidR="00AC6A7F">
              <w:rPr>
                <w:noProof/>
                <w:webHidden/>
              </w:rPr>
              <w:t>13</w:t>
            </w:r>
            <w:r w:rsidR="00AC6A7F">
              <w:rPr>
                <w:noProof/>
                <w:webHidden/>
              </w:rPr>
              <w:fldChar w:fldCharType="end"/>
            </w:r>
          </w:hyperlink>
        </w:p>
        <w:p w14:paraId="579D9437" w14:textId="3A43C120" w:rsidR="00AC6A7F" w:rsidRDefault="002125BF">
          <w:pPr>
            <w:pStyle w:val="TOC3"/>
            <w:rPr>
              <w:rFonts w:asciiTheme="minorHAnsi" w:eastAsiaTheme="minorEastAsia" w:hAnsiTheme="minorHAnsi" w:cstheme="minorBidi"/>
              <w:noProof/>
              <w:lang w:eastAsia="en-AU"/>
            </w:rPr>
          </w:pPr>
          <w:hyperlink w:anchor="_Toc32828523" w:history="1">
            <w:r w:rsidR="00AC6A7F" w:rsidRPr="00996160">
              <w:rPr>
                <w:rStyle w:val="Hyperlink"/>
                <w:noProof/>
              </w:rPr>
              <w:t>Biopharmaceutics</w:t>
            </w:r>
            <w:r w:rsidR="00AC6A7F">
              <w:rPr>
                <w:noProof/>
                <w:webHidden/>
              </w:rPr>
              <w:tab/>
            </w:r>
            <w:r w:rsidR="00AC6A7F">
              <w:rPr>
                <w:noProof/>
                <w:webHidden/>
              </w:rPr>
              <w:fldChar w:fldCharType="begin"/>
            </w:r>
            <w:r w:rsidR="00AC6A7F">
              <w:rPr>
                <w:noProof/>
                <w:webHidden/>
              </w:rPr>
              <w:instrText xml:space="preserve"> PAGEREF _Toc32828523 \h </w:instrText>
            </w:r>
            <w:r w:rsidR="00AC6A7F">
              <w:rPr>
                <w:noProof/>
                <w:webHidden/>
              </w:rPr>
            </w:r>
            <w:r w:rsidR="00AC6A7F">
              <w:rPr>
                <w:noProof/>
                <w:webHidden/>
              </w:rPr>
              <w:fldChar w:fldCharType="separate"/>
            </w:r>
            <w:r w:rsidR="00AC6A7F">
              <w:rPr>
                <w:noProof/>
                <w:webHidden/>
              </w:rPr>
              <w:t>14</w:t>
            </w:r>
            <w:r w:rsidR="00AC6A7F">
              <w:rPr>
                <w:noProof/>
                <w:webHidden/>
              </w:rPr>
              <w:fldChar w:fldCharType="end"/>
            </w:r>
          </w:hyperlink>
        </w:p>
        <w:p w14:paraId="534BEDCD" w14:textId="63291FB7" w:rsidR="00AC6A7F" w:rsidRDefault="002125BF">
          <w:pPr>
            <w:pStyle w:val="TOC3"/>
            <w:rPr>
              <w:rFonts w:asciiTheme="minorHAnsi" w:eastAsiaTheme="minorEastAsia" w:hAnsiTheme="minorHAnsi" w:cstheme="minorBidi"/>
              <w:noProof/>
              <w:lang w:eastAsia="en-AU"/>
            </w:rPr>
          </w:pPr>
          <w:hyperlink w:anchor="_Toc32828524" w:history="1">
            <w:r w:rsidR="00AC6A7F" w:rsidRPr="00996160">
              <w:rPr>
                <w:rStyle w:val="Hyperlink"/>
                <w:noProof/>
              </w:rPr>
              <w:t>Quality summary and conclusions</w:t>
            </w:r>
            <w:r w:rsidR="00AC6A7F">
              <w:rPr>
                <w:noProof/>
                <w:webHidden/>
              </w:rPr>
              <w:tab/>
            </w:r>
            <w:r w:rsidR="00AC6A7F">
              <w:rPr>
                <w:noProof/>
                <w:webHidden/>
              </w:rPr>
              <w:fldChar w:fldCharType="begin"/>
            </w:r>
            <w:r w:rsidR="00AC6A7F">
              <w:rPr>
                <w:noProof/>
                <w:webHidden/>
              </w:rPr>
              <w:instrText xml:space="preserve"> PAGEREF _Toc32828524 \h </w:instrText>
            </w:r>
            <w:r w:rsidR="00AC6A7F">
              <w:rPr>
                <w:noProof/>
                <w:webHidden/>
              </w:rPr>
            </w:r>
            <w:r w:rsidR="00AC6A7F">
              <w:rPr>
                <w:noProof/>
                <w:webHidden/>
              </w:rPr>
              <w:fldChar w:fldCharType="separate"/>
            </w:r>
            <w:r w:rsidR="00AC6A7F">
              <w:rPr>
                <w:noProof/>
                <w:webHidden/>
              </w:rPr>
              <w:t>15</w:t>
            </w:r>
            <w:r w:rsidR="00AC6A7F">
              <w:rPr>
                <w:noProof/>
                <w:webHidden/>
              </w:rPr>
              <w:fldChar w:fldCharType="end"/>
            </w:r>
          </w:hyperlink>
        </w:p>
        <w:p w14:paraId="22EEB9ED" w14:textId="68404939" w:rsidR="00AC6A7F" w:rsidRDefault="002125BF">
          <w:pPr>
            <w:pStyle w:val="TOC2"/>
            <w:rPr>
              <w:rFonts w:asciiTheme="minorHAnsi" w:eastAsiaTheme="minorEastAsia" w:hAnsiTheme="minorHAnsi" w:cstheme="minorBidi"/>
              <w:b w:val="0"/>
              <w:noProof/>
              <w:sz w:val="22"/>
              <w:lang w:eastAsia="en-AU"/>
            </w:rPr>
          </w:pPr>
          <w:hyperlink w:anchor="_Toc32828525" w:history="1">
            <w:r w:rsidR="00AC6A7F" w:rsidRPr="00996160">
              <w:rPr>
                <w:rStyle w:val="Hyperlink"/>
                <w:noProof/>
              </w:rPr>
              <w:t>IV. Nonclinical findings</w:t>
            </w:r>
            <w:r w:rsidR="00AC6A7F">
              <w:rPr>
                <w:noProof/>
                <w:webHidden/>
              </w:rPr>
              <w:tab/>
            </w:r>
            <w:r w:rsidR="00AC6A7F">
              <w:rPr>
                <w:noProof/>
                <w:webHidden/>
              </w:rPr>
              <w:fldChar w:fldCharType="begin"/>
            </w:r>
            <w:r w:rsidR="00AC6A7F">
              <w:rPr>
                <w:noProof/>
                <w:webHidden/>
              </w:rPr>
              <w:instrText xml:space="preserve"> PAGEREF _Toc32828525 \h </w:instrText>
            </w:r>
            <w:r w:rsidR="00AC6A7F">
              <w:rPr>
                <w:noProof/>
                <w:webHidden/>
              </w:rPr>
            </w:r>
            <w:r w:rsidR="00AC6A7F">
              <w:rPr>
                <w:noProof/>
                <w:webHidden/>
              </w:rPr>
              <w:fldChar w:fldCharType="separate"/>
            </w:r>
            <w:r w:rsidR="00AC6A7F">
              <w:rPr>
                <w:noProof/>
                <w:webHidden/>
              </w:rPr>
              <w:t>16</w:t>
            </w:r>
            <w:r w:rsidR="00AC6A7F">
              <w:rPr>
                <w:noProof/>
                <w:webHidden/>
              </w:rPr>
              <w:fldChar w:fldCharType="end"/>
            </w:r>
          </w:hyperlink>
        </w:p>
        <w:p w14:paraId="3B5F7484" w14:textId="6C8A1DE0" w:rsidR="00AC6A7F" w:rsidRDefault="002125BF">
          <w:pPr>
            <w:pStyle w:val="TOC3"/>
            <w:rPr>
              <w:rFonts w:asciiTheme="minorHAnsi" w:eastAsiaTheme="minorEastAsia" w:hAnsiTheme="minorHAnsi" w:cstheme="minorBidi"/>
              <w:noProof/>
              <w:lang w:eastAsia="en-AU"/>
            </w:rPr>
          </w:pPr>
          <w:hyperlink w:anchor="_Toc32828526" w:history="1">
            <w:r w:rsidR="00AC6A7F" w:rsidRPr="00996160">
              <w:rPr>
                <w:rStyle w:val="Hyperlink"/>
                <w:noProof/>
              </w:rPr>
              <w:t>Introduction</w:t>
            </w:r>
            <w:r w:rsidR="00AC6A7F">
              <w:rPr>
                <w:noProof/>
                <w:webHidden/>
              </w:rPr>
              <w:tab/>
            </w:r>
            <w:r w:rsidR="00AC6A7F">
              <w:rPr>
                <w:noProof/>
                <w:webHidden/>
              </w:rPr>
              <w:fldChar w:fldCharType="begin"/>
            </w:r>
            <w:r w:rsidR="00AC6A7F">
              <w:rPr>
                <w:noProof/>
                <w:webHidden/>
              </w:rPr>
              <w:instrText xml:space="preserve"> PAGEREF _Toc32828526 \h </w:instrText>
            </w:r>
            <w:r w:rsidR="00AC6A7F">
              <w:rPr>
                <w:noProof/>
                <w:webHidden/>
              </w:rPr>
            </w:r>
            <w:r w:rsidR="00AC6A7F">
              <w:rPr>
                <w:noProof/>
                <w:webHidden/>
              </w:rPr>
              <w:fldChar w:fldCharType="separate"/>
            </w:r>
            <w:r w:rsidR="00AC6A7F">
              <w:rPr>
                <w:noProof/>
                <w:webHidden/>
              </w:rPr>
              <w:t>16</w:t>
            </w:r>
            <w:r w:rsidR="00AC6A7F">
              <w:rPr>
                <w:noProof/>
                <w:webHidden/>
              </w:rPr>
              <w:fldChar w:fldCharType="end"/>
            </w:r>
          </w:hyperlink>
        </w:p>
        <w:p w14:paraId="5805C75D" w14:textId="41E798C1" w:rsidR="00AC6A7F" w:rsidRDefault="002125BF">
          <w:pPr>
            <w:pStyle w:val="TOC3"/>
            <w:rPr>
              <w:rFonts w:asciiTheme="minorHAnsi" w:eastAsiaTheme="minorEastAsia" w:hAnsiTheme="minorHAnsi" w:cstheme="minorBidi"/>
              <w:noProof/>
              <w:lang w:eastAsia="en-AU"/>
            </w:rPr>
          </w:pPr>
          <w:hyperlink w:anchor="_Toc32828527" w:history="1">
            <w:r w:rsidR="00AC6A7F" w:rsidRPr="00996160">
              <w:rPr>
                <w:rStyle w:val="Hyperlink"/>
                <w:noProof/>
              </w:rPr>
              <w:t>Pharmacology</w:t>
            </w:r>
            <w:r w:rsidR="00AC6A7F">
              <w:rPr>
                <w:noProof/>
                <w:webHidden/>
              </w:rPr>
              <w:tab/>
            </w:r>
            <w:r w:rsidR="00AC6A7F">
              <w:rPr>
                <w:noProof/>
                <w:webHidden/>
              </w:rPr>
              <w:fldChar w:fldCharType="begin"/>
            </w:r>
            <w:r w:rsidR="00AC6A7F">
              <w:rPr>
                <w:noProof/>
                <w:webHidden/>
              </w:rPr>
              <w:instrText xml:space="preserve"> PAGEREF _Toc32828527 \h </w:instrText>
            </w:r>
            <w:r w:rsidR="00AC6A7F">
              <w:rPr>
                <w:noProof/>
                <w:webHidden/>
              </w:rPr>
            </w:r>
            <w:r w:rsidR="00AC6A7F">
              <w:rPr>
                <w:noProof/>
                <w:webHidden/>
              </w:rPr>
              <w:fldChar w:fldCharType="separate"/>
            </w:r>
            <w:r w:rsidR="00AC6A7F">
              <w:rPr>
                <w:noProof/>
                <w:webHidden/>
              </w:rPr>
              <w:t>16</w:t>
            </w:r>
            <w:r w:rsidR="00AC6A7F">
              <w:rPr>
                <w:noProof/>
                <w:webHidden/>
              </w:rPr>
              <w:fldChar w:fldCharType="end"/>
            </w:r>
          </w:hyperlink>
        </w:p>
        <w:p w14:paraId="70BE2BB3" w14:textId="42BC2557" w:rsidR="00AC6A7F" w:rsidRDefault="002125BF">
          <w:pPr>
            <w:pStyle w:val="TOC3"/>
            <w:rPr>
              <w:rFonts w:asciiTheme="minorHAnsi" w:eastAsiaTheme="minorEastAsia" w:hAnsiTheme="minorHAnsi" w:cstheme="minorBidi"/>
              <w:noProof/>
              <w:lang w:eastAsia="en-AU"/>
            </w:rPr>
          </w:pPr>
          <w:hyperlink w:anchor="_Toc32828528" w:history="1">
            <w:r w:rsidR="00AC6A7F" w:rsidRPr="00996160">
              <w:rPr>
                <w:rStyle w:val="Hyperlink"/>
                <w:noProof/>
              </w:rPr>
              <w:t>Pharmacokinetics</w:t>
            </w:r>
            <w:r w:rsidR="00AC6A7F">
              <w:rPr>
                <w:noProof/>
                <w:webHidden/>
              </w:rPr>
              <w:tab/>
            </w:r>
            <w:r w:rsidR="00AC6A7F">
              <w:rPr>
                <w:noProof/>
                <w:webHidden/>
              </w:rPr>
              <w:fldChar w:fldCharType="begin"/>
            </w:r>
            <w:r w:rsidR="00AC6A7F">
              <w:rPr>
                <w:noProof/>
                <w:webHidden/>
              </w:rPr>
              <w:instrText xml:space="preserve"> PAGEREF _Toc32828528 \h </w:instrText>
            </w:r>
            <w:r w:rsidR="00AC6A7F">
              <w:rPr>
                <w:noProof/>
                <w:webHidden/>
              </w:rPr>
            </w:r>
            <w:r w:rsidR="00AC6A7F">
              <w:rPr>
                <w:noProof/>
                <w:webHidden/>
              </w:rPr>
              <w:fldChar w:fldCharType="separate"/>
            </w:r>
            <w:r w:rsidR="00AC6A7F">
              <w:rPr>
                <w:noProof/>
                <w:webHidden/>
              </w:rPr>
              <w:t>18</w:t>
            </w:r>
            <w:r w:rsidR="00AC6A7F">
              <w:rPr>
                <w:noProof/>
                <w:webHidden/>
              </w:rPr>
              <w:fldChar w:fldCharType="end"/>
            </w:r>
          </w:hyperlink>
        </w:p>
        <w:p w14:paraId="4A9F67F7" w14:textId="6F3E3E2C" w:rsidR="00AC6A7F" w:rsidRDefault="002125BF">
          <w:pPr>
            <w:pStyle w:val="TOC3"/>
            <w:rPr>
              <w:rFonts w:asciiTheme="minorHAnsi" w:eastAsiaTheme="minorEastAsia" w:hAnsiTheme="minorHAnsi" w:cstheme="minorBidi"/>
              <w:noProof/>
              <w:lang w:eastAsia="en-AU"/>
            </w:rPr>
          </w:pPr>
          <w:hyperlink w:anchor="_Toc32828529" w:history="1">
            <w:r w:rsidR="00AC6A7F" w:rsidRPr="00996160">
              <w:rPr>
                <w:rStyle w:val="Hyperlink"/>
                <w:noProof/>
              </w:rPr>
              <w:t>Toxicology</w:t>
            </w:r>
            <w:r w:rsidR="00AC6A7F">
              <w:rPr>
                <w:noProof/>
                <w:webHidden/>
              </w:rPr>
              <w:tab/>
            </w:r>
            <w:r w:rsidR="00AC6A7F">
              <w:rPr>
                <w:noProof/>
                <w:webHidden/>
              </w:rPr>
              <w:fldChar w:fldCharType="begin"/>
            </w:r>
            <w:r w:rsidR="00AC6A7F">
              <w:rPr>
                <w:noProof/>
                <w:webHidden/>
              </w:rPr>
              <w:instrText xml:space="preserve"> PAGEREF _Toc32828529 \h </w:instrText>
            </w:r>
            <w:r w:rsidR="00AC6A7F">
              <w:rPr>
                <w:noProof/>
                <w:webHidden/>
              </w:rPr>
            </w:r>
            <w:r w:rsidR="00AC6A7F">
              <w:rPr>
                <w:noProof/>
                <w:webHidden/>
              </w:rPr>
              <w:fldChar w:fldCharType="separate"/>
            </w:r>
            <w:r w:rsidR="00AC6A7F">
              <w:rPr>
                <w:noProof/>
                <w:webHidden/>
              </w:rPr>
              <w:t>20</w:t>
            </w:r>
            <w:r w:rsidR="00AC6A7F">
              <w:rPr>
                <w:noProof/>
                <w:webHidden/>
              </w:rPr>
              <w:fldChar w:fldCharType="end"/>
            </w:r>
          </w:hyperlink>
        </w:p>
        <w:p w14:paraId="606444F9" w14:textId="502B7BFB" w:rsidR="00AC6A7F" w:rsidRDefault="002125BF">
          <w:pPr>
            <w:pStyle w:val="TOC3"/>
            <w:rPr>
              <w:rFonts w:asciiTheme="minorHAnsi" w:eastAsiaTheme="minorEastAsia" w:hAnsiTheme="minorHAnsi" w:cstheme="minorBidi"/>
              <w:noProof/>
              <w:lang w:eastAsia="en-AU"/>
            </w:rPr>
          </w:pPr>
          <w:hyperlink w:anchor="_Toc32828530" w:history="1">
            <w:r w:rsidR="00AC6A7F" w:rsidRPr="00996160">
              <w:rPr>
                <w:rStyle w:val="Hyperlink"/>
                <w:noProof/>
              </w:rPr>
              <w:t>Nonclinical summary and conclusions</w:t>
            </w:r>
            <w:r w:rsidR="00AC6A7F">
              <w:rPr>
                <w:noProof/>
                <w:webHidden/>
              </w:rPr>
              <w:tab/>
            </w:r>
            <w:r w:rsidR="00AC6A7F">
              <w:rPr>
                <w:noProof/>
                <w:webHidden/>
              </w:rPr>
              <w:fldChar w:fldCharType="begin"/>
            </w:r>
            <w:r w:rsidR="00AC6A7F">
              <w:rPr>
                <w:noProof/>
                <w:webHidden/>
              </w:rPr>
              <w:instrText xml:space="preserve"> PAGEREF _Toc32828530 \h </w:instrText>
            </w:r>
            <w:r w:rsidR="00AC6A7F">
              <w:rPr>
                <w:noProof/>
                <w:webHidden/>
              </w:rPr>
            </w:r>
            <w:r w:rsidR="00AC6A7F">
              <w:rPr>
                <w:noProof/>
                <w:webHidden/>
              </w:rPr>
              <w:fldChar w:fldCharType="separate"/>
            </w:r>
            <w:r w:rsidR="00AC6A7F">
              <w:rPr>
                <w:noProof/>
                <w:webHidden/>
              </w:rPr>
              <w:t>27</w:t>
            </w:r>
            <w:r w:rsidR="00AC6A7F">
              <w:rPr>
                <w:noProof/>
                <w:webHidden/>
              </w:rPr>
              <w:fldChar w:fldCharType="end"/>
            </w:r>
          </w:hyperlink>
        </w:p>
        <w:p w14:paraId="01B6E0EC" w14:textId="75D3F473" w:rsidR="00AC6A7F" w:rsidRDefault="002125BF">
          <w:pPr>
            <w:pStyle w:val="TOC2"/>
            <w:rPr>
              <w:rFonts w:asciiTheme="minorHAnsi" w:eastAsiaTheme="minorEastAsia" w:hAnsiTheme="minorHAnsi" w:cstheme="minorBidi"/>
              <w:b w:val="0"/>
              <w:noProof/>
              <w:sz w:val="22"/>
              <w:lang w:eastAsia="en-AU"/>
            </w:rPr>
          </w:pPr>
          <w:hyperlink w:anchor="_Toc32828531" w:history="1">
            <w:r w:rsidR="00AC6A7F" w:rsidRPr="00996160">
              <w:rPr>
                <w:rStyle w:val="Hyperlink"/>
                <w:noProof/>
              </w:rPr>
              <w:t>V. Clinical findings</w:t>
            </w:r>
            <w:r w:rsidR="00AC6A7F">
              <w:rPr>
                <w:noProof/>
                <w:webHidden/>
              </w:rPr>
              <w:tab/>
            </w:r>
            <w:r w:rsidR="00AC6A7F">
              <w:rPr>
                <w:noProof/>
                <w:webHidden/>
              </w:rPr>
              <w:fldChar w:fldCharType="begin"/>
            </w:r>
            <w:r w:rsidR="00AC6A7F">
              <w:rPr>
                <w:noProof/>
                <w:webHidden/>
              </w:rPr>
              <w:instrText xml:space="preserve"> PAGEREF _Toc32828531 \h </w:instrText>
            </w:r>
            <w:r w:rsidR="00AC6A7F">
              <w:rPr>
                <w:noProof/>
                <w:webHidden/>
              </w:rPr>
            </w:r>
            <w:r w:rsidR="00AC6A7F">
              <w:rPr>
                <w:noProof/>
                <w:webHidden/>
              </w:rPr>
              <w:fldChar w:fldCharType="separate"/>
            </w:r>
            <w:r w:rsidR="00AC6A7F">
              <w:rPr>
                <w:noProof/>
                <w:webHidden/>
              </w:rPr>
              <w:t>29</w:t>
            </w:r>
            <w:r w:rsidR="00AC6A7F">
              <w:rPr>
                <w:noProof/>
                <w:webHidden/>
              </w:rPr>
              <w:fldChar w:fldCharType="end"/>
            </w:r>
          </w:hyperlink>
        </w:p>
        <w:p w14:paraId="5FDF76C1" w14:textId="3700012A" w:rsidR="00AC6A7F" w:rsidRDefault="002125BF">
          <w:pPr>
            <w:pStyle w:val="TOC3"/>
            <w:rPr>
              <w:rFonts w:asciiTheme="minorHAnsi" w:eastAsiaTheme="minorEastAsia" w:hAnsiTheme="minorHAnsi" w:cstheme="minorBidi"/>
              <w:noProof/>
              <w:lang w:eastAsia="en-AU"/>
            </w:rPr>
          </w:pPr>
          <w:hyperlink w:anchor="_Toc32828532" w:history="1">
            <w:r w:rsidR="00AC6A7F" w:rsidRPr="00996160">
              <w:rPr>
                <w:rStyle w:val="Hyperlink"/>
                <w:noProof/>
              </w:rPr>
              <w:t>Introduction</w:t>
            </w:r>
            <w:r w:rsidR="00AC6A7F">
              <w:rPr>
                <w:noProof/>
                <w:webHidden/>
              </w:rPr>
              <w:tab/>
            </w:r>
            <w:r w:rsidR="00AC6A7F">
              <w:rPr>
                <w:noProof/>
                <w:webHidden/>
              </w:rPr>
              <w:fldChar w:fldCharType="begin"/>
            </w:r>
            <w:r w:rsidR="00AC6A7F">
              <w:rPr>
                <w:noProof/>
                <w:webHidden/>
              </w:rPr>
              <w:instrText xml:space="preserve"> PAGEREF _Toc32828532 \h </w:instrText>
            </w:r>
            <w:r w:rsidR="00AC6A7F">
              <w:rPr>
                <w:noProof/>
                <w:webHidden/>
              </w:rPr>
            </w:r>
            <w:r w:rsidR="00AC6A7F">
              <w:rPr>
                <w:noProof/>
                <w:webHidden/>
              </w:rPr>
              <w:fldChar w:fldCharType="separate"/>
            </w:r>
            <w:r w:rsidR="00AC6A7F">
              <w:rPr>
                <w:noProof/>
                <w:webHidden/>
              </w:rPr>
              <w:t>29</w:t>
            </w:r>
            <w:r w:rsidR="00AC6A7F">
              <w:rPr>
                <w:noProof/>
                <w:webHidden/>
              </w:rPr>
              <w:fldChar w:fldCharType="end"/>
            </w:r>
          </w:hyperlink>
        </w:p>
        <w:p w14:paraId="1ADBACB9" w14:textId="4C33FCD0" w:rsidR="00AC6A7F" w:rsidRDefault="002125BF">
          <w:pPr>
            <w:pStyle w:val="TOC3"/>
            <w:rPr>
              <w:rFonts w:asciiTheme="minorHAnsi" w:eastAsiaTheme="minorEastAsia" w:hAnsiTheme="minorHAnsi" w:cstheme="minorBidi"/>
              <w:noProof/>
              <w:lang w:eastAsia="en-AU"/>
            </w:rPr>
          </w:pPr>
          <w:hyperlink w:anchor="_Toc32828533" w:history="1">
            <w:r w:rsidR="00AC6A7F" w:rsidRPr="00996160">
              <w:rPr>
                <w:rStyle w:val="Hyperlink"/>
                <w:noProof/>
              </w:rPr>
              <w:t>Pharmacokinetics</w:t>
            </w:r>
            <w:r w:rsidR="00AC6A7F">
              <w:rPr>
                <w:noProof/>
                <w:webHidden/>
              </w:rPr>
              <w:tab/>
            </w:r>
            <w:r w:rsidR="00AC6A7F">
              <w:rPr>
                <w:noProof/>
                <w:webHidden/>
              </w:rPr>
              <w:fldChar w:fldCharType="begin"/>
            </w:r>
            <w:r w:rsidR="00AC6A7F">
              <w:rPr>
                <w:noProof/>
                <w:webHidden/>
              </w:rPr>
              <w:instrText xml:space="preserve"> PAGEREF _Toc32828533 \h </w:instrText>
            </w:r>
            <w:r w:rsidR="00AC6A7F">
              <w:rPr>
                <w:noProof/>
                <w:webHidden/>
              </w:rPr>
            </w:r>
            <w:r w:rsidR="00AC6A7F">
              <w:rPr>
                <w:noProof/>
                <w:webHidden/>
              </w:rPr>
              <w:fldChar w:fldCharType="separate"/>
            </w:r>
            <w:r w:rsidR="00AC6A7F">
              <w:rPr>
                <w:noProof/>
                <w:webHidden/>
              </w:rPr>
              <w:t>35</w:t>
            </w:r>
            <w:r w:rsidR="00AC6A7F">
              <w:rPr>
                <w:noProof/>
                <w:webHidden/>
              </w:rPr>
              <w:fldChar w:fldCharType="end"/>
            </w:r>
          </w:hyperlink>
        </w:p>
        <w:p w14:paraId="787E012E" w14:textId="0AD60B7F" w:rsidR="00AC6A7F" w:rsidRDefault="002125BF">
          <w:pPr>
            <w:pStyle w:val="TOC3"/>
            <w:rPr>
              <w:rFonts w:asciiTheme="minorHAnsi" w:eastAsiaTheme="minorEastAsia" w:hAnsiTheme="minorHAnsi" w:cstheme="minorBidi"/>
              <w:noProof/>
              <w:lang w:eastAsia="en-AU"/>
            </w:rPr>
          </w:pPr>
          <w:hyperlink w:anchor="_Toc32828534" w:history="1">
            <w:r w:rsidR="00AC6A7F" w:rsidRPr="00996160">
              <w:rPr>
                <w:rStyle w:val="Hyperlink"/>
                <w:noProof/>
              </w:rPr>
              <w:t>Pharmacodynamics</w:t>
            </w:r>
            <w:r w:rsidR="00AC6A7F">
              <w:rPr>
                <w:noProof/>
                <w:webHidden/>
              </w:rPr>
              <w:tab/>
            </w:r>
            <w:r w:rsidR="00AC6A7F">
              <w:rPr>
                <w:noProof/>
                <w:webHidden/>
              </w:rPr>
              <w:fldChar w:fldCharType="begin"/>
            </w:r>
            <w:r w:rsidR="00AC6A7F">
              <w:rPr>
                <w:noProof/>
                <w:webHidden/>
              </w:rPr>
              <w:instrText xml:space="preserve"> PAGEREF _Toc32828534 \h </w:instrText>
            </w:r>
            <w:r w:rsidR="00AC6A7F">
              <w:rPr>
                <w:noProof/>
                <w:webHidden/>
              </w:rPr>
            </w:r>
            <w:r w:rsidR="00AC6A7F">
              <w:rPr>
                <w:noProof/>
                <w:webHidden/>
              </w:rPr>
              <w:fldChar w:fldCharType="separate"/>
            </w:r>
            <w:r w:rsidR="00AC6A7F">
              <w:rPr>
                <w:noProof/>
                <w:webHidden/>
              </w:rPr>
              <w:t>38</w:t>
            </w:r>
            <w:r w:rsidR="00AC6A7F">
              <w:rPr>
                <w:noProof/>
                <w:webHidden/>
              </w:rPr>
              <w:fldChar w:fldCharType="end"/>
            </w:r>
          </w:hyperlink>
        </w:p>
        <w:p w14:paraId="150048F6" w14:textId="3241A247" w:rsidR="00AC6A7F" w:rsidRDefault="002125BF">
          <w:pPr>
            <w:pStyle w:val="TOC3"/>
            <w:rPr>
              <w:rFonts w:asciiTheme="minorHAnsi" w:eastAsiaTheme="minorEastAsia" w:hAnsiTheme="minorHAnsi" w:cstheme="minorBidi"/>
              <w:noProof/>
              <w:lang w:eastAsia="en-AU"/>
            </w:rPr>
          </w:pPr>
          <w:hyperlink w:anchor="_Toc32828535" w:history="1">
            <w:r w:rsidR="00AC6A7F" w:rsidRPr="00996160">
              <w:rPr>
                <w:rStyle w:val="Hyperlink"/>
                <w:noProof/>
              </w:rPr>
              <w:t>Dosage selection for the pivotal studies</w:t>
            </w:r>
            <w:r w:rsidR="00AC6A7F">
              <w:rPr>
                <w:noProof/>
                <w:webHidden/>
              </w:rPr>
              <w:tab/>
            </w:r>
            <w:r w:rsidR="00AC6A7F">
              <w:rPr>
                <w:noProof/>
                <w:webHidden/>
              </w:rPr>
              <w:fldChar w:fldCharType="begin"/>
            </w:r>
            <w:r w:rsidR="00AC6A7F">
              <w:rPr>
                <w:noProof/>
                <w:webHidden/>
              </w:rPr>
              <w:instrText xml:space="preserve"> PAGEREF _Toc32828535 \h </w:instrText>
            </w:r>
            <w:r w:rsidR="00AC6A7F">
              <w:rPr>
                <w:noProof/>
                <w:webHidden/>
              </w:rPr>
            </w:r>
            <w:r w:rsidR="00AC6A7F">
              <w:rPr>
                <w:noProof/>
                <w:webHidden/>
              </w:rPr>
              <w:fldChar w:fldCharType="separate"/>
            </w:r>
            <w:r w:rsidR="00AC6A7F">
              <w:rPr>
                <w:noProof/>
                <w:webHidden/>
              </w:rPr>
              <w:t>38</w:t>
            </w:r>
            <w:r w:rsidR="00AC6A7F">
              <w:rPr>
                <w:noProof/>
                <w:webHidden/>
              </w:rPr>
              <w:fldChar w:fldCharType="end"/>
            </w:r>
          </w:hyperlink>
        </w:p>
        <w:p w14:paraId="46FBB399" w14:textId="4EDB8A13" w:rsidR="00AC6A7F" w:rsidRDefault="002125BF">
          <w:pPr>
            <w:pStyle w:val="TOC3"/>
            <w:rPr>
              <w:rFonts w:asciiTheme="minorHAnsi" w:eastAsiaTheme="minorEastAsia" w:hAnsiTheme="minorHAnsi" w:cstheme="minorBidi"/>
              <w:noProof/>
              <w:lang w:eastAsia="en-AU"/>
            </w:rPr>
          </w:pPr>
          <w:hyperlink w:anchor="_Toc32828536" w:history="1">
            <w:r w:rsidR="00AC6A7F" w:rsidRPr="00996160">
              <w:rPr>
                <w:rStyle w:val="Hyperlink"/>
                <w:noProof/>
              </w:rPr>
              <w:t>Efficacy</w:t>
            </w:r>
            <w:r w:rsidR="00AC6A7F">
              <w:rPr>
                <w:noProof/>
                <w:webHidden/>
              </w:rPr>
              <w:tab/>
            </w:r>
            <w:r w:rsidR="00AC6A7F">
              <w:rPr>
                <w:noProof/>
                <w:webHidden/>
              </w:rPr>
              <w:fldChar w:fldCharType="begin"/>
            </w:r>
            <w:r w:rsidR="00AC6A7F">
              <w:rPr>
                <w:noProof/>
                <w:webHidden/>
              </w:rPr>
              <w:instrText xml:space="preserve"> PAGEREF _Toc32828536 \h </w:instrText>
            </w:r>
            <w:r w:rsidR="00AC6A7F">
              <w:rPr>
                <w:noProof/>
                <w:webHidden/>
              </w:rPr>
            </w:r>
            <w:r w:rsidR="00AC6A7F">
              <w:rPr>
                <w:noProof/>
                <w:webHidden/>
              </w:rPr>
              <w:fldChar w:fldCharType="separate"/>
            </w:r>
            <w:r w:rsidR="00AC6A7F">
              <w:rPr>
                <w:noProof/>
                <w:webHidden/>
              </w:rPr>
              <w:t>39</w:t>
            </w:r>
            <w:r w:rsidR="00AC6A7F">
              <w:rPr>
                <w:noProof/>
                <w:webHidden/>
              </w:rPr>
              <w:fldChar w:fldCharType="end"/>
            </w:r>
          </w:hyperlink>
        </w:p>
        <w:p w14:paraId="4125D132" w14:textId="3B39E13D" w:rsidR="00AC6A7F" w:rsidRDefault="002125BF">
          <w:pPr>
            <w:pStyle w:val="TOC3"/>
            <w:rPr>
              <w:rFonts w:asciiTheme="minorHAnsi" w:eastAsiaTheme="minorEastAsia" w:hAnsiTheme="minorHAnsi" w:cstheme="minorBidi"/>
              <w:noProof/>
              <w:lang w:eastAsia="en-AU"/>
            </w:rPr>
          </w:pPr>
          <w:hyperlink w:anchor="_Toc32828537" w:history="1">
            <w:r w:rsidR="00AC6A7F" w:rsidRPr="00996160">
              <w:rPr>
                <w:rStyle w:val="Hyperlink"/>
                <w:noProof/>
              </w:rPr>
              <w:t>Safety</w:t>
            </w:r>
            <w:r w:rsidR="00AC6A7F">
              <w:rPr>
                <w:noProof/>
                <w:webHidden/>
              </w:rPr>
              <w:tab/>
            </w:r>
            <w:r w:rsidR="00AC6A7F">
              <w:rPr>
                <w:noProof/>
                <w:webHidden/>
              </w:rPr>
              <w:fldChar w:fldCharType="begin"/>
            </w:r>
            <w:r w:rsidR="00AC6A7F">
              <w:rPr>
                <w:noProof/>
                <w:webHidden/>
              </w:rPr>
              <w:instrText xml:space="preserve"> PAGEREF _Toc32828537 \h </w:instrText>
            </w:r>
            <w:r w:rsidR="00AC6A7F">
              <w:rPr>
                <w:noProof/>
                <w:webHidden/>
              </w:rPr>
            </w:r>
            <w:r w:rsidR="00AC6A7F">
              <w:rPr>
                <w:noProof/>
                <w:webHidden/>
              </w:rPr>
              <w:fldChar w:fldCharType="separate"/>
            </w:r>
            <w:r w:rsidR="00AC6A7F">
              <w:rPr>
                <w:noProof/>
                <w:webHidden/>
              </w:rPr>
              <w:t>42</w:t>
            </w:r>
            <w:r w:rsidR="00AC6A7F">
              <w:rPr>
                <w:noProof/>
                <w:webHidden/>
              </w:rPr>
              <w:fldChar w:fldCharType="end"/>
            </w:r>
          </w:hyperlink>
        </w:p>
        <w:p w14:paraId="62D7321F" w14:textId="2E7B5630" w:rsidR="00AC6A7F" w:rsidRDefault="002125BF">
          <w:pPr>
            <w:pStyle w:val="TOC3"/>
            <w:rPr>
              <w:rFonts w:asciiTheme="minorHAnsi" w:eastAsiaTheme="minorEastAsia" w:hAnsiTheme="minorHAnsi" w:cstheme="minorBidi"/>
              <w:noProof/>
              <w:lang w:eastAsia="en-AU"/>
            </w:rPr>
          </w:pPr>
          <w:hyperlink w:anchor="_Toc32828538" w:history="1">
            <w:r w:rsidR="00AC6A7F" w:rsidRPr="00996160">
              <w:rPr>
                <w:rStyle w:val="Hyperlink"/>
                <w:noProof/>
              </w:rPr>
              <w:t>First round benefit-risk assessment</w:t>
            </w:r>
            <w:r w:rsidR="00AC6A7F">
              <w:rPr>
                <w:noProof/>
                <w:webHidden/>
              </w:rPr>
              <w:tab/>
            </w:r>
            <w:r w:rsidR="00AC6A7F">
              <w:rPr>
                <w:noProof/>
                <w:webHidden/>
              </w:rPr>
              <w:fldChar w:fldCharType="begin"/>
            </w:r>
            <w:r w:rsidR="00AC6A7F">
              <w:rPr>
                <w:noProof/>
                <w:webHidden/>
              </w:rPr>
              <w:instrText xml:space="preserve"> PAGEREF _Toc32828538 \h </w:instrText>
            </w:r>
            <w:r w:rsidR="00AC6A7F">
              <w:rPr>
                <w:noProof/>
                <w:webHidden/>
              </w:rPr>
            </w:r>
            <w:r w:rsidR="00AC6A7F">
              <w:rPr>
                <w:noProof/>
                <w:webHidden/>
              </w:rPr>
              <w:fldChar w:fldCharType="separate"/>
            </w:r>
            <w:r w:rsidR="00AC6A7F">
              <w:rPr>
                <w:noProof/>
                <w:webHidden/>
              </w:rPr>
              <w:t>53</w:t>
            </w:r>
            <w:r w:rsidR="00AC6A7F">
              <w:rPr>
                <w:noProof/>
                <w:webHidden/>
              </w:rPr>
              <w:fldChar w:fldCharType="end"/>
            </w:r>
          </w:hyperlink>
        </w:p>
        <w:p w14:paraId="74AAA99F" w14:textId="7DAE6524" w:rsidR="00AC6A7F" w:rsidRDefault="002125BF">
          <w:pPr>
            <w:pStyle w:val="TOC3"/>
            <w:rPr>
              <w:rFonts w:asciiTheme="minorHAnsi" w:eastAsiaTheme="minorEastAsia" w:hAnsiTheme="minorHAnsi" w:cstheme="minorBidi"/>
              <w:noProof/>
              <w:lang w:eastAsia="en-AU"/>
            </w:rPr>
          </w:pPr>
          <w:hyperlink w:anchor="_Toc32828539" w:history="1">
            <w:r w:rsidR="00AC6A7F" w:rsidRPr="00996160">
              <w:rPr>
                <w:rStyle w:val="Hyperlink"/>
                <w:noProof/>
              </w:rPr>
              <w:t>First round recommendation regarding authorisation</w:t>
            </w:r>
            <w:r w:rsidR="00AC6A7F">
              <w:rPr>
                <w:noProof/>
                <w:webHidden/>
              </w:rPr>
              <w:tab/>
            </w:r>
            <w:r w:rsidR="00AC6A7F">
              <w:rPr>
                <w:noProof/>
                <w:webHidden/>
              </w:rPr>
              <w:fldChar w:fldCharType="begin"/>
            </w:r>
            <w:r w:rsidR="00AC6A7F">
              <w:rPr>
                <w:noProof/>
                <w:webHidden/>
              </w:rPr>
              <w:instrText xml:space="preserve"> PAGEREF _Toc32828539 \h </w:instrText>
            </w:r>
            <w:r w:rsidR="00AC6A7F">
              <w:rPr>
                <w:noProof/>
                <w:webHidden/>
              </w:rPr>
            </w:r>
            <w:r w:rsidR="00AC6A7F">
              <w:rPr>
                <w:noProof/>
                <w:webHidden/>
              </w:rPr>
              <w:fldChar w:fldCharType="separate"/>
            </w:r>
            <w:r w:rsidR="00AC6A7F">
              <w:rPr>
                <w:noProof/>
                <w:webHidden/>
              </w:rPr>
              <w:t>54</w:t>
            </w:r>
            <w:r w:rsidR="00AC6A7F">
              <w:rPr>
                <w:noProof/>
                <w:webHidden/>
              </w:rPr>
              <w:fldChar w:fldCharType="end"/>
            </w:r>
          </w:hyperlink>
        </w:p>
        <w:p w14:paraId="523A3B36" w14:textId="166245B4" w:rsidR="00AC6A7F" w:rsidRDefault="002125BF">
          <w:pPr>
            <w:pStyle w:val="TOC3"/>
            <w:rPr>
              <w:rFonts w:asciiTheme="minorHAnsi" w:eastAsiaTheme="minorEastAsia" w:hAnsiTheme="minorHAnsi" w:cstheme="minorBidi"/>
              <w:noProof/>
              <w:lang w:eastAsia="en-AU"/>
            </w:rPr>
          </w:pPr>
          <w:hyperlink w:anchor="_Toc32828540" w:history="1">
            <w:r w:rsidR="00AC6A7F" w:rsidRPr="00996160">
              <w:rPr>
                <w:rStyle w:val="Hyperlink"/>
                <w:noProof/>
              </w:rPr>
              <w:t>Clinical questions and second round evaluation</w:t>
            </w:r>
            <w:r w:rsidR="00AC6A7F">
              <w:rPr>
                <w:noProof/>
                <w:webHidden/>
              </w:rPr>
              <w:tab/>
            </w:r>
            <w:r w:rsidR="00AC6A7F">
              <w:rPr>
                <w:noProof/>
                <w:webHidden/>
              </w:rPr>
              <w:fldChar w:fldCharType="begin"/>
            </w:r>
            <w:r w:rsidR="00AC6A7F">
              <w:rPr>
                <w:noProof/>
                <w:webHidden/>
              </w:rPr>
              <w:instrText xml:space="preserve"> PAGEREF _Toc32828540 \h </w:instrText>
            </w:r>
            <w:r w:rsidR="00AC6A7F">
              <w:rPr>
                <w:noProof/>
                <w:webHidden/>
              </w:rPr>
            </w:r>
            <w:r w:rsidR="00AC6A7F">
              <w:rPr>
                <w:noProof/>
                <w:webHidden/>
              </w:rPr>
              <w:fldChar w:fldCharType="separate"/>
            </w:r>
            <w:r w:rsidR="00AC6A7F">
              <w:rPr>
                <w:noProof/>
                <w:webHidden/>
              </w:rPr>
              <w:t>55</w:t>
            </w:r>
            <w:r w:rsidR="00AC6A7F">
              <w:rPr>
                <w:noProof/>
                <w:webHidden/>
              </w:rPr>
              <w:fldChar w:fldCharType="end"/>
            </w:r>
          </w:hyperlink>
        </w:p>
        <w:p w14:paraId="1EFE699A" w14:textId="0BEFDFC4" w:rsidR="00AC6A7F" w:rsidRDefault="002125BF">
          <w:pPr>
            <w:pStyle w:val="TOC3"/>
            <w:rPr>
              <w:rFonts w:asciiTheme="minorHAnsi" w:eastAsiaTheme="minorEastAsia" w:hAnsiTheme="minorHAnsi" w:cstheme="minorBidi"/>
              <w:noProof/>
              <w:lang w:eastAsia="en-AU"/>
            </w:rPr>
          </w:pPr>
          <w:hyperlink w:anchor="_Toc32828541" w:history="1">
            <w:r w:rsidR="00AC6A7F" w:rsidRPr="00996160">
              <w:rPr>
                <w:rStyle w:val="Hyperlink"/>
                <w:noProof/>
              </w:rPr>
              <w:t>Second round benefit-risk assessment</w:t>
            </w:r>
            <w:r w:rsidR="00AC6A7F">
              <w:rPr>
                <w:noProof/>
                <w:webHidden/>
              </w:rPr>
              <w:tab/>
            </w:r>
            <w:r w:rsidR="00AC6A7F">
              <w:rPr>
                <w:noProof/>
                <w:webHidden/>
              </w:rPr>
              <w:fldChar w:fldCharType="begin"/>
            </w:r>
            <w:r w:rsidR="00AC6A7F">
              <w:rPr>
                <w:noProof/>
                <w:webHidden/>
              </w:rPr>
              <w:instrText xml:space="preserve"> PAGEREF _Toc32828541 \h </w:instrText>
            </w:r>
            <w:r w:rsidR="00AC6A7F">
              <w:rPr>
                <w:noProof/>
                <w:webHidden/>
              </w:rPr>
            </w:r>
            <w:r w:rsidR="00AC6A7F">
              <w:rPr>
                <w:noProof/>
                <w:webHidden/>
              </w:rPr>
              <w:fldChar w:fldCharType="separate"/>
            </w:r>
            <w:r w:rsidR="00AC6A7F">
              <w:rPr>
                <w:noProof/>
                <w:webHidden/>
              </w:rPr>
              <w:t>65</w:t>
            </w:r>
            <w:r w:rsidR="00AC6A7F">
              <w:rPr>
                <w:noProof/>
                <w:webHidden/>
              </w:rPr>
              <w:fldChar w:fldCharType="end"/>
            </w:r>
          </w:hyperlink>
        </w:p>
        <w:p w14:paraId="2125EA66" w14:textId="4FA37E63" w:rsidR="00AC6A7F" w:rsidRDefault="002125BF">
          <w:pPr>
            <w:pStyle w:val="TOC2"/>
            <w:rPr>
              <w:rFonts w:asciiTheme="minorHAnsi" w:eastAsiaTheme="minorEastAsia" w:hAnsiTheme="minorHAnsi" w:cstheme="minorBidi"/>
              <w:b w:val="0"/>
              <w:noProof/>
              <w:sz w:val="22"/>
              <w:lang w:eastAsia="en-AU"/>
            </w:rPr>
          </w:pPr>
          <w:hyperlink w:anchor="_Toc32828542" w:history="1">
            <w:r w:rsidR="00AC6A7F" w:rsidRPr="00996160">
              <w:rPr>
                <w:rStyle w:val="Hyperlink"/>
                <w:noProof/>
              </w:rPr>
              <w:t>VI. Pharmacovigilance findings</w:t>
            </w:r>
            <w:r w:rsidR="00AC6A7F">
              <w:rPr>
                <w:noProof/>
                <w:webHidden/>
              </w:rPr>
              <w:tab/>
            </w:r>
            <w:r w:rsidR="00AC6A7F">
              <w:rPr>
                <w:noProof/>
                <w:webHidden/>
              </w:rPr>
              <w:fldChar w:fldCharType="begin"/>
            </w:r>
            <w:r w:rsidR="00AC6A7F">
              <w:rPr>
                <w:noProof/>
                <w:webHidden/>
              </w:rPr>
              <w:instrText xml:space="preserve"> PAGEREF _Toc32828542 \h </w:instrText>
            </w:r>
            <w:r w:rsidR="00AC6A7F">
              <w:rPr>
                <w:noProof/>
                <w:webHidden/>
              </w:rPr>
            </w:r>
            <w:r w:rsidR="00AC6A7F">
              <w:rPr>
                <w:noProof/>
                <w:webHidden/>
              </w:rPr>
              <w:fldChar w:fldCharType="separate"/>
            </w:r>
            <w:r w:rsidR="00AC6A7F">
              <w:rPr>
                <w:noProof/>
                <w:webHidden/>
              </w:rPr>
              <w:t>68</w:t>
            </w:r>
            <w:r w:rsidR="00AC6A7F">
              <w:rPr>
                <w:noProof/>
                <w:webHidden/>
              </w:rPr>
              <w:fldChar w:fldCharType="end"/>
            </w:r>
          </w:hyperlink>
        </w:p>
        <w:p w14:paraId="469E2066" w14:textId="067CCB11" w:rsidR="00AC6A7F" w:rsidRDefault="002125BF">
          <w:pPr>
            <w:pStyle w:val="TOC3"/>
            <w:rPr>
              <w:rFonts w:asciiTheme="minorHAnsi" w:eastAsiaTheme="minorEastAsia" w:hAnsiTheme="minorHAnsi" w:cstheme="minorBidi"/>
              <w:noProof/>
              <w:lang w:eastAsia="en-AU"/>
            </w:rPr>
          </w:pPr>
          <w:hyperlink w:anchor="_Toc32828543" w:history="1">
            <w:r w:rsidR="00AC6A7F" w:rsidRPr="00996160">
              <w:rPr>
                <w:rStyle w:val="Hyperlink"/>
                <w:noProof/>
                <w:lang w:eastAsia="en-AU"/>
              </w:rPr>
              <w:t>Risk management plan</w:t>
            </w:r>
            <w:r w:rsidR="00AC6A7F">
              <w:rPr>
                <w:noProof/>
                <w:webHidden/>
              </w:rPr>
              <w:tab/>
            </w:r>
            <w:r w:rsidR="00AC6A7F">
              <w:rPr>
                <w:noProof/>
                <w:webHidden/>
              </w:rPr>
              <w:fldChar w:fldCharType="begin"/>
            </w:r>
            <w:r w:rsidR="00AC6A7F">
              <w:rPr>
                <w:noProof/>
                <w:webHidden/>
              </w:rPr>
              <w:instrText xml:space="preserve"> PAGEREF _Toc32828543 \h </w:instrText>
            </w:r>
            <w:r w:rsidR="00AC6A7F">
              <w:rPr>
                <w:noProof/>
                <w:webHidden/>
              </w:rPr>
            </w:r>
            <w:r w:rsidR="00AC6A7F">
              <w:rPr>
                <w:noProof/>
                <w:webHidden/>
              </w:rPr>
              <w:fldChar w:fldCharType="separate"/>
            </w:r>
            <w:r w:rsidR="00AC6A7F">
              <w:rPr>
                <w:noProof/>
                <w:webHidden/>
              </w:rPr>
              <w:t>68</w:t>
            </w:r>
            <w:r w:rsidR="00AC6A7F">
              <w:rPr>
                <w:noProof/>
                <w:webHidden/>
              </w:rPr>
              <w:fldChar w:fldCharType="end"/>
            </w:r>
          </w:hyperlink>
        </w:p>
        <w:p w14:paraId="3B4DBEA0" w14:textId="3FAC29DD" w:rsidR="00AC6A7F" w:rsidRDefault="002125BF">
          <w:pPr>
            <w:pStyle w:val="TOC2"/>
            <w:rPr>
              <w:rFonts w:asciiTheme="minorHAnsi" w:eastAsiaTheme="minorEastAsia" w:hAnsiTheme="minorHAnsi" w:cstheme="minorBidi"/>
              <w:b w:val="0"/>
              <w:noProof/>
              <w:sz w:val="22"/>
              <w:lang w:eastAsia="en-AU"/>
            </w:rPr>
          </w:pPr>
          <w:hyperlink w:anchor="_Toc32828544" w:history="1">
            <w:r w:rsidR="00AC6A7F" w:rsidRPr="00996160">
              <w:rPr>
                <w:rStyle w:val="Hyperlink"/>
                <w:noProof/>
              </w:rPr>
              <w:t>VII. Overall conclusion and risk/benefit assessment</w:t>
            </w:r>
            <w:r w:rsidR="00AC6A7F">
              <w:rPr>
                <w:noProof/>
                <w:webHidden/>
              </w:rPr>
              <w:tab/>
            </w:r>
            <w:r w:rsidR="00AC6A7F">
              <w:rPr>
                <w:noProof/>
                <w:webHidden/>
              </w:rPr>
              <w:fldChar w:fldCharType="begin"/>
            </w:r>
            <w:r w:rsidR="00AC6A7F">
              <w:rPr>
                <w:noProof/>
                <w:webHidden/>
              </w:rPr>
              <w:instrText xml:space="preserve"> PAGEREF _Toc32828544 \h </w:instrText>
            </w:r>
            <w:r w:rsidR="00AC6A7F">
              <w:rPr>
                <w:noProof/>
                <w:webHidden/>
              </w:rPr>
            </w:r>
            <w:r w:rsidR="00AC6A7F">
              <w:rPr>
                <w:noProof/>
                <w:webHidden/>
              </w:rPr>
              <w:fldChar w:fldCharType="separate"/>
            </w:r>
            <w:r w:rsidR="00AC6A7F">
              <w:rPr>
                <w:noProof/>
                <w:webHidden/>
              </w:rPr>
              <w:t>70</w:t>
            </w:r>
            <w:r w:rsidR="00AC6A7F">
              <w:rPr>
                <w:noProof/>
                <w:webHidden/>
              </w:rPr>
              <w:fldChar w:fldCharType="end"/>
            </w:r>
          </w:hyperlink>
        </w:p>
        <w:p w14:paraId="3096C43C" w14:textId="02AC9971" w:rsidR="00AC6A7F" w:rsidRDefault="002125BF">
          <w:pPr>
            <w:pStyle w:val="TOC3"/>
            <w:rPr>
              <w:rFonts w:asciiTheme="minorHAnsi" w:eastAsiaTheme="minorEastAsia" w:hAnsiTheme="minorHAnsi" w:cstheme="minorBidi"/>
              <w:noProof/>
              <w:lang w:eastAsia="en-AU"/>
            </w:rPr>
          </w:pPr>
          <w:hyperlink w:anchor="_Toc32828545" w:history="1">
            <w:r w:rsidR="00AC6A7F" w:rsidRPr="00996160">
              <w:rPr>
                <w:rStyle w:val="Hyperlink"/>
                <w:noProof/>
              </w:rPr>
              <w:t>Background</w:t>
            </w:r>
            <w:r w:rsidR="00AC6A7F">
              <w:rPr>
                <w:noProof/>
                <w:webHidden/>
              </w:rPr>
              <w:tab/>
            </w:r>
            <w:r w:rsidR="00AC6A7F">
              <w:rPr>
                <w:noProof/>
                <w:webHidden/>
              </w:rPr>
              <w:fldChar w:fldCharType="begin"/>
            </w:r>
            <w:r w:rsidR="00AC6A7F">
              <w:rPr>
                <w:noProof/>
                <w:webHidden/>
              </w:rPr>
              <w:instrText xml:space="preserve"> PAGEREF _Toc32828545 \h </w:instrText>
            </w:r>
            <w:r w:rsidR="00AC6A7F">
              <w:rPr>
                <w:noProof/>
                <w:webHidden/>
              </w:rPr>
            </w:r>
            <w:r w:rsidR="00AC6A7F">
              <w:rPr>
                <w:noProof/>
                <w:webHidden/>
              </w:rPr>
              <w:fldChar w:fldCharType="separate"/>
            </w:r>
            <w:r w:rsidR="00AC6A7F">
              <w:rPr>
                <w:noProof/>
                <w:webHidden/>
              </w:rPr>
              <w:t>71</w:t>
            </w:r>
            <w:r w:rsidR="00AC6A7F">
              <w:rPr>
                <w:noProof/>
                <w:webHidden/>
              </w:rPr>
              <w:fldChar w:fldCharType="end"/>
            </w:r>
          </w:hyperlink>
        </w:p>
        <w:p w14:paraId="22F30FE9" w14:textId="3DE98AFB" w:rsidR="00AC6A7F" w:rsidRDefault="002125BF">
          <w:pPr>
            <w:pStyle w:val="TOC3"/>
            <w:rPr>
              <w:rFonts w:asciiTheme="minorHAnsi" w:eastAsiaTheme="minorEastAsia" w:hAnsiTheme="minorHAnsi" w:cstheme="minorBidi"/>
              <w:noProof/>
              <w:lang w:eastAsia="en-AU"/>
            </w:rPr>
          </w:pPr>
          <w:hyperlink w:anchor="_Toc32828546" w:history="1">
            <w:r w:rsidR="00AC6A7F" w:rsidRPr="00996160">
              <w:rPr>
                <w:rStyle w:val="Hyperlink"/>
                <w:noProof/>
              </w:rPr>
              <w:t>Quality</w:t>
            </w:r>
            <w:r w:rsidR="00AC6A7F">
              <w:rPr>
                <w:noProof/>
                <w:webHidden/>
              </w:rPr>
              <w:tab/>
            </w:r>
            <w:r w:rsidR="00AC6A7F">
              <w:rPr>
                <w:noProof/>
                <w:webHidden/>
              </w:rPr>
              <w:fldChar w:fldCharType="begin"/>
            </w:r>
            <w:r w:rsidR="00AC6A7F">
              <w:rPr>
                <w:noProof/>
                <w:webHidden/>
              </w:rPr>
              <w:instrText xml:space="preserve"> PAGEREF _Toc32828546 \h </w:instrText>
            </w:r>
            <w:r w:rsidR="00AC6A7F">
              <w:rPr>
                <w:noProof/>
                <w:webHidden/>
              </w:rPr>
            </w:r>
            <w:r w:rsidR="00AC6A7F">
              <w:rPr>
                <w:noProof/>
                <w:webHidden/>
              </w:rPr>
              <w:fldChar w:fldCharType="separate"/>
            </w:r>
            <w:r w:rsidR="00AC6A7F">
              <w:rPr>
                <w:noProof/>
                <w:webHidden/>
              </w:rPr>
              <w:t>71</w:t>
            </w:r>
            <w:r w:rsidR="00AC6A7F">
              <w:rPr>
                <w:noProof/>
                <w:webHidden/>
              </w:rPr>
              <w:fldChar w:fldCharType="end"/>
            </w:r>
          </w:hyperlink>
        </w:p>
        <w:p w14:paraId="61B61683" w14:textId="7D35DBFE" w:rsidR="00AC6A7F" w:rsidRDefault="002125BF">
          <w:pPr>
            <w:pStyle w:val="TOC3"/>
            <w:rPr>
              <w:rFonts w:asciiTheme="minorHAnsi" w:eastAsiaTheme="minorEastAsia" w:hAnsiTheme="minorHAnsi" w:cstheme="minorBidi"/>
              <w:noProof/>
              <w:lang w:eastAsia="en-AU"/>
            </w:rPr>
          </w:pPr>
          <w:hyperlink w:anchor="_Toc32828547" w:history="1">
            <w:r w:rsidR="00AC6A7F" w:rsidRPr="00996160">
              <w:rPr>
                <w:rStyle w:val="Hyperlink"/>
                <w:noProof/>
              </w:rPr>
              <w:t>Nonclinical</w:t>
            </w:r>
            <w:r w:rsidR="00AC6A7F">
              <w:rPr>
                <w:noProof/>
                <w:webHidden/>
              </w:rPr>
              <w:tab/>
            </w:r>
            <w:r w:rsidR="00AC6A7F">
              <w:rPr>
                <w:noProof/>
                <w:webHidden/>
              </w:rPr>
              <w:fldChar w:fldCharType="begin"/>
            </w:r>
            <w:r w:rsidR="00AC6A7F">
              <w:rPr>
                <w:noProof/>
                <w:webHidden/>
              </w:rPr>
              <w:instrText xml:space="preserve"> PAGEREF _Toc32828547 \h </w:instrText>
            </w:r>
            <w:r w:rsidR="00AC6A7F">
              <w:rPr>
                <w:noProof/>
                <w:webHidden/>
              </w:rPr>
            </w:r>
            <w:r w:rsidR="00AC6A7F">
              <w:rPr>
                <w:noProof/>
                <w:webHidden/>
              </w:rPr>
              <w:fldChar w:fldCharType="separate"/>
            </w:r>
            <w:r w:rsidR="00AC6A7F">
              <w:rPr>
                <w:noProof/>
                <w:webHidden/>
              </w:rPr>
              <w:t>71</w:t>
            </w:r>
            <w:r w:rsidR="00AC6A7F">
              <w:rPr>
                <w:noProof/>
                <w:webHidden/>
              </w:rPr>
              <w:fldChar w:fldCharType="end"/>
            </w:r>
          </w:hyperlink>
        </w:p>
        <w:p w14:paraId="218A9AA0" w14:textId="0B12E2C7" w:rsidR="00AC6A7F" w:rsidRDefault="002125BF">
          <w:pPr>
            <w:pStyle w:val="TOC3"/>
            <w:rPr>
              <w:rFonts w:asciiTheme="minorHAnsi" w:eastAsiaTheme="minorEastAsia" w:hAnsiTheme="minorHAnsi" w:cstheme="minorBidi"/>
              <w:noProof/>
              <w:lang w:eastAsia="en-AU"/>
            </w:rPr>
          </w:pPr>
          <w:hyperlink w:anchor="_Toc32828548" w:history="1">
            <w:r w:rsidR="00AC6A7F" w:rsidRPr="00996160">
              <w:rPr>
                <w:rStyle w:val="Hyperlink"/>
                <w:noProof/>
              </w:rPr>
              <w:t>Clinical</w:t>
            </w:r>
            <w:r w:rsidR="00AC6A7F">
              <w:rPr>
                <w:noProof/>
                <w:webHidden/>
              </w:rPr>
              <w:tab/>
            </w:r>
            <w:r w:rsidR="00AC6A7F">
              <w:rPr>
                <w:noProof/>
                <w:webHidden/>
              </w:rPr>
              <w:fldChar w:fldCharType="begin"/>
            </w:r>
            <w:r w:rsidR="00AC6A7F">
              <w:rPr>
                <w:noProof/>
                <w:webHidden/>
              </w:rPr>
              <w:instrText xml:space="preserve"> PAGEREF _Toc32828548 \h </w:instrText>
            </w:r>
            <w:r w:rsidR="00AC6A7F">
              <w:rPr>
                <w:noProof/>
                <w:webHidden/>
              </w:rPr>
            </w:r>
            <w:r w:rsidR="00AC6A7F">
              <w:rPr>
                <w:noProof/>
                <w:webHidden/>
              </w:rPr>
              <w:fldChar w:fldCharType="separate"/>
            </w:r>
            <w:r w:rsidR="00AC6A7F">
              <w:rPr>
                <w:noProof/>
                <w:webHidden/>
              </w:rPr>
              <w:t>72</w:t>
            </w:r>
            <w:r w:rsidR="00AC6A7F">
              <w:rPr>
                <w:noProof/>
                <w:webHidden/>
              </w:rPr>
              <w:fldChar w:fldCharType="end"/>
            </w:r>
          </w:hyperlink>
        </w:p>
        <w:p w14:paraId="5D5AA957" w14:textId="4CF2C039" w:rsidR="00AC6A7F" w:rsidRDefault="002125BF">
          <w:pPr>
            <w:pStyle w:val="TOC3"/>
            <w:rPr>
              <w:rFonts w:asciiTheme="minorHAnsi" w:eastAsiaTheme="minorEastAsia" w:hAnsiTheme="minorHAnsi" w:cstheme="minorBidi"/>
              <w:noProof/>
              <w:lang w:eastAsia="en-AU"/>
            </w:rPr>
          </w:pPr>
          <w:hyperlink w:anchor="_Toc32828549" w:history="1">
            <w:r w:rsidR="00AC6A7F" w:rsidRPr="00996160">
              <w:rPr>
                <w:rStyle w:val="Hyperlink"/>
                <w:noProof/>
                <w:lang w:eastAsia="en-AU"/>
              </w:rPr>
              <w:t>Risk management plan</w:t>
            </w:r>
            <w:r w:rsidR="00AC6A7F">
              <w:rPr>
                <w:noProof/>
                <w:webHidden/>
              </w:rPr>
              <w:tab/>
            </w:r>
            <w:r w:rsidR="00AC6A7F">
              <w:rPr>
                <w:noProof/>
                <w:webHidden/>
              </w:rPr>
              <w:fldChar w:fldCharType="begin"/>
            </w:r>
            <w:r w:rsidR="00AC6A7F">
              <w:rPr>
                <w:noProof/>
                <w:webHidden/>
              </w:rPr>
              <w:instrText xml:space="preserve"> PAGEREF _Toc32828549 \h </w:instrText>
            </w:r>
            <w:r w:rsidR="00AC6A7F">
              <w:rPr>
                <w:noProof/>
                <w:webHidden/>
              </w:rPr>
            </w:r>
            <w:r w:rsidR="00AC6A7F">
              <w:rPr>
                <w:noProof/>
                <w:webHidden/>
              </w:rPr>
              <w:fldChar w:fldCharType="separate"/>
            </w:r>
            <w:r w:rsidR="00AC6A7F">
              <w:rPr>
                <w:noProof/>
                <w:webHidden/>
              </w:rPr>
              <w:t>80</w:t>
            </w:r>
            <w:r w:rsidR="00AC6A7F">
              <w:rPr>
                <w:noProof/>
                <w:webHidden/>
              </w:rPr>
              <w:fldChar w:fldCharType="end"/>
            </w:r>
          </w:hyperlink>
        </w:p>
        <w:p w14:paraId="7A1F57CD" w14:textId="5FC57A03" w:rsidR="00AC6A7F" w:rsidRDefault="002125BF">
          <w:pPr>
            <w:pStyle w:val="TOC3"/>
            <w:rPr>
              <w:rFonts w:asciiTheme="minorHAnsi" w:eastAsiaTheme="minorEastAsia" w:hAnsiTheme="minorHAnsi" w:cstheme="minorBidi"/>
              <w:noProof/>
              <w:lang w:eastAsia="en-AU"/>
            </w:rPr>
          </w:pPr>
          <w:hyperlink w:anchor="_Toc32828550" w:history="1">
            <w:r w:rsidR="00AC6A7F" w:rsidRPr="00996160">
              <w:rPr>
                <w:rStyle w:val="Hyperlink"/>
                <w:noProof/>
              </w:rPr>
              <w:t>Risk-benefit analysis</w:t>
            </w:r>
            <w:r w:rsidR="00AC6A7F">
              <w:rPr>
                <w:noProof/>
                <w:webHidden/>
              </w:rPr>
              <w:tab/>
            </w:r>
            <w:r w:rsidR="00AC6A7F">
              <w:rPr>
                <w:noProof/>
                <w:webHidden/>
              </w:rPr>
              <w:fldChar w:fldCharType="begin"/>
            </w:r>
            <w:r w:rsidR="00AC6A7F">
              <w:rPr>
                <w:noProof/>
                <w:webHidden/>
              </w:rPr>
              <w:instrText xml:space="preserve"> PAGEREF _Toc32828550 \h </w:instrText>
            </w:r>
            <w:r w:rsidR="00AC6A7F">
              <w:rPr>
                <w:noProof/>
                <w:webHidden/>
              </w:rPr>
            </w:r>
            <w:r w:rsidR="00AC6A7F">
              <w:rPr>
                <w:noProof/>
                <w:webHidden/>
              </w:rPr>
              <w:fldChar w:fldCharType="separate"/>
            </w:r>
            <w:r w:rsidR="00AC6A7F">
              <w:rPr>
                <w:noProof/>
                <w:webHidden/>
              </w:rPr>
              <w:t>80</w:t>
            </w:r>
            <w:r w:rsidR="00AC6A7F">
              <w:rPr>
                <w:noProof/>
                <w:webHidden/>
              </w:rPr>
              <w:fldChar w:fldCharType="end"/>
            </w:r>
          </w:hyperlink>
        </w:p>
        <w:p w14:paraId="1F785494" w14:textId="68ACB9CE" w:rsidR="00AC6A7F" w:rsidRDefault="002125BF">
          <w:pPr>
            <w:pStyle w:val="TOC3"/>
            <w:rPr>
              <w:rFonts w:asciiTheme="minorHAnsi" w:eastAsiaTheme="minorEastAsia" w:hAnsiTheme="minorHAnsi" w:cstheme="minorBidi"/>
              <w:noProof/>
              <w:lang w:eastAsia="en-AU"/>
            </w:rPr>
          </w:pPr>
          <w:hyperlink w:anchor="_Toc32828551" w:history="1">
            <w:r w:rsidR="00AC6A7F" w:rsidRPr="00996160">
              <w:rPr>
                <w:rStyle w:val="Hyperlink"/>
                <w:noProof/>
              </w:rPr>
              <w:t>Outcome</w:t>
            </w:r>
            <w:r w:rsidR="00AC6A7F">
              <w:rPr>
                <w:noProof/>
                <w:webHidden/>
              </w:rPr>
              <w:tab/>
            </w:r>
            <w:r w:rsidR="00AC6A7F">
              <w:rPr>
                <w:noProof/>
                <w:webHidden/>
              </w:rPr>
              <w:fldChar w:fldCharType="begin"/>
            </w:r>
            <w:r w:rsidR="00AC6A7F">
              <w:rPr>
                <w:noProof/>
                <w:webHidden/>
              </w:rPr>
              <w:instrText xml:space="preserve"> PAGEREF _Toc32828551 \h </w:instrText>
            </w:r>
            <w:r w:rsidR="00AC6A7F">
              <w:rPr>
                <w:noProof/>
                <w:webHidden/>
              </w:rPr>
            </w:r>
            <w:r w:rsidR="00AC6A7F">
              <w:rPr>
                <w:noProof/>
                <w:webHidden/>
              </w:rPr>
              <w:fldChar w:fldCharType="separate"/>
            </w:r>
            <w:r w:rsidR="00AC6A7F">
              <w:rPr>
                <w:noProof/>
                <w:webHidden/>
              </w:rPr>
              <w:t>90</w:t>
            </w:r>
            <w:r w:rsidR="00AC6A7F">
              <w:rPr>
                <w:noProof/>
                <w:webHidden/>
              </w:rPr>
              <w:fldChar w:fldCharType="end"/>
            </w:r>
          </w:hyperlink>
        </w:p>
        <w:p w14:paraId="36541B54" w14:textId="0BB7F8BB" w:rsidR="003A7F6C" w:rsidRPr="00B811C6" w:rsidRDefault="00DB6124" w:rsidP="00B811C6">
          <w:pPr>
            <w:pStyle w:val="TOC2"/>
          </w:pPr>
          <w:r>
            <w:fldChar w:fldCharType="end"/>
          </w:r>
        </w:p>
      </w:sdtContent>
    </w:sdt>
    <w:bookmarkStart w:id="3" w:name="_Toc314842482" w:displacedByCustomXml="prev"/>
    <w:p w14:paraId="53A925F4" w14:textId="77777777" w:rsidR="00FD119B" w:rsidRDefault="00FD119B">
      <w:pPr>
        <w:spacing w:before="0" w:after="200" w:line="0" w:lineRule="auto"/>
      </w:pPr>
      <w:r>
        <w:br w:type="page"/>
      </w:r>
    </w:p>
    <w:p w14:paraId="1B21E393" w14:textId="77777777" w:rsidR="00C52E24" w:rsidRPr="00C52E24" w:rsidRDefault="00441C3F" w:rsidP="00716507">
      <w:pPr>
        <w:pStyle w:val="Heading2"/>
      </w:pPr>
      <w:bookmarkStart w:id="4" w:name="_Toc351716269"/>
      <w:bookmarkStart w:id="5" w:name="_Toc351718881"/>
      <w:bookmarkStart w:id="6" w:name="_Toc355338616"/>
      <w:bookmarkStart w:id="7" w:name="_Toc356306144"/>
      <w:bookmarkStart w:id="8" w:name="_Toc32828513"/>
      <w:r>
        <w:lastRenderedPageBreak/>
        <w:t>Common</w:t>
      </w:r>
      <w:r w:rsidR="00FD119B" w:rsidRPr="00FD119B">
        <w:t xml:space="preserve"> abbreviations</w:t>
      </w:r>
      <w:bookmarkEnd w:id="4"/>
      <w:bookmarkEnd w:id="5"/>
      <w:bookmarkEnd w:id="6"/>
      <w:bookmarkEnd w:id="7"/>
      <w:bookmarkEnd w:id="8"/>
    </w:p>
    <w:tbl>
      <w:tblPr>
        <w:tblStyle w:val="TableTGAblue"/>
        <w:tblW w:w="8861" w:type="dxa"/>
        <w:tblLook w:val="04A0" w:firstRow="1" w:lastRow="0" w:firstColumn="1" w:lastColumn="0" w:noHBand="0" w:noVBand="1"/>
      </w:tblPr>
      <w:tblGrid>
        <w:gridCol w:w="1950"/>
        <w:gridCol w:w="6911"/>
      </w:tblGrid>
      <w:tr w:rsidR="00FD119B" w:rsidRPr="00FD119B" w14:paraId="5FE172F9" w14:textId="77777777" w:rsidTr="00716507">
        <w:trPr>
          <w:cnfStyle w:val="100000000000" w:firstRow="1" w:lastRow="0" w:firstColumn="0" w:lastColumn="0" w:oddVBand="0" w:evenVBand="0" w:oddHBand="0" w:evenHBand="0" w:firstRowFirstColumn="0" w:firstRowLastColumn="0" w:lastRowFirstColumn="0" w:lastRowLastColumn="0"/>
        </w:trPr>
        <w:tc>
          <w:tcPr>
            <w:tcW w:w="1950" w:type="dxa"/>
          </w:tcPr>
          <w:p w14:paraId="7E244163"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4FED5BA4" w14:textId="77777777" w:rsidR="00FD119B" w:rsidRPr="00FD119B" w:rsidRDefault="00FD119B" w:rsidP="00FD119B">
            <w:pPr>
              <w:keepNext w:val="0"/>
              <w:ind w:left="0" w:right="0"/>
              <w:rPr>
                <w:szCs w:val="22"/>
                <w:lang w:eastAsia="en-US"/>
              </w:rPr>
            </w:pPr>
            <w:r w:rsidRPr="00FD119B">
              <w:rPr>
                <w:szCs w:val="22"/>
                <w:lang w:eastAsia="en-US"/>
              </w:rPr>
              <w:t>Meaning</w:t>
            </w:r>
          </w:p>
        </w:tc>
      </w:tr>
      <w:tr w:rsidR="00716507" w:rsidRPr="000D7E9B" w14:paraId="4F69C824" w14:textId="77777777" w:rsidTr="00716507">
        <w:tc>
          <w:tcPr>
            <w:tcW w:w="1950" w:type="dxa"/>
          </w:tcPr>
          <w:p w14:paraId="6704B6D6" w14:textId="77777777" w:rsidR="00716507" w:rsidRPr="000D7E9B" w:rsidRDefault="00716507" w:rsidP="00716507">
            <w:r>
              <w:t>ADD</w:t>
            </w:r>
          </w:p>
        </w:tc>
        <w:tc>
          <w:tcPr>
            <w:tcW w:w="6911" w:type="dxa"/>
          </w:tcPr>
          <w:p w14:paraId="3AE71DAA" w14:textId="77777777" w:rsidR="00716507" w:rsidRPr="000D7E9B" w:rsidRDefault="00716507" w:rsidP="00716507">
            <w:r>
              <w:rPr>
                <w:bCs/>
              </w:rPr>
              <w:t>A</w:t>
            </w:r>
            <w:r w:rsidRPr="00553A5A">
              <w:rPr>
                <w:bCs/>
              </w:rPr>
              <w:t>verage daily dose</w:t>
            </w:r>
          </w:p>
        </w:tc>
      </w:tr>
      <w:tr w:rsidR="00716507" w14:paraId="114F8B3D" w14:textId="77777777" w:rsidTr="00716507">
        <w:tc>
          <w:tcPr>
            <w:tcW w:w="1950" w:type="dxa"/>
          </w:tcPr>
          <w:p w14:paraId="282FEE90" w14:textId="77777777" w:rsidR="00716507" w:rsidRDefault="00716507" w:rsidP="00716507">
            <w:r w:rsidRPr="002B3694">
              <w:t>ADME</w:t>
            </w:r>
          </w:p>
        </w:tc>
        <w:tc>
          <w:tcPr>
            <w:tcW w:w="6911" w:type="dxa"/>
          </w:tcPr>
          <w:p w14:paraId="51DFC9DA" w14:textId="5D46F932" w:rsidR="00716507" w:rsidRDefault="00E022C9" w:rsidP="00716507">
            <w:r>
              <w:t>A</w:t>
            </w:r>
            <w:r w:rsidRPr="002B3694">
              <w:t>bsorption</w:t>
            </w:r>
            <w:r w:rsidR="00716507" w:rsidRPr="002B3694">
              <w:t>, distr</w:t>
            </w:r>
            <w:r w:rsidR="00716507">
              <w:t>ibution, metabolism, excretion</w:t>
            </w:r>
          </w:p>
        </w:tc>
      </w:tr>
      <w:tr w:rsidR="00716507" w:rsidRPr="000D7E9B" w14:paraId="36C1F905" w14:textId="77777777" w:rsidTr="00716507">
        <w:tc>
          <w:tcPr>
            <w:tcW w:w="1950" w:type="dxa"/>
          </w:tcPr>
          <w:p w14:paraId="339D4AE0" w14:textId="77777777" w:rsidR="00716507" w:rsidRPr="000D7E9B" w:rsidRDefault="00716507" w:rsidP="00716507">
            <w:r>
              <w:t>ADR</w:t>
            </w:r>
          </w:p>
        </w:tc>
        <w:tc>
          <w:tcPr>
            <w:tcW w:w="6911" w:type="dxa"/>
          </w:tcPr>
          <w:p w14:paraId="344E3131" w14:textId="77777777" w:rsidR="00716507" w:rsidRPr="000D7E9B" w:rsidRDefault="00716507" w:rsidP="00716507">
            <w:r>
              <w:t>Adverse drug reaction</w:t>
            </w:r>
          </w:p>
        </w:tc>
      </w:tr>
      <w:tr w:rsidR="00716507" w:rsidRPr="000D7E9B" w14:paraId="10B7D599" w14:textId="77777777" w:rsidTr="00716507">
        <w:tc>
          <w:tcPr>
            <w:tcW w:w="1950" w:type="dxa"/>
          </w:tcPr>
          <w:p w14:paraId="4A7B14F3" w14:textId="77777777" w:rsidR="00716507" w:rsidRPr="000D7E9B" w:rsidRDefault="00716507" w:rsidP="00716507">
            <w:r w:rsidRPr="000D7E9B">
              <w:t>AE</w:t>
            </w:r>
          </w:p>
        </w:tc>
        <w:tc>
          <w:tcPr>
            <w:tcW w:w="6911" w:type="dxa"/>
          </w:tcPr>
          <w:p w14:paraId="6EDF89D6" w14:textId="77777777" w:rsidR="00716507" w:rsidRPr="000D7E9B" w:rsidRDefault="00716507" w:rsidP="00716507">
            <w:r w:rsidRPr="000D7E9B">
              <w:t>Adverse</w:t>
            </w:r>
            <w:r w:rsidRPr="00FC5FDE">
              <w:t xml:space="preserve"> </w:t>
            </w:r>
            <w:r w:rsidRPr="000D7E9B">
              <w:t>event</w:t>
            </w:r>
          </w:p>
        </w:tc>
      </w:tr>
      <w:tr w:rsidR="000D51AD" w:rsidRPr="000D7E9B" w14:paraId="7E104490" w14:textId="77777777" w:rsidTr="00716507">
        <w:tc>
          <w:tcPr>
            <w:tcW w:w="1950" w:type="dxa"/>
          </w:tcPr>
          <w:p w14:paraId="778A15FC" w14:textId="77777777" w:rsidR="000D51AD" w:rsidRPr="000D7E9B" w:rsidRDefault="000D51AD" w:rsidP="00716507">
            <w:r>
              <w:t>ALT</w:t>
            </w:r>
          </w:p>
        </w:tc>
        <w:tc>
          <w:tcPr>
            <w:tcW w:w="6911" w:type="dxa"/>
          </w:tcPr>
          <w:p w14:paraId="077A68B9" w14:textId="77777777" w:rsidR="000D51AD" w:rsidRPr="000D7E9B" w:rsidRDefault="000D51AD" w:rsidP="000D51AD">
            <w:r>
              <w:rPr>
                <w:shd w:val="clear" w:color="auto" w:fill="FFFFFF"/>
              </w:rPr>
              <w:t>Alanine aminotransferase</w:t>
            </w:r>
          </w:p>
        </w:tc>
      </w:tr>
      <w:tr w:rsidR="000D51AD" w:rsidRPr="000D7E9B" w14:paraId="511C25BF" w14:textId="77777777" w:rsidTr="00716507">
        <w:tc>
          <w:tcPr>
            <w:tcW w:w="1950" w:type="dxa"/>
          </w:tcPr>
          <w:p w14:paraId="512353D4" w14:textId="77777777" w:rsidR="000D51AD" w:rsidRPr="000D7E9B" w:rsidRDefault="000D51AD" w:rsidP="00716507">
            <w:r>
              <w:t>AST</w:t>
            </w:r>
          </w:p>
        </w:tc>
        <w:tc>
          <w:tcPr>
            <w:tcW w:w="6911" w:type="dxa"/>
          </w:tcPr>
          <w:p w14:paraId="5353CE3F" w14:textId="77777777" w:rsidR="000D51AD" w:rsidRPr="000D7E9B" w:rsidRDefault="000D51AD" w:rsidP="000D51AD">
            <w:r>
              <w:rPr>
                <w:shd w:val="clear" w:color="auto" w:fill="FFFFFF"/>
              </w:rPr>
              <w:t>Aspartate aminotransferase</w:t>
            </w:r>
          </w:p>
        </w:tc>
      </w:tr>
      <w:tr w:rsidR="00716507" w:rsidRPr="000D7E9B" w14:paraId="73922CD1" w14:textId="77777777" w:rsidTr="00716507">
        <w:tc>
          <w:tcPr>
            <w:tcW w:w="1950" w:type="dxa"/>
          </w:tcPr>
          <w:p w14:paraId="3FE0E894" w14:textId="77777777" w:rsidR="00716507" w:rsidRPr="000D7E9B" w:rsidRDefault="00716507" w:rsidP="00716507">
            <w:r w:rsidRPr="000D7E9B">
              <w:t>ATP</w:t>
            </w:r>
          </w:p>
        </w:tc>
        <w:tc>
          <w:tcPr>
            <w:tcW w:w="6911" w:type="dxa"/>
          </w:tcPr>
          <w:p w14:paraId="32474797" w14:textId="77777777" w:rsidR="00716507" w:rsidRPr="000D7E9B" w:rsidRDefault="00716507" w:rsidP="00716507">
            <w:r w:rsidRPr="000D7E9B">
              <w:t>Adenosine</w:t>
            </w:r>
            <w:r w:rsidRPr="00FC5FDE">
              <w:t xml:space="preserve"> </w:t>
            </w:r>
            <w:r w:rsidRPr="000D7E9B">
              <w:t>triphosphate</w:t>
            </w:r>
          </w:p>
        </w:tc>
      </w:tr>
      <w:tr w:rsidR="00716507" w:rsidRPr="000D7E9B" w14:paraId="613F647F" w14:textId="77777777" w:rsidTr="00716507">
        <w:tc>
          <w:tcPr>
            <w:tcW w:w="1950" w:type="dxa"/>
          </w:tcPr>
          <w:p w14:paraId="49CE3A46" w14:textId="77777777" w:rsidR="00716507" w:rsidRPr="000D7E9B" w:rsidRDefault="00716507" w:rsidP="00716507">
            <w:r w:rsidRPr="000D7E9B">
              <w:t>AUC</w:t>
            </w:r>
          </w:p>
        </w:tc>
        <w:tc>
          <w:tcPr>
            <w:tcW w:w="6911" w:type="dxa"/>
          </w:tcPr>
          <w:p w14:paraId="079E5C16" w14:textId="77777777" w:rsidR="00716507" w:rsidRPr="000D7E9B" w:rsidRDefault="00716507" w:rsidP="00716507">
            <w:r w:rsidRPr="000D7E9B">
              <w:t xml:space="preserve">Area under the time </w:t>
            </w:r>
            <w:r w:rsidR="0061481A" w:rsidRPr="0061481A">
              <w:t>versus</w:t>
            </w:r>
            <w:r w:rsidRPr="000D7E9B">
              <w:t xml:space="preserve"> concentration</w:t>
            </w:r>
            <w:r w:rsidRPr="00FC5FDE">
              <w:t xml:space="preserve"> </w:t>
            </w:r>
            <w:r w:rsidRPr="000D7E9B">
              <w:t>curve</w:t>
            </w:r>
          </w:p>
        </w:tc>
      </w:tr>
      <w:tr w:rsidR="00716507" w:rsidRPr="000D7E9B" w14:paraId="498EF216" w14:textId="77777777" w:rsidTr="00716507">
        <w:tc>
          <w:tcPr>
            <w:tcW w:w="1950" w:type="dxa"/>
          </w:tcPr>
          <w:p w14:paraId="57FF584B" w14:textId="77777777" w:rsidR="00716507" w:rsidRPr="000D7E9B" w:rsidRDefault="00716507" w:rsidP="00716507">
            <w:r w:rsidRPr="000D7E9B">
              <w:t>BAE</w:t>
            </w:r>
          </w:p>
        </w:tc>
        <w:tc>
          <w:tcPr>
            <w:tcW w:w="6911" w:type="dxa"/>
          </w:tcPr>
          <w:p w14:paraId="79EB0E42" w14:textId="77777777" w:rsidR="00716507" w:rsidRPr="000D7E9B" w:rsidRDefault="00716507" w:rsidP="00716507">
            <w:r w:rsidRPr="000D7E9B">
              <w:t>Bronchopulmonary adverse</w:t>
            </w:r>
            <w:r w:rsidRPr="00FC5FDE">
              <w:t xml:space="preserve"> </w:t>
            </w:r>
            <w:r w:rsidRPr="000D7E9B">
              <w:t>event</w:t>
            </w:r>
          </w:p>
        </w:tc>
      </w:tr>
      <w:tr w:rsidR="000D51AD" w:rsidRPr="000D7E9B" w14:paraId="5F6AA27D" w14:textId="77777777" w:rsidTr="00716507">
        <w:tc>
          <w:tcPr>
            <w:tcW w:w="1950" w:type="dxa"/>
          </w:tcPr>
          <w:p w14:paraId="0BEA166E" w14:textId="77777777" w:rsidR="000D51AD" w:rsidRPr="000D7E9B" w:rsidRDefault="000D51AD" w:rsidP="00716507">
            <w:r>
              <w:t>BP</w:t>
            </w:r>
          </w:p>
        </w:tc>
        <w:tc>
          <w:tcPr>
            <w:tcW w:w="6911" w:type="dxa"/>
          </w:tcPr>
          <w:p w14:paraId="2E6B24AC" w14:textId="4C29D0D4" w:rsidR="000D51AD" w:rsidRPr="000D7E9B" w:rsidRDefault="00E022C9" w:rsidP="000D51AD">
            <w:r>
              <w:t xml:space="preserve">Blood </w:t>
            </w:r>
            <w:r w:rsidR="000D51AD">
              <w:t>pressure</w:t>
            </w:r>
          </w:p>
        </w:tc>
      </w:tr>
      <w:tr w:rsidR="00716507" w:rsidRPr="000D7E9B" w14:paraId="039A08F8" w14:textId="77777777" w:rsidTr="00716507">
        <w:tc>
          <w:tcPr>
            <w:tcW w:w="1950" w:type="dxa"/>
          </w:tcPr>
          <w:p w14:paraId="18E8849B" w14:textId="77777777" w:rsidR="00716507" w:rsidRPr="000D7E9B" w:rsidRDefault="00716507" w:rsidP="00716507">
            <w:r w:rsidRPr="000D7E9B">
              <w:t>CHMP</w:t>
            </w:r>
          </w:p>
        </w:tc>
        <w:tc>
          <w:tcPr>
            <w:tcW w:w="6911" w:type="dxa"/>
          </w:tcPr>
          <w:p w14:paraId="2B33F711" w14:textId="17F305A7" w:rsidR="00716507" w:rsidRPr="000D7E9B" w:rsidRDefault="00716507" w:rsidP="00716507">
            <w:r w:rsidRPr="000D7E9B">
              <w:t>Committee for Medicinal Products for Human</w:t>
            </w:r>
            <w:r w:rsidRPr="00FC5FDE">
              <w:t xml:space="preserve"> </w:t>
            </w:r>
            <w:r w:rsidRPr="000D7E9B">
              <w:t>Use</w:t>
            </w:r>
            <w:r w:rsidR="00E022C9">
              <w:t xml:space="preserve"> (EU)</w:t>
            </w:r>
          </w:p>
        </w:tc>
      </w:tr>
      <w:tr w:rsidR="00716507" w:rsidRPr="000D7E9B" w14:paraId="15966F98" w14:textId="77777777" w:rsidTr="00716507">
        <w:tc>
          <w:tcPr>
            <w:tcW w:w="1950" w:type="dxa"/>
          </w:tcPr>
          <w:p w14:paraId="4756B1A3" w14:textId="77777777" w:rsidR="00716507" w:rsidRPr="000D7E9B" w:rsidRDefault="00716507" w:rsidP="00716507">
            <w:r w:rsidRPr="000D7E9B">
              <w:t>CI</w:t>
            </w:r>
          </w:p>
        </w:tc>
        <w:tc>
          <w:tcPr>
            <w:tcW w:w="6911" w:type="dxa"/>
          </w:tcPr>
          <w:p w14:paraId="63E9A61C" w14:textId="77777777" w:rsidR="00716507" w:rsidRPr="000D7E9B" w:rsidRDefault="00716507" w:rsidP="0002337A">
            <w:r w:rsidRPr="000D7E9B">
              <w:t>Confidence</w:t>
            </w:r>
            <w:r w:rsidRPr="00FC5FDE">
              <w:t xml:space="preserve"> </w:t>
            </w:r>
            <w:r w:rsidR="0002337A">
              <w:t>i</w:t>
            </w:r>
            <w:r w:rsidRPr="000D7E9B">
              <w:t>nterval</w:t>
            </w:r>
          </w:p>
        </w:tc>
      </w:tr>
      <w:tr w:rsidR="00716507" w:rsidRPr="000D7E9B" w14:paraId="42C2900E" w14:textId="77777777" w:rsidTr="00716507">
        <w:tc>
          <w:tcPr>
            <w:tcW w:w="1950" w:type="dxa"/>
          </w:tcPr>
          <w:p w14:paraId="4743D184" w14:textId="77777777" w:rsidR="00716507" w:rsidRPr="000D7E9B" w:rsidRDefault="00716507" w:rsidP="00716507">
            <w:r w:rsidRPr="000D7E9B">
              <w:t>CINRG</w:t>
            </w:r>
          </w:p>
        </w:tc>
        <w:tc>
          <w:tcPr>
            <w:tcW w:w="6911" w:type="dxa"/>
          </w:tcPr>
          <w:p w14:paraId="0FC990BE" w14:textId="77777777" w:rsidR="00716507" w:rsidRPr="000D7E9B" w:rsidRDefault="00716507" w:rsidP="00716507">
            <w:r w:rsidRPr="000D7E9B">
              <w:t>Cooperative International Neuromuscular Research</w:t>
            </w:r>
            <w:r w:rsidRPr="00FC5FDE">
              <w:t xml:space="preserve"> </w:t>
            </w:r>
            <w:r w:rsidRPr="000D7E9B">
              <w:t>Group</w:t>
            </w:r>
          </w:p>
        </w:tc>
      </w:tr>
      <w:tr w:rsidR="00716507" w:rsidRPr="000D7E9B" w14:paraId="0F8B6F07" w14:textId="77777777" w:rsidTr="00716507">
        <w:tc>
          <w:tcPr>
            <w:tcW w:w="1950" w:type="dxa"/>
          </w:tcPr>
          <w:p w14:paraId="3D1D4A6B" w14:textId="77777777" w:rsidR="00716507" w:rsidRPr="000D7E9B" w:rsidRDefault="00716507" w:rsidP="00716507">
            <w:r w:rsidRPr="000D7E9B">
              <w:t>CSR</w:t>
            </w:r>
          </w:p>
        </w:tc>
        <w:tc>
          <w:tcPr>
            <w:tcW w:w="6911" w:type="dxa"/>
          </w:tcPr>
          <w:p w14:paraId="27BCC2D7" w14:textId="7115194C" w:rsidR="00716507" w:rsidRPr="000D7E9B" w:rsidRDefault="00716507" w:rsidP="00716507">
            <w:r w:rsidRPr="000D7E9B">
              <w:t xml:space="preserve">Clinical </w:t>
            </w:r>
            <w:r w:rsidR="00E022C9" w:rsidRPr="000D7E9B">
              <w:t>study</w:t>
            </w:r>
            <w:r w:rsidR="00E022C9" w:rsidRPr="00FC5FDE">
              <w:t xml:space="preserve"> </w:t>
            </w:r>
            <w:r w:rsidR="00E022C9" w:rsidRPr="000D7E9B">
              <w:t>report</w:t>
            </w:r>
          </w:p>
        </w:tc>
      </w:tr>
      <w:tr w:rsidR="00716507" w:rsidRPr="000D7E9B" w14:paraId="60A11922" w14:textId="77777777" w:rsidTr="00716507">
        <w:tc>
          <w:tcPr>
            <w:tcW w:w="1950" w:type="dxa"/>
          </w:tcPr>
          <w:p w14:paraId="732F0681" w14:textId="77777777" w:rsidR="00716507" w:rsidRPr="000D7E9B" w:rsidRDefault="00716507" w:rsidP="00716507">
            <w:r w:rsidRPr="000D7E9B">
              <w:t>CYP</w:t>
            </w:r>
          </w:p>
        </w:tc>
        <w:tc>
          <w:tcPr>
            <w:tcW w:w="6911" w:type="dxa"/>
          </w:tcPr>
          <w:p w14:paraId="6E196E15" w14:textId="77777777" w:rsidR="00716507" w:rsidRPr="000D7E9B" w:rsidRDefault="00716507" w:rsidP="00716507">
            <w:r w:rsidRPr="000D7E9B">
              <w:t>Cytochrome</w:t>
            </w:r>
            <w:r w:rsidRPr="00FC5FDE">
              <w:t xml:space="preserve"> </w:t>
            </w:r>
            <w:r w:rsidRPr="000D7E9B">
              <w:t>P450</w:t>
            </w:r>
          </w:p>
        </w:tc>
      </w:tr>
      <w:tr w:rsidR="00716507" w:rsidRPr="000D7E9B" w14:paraId="7B2B5159" w14:textId="77777777" w:rsidTr="00716507">
        <w:tc>
          <w:tcPr>
            <w:tcW w:w="1950" w:type="dxa"/>
          </w:tcPr>
          <w:p w14:paraId="1F4E10C9" w14:textId="77777777" w:rsidR="00716507" w:rsidRPr="000D7E9B" w:rsidRDefault="00716507" w:rsidP="00716507">
            <w:r w:rsidRPr="000D7E9B">
              <w:t>DELOS</w:t>
            </w:r>
          </w:p>
        </w:tc>
        <w:tc>
          <w:tcPr>
            <w:tcW w:w="6911" w:type="dxa"/>
          </w:tcPr>
          <w:p w14:paraId="10E6A3EC" w14:textId="372EE991" w:rsidR="00716507" w:rsidRPr="000D7E9B" w:rsidRDefault="00E022C9" w:rsidP="00E022C9">
            <w:r w:rsidRPr="005F3793">
              <w:t>D</w:t>
            </w:r>
            <w:r w:rsidRPr="000D7E9B">
              <w:t>uch</w:t>
            </w:r>
            <w:r w:rsidRPr="005F3793">
              <w:t>e</w:t>
            </w:r>
            <w:r w:rsidRPr="000D7E9B">
              <w:t xml:space="preserve">nne </w:t>
            </w:r>
            <w:r w:rsidR="00716507" w:rsidRPr="000D7E9B">
              <w:t xml:space="preserve">muscular </w:t>
            </w:r>
            <w:r w:rsidR="00716507" w:rsidRPr="00E022C9">
              <w:t xml:space="preserve">dystrophy </w:t>
            </w:r>
            <w:r>
              <w:t>l</w:t>
            </w:r>
            <w:r w:rsidR="00716507" w:rsidRPr="00E022C9">
              <w:t xml:space="preserve">ong-term </w:t>
            </w:r>
            <w:r w:rsidRPr="00E022C9">
              <w:t>ideben</w:t>
            </w:r>
            <w:r>
              <w:t>o</w:t>
            </w:r>
            <w:r w:rsidRPr="00E022C9">
              <w:t xml:space="preserve">ne </w:t>
            </w:r>
            <w:r>
              <w:t>s</w:t>
            </w:r>
            <w:r w:rsidR="00716507" w:rsidRPr="00E022C9">
              <w:t>tudy</w:t>
            </w:r>
          </w:p>
        </w:tc>
      </w:tr>
      <w:tr w:rsidR="00716507" w:rsidRPr="000D7E9B" w14:paraId="2D500D65" w14:textId="77777777" w:rsidTr="00716507">
        <w:tc>
          <w:tcPr>
            <w:tcW w:w="1950" w:type="dxa"/>
          </w:tcPr>
          <w:p w14:paraId="47DCC183" w14:textId="77777777" w:rsidR="00716507" w:rsidRPr="000D7E9B" w:rsidRDefault="00716507" w:rsidP="00716507">
            <w:r w:rsidRPr="000D7E9B">
              <w:t>DMD</w:t>
            </w:r>
          </w:p>
        </w:tc>
        <w:tc>
          <w:tcPr>
            <w:tcW w:w="6911" w:type="dxa"/>
          </w:tcPr>
          <w:p w14:paraId="7AF893EE" w14:textId="77777777" w:rsidR="00716507" w:rsidRPr="000D7E9B" w:rsidRDefault="00716507" w:rsidP="00716507">
            <w:r w:rsidRPr="000D7E9B">
              <w:t xml:space="preserve">Duchenne </w:t>
            </w:r>
            <w:r w:rsidR="0002337A" w:rsidRPr="000D7E9B">
              <w:t>muscular</w:t>
            </w:r>
            <w:r w:rsidR="0002337A" w:rsidRPr="00FC5FDE">
              <w:t xml:space="preserve"> </w:t>
            </w:r>
            <w:r w:rsidR="0002337A" w:rsidRPr="000D7E9B">
              <w:t>dystrophy</w:t>
            </w:r>
          </w:p>
        </w:tc>
      </w:tr>
      <w:tr w:rsidR="00716507" w:rsidRPr="000D7E9B" w14:paraId="6E375C4B" w14:textId="77777777" w:rsidTr="00716507">
        <w:tc>
          <w:tcPr>
            <w:tcW w:w="1950" w:type="dxa"/>
          </w:tcPr>
          <w:p w14:paraId="731E9FF3" w14:textId="77777777" w:rsidR="00716507" w:rsidRPr="000D7E9B" w:rsidRDefault="00716507" w:rsidP="00716507">
            <w:r w:rsidRPr="000D7E9B">
              <w:t>DNA</w:t>
            </w:r>
          </w:p>
        </w:tc>
        <w:tc>
          <w:tcPr>
            <w:tcW w:w="6911" w:type="dxa"/>
          </w:tcPr>
          <w:p w14:paraId="78EB1952" w14:textId="77777777" w:rsidR="00716507" w:rsidRPr="000D7E9B" w:rsidRDefault="00716507" w:rsidP="00716507">
            <w:r w:rsidRPr="000D7E9B">
              <w:t>Deoxyribonucleic</w:t>
            </w:r>
            <w:r w:rsidRPr="00FC5FDE">
              <w:t xml:space="preserve"> </w:t>
            </w:r>
            <w:r w:rsidRPr="000D7E9B">
              <w:t>acid</w:t>
            </w:r>
          </w:p>
        </w:tc>
      </w:tr>
      <w:tr w:rsidR="00716507" w:rsidRPr="000D7E9B" w14:paraId="6A608905" w14:textId="77777777" w:rsidTr="00716507">
        <w:tc>
          <w:tcPr>
            <w:tcW w:w="1950" w:type="dxa"/>
          </w:tcPr>
          <w:p w14:paraId="5CDC8CAD" w14:textId="77777777" w:rsidR="00716507" w:rsidRPr="000D7E9B" w:rsidRDefault="00716507" w:rsidP="00716507">
            <w:r w:rsidRPr="000D7E9B">
              <w:t>DNHS</w:t>
            </w:r>
          </w:p>
        </w:tc>
        <w:tc>
          <w:tcPr>
            <w:tcW w:w="6911" w:type="dxa"/>
          </w:tcPr>
          <w:p w14:paraId="140DA430" w14:textId="18623B5A" w:rsidR="00716507" w:rsidRPr="000D7E9B" w:rsidRDefault="00716507" w:rsidP="00716507">
            <w:r w:rsidRPr="000D7E9B">
              <w:t xml:space="preserve">Duchenne </w:t>
            </w:r>
            <w:r w:rsidR="00E022C9" w:rsidRPr="000D7E9B">
              <w:t>natural history</w:t>
            </w:r>
            <w:r w:rsidR="00E022C9" w:rsidRPr="00FC5FDE">
              <w:t xml:space="preserve"> </w:t>
            </w:r>
            <w:r w:rsidR="00E022C9" w:rsidRPr="000D7E9B">
              <w:t>study</w:t>
            </w:r>
          </w:p>
        </w:tc>
      </w:tr>
      <w:tr w:rsidR="000D51AD" w:rsidRPr="000D7E9B" w14:paraId="2E7BC3C4" w14:textId="77777777" w:rsidTr="00716507">
        <w:tc>
          <w:tcPr>
            <w:tcW w:w="1950" w:type="dxa"/>
          </w:tcPr>
          <w:p w14:paraId="14757EE1" w14:textId="77777777" w:rsidR="000D51AD" w:rsidRPr="000D7E9B" w:rsidRDefault="000D51AD" w:rsidP="00716507">
            <w:r w:rsidRPr="001C48C5">
              <w:t>DRESS</w:t>
            </w:r>
          </w:p>
        </w:tc>
        <w:tc>
          <w:tcPr>
            <w:tcW w:w="6911" w:type="dxa"/>
          </w:tcPr>
          <w:p w14:paraId="7A912D17" w14:textId="6274DF96" w:rsidR="000D51AD" w:rsidRPr="000D7E9B" w:rsidRDefault="00E022C9" w:rsidP="000D51AD">
            <w:r>
              <w:t>D</w:t>
            </w:r>
            <w:r w:rsidR="000D51AD" w:rsidRPr="001C48C5">
              <w:t>rug reaction with eosinophilia and s</w:t>
            </w:r>
            <w:r w:rsidR="000D51AD">
              <w:t>ystemic symptoms</w:t>
            </w:r>
          </w:p>
        </w:tc>
      </w:tr>
      <w:tr w:rsidR="00716507" w:rsidRPr="000D7E9B" w14:paraId="07C2C233" w14:textId="77777777" w:rsidTr="00716507">
        <w:tc>
          <w:tcPr>
            <w:tcW w:w="1950" w:type="dxa"/>
          </w:tcPr>
          <w:p w14:paraId="5D120C25" w14:textId="77777777" w:rsidR="00716507" w:rsidRPr="000D7E9B" w:rsidRDefault="00716507" w:rsidP="00716507">
            <w:r w:rsidRPr="000D7E9B">
              <w:t>EAP</w:t>
            </w:r>
          </w:p>
        </w:tc>
        <w:tc>
          <w:tcPr>
            <w:tcW w:w="6911" w:type="dxa"/>
          </w:tcPr>
          <w:p w14:paraId="1868CE65" w14:textId="5D3FD04D" w:rsidR="00716507" w:rsidRPr="000D7E9B" w:rsidRDefault="00716507" w:rsidP="00716507">
            <w:r>
              <w:t>Early</w:t>
            </w:r>
            <w:r w:rsidR="00E022C9">
              <w:t xml:space="preserve"> / e</w:t>
            </w:r>
            <w:r w:rsidRPr="000D7E9B">
              <w:t xml:space="preserve">xpanded </w:t>
            </w:r>
            <w:r w:rsidR="00E022C9">
              <w:t>a</w:t>
            </w:r>
            <w:r w:rsidRPr="000D7E9B">
              <w:t>ccess</w:t>
            </w:r>
            <w:r w:rsidRPr="00FC5FDE">
              <w:t xml:space="preserve"> </w:t>
            </w:r>
            <w:r w:rsidR="00E022C9">
              <w:t>p</w:t>
            </w:r>
            <w:r w:rsidRPr="000D7E9B">
              <w:t>rogram</w:t>
            </w:r>
          </w:p>
        </w:tc>
      </w:tr>
      <w:tr w:rsidR="00716507" w:rsidRPr="000D7E9B" w14:paraId="48914C0E" w14:textId="77777777" w:rsidTr="00716507">
        <w:tc>
          <w:tcPr>
            <w:tcW w:w="1950" w:type="dxa"/>
          </w:tcPr>
          <w:p w14:paraId="55A0D945" w14:textId="77777777" w:rsidR="00716507" w:rsidRPr="000D7E9B" w:rsidRDefault="00716507" w:rsidP="00716507">
            <w:r w:rsidRPr="000D7E9B">
              <w:t>ECG</w:t>
            </w:r>
          </w:p>
        </w:tc>
        <w:tc>
          <w:tcPr>
            <w:tcW w:w="6911" w:type="dxa"/>
          </w:tcPr>
          <w:p w14:paraId="16BC157E" w14:textId="77777777" w:rsidR="00716507" w:rsidRPr="000D7E9B" w:rsidRDefault="00716507" w:rsidP="00716507">
            <w:r w:rsidRPr="000D7E9B">
              <w:t>Electrocardiogram</w:t>
            </w:r>
          </w:p>
        </w:tc>
      </w:tr>
      <w:tr w:rsidR="00716507" w:rsidRPr="000D7E9B" w14:paraId="29E475DB" w14:textId="77777777" w:rsidTr="00716507">
        <w:tc>
          <w:tcPr>
            <w:tcW w:w="1950" w:type="dxa"/>
          </w:tcPr>
          <w:p w14:paraId="091F814B" w14:textId="77777777" w:rsidR="00716507" w:rsidRPr="000D7E9B" w:rsidRDefault="00716507" w:rsidP="00716507">
            <w:r w:rsidRPr="000D7E9B">
              <w:t>EMA</w:t>
            </w:r>
          </w:p>
        </w:tc>
        <w:tc>
          <w:tcPr>
            <w:tcW w:w="6911" w:type="dxa"/>
          </w:tcPr>
          <w:p w14:paraId="18AFC34F" w14:textId="03B07700" w:rsidR="00716507" w:rsidRPr="000D7E9B" w:rsidRDefault="00716507" w:rsidP="00716507">
            <w:r w:rsidRPr="000D7E9B">
              <w:t>European Medicines</w:t>
            </w:r>
            <w:r w:rsidRPr="00FC5FDE">
              <w:t xml:space="preserve"> </w:t>
            </w:r>
            <w:r w:rsidRPr="000D7E9B">
              <w:t>Agency</w:t>
            </w:r>
            <w:r w:rsidR="00E022C9">
              <w:t xml:space="preserve"> (EU)</w:t>
            </w:r>
          </w:p>
        </w:tc>
      </w:tr>
      <w:tr w:rsidR="00716507" w:rsidRPr="000D7E9B" w14:paraId="55EBC171" w14:textId="77777777" w:rsidTr="00716507">
        <w:tc>
          <w:tcPr>
            <w:tcW w:w="1950" w:type="dxa"/>
          </w:tcPr>
          <w:p w14:paraId="3C8A2953" w14:textId="77777777" w:rsidR="00716507" w:rsidRPr="000D7E9B" w:rsidRDefault="00716507" w:rsidP="00716507">
            <w:r w:rsidRPr="000D7E9B">
              <w:t>EU</w:t>
            </w:r>
          </w:p>
        </w:tc>
        <w:tc>
          <w:tcPr>
            <w:tcW w:w="6911" w:type="dxa"/>
          </w:tcPr>
          <w:p w14:paraId="1B603C08" w14:textId="77777777" w:rsidR="00716507" w:rsidRPr="000D7E9B" w:rsidRDefault="00716507" w:rsidP="00716507">
            <w:r w:rsidRPr="000D7E9B">
              <w:t>European</w:t>
            </w:r>
            <w:r w:rsidRPr="00FC5FDE">
              <w:t xml:space="preserve"> </w:t>
            </w:r>
            <w:r w:rsidRPr="000D7E9B">
              <w:t>Union</w:t>
            </w:r>
          </w:p>
        </w:tc>
      </w:tr>
      <w:tr w:rsidR="00716507" w:rsidRPr="000D7E9B" w14:paraId="5CD54045" w14:textId="77777777" w:rsidTr="00716507">
        <w:tc>
          <w:tcPr>
            <w:tcW w:w="1950" w:type="dxa"/>
          </w:tcPr>
          <w:p w14:paraId="5068F147" w14:textId="77777777" w:rsidR="00716507" w:rsidRPr="00FC5FDE" w:rsidRDefault="00716507" w:rsidP="00716507">
            <w:r w:rsidRPr="000D7E9B">
              <w:t>FEV</w:t>
            </w:r>
            <w:r w:rsidRPr="00FC5FDE">
              <w:t>1</w:t>
            </w:r>
          </w:p>
        </w:tc>
        <w:tc>
          <w:tcPr>
            <w:tcW w:w="6911" w:type="dxa"/>
          </w:tcPr>
          <w:p w14:paraId="64FD19D7" w14:textId="77777777" w:rsidR="00716507" w:rsidRPr="000D7E9B" w:rsidRDefault="00716507" w:rsidP="00716507">
            <w:r w:rsidRPr="000D7E9B">
              <w:t>Forced expiratory volume in one</w:t>
            </w:r>
            <w:r w:rsidRPr="00FC5FDE">
              <w:t xml:space="preserve"> </w:t>
            </w:r>
            <w:r w:rsidRPr="000D7E9B">
              <w:t>second</w:t>
            </w:r>
          </w:p>
        </w:tc>
      </w:tr>
      <w:tr w:rsidR="00716507" w:rsidRPr="000D7E9B" w14:paraId="78FBF2EF" w14:textId="77777777" w:rsidTr="00716507">
        <w:tc>
          <w:tcPr>
            <w:tcW w:w="1950" w:type="dxa"/>
          </w:tcPr>
          <w:p w14:paraId="7C0F77DF" w14:textId="77777777" w:rsidR="00716507" w:rsidRPr="000D7E9B" w:rsidRDefault="00716507" w:rsidP="00716507">
            <w:r w:rsidRPr="000D7E9B">
              <w:lastRenderedPageBreak/>
              <w:t>FEV</w:t>
            </w:r>
            <w:r w:rsidRPr="00FC5FDE">
              <w:t>1</w:t>
            </w:r>
            <w:r w:rsidRPr="000D7E9B">
              <w:t>%p</w:t>
            </w:r>
          </w:p>
        </w:tc>
        <w:tc>
          <w:tcPr>
            <w:tcW w:w="6911" w:type="dxa"/>
          </w:tcPr>
          <w:p w14:paraId="787699EC" w14:textId="77777777" w:rsidR="00716507" w:rsidRPr="000D7E9B" w:rsidRDefault="00716507" w:rsidP="00716507">
            <w:r w:rsidRPr="000D7E9B">
              <w:t>Percent predicted forced expiratory volume in</w:t>
            </w:r>
            <w:r w:rsidRPr="00FC5FDE">
              <w:t xml:space="preserve"> </w:t>
            </w:r>
            <w:r w:rsidRPr="000D7E9B">
              <w:t>one</w:t>
            </w:r>
            <w:r w:rsidRPr="00FC5FDE">
              <w:t xml:space="preserve"> </w:t>
            </w:r>
            <w:r w:rsidRPr="000D7E9B">
              <w:t>second</w:t>
            </w:r>
          </w:p>
        </w:tc>
      </w:tr>
      <w:tr w:rsidR="00716507" w:rsidRPr="000D7E9B" w14:paraId="72FDC41F" w14:textId="77777777" w:rsidTr="00716507">
        <w:tc>
          <w:tcPr>
            <w:tcW w:w="1950" w:type="dxa"/>
          </w:tcPr>
          <w:p w14:paraId="74A3B2EE" w14:textId="77777777" w:rsidR="00716507" w:rsidRPr="000D7E9B" w:rsidRDefault="00716507" w:rsidP="00716507">
            <w:r w:rsidRPr="00FC5FDE">
              <w:t>FRDA</w:t>
            </w:r>
          </w:p>
        </w:tc>
        <w:tc>
          <w:tcPr>
            <w:tcW w:w="6911" w:type="dxa"/>
          </w:tcPr>
          <w:p w14:paraId="47145B42" w14:textId="77777777" w:rsidR="00716507" w:rsidRPr="000D7E9B" w:rsidRDefault="00716507" w:rsidP="00716507">
            <w:r w:rsidRPr="00FC5FDE">
              <w:t>Friedreich’s ataxia</w:t>
            </w:r>
          </w:p>
        </w:tc>
      </w:tr>
      <w:tr w:rsidR="00716507" w:rsidRPr="000D7E9B" w14:paraId="7AD9EBE6" w14:textId="77777777" w:rsidTr="00716507">
        <w:tc>
          <w:tcPr>
            <w:tcW w:w="1950" w:type="dxa"/>
          </w:tcPr>
          <w:p w14:paraId="0C59CE9A" w14:textId="77777777" w:rsidR="00716507" w:rsidRPr="000D7E9B" w:rsidRDefault="00716507" w:rsidP="00716507">
            <w:r w:rsidRPr="000D7E9B">
              <w:t>FVC</w:t>
            </w:r>
          </w:p>
        </w:tc>
        <w:tc>
          <w:tcPr>
            <w:tcW w:w="6911" w:type="dxa"/>
          </w:tcPr>
          <w:p w14:paraId="6C57AECD" w14:textId="5AC2CF28" w:rsidR="00716507" w:rsidRPr="000D7E9B" w:rsidRDefault="00716507" w:rsidP="00E022C9">
            <w:r w:rsidRPr="000D7E9B">
              <w:t xml:space="preserve">Forced </w:t>
            </w:r>
            <w:r w:rsidR="00E022C9">
              <w:t>v</w:t>
            </w:r>
            <w:r w:rsidR="00E022C9" w:rsidRPr="000D7E9B">
              <w:t>ital</w:t>
            </w:r>
            <w:r w:rsidR="00E022C9" w:rsidRPr="00FC5FDE">
              <w:t xml:space="preserve"> </w:t>
            </w:r>
            <w:r w:rsidR="00E022C9">
              <w:t>c</w:t>
            </w:r>
            <w:r w:rsidRPr="000D7E9B">
              <w:t>apacity</w:t>
            </w:r>
          </w:p>
        </w:tc>
      </w:tr>
      <w:tr w:rsidR="00716507" w:rsidRPr="000D7E9B" w14:paraId="36052921" w14:textId="77777777" w:rsidTr="00716507">
        <w:tc>
          <w:tcPr>
            <w:tcW w:w="1950" w:type="dxa"/>
          </w:tcPr>
          <w:p w14:paraId="153BD975" w14:textId="77777777" w:rsidR="00716507" w:rsidRPr="000D7E9B" w:rsidRDefault="00716507" w:rsidP="00716507">
            <w:r w:rsidRPr="000D7E9B">
              <w:t>FVC%p</w:t>
            </w:r>
          </w:p>
        </w:tc>
        <w:tc>
          <w:tcPr>
            <w:tcW w:w="6911" w:type="dxa"/>
          </w:tcPr>
          <w:p w14:paraId="34121D92" w14:textId="77777777" w:rsidR="00716507" w:rsidRPr="000D7E9B" w:rsidRDefault="00716507" w:rsidP="00716507">
            <w:r w:rsidRPr="000D7E9B">
              <w:t>Percent predicted forced vital</w:t>
            </w:r>
            <w:r w:rsidRPr="00FC5FDE">
              <w:t xml:space="preserve"> </w:t>
            </w:r>
            <w:r w:rsidRPr="000D7E9B">
              <w:t>capacity</w:t>
            </w:r>
          </w:p>
        </w:tc>
      </w:tr>
      <w:tr w:rsidR="00716507" w:rsidRPr="000D7E9B" w14:paraId="66567E9B" w14:textId="77777777" w:rsidTr="00716507">
        <w:tc>
          <w:tcPr>
            <w:tcW w:w="1950" w:type="dxa"/>
          </w:tcPr>
          <w:p w14:paraId="7F07AE93" w14:textId="77777777" w:rsidR="00716507" w:rsidRPr="000D7E9B" w:rsidRDefault="00716507" w:rsidP="00716507">
            <w:r w:rsidRPr="000D7E9B">
              <w:t>g</w:t>
            </w:r>
          </w:p>
        </w:tc>
        <w:tc>
          <w:tcPr>
            <w:tcW w:w="6911" w:type="dxa"/>
          </w:tcPr>
          <w:p w14:paraId="64C14A91" w14:textId="5E88435A" w:rsidR="00716507" w:rsidRPr="000D7E9B" w:rsidRDefault="00716507" w:rsidP="00716507">
            <w:r w:rsidRPr="000D7E9B">
              <w:t>Gram</w:t>
            </w:r>
            <w:r w:rsidR="00E022C9">
              <w:t>(s)</w:t>
            </w:r>
          </w:p>
        </w:tc>
      </w:tr>
      <w:tr w:rsidR="00716507" w:rsidRPr="000D7E9B" w14:paraId="25728214" w14:textId="77777777" w:rsidTr="00716507">
        <w:tc>
          <w:tcPr>
            <w:tcW w:w="1950" w:type="dxa"/>
          </w:tcPr>
          <w:p w14:paraId="1F43E9A9" w14:textId="77777777" w:rsidR="00716507" w:rsidRPr="000D7E9B" w:rsidRDefault="00716507" w:rsidP="00716507">
            <w:r w:rsidRPr="000D7E9B">
              <w:t>GC</w:t>
            </w:r>
            <w:r>
              <w:t>(s)</w:t>
            </w:r>
          </w:p>
        </w:tc>
        <w:tc>
          <w:tcPr>
            <w:tcW w:w="6911" w:type="dxa"/>
          </w:tcPr>
          <w:p w14:paraId="0B67BAB6" w14:textId="77777777" w:rsidR="00716507" w:rsidRPr="000D7E9B" w:rsidRDefault="00716507" w:rsidP="00716507">
            <w:r w:rsidRPr="000D7E9B">
              <w:t>Glucocorticoid</w:t>
            </w:r>
            <w:r>
              <w:t>(</w:t>
            </w:r>
            <w:r w:rsidRPr="000D7E9B">
              <w:t>s</w:t>
            </w:r>
            <w:r>
              <w:t>)</w:t>
            </w:r>
          </w:p>
        </w:tc>
      </w:tr>
      <w:tr w:rsidR="00716507" w:rsidRPr="000D7E9B" w14:paraId="19E4EBD2" w14:textId="77777777" w:rsidTr="00716507">
        <w:tc>
          <w:tcPr>
            <w:tcW w:w="1950" w:type="dxa"/>
          </w:tcPr>
          <w:p w14:paraId="34F50851" w14:textId="77777777" w:rsidR="00716507" w:rsidRPr="000D7E9B" w:rsidRDefault="00716507" w:rsidP="00716507">
            <w:r w:rsidRPr="000D7E9B">
              <w:t>GCP</w:t>
            </w:r>
          </w:p>
        </w:tc>
        <w:tc>
          <w:tcPr>
            <w:tcW w:w="6911" w:type="dxa"/>
          </w:tcPr>
          <w:p w14:paraId="374CD71B" w14:textId="77777777" w:rsidR="00716507" w:rsidRPr="000D7E9B" w:rsidRDefault="00716507" w:rsidP="00716507">
            <w:r w:rsidRPr="000D7E9B">
              <w:t>Good Clinical</w:t>
            </w:r>
            <w:r w:rsidRPr="00FC5FDE">
              <w:t xml:space="preserve"> </w:t>
            </w:r>
            <w:r w:rsidRPr="000D7E9B">
              <w:t>Practice</w:t>
            </w:r>
          </w:p>
        </w:tc>
      </w:tr>
      <w:tr w:rsidR="000D51AD" w:rsidRPr="000D7E9B" w14:paraId="7C1AD68B" w14:textId="77777777" w:rsidTr="00716507">
        <w:tc>
          <w:tcPr>
            <w:tcW w:w="1950" w:type="dxa"/>
          </w:tcPr>
          <w:p w14:paraId="7E3795ED" w14:textId="77777777" w:rsidR="000D51AD" w:rsidRDefault="000D51AD" w:rsidP="000D51AD">
            <w:r w:rsidRPr="00415E86">
              <w:t>GGT</w:t>
            </w:r>
          </w:p>
        </w:tc>
        <w:tc>
          <w:tcPr>
            <w:tcW w:w="6911" w:type="dxa"/>
          </w:tcPr>
          <w:p w14:paraId="357F9F9B" w14:textId="1DD38C51" w:rsidR="000D51AD" w:rsidRDefault="000D51AD" w:rsidP="000D51AD">
            <w:r w:rsidRPr="000D51AD">
              <w:t>Gamma glutamyl</w:t>
            </w:r>
            <w:r w:rsidR="00FD1573">
              <w:t xml:space="preserve"> </w:t>
            </w:r>
            <w:r w:rsidRPr="000D51AD">
              <w:t>transferase</w:t>
            </w:r>
          </w:p>
        </w:tc>
      </w:tr>
      <w:tr w:rsidR="0029326D" w:rsidRPr="000D7E9B" w14:paraId="3CBE5D76" w14:textId="77777777" w:rsidTr="00716507">
        <w:tc>
          <w:tcPr>
            <w:tcW w:w="1950" w:type="dxa"/>
          </w:tcPr>
          <w:p w14:paraId="2CA59F83" w14:textId="77777777" w:rsidR="0029326D" w:rsidRPr="000D7E9B" w:rsidRDefault="0029326D" w:rsidP="00716507">
            <w:r w:rsidRPr="000B01B8">
              <w:rPr>
                <w:kern w:val="2"/>
              </w:rPr>
              <w:t>GLP</w:t>
            </w:r>
          </w:p>
        </w:tc>
        <w:tc>
          <w:tcPr>
            <w:tcW w:w="6911" w:type="dxa"/>
          </w:tcPr>
          <w:p w14:paraId="68E538BB" w14:textId="77777777" w:rsidR="0029326D" w:rsidRPr="000D7E9B" w:rsidRDefault="0029326D" w:rsidP="00716507">
            <w:r>
              <w:t>Good Laboratory Practice</w:t>
            </w:r>
          </w:p>
        </w:tc>
      </w:tr>
      <w:tr w:rsidR="0053065A" w:rsidRPr="000D7E9B" w14:paraId="5C9A9875" w14:textId="77777777" w:rsidTr="00716507">
        <w:tc>
          <w:tcPr>
            <w:tcW w:w="1950" w:type="dxa"/>
          </w:tcPr>
          <w:p w14:paraId="6E14578C" w14:textId="77777777" w:rsidR="0053065A" w:rsidRPr="000B01B8" w:rsidRDefault="0053065A" w:rsidP="00716507">
            <w:pPr>
              <w:rPr>
                <w:kern w:val="2"/>
              </w:rPr>
            </w:pPr>
            <w:r>
              <w:t>HD</w:t>
            </w:r>
          </w:p>
        </w:tc>
        <w:tc>
          <w:tcPr>
            <w:tcW w:w="6911" w:type="dxa"/>
          </w:tcPr>
          <w:p w14:paraId="1D6F9457" w14:textId="77777777" w:rsidR="0053065A" w:rsidRDefault="0053065A" w:rsidP="00716507">
            <w:r>
              <w:t>High dose</w:t>
            </w:r>
          </w:p>
        </w:tc>
      </w:tr>
      <w:tr w:rsidR="0029326D" w:rsidRPr="0029326D" w14:paraId="3F5AE846" w14:textId="77777777" w:rsidTr="00716507">
        <w:tc>
          <w:tcPr>
            <w:tcW w:w="1950" w:type="dxa"/>
          </w:tcPr>
          <w:p w14:paraId="31D7ABF4" w14:textId="77777777" w:rsidR="0029326D" w:rsidRPr="000B01B8" w:rsidRDefault="0029326D" w:rsidP="00716507">
            <w:pPr>
              <w:rPr>
                <w:kern w:val="2"/>
              </w:rPr>
            </w:pPr>
            <w:r w:rsidRPr="002A6F61">
              <w:t>hERG-1</w:t>
            </w:r>
          </w:p>
        </w:tc>
        <w:tc>
          <w:tcPr>
            <w:tcW w:w="6911" w:type="dxa"/>
          </w:tcPr>
          <w:p w14:paraId="39EC7540" w14:textId="77AD59C1" w:rsidR="0029326D" w:rsidRPr="0029326D" w:rsidRDefault="00E022C9" w:rsidP="0029326D">
            <w:pPr>
              <w:rPr>
                <w:bCs/>
              </w:rPr>
            </w:pPr>
            <w:r>
              <w:rPr>
                <w:bCs/>
              </w:rPr>
              <w:t>H</w:t>
            </w:r>
            <w:r w:rsidR="0029326D" w:rsidRPr="0029326D">
              <w:rPr>
                <w:bCs/>
              </w:rPr>
              <w:t>uman ether-a-go-go-related gene</w:t>
            </w:r>
            <w:r w:rsidR="0029326D">
              <w:rPr>
                <w:bCs/>
              </w:rPr>
              <w:t xml:space="preserve"> 1 (channel)</w:t>
            </w:r>
          </w:p>
        </w:tc>
      </w:tr>
      <w:tr w:rsidR="00716507" w:rsidRPr="00D1042D" w14:paraId="0CFDE37E" w14:textId="77777777" w:rsidTr="00716507">
        <w:tc>
          <w:tcPr>
            <w:tcW w:w="1950" w:type="dxa"/>
          </w:tcPr>
          <w:p w14:paraId="1D8D9EF9" w14:textId="77777777" w:rsidR="00716507" w:rsidRPr="00D1042D" w:rsidRDefault="00716507" w:rsidP="00716507">
            <w:r>
              <w:t>IBD</w:t>
            </w:r>
          </w:p>
        </w:tc>
        <w:tc>
          <w:tcPr>
            <w:tcW w:w="6911" w:type="dxa"/>
          </w:tcPr>
          <w:p w14:paraId="5D186C41" w14:textId="6CD019B4" w:rsidR="00716507" w:rsidRPr="00D1042D" w:rsidRDefault="00E022C9" w:rsidP="00716507">
            <w:r>
              <w:rPr>
                <w:bCs/>
              </w:rPr>
              <w:t>I</w:t>
            </w:r>
            <w:r w:rsidR="00716507" w:rsidRPr="00553A5A">
              <w:rPr>
                <w:bCs/>
              </w:rPr>
              <w:t>nternational birth date</w:t>
            </w:r>
          </w:p>
        </w:tc>
      </w:tr>
      <w:tr w:rsidR="00E022C9" w:rsidRPr="00D1042D" w14:paraId="47D648F8" w14:textId="77777777" w:rsidTr="00716507">
        <w:tc>
          <w:tcPr>
            <w:tcW w:w="1950" w:type="dxa"/>
          </w:tcPr>
          <w:p w14:paraId="4151B287" w14:textId="02BA3993" w:rsidR="00E022C9" w:rsidRDefault="00E022C9" w:rsidP="00716507">
            <w:r>
              <w:t>ICARS</w:t>
            </w:r>
          </w:p>
        </w:tc>
        <w:tc>
          <w:tcPr>
            <w:tcW w:w="6911" w:type="dxa"/>
          </w:tcPr>
          <w:p w14:paraId="763AC64C" w14:textId="15F6A94B" w:rsidR="00E022C9" w:rsidRDefault="00E022C9" w:rsidP="00716507">
            <w:pPr>
              <w:rPr>
                <w:bCs/>
              </w:rPr>
            </w:pPr>
            <w:r w:rsidRPr="00E022C9">
              <w:rPr>
                <w:bCs/>
              </w:rPr>
              <w:t>International Cooperative Ataxia Rating Scale</w:t>
            </w:r>
          </w:p>
        </w:tc>
      </w:tr>
      <w:tr w:rsidR="00716507" w:rsidRPr="00D1042D" w14:paraId="5EBC0842" w14:textId="77777777" w:rsidTr="00716507">
        <w:tc>
          <w:tcPr>
            <w:tcW w:w="1950" w:type="dxa"/>
          </w:tcPr>
          <w:p w14:paraId="030CFF24" w14:textId="77777777" w:rsidR="00716507" w:rsidRPr="00D1042D" w:rsidRDefault="00716507" w:rsidP="00716507">
            <w:r w:rsidRPr="00D1042D">
              <w:t>ICH</w:t>
            </w:r>
          </w:p>
        </w:tc>
        <w:tc>
          <w:tcPr>
            <w:tcW w:w="6911" w:type="dxa"/>
          </w:tcPr>
          <w:p w14:paraId="24A4BB8E" w14:textId="77777777" w:rsidR="00716507" w:rsidRPr="00D1042D" w:rsidRDefault="00716507" w:rsidP="00716507">
            <w:r w:rsidRPr="00D1042D">
              <w:t>International Conference on</w:t>
            </w:r>
            <w:r w:rsidRPr="008107E1">
              <w:t xml:space="preserve"> </w:t>
            </w:r>
            <w:r w:rsidRPr="00D1042D">
              <w:t>Harmon</w:t>
            </w:r>
            <w:r>
              <w:t>is</w:t>
            </w:r>
            <w:r w:rsidRPr="00D1042D">
              <w:t>ation</w:t>
            </w:r>
          </w:p>
        </w:tc>
      </w:tr>
      <w:tr w:rsidR="00716507" w:rsidRPr="00D1042D" w14:paraId="19788C24" w14:textId="77777777" w:rsidTr="00716507">
        <w:tc>
          <w:tcPr>
            <w:tcW w:w="1950" w:type="dxa"/>
          </w:tcPr>
          <w:p w14:paraId="6E95BC5E" w14:textId="324C7A8B" w:rsidR="00716507" w:rsidRPr="00D1042D" w:rsidRDefault="00716507" w:rsidP="00716507">
            <w:r w:rsidRPr="00D1042D">
              <w:t>IDE</w:t>
            </w:r>
          </w:p>
        </w:tc>
        <w:tc>
          <w:tcPr>
            <w:tcW w:w="6911" w:type="dxa"/>
          </w:tcPr>
          <w:p w14:paraId="01684DAD" w14:textId="4B035D60" w:rsidR="00716507" w:rsidRPr="00D1042D" w:rsidRDefault="00E022C9" w:rsidP="00716507">
            <w:r w:rsidRPr="00E022C9">
              <w:t>Idebenone</w:t>
            </w:r>
            <w:r>
              <w:t xml:space="preserve">; </w:t>
            </w:r>
            <w:r w:rsidR="00716507" w:rsidRPr="00D1042D">
              <w:t>2-(10-Hydroxydecyl)-5,6-dimethoxy-3-methyl-cyclohexa-</w:t>
            </w:r>
            <w:r w:rsidR="00716507" w:rsidRPr="008107E1">
              <w:t>2,5-diene-1,4-dione (International Nonproprietary Name)</w:t>
            </w:r>
          </w:p>
        </w:tc>
      </w:tr>
      <w:tr w:rsidR="00716507" w:rsidRPr="00D1042D" w14:paraId="0DFC2AB9" w14:textId="77777777" w:rsidTr="00716507">
        <w:tc>
          <w:tcPr>
            <w:tcW w:w="1950" w:type="dxa"/>
          </w:tcPr>
          <w:p w14:paraId="40A4ED96" w14:textId="77777777" w:rsidR="00716507" w:rsidRPr="00D1042D" w:rsidRDefault="00716507" w:rsidP="00716507">
            <w:r w:rsidRPr="00D1042D">
              <w:t>IONIA</w:t>
            </w:r>
          </w:p>
        </w:tc>
        <w:tc>
          <w:tcPr>
            <w:tcW w:w="6911" w:type="dxa"/>
          </w:tcPr>
          <w:p w14:paraId="123B74CA" w14:textId="2179F46C" w:rsidR="00716507" w:rsidRPr="00D1042D" w:rsidRDefault="00716507" w:rsidP="00716507">
            <w:r w:rsidRPr="00D1042D">
              <w:t xml:space="preserve">Idebenone effects On </w:t>
            </w:r>
            <w:r w:rsidR="00E022C9">
              <w:t>n</w:t>
            </w:r>
            <w:r w:rsidRPr="00D1042D">
              <w:t>eurological ICARS</w:t>
            </w:r>
            <w:r w:rsidRPr="008107E1">
              <w:t xml:space="preserve"> </w:t>
            </w:r>
            <w:r w:rsidR="00E022C9">
              <w:t>a</w:t>
            </w:r>
            <w:r w:rsidRPr="00D1042D">
              <w:t>ssessments</w:t>
            </w:r>
          </w:p>
        </w:tc>
      </w:tr>
      <w:tr w:rsidR="00716507" w:rsidRPr="00D1042D" w14:paraId="0E1FA16A" w14:textId="77777777" w:rsidTr="00716507">
        <w:tc>
          <w:tcPr>
            <w:tcW w:w="1950" w:type="dxa"/>
          </w:tcPr>
          <w:p w14:paraId="1DFFBDAC" w14:textId="77777777" w:rsidR="00716507" w:rsidRPr="00D1042D" w:rsidRDefault="00716507" w:rsidP="00716507">
            <w:r w:rsidRPr="00D1042D">
              <w:t>ITT</w:t>
            </w:r>
          </w:p>
        </w:tc>
        <w:tc>
          <w:tcPr>
            <w:tcW w:w="6911" w:type="dxa"/>
          </w:tcPr>
          <w:p w14:paraId="771C2761" w14:textId="77777777" w:rsidR="00716507" w:rsidRPr="00D1042D" w:rsidRDefault="00716507" w:rsidP="00716507">
            <w:r w:rsidRPr="00D1042D">
              <w:t>Intent-to-Treat</w:t>
            </w:r>
          </w:p>
        </w:tc>
      </w:tr>
      <w:tr w:rsidR="0029326D" w:rsidRPr="00D1042D" w14:paraId="0F75E033" w14:textId="77777777" w:rsidTr="00716507">
        <w:tc>
          <w:tcPr>
            <w:tcW w:w="1950" w:type="dxa"/>
          </w:tcPr>
          <w:p w14:paraId="6E8005A5" w14:textId="77777777" w:rsidR="0029326D" w:rsidRPr="00D1042D" w:rsidRDefault="0029326D" w:rsidP="00716507">
            <w:r>
              <w:t>IV</w:t>
            </w:r>
          </w:p>
        </w:tc>
        <w:tc>
          <w:tcPr>
            <w:tcW w:w="6911" w:type="dxa"/>
          </w:tcPr>
          <w:p w14:paraId="4065763D" w14:textId="306AF269" w:rsidR="0029326D" w:rsidRPr="00D1042D" w:rsidRDefault="00E022C9" w:rsidP="00716507">
            <w:r>
              <w:t>I</w:t>
            </w:r>
            <w:r w:rsidR="0029326D">
              <w:t>ntravenous</w:t>
            </w:r>
          </w:p>
        </w:tc>
      </w:tr>
      <w:tr w:rsidR="00716507" w:rsidRPr="008107E1" w14:paraId="440C12F5" w14:textId="77777777" w:rsidTr="00716507">
        <w:tc>
          <w:tcPr>
            <w:tcW w:w="1950" w:type="dxa"/>
          </w:tcPr>
          <w:p w14:paraId="3826B66E" w14:textId="77777777" w:rsidR="00716507" w:rsidRPr="008107E1" w:rsidRDefault="00716507" w:rsidP="00716507">
            <w:r>
              <w:t>L</w:t>
            </w:r>
          </w:p>
        </w:tc>
        <w:tc>
          <w:tcPr>
            <w:tcW w:w="6911" w:type="dxa"/>
          </w:tcPr>
          <w:p w14:paraId="403172C0" w14:textId="722F3D43" w:rsidR="00716507" w:rsidRPr="008107E1" w:rsidRDefault="00716507" w:rsidP="00716507">
            <w:r>
              <w:t>Lit</w:t>
            </w:r>
            <w:r w:rsidRPr="008107E1">
              <w:t>r</w:t>
            </w:r>
            <w:r>
              <w:t>e</w:t>
            </w:r>
            <w:r w:rsidR="00E022C9">
              <w:t>(s)</w:t>
            </w:r>
          </w:p>
        </w:tc>
      </w:tr>
      <w:tr w:rsidR="00716507" w:rsidRPr="00D1042D" w14:paraId="299F8CE6" w14:textId="77777777" w:rsidTr="00716507">
        <w:tc>
          <w:tcPr>
            <w:tcW w:w="1950" w:type="dxa"/>
          </w:tcPr>
          <w:p w14:paraId="1E40075D" w14:textId="77777777" w:rsidR="00716507" w:rsidRPr="00D1042D" w:rsidRDefault="00716507" w:rsidP="00716507">
            <w:r w:rsidRPr="00D1042D">
              <w:t>LHON</w:t>
            </w:r>
          </w:p>
        </w:tc>
        <w:tc>
          <w:tcPr>
            <w:tcW w:w="6911" w:type="dxa"/>
          </w:tcPr>
          <w:p w14:paraId="196743C5" w14:textId="235B91A5" w:rsidR="00716507" w:rsidRPr="00D1042D" w:rsidRDefault="00716507" w:rsidP="00716507">
            <w:r w:rsidRPr="00D1042D">
              <w:t xml:space="preserve">Leber’s </w:t>
            </w:r>
            <w:r w:rsidR="00E022C9">
              <w:t>h</w:t>
            </w:r>
            <w:r w:rsidRPr="00D1042D">
              <w:t xml:space="preserve">ereditary </w:t>
            </w:r>
            <w:r w:rsidR="00E022C9">
              <w:t>o</w:t>
            </w:r>
            <w:r w:rsidRPr="00D1042D">
              <w:t>ptic</w:t>
            </w:r>
            <w:r w:rsidRPr="008107E1">
              <w:t xml:space="preserve"> </w:t>
            </w:r>
            <w:r w:rsidR="00E022C9">
              <w:t>n</w:t>
            </w:r>
            <w:r w:rsidRPr="00D1042D">
              <w:t>europathy</w:t>
            </w:r>
          </w:p>
        </w:tc>
      </w:tr>
      <w:tr w:rsidR="00716507" w:rsidRPr="00D1042D" w14:paraId="015F7B4E" w14:textId="77777777" w:rsidTr="00716507">
        <w:tc>
          <w:tcPr>
            <w:tcW w:w="1950" w:type="dxa"/>
          </w:tcPr>
          <w:p w14:paraId="68ED0D19" w14:textId="77777777" w:rsidR="00716507" w:rsidRPr="00D1042D" w:rsidRDefault="00716507" w:rsidP="00716507">
            <w:r>
              <w:t>LOCF</w:t>
            </w:r>
          </w:p>
        </w:tc>
        <w:tc>
          <w:tcPr>
            <w:tcW w:w="6911" w:type="dxa"/>
          </w:tcPr>
          <w:p w14:paraId="691C651A" w14:textId="77777777" w:rsidR="00716507" w:rsidRPr="00D1042D" w:rsidRDefault="00716507" w:rsidP="00716507">
            <w:r w:rsidRPr="000E53B0">
              <w:t>Last observation carried forward</w:t>
            </w:r>
          </w:p>
        </w:tc>
      </w:tr>
      <w:tr w:rsidR="00716507" w:rsidRPr="00D1042D" w14:paraId="49C08E4C" w14:textId="77777777" w:rsidTr="00716507">
        <w:tc>
          <w:tcPr>
            <w:tcW w:w="1950" w:type="dxa"/>
          </w:tcPr>
          <w:p w14:paraId="4709FF2E" w14:textId="77777777" w:rsidR="00716507" w:rsidRPr="00D1042D" w:rsidRDefault="00716507" w:rsidP="00716507">
            <w:r w:rsidRPr="00D1042D">
              <w:t>MEP</w:t>
            </w:r>
          </w:p>
        </w:tc>
        <w:tc>
          <w:tcPr>
            <w:tcW w:w="6911" w:type="dxa"/>
          </w:tcPr>
          <w:p w14:paraId="658F691E" w14:textId="33670BA4" w:rsidR="00716507" w:rsidRPr="00D1042D" w:rsidRDefault="00716507" w:rsidP="00716507">
            <w:r w:rsidRPr="00D1042D">
              <w:t xml:space="preserve">Maximum </w:t>
            </w:r>
            <w:r w:rsidR="00E022C9">
              <w:t>e</w:t>
            </w:r>
            <w:r w:rsidRPr="00D1042D">
              <w:t>xpiratory</w:t>
            </w:r>
            <w:r w:rsidRPr="008107E1">
              <w:t xml:space="preserve"> </w:t>
            </w:r>
            <w:r w:rsidR="00E022C9">
              <w:t>p</w:t>
            </w:r>
            <w:r w:rsidRPr="00D1042D">
              <w:t>ressure</w:t>
            </w:r>
          </w:p>
        </w:tc>
      </w:tr>
      <w:tr w:rsidR="00716507" w:rsidRPr="00D1042D" w14:paraId="00D39542" w14:textId="77777777" w:rsidTr="00716507">
        <w:tc>
          <w:tcPr>
            <w:tcW w:w="1950" w:type="dxa"/>
          </w:tcPr>
          <w:p w14:paraId="7B1FD0BF" w14:textId="77777777" w:rsidR="00716507" w:rsidRPr="00D1042D" w:rsidRDefault="00716507" w:rsidP="00716507">
            <w:r w:rsidRPr="00D1042D">
              <w:t>mg</w:t>
            </w:r>
          </w:p>
        </w:tc>
        <w:tc>
          <w:tcPr>
            <w:tcW w:w="6911" w:type="dxa"/>
          </w:tcPr>
          <w:p w14:paraId="0E98391C" w14:textId="5FC25938" w:rsidR="00716507" w:rsidRPr="00D1042D" w:rsidRDefault="00E022C9" w:rsidP="00716507">
            <w:r>
              <w:t>M</w:t>
            </w:r>
            <w:r w:rsidR="00716507" w:rsidRPr="00D1042D">
              <w:t>illigram</w:t>
            </w:r>
            <w:r>
              <w:t>(s)</w:t>
            </w:r>
          </w:p>
        </w:tc>
      </w:tr>
      <w:tr w:rsidR="00716507" w:rsidRPr="00D1042D" w14:paraId="7C7C6DB4" w14:textId="77777777" w:rsidTr="00716507">
        <w:tc>
          <w:tcPr>
            <w:tcW w:w="1950" w:type="dxa"/>
          </w:tcPr>
          <w:p w14:paraId="5011AD4A" w14:textId="77777777" w:rsidR="00716507" w:rsidRPr="00D1042D" w:rsidRDefault="00716507" w:rsidP="00716507">
            <w:r w:rsidRPr="00D1042D">
              <w:t>MICONOS</w:t>
            </w:r>
          </w:p>
        </w:tc>
        <w:tc>
          <w:tcPr>
            <w:tcW w:w="6911" w:type="dxa"/>
          </w:tcPr>
          <w:p w14:paraId="5131BF15" w14:textId="7D5148C0" w:rsidR="00716507" w:rsidRPr="00E022C9" w:rsidRDefault="00716507" w:rsidP="00716507">
            <w:r w:rsidRPr="005F3793">
              <w:t>M</w:t>
            </w:r>
            <w:r w:rsidRPr="00E022C9">
              <w:t xml:space="preserve">itochondrial protection with </w:t>
            </w:r>
            <w:r w:rsidRPr="005F3793">
              <w:t>I</w:t>
            </w:r>
            <w:r w:rsidRPr="00E022C9">
              <w:t xml:space="preserve">debenone in </w:t>
            </w:r>
            <w:r w:rsidRPr="005F3793">
              <w:t>C</w:t>
            </w:r>
            <w:r w:rsidRPr="00E022C9">
              <w:t xml:space="preserve">ardiological and </w:t>
            </w:r>
            <w:r w:rsidRPr="005F3793">
              <w:t>N</w:t>
            </w:r>
            <w:r w:rsidRPr="00E022C9">
              <w:t xml:space="preserve">eurological </w:t>
            </w:r>
            <w:r w:rsidRPr="005F3793">
              <w:t>O</w:t>
            </w:r>
            <w:r w:rsidRPr="00E022C9">
              <w:t xml:space="preserve">utcome </w:t>
            </w:r>
            <w:r w:rsidR="00E022C9">
              <w:t>s</w:t>
            </w:r>
            <w:r w:rsidRPr="00E022C9">
              <w:t>tudy</w:t>
            </w:r>
          </w:p>
        </w:tc>
      </w:tr>
      <w:tr w:rsidR="00716507" w:rsidRPr="00D1042D" w14:paraId="2927E65C" w14:textId="77777777" w:rsidTr="00716507">
        <w:tc>
          <w:tcPr>
            <w:tcW w:w="1950" w:type="dxa"/>
          </w:tcPr>
          <w:p w14:paraId="4C8993DE" w14:textId="77777777" w:rsidR="00716507" w:rsidRPr="00D1042D" w:rsidRDefault="00716507" w:rsidP="00716507">
            <w:r w:rsidRPr="00D1042D">
              <w:lastRenderedPageBreak/>
              <w:t>MIP</w:t>
            </w:r>
          </w:p>
        </w:tc>
        <w:tc>
          <w:tcPr>
            <w:tcW w:w="6911" w:type="dxa"/>
          </w:tcPr>
          <w:p w14:paraId="54FA80B1" w14:textId="6826C330" w:rsidR="00716507" w:rsidRPr="00D1042D" w:rsidRDefault="00716507" w:rsidP="00716507">
            <w:r w:rsidRPr="00D1042D">
              <w:t xml:space="preserve">Maximum </w:t>
            </w:r>
            <w:r w:rsidR="00E022C9">
              <w:t>i</w:t>
            </w:r>
            <w:r w:rsidRPr="00D1042D">
              <w:t>nspiratory</w:t>
            </w:r>
            <w:r w:rsidRPr="008107E1">
              <w:t xml:space="preserve"> </w:t>
            </w:r>
            <w:r w:rsidR="00E022C9">
              <w:t>p</w:t>
            </w:r>
            <w:r w:rsidRPr="00D1042D">
              <w:t>ressure</w:t>
            </w:r>
          </w:p>
        </w:tc>
      </w:tr>
      <w:tr w:rsidR="00716507" w:rsidRPr="00D1042D" w14:paraId="4A7ABD22" w14:textId="77777777" w:rsidTr="00716507">
        <w:tc>
          <w:tcPr>
            <w:tcW w:w="1950" w:type="dxa"/>
          </w:tcPr>
          <w:p w14:paraId="7ABD2C03" w14:textId="77777777" w:rsidR="00716507" w:rsidRPr="00D1042D" w:rsidRDefault="00716507" w:rsidP="00716507">
            <w:r w:rsidRPr="00D1042D">
              <w:t>mITT</w:t>
            </w:r>
          </w:p>
        </w:tc>
        <w:tc>
          <w:tcPr>
            <w:tcW w:w="6911" w:type="dxa"/>
          </w:tcPr>
          <w:p w14:paraId="464E7210" w14:textId="1E6B63A8" w:rsidR="00716507" w:rsidRPr="00D1042D" w:rsidRDefault="00716507" w:rsidP="00E022C9">
            <w:r w:rsidRPr="00D1042D">
              <w:t>Modified</w:t>
            </w:r>
            <w:r w:rsidRPr="008107E1">
              <w:t xml:space="preserve"> </w:t>
            </w:r>
            <w:r w:rsidR="00E022C9">
              <w:t>intent-to-treat</w:t>
            </w:r>
          </w:p>
        </w:tc>
      </w:tr>
      <w:tr w:rsidR="00716507" w:rsidRPr="00D1042D" w14:paraId="21437895" w14:textId="77777777" w:rsidTr="00716507">
        <w:tc>
          <w:tcPr>
            <w:tcW w:w="1950" w:type="dxa"/>
          </w:tcPr>
          <w:p w14:paraId="61B69BB7" w14:textId="77777777" w:rsidR="00716507" w:rsidRPr="00D1042D" w:rsidRDefault="00716507" w:rsidP="00716507">
            <w:r w:rsidRPr="00D1042D">
              <w:t>mL</w:t>
            </w:r>
          </w:p>
        </w:tc>
        <w:tc>
          <w:tcPr>
            <w:tcW w:w="6911" w:type="dxa"/>
          </w:tcPr>
          <w:p w14:paraId="35809791" w14:textId="19833F16" w:rsidR="00716507" w:rsidRPr="00D1042D" w:rsidRDefault="00E022C9" w:rsidP="00716507">
            <w:r w:rsidRPr="00D1042D">
              <w:t>M</w:t>
            </w:r>
            <w:r w:rsidR="00716507" w:rsidRPr="00D1042D">
              <w:t>illilitre</w:t>
            </w:r>
            <w:r>
              <w:t>(s)</w:t>
            </w:r>
          </w:p>
        </w:tc>
      </w:tr>
      <w:tr w:rsidR="0053065A" w:rsidRPr="00D1042D" w14:paraId="547B71B6" w14:textId="77777777" w:rsidTr="00716507">
        <w:tc>
          <w:tcPr>
            <w:tcW w:w="1950" w:type="dxa"/>
          </w:tcPr>
          <w:p w14:paraId="3475BCFA" w14:textId="77777777" w:rsidR="0053065A" w:rsidRPr="00D1042D" w:rsidRDefault="0053065A" w:rsidP="00716507">
            <w:r>
              <w:t>MRHD</w:t>
            </w:r>
          </w:p>
        </w:tc>
        <w:tc>
          <w:tcPr>
            <w:tcW w:w="6911" w:type="dxa"/>
          </w:tcPr>
          <w:p w14:paraId="23DF9C49" w14:textId="4E88AD74" w:rsidR="0053065A" w:rsidRPr="00D1042D" w:rsidRDefault="00E022C9" w:rsidP="00716507">
            <w:r>
              <w:t>M</w:t>
            </w:r>
            <w:r w:rsidR="0053065A">
              <w:t>aximum recommended human dose</w:t>
            </w:r>
          </w:p>
        </w:tc>
      </w:tr>
      <w:tr w:rsidR="0053065A" w:rsidRPr="00D1042D" w14:paraId="0266FED4" w14:textId="77777777" w:rsidTr="00716507">
        <w:tc>
          <w:tcPr>
            <w:tcW w:w="1950" w:type="dxa"/>
          </w:tcPr>
          <w:p w14:paraId="1EC6411D" w14:textId="77777777" w:rsidR="0053065A" w:rsidRPr="00D1042D" w:rsidRDefault="0053065A" w:rsidP="00716507">
            <w:r w:rsidRPr="006C0639">
              <w:t>MTD</w:t>
            </w:r>
          </w:p>
        </w:tc>
        <w:tc>
          <w:tcPr>
            <w:tcW w:w="6911" w:type="dxa"/>
          </w:tcPr>
          <w:p w14:paraId="36BCC1E3" w14:textId="77777777" w:rsidR="0053065A" w:rsidRPr="00D1042D" w:rsidRDefault="0053065A" w:rsidP="00716507">
            <w:r>
              <w:t>Maximum tolerated dose</w:t>
            </w:r>
          </w:p>
        </w:tc>
      </w:tr>
      <w:tr w:rsidR="00716507" w:rsidRPr="00D1042D" w14:paraId="3AD1E4A8" w14:textId="77777777" w:rsidTr="00716507">
        <w:tc>
          <w:tcPr>
            <w:tcW w:w="1950" w:type="dxa"/>
          </w:tcPr>
          <w:p w14:paraId="444ACAEE" w14:textId="77777777" w:rsidR="00716507" w:rsidRPr="00D1042D" w:rsidRDefault="00716507" w:rsidP="00716507">
            <w:r w:rsidRPr="00D1042D">
              <w:t>N,</w:t>
            </w:r>
            <w:r w:rsidRPr="008107E1">
              <w:t xml:space="preserve"> </w:t>
            </w:r>
            <w:r w:rsidRPr="00D1042D">
              <w:t>n</w:t>
            </w:r>
          </w:p>
        </w:tc>
        <w:tc>
          <w:tcPr>
            <w:tcW w:w="6911" w:type="dxa"/>
          </w:tcPr>
          <w:p w14:paraId="0457E3FC" w14:textId="77777777" w:rsidR="00716507" w:rsidRPr="00D1042D" w:rsidRDefault="00716507" w:rsidP="00716507">
            <w:r w:rsidRPr="00D1042D">
              <w:t>Number of</w:t>
            </w:r>
            <w:r w:rsidRPr="008107E1">
              <w:t xml:space="preserve"> </w:t>
            </w:r>
            <w:r w:rsidRPr="00D1042D">
              <w:t>observations</w:t>
            </w:r>
          </w:p>
        </w:tc>
      </w:tr>
      <w:tr w:rsidR="00716507" w:rsidRPr="00D1042D" w14:paraId="58EA685F" w14:textId="77777777" w:rsidTr="00716507">
        <w:tc>
          <w:tcPr>
            <w:tcW w:w="1950" w:type="dxa"/>
          </w:tcPr>
          <w:p w14:paraId="213DDE05" w14:textId="77777777" w:rsidR="00716507" w:rsidRPr="00D1042D" w:rsidRDefault="00716507" w:rsidP="00716507">
            <w:r w:rsidRPr="00D1042D">
              <w:t>NADH</w:t>
            </w:r>
          </w:p>
        </w:tc>
        <w:tc>
          <w:tcPr>
            <w:tcW w:w="6911" w:type="dxa"/>
          </w:tcPr>
          <w:p w14:paraId="5D7B2940" w14:textId="77777777" w:rsidR="00716507" w:rsidRPr="00D1042D" w:rsidRDefault="00716507" w:rsidP="00716507">
            <w:r w:rsidRPr="00D1042D">
              <w:t>Nicotinamide adenine</w:t>
            </w:r>
            <w:r w:rsidRPr="008107E1">
              <w:t xml:space="preserve"> </w:t>
            </w:r>
            <w:r w:rsidRPr="00D1042D">
              <w:t>dinucleotide</w:t>
            </w:r>
          </w:p>
        </w:tc>
      </w:tr>
      <w:tr w:rsidR="00716507" w:rsidRPr="00D1042D" w14:paraId="53B45386" w14:textId="77777777" w:rsidTr="00716507">
        <w:tc>
          <w:tcPr>
            <w:tcW w:w="1950" w:type="dxa"/>
          </w:tcPr>
          <w:p w14:paraId="33B2E279" w14:textId="77777777" w:rsidR="00716507" w:rsidRPr="00D1042D" w:rsidRDefault="00716507" w:rsidP="00716507">
            <w:r w:rsidRPr="00D1042D">
              <w:t>ng</w:t>
            </w:r>
          </w:p>
        </w:tc>
        <w:tc>
          <w:tcPr>
            <w:tcW w:w="6911" w:type="dxa"/>
          </w:tcPr>
          <w:p w14:paraId="70A70D40" w14:textId="311B01CF" w:rsidR="00716507" w:rsidRPr="00D1042D" w:rsidRDefault="00E022C9" w:rsidP="00716507">
            <w:r w:rsidRPr="00D1042D">
              <w:t>N</w:t>
            </w:r>
            <w:r w:rsidR="00716507" w:rsidRPr="00D1042D">
              <w:t>anogram</w:t>
            </w:r>
            <w:r>
              <w:t>(s)</w:t>
            </w:r>
          </w:p>
        </w:tc>
      </w:tr>
      <w:tr w:rsidR="00716507" w:rsidRPr="00D1042D" w14:paraId="1E62462E" w14:textId="77777777" w:rsidTr="00716507">
        <w:tc>
          <w:tcPr>
            <w:tcW w:w="1950" w:type="dxa"/>
          </w:tcPr>
          <w:p w14:paraId="47F51E83" w14:textId="77777777" w:rsidR="00716507" w:rsidRPr="00D1042D" w:rsidRDefault="00716507" w:rsidP="00716507">
            <w:r w:rsidRPr="00D1042D">
              <w:t>NICOSIA</w:t>
            </w:r>
          </w:p>
        </w:tc>
        <w:tc>
          <w:tcPr>
            <w:tcW w:w="6911" w:type="dxa"/>
          </w:tcPr>
          <w:p w14:paraId="21A05179" w14:textId="491D94A3" w:rsidR="00716507" w:rsidRPr="00D1042D" w:rsidRDefault="00E022C9" w:rsidP="00716507">
            <w:r>
              <w:t>National Institutes of Health</w:t>
            </w:r>
            <w:r w:rsidRPr="00D1042D">
              <w:t xml:space="preserve"> </w:t>
            </w:r>
            <w:r w:rsidR="00716507" w:rsidRPr="00D1042D">
              <w:t>Collaboration with Santhera In</w:t>
            </w:r>
            <w:r w:rsidR="00716507" w:rsidRPr="008107E1">
              <w:t xml:space="preserve"> </w:t>
            </w:r>
            <w:r w:rsidR="00716507" w:rsidRPr="00D1042D">
              <w:t>Ataxia</w:t>
            </w:r>
          </w:p>
        </w:tc>
      </w:tr>
      <w:tr w:rsidR="00716507" w:rsidRPr="00D1042D" w14:paraId="4C63E9E8" w14:textId="77777777" w:rsidTr="00716507">
        <w:tc>
          <w:tcPr>
            <w:tcW w:w="1950" w:type="dxa"/>
          </w:tcPr>
          <w:p w14:paraId="3B2B2788" w14:textId="77777777" w:rsidR="00716507" w:rsidRPr="00D1042D" w:rsidRDefault="00716507" w:rsidP="00716507">
            <w:r w:rsidRPr="00D1042D">
              <w:t>NIH</w:t>
            </w:r>
          </w:p>
        </w:tc>
        <w:tc>
          <w:tcPr>
            <w:tcW w:w="6911" w:type="dxa"/>
          </w:tcPr>
          <w:p w14:paraId="01985790" w14:textId="7B014705" w:rsidR="00716507" w:rsidRPr="00D1042D" w:rsidRDefault="00716507" w:rsidP="00716507">
            <w:r w:rsidRPr="00D1042D">
              <w:t>National Institutes of</w:t>
            </w:r>
            <w:r w:rsidRPr="008107E1">
              <w:t xml:space="preserve"> </w:t>
            </w:r>
            <w:r w:rsidRPr="00D1042D">
              <w:t>Health</w:t>
            </w:r>
            <w:r w:rsidR="00E022C9">
              <w:t xml:space="preserve"> (US)</w:t>
            </w:r>
          </w:p>
        </w:tc>
      </w:tr>
      <w:tr w:rsidR="0053065A" w:rsidRPr="00D1042D" w14:paraId="7CD60905" w14:textId="77777777" w:rsidTr="00716507">
        <w:tc>
          <w:tcPr>
            <w:tcW w:w="1950" w:type="dxa"/>
          </w:tcPr>
          <w:p w14:paraId="301144C5" w14:textId="77777777" w:rsidR="0053065A" w:rsidRDefault="0053065A" w:rsidP="0053065A">
            <w:r w:rsidRPr="003132E0">
              <w:t>NOAEL</w:t>
            </w:r>
          </w:p>
        </w:tc>
        <w:tc>
          <w:tcPr>
            <w:tcW w:w="6911" w:type="dxa"/>
          </w:tcPr>
          <w:p w14:paraId="2188168E" w14:textId="77777777" w:rsidR="0053065A" w:rsidRDefault="0053065A" w:rsidP="0053065A">
            <w:r>
              <w:t>No observed adverse effect level</w:t>
            </w:r>
          </w:p>
        </w:tc>
      </w:tr>
      <w:tr w:rsidR="00716507" w:rsidRPr="00D1042D" w14:paraId="37A133F9" w14:textId="77777777" w:rsidTr="00716507">
        <w:tc>
          <w:tcPr>
            <w:tcW w:w="1950" w:type="dxa"/>
          </w:tcPr>
          <w:p w14:paraId="3A24F0F0" w14:textId="77777777" w:rsidR="00716507" w:rsidRPr="00D1042D" w:rsidRDefault="00716507" w:rsidP="00716507">
            <w:r w:rsidRPr="00D1042D">
              <w:t>NQO1</w:t>
            </w:r>
          </w:p>
        </w:tc>
        <w:tc>
          <w:tcPr>
            <w:tcW w:w="6911" w:type="dxa"/>
          </w:tcPr>
          <w:p w14:paraId="363C0539" w14:textId="77777777" w:rsidR="00716507" w:rsidRPr="00D1042D" w:rsidRDefault="00716507" w:rsidP="00716507">
            <w:r w:rsidRPr="00D1042D">
              <w:t>NADH-quinone oxidoreductase</w:t>
            </w:r>
            <w:r w:rsidRPr="008107E1">
              <w:t xml:space="preserve"> </w:t>
            </w:r>
            <w:r w:rsidRPr="00D1042D">
              <w:t>1</w:t>
            </w:r>
          </w:p>
        </w:tc>
      </w:tr>
      <w:tr w:rsidR="00716507" w:rsidRPr="00D1042D" w14:paraId="4B4A1313" w14:textId="77777777" w:rsidTr="00716507">
        <w:tc>
          <w:tcPr>
            <w:tcW w:w="1950" w:type="dxa"/>
          </w:tcPr>
          <w:p w14:paraId="3E53B03F" w14:textId="77777777" w:rsidR="00716507" w:rsidRPr="00D1042D" w:rsidRDefault="00716507" w:rsidP="00716507">
            <w:r w:rsidRPr="00D1042D">
              <w:t>PASS</w:t>
            </w:r>
          </w:p>
        </w:tc>
        <w:tc>
          <w:tcPr>
            <w:tcW w:w="6911" w:type="dxa"/>
          </w:tcPr>
          <w:p w14:paraId="2B9D4418" w14:textId="77777777" w:rsidR="00716507" w:rsidRPr="00D1042D" w:rsidRDefault="00716507" w:rsidP="00716507">
            <w:r w:rsidRPr="00D1042D">
              <w:t>Post-authorisation safety</w:t>
            </w:r>
            <w:r w:rsidRPr="008107E1">
              <w:t xml:space="preserve"> </w:t>
            </w:r>
            <w:r w:rsidRPr="00D1042D">
              <w:t>study</w:t>
            </w:r>
          </w:p>
        </w:tc>
      </w:tr>
      <w:tr w:rsidR="00716507" w:rsidRPr="00D1042D" w14:paraId="5F1B3FBF" w14:textId="77777777" w:rsidTr="00716507">
        <w:tc>
          <w:tcPr>
            <w:tcW w:w="1950" w:type="dxa"/>
          </w:tcPr>
          <w:p w14:paraId="73CAAF3E" w14:textId="77777777" w:rsidR="00716507" w:rsidRPr="00D1042D" w:rsidRDefault="00716507" w:rsidP="00716507">
            <w:r w:rsidRPr="00D1042D">
              <w:t>PCF</w:t>
            </w:r>
          </w:p>
        </w:tc>
        <w:tc>
          <w:tcPr>
            <w:tcW w:w="6911" w:type="dxa"/>
          </w:tcPr>
          <w:p w14:paraId="41B1DA94" w14:textId="33AF55F7" w:rsidR="00716507" w:rsidRPr="00D1042D" w:rsidRDefault="00716507" w:rsidP="00716507">
            <w:r w:rsidRPr="00D1042D">
              <w:t xml:space="preserve">Peak </w:t>
            </w:r>
            <w:r w:rsidR="00E022C9">
              <w:t>c</w:t>
            </w:r>
            <w:r w:rsidRPr="00D1042D">
              <w:t>ough</w:t>
            </w:r>
            <w:r w:rsidRPr="008107E1">
              <w:t xml:space="preserve"> </w:t>
            </w:r>
            <w:r w:rsidR="00E022C9">
              <w:t>f</w:t>
            </w:r>
            <w:r w:rsidRPr="00D1042D">
              <w:t>low</w:t>
            </w:r>
          </w:p>
        </w:tc>
      </w:tr>
      <w:tr w:rsidR="00716507" w:rsidRPr="00D1042D" w14:paraId="43E92441" w14:textId="77777777" w:rsidTr="00716507">
        <w:tc>
          <w:tcPr>
            <w:tcW w:w="1950" w:type="dxa"/>
          </w:tcPr>
          <w:p w14:paraId="33697660" w14:textId="77777777" w:rsidR="00716507" w:rsidRPr="00D1042D" w:rsidRDefault="00716507" w:rsidP="00716507">
            <w:r w:rsidRPr="00D1042D">
              <w:t>PedsQL</w:t>
            </w:r>
          </w:p>
        </w:tc>
        <w:tc>
          <w:tcPr>
            <w:tcW w:w="6911" w:type="dxa"/>
          </w:tcPr>
          <w:p w14:paraId="6FEF219B" w14:textId="5E91DE1E" w:rsidR="00716507" w:rsidRPr="00D1042D" w:rsidRDefault="00716507" w:rsidP="00716507">
            <w:r w:rsidRPr="00D1042D">
              <w:t>Pediatric Quality of Life Inventory</w:t>
            </w:r>
          </w:p>
        </w:tc>
      </w:tr>
      <w:tr w:rsidR="00716507" w:rsidRPr="00D1042D" w14:paraId="4F02F8D4" w14:textId="77777777" w:rsidTr="00716507">
        <w:tc>
          <w:tcPr>
            <w:tcW w:w="1950" w:type="dxa"/>
          </w:tcPr>
          <w:p w14:paraId="6220AFA6" w14:textId="77777777" w:rsidR="00716507" w:rsidRPr="00D1042D" w:rsidRDefault="00716507" w:rsidP="00716507">
            <w:r w:rsidRPr="00D1042D">
              <w:t>PEF</w:t>
            </w:r>
          </w:p>
        </w:tc>
        <w:tc>
          <w:tcPr>
            <w:tcW w:w="6911" w:type="dxa"/>
          </w:tcPr>
          <w:p w14:paraId="1AFF4B93" w14:textId="71FFA409" w:rsidR="00716507" w:rsidRPr="00D1042D" w:rsidRDefault="00716507" w:rsidP="00716507">
            <w:r w:rsidRPr="00D1042D">
              <w:t xml:space="preserve">Peak </w:t>
            </w:r>
            <w:r w:rsidR="00E022C9">
              <w:t>e</w:t>
            </w:r>
            <w:r w:rsidRPr="00D1042D">
              <w:t>xpiratory</w:t>
            </w:r>
            <w:r w:rsidRPr="008107E1">
              <w:t xml:space="preserve"> </w:t>
            </w:r>
            <w:r w:rsidR="00E022C9">
              <w:t>f</w:t>
            </w:r>
            <w:r w:rsidRPr="00D1042D">
              <w:t>low</w:t>
            </w:r>
          </w:p>
        </w:tc>
      </w:tr>
      <w:tr w:rsidR="00716507" w:rsidRPr="00D1042D" w14:paraId="06BA8229" w14:textId="77777777" w:rsidTr="00716507">
        <w:tc>
          <w:tcPr>
            <w:tcW w:w="1950" w:type="dxa"/>
          </w:tcPr>
          <w:p w14:paraId="4010C039" w14:textId="77777777" w:rsidR="00716507" w:rsidRPr="00D1042D" w:rsidRDefault="00716507" w:rsidP="00716507">
            <w:r w:rsidRPr="00D1042D">
              <w:t>PEF%p</w:t>
            </w:r>
          </w:p>
        </w:tc>
        <w:tc>
          <w:tcPr>
            <w:tcW w:w="6911" w:type="dxa"/>
          </w:tcPr>
          <w:p w14:paraId="5DAB1110" w14:textId="6BBF920E" w:rsidR="00716507" w:rsidRPr="00D1042D" w:rsidRDefault="00716507" w:rsidP="00716507">
            <w:r w:rsidRPr="00D1042D">
              <w:t xml:space="preserve">Percent </w:t>
            </w:r>
            <w:r w:rsidR="00E022C9" w:rsidRPr="00D1042D">
              <w:t>predicted peak expiratory</w:t>
            </w:r>
            <w:r w:rsidR="00E022C9" w:rsidRPr="008107E1">
              <w:t xml:space="preserve"> </w:t>
            </w:r>
            <w:r w:rsidR="00E022C9" w:rsidRPr="00D1042D">
              <w:t>flow</w:t>
            </w:r>
          </w:p>
        </w:tc>
      </w:tr>
      <w:tr w:rsidR="003173BB" w:rsidRPr="00D1042D" w14:paraId="30E6BD0F" w14:textId="77777777" w:rsidTr="00716507">
        <w:tc>
          <w:tcPr>
            <w:tcW w:w="1950" w:type="dxa"/>
          </w:tcPr>
          <w:p w14:paraId="3C200F39" w14:textId="77777777" w:rsidR="003173BB" w:rsidRPr="00D1042D" w:rsidRDefault="003173BB" w:rsidP="00716507">
            <w:r>
              <w:rPr>
                <w:rFonts w:asciiTheme="minorHAnsi" w:eastAsiaTheme="minorHAnsi" w:hAnsiTheme="minorHAnsi"/>
              </w:rPr>
              <w:t>P-gp</w:t>
            </w:r>
          </w:p>
        </w:tc>
        <w:tc>
          <w:tcPr>
            <w:tcW w:w="6911" w:type="dxa"/>
          </w:tcPr>
          <w:p w14:paraId="34F4DD9E" w14:textId="77777777" w:rsidR="003173BB" w:rsidRPr="00D1042D" w:rsidRDefault="003173BB" w:rsidP="003173BB">
            <w:r>
              <w:rPr>
                <w:rFonts w:asciiTheme="minorHAnsi" w:eastAsiaTheme="minorHAnsi" w:hAnsiTheme="minorHAnsi"/>
              </w:rPr>
              <w:t>P</w:t>
            </w:r>
            <w:r>
              <w:rPr>
                <w:rFonts w:asciiTheme="minorHAnsi" w:eastAsiaTheme="minorHAnsi" w:hAnsiTheme="minorHAnsi"/>
              </w:rPr>
              <w:noBreakHyphen/>
            </w:r>
            <w:r w:rsidRPr="00756024">
              <w:rPr>
                <w:rFonts w:asciiTheme="minorHAnsi" w:eastAsiaTheme="minorHAnsi" w:hAnsiTheme="minorHAnsi"/>
              </w:rPr>
              <w:t>glycoprotein</w:t>
            </w:r>
          </w:p>
        </w:tc>
      </w:tr>
      <w:tr w:rsidR="00716507" w:rsidRPr="00D1042D" w14:paraId="4F55C0E2" w14:textId="77777777" w:rsidTr="00716507">
        <w:tc>
          <w:tcPr>
            <w:tcW w:w="1950" w:type="dxa"/>
          </w:tcPr>
          <w:p w14:paraId="1EEFA6F1" w14:textId="77777777" w:rsidR="00716507" w:rsidRPr="00D1042D" w:rsidRDefault="00716507" w:rsidP="00716507">
            <w:r w:rsidRPr="00D1042D">
              <w:t>PK</w:t>
            </w:r>
          </w:p>
        </w:tc>
        <w:tc>
          <w:tcPr>
            <w:tcW w:w="6911" w:type="dxa"/>
          </w:tcPr>
          <w:p w14:paraId="6AE431C2" w14:textId="77777777" w:rsidR="00716507" w:rsidRPr="00D1042D" w:rsidRDefault="00716507" w:rsidP="00716507">
            <w:r w:rsidRPr="00D1042D">
              <w:t>Pharmacokinetic(s)</w:t>
            </w:r>
          </w:p>
        </w:tc>
      </w:tr>
      <w:tr w:rsidR="00716507" w:rsidRPr="00D1042D" w14:paraId="327FC6AA" w14:textId="77777777" w:rsidTr="00716507">
        <w:tc>
          <w:tcPr>
            <w:tcW w:w="1950" w:type="dxa"/>
          </w:tcPr>
          <w:p w14:paraId="27D57D0A" w14:textId="77777777" w:rsidR="00716507" w:rsidRPr="00D1042D" w:rsidRDefault="00716507" w:rsidP="00716507">
            <w:r w:rsidRPr="00D1042D">
              <w:t>PPK</w:t>
            </w:r>
          </w:p>
        </w:tc>
        <w:tc>
          <w:tcPr>
            <w:tcW w:w="6911" w:type="dxa"/>
          </w:tcPr>
          <w:p w14:paraId="442AA16E" w14:textId="34E3C37C" w:rsidR="00716507" w:rsidRPr="00D1042D" w:rsidRDefault="00716507" w:rsidP="00716507">
            <w:r w:rsidRPr="00D1042D">
              <w:t>Population</w:t>
            </w:r>
            <w:r w:rsidRPr="008107E1">
              <w:t xml:space="preserve"> </w:t>
            </w:r>
            <w:r w:rsidR="00E022C9">
              <w:t>pharmacokinetics</w:t>
            </w:r>
          </w:p>
        </w:tc>
      </w:tr>
      <w:tr w:rsidR="00716507" w14:paraId="7408C0D4" w14:textId="77777777" w:rsidTr="00716507">
        <w:tc>
          <w:tcPr>
            <w:tcW w:w="1950" w:type="dxa"/>
          </w:tcPr>
          <w:p w14:paraId="6AF52918" w14:textId="77777777" w:rsidR="00716507" w:rsidRPr="00D1042D" w:rsidRDefault="00716507" w:rsidP="00716507">
            <w:r w:rsidRPr="00D1042D">
              <w:t>PPM</w:t>
            </w:r>
          </w:p>
        </w:tc>
        <w:tc>
          <w:tcPr>
            <w:tcW w:w="6911" w:type="dxa"/>
          </w:tcPr>
          <w:p w14:paraId="5A36668B" w14:textId="00D87A4B" w:rsidR="00716507" w:rsidRDefault="00716507" w:rsidP="00716507">
            <w:r w:rsidRPr="00D1042D">
              <w:t xml:space="preserve">Prospectively </w:t>
            </w:r>
            <w:r w:rsidR="00E022C9">
              <w:t>p</w:t>
            </w:r>
            <w:r w:rsidRPr="00D1042D">
              <w:t>lanned</w:t>
            </w:r>
            <w:r w:rsidRPr="008107E1">
              <w:t xml:space="preserve"> </w:t>
            </w:r>
            <w:r w:rsidR="00E022C9">
              <w:t>m</w:t>
            </w:r>
            <w:r w:rsidRPr="00D1042D">
              <w:t>atching</w:t>
            </w:r>
          </w:p>
        </w:tc>
      </w:tr>
      <w:tr w:rsidR="00716507" w:rsidRPr="00422826" w14:paraId="7646A52F" w14:textId="77777777" w:rsidTr="00716507">
        <w:tc>
          <w:tcPr>
            <w:tcW w:w="1950" w:type="dxa"/>
          </w:tcPr>
          <w:p w14:paraId="0EDA7928" w14:textId="77777777" w:rsidR="00716507" w:rsidRPr="00422826" w:rsidRDefault="00716507" w:rsidP="00716507">
            <w:r w:rsidRPr="00422826">
              <w:t>PSUR</w:t>
            </w:r>
          </w:p>
        </w:tc>
        <w:tc>
          <w:tcPr>
            <w:tcW w:w="6911" w:type="dxa"/>
          </w:tcPr>
          <w:p w14:paraId="6E66BBFC" w14:textId="5285930B" w:rsidR="00716507" w:rsidRPr="00422826" w:rsidRDefault="00716507" w:rsidP="00716507">
            <w:r w:rsidRPr="00422826">
              <w:t xml:space="preserve">Periodic </w:t>
            </w:r>
            <w:r w:rsidR="00E022C9" w:rsidRPr="00422826">
              <w:t>safety update</w:t>
            </w:r>
            <w:r w:rsidR="00E022C9" w:rsidRPr="008107E1">
              <w:t xml:space="preserve"> </w:t>
            </w:r>
            <w:r w:rsidR="00E022C9" w:rsidRPr="00422826">
              <w:t>report</w:t>
            </w:r>
          </w:p>
        </w:tc>
      </w:tr>
      <w:tr w:rsidR="00716507" w:rsidRPr="00422826" w14:paraId="3D0FB84D" w14:textId="77777777" w:rsidTr="00716507">
        <w:tc>
          <w:tcPr>
            <w:tcW w:w="1950" w:type="dxa"/>
          </w:tcPr>
          <w:p w14:paraId="0F3BF8FC" w14:textId="77777777" w:rsidR="00716507" w:rsidRPr="00422826" w:rsidRDefault="00716507" w:rsidP="00716507">
            <w:r w:rsidRPr="00422826">
              <w:t>QS10</w:t>
            </w:r>
          </w:p>
        </w:tc>
        <w:tc>
          <w:tcPr>
            <w:tcW w:w="6911" w:type="dxa"/>
          </w:tcPr>
          <w:p w14:paraId="0ACB873C" w14:textId="77777777" w:rsidR="00716507" w:rsidRPr="00422826" w:rsidRDefault="00716507" w:rsidP="00716507">
            <w:r w:rsidRPr="008107E1">
              <w:t xml:space="preserve">6-(9-carboxynonyl)-2,3-dimethoxy-5-methyl-1,4- </w:t>
            </w:r>
            <w:r w:rsidRPr="00422826">
              <w:t>benzoquinone</w:t>
            </w:r>
          </w:p>
        </w:tc>
      </w:tr>
      <w:tr w:rsidR="00716507" w:rsidRPr="00422826" w14:paraId="1977FE39" w14:textId="77777777" w:rsidTr="00716507">
        <w:tc>
          <w:tcPr>
            <w:tcW w:w="1950" w:type="dxa"/>
          </w:tcPr>
          <w:p w14:paraId="1F1E41F5" w14:textId="77777777" w:rsidR="00716507" w:rsidRPr="00422826" w:rsidRDefault="00716507" w:rsidP="00716507">
            <w:r w:rsidRPr="00422826">
              <w:t>QS10-C</w:t>
            </w:r>
          </w:p>
        </w:tc>
        <w:tc>
          <w:tcPr>
            <w:tcW w:w="6911" w:type="dxa"/>
          </w:tcPr>
          <w:p w14:paraId="66D521A1" w14:textId="77777777" w:rsidR="00716507" w:rsidRPr="00422826" w:rsidRDefault="00716507" w:rsidP="00716507">
            <w:r w:rsidRPr="00422826">
              <w:t>Conjugates of</w:t>
            </w:r>
            <w:r w:rsidRPr="008107E1">
              <w:t xml:space="preserve"> </w:t>
            </w:r>
            <w:r w:rsidRPr="00422826">
              <w:t>QS10</w:t>
            </w:r>
          </w:p>
        </w:tc>
      </w:tr>
      <w:tr w:rsidR="00716507" w:rsidRPr="00422826" w14:paraId="086782E6" w14:textId="77777777" w:rsidTr="00716507">
        <w:tc>
          <w:tcPr>
            <w:tcW w:w="1950" w:type="dxa"/>
          </w:tcPr>
          <w:p w14:paraId="2B60974B" w14:textId="77777777" w:rsidR="00716507" w:rsidRPr="00422826" w:rsidRDefault="00716507" w:rsidP="00716507">
            <w:r w:rsidRPr="00422826">
              <w:t>QS8</w:t>
            </w:r>
          </w:p>
        </w:tc>
        <w:tc>
          <w:tcPr>
            <w:tcW w:w="6911" w:type="dxa"/>
          </w:tcPr>
          <w:p w14:paraId="3398CFC5" w14:textId="77777777" w:rsidR="00716507" w:rsidRPr="00422826" w:rsidRDefault="00716507" w:rsidP="00716507">
            <w:r w:rsidRPr="008107E1">
              <w:t xml:space="preserve">6-(7-carboxyheptyl)-2,3-dimethoxy-5-methyl-1,4- </w:t>
            </w:r>
            <w:r w:rsidRPr="00422826">
              <w:t>benzoquinone</w:t>
            </w:r>
          </w:p>
        </w:tc>
      </w:tr>
      <w:tr w:rsidR="00716507" w:rsidRPr="00422826" w14:paraId="4B977DA9" w14:textId="77777777" w:rsidTr="00716507">
        <w:tc>
          <w:tcPr>
            <w:tcW w:w="1950" w:type="dxa"/>
          </w:tcPr>
          <w:p w14:paraId="06156C3A" w14:textId="77777777" w:rsidR="00716507" w:rsidRPr="00422826" w:rsidRDefault="00716507" w:rsidP="00716507">
            <w:r w:rsidRPr="00422826">
              <w:t>QS8-C</w:t>
            </w:r>
          </w:p>
        </w:tc>
        <w:tc>
          <w:tcPr>
            <w:tcW w:w="6911" w:type="dxa"/>
          </w:tcPr>
          <w:p w14:paraId="7EE5A929" w14:textId="77777777" w:rsidR="00716507" w:rsidRPr="00422826" w:rsidRDefault="00716507" w:rsidP="00716507">
            <w:r w:rsidRPr="00422826">
              <w:t>Conjugates of</w:t>
            </w:r>
            <w:r w:rsidRPr="008107E1">
              <w:t xml:space="preserve"> </w:t>
            </w:r>
            <w:r w:rsidRPr="00422826">
              <w:t>QS8</w:t>
            </w:r>
          </w:p>
        </w:tc>
      </w:tr>
      <w:tr w:rsidR="00716507" w:rsidRPr="00422826" w14:paraId="7D6BDE51" w14:textId="77777777" w:rsidTr="00716507">
        <w:tc>
          <w:tcPr>
            <w:tcW w:w="1950" w:type="dxa"/>
          </w:tcPr>
          <w:p w14:paraId="0DBC884D" w14:textId="77777777" w:rsidR="00716507" w:rsidRPr="00422826" w:rsidRDefault="00716507" w:rsidP="00716507">
            <w:r w:rsidRPr="00422826">
              <w:lastRenderedPageBreak/>
              <w:t>QS6</w:t>
            </w:r>
          </w:p>
        </w:tc>
        <w:tc>
          <w:tcPr>
            <w:tcW w:w="6911" w:type="dxa"/>
          </w:tcPr>
          <w:p w14:paraId="14C5A587" w14:textId="77777777" w:rsidR="00716507" w:rsidRPr="00422826" w:rsidRDefault="00716507" w:rsidP="00716507">
            <w:r w:rsidRPr="008107E1">
              <w:t xml:space="preserve">6-(5-carboxypentyl)-2,3-dimethoxy-5-methyl-1,4- </w:t>
            </w:r>
            <w:r w:rsidRPr="00422826">
              <w:t>benzoquinone</w:t>
            </w:r>
          </w:p>
        </w:tc>
      </w:tr>
      <w:tr w:rsidR="00716507" w:rsidRPr="00422826" w14:paraId="51C83DB2" w14:textId="77777777" w:rsidTr="00716507">
        <w:tc>
          <w:tcPr>
            <w:tcW w:w="1950" w:type="dxa"/>
          </w:tcPr>
          <w:p w14:paraId="2E3CC50F" w14:textId="77777777" w:rsidR="00716507" w:rsidRPr="00422826" w:rsidRDefault="00716507" w:rsidP="00716507">
            <w:r w:rsidRPr="00422826">
              <w:t>QS6-C</w:t>
            </w:r>
          </w:p>
        </w:tc>
        <w:tc>
          <w:tcPr>
            <w:tcW w:w="6911" w:type="dxa"/>
          </w:tcPr>
          <w:p w14:paraId="6C609F32" w14:textId="77777777" w:rsidR="00716507" w:rsidRPr="00422826" w:rsidRDefault="00716507" w:rsidP="00716507">
            <w:r w:rsidRPr="00422826">
              <w:t>Conjugates of</w:t>
            </w:r>
            <w:r w:rsidRPr="008107E1">
              <w:t xml:space="preserve"> </w:t>
            </w:r>
            <w:r w:rsidRPr="00422826">
              <w:t>QS6</w:t>
            </w:r>
          </w:p>
        </w:tc>
      </w:tr>
      <w:tr w:rsidR="00716507" w:rsidRPr="00422826" w14:paraId="65936C48" w14:textId="77777777" w:rsidTr="00716507">
        <w:tc>
          <w:tcPr>
            <w:tcW w:w="1950" w:type="dxa"/>
          </w:tcPr>
          <w:p w14:paraId="09F3AB50" w14:textId="77777777" w:rsidR="00716507" w:rsidRPr="00422826" w:rsidRDefault="00716507" w:rsidP="00716507">
            <w:r w:rsidRPr="00422826">
              <w:t>QS4</w:t>
            </w:r>
          </w:p>
        </w:tc>
        <w:tc>
          <w:tcPr>
            <w:tcW w:w="6911" w:type="dxa"/>
          </w:tcPr>
          <w:p w14:paraId="63FFC0C7" w14:textId="77777777" w:rsidR="00716507" w:rsidRPr="00422826" w:rsidRDefault="00716507" w:rsidP="00716507">
            <w:r w:rsidRPr="008107E1">
              <w:t xml:space="preserve">6-(3-carboxypropyl)-2,3-dimethoxy-5-methyl-1,4- </w:t>
            </w:r>
            <w:r w:rsidRPr="00422826">
              <w:t>benzoquinone</w:t>
            </w:r>
          </w:p>
        </w:tc>
      </w:tr>
      <w:tr w:rsidR="00716507" w:rsidRPr="00422826" w14:paraId="3D2788AC" w14:textId="77777777" w:rsidTr="00716507">
        <w:tc>
          <w:tcPr>
            <w:tcW w:w="1950" w:type="dxa"/>
          </w:tcPr>
          <w:p w14:paraId="63ADE5C3" w14:textId="77777777" w:rsidR="00716507" w:rsidRPr="00422826" w:rsidRDefault="00716507" w:rsidP="00716507">
            <w:r w:rsidRPr="00422826">
              <w:t>QS4-C</w:t>
            </w:r>
          </w:p>
        </w:tc>
        <w:tc>
          <w:tcPr>
            <w:tcW w:w="6911" w:type="dxa"/>
          </w:tcPr>
          <w:p w14:paraId="2154615A" w14:textId="77777777" w:rsidR="00716507" w:rsidRPr="00422826" w:rsidRDefault="00716507" w:rsidP="00716507">
            <w:r w:rsidRPr="00422826">
              <w:t>Conjugates of</w:t>
            </w:r>
            <w:r w:rsidRPr="008107E1">
              <w:t xml:space="preserve"> </w:t>
            </w:r>
            <w:r w:rsidRPr="00422826">
              <w:t>QS4</w:t>
            </w:r>
          </w:p>
        </w:tc>
      </w:tr>
      <w:tr w:rsidR="00716507" w:rsidRPr="00422826" w14:paraId="1AE7B7E1" w14:textId="77777777" w:rsidTr="00716507">
        <w:tc>
          <w:tcPr>
            <w:tcW w:w="1950" w:type="dxa"/>
          </w:tcPr>
          <w:p w14:paraId="30B2F332" w14:textId="77777777" w:rsidR="00716507" w:rsidRPr="00422826" w:rsidRDefault="00716507" w:rsidP="00716507">
            <w:r w:rsidRPr="00422826">
              <w:t>QT</w:t>
            </w:r>
          </w:p>
        </w:tc>
        <w:tc>
          <w:tcPr>
            <w:tcW w:w="6911" w:type="dxa"/>
          </w:tcPr>
          <w:p w14:paraId="5C288E4B" w14:textId="6C5B2CA1" w:rsidR="00716507" w:rsidRPr="00422826" w:rsidRDefault="00716507" w:rsidP="00716507">
            <w:r w:rsidRPr="00422826">
              <w:t>Interval measured from the beginning of the QRS to</w:t>
            </w:r>
            <w:r w:rsidRPr="008107E1">
              <w:t xml:space="preserve"> </w:t>
            </w:r>
            <w:r w:rsidRPr="00422826">
              <w:t>the</w:t>
            </w:r>
            <w:r w:rsidRPr="008107E1">
              <w:t xml:space="preserve"> </w:t>
            </w:r>
            <w:r w:rsidRPr="00422826">
              <w:t>end of the T</w:t>
            </w:r>
            <w:r w:rsidR="00E022C9">
              <w:t> </w:t>
            </w:r>
            <w:r w:rsidRPr="00422826">
              <w:t>wave</w:t>
            </w:r>
          </w:p>
        </w:tc>
      </w:tr>
      <w:tr w:rsidR="00716507" w:rsidRPr="00422826" w14:paraId="67FBEA3A" w14:textId="77777777" w:rsidTr="00716507">
        <w:tc>
          <w:tcPr>
            <w:tcW w:w="1950" w:type="dxa"/>
          </w:tcPr>
          <w:p w14:paraId="4685E40B" w14:textId="77777777" w:rsidR="00716507" w:rsidRPr="00422826" w:rsidRDefault="00716507" w:rsidP="00716507">
            <w:r w:rsidRPr="00422826">
              <w:t>QTc</w:t>
            </w:r>
          </w:p>
        </w:tc>
        <w:tc>
          <w:tcPr>
            <w:tcW w:w="6911" w:type="dxa"/>
          </w:tcPr>
          <w:p w14:paraId="198A4168" w14:textId="4AF310E0" w:rsidR="00716507" w:rsidRPr="00422826" w:rsidRDefault="00716507" w:rsidP="00716507">
            <w:r w:rsidRPr="00422826">
              <w:t>Interval measured from the beginning of the QRS to</w:t>
            </w:r>
            <w:r w:rsidRPr="008107E1">
              <w:t xml:space="preserve"> </w:t>
            </w:r>
            <w:r w:rsidRPr="00422826">
              <w:t>the</w:t>
            </w:r>
            <w:r w:rsidRPr="008107E1">
              <w:t xml:space="preserve"> </w:t>
            </w:r>
            <w:r w:rsidRPr="00422826">
              <w:t>end</w:t>
            </w:r>
            <w:r w:rsidRPr="008107E1">
              <w:t xml:space="preserve"> </w:t>
            </w:r>
            <w:r w:rsidRPr="00422826">
              <w:t>of the T</w:t>
            </w:r>
            <w:r w:rsidR="00E022C9">
              <w:t> </w:t>
            </w:r>
            <w:r w:rsidRPr="00422826">
              <w:t>wave, corrected for heart</w:t>
            </w:r>
            <w:r w:rsidRPr="008107E1">
              <w:t xml:space="preserve"> </w:t>
            </w:r>
            <w:r w:rsidRPr="00422826">
              <w:t>rate</w:t>
            </w:r>
          </w:p>
        </w:tc>
      </w:tr>
      <w:tr w:rsidR="00ED6165" w:rsidRPr="00422826" w14:paraId="392EE5A3" w14:textId="77777777" w:rsidTr="00716507">
        <w:tc>
          <w:tcPr>
            <w:tcW w:w="1950" w:type="dxa"/>
          </w:tcPr>
          <w:p w14:paraId="46559CCB" w14:textId="77777777" w:rsidR="00ED6165" w:rsidRPr="00422826" w:rsidRDefault="00ED6165" w:rsidP="00716507">
            <w:r w:rsidRPr="00ED6165">
              <w:t>QTcB</w:t>
            </w:r>
          </w:p>
        </w:tc>
        <w:tc>
          <w:tcPr>
            <w:tcW w:w="6911" w:type="dxa"/>
          </w:tcPr>
          <w:p w14:paraId="5D6CFCE6" w14:textId="77777777" w:rsidR="00ED6165" w:rsidRPr="00ED6165" w:rsidRDefault="00ED6165" w:rsidP="00ED6165">
            <w:r w:rsidRPr="00ED6165">
              <w:t>QT interval corrected according to Bazett's formula</w:t>
            </w:r>
          </w:p>
        </w:tc>
      </w:tr>
      <w:tr w:rsidR="00716507" w:rsidRPr="00422826" w14:paraId="3217ECE1" w14:textId="77777777" w:rsidTr="00716507">
        <w:tc>
          <w:tcPr>
            <w:tcW w:w="1950" w:type="dxa"/>
          </w:tcPr>
          <w:p w14:paraId="572C6F23" w14:textId="77777777" w:rsidR="00716507" w:rsidRPr="00422826" w:rsidRDefault="00716507" w:rsidP="00716507">
            <w:r w:rsidRPr="00422826">
              <w:t>QTcF</w:t>
            </w:r>
          </w:p>
        </w:tc>
        <w:tc>
          <w:tcPr>
            <w:tcW w:w="6911" w:type="dxa"/>
          </w:tcPr>
          <w:p w14:paraId="5EB07225" w14:textId="77777777" w:rsidR="00716507" w:rsidRPr="00422826" w:rsidRDefault="00716507" w:rsidP="00716507">
            <w:r w:rsidRPr="00422826">
              <w:t>QT interval corrected according to Fridericia’s</w:t>
            </w:r>
            <w:r w:rsidRPr="008107E1">
              <w:t xml:space="preserve"> </w:t>
            </w:r>
            <w:r w:rsidRPr="00422826">
              <w:t>formula</w:t>
            </w:r>
          </w:p>
        </w:tc>
      </w:tr>
      <w:tr w:rsidR="00716507" w:rsidRPr="00422826" w14:paraId="39AC481A" w14:textId="77777777" w:rsidTr="00716507">
        <w:tc>
          <w:tcPr>
            <w:tcW w:w="1950" w:type="dxa"/>
          </w:tcPr>
          <w:p w14:paraId="5AE73BBE" w14:textId="77777777" w:rsidR="00716507" w:rsidRPr="00422826" w:rsidRDefault="00716507" w:rsidP="00716507">
            <w:r w:rsidRPr="00422826">
              <w:t>RMP</w:t>
            </w:r>
          </w:p>
        </w:tc>
        <w:tc>
          <w:tcPr>
            <w:tcW w:w="6911" w:type="dxa"/>
          </w:tcPr>
          <w:p w14:paraId="73EBD737" w14:textId="6961654E" w:rsidR="00716507" w:rsidRPr="00422826" w:rsidRDefault="00716507" w:rsidP="00716507">
            <w:r w:rsidRPr="00422826">
              <w:t xml:space="preserve">Risk </w:t>
            </w:r>
            <w:r w:rsidR="00E022C9">
              <w:t>m</w:t>
            </w:r>
            <w:r w:rsidRPr="00422826">
              <w:t>anagement</w:t>
            </w:r>
            <w:r w:rsidRPr="008107E1">
              <w:t xml:space="preserve"> </w:t>
            </w:r>
            <w:r w:rsidR="00E022C9">
              <w:t>p</w:t>
            </w:r>
            <w:r w:rsidRPr="00422826">
              <w:t>lan</w:t>
            </w:r>
          </w:p>
        </w:tc>
      </w:tr>
      <w:tr w:rsidR="00716507" w:rsidRPr="00422826" w14:paraId="5043AD2D" w14:textId="77777777" w:rsidTr="00716507">
        <w:tc>
          <w:tcPr>
            <w:tcW w:w="1950" w:type="dxa"/>
          </w:tcPr>
          <w:p w14:paraId="2156CF4F" w14:textId="77777777" w:rsidR="00716507" w:rsidRPr="00422826" w:rsidRDefault="00716507" w:rsidP="00716507">
            <w:r w:rsidRPr="00422826">
              <w:t>ROS</w:t>
            </w:r>
          </w:p>
        </w:tc>
        <w:tc>
          <w:tcPr>
            <w:tcW w:w="6911" w:type="dxa"/>
          </w:tcPr>
          <w:p w14:paraId="1A5BD694" w14:textId="261BB25A" w:rsidR="00716507" w:rsidRPr="00422826" w:rsidRDefault="00716507" w:rsidP="00716507">
            <w:r w:rsidRPr="00422826">
              <w:t xml:space="preserve">Reactive </w:t>
            </w:r>
            <w:r w:rsidR="00E022C9">
              <w:t>o</w:t>
            </w:r>
            <w:r w:rsidRPr="00422826">
              <w:t>xygen</w:t>
            </w:r>
            <w:r w:rsidRPr="008107E1">
              <w:t xml:space="preserve"> </w:t>
            </w:r>
            <w:r w:rsidR="00E022C9">
              <w:t>s</w:t>
            </w:r>
            <w:r w:rsidRPr="00422826">
              <w:t>pecies</w:t>
            </w:r>
          </w:p>
        </w:tc>
      </w:tr>
      <w:tr w:rsidR="00716507" w:rsidRPr="00422826" w14:paraId="49740D87" w14:textId="77777777" w:rsidTr="00716507">
        <w:tc>
          <w:tcPr>
            <w:tcW w:w="1950" w:type="dxa"/>
          </w:tcPr>
          <w:p w14:paraId="4F578724" w14:textId="77777777" w:rsidR="00716507" w:rsidRPr="00422826" w:rsidRDefault="00716507" w:rsidP="00716507">
            <w:r>
              <w:t>RSI</w:t>
            </w:r>
          </w:p>
        </w:tc>
        <w:tc>
          <w:tcPr>
            <w:tcW w:w="6911" w:type="dxa"/>
          </w:tcPr>
          <w:p w14:paraId="6BE84A37" w14:textId="0DD99234" w:rsidR="00716507" w:rsidRPr="00422826" w:rsidRDefault="00ED6165" w:rsidP="00716507">
            <w:r w:rsidRPr="00C71B5C">
              <w:rPr>
                <w:bCs/>
                <w:lang w:eastAsia="ja-JP"/>
              </w:rPr>
              <w:t xml:space="preserve">Reference </w:t>
            </w:r>
            <w:r w:rsidR="00E022C9" w:rsidRPr="00C71B5C">
              <w:rPr>
                <w:bCs/>
                <w:lang w:eastAsia="ja-JP"/>
              </w:rPr>
              <w:t xml:space="preserve">safety information </w:t>
            </w:r>
            <w:r w:rsidR="00E022C9" w:rsidRPr="007B1D02">
              <w:t>reques</w:t>
            </w:r>
            <w:r w:rsidR="00E022C9">
              <w:t>t for supplementary information</w:t>
            </w:r>
          </w:p>
        </w:tc>
      </w:tr>
      <w:tr w:rsidR="00716507" w:rsidRPr="00422826" w14:paraId="60A665CF" w14:textId="77777777" w:rsidTr="00716507">
        <w:tc>
          <w:tcPr>
            <w:tcW w:w="1950" w:type="dxa"/>
          </w:tcPr>
          <w:p w14:paraId="0437BD1A" w14:textId="77777777" w:rsidR="00716507" w:rsidRPr="00422826" w:rsidRDefault="00716507" w:rsidP="00716507">
            <w:r w:rsidRPr="00422826">
              <w:t>SAE</w:t>
            </w:r>
          </w:p>
        </w:tc>
        <w:tc>
          <w:tcPr>
            <w:tcW w:w="6911" w:type="dxa"/>
          </w:tcPr>
          <w:p w14:paraId="695E45BD" w14:textId="77777777" w:rsidR="00716507" w:rsidRPr="00422826" w:rsidRDefault="00716507" w:rsidP="00716507">
            <w:r w:rsidRPr="00422826">
              <w:t>Serious adverse</w:t>
            </w:r>
            <w:r w:rsidRPr="008107E1">
              <w:t xml:space="preserve"> </w:t>
            </w:r>
            <w:r w:rsidRPr="00422826">
              <w:t>event</w:t>
            </w:r>
          </w:p>
        </w:tc>
      </w:tr>
      <w:tr w:rsidR="00716507" w:rsidRPr="00422826" w14:paraId="3858FC30" w14:textId="77777777" w:rsidTr="00716507">
        <w:tc>
          <w:tcPr>
            <w:tcW w:w="1950" w:type="dxa"/>
          </w:tcPr>
          <w:p w14:paraId="6A9CA398" w14:textId="77777777" w:rsidR="00716507" w:rsidRPr="00422826" w:rsidRDefault="00716507" w:rsidP="00716507">
            <w:r w:rsidRPr="00422826">
              <w:t>SD</w:t>
            </w:r>
          </w:p>
        </w:tc>
        <w:tc>
          <w:tcPr>
            <w:tcW w:w="6911" w:type="dxa"/>
          </w:tcPr>
          <w:p w14:paraId="163CDF8E" w14:textId="065AC180" w:rsidR="00716507" w:rsidRPr="00422826" w:rsidRDefault="00716507" w:rsidP="00716507">
            <w:r w:rsidRPr="00422826">
              <w:t>Standard</w:t>
            </w:r>
            <w:r w:rsidRPr="008107E1">
              <w:t xml:space="preserve"> </w:t>
            </w:r>
            <w:r w:rsidR="00E022C9">
              <w:t>d</w:t>
            </w:r>
            <w:r w:rsidRPr="00422826">
              <w:t>eviation</w:t>
            </w:r>
          </w:p>
        </w:tc>
      </w:tr>
      <w:tr w:rsidR="00716507" w:rsidRPr="00422826" w14:paraId="4B22DCD8" w14:textId="77777777" w:rsidTr="00716507">
        <w:tc>
          <w:tcPr>
            <w:tcW w:w="1950" w:type="dxa"/>
          </w:tcPr>
          <w:p w14:paraId="48CFA0B8" w14:textId="77777777" w:rsidR="00716507" w:rsidRPr="00422826" w:rsidRDefault="00716507" w:rsidP="00716507">
            <w:r w:rsidRPr="00422826">
              <w:t>SIDEROS</w:t>
            </w:r>
          </w:p>
        </w:tc>
        <w:tc>
          <w:tcPr>
            <w:tcW w:w="6911" w:type="dxa"/>
          </w:tcPr>
          <w:p w14:paraId="6055802B" w14:textId="005ED156" w:rsidR="00716507" w:rsidRPr="00422826" w:rsidRDefault="00716507" w:rsidP="00716507">
            <w:r w:rsidRPr="00422826">
              <w:t xml:space="preserve">Efficacy, </w:t>
            </w:r>
            <w:r w:rsidR="00E022C9">
              <w:t>s</w:t>
            </w:r>
            <w:r w:rsidRPr="00422826">
              <w:t xml:space="preserve">afety of </w:t>
            </w:r>
            <w:r w:rsidR="00E022C9">
              <w:t>i</w:t>
            </w:r>
            <w:r w:rsidRPr="00422826">
              <w:t>debenone in D</w:t>
            </w:r>
            <w:r w:rsidR="00E022C9">
              <w:t>uchenne muscular dystrophy</w:t>
            </w:r>
            <w:r w:rsidRPr="00422826">
              <w:t xml:space="preserve"> </w:t>
            </w:r>
            <w:r w:rsidR="00E022C9">
              <w:t>p</w:t>
            </w:r>
            <w:r w:rsidRPr="00422826">
              <w:t>ati</w:t>
            </w:r>
            <w:r w:rsidR="00E022C9">
              <w:t>e</w:t>
            </w:r>
            <w:r w:rsidRPr="00422826">
              <w:t>nts</w:t>
            </w:r>
            <w:r w:rsidRPr="008107E1">
              <w:t xml:space="preserve"> </w:t>
            </w:r>
            <w:r w:rsidR="00E022C9">
              <w:t>r</w:t>
            </w:r>
            <w:r w:rsidRPr="00422826">
              <w:t>eceiving</w:t>
            </w:r>
            <w:r w:rsidRPr="008107E1">
              <w:rPr>
                <w:color w:val="auto"/>
                <w:szCs w:val="22"/>
                <w:lang w:eastAsia="en-US"/>
              </w:rPr>
              <w:t xml:space="preserve"> </w:t>
            </w:r>
            <w:r w:rsidR="00E022C9">
              <w:t>g</w:t>
            </w:r>
            <w:r w:rsidRPr="008107E1">
              <w:t>lucoc</w:t>
            </w:r>
            <w:r w:rsidR="00E022C9">
              <w:t>o</w:t>
            </w:r>
            <w:r w:rsidRPr="008107E1">
              <w:t xml:space="preserve">rticoid </w:t>
            </w:r>
            <w:r w:rsidR="00E022C9">
              <w:t>s</w:t>
            </w:r>
            <w:r w:rsidRPr="008107E1">
              <w:t>teroids</w:t>
            </w:r>
          </w:p>
        </w:tc>
      </w:tr>
      <w:tr w:rsidR="00716507" w:rsidRPr="00422826" w14:paraId="343A13F3" w14:textId="77777777" w:rsidTr="00716507">
        <w:tc>
          <w:tcPr>
            <w:tcW w:w="1950" w:type="dxa"/>
          </w:tcPr>
          <w:p w14:paraId="137F218A" w14:textId="77777777" w:rsidR="00716507" w:rsidRPr="00422826" w:rsidRDefault="00716507" w:rsidP="00716507">
            <w:r w:rsidRPr="00422826">
              <w:t>SmPC</w:t>
            </w:r>
          </w:p>
        </w:tc>
        <w:tc>
          <w:tcPr>
            <w:tcW w:w="6911" w:type="dxa"/>
          </w:tcPr>
          <w:p w14:paraId="0F366129" w14:textId="72B7A841" w:rsidR="00716507" w:rsidRPr="00422826" w:rsidRDefault="00716507" w:rsidP="00716507">
            <w:r w:rsidRPr="00422826">
              <w:t>Summary of Product</w:t>
            </w:r>
            <w:r w:rsidRPr="008107E1">
              <w:t xml:space="preserve"> </w:t>
            </w:r>
            <w:r w:rsidRPr="00422826">
              <w:t>Characteristics</w:t>
            </w:r>
            <w:r w:rsidR="00E022C9">
              <w:t xml:space="preserve"> (EU)</w:t>
            </w:r>
          </w:p>
        </w:tc>
      </w:tr>
      <w:tr w:rsidR="00716507" w:rsidRPr="00AE5950" w14:paraId="0EA4EA9B" w14:textId="77777777" w:rsidTr="00716507">
        <w:tc>
          <w:tcPr>
            <w:tcW w:w="1950" w:type="dxa"/>
          </w:tcPr>
          <w:p w14:paraId="331C11A4" w14:textId="77777777" w:rsidR="00716507" w:rsidRPr="00422826" w:rsidRDefault="00716507" w:rsidP="00716507">
            <w:r>
              <w:t>SOC</w:t>
            </w:r>
          </w:p>
        </w:tc>
        <w:tc>
          <w:tcPr>
            <w:tcW w:w="6911" w:type="dxa"/>
          </w:tcPr>
          <w:p w14:paraId="56DD9B8A" w14:textId="77777777" w:rsidR="00716507" w:rsidRPr="00AE5950" w:rsidRDefault="00716507" w:rsidP="00716507">
            <w:r w:rsidRPr="00AE5950">
              <w:rPr>
                <w:bCs/>
              </w:rPr>
              <w:t>System Organ Class</w:t>
            </w:r>
          </w:p>
        </w:tc>
      </w:tr>
      <w:tr w:rsidR="00716507" w:rsidRPr="00422826" w14:paraId="22AD0B97" w14:textId="77777777" w:rsidTr="00716507">
        <w:tc>
          <w:tcPr>
            <w:tcW w:w="1950" w:type="dxa"/>
          </w:tcPr>
          <w:p w14:paraId="67C8FE3E" w14:textId="77777777" w:rsidR="00716507" w:rsidRPr="00422826" w:rsidRDefault="00716507" w:rsidP="00716507">
            <w:r w:rsidRPr="00422826">
              <w:t>t</w:t>
            </w:r>
          </w:p>
        </w:tc>
        <w:tc>
          <w:tcPr>
            <w:tcW w:w="6911" w:type="dxa"/>
          </w:tcPr>
          <w:p w14:paraId="24CE8ABC" w14:textId="77777777" w:rsidR="00716507" w:rsidRPr="00422826" w:rsidRDefault="00716507" w:rsidP="00716507">
            <w:r w:rsidRPr="00422826">
              <w:t>Time</w:t>
            </w:r>
          </w:p>
        </w:tc>
      </w:tr>
      <w:tr w:rsidR="00716507" w:rsidRPr="00422826" w14:paraId="1B2FFF08" w14:textId="77777777" w:rsidTr="00716507">
        <w:tc>
          <w:tcPr>
            <w:tcW w:w="1950" w:type="dxa"/>
          </w:tcPr>
          <w:p w14:paraId="63A269A8" w14:textId="77777777" w:rsidR="00716507" w:rsidRPr="00422826" w:rsidRDefault="00716507" w:rsidP="00716507">
            <w:r w:rsidRPr="00422826">
              <w:t>TEAE</w:t>
            </w:r>
          </w:p>
        </w:tc>
        <w:tc>
          <w:tcPr>
            <w:tcW w:w="6911" w:type="dxa"/>
          </w:tcPr>
          <w:p w14:paraId="68BC4F02" w14:textId="77777777" w:rsidR="00716507" w:rsidRPr="00422826" w:rsidRDefault="00716507" w:rsidP="00716507">
            <w:r w:rsidRPr="00422826">
              <w:t>Treatment emergent adverse</w:t>
            </w:r>
            <w:r w:rsidRPr="008107E1">
              <w:t xml:space="preserve"> </w:t>
            </w:r>
            <w:r w:rsidRPr="00422826">
              <w:t>event</w:t>
            </w:r>
          </w:p>
        </w:tc>
      </w:tr>
      <w:tr w:rsidR="00716507" w:rsidRPr="00422826" w14:paraId="4FA568D1" w14:textId="77777777" w:rsidTr="00716507">
        <w:tc>
          <w:tcPr>
            <w:tcW w:w="1950" w:type="dxa"/>
          </w:tcPr>
          <w:p w14:paraId="1B57A0B0" w14:textId="77777777" w:rsidR="00716507" w:rsidRPr="00422826" w:rsidRDefault="00ED6165" w:rsidP="00716507">
            <w:r>
              <w:t>TDS</w:t>
            </w:r>
          </w:p>
        </w:tc>
        <w:tc>
          <w:tcPr>
            <w:tcW w:w="6911" w:type="dxa"/>
          </w:tcPr>
          <w:p w14:paraId="0BBC3E0E" w14:textId="77777777" w:rsidR="00716507" w:rsidRPr="00422826" w:rsidRDefault="00ED6165" w:rsidP="00ED6165">
            <w:r>
              <w:t>Three times daily</w:t>
            </w:r>
          </w:p>
        </w:tc>
      </w:tr>
      <w:tr w:rsidR="00716507" w:rsidRPr="00422826" w14:paraId="2D2164A3" w14:textId="77777777" w:rsidTr="00716507">
        <w:tc>
          <w:tcPr>
            <w:tcW w:w="1950" w:type="dxa"/>
          </w:tcPr>
          <w:p w14:paraId="17B2E994" w14:textId="77777777" w:rsidR="00716507" w:rsidRPr="00422826" w:rsidRDefault="00716507" w:rsidP="00716507">
            <w:r w:rsidRPr="00422826">
              <w:t>WBC</w:t>
            </w:r>
          </w:p>
        </w:tc>
        <w:tc>
          <w:tcPr>
            <w:tcW w:w="6911" w:type="dxa"/>
          </w:tcPr>
          <w:p w14:paraId="45B78977" w14:textId="77777777" w:rsidR="00716507" w:rsidRPr="00422826" w:rsidRDefault="00716507" w:rsidP="00716507">
            <w:r w:rsidRPr="00422826">
              <w:t>White blood</w:t>
            </w:r>
            <w:r w:rsidRPr="008107E1">
              <w:t xml:space="preserve"> </w:t>
            </w:r>
            <w:r w:rsidRPr="00422826">
              <w:t>cells</w:t>
            </w:r>
          </w:p>
        </w:tc>
      </w:tr>
      <w:tr w:rsidR="00716507" w14:paraId="35F00642" w14:textId="77777777" w:rsidTr="00716507">
        <w:tc>
          <w:tcPr>
            <w:tcW w:w="1950" w:type="dxa"/>
          </w:tcPr>
          <w:p w14:paraId="751E82D9" w14:textId="0ABECCDD" w:rsidR="00716507" w:rsidRPr="008107E1" w:rsidRDefault="00716507" w:rsidP="00716507">
            <w:r w:rsidRPr="008107E1">
              <w:t>μ</w:t>
            </w:r>
            <w:r w:rsidR="00E022C9">
              <w:t>g</w:t>
            </w:r>
          </w:p>
        </w:tc>
        <w:tc>
          <w:tcPr>
            <w:tcW w:w="6911" w:type="dxa"/>
          </w:tcPr>
          <w:p w14:paraId="2E8EC388" w14:textId="4775EC90" w:rsidR="00716507" w:rsidRDefault="00716507" w:rsidP="00716507">
            <w:r w:rsidRPr="008107E1">
              <w:t>Micro</w:t>
            </w:r>
            <w:r w:rsidR="00E022C9">
              <w:t>gram(s)</w:t>
            </w:r>
          </w:p>
        </w:tc>
      </w:tr>
      <w:tr w:rsidR="00E022C9" w14:paraId="06F8257B" w14:textId="77777777" w:rsidTr="00716507">
        <w:tc>
          <w:tcPr>
            <w:tcW w:w="1950" w:type="dxa"/>
          </w:tcPr>
          <w:p w14:paraId="0A79FC12" w14:textId="3E764BB0" w:rsidR="00E022C9" w:rsidRPr="008107E1" w:rsidRDefault="00E022C9" w:rsidP="00716507">
            <w:r w:rsidRPr="008107E1">
              <w:t>μ</w:t>
            </w:r>
            <w:r>
              <w:t>L</w:t>
            </w:r>
          </w:p>
        </w:tc>
        <w:tc>
          <w:tcPr>
            <w:tcW w:w="6911" w:type="dxa"/>
          </w:tcPr>
          <w:p w14:paraId="04C7FB16" w14:textId="5B427242" w:rsidR="00E022C9" w:rsidRPr="008107E1" w:rsidRDefault="00E022C9" w:rsidP="00716507">
            <w:r>
              <w:t>Microlitre(s)</w:t>
            </w:r>
          </w:p>
        </w:tc>
      </w:tr>
    </w:tbl>
    <w:p w14:paraId="542CE140" w14:textId="77777777" w:rsidR="00FD119B" w:rsidRDefault="00FD119B" w:rsidP="00FD119B"/>
    <w:p w14:paraId="58CA34D5"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059AE63" w14:textId="77777777" w:rsidR="008E7846" w:rsidRDefault="00F53C07" w:rsidP="008E7846">
      <w:pPr>
        <w:pStyle w:val="Heading2"/>
      </w:pPr>
      <w:bookmarkStart w:id="9" w:name="_Toc32828514"/>
      <w:r>
        <w:lastRenderedPageBreak/>
        <w:t>I.</w:t>
      </w:r>
      <w:r w:rsidR="008E7846">
        <w:t xml:space="preserve"> Introduction to product submission</w:t>
      </w:r>
      <w:bookmarkEnd w:id="9"/>
      <w:bookmarkEnd w:id="3"/>
      <w:bookmarkEnd w:id="1"/>
    </w:p>
    <w:p w14:paraId="6B83F217" w14:textId="77777777" w:rsidR="008E7846" w:rsidRDefault="008E7846" w:rsidP="008E7846">
      <w:pPr>
        <w:pStyle w:val="Heading3"/>
        <w:rPr>
          <w:lang w:eastAsia="en-AU"/>
        </w:rPr>
      </w:pPr>
      <w:bookmarkStart w:id="10" w:name="_Toc247691502"/>
      <w:bookmarkStart w:id="11" w:name="_Toc314842483"/>
      <w:bookmarkStart w:id="12" w:name="_Toc32828515"/>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28FCC99F" w14:textId="77777777" w:rsidTr="003735BC">
        <w:tc>
          <w:tcPr>
            <w:tcW w:w="2907" w:type="dxa"/>
          </w:tcPr>
          <w:p w14:paraId="3FEB4C4C"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0DAE7D6" w14:textId="77777777" w:rsidR="008E7846" w:rsidRPr="003D1E62" w:rsidRDefault="008E7846" w:rsidP="006B7770">
            <w:r w:rsidRPr="003D1E62">
              <w:t xml:space="preserve">New </w:t>
            </w:r>
            <w:r w:rsidR="001B5C90">
              <w:t>c</w:t>
            </w:r>
            <w:r w:rsidRPr="003D1E62">
              <w:t xml:space="preserve">hemical </w:t>
            </w:r>
            <w:r w:rsidR="001B5C90">
              <w:t>e</w:t>
            </w:r>
            <w:r w:rsidR="006B7770">
              <w:t>ntity</w:t>
            </w:r>
          </w:p>
        </w:tc>
      </w:tr>
      <w:tr w:rsidR="008E7846" w:rsidRPr="003D1E62" w14:paraId="48FEA16E" w14:textId="77777777" w:rsidTr="003735BC">
        <w:tc>
          <w:tcPr>
            <w:tcW w:w="2907" w:type="dxa"/>
          </w:tcPr>
          <w:p w14:paraId="04CF9A2E" w14:textId="77777777" w:rsidR="008E7846" w:rsidRPr="003D1E62" w:rsidRDefault="008E7846" w:rsidP="003D1E62">
            <w:r w:rsidRPr="003D1E62">
              <w:rPr>
                <w:i/>
              </w:rPr>
              <w:t>Decision</w:t>
            </w:r>
            <w:r w:rsidRPr="003D1E62">
              <w:t>:</w:t>
            </w:r>
          </w:p>
        </w:tc>
        <w:tc>
          <w:tcPr>
            <w:tcW w:w="6307" w:type="dxa"/>
          </w:tcPr>
          <w:p w14:paraId="2B5A79C7" w14:textId="77777777" w:rsidR="008E7846" w:rsidRPr="003D1E62" w:rsidRDefault="006B7770" w:rsidP="001B5C90">
            <w:r>
              <w:t>W</w:t>
            </w:r>
            <w:r w:rsidR="008E7846" w:rsidRPr="003D1E62">
              <w:t>ithdrawn</w:t>
            </w:r>
          </w:p>
        </w:tc>
      </w:tr>
      <w:tr w:rsidR="008E7846" w:rsidRPr="003D1E62" w14:paraId="25403227" w14:textId="77777777" w:rsidTr="003735BC">
        <w:tc>
          <w:tcPr>
            <w:tcW w:w="2907" w:type="dxa"/>
          </w:tcPr>
          <w:p w14:paraId="6B83E681"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E2ED222" w14:textId="77777777" w:rsidR="008E7846" w:rsidRPr="003D1E62" w:rsidRDefault="0094785E" w:rsidP="0094785E">
            <w:r>
              <w:t>Application withdrawn 21 August 2018</w:t>
            </w:r>
          </w:p>
        </w:tc>
      </w:tr>
      <w:tr w:rsidR="00ED2922" w:rsidRPr="003D1E62" w14:paraId="6DE5B562" w14:textId="77777777" w:rsidTr="003735BC">
        <w:tc>
          <w:tcPr>
            <w:tcW w:w="2907" w:type="dxa"/>
          </w:tcPr>
          <w:p w14:paraId="2AD0C6CE" w14:textId="77777777" w:rsidR="00ED2922" w:rsidRPr="00441C3F" w:rsidRDefault="00ED2922" w:rsidP="001B5C90">
            <w:pPr>
              <w:rPr>
                <w:i/>
              </w:rPr>
            </w:pPr>
            <w:r w:rsidRPr="00441C3F">
              <w:rPr>
                <w:i/>
              </w:rPr>
              <w:t>Date of entry onto ARTG</w:t>
            </w:r>
            <w:r w:rsidR="00500337">
              <w:rPr>
                <w:i/>
              </w:rPr>
              <w:t>:</w:t>
            </w:r>
          </w:p>
        </w:tc>
        <w:tc>
          <w:tcPr>
            <w:tcW w:w="6307" w:type="dxa"/>
          </w:tcPr>
          <w:p w14:paraId="26678F00" w14:textId="77777777" w:rsidR="00ED2922" w:rsidRPr="00441C3F" w:rsidRDefault="006B7770" w:rsidP="00D153D8">
            <w:pPr>
              <w:rPr>
                <w:i/>
              </w:rPr>
            </w:pPr>
            <w:r>
              <w:t>Not applicable</w:t>
            </w:r>
          </w:p>
        </w:tc>
      </w:tr>
      <w:tr w:rsidR="00500337" w:rsidRPr="003D1E62" w14:paraId="649C0434" w14:textId="77777777" w:rsidTr="003735BC">
        <w:tc>
          <w:tcPr>
            <w:tcW w:w="2907" w:type="dxa"/>
          </w:tcPr>
          <w:p w14:paraId="206C6E42" w14:textId="77777777" w:rsidR="00500337" w:rsidRPr="00441C3F" w:rsidRDefault="006B7770" w:rsidP="001B5C90">
            <w:pPr>
              <w:rPr>
                <w:i/>
              </w:rPr>
            </w:pPr>
            <w:r>
              <w:rPr>
                <w:i/>
              </w:rPr>
              <w:t>ARTG number</w:t>
            </w:r>
            <w:r w:rsidR="00500337">
              <w:rPr>
                <w:i/>
              </w:rPr>
              <w:t>:</w:t>
            </w:r>
          </w:p>
        </w:tc>
        <w:tc>
          <w:tcPr>
            <w:tcW w:w="6307" w:type="dxa"/>
          </w:tcPr>
          <w:p w14:paraId="7ACEA4FA" w14:textId="77777777" w:rsidR="00500337" w:rsidRPr="00441C3F" w:rsidRDefault="006B7770" w:rsidP="00EC463D">
            <w:r>
              <w:t>Not applicable</w:t>
            </w:r>
          </w:p>
        </w:tc>
      </w:tr>
      <w:tr w:rsidR="008E7846" w:rsidRPr="00487162" w14:paraId="24BC2A05" w14:textId="77777777" w:rsidTr="00BF1190">
        <w:tc>
          <w:tcPr>
            <w:tcW w:w="2907" w:type="dxa"/>
          </w:tcPr>
          <w:p w14:paraId="2CEEFE89" w14:textId="77777777" w:rsidR="008E7846" w:rsidRPr="00487162" w:rsidRDefault="006B7770" w:rsidP="00E45619">
            <w:pPr>
              <w:rPr>
                <w:i/>
              </w:rPr>
            </w:pPr>
            <w:r>
              <w:rPr>
                <w:i/>
              </w:rPr>
              <w:t>Active ingredient</w:t>
            </w:r>
            <w:r w:rsidR="001B5C90">
              <w:rPr>
                <w:i/>
              </w:rPr>
              <w:t>:</w:t>
            </w:r>
          </w:p>
        </w:tc>
        <w:tc>
          <w:tcPr>
            <w:tcW w:w="6307" w:type="dxa"/>
          </w:tcPr>
          <w:p w14:paraId="67A7A043" w14:textId="10B83FB4" w:rsidR="008E7846" w:rsidRPr="00487162" w:rsidRDefault="002515BB" w:rsidP="00E55CB0">
            <w:r>
              <w:t>I</w:t>
            </w:r>
            <w:r w:rsidR="006B7770" w:rsidRPr="00BB637E">
              <w:t>debenone</w:t>
            </w:r>
          </w:p>
        </w:tc>
      </w:tr>
      <w:tr w:rsidR="008E7846" w:rsidRPr="00487162" w14:paraId="0C9176E6" w14:textId="77777777" w:rsidTr="00BF1190">
        <w:tc>
          <w:tcPr>
            <w:tcW w:w="2907" w:type="dxa"/>
          </w:tcPr>
          <w:p w14:paraId="61A4C912" w14:textId="77777777" w:rsidR="008E7846" w:rsidRPr="00487162" w:rsidRDefault="008E7846" w:rsidP="001B5C90">
            <w:pPr>
              <w:rPr>
                <w:i/>
              </w:rPr>
            </w:pPr>
            <w:r w:rsidRPr="00487162">
              <w:rPr>
                <w:i/>
              </w:rPr>
              <w:t>Product</w:t>
            </w:r>
            <w:r w:rsidR="006B7770">
              <w:rPr>
                <w:i/>
              </w:rPr>
              <w:t xml:space="preserve"> name</w:t>
            </w:r>
            <w:r w:rsidR="001B5C90">
              <w:rPr>
                <w:i/>
              </w:rPr>
              <w:t>:</w:t>
            </w:r>
          </w:p>
        </w:tc>
        <w:tc>
          <w:tcPr>
            <w:tcW w:w="6307" w:type="dxa"/>
          </w:tcPr>
          <w:p w14:paraId="09C2ADC8" w14:textId="77777777" w:rsidR="008E7846" w:rsidRPr="00487162" w:rsidRDefault="006B7770" w:rsidP="00E45619">
            <w:r w:rsidRPr="00BB637E">
              <w:t>Raxone</w:t>
            </w:r>
          </w:p>
        </w:tc>
      </w:tr>
      <w:tr w:rsidR="008E7846" w:rsidRPr="00487162" w14:paraId="2569DEBE" w14:textId="77777777" w:rsidTr="00BF1190">
        <w:tc>
          <w:tcPr>
            <w:tcW w:w="2907" w:type="dxa"/>
          </w:tcPr>
          <w:p w14:paraId="438B1398"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F273821" w14:textId="77777777" w:rsidR="008E7846" w:rsidRDefault="006B7770" w:rsidP="00E45619">
            <w:r w:rsidRPr="00BB637E">
              <w:t>JACE Pharma Pty Ltd</w:t>
            </w:r>
          </w:p>
          <w:p w14:paraId="53BAB767" w14:textId="77777777" w:rsidR="00DA07D6" w:rsidRDefault="00DA07D6" w:rsidP="00E45619">
            <w:r>
              <w:t>20 Clutha St</w:t>
            </w:r>
          </w:p>
          <w:p w14:paraId="497B9758" w14:textId="2AC228B2" w:rsidR="00DA07D6" w:rsidRPr="00487162" w:rsidRDefault="00DA07D6" w:rsidP="00E45619">
            <w:r>
              <w:t>West Lake QLD 4074</w:t>
            </w:r>
          </w:p>
        </w:tc>
      </w:tr>
      <w:tr w:rsidR="008E7846" w:rsidRPr="00487162" w14:paraId="0B780B39" w14:textId="77777777" w:rsidTr="00BF1190">
        <w:tc>
          <w:tcPr>
            <w:tcW w:w="2907" w:type="dxa"/>
          </w:tcPr>
          <w:p w14:paraId="6992D558" w14:textId="77777777" w:rsidR="008E7846" w:rsidRPr="00487162" w:rsidRDefault="0094785E" w:rsidP="00E45619">
            <w:pPr>
              <w:rPr>
                <w:i/>
              </w:rPr>
            </w:pPr>
            <w:r>
              <w:rPr>
                <w:i/>
              </w:rPr>
              <w:t>Dose form</w:t>
            </w:r>
            <w:r w:rsidR="001B5C90">
              <w:rPr>
                <w:i/>
              </w:rPr>
              <w:t>:</w:t>
            </w:r>
          </w:p>
        </w:tc>
        <w:tc>
          <w:tcPr>
            <w:tcW w:w="6307" w:type="dxa"/>
          </w:tcPr>
          <w:p w14:paraId="410F8542" w14:textId="77777777" w:rsidR="008E7846" w:rsidRPr="00487162" w:rsidRDefault="0094785E" w:rsidP="00E45619">
            <w:r>
              <w:t>Film coated tablet</w:t>
            </w:r>
          </w:p>
        </w:tc>
      </w:tr>
      <w:tr w:rsidR="008E7846" w:rsidRPr="00487162" w14:paraId="3F0CC3F3" w14:textId="77777777" w:rsidTr="00BF1190">
        <w:tc>
          <w:tcPr>
            <w:tcW w:w="2907" w:type="dxa"/>
          </w:tcPr>
          <w:p w14:paraId="17533FCF" w14:textId="77777777" w:rsidR="008E7846" w:rsidRPr="00487162" w:rsidRDefault="0094785E" w:rsidP="00E45619">
            <w:pPr>
              <w:rPr>
                <w:i/>
              </w:rPr>
            </w:pPr>
            <w:r>
              <w:rPr>
                <w:i/>
              </w:rPr>
              <w:t>Strength:</w:t>
            </w:r>
          </w:p>
        </w:tc>
        <w:tc>
          <w:tcPr>
            <w:tcW w:w="6307" w:type="dxa"/>
          </w:tcPr>
          <w:p w14:paraId="6FC3A138" w14:textId="77777777" w:rsidR="008E7846" w:rsidRPr="00487162" w:rsidRDefault="0094785E" w:rsidP="00E45619">
            <w:r>
              <w:t>150 mg</w:t>
            </w:r>
          </w:p>
        </w:tc>
      </w:tr>
      <w:tr w:rsidR="008E7846" w:rsidRPr="00487162" w14:paraId="0147433F" w14:textId="77777777" w:rsidTr="00BF1190">
        <w:tc>
          <w:tcPr>
            <w:tcW w:w="2907" w:type="dxa"/>
          </w:tcPr>
          <w:p w14:paraId="67C61C9D" w14:textId="77777777" w:rsidR="008E7846" w:rsidRPr="00487162" w:rsidRDefault="0094785E" w:rsidP="00E45619">
            <w:pPr>
              <w:rPr>
                <w:i/>
              </w:rPr>
            </w:pPr>
            <w:r>
              <w:rPr>
                <w:i/>
              </w:rPr>
              <w:t>Container</w:t>
            </w:r>
            <w:r w:rsidR="008E7846" w:rsidRPr="00487162">
              <w:rPr>
                <w:i/>
              </w:rPr>
              <w:t>:</w:t>
            </w:r>
          </w:p>
        </w:tc>
        <w:tc>
          <w:tcPr>
            <w:tcW w:w="6307" w:type="dxa"/>
          </w:tcPr>
          <w:p w14:paraId="36449CFC" w14:textId="77777777" w:rsidR="008E7846" w:rsidRPr="00487162" w:rsidRDefault="0094785E" w:rsidP="00E45619">
            <w:r>
              <w:t>bottle</w:t>
            </w:r>
          </w:p>
        </w:tc>
      </w:tr>
      <w:tr w:rsidR="008E7846" w:rsidRPr="00487162" w14:paraId="200E5D69" w14:textId="77777777" w:rsidTr="00BF1190">
        <w:tc>
          <w:tcPr>
            <w:tcW w:w="2907" w:type="dxa"/>
          </w:tcPr>
          <w:p w14:paraId="25EB773E" w14:textId="77777777" w:rsidR="008E7846" w:rsidRPr="00487162" w:rsidRDefault="00DA3C41" w:rsidP="00E45619">
            <w:pPr>
              <w:rPr>
                <w:i/>
              </w:rPr>
            </w:pPr>
            <w:r>
              <w:rPr>
                <w:i/>
              </w:rPr>
              <w:t>Pack size</w:t>
            </w:r>
            <w:r w:rsidR="008E7846" w:rsidRPr="00487162">
              <w:rPr>
                <w:i/>
              </w:rPr>
              <w:t>:</w:t>
            </w:r>
          </w:p>
        </w:tc>
        <w:tc>
          <w:tcPr>
            <w:tcW w:w="6307" w:type="dxa"/>
          </w:tcPr>
          <w:p w14:paraId="554A5792" w14:textId="00D30B96" w:rsidR="008E7846" w:rsidRPr="00487162" w:rsidRDefault="002515BB" w:rsidP="00E45619">
            <w:r>
              <w:t>Not applicable</w:t>
            </w:r>
          </w:p>
        </w:tc>
      </w:tr>
      <w:tr w:rsidR="008E7846" w:rsidRPr="00487162" w14:paraId="5251F86D" w14:textId="77777777" w:rsidTr="00BF1190">
        <w:tc>
          <w:tcPr>
            <w:tcW w:w="2907" w:type="dxa"/>
          </w:tcPr>
          <w:p w14:paraId="62224D60"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8FF399C" w14:textId="22AC1BE5" w:rsidR="008E7846" w:rsidRPr="00487162" w:rsidRDefault="002515BB" w:rsidP="00E45619">
            <w:pPr>
              <w:rPr>
                <w:rFonts w:eastAsia="MS Mincho"/>
                <w:lang w:eastAsia="ja-JP"/>
              </w:rPr>
            </w:pPr>
            <w:r>
              <w:t>Not applicable</w:t>
            </w:r>
          </w:p>
        </w:tc>
      </w:tr>
      <w:tr w:rsidR="008E7846" w:rsidRPr="00487162" w14:paraId="0A57894B" w14:textId="77777777" w:rsidTr="00BF1190">
        <w:tc>
          <w:tcPr>
            <w:tcW w:w="2907" w:type="dxa"/>
          </w:tcPr>
          <w:p w14:paraId="2DB456E0" w14:textId="77777777" w:rsidR="008E7846" w:rsidRPr="00487162" w:rsidRDefault="006B7770" w:rsidP="00E45619">
            <w:pPr>
              <w:rPr>
                <w:i/>
              </w:rPr>
            </w:pPr>
            <w:r>
              <w:rPr>
                <w:i/>
              </w:rPr>
              <w:t>Route</w:t>
            </w:r>
            <w:r w:rsidR="008E7846" w:rsidRPr="00487162">
              <w:rPr>
                <w:i/>
              </w:rPr>
              <w:t xml:space="preserve"> of administration:</w:t>
            </w:r>
          </w:p>
        </w:tc>
        <w:tc>
          <w:tcPr>
            <w:tcW w:w="6307" w:type="dxa"/>
          </w:tcPr>
          <w:p w14:paraId="7A758AB7" w14:textId="77777777" w:rsidR="008E7846" w:rsidRPr="00487162" w:rsidRDefault="006B7770" w:rsidP="00E45619">
            <w:r>
              <w:t>Oral</w:t>
            </w:r>
          </w:p>
        </w:tc>
      </w:tr>
      <w:tr w:rsidR="008E7846" w:rsidRPr="00487162" w14:paraId="4068984F" w14:textId="77777777" w:rsidTr="00BF1190">
        <w:tc>
          <w:tcPr>
            <w:tcW w:w="2907" w:type="dxa"/>
          </w:tcPr>
          <w:p w14:paraId="5B3AAAA2" w14:textId="77777777" w:rsidR="008E7846" w:rsidRPr="00487162" w:rsidRDefault="008E7846" w:rsidP="00E45619">
            <w:pPr>
              <w:rPr>
                <w:i/>
              </w:rPr>
            </w:pPr>
            <w:r w:rsidRPr="00487162">
              <w:rPr>
                <w:i/>
              </w:rPr>
              <w:t>Dosage:</w:t>
            </w:r>
          </w:p>
        </w:tc>
        <w:tc>
          <w:tcPr>
            <w:tcW w:w="6307" w:type="dxa"/>
          </w:tcPr>
          <w:p w14:paraId="74B0DF04" w14:textId="7F2BF1DF" w:rsidR="008E7846" w:rsidRPr="00487162" w:rsidRDefault="002515BB" w:rsidP="00E45619">
            <w:r>
              <w:t>Not applicable</w:t>
            </w:r>
          </w:p>
        </w:tc>
      </w:tr>
    </w:tbl>
    <w:p w14:paraId="07A7F248" w14:textId="77777777" w:rsidR="008E7846" w:rsidRDefault="008E7846" w:rsidP="00DA3C41">
      <w:pPr>
        <w:pStyle w:val="Heading3"/>
        <w:pageBreakBefore/>
      </w:pPr>
      <w:bookmarkStart w:id="13" w:name="_Toc247691503"/>
      <w:bookmarkStart w:id="14" w:name="_Toc314842484"/>
      <w:bookmarkStart w:id="15" w:name="_Toc32828516"/>
      <w:r>
        <w:lastRenderedPageBreak/>
        <w:t>Product background</w:t>
      </w:r>
      <w:bookmarkEnd w:id="13"/>
      <w:bookmarkEnd w:id="14"/>
      <w:bookmarkEnd w:id="15"/>
    </w:p>
    <w:p w14:paraId="510676FE" w14:textId="168EA970" w:rsidR="008E7846" w:rsidRDefault="00940A89" w:rsidP="00940A89">
      <w:r w:rsidRPr="00940A89">
        <w:t xml:space="preserve">This AusPAR describes the application by </w:t>
      </w:r>
      <w:r w:rsidR="0094785E">
        <w:t>JACE Pharma Pty Ltd (</w:t>
      </w:r>
      <w:r w:rsidRPr="00940A89">
        <w:t>the sponsor</w:t>
      </w:r>
      <w:r w:rsidR="0094785E">
        <w:t>)</w:t>
      </w:r>
      <w:r w:rsidR="008E19EB">
        <w:t>, on behalf of Santhera Pharmaceuticals</w:t>
      </w:r>
      <w:r w:rsidR="004C590F">
        <w:t xml:space="preserve"> (Switzerland) Ltd</w:t>
      </w:r>
      <w:r w:rsidRPr="00940A89">
        <w:t xml:space="preserve"> to register </w:t>
      </w:r>
      <w:r w:rsidR="0094785E">
        <w:t>Raxone idebenone 150</w:t>
      </w:r>
      <w:r w:rsidR="001601AD">
        <w:t xml:space="preserve"> mg</w:t>
      </w:r>
      <w:r w:rsidR="0094785E">
        <w:t xml:space="preserve"> film coated tablets </w:t>
      </w:r>
      <w:r w:rsidRPr="00940A89">
        <w:t>f</w:t>
      </w:r>
      <w:r w:rsidR="0094785E">
        <w:t>or the following indication:</w:t>
      </w:r>
    </w:p>
    <w:p w14:paraId="000FC904" w14:textId="77777777" w:rsidR="00441AF6" w:rsidRPr="00DB3203" w:rsidRDefault="0094785E" w:rsidP="00DB3203">
      <w:pPr>
        <w:ind w:left="720"/>
        <w:rPr>
          <w:i/>
        </w:rPr>
      </w:pPr>
      <w:r w:rsidRPr="0094785E">
        <w:rPr>
          <w:i/>
        </w:rPr>
        <w:t>Raxone is for the treatment of patients with Duchenne Muscular Dystrophy (DMD) for whom the respiratory function has started to decline and who are currently not taking concomitant glucocorticoids. Raxone can be used in patients previously treated with glucocorticoids or in patients in whom glucocorticoid treatment is not desired, not t</w:t>
      </w:r>
      <w:r>
        <w:rPr>
          <w:i/>
        </w:rPr>
        <w:t>olerated or is contraindicated.</w:t>
      </w:r>
    </w:p>
    <w:p w14:paraId="789F50A7" w14:textId="77777777" w:rsidR="00DB3203" w:rsidRDefault="00CC7A8E" w:rsidP="00DB3203">
      <w:r w:rsidRPr="00CC7A8E">
        <w:t xml:space="preserve">Untreated, the gradual loss of respiratory function </w:t>
      </w:r>
      <w:r w:rsidRPr="00DB3203">
        <w:t xml:space="preserve">in </w:t>
      </w:r>
      <w:r w:rsidR="00DB3203" w:rsidRPr="00DB3203">
        <w:t xml:space="preserve">Duchenne </w:t>
      </w:r>
      <w:r w:rsidR="0002337A" w:rsidRPr="00DB3203">
        <w:t>muscular dystrophy</w:t>
      </w:r>
      <w:r w:rsidR="00ED6165">
        <w:rPr>
          <w:i/>
        </w:rPr>
        <w:t> </w:t>
      </w:r>
      <w:r w:rsidR="00DB3203">
        <w:t>(</w:t>
      </w:r>
      <w:r w:rsidRPr="00CC7A8E">
        <w:t>DMD</w:t>
      </w:r>
      <w:r w:rsidR="00DB3203">
        <w:t>)</w:t>
      </w:r>
      <w:r w:rsidRPr="00CC7A8E">
        <w:t xml:space="preserve"> usually begins early in the second decade and progresses to restrictive pulmonary syndrome and respiratory failure and the need for assisted ventilation (nocturnal and then daytime), usually from the mid–to-late teens</w:t>
      </w:r>
      <w:r w:rsidR="008E26F9">
        <w:t>.</w:t>
      </w:r>
      <w:r w:rsidR="008E26F9">
        <w:rPr>
          <w:rStyle w:val="FootnoteReference"/>
        </w:rPr>
        <w:footnoteReference w:id="1"/>
      </w:r>
      <w:r w:rsidRPr="00CC7A8E">
        <w:t xml:space="preserve"> Aggressive respiratory management aimed at improving respiratory muscle strength and endurance has a significant impact on life expectancy</w:t>
      </w:r>
      <w:r w:rsidR="008E26F9">
        <w:t>;</w:t>
      </w:r>
      <w:r w:rsidR="008E26F9">
        <w:rPr>
          <w:rStyle w:val="FootnoteReference"/>
        </w:rPr>
        <w:footnoteReference w:id="2"/>
      </w:r>
      <w:r w:rsidRPr="00CC7A8E">
        <w:t xml:space="preserve"> since with progressive loss of respiratory muscle strength, patients with DMD are at increasing risk</w:t>
      </w:r>
      <w:r w:rsidR="008E26F9">
        <w:t xml:space="preserve"> for respiratory complications.</w:t>
      </w:r>
    </w:p>
    <w:p w14:paraId="12E60B56" w14:textId="77777777" w:rsidR="00DA3C41" w:rsidRDefault="00CC7A8E" w:rsidP="00DB3203">
      <w:r w:rsidRPr="00CC7A8E">
        <w:t>Despite the recent improvements in the respiratory care of DMD patients, poor respiratory condition becomes critical with the progression of the disease, respiratory complications remain by far the most common cause of morbidity and mortality in DMD, being the cause of death in over 70% of patients</w:t>
      </w:r>
      <w:r w:rsidR="008E26F9">
        <w:t>.</w:t>
      </w:r>
      <w:r w:rsidR="008E26F9">
        <w:rPr>
          <w:rStyle w:val="FootnoteReference"/>
        </w:rPr>
        <w:footnoteReference w:id="3"/>
      </w:r>
      <w:r w:rsidRPr="00CC7A8E">
        <w:t xml:space="preserve"> Since respiratory failure is still among the main causes of death in patients affected by DMD</w:t>
      </w:r>
      <w:r w:rsidR="008E26F9">
        <w:t>;</w:t>
      </w:r>
      <w:r w:rsidR="008E26F9">
        <w:rPr>
          <w:rStyle w:val="FootnoteReference"/>
        </w:rPr>
        <w:footnoteReference w:id="4"/>
      </w:r>
      <w:r w:rsidRPr="00CC7A8E">
        <w:t xml:space="preserve"> it is extremely important to measure lung and respiratory muscle function in order to monitor the progression of the disease. Overall, at any time approximately 38% of DMD patients are either glucocorticoid</w:t>
      </w:r>
      <w:r w:rsidR="00DB3203">
        <w:t xml:space="preserve"> </w:t>
      </w:r>
      <w:r w:rsidRPr="00CC7A8E">
        <w:t>naïve or have discontinued treatment</w:t>
      </w:r>
      <w:r w:rsidR="00685A72">
        <w:t>;</w:t>
      </w:r>
      <w:r w:rsidR="00685A72">
        <w:rPr>
          <w:rStyle w:val="FootnoteReference"/>
        </w:rPr>
        <w:footnoteReference w:id="5"/>
      </w:r>
      <w:r w:rsidR="00685A72">
        <w:t xml:space="preserve"> </w:t>
      </w:r>
      <w:r w:rsidRPr="00CC7A8E">
        <w:t>with this proportion increasing in the post-ambulatory phase. There is therefore an unmet medical need for the management of respiratory function deterioration in patients not taking glucocorticoids, and thus not benefiting from the respiratory effects of the glucocorticoid steroids.</w:t>
      </w:r>
    </w:p>
    <w:p w14:paraId="1E4D9C50" w14:textId="77777777" w:rsidR="00DB3203" w:rsidRDefault="00DB3203" w:rsidP="00DB3203">
      <w:r>
        <w:t xml:space="preserve">Idebenone stimulates mitochondrial electron flux and cellular energy production and also functions as an antioxidant. It is proposed </w:t>
      </w:r>
      <w:r w:rsidR="00685A72">
        <w:t>for the treatment of patients DMD</w:t>
      </w:r>
      <w:r>
        <w:t xml:space="preserve"> for whom respiratory function has started to decline and who are currently not taking concomitant glucocorticoids.</w:t>
      </w:r>
    </w:p>
    <w:p w14:paraId="22727A23" w14:textId="77777777" w:rsidR="00DB3203" w:rsidRDefault="00DB3203" w:rsidP="00DB3203">
      <w:r>
        <w:t xml:space="preserve">The cellular pathology at the mitochondrial level in dystrophic muscle cells manifests in multiple deficiencies of various metabolic pathways to culminate in adenosine triphosphate (ATP) insufficiency and excessive </w:t>
      </w:r>
      <w:r w:rsidR="00685A72" w:rsidRPr="00422826">
        <w:t>reactive oxygen</w:t>
      </w:r>
      <w:r w:rsidR="00685A72" w:rsidRPr="008107E1">
        <w:t xml:space="preserve"> </w:t>
      </w:r>
      <w:r w:rsidR="00685A72" w:rsidRPr="00422826">
        <w:t>species</w:t>
      </w:r>
      <w:r w:rsidR="00685A72">
        <w:t xml:space="preserve"> (</w:t>
      </w:r>
      <w:r>
        <w:t>ROS</w:t>
      </w:r>
      <w:r w:rsidR="00685A72">
        <w:t>)</w:t>
      </w:r>
      <w:r>
        <w:t xml:space="preserve"> formation.</w:t>
      </w:r>
    </w:p>
    <w:p w14:paraId="1CC458B9" w14:textId="220BEE3D" w:rsidR="00685A72" w:rsidRDefault="00DB3203" w:rsidP="00CC7A8E">
      <w:r>
        <w:t>Upon entering the cell, idebenone is reduced by the cytoplasmic enzyme NADH-quinone oxidoreductase 1 (NQO1)</w:t>
      </w:r>
      <w:r w:rsidR="002515BB">
        <w:rPr>
          <w:rStyle w:val="FootnoteReference"/>
          <w:vertAlign w:val="baseline"/>
        </w:rPr>
        <w:t>;</w:t>
      </w:r>
      <w:r w:rsidR="002515BB">
        <w:rPr>
          <w:rStyle w:val="FootnoteReference"/>
        </w:rPr>
        <w:footnoteReference w:id="6"/>
      </w:r>
      <w:r>
        <w:t xml:space="preserve"> and the resulting reduced form enters the mitochondria where it is re-oxidi</w:t>
      </w:r>
      <w:r w:rsidR="002515BB">
        <w:t>s</w:t>
      </w:r>
      <w:r>
        <w:t xml:space="preserve">ed by </w:t>
      </w:r>
      <w:r w:rsidR="002515BB">
        <w:t>c</w:t>
      </w:r>
      <w:r>
        <w:t xml:space="preserve">omplex III, bypassing </w:t>
      </w:r>
      <w:r w:rsidR="002515BB">
        <w:t>c</w:t>
      </w:r>
      <w:r>
        <w:t xml:space="preserve">omplex I-dependent ATP synthesis. Idebenone can therefore restore mitochondrial function in the presence of Complex I dysfunction. </w:t>
      </w:r>
      <w:r>
        <w:lastRenderedPageBreak/>
        <w:t>Idebenone also inhibits mitochondrial ROS formation. It is proposed that idebenone prevents muscle deterioration in DMD via its ability to increase cellular energy production, reduce ROS formation and protect from cell-damaging oxidative stress</w:t>
      </w:r>
      <w:r w:rsidR="00685A72">
        <w:t>.</w:t>
      </w:r>
    </w:p>
    <w:p w14:paraId="338C7A0A" w14:textId="77777777" w:rsidR="008E7846" w:rsidRDefault="00386150" w:rsidP="008E7846">
      <w:pPr>
        <w:pStyle w:val="Heading3"/>
      </w:pPr>
      <w:bookmarkStart w:id="16" w:name="_Toc314842485"/>
      <w:bookmarkStart w:id="17" w:name="_Toc247691504"/>
      <w:bookmarkStart w:id="18" w:name="_Toc32828517"/>
      <w:r>
        <w:t>Regulatory s</w:t>
      </w:r>
      <w:r w:rsidR="008E7846">
        <w:t>tatus</w:t>
      </w:r>
      <w:bookmarkEnd w:id="16"/>
      <w:bookmarkEnd w:id="17"/>
      <w:bookmarkEnd w:id="18"/>
    </w:p>
    <w:p w14:paraId="2F329A64" w14:textId="77777777" w:rsidR="0098642B" w:rsidRDefault="0098642B" w:rsidP="0098642B">
      <w:pPr>
        <w:pStyle w:val="Heading4"/>
      </w:pPr>
      <w:r>
        <w:t>Orphan drug designation</w:t>
      </w:r>
    </w:p>
    <w:p w14:paraId="4359B01E" w14:textId="055EDFFF" w:rsidR="0098642B" w:rsidRDefault="0098642B" w:rsidP="0098642B">
      <w:pPr>
        <w:rPr>
          <w:lang w:eastAsia="ja-JP"/>
        </w:rPr>
      </w:pPr>
      <w:r w:rsidRPr="00884B95">
        <w:rPr>
          <w:lang w:eastAsia="ja-JP"/>
        </w:rPr>
        <w:t xml:space="preserve">This product was </w:t>
      </w:r>
      <w:r>
        <w:rPr>
          <w:lang w:eastAsia="ja-JP"/>
        </w:rPr>
        <w:t xml:space="preserve">granted </w:t>
      </w:r>
      <w:r w:rsidRPr="00884B95">
        <w:rPr>
          <w:lang w:eastAsia="ja-JP"/>
        </w:rPr>
        <w:t xml:space="preserve">orphan </w:t>
      </w:r>
      <w:r>
        <w:rPr>
          <w:lang w:eastAsia="ja-JP"/>
        </w:rPr>
        <w:t>drug designation</w:t>
      </w:r>
      <w:r w:rsidRPr="00884B95">
        <w:rPr>
          <w:lang w:eastAsia="ja-JP"/>
        </w:rPr>
        <w:t xml:space="preserve"> on 27 Feb</w:t>
      </w:r>
      <w:r w:rsidR="002515BB">
        <w:rPr>
          <w:lang w:eastAsia="ja-JP"/>
        </w:rPr>
        <w:t>ruary</w:t>
      </w:r>
      <w:r w:rsidRPr="00884B95">
        <w:rPr>
          <w:lang w:eastAsia="ja-JP"/>
        </w:rPr>
        <w:t xml:space="preserve"> 2017</w:t>
      </w:r>
      <w:r>
        <w:rPr>
          <w:lang w:eastAsia="ja-JP"/>
        </w:rPr>
        <w:t xml:space="preserve"> for the treatment of DMD</w:t>
      </w:r>
      <w:r w:rsidRPr="00884B95">
        <w:rPr>
          <w:lang w:eastAsia="ja-JP"/>
        </w:rPr>
        <w:t>.</w:t>
      </w:r>
      <w:r>
        <w:rPr>
          <w:lang w:eastAsia="ja-JP"/>
        </w:rPr>
        <w:t xml:space="preserve"> </w:t>
      </w:r>
      <w:r w:rsidRPr="00656F7D">
        <w:rPr>
          <w:lang w:eastAsia="ja-JP"/>
        </w:rPr>
        <w:t>The proposed indication for registration is a subset of the orphan designation.</w:t>
      </w:r>
      <w:r>
        <w:rPr>
          <w:lang w:eastAsia="ja-JP"/>
        </w:rPr>
        <w:t xml:space="preserve"> </w:t>
      </w:r>
      <w:r w:rsidRPr="00906DB0">
        <w:rPr>
          <w:lang w:eastAsia="ja-JP"/>
        </w:rPr>
        <w:t xml:space="preserve">The sponsor estimates the Australian prevalence of </w:t>
      </w:r>
      <w:r>
        <w:rPr>
          <w:lang w:eastAsia="ja-JP"/>
        </w:rPr>
        <w:t>DMD</w:t>
      </w:r>
      <w:r w:rsidRPr="00906DB0">
        <w:rPr>
          <w:lang w:eastAsia="ja-JP"/>
        </w:rPr>
        <w:t xml:space="preserve"> to be </w:t>
      </w:r>
      <w:r>
        <w:rPr>
          <w:lang w:eastAsia="ja-JP"/>
        </w:rPr>
        <w:t>between 4.8 and 7.2</w:t>
      </w:r>
      <w:r w:rsidRPr="00906DB0">
        <w:rPr>
          <w:lang w:eastAsia="ja-JP"/>
        </w:rPr>
        <w:t xml:space="preserve"> per 100,000 individuals.</w:t>
      </w:r>
    </w:p>
    <w:p w14:paraId="62C634CE" w14:textId="29B253DB" w:rsidR="0098642B" w:rsidRPr="0098642B" w:rsidRDefault="0098642B" w:rsidP="0098642B">
      <w:pPr>
        <w:rPr>
          <w:lang w:eastAsia="ja-JP"/>
        </w:rPr>
      </w:pPr>
      <w:r>
        <w:rPr>
          <w:lang w:eastAsia="ja-JP"/>
        </w:rPr>
        <w:t>The sponsor states that i</w:t>
      </w:r>
      <w:r w:rsidRPr="00630864">
        <w:rPr>
          <w:lang w:eastAsia="ja-JP"/>
        </w:rPr>
        <w:t>debenone was granted an</w:t>
      </w:r>
      <w:r>
        <w:rPr>
          <w:lang w:eastAsia="ja-JP"/>
        </w:rPr>
        <w:t xml:space="preserve"> </w:t>
      </w:r>
      <w:r w:rsidRPr="00630864">
        <w:rPr>
          <w:lang w:eastAsia="ja-JP"/>
        </w:rPr>
        <w:t xml:space="preserve">Orphan Designation for the treatment of DMD in the </w:t>
      </w:r>
      <w:r w:rsidR="0002337A">
        <w:t>European Union</w:t>
      </w:r>
      <w:r w:rsidR="0002337A" w:rsidRPr="00630864">
        <w:rPr>
          <w:lang w:eastAsia="ja-JP"/>
        </w:rPr>
        <w:t xml:space="preserve"> </w:t>
      </w:r>
      <w:r w:rsidR="0002337A">
        <w:rPr>
          <w:lang w:eastAsia="ja-JP"/>
        </w:rPr>
        <w:t>(EU)</w:t>
      </w:r>
      <w:r w:rsidR="00F474C9">
        <w:rPr>
          <w:lang w:eastAsia="ja-JP"/>
        </w:rPr>
        <w:t xml:space="preserve"> </w:t>
      </w:r>
      <w:r w:rsidR="0002337A">
        <w:rPr>
          <w:lang w:eastAsia="ja-JP"/>
        </w:rPr>
        <w:t>on 19</w:t>
      </w:r>
      <w:r w:rsidRPr="00630864">
        <w:rPr>
          <w:lang w:eastAsia="ja-JP"/>
        </w:rPr>
        <w:t xml:space="preserve"> March 2007</w:t>
      </w:r>
      <w:r>
        <w:rPr>
          <w:lang w:eastAsia="ja-JP"/>
        </w:rPr>
        <w:t xml:space="preserve">, the </w:t>
      </w:r>
      <w:r w:rsidR="002515BB">
        <w:rPr>
          <w:lang w:eastAsia="ja-JP"/>
        </w:rPr>
        <w:t>United States (US) Food and Drug Administration (</w:t>
      </w:r>
      <w:r>
        <w:rPr>
          <w:lang w:eastAsia="ja-JP"/>
        </w:rPr>
        <w:t>FDA</w:t>
      </w:r>
      <w:r w:rsidR="002515BB">
        <w:rPr>
          <w:lang w:eastAsia="ja-JP"/>
        </w:rPr>
        <w:t>)</w:t>
      </w:r>
      <w:r>
        <w:rPr>
          <w:lang w:eastAsia="ja-JP"/>
        </w:rPr>
        <w:t xml:space="preserve"> in February 2007,</w:t>
      </w:r>
      <w:r w:rsidRPr="00630864">
        <w:rPr>
          <w:lang w:eastAsia="ja-JP"/>
        </w:rPr>
        <w:t xml:space="preserve"> and </w:t>
      </w:r>
      <w:r w:rsidR="002515BB">
        <w:rPr>
          <w:lang w:eastAsia="ja-JP"/>
        </w:rPr>
        <w:t xml:space="preserve">in Switzerland </w:t>
      </w:r>
      <w:r w:rsidRPr="00630864">
        <w:rPr>
          <w:lang w:eastAsia="ja-JP"/>
        </w:rPr>
        <w:t>by</w:t>
      </w:r>
      <w:r>
        <w:rPr>
          <w:lang w:eastAsia="ja-JP"/>
        </w:rPr>
        <w:t xml:space="preserve"> </w:t>
      </w:r>
      <w:r w:rsidR="0002337A">
        <w:rPr>
          <w:lang w:eastAsia="ja-JP"/>
        </w:rPr>
        <w:t>Swissmedic on 6</w:t>
      </w:r>
      <w:r w:rsidR="002515BB">
        <w:rPr>
          <w:lang w:eastAsia="ja-JP"/>
        </w:rPr>
        <w:t> </w:t>
      </w:r>
      <w:r w:rsidRPr="00630864">
        <w:rPr>
          <w:lang w:eastAsia="ja-JP"/>
        </w:rPr>
        <w:t>December 2012.</w:t>
      </w:r>
    </w:p>
    <w:p w14:paraId="68E4AEBB" w14:textId="3947BF4B" w:rsidR="00940A89" w:rsidRDefault="00940A89" w:rsidP="00940A89">
      <w:bookmarkStart w:id="19" w:name="_Toc247691505"/>
      <w:bookmarkStart w:id="20" w:name="_Toc314842486"/>
      <w:r w:rsidRPr="00940A89">
        <w:t>At the time the TGA considered this application, a similar application was under co</w:t>
      </w:r>
      <w:r w:rsidR="005B7597">
        <w:t>nsideration in</w:t>
      </w:r>
      <w:r w:rsidR="002515BB">
        <w:t xml:space="preserve"> the following countries as territories as outlined below.</w:t>
      </w:r>
    </w:p>
    <w:p w14:paraId="28102B5B" w14:textId="108265B5" w:rsidR="005B7597" w:rsidRDefault="002515BB" w:rsidP="005B7597">
      <w:pPr>
        <w:pStyle w:val="Heading5"/>
      </w:pPr>
      <w:r>
        <w:t>United States</w:t>
      </w:r>
    </w:p>
    <w:p w14:paraId="0F5BF95C" w14:textId="280D13D4" w:rsidR="005B7597" w:rsidRDefault="005B7597" w:rsidP="005B7597">
      <w:r w:rsidRPr="009A4844">
        <w:t>A New Drug Application for idebenone has not been submitted in USA.</w:t>
      </w:r>
    </w:p>
    <w:p w14:paraId="5679F3D8" w14:textId="4F52062E" w:rsidR="005B7597" w:rsidRDefault="00764265" w:rsidP="005B7597">
      <w:pPr>
        <w:pStyle w:val="Heading5"/>
      </w:pPr>
      <w:r>
        <w:t>European</w:t>
      </w:r>
      <w:r w:rsidR="002515BB">
        <w:t xml:space="preserve"> Union</w:t>
      </w:r>
    </w:p>
    <w:p w14:paraId="1F8C92DE" w14:textId="45865304" w:rsidR="005B7597" w:rsidRDefault="005B7597" w:rsidP="005B7597">
      <w:r w:rsidRPr="009A4844">
        <w:t>There is no marketing authorisation for i</w:t>
      </w:r>
      <w:r>
        <w:t xml:space="preserve">debenone for a DMD indication. </w:t>
      </w:r>
      <w:r w:rsidRPr="009A4844">
        <w:t>Marketing authorisation for idebenone was granted under exceptional circumstances in September</w:t>
      </w:r>
      <w:r w:rsidR="002515BB">
        <w:t> </w:t>
      </w:r>
      <w:r w:rsidRPr="009A4844">
        <w:t>2015 for the treatment of Leber’</w:t>
      </w:r>
      <w:r>
        <w:t xml:space="preserve">s </w:t>
      </w:r>
      <w:r w:rsidR="002515BB">
        <w:t>hereditary optic neuropathy</w:t>
      </w:r>
      <w:r>
        <w:t xml:space="preserve">. </w:t>
      </w:r>
      <w:r w:rsidRPr="009A4844">
        <w:t>A Type II variation to add a new therapeutic indication for DMD was su</w:t>
      </w:r>
      <w:r>
        <w:t>bmitted to</w:t>
      </w:r>
      <w:r w:rsidR="0002337A" w:rsidRPr="0002337A">
        <w:t xml:space="preserve"> </w:t>
      </w:r>
      <w:r w:rsidR="0002337A">
        <w:t>European Medicines Agency</w:t>
      </w:r>
      <w:r>
        <w:t xml:space="preserve"> </w:t>
      </w:r>
      <w:r w:rsidR="0002337A">
        <w:t>(</w:t>
      </w:r>
      <w:r>
        <w:t>EMA</w:t>
      </w:r>
      <w:r w:rsidR="0002337A">
        <w:t>)</w:t>
      </w:r>
      <w:r>
        <w:t xml:space="preserve"> on 27 May 2016. </w:t>
      </w:r>
      <w:r w:rsidRPr="009A4844">
        <w:t xml:space="preserve">The final opinion of the </w:t>
      </w:r>
      <w:r w:rsidR="0002337A">
        <w:t>Committee for Medicinal Products for Human Use</w:t>
      </w:r>
      <w:r w:rsidR="0002337A" w:rsidRPr="009A4844">
        <w:t xml:space="preserve"> </w:t>
      </w:r>
      <w:r w:rsidR="0002337A">
        <w:t>(</w:t>
      </w:r>
      <w:r w:rsidRPr="009A4844">
        <w:t>CHMP</w:t>
      </w:r>
      <w:r w:rsidR="0002337A">
        <w:t>)</w:t>
      </w:r>
      <w:r w:rsidRPr="009A4844">
        <w:t xml:space="preserve"> on 25 January 2018 recommended</w:t>
      </w:r>
      <w:r w:rsidR="004D2354">
        <w:t xml:space="preserve"> </w:t>
      </w:r>
      <w:r w:rsidRPr="009A4844">
        <w:t>the refusal of the variation to the terms of the marketing authorisation. Grounds for refusal included the limited strength of the evidence for a beneficial effect, methodological concerns with the study and the lack of a scientific rationale allowing for the extrapolation of the estimated effect on measures of pulmonary functioning beyond the trial duration.</w:t>
      </w:r>
    </w:p>
    <w:p w14:paraId="6EEB099D" w14:textId="77777777" w:rsidR="00ED6165" w:rsidRDefault="00ED6165" w:rsidP="00ED6165">
      <w:pPr>
        <w:pStyle w:val="Heading5"/>
      </w:pPr>
      <w:r>
        <w:t>Other jurisdictions</w:t>
      </w:r>
    </w:p>
    <w:p w14:paraId="49DCCA5D" w14:textId="7B1EBBDB" w:rsidR="005B7597" w:rsidRDefault="005B7597" w:rsidP="005B7597">
      <w:r w:rsidRPr="009A4844">
        <w:t>Switzerland</w:t>
      </w:r>
      <w:r w:rsidR="002515BB">
        <w:t xml:space="preserve"> (Swissmedic); application</w:t>
      </w:r>
      <w:r w:rsidRPr="009A4844">
        <w:t xml:space="preserve"> submitted </w:t>
      </w:r>
      <w:r w:rsidR="002515BB">
        <w:t xml:space="preserve">on </w:t>
      </w:r>
      <w:r w:rsidRPr="009A4844">
        <w:t>30 September 2016, withdrawn 31</w:t>
      </w:r>
      <w:r w:rsidR="002515BB">
        <w:t> </w:t>
      </w:r>
      <w:r w:rsidRPr="009A4844">
        <w:t>January 2018.</w:t>
      </w:r>
    </w:p>
    <w:p w14:paraId="24A25A3F" w14:textId="78553CB3" w:rsidR="005B7597" w:rsidRDefault="002515BB" w:rsidP="00940A89">
      <w:r>
        <w:t xml:space="preserve">Applications have not been submitted in </w:t>
      </w:r>
      <w:r w:rsidR="005B7597" w:rsidRPr="009A4844">
        <w:t>Canada</w:t>
      </w:r>
      <w:r>
        <w:t xml:space="preserve"> or</w:t>
      </w:r>
      <w:r w:rsidR="005B7597" w:rsidRPr="009A4844">
        <w:t xml:space="preserve"> Singapore</w:t>
      </w:r>
      <w:r>
        <w:t>.</w:t>
      </w:r>
    </w:p>
    <w:p w14:paraId="2E7CFB8E" w14:textId="77777777" w:rsidR="00500337" w:rsidRDefault="00500337" w:rsidP="00500337">
      <w:pPr>
        <w:pStyle w:val="Heading2"/>
      </w:pPr>
      <w:bookmarkStart w:id="21" w:name="_Toc504480011"/>
      <w:bookmarkStart w:id="22" w:name="_Toc32828518"/>
      <w:bookmarkStart w:id="23" w:name="_Toc247691506"/>
      <w:bookmarkStart w:id="24" w:name="_Toc314842487"/>
      <w:bookmarkEnd w:id="19"/>
      <w:bookmarkEnd w:id="20"/>
      <w:r>
        <w:t>II. Registration time line</w:t>
      </w:r>
      <w:bookmarkEnd w:id="21"/>
      <w:bookmarkEnd w:id="22"/>
    </w:p>
    <w:p w14:paraId="0BCB4C29" w14:textId="77777777" w:rsidR="00500337" w:rsidRDefault="00500337" w:rsidP="00500337">
      <w:r>
        <w:t>The following table captures the key steps and dates for this application and which are detailed and discussed in this AusPAR and Attachment 2.</w:t>
      </w:r>
    </w:p>
    <w:p w14:paraId="113575A6" w14:textId="77777777" w:rsidR="00500337" w:rsidRPr="00377BD4" w:rsidRDefault="006A58A8" w:rsidP="00C01E82">
      <w:pPr>
        <w:pStyle w:val="TableTitle"/>
      </w:pPr>
      <w:r w:rsidRPr="006A58A8">
        <w:t>Table 1</w:t>
      </w:r>
      <w:r w:rsidR="0030092C">
        <w:t>:</w:t>
      </w:r>
      <w:r w:rsidRPr="006A58A8">
        <w:t xml:space="preserve"> Timeline for Submis</w:t>
      </w:r>
      <w:r w:rsidR="00C01E82">
        <w:t>sion PM-2017-01423-1-3</w:t>
      </w:r>
    </w:p>
    <w:tbl>
      <w:tblPr>
        <w:tblStyle w:val="TableTGAblue"/>
        <w:tblW w:w="0" w:type="auto"/>
        <w:tblLook w:val="04A0" w:firstRow="1" w:lastRow="0" w:firstColumn="1" w:lastColumn="0" w:noHBand="0" w:noVBand="1"/>
      </w:tblPr>
      <w:tblGrid>
        <w:gridCol w:w="5612"/>
        <w:gridCol w:w="2872"/>
      </w:tblGrid>
      <w:tr w:rsidR="00500337" w14:paraId="05810CE8" w14:textId="77777777" w:rsidTr="006B7770">
        <w:trPr>
          <w:cnfStyle w:val="100000000000" w:firstRow="1" w:lastRow="0" w:firstColumn="0" w:lastColumn="0" w:oddVBand="0" w:evenVBand="0" w:oddHBand="0" w:evenHBand="0" w:firstRowFirstColumn="0" w:firstRowLastColumn="0" w:lastRowFirstColumn="0" w:lastRowLastColumn="0"/>
          <w:cantSplit/>
        </w:trPr>
        <w:tc>
          <w:tcPr>
            <w:tcW w:w="5778" w:type="dxa"/>
          </w:tcPr>
          <w:p w14:paraId="4AEF0FFC" w14:textId="77777777" w:rsidR="00500337" w:rsidRDefault="00500337" w:rsidP="00500337">
            <w:pPr>
              <w:ind w:left="0" w:right="0"/>
            </w:pPr>
            <w:r>
              <w:t>Description</w:t>
            </w:r>
          </w:p>
        </w:tc>
        <w:tc>
          <w:tcPr>
            <w:tcW w:w="2942" w:type="dxa"/>
          </w:tcPr>
          <w:p w14:paraId="5045169B" w14:textId="77777777" w:rsidR="00500337" w:rsidRDefault="00500337" w:rsidP="00500337">
            <w:pPr>
              <w:ind w:left="0" w:right="0"/>
            </w:pPr>
            <w:r>
              <w:t>Date</w:t>
            </w:r>
          </w:p>
        </w:tc>
      </w:tr>
      <w:tr w:rsidR="00500337" w14:paraId="1E545827" w14:textId="77777777" w:rsidTr="006B7770">
        <w:tc>
          <w:tcPr>
            <w:tcW w:w="5778" w:type="dxa"/>
          </w:tcPr>
          <w:p w14:paraId="42D8D688" w14:textId="77777777" w:rsidR="00500337" w:rsidRDefault="00500337" w:rsidP="00500337">
            <w:pPr>
              <w:ind w:left="0" w:right="0"/>
            </w:pPr>
            <w:r>
              <w:t>Submission dossier accepted and first round evaluation commenced</w:t>
            </w:r>
          </w:p>
        </w:tc>
        <w:tc>
          <w:tcPr>
            <w:tcW w:w="2942" w:type="dxa"/>
          </w:tcPr>
          <w:p w14:paraId="13AAE65E" w14:textId="77777777" w:rsidR="00500337" w:rsidRDefault="006B7770" w:rsidP="00500337">
            <w:pPr>
              <w:ind w:left="0" w:right="0"/>
            </w:pPr>
            <w:r>
              <w:t>30 May 2017</w:t>
            </w:r>
          </w:p>
        </w:tc>
      </w:tr>
      <w:tr w:rsidR="00500337" w14:paraId="223E2326" w14:textId="77777777" w:rsidTr="006B7770">
        <w:tc>
          <w:tcPr>
            <w:tcW w:w="5778" w:type="dxa"/>
          </w:tcPr>
          <w:p w14:paraId="24C685E5" w14:textId="77777777" w:rsidR="00500337" w:rsidRDefault="00500337" w:rsidP="00500337">
            <w:pPr>
              <w:ind w:left="0" w:right="0"/>
            </w:pPr>
            <w:r>
              <w:lastRenderedPageBreak/>
              <w:t>First round evaluation completed</w:t>
            </w:r>
          </w:p>
        </w:tc>
        <w:tc>
          <w:tcPr>
            <w:tcW w:w="2942" w:type="dxa"/>
          </w:tcPr>
          <w:p w14:paraId="6F0B5EBB" w14:textId="77777777" w:rsidR="00500337" w:rsidRDefault="006B7770" w:rsidP="00500337">
            <w:pPr>
              <w:ind w:left="0" w:right="0"/>
            </w:pPr>
            <w:r>
              <w:t>2 January 2018</w:t>
            </w:r>
          </w:p>
        </w:tc>
      </w:tr>
      <w:tr w:rsidR="00500337" w14:paraId="7B3941D7" w14:textId="77777777" w:rsidTr="006B7770">
        <w:tc>
          <w:tcPr>
            <w:tcW w:w="5778" w:type="dxa"/>
          </w:tcPr>
          <w:p w14:paraId="44D71BFB" w14:textId="77777777" w:rsidR="00500337" w:rsidRDefault="00500337" w:rsidP="00500337">
            <w:pPr>
              <w:ind w:left="0" w:right="0"/>
            </w:pPr>
            <w:r>
              <w:t>Sponsor provides responses on questions raised in first round evaluation</w:t>
            </w:r>
          </w:p>
        </w:tc>
        <w:tc>
          <w:tcPr>
            <w:tcW w:w="2942" w:type="dxa"/>
          </w:tcPr>
          <w:p w14:paraId="0B594859" w14:textId="77777777" w:rsidR="00500337" w:rsidRDefault="006B7770" w:rsidP="00500337">
            <w:pPr>
              <w:ind w:left="0" w:right="0"/>
            </w:pPr>
            <w:r>
              <w:t>28 February 2018</w:t>
            </w:r>
          </w:p>
        </w:tc>
      </w:tr>
      <w:tr w:rsidR="00500337" w14:paraId="709CF808" w14:textId="77777777" w:rsidTr="006B7770">
        <w:tc>
          <w:tcPr>
            <w:tcW w:w="5778" w:type="dxa"/>
          </w:tcPr>
          <w:p w14:paraId="5E9FC832" w14:textId="77777777" w:rsidR="00500337" w:rsidRDefault="00500337" w:rsidP="00500337">
            <w:pPr>
              <w:ind w:left="0" w:right="0"/>
            </w:pPr>
            <w:r>
              <w:t>Second round evaluation completed</w:t>
            </w:r>
          </w:p>
        </w:tc>
        <w:tc>
          <w:tcPr>
            <w:tcW w:w="2942" w:type="dxa"/>
          </w:tcPr>
          <w:p w14:paraId="32D00001" w14:textId="77777777" w:rsidR="00500337" w:rsidRDefault="00041CE4" w:rsidP="00500337">
            <w:pPr>
              <w:ind w:left="0" w:right="0"/>
            </w:pPr>
            <w:r>
              <w:t>21 June 2018</w:t>
            </w:r>
          </w:p>
        </w:tc>
      </w:tr>
      <w:tr w:rsidR="00500337" w14:paraId="64C79662" w14:textId="77777777" w:rsidTr="006B7770">
        <w:tc>
          <w:tcPr>
            <w:tcW w:w="5778" w:type="dxa"/>
          </w:tcPr>
          <w:p w14:paraId="50E44AA9" w14:textId="77777777" w:rsidR="00500337" w:rsidRDefault="00500337" w:rsidP="00500337">
            <w:pPr>
              <w:ind w:left="0" w:right="0"/>
            </w:pPr>
            <w:r>
              <w:t>Delegate’s Overall benefit-risk assessment and request for Advisory Committee advice</w:t>
            </w:r>
          </w:p>
        </w:tc>
        <w:tc>
          <w:tcPr>
            <w:tcW w:w="2942" w:type="dxa"/>
          </w:tcPr>
          <w:p w14:paraId="611103B1" w14:textId="77777777" w:rsidR="00041CE4" w:rsidRDefault="00041CE4" w:rsidP="00500337">
            <w:pPr>
              <w:ind w:left="0" w:right="0"/>
            </w:pPr>
            <w:r>
              <w:t>3 July 2018</w:t>
            </w:r>
          </w:p>
        </w:tc>
      </w:tr>
      <w:tr w:rsidR="00500337" w14:paraId="652153DB" w14:textId="77777777" w:rsidTr="006B7770">
        <w:tc>
          <w:tcPr>
            <w:tcW w:w="5778" w:type="dxa"/>
          </w:tcPr>
          <w:p w14:paraId="57E11BD2" w14:textId="77777777" w:rsidR="00500337" w:rsidRDefault="00500337" w:rsidP="00500337">
            <w:pPr>
              <w:ind w:left="0" w:right="0"/>
            </w:pPr>
            <w:r>
              <w:t>Sponsor’s pre-Advisory Committee response</w:t>
            </w:r>
          </w:p>
        </w:tc>
        <w:tc>
          <w:tcPr>
            <w:tcW w:w="2942" w:type="dxa"/>
          </w:tcPr>
          <w:p w14:paraId="71F5288B" w14:textId="77777777" w:rsidR="00500337" w:rsidRDefault="00C01E82" w:rsidP="00500337">
            <w:pPr>
              <w:ind w:left="0" w:right="0"/>
            </w:pPr>
            <w:r>
              <w:t>16 July 2019</w:t>
            </w:r>
          </w:p>
        </w:tc>
      </w:tr>
      <w:tr w:rsidR="00500337" w14:paraId="14E25510" w14:textId="77777777" w:rsidTr="006B7770">
        <w:tc>
          <w:tcPr>
            <w:tcW w:w="5778" w:type="dxa"/>
          </w:tcPr>
          <w:p w14:paraId="4A9AE009" w14:textId="77777777" w:rsidR="00500337" w:rsidRDefault="00500337" w:rsidP="00500337">
            <w:pPr>
              <w:ind w:left="0" w:right="0"/>
            </w:pPr>
            <w:r>
              <w:t>Advisory Committee meeting</w:t>
            </w:r>
          </w:p>
        </w:tc>
        <w:tc>
          <w:tcPr>
            <w:tcW w:w="2942" w:type="dxa"/>
          </w:tcPr>
          <w:p w14:paraId="32918D31" w14:textId="77777777" w:rsidR="00500337" w:rsidRDefault="00041CE4" w:rsidP="00500337">
            <w:pPr>
              <w:ind w:left="0" w:right="0"/>
            </w:pPr>
            <w:r>
              <w:t>3 August 2018</w:t>
            </w:r>
          </w:p>
        </w:tc>
      </w:tr>
      <w:tr w:rsidR="00500337" w14:paraId="013B3669" w14:textId="77777777" w:rsidTr="006B7770">
        <w:tc>
          <w:tcPr>
            <w:tcW w:w="5778" w:type="dxa"/>
          </w:tcPr>
          <w:p w14:paraId="49E60C7F" w14:textId="77777777" w:rsidR="00500337" w:rsidRDefault="00041CE4" w:rsidP="00500337">
            <w:pPr>
              <w:ind w:left="0" w:right="0"/>
            </w:pPr>
            <w:r>
              <w:t>Withdrawal of application</w:t>
            </w:r>
          </w:p>
        </w:tc>
        <w:tc>
          <w:tcPr>
            <w:tcW w:w="2942" w:type="dxa"/>
          </w:tcPr>
          <w:p w14:paraId="197A3B22" w14:textId="77777777" w:rsidR="00500337" w:rsidRDefault="00041CE4" w:rsidP="00500337">
            <w:pPr>
              <w:ind w:left="0" w:right="0"/>
            </w:pPr>
            <w:r>
              <w:t>21 August 2018</w:t>
            </w:r>
          </w:p>
        </w:tc>
      </w:tr>
      <w:tr w:rsidR="00500337" w14:paraId="4C70913E" w14:textId="77777777" w:rsidTr="006B7770">
        <w:tc>
          <w:tcPr>
            <w:tcW w:w="5778" w:type="dxa"/>
          </w:tcPr>
          <w:p w14:paraId="57A31051" w14:textId="77777777" w:rsidR="00500337" w:rsidRDefault="00500337" w:rsidP="00041CE4">
            <w:pPr>
              <w:ind w:left="0" w:right="0"/>
            </w:pPr>
            <w:r>
              <w:t xml:space="preserve">Number of working days from submission dossier acceptance to </w:t>
            </w:r>
            <w:r w:rsidR="00041CE4">
              <w:t>withdrawal of application</w:t>
            </w:r>
            <w:r>
              <w:t>*</w:t>
            </w:r>
          </w:p>
        </w:tc>
        <w:tc>
          <w:tcPr>
            <w:tcW w:w="2942" w:type="dxa"/>
          </w:tcPr>
          <w:p w14:paraId="25B5D9C8" w14:textId="77777777" w:rsidR="00500337" w:rsidRDefault="006B7770" w:rsidP="00500337">
            <w:pPr>
              <w:ind w:left="0" w:right="0"/>
            </w:pPr>
            <w:r>
              <w:t>183</w:t>
            </w:r>
          </w:p>
        </w:tc>
      </w:tr>
    </w:tbl>
    <w:p w14:paraId="1580CB39"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0900F911" w14:textId="77777777" w:rsidR="00500337" w:rsidRDefault="00500337" w:rsidP="00500337">
      <w:r>
        <w:t>Evaluations included under Quality findings and Nonclinical findings incorporate both the first and second round evaluations.</w:t>
      </w:r>
    </w:p>
    <w:p w14:paraId="055FACDD" w14:textId="77777777" w:rsidR="008E7846" w:rsidRPr="003602A9" w:rsidRDefault="00500337" w:rsidP="00041CE4">
      <w:pPr>
        <w:pStyle w:val="Heading2"/>
      </w:pPr>
      <w:bookmarkStart w:id="25" w:name="_Toc32828519"/>
      <w:r>
        <w:t>I</w:t>
      </w:r>
      <w:r w:rsidR="008E7846">
        <w:t>II. Quality</w:t>
      </w:r>
      <w:bookmarkEnd w:id="2"/>
      <w:r w:rsidR="008E7846">
        <w:t xml:space="preserve"> findings</w:t>
      </w:r>
      <w:bookmarkEnd w:id="23"/>
      <w:bookmarkEnd w:id="24"/>
      <w:bookmarkEnd w:id="25"/>
    </w:p>
    <w:p w14:paraId="427749CA" w14:textId="77777777" w:rsidR="005B7597" w:rsidRDefault="00940A89" w:rsidP="00940A89">
      <w:pPr>
        <w:pStyle w:val="Heading3"/>
      </w:pPr>
      <w:bookmarkStart w:id="26" w:name="_Toc32828520"/>
      <w:bookmarkStart w:id="27" w:name="_Toc247691507"/>
      <w:bookmarkStart w:id="28" w:name="_Toc314842488"/>
      <w:r w:rsidRPr="00940A89">
        <w:t>Introduction</w:t>
      </w:r>
      <w:bookmarkEnd w:id="26"/>
    </w:p>
    <w:p w14:paraId="7556AA5D" w14:textId="77777777" w:rsidR="008E7846" w:rsidRDefault="008E7846" w:rsidP="00940A89">
      <w:pPr>
        <w:pStyle w:val="Heading3"/>
      </w:pPr>
      <w:bookmarkStart w:id="29" w:name="_Toc32828521"/>
      <w:r w:rsidRPr="008751DC">
        <w:t xml:space="preserve">Drug </w:t>
      </w:r>
      <w:r>
        <w:t>s</w:t>
      </w:r>
      <w:r w:rsidRPr="008751DC">
        <w:t>ubstance</w:t>
      </w:r>
      <w:r>
        <w:t xml:space="preserve"> (active ingredient)</w:t>
      </w:r>
      <w:bookmarkEnd w:id="27"/>
      <w:bookmarkEnd w:id="28"/>
      <w:bookmarkEnd w:id="29"/>
    </w:p>
    <w:p w14:paraId="18D2A5C7" w14:textId="77777777" w:rsidR="008E7846" w:rsidRDefault="005B7597" w:rsidP="00940A89">
      <w:r>
        <w:t>There is no monograph for idebenone. Figure 1 shows the structure of idebenone.</w:t>
      </w:r>
    </w:p>
    <w:p w14:paraId="642E7DA9" w14:textId="77777777" w:rsidR="005B7597" w:rsidRDefault="005B7597" w:rsidP="005B7597">
      <w:pPr>
        <w:pStyle w:val="FigureTitle"/>
      </w:pPr>
      <w:r>
        <w:t>Figure 1: Structure of idebenone</w:t>
      </w:r>
    </w:p>
    <w:p w14:paraId="6697A957" w14:textId="77777777" w:rsidR="005B7597" w:rsidRDefault="005B7597" w:rsidP="00940A89">
      <w:r>
        <w:rPr>
          <w:noProof/>
          <w:lang w:eastAsia="en-AU"/>
        </w:rPr>
        <w:drawing>
          <wp:inline distT="0" distB="0" distL="0" distR="0" wp14:anchorId="5C133A90" wp14:editId="68BA9415">
            <wp:extent cx="3381375" cy="1066800"/>
            <wp:effectExtent l="0" t="0" r="9525" b="0"/>
            <wp:docPr id="11" name="Picture 11" descr="Structure of idebe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1375" cy="1066800"/>
                    </a:xfrm>
                    <a:prstGeom prst="rect">
                      <a:avLst/>
                    </a:prstGeom>
                  </pic:spPr>
                </pic:pic>
              </a:graphicData>
            </a:graphic>
          </wp:inline>
        </w:drawing>
      </w:r>
    </w:p>
    <w:p w14:paraId="63484C7D" w14:textId="2CEA2844" w:rsidR="005B7597" w:rsidRDefault="005B7597" w:rsidP="005B7597">
      <w:r>
        <w:t xml:space="preserve">The manufacture, quality control (according to in-house specifications) and stability of the active ingredient idebenone are described in the associated </w:t>
      </w:r>
      <w:r w:rsidR="002515BB">
        <w:t>drug master file</w:t>
      </w:r>
      <w:r>
        <w:t>.</w:t>
      </w:r>
    </w:p>
    <w:p w14:paraId="67AB481A" w14:textId="77777777" w:rsidR="005B7597" w:rsidRDefault="005B7597" w:rsidP="005B7597">
      <w:pPr>
        <w:pStyle w:val="Heading4"/>
      </w:pPr>
      <w:bookmarkStart w:id="30" w:name="_Toc485734249"/>
      <w:r>
        <w:t>Control of the drug substance by finished product manufacturer</w:t>
      </w:r>
      <w:bookmarkEnd w:id="30"/>
    </w:p>
    <w:p w14:paraId="30F9EE7B" w14:textId="77777777" w:rsidR="005B7597" w:rsidRDefault="005B7597" w:rsidP="005B7597">
      <w:r>
        <w:t>The proposed drug substance specifications applied by the finished product manufacturer</w:t>
      </w:r>
      <w:r w:rsidRPr="00DB12CC">
        <w:t xml:space="preserve"> </w:t>
      </w:r>
      <w:r>
        <w:t>are identical to those applied by the drug substance manufacturer except as discussed under Justification of specification.</w:t>
      </w:r>
    </w:p>
    <w:p w14:paraId="7F3EA0C6" w14:textId="77777777" w:rsidR="005B7597" w:rsidRDefault="005B7597" w:rsidP="005B7597">
      <w:pPr>
        <w:pStyle w:val="Heading5"/>
      </w:pPr>
      <w:r>
        <w:lastRenderedPageBreak/>
        <w:t>Analytical procedures</w:t>
      </w:r>
    </w:p>
    <w:p w14:paraId="20AABFB2" w14:textId="77777777" w:rsidR="005B7597" w:rsidRDefault="005B7597" w:rsidP="005B7597">
      <w:r>
        <w:t>The analytical procedures used by the drug product manufacturer are identical to those used by the drug substance manufacturer.</w:t>
      </w:r>
    </w:p>
    <w:p w14:paraId="5188DB91" w14:textId="77777777" w:rsidR="005B7597" w:rsidRDefault="005B7597" w:rsidP="005B7597">
      <w:pPr>
        <w:pStyle w:val="Heading5"/>
      </w:pPr>
      <w:r>
        <w:t>Batch analyses</w:t>
      </w:r>
    </w:p>
    <w:p w14:paraId="0A5C2398" w14:textId="77777777" w:rsidR="005B7597" w:rsidRDefault="005B7597" w:rsidP="005B7597">
      <w:r>
        <w:t>Batch analytical data generated by both the drug substance manufacturer and the drug product manufacturer have been provided for the batches and are comparable.</w:t>
      </w:r>
    </w:p>
    <w:p w14:paraId="0BCE3080" w14:textId="77777777" w:rsidR="005B7597" w:rsidRDefault="005B7597" w:rsidP="005B7597">
      <w:pPr>
        <w:pStyle w:val="Heading5"/>
      </w:pPr>
      <w:r>
        <w:t>Justification of specification</w:t>
      </w:r>
    </w:p>
    <w:p w14:paraId="00274D69" w14:textId="57836581" w:rsidR="005B7597" w:rsidRDefault="005B7597" w:rsidP="005B7597">
      <w:r>
        <w:t xml:space="preserve">The drug product manufacturer applies limits of </w:t>
      </w:r>
      <w:r w:rsidR="002515BB">
        <w:t>not more than (</w:t>
      </w:r>
      <w:r>
        <w:t>NMT</w:t>
      </w:r>
      <w:r w:rsidR="002515BB">
        <w:t>)</w:t>
      </w:r>
      <w:r>
        <w:t xml:space="preserve"> 0.05% to Impurities B and C and unspecified impurities rather than</w:t>
      </w:r>
      <w:r w:rsidRPr="003F6BD1">
        <w:t xml:space="preserve"> </w:t>
      </w:r>
      <w:r>
        <w:t>NMT 0.10% as in the drug substance manufacturer’s specifications. The tighter limits are stated to be to support a different indication with a higher daily intake of the drug substance and are acceptable.</w:t>
      </w:r>
    </w:p>
    <w:p w14:paraId="7ED15D61" w14:textId="77777777" w:rsidR="005B7597" w:rsidRDefault="005B7597" w:rsidP="005B7597">
      <w:r>
        <w:t>The suitability of the particle size limits is addressed.</w:t>
      </w:r>
    </w:p>
    <w:p w14:paraId="40F840D6" w14:textId="77777777" w:rsidR="005B7597" w:rsidRPr="005B7597" w:rsidRDefault="005B7597" w:rsidP="005B7597">
      <w:pPr>
        <w:pStyle w:val="Heading5"/>
        <w:rPr>
          <w:rStyle w:val="Heading4Char"/>
          <w:b/>
          <w:bCs/>
        </w:rPr>
      </w:pPr>
      <w:r w:rsidRPr="005B7597">
        <w:t>R</w:t>
      </w:r>
      <w:r w:rsidRPr="005B7597">
        <w:rPr>
          <w:rStyle w:val="Heading4Char"/>
          <w:b/>
          <w:bCs/>
        </w:rPr>
        <w:t>eference standards or materials</w:t>
      </w:r>
    </w:p>
    <w:p w14:paraId="0EDC1781" w14:textId="46A0655B" w:rsidR="005B7597" w:rsidRDefault="005B7597" w:rsidP="005B7597">
      <w:r w:rsidRPr="00461AD0">
        <w:t xml:space="preserve">The reference standards for the drug substance and nominated impurities </w:t>
      </w:r>
      <w:r>
        <w:t>are the same as those used by the drug substance manufacturer</w:t>
      </w:r>
      <w:r w:rsidRPr="00461AD0">
        <w:t xml:space="preserve">. Certificates of analysis and characterisation data </w:t>
      </w:r>
      <w:r>
        <w:t xml:space="preserve">for the batch used are included in the </w:t>
      </w:r>
      <w:r w:rsidR="002515BB">
        <w:t>drug master file</w:t>
      </w:r>
      <w:r w:rsidR="002515BB" w:rsidRPr="00461AD0">
        <w:t xml:space="preserve"> </w:t>
      </w:r>
      <w:r w:rsidRPr="00461AD0">
        <w:t>and the data are acceptable.</w:t>
      </w:r>
    </w:p>
    <w:p w14:paraId="2C7E6776" w14:textId="77777777" w:rsidR="008E7846" w:rsidRDefault="008E7846" w:rsidP="008E7846">
      <w:pPr>
        <w:pStyle w:val="Heading3"/>
      </w:pPr>
      <w:bookmarkStart w:id="31" w:name="_Toc247691508"/>
      <w:bookmarkStart w:id="32" w:name="_Toc314842490"/>
      <w:bookmarkStart w:id="33" w:name="_Toc32828522"/>
      <w:r w:rsidRPr="008751DC">
        <w:t xml:space="preserve">Drug </w:t>
      </w:r>
      <w:r>
        <w:t>p</w:t>
      </w:r>
      <w:r w:rsidRPr="008751DC">
        <w:t>roduct</w:t>
      </w:r>
      <w:bookmarkEnd w:id="31"/>
      <w:bookmarkEnd w:id="32"/>
      <w:bookmarkEnd w:id="33"/>
    </w:p>
    <w:p w14:paraId="0853EB2B" w14:textId="77777777" w:rsidR="005B7597" w:rsidRDefault="005B7597" w:rsidP="005B7597">
      <w:r w:rsidRPr="007C493B">
        <w:t>The proposed product is an orange, round, biconvex, film-coated tablet engraved with a logo on one side and ‘150’ on the other.</w:t>
      </w:r>
      <w:r w:rsidR="00DB3203">
        <w:t xml:space="preserve"> </w:t>
      </w:r>
      <w:r>
        <w:t>The tablet is approximately 10 mm in diameter.</w:t>
      </w:r>
    </w:p>
    <w:p w14:paraId="1671872C" w14:textId="20F16D33" w:rsidR="005B7597" w:rsidRDefault="005B7597" w:rsidP="00431ED9">
      <w:r>
        <w:t>Formulation details for the product were provided</w:t>
      </w:r>
      <w:r w:rsidR="00431ED9">
        <w:t>.</w:t>
      </w:r>
    </w:p>
    <w:p w14:paraId="1C5B5F74" w14:textId="77777777" w:rsidR="00431ED9" w:rsidRDefault="00431ED9" w:rsidP="00431ED9">
      <w:pPr>
        <w:rPr>
          <w:lang w:eastAsia="en-AU"/>
        </w:rPr>
      </w:pPr>
      <w:r>
        <w:rPr>
          <w:lang w:eastAsia="en-AU"/>
        </w:rPr>
        <w:t>The excipients chosen are all commonly used in film-coated tablets. No formal compatibility studies were performed as no incompatibilities were expected.</w:t>
      </w:r>
    </w:p>
    <w:p w14:paraId="7869AF04" w14:textId="2B2C5892" w:rsidR="00431ED9" w:rsidRDefault="00431ED9" w:rsidP="00431ED9">
      <w:pPr>
        <w:rPr>
          <w:lang w:eastAsia="en-AU"/>
        </w:rPr>
      </w:pPr>
      <w:r>
        <w:rPr>
          <w:lang w:eastAsia="en-AU"/>
        </w:rPr>
        <w:t>The optimised coated tablet formulation resulting from development studies was identical to the formulation used in the Phase I</w:t>
      </w:r>
      <w:r w:rsidR="002515BB">
        <w:rPr>
          <w:lang w:eastAsia="en-AU"/>
        </w:rPr>
        <w:t xml:space="preserve"> to </w:t>
      </w:r>
      <w:r>
        <w:rPr>
          <w:lang w:eastAsia="en-AU"/>
        </w:rPr>
        <w:t>III clinical studies. Dissolution profiles for five batches used in cli</w:t>
      </w:r>
      <w:r w:rsidR="00ED6165">
        <w:rPr>
          <w:lang w:eastAsia="en-AU"/>
        </w:rPr>
        <w:t xml:space="preserve">nical trials have been provided. </w:t>
      </w:r>
      <w:r>
        <w:rPr>
          <w:lang w:eastAsia="en-AU"/>
        </w:rPr>
        <w:t>The proposed formulation does not include any overages.</w:t>
      </w:r>
    </w:p>
    <w:p w14:paraId="096C3068" w14:textId="77777777" w:rsidR="00431ED9" w:rsidRPr="006370E2" w:rsidRDefault="00431ED9" w:rsidP="00431ED9">
      <w:pPr>
        <w:rPr>
          <w:lang w:eastAsia="en-AU"/>
        </w:rPr>
      </w:pPr>
      <w:r>
        <w:rPr>
          <w:lang w:eastAsia="en-AU"/>
        </w:rPr>
        <w:t xml:space="preserve">A wet granulation process was chosen for the manufacture of the proposed product. </w:t>
      </w:r>
      <w:r w:rsidRPr="00E90B6B">
        <w:t xml:space="preserve">The process used </w:t>
      </w:r>
      <w:r>
        <w:t xml:space="preserve">in the formulation development studies </w:t>
      </w:r>
      <w:r w:rsidRPr="00E90B6B">
        <w:t xml:space="preserve">was transferred to </w:t>
      </w:r>
      <w:r>
        <w:t xml:space="preserve">the site of </w:t>
      </w:r>
      <w:r w:rsidRPr="00E90B6B">
        <w:t xml:space="preserve">commercial </w:t>
      </w:r>
      <w:r>
        <w:t>manufacture</w:t>
      </w:r>
      <w:r w:rsidRPr="00E90B6B">
        <w:t xml:space="preserve"> and mixing times, granulation fluid </w:t>
      </w:r>
      <w:r>
        <w:t>volume</w:t>
      </w:r>
      <w:r w:rsidRPr="00E90B6B">
        <w:t xml:space="preserve">, </w:t>
      </w:r>
      <w:r>
        <w:t xml:space="preserve">drying time, </w:t>
      </w:r>
      <w:r w:rsidRPr="00E90B6B">
        <w:t xml:space="preserve">and </w:t>
      </w:r>
      <w:r>
        <w:t>compression force</w:t>
      </w:r>
      <w:r w:rsidRPr="00E90B6B">
        <w:t xml:space="preserve"> were optimised to give the proposed commercial manufacturing process</w:t>
      </w:r>
      <w:r>
        <w:t>.</w:t>
      </w:r>
    </w:p>
    <w:p w14:paraId="1689B451" w14:textId="77777777" w:rsidR="00940A89" w:rsidRDefault="00431ED9" w:rsidP="00940A89">
      <w:r w:rsidRPr="004A0DCC">
        <w:t xml:space="preserve">The product is manufactured by: mixing of idebenone, </w:t>
      </w:r>
      <w:r>
        <w:t>and excipients</w:t>
      </w:r>
      <w:r w:rsidRPr="004A0DCC">
        <w:t>; wet granulation; drying; screening</w:t>
      </w:r>
      <w:r>
        <w:t xml:space="preserve"> of the dried granules</w:t>
      </w:r>
      <w:r w:rsidRPr="004A0DCC">
        <w:t xml:space="preserve">; </w:t>
      </w:r>
      <w:r>
        <w:t xml:space="preserve">screening and </w:t>
      </w:r>
      <w:r w:rsidRPr="004A0DCC">
        <w:t xml:space="preserve">addition of </w:t>
      </w:r>
      <w:r>
        <w:t>additional excipients</w:t>
      </w:r>
      <w:r w:rsidRPr="004A0DCC">
        <w:t>; blending; lubrication; compression; coating; and packaging.</w:t>
      </w:r>
    </w:p>
    <w:p w14:paraId="3BD7332F" w14:textId="55D38442" w:rsidR="00431ED9" w:rsidRDefault="00431ED9" w:rsidP="00940A89">
      <w:r w:rsidRPr="00B87918">
        <w:t>The manufacturing process has been validated using three 100,000 tablet batches and three 1,000,000 tablet batches. All batches complied with the acceptance criteria in the validation protocol and with the proposed finished product specifications</w:t>
      </w:r>
      <w:r w:rsidR="00DA07D6">
        <w:t>.</w:t>
      </w:r>
    </w:p>
    <w:p w14:paraId="49D36EE9" w14:textId="331DC82A" w:rsidR="00431ED9" w:rsidRDefault="00431ED9" w:rsidP="00940A89">
      <w:r>
        <w:t xml:space="preserve">The test method </w:t>
      </w:r>
      <w:r w:rsidR="00ED6165" w:rsidRPr="00ED6165">
        <w:t xml:space="preserve">for assay and degradation </w:t>
      </w:r>
      <w:r w:rsidRPr="00ED6165">
        <w:t>products has</w:t>
      </w:r>
      <w:r>
        <w:t xml:space="preserve"> been validated for specificity in the presence of excipients and known synthetic impurities as shown below, accuracy, linearity, method and intermediate precision, limits of detection (0.02%) and quantitation (0.05%), solution stability, and robustness. The results reported are satisfactory</w:t>
      </w:r>
      <w:r w:rsidR="00DA07D6">
        <w:t>.</w:t>
      </w:r>
    </w:p>
    <w:p w14:paraId="4F52BC82" w14:textId="77777777" w:rsidR="00431ED9" w:rsidRDefault="00431ED9" w:rsidP="00940A89">
      <w:r>
        <w:lastRenderedPageBreak/>
        <w:t>The test method for quantitation of dissolution samples has been validated for specificity in the presence of excipients and dissolution medium, accuracy, linearity, method and intermediate precision, and solution stability. The results reported are satisfactory.</w:t>
      </w:r>
    </w:p>
    <w:p w14:paraId="3416953A" w14:textId="151329FF" w:rsidR="002E00B4" w:rsidRDefault="002E00B4" w:rsidP="002E00B4">
      <w:pPr>
        <w:numPr>
          <w:ilvl w:val="12"/>
          <w:numId w:val="0"/>
        </w:numPr>
      </w:pPr>
      <w:r>
        <w:t xml:space="preserve">For impurities arising from the manufacture and purification of the drug substance, were assessed in the evaluation of the </w:t>
      </w:r>
      <w:r w:rsidR="002515BB">
        <w:t>d</w:t>
      </w:r>
      <w:r>
        <w:t xml:space="preserve">rug </w:t>
      </w:r>
      <w:r w:rsidR="002515BB">
        <w:t>m</w:t>
      </w:r>
      <w:r>
        <w:t xml:space="preserve">aster </w:t>
      </w:r>
      <w:r w:rsidR="002515BB">
        <w:t>f</w:t>
      </w:r>
      <w:r>
        <w:t>ile.</w:t>
      </w:r>
    </w:p>
    <w:p w14:paraId="6167AF48" w14:textId="77777777" w:rsidR="002E00B4" w:rsidRDefault="002E00B4" w:rsidP="002E00B4">
      <w:r>
        <w:t>Degradation products arising from manufacture and storage of the product have not been characterised as no additional degradants were detected during the stability studies.</w:t>
      </w:r>
    </w:p>
    <w:p w14:paraId="61BC357F" w14:textId="2E157223" w:rsidR="009956BC" w:rsidRDefault="009956BC" w:rsidP="009956BC">
      <w:r w:rsidRPr="00B00B77">
        <w:t>The sp</w:t>
      </w:r>
      <w:r>
        <w:t xml:space="preserve">ecifications include </w:t>
      </w:r>
      <w:r w:rsidR="00ED6165" w:rsidRPr="00ED6165">
        <w:t>tests for identification of the drug</w:t>
      </w:r>
      <w:r w:rsidR="00ED6165" w:rsidRPr="00B00B77">
        <w:t xml:space="preserve"> </w:t>
      </w:r>
      <w:r w:rsidRPr="00B00B77">
        <w:t xml:space="preserve">substance by </w:t>
      </w:r>
      <w:r w:rsidR="002515BB">
        <w:t>h</w:t>
      </w:r>
      <w:r w:rsidR="002515BB" w:rsidRPr="002515BB">
        <w:t>igh-performance liquid chromatography</w:t>
      </w:r>
      <w:r w:rsidR="002515BB">
        <w:t xml:space="preserve"> </w:t>
      </w:r>
      <w:r w:rsidRPr="00B00B77">
        <w:t xml:space="preserve">HPLC and by </w:t>
      </w:r>
      <w:r w:rsidR="002515BB">
        <w:t>ultraviolet radiation</w:t>
      </w:r>
      <w:r w:rsidRPr="00B00B77">
        <w:t xml:space="preserve">. This is consistent with the requirements of </w:t>
      </w:r>
      <w:r w:rsidR="0002337A">
        <w:t>International Conference on Harmonisation</w:t>
      </w:r>
      <w:r w:rsidR="0002337A" w:rsidRPr="00B00B77">
        <w:t xml:space="preserve"> </w:t>
      </w:r>
      <w:r w:rsidR="0002337A">
        <w:t>(</w:t>
      </w:r>
      <w:r w:rsidRPr="00B00B77">
        <w:t>ICH</w:t>
      </w:r>
      <w:r w:rsidR="0002337A">
        <w:t>)</w:t>
      </w:r>
      <w:r w:rsidRPr="00B00B77">
        <w:t xml:space="preserve"> Q6A and is acceptable.</w:t>
      </w:r>
      <w:r w:rsidR="002515BB">
        <w:rPr>
          <w:rStyle w:val="FootnoteReference"/>
        </w:rPr>
        <w:footnoteReference w:id="7"/>
      </w:r>
    </w:p>
    <w:p w14:paraId="0C5D28E6" w14:textId="39A4F95F" w:rsidR="002E00B4" w:rsidRDefault="009956BC" w:rsidP="00940A89">
      <w:r>
        <w:t>The proposed A</w:t>
      </w:r>
      <w:r w:rsidRPr="00B00B77">
        <w:t>ssay lim</w:t>
      </w:r>
      <w:r w:rsidR="00ED6165">
        <w:t xml:space="preserve">its </w:t>
      </w:r>
      <w:r w:rsidRPr="00B00B77">
        <w:t>are consistent with the requirements of TGO 78 and are acceptable.</w:t>
      </w:r>
      <w:r w:rsidR="00F931F6">
        <w:rPr>
          <w:rStyle w:val="FootnoteReference"/>
        </w:rPr>
        <w:footnoteReference w:id="8"/>
      </w:r>
    </w:p>
    <w:p w14:paraId="6CF6B846" w14:textId="120A49F9" w:rsidR="009956BC" w:rsidRPr="00B00B77" w:rsidRDefault="009956BC" w:rsidP="009956BC">
      <w:r w:rsidRPr="00B00B77">
        <w:t xml:space="preserve">The specifications include a test </w:t>
      </w:r>
      <w:r w:rsidRPr="00ED6165">
        <w:t xml:space="preserve">for </w:t>
      </w:r>
      <w:r w:rsidR="00ED6165" w:rsidRPr="00ED6165">
        <w:t xml:space="preserve">uniformity of dosage units </w:t>
      </w:r>
      <w:r w:rsidRPr="00ED6165">
        <w:t>by</w:t>
      </w:r>
      <w:r w:rsidRPr="00B00B77">
        <w:t xml:space="preserve"> weight variation </w:t>
      </w:r>
      <w:r w:rsidR="006036AF">
        <w:t xml:space="preserve">and are </w:t>
      </w:r>
      <w:r w:rsidRPr="00B00B77">
        <w:t>consistent with the requiremen</w:t>
      </w:r>
      <w:r w:rsidR="00ED6165">
        <w:t xml:space="preserve">ts of TGO 78 and the </w:t>
      </w:r>
      <w:r w:rsidR="00F931F6">
        <w:t>British Pharmacopoeia/</w:t>
      </w:r>
      <w:r w:rsidR="00F931F6" w:rsidRPr="00F931F6">
        <w:t>European Pharmacopoeia</w:t>
      </w:r>
      <w:r w:rsidR="00DA07D6">
        <w:t xml:space="preserve"> </w:t>
      </w:r>
      <w:r w:rsidR="00ED6165">
        <w:t>t</w:t>
      </w:r>
      <w:r w:rsidRPr="00B00B77">
        <w:t>ablets monograph and is acceptable.</w:t>
      </w:r>
    </w:p>
    <w:p w14:paraId="50084286" w14:textId="438805FC" w:rsidR="009956BC" w:rsidRPr="00B00B77" w:rsidRDefault="009956BC" w:rsidP="009956BC">
      <w:pPr>
        <w:rPr>
          <w:highlight w:val="yellow"/>
        </w:rPr>
      </w:pPr>
      <w:r w:rsidRPr="00B00B77">
        <w:t xml:space="preserve">The specifications include a test for </w:t>
      </w:r>
      <w:r w:rsidR="00ED6165" w:rsidRPr="00ED6165">
        <w:t>degradation</w:t>
      </w:r>
      <w:r w:rsidRPr="000856B4">
        <w:rPr>
          <w:i/>
        </w:rPr>
        <w:t xml:space="preserve"> </w:t>
      </w:r>
      <w:r w:rsidRPr="00B00B77">
        <w:t>products with limits for each unspeci</w:t>
      </w:r>
      <w:r>
        <w:t xml:space="preserve">fied impurity and </w:t>
      </w:r>
      <w:r w:rsidRPr="00ED6165">
        <w:t>‘Total impurities’</w:t>
      </w:r>
      <w:r>
        <w:t xml:space="preserve"> </w:t>
      </w:r>
      <w:r w:rsidRPr="00B00B77">
        <w:t xml:space="preserve">at both release and expiry. </w:t>
      </w:r>
      <w:r w:rsidRPr="008E3F95">
        <w:t>The proposed expiry limits are consistent with the ICH Q3B</w:t>
      </w:r>
      <w:r w:rsidR="00F931F6">
        <w:t>;</w:t>
      </w:r>
      <w:r w:rsidR="00ED6165">
        <w:rPr>
          <w:rStyle w:val="FootnoteReference"/>
        </w:rPr>
        <w:footnoteReference w:id="9"/>
      </w:r>
      <w:r w:rsidRPr="008E3F95">
        <w:t xml:space="preserve"> identification and qualification thresholds of 0.2% for a drug product with a maximum daily dose of 900 mg and are acceptable. </w:t>
      </w:r>
      <w:r w:rsidRPr="00D9010A">
        <w:t>The proposed release limits do not allow for any change on storage, however, this will not be pursued as no trends were observed in the stability studies.</w:t>
      </w:r>
    </w:p>
    <w:p w14:paraId="67ECFA80" w14:textId="535DF645" w:rsidR="009956BC" w:rsidRDefault="009956BC" w:rsidP="009956BC">
      <w:r w:rsidRPr="00B00B77">
        <w:t xml:space="preserve">The specifications include a test </w:t>
      </w:r>
      <w:r>
        <w:t xml:space="preserve">for </w:t>
      </w:r>
      <w:r w:rsidR="0029326D">
        <w:t>d</w:t>
      </w:r>
      <w:r w:rsidRPr="0029326D">
        <w:t xml:space="preserve">issolution </w:t>
      </w:r>
      <w:r w:rsidRPr="00731642">
        <w:t>consistent with general pharmacopoeial requirements and is acceptable, however, the results of development and stability studies indicate that the product could comply with this limit at an earlier sampling time.</w:t>
      </w:r>
    </w:p>
    <w:p w14:paraId="0952E8F4" w14:textId="77777777" w:rsidR="009956BC" w:rsidRPr="00940A89" w:rsidRDefault="009956BC" w:rsidP="009956BC">
      <w:r>
        <w:t>The stability data provided support the proposed shelf life of 5 years for the unopened product when stored below 25</w:t>
      </w:r>
      <w:r w:rsidR="0029326D">
        <w:t>°</w:t>
      </w:r>
      <w:r>
        <w:t>C.</w:t>
      </w:r>
    </w:p>
    <w:p w14:paraId="4CBF940F" w14:textId="77777777" w:rsidR="008E7846" w:rsidRDefault="008E7846" w:rsidP="008E7846">
      <w:pPr>
        <w:pStyle w:val="Heading3"/>
      </w:pPr>
      <w:bookmarkStart w:id="34" w:name="_Toc314842491"/>
      <w:bookmarkStart w:id="35" w:name="_Toc32828523"/>
      <w:r>
        <w:t>Biopharmaceutics</w:t>
      </w:r>
      <w:bookmarkEnd w:id="34"/>
      <w:bookmarkEnd w:id="35"/>
    </w:p>
    <w:p w14:paraId="6C9FDEDC" w14:textId="77777777" w:rsidR="009956BC" w:rsidRDefault="009956BC" w:rsidP="009956BC">
      <w:pPr>
        <w:pStyle w:val="Heading4"/>
      </w:pPr>
      <w:r>
        <w:t xml:space="preserve">Rate and extent of absorption </w:t>
      </w:r>
    </w:p>
    <w:p w14:paraId="4C358ED7" w14:textId="77777777" w:rsidR="009956BC" w:rsidRDefault="009956BC" w:rsidP="009956BC">
      <w:r w:rsidRPr="00AE34F6">
        <w:t xml:space="preserve">Peak plasma concentrations of idebenone occur about </w:t>
      </w:r>
      <w:r w:rsidR="0029326D">
        <w:t xml:space="preserve">1 to </w:t>
      </w:r>
      <w:r w:rsidRPr="00AE34F6">
        <w:t>4 hours after oral administration.</w:t>
      </w:r>
      <w:r>
        <w:t xml:space="preserve"> Absolute bioavailability has not been determined.</w:t>
      </w:r>
    </w:p>
    <w:p w14:paraId="3DB59DC1" w14:textId="77777777" w:rsidR="009956BC" w:rsidRPr="003D2140" w:rsidRDefault="009956BC" w:rsidP="009956BC">
      <w:pPr>
        <w:pStyle w:val="Heading4"/>
      </w:pPr>
      <w:r>
        <w:t>Metabolism and distribution</w:t>
      </w:r>
    </w:p>
    <w:p w14:paraId="7B71D22C" w14:textId="77777777" w:rsidR="009956BC" w:rsidRPr="00391FC6" w:rsidRDefault="009956BC" w:rsidP="009956BC">
      <w:pPr>
        <w:numPr>
          <w:ilvl w:val="12"/>
          <w:numId w:val="0"/>
        </w:numPr>
        <w:rPr>
          <w:highlight w:val="yellow"/>
        </w:rPr>
      </w:pPr>
      <w:r w:rsidRPr="00323397">
        <w:t xml:space="preserve">Idebenone is extensively metabolised in the liver, predominantly by oxidative shortening of the side chain and by conjugation (either glucuronidation or sulphation). </w:t>
      </w:r>
      <w:r w:rsidR="0029326D">
        <w:t xml:space="preserve">Approximately 56 to </w:t>
      </w:r>
      <w:r>
        <w:t xml:space="preserve">78% of an oral dose is recovered as metabolites in urine compared to less than 1% as unchanged drug. </w:t>
      </w:r>
      <w:r w:rsidRPr="00323397">
        <w:t>Plasma concentrations of idebenone are much lower than the concentrations of its metabolites at all times after oral dosing, indicating that the first-pass effect is extensive.</w:t>
      </w:r>
    </w:p>
    <w:p w14:paraId="5898D2C0" w14:textId="77777777" w:rsidR="009956BC" w:rsidRDefault="009956BC" w:rsidP="009956BC">
      <w:r>
        <w:lastRenderedPageBreak/>
        <w:t>Idebenone crosses the blood-brain barrier and significant concentrations are observed in cerebral tissue.</w:t>
      </w:r>
    </w:p>
    <w:p w14:paraId="79D9F7D2" w14:textId="77777777" w:rsidR="009956BC" w:rsidRDefault="009956BC" w:rsidP="009956BC">
      <w:pPr>
        <w:pStyle w:val="Heading4"/>
      </w:pPr>
      <w:r>
        <w:t>Mode, route and rate of elimination</w:t>
      </w:r>
    </w:p>
    <w:p w14:paraId="3A053EF5" w14:textId="77777777" w:rsidR="009956BC" w:rsidRDefault="009956BC" w:rsidP="009956BC">
      <w:r w:rsidRPr="00AE34F6">
        <w:t xml:space="preserve">Idebenone is eliminated primarily by hepatic metabolism followed by renal excretion of </w:t>
      </w:r>
      <w:r>
        <w:t xml:space="preserve">the </w:t>
      </w:r>
      <w:r w:rsidRPr="00AE34F6">
        <w:t xml:space="preserve">metabolites. </w:t>
      </w:r>
      <w:r w:rsidRPr="00E15D64">
        <w:t xml:space="preserve">The plasma elimination half-life of idebenone cannot be </w:t>
      </w:r>
      <w:r>
        <w:t>determined directly</w:t>
      </w:r>
      <w:r w:rsidRPr="00E15D64">
        <w:t xml:space="preserve"> as measurable concentration are only obtained for approximately 6 hours after oral dosing</w:t>
      </w:r>
      <w:r>
        <w:t>, but is relatively short as accumulation after repeat dosing at three-times-daily intervals was minimal. T</w:t>
      </w:r>
      <w:r w:rsidRPr="00E15D64">
        <w:t>he half-lives of its metabolites are approxima</w:t>
      </w:r>
      <w:r w:rsidR="0029326D">
        <w:t xml:space="preserve">tely 4 to </w:t>
      </w:r>
      <w:r w:rsidRPr="00E15D64">
        <w:t>7 hours.</w:t>
      </w:r>
    </w:p>
    <w:p w14:paraId="764D06A8" w14:textId="77777777" w:rsidR="009956BC" w:rsidRDefault="009956BC" w:rsidP="009956BC">
      <w:pPr>
        <w:pStyle w:val="Heading4"/>
      </w:pPr>
      <w:r>
        <w:t>Active entity</w:t>
      </w:r>
    </w:p>
    <w:p w14:paraId="04054A14" w14:textId="77777777" w:rsidR="009956BC" w:rsidRDefault="009956BC" w:rsidP="009956BC">
      <w:r w:rsidRPr="00851914">
        <w:t>The active entity is idebenone.</w:t>
      </w:r>
    </w:p>
    <w:p w14:paraId="59F79C3C" w14:textId="77777777" w:rsidR="009956BC" w:rsidRDefault="009956BC" w:rsidP="009956BC">
      <w:pPr>
        <w:pStyle w:val="Heading4"/>
      </w:pPr>
      <w:r>
        <w:t>Dose response proportionality</w:t>
      </w:r>
    </w:p>
    <w:p w14:paraId="0B3181C4" w14:textId="77777777" w:rsidR="009956BC" w:rsidRDefault="009956BC" w:rsidP="009956BC">
      <w:r>
        <w:t>Pharmacokinetics of i</w:t>
      </w:r>
      <w:r w:rsidRPr="00504AB6">
        <w:t xml:space="preserve">debenone </w:t>
      </w:r>
      <w:r>
        <w:t>after administration of 150 mg and 750 mg doses were approximately dose-proportional</w:t>
      </w:r>
      <w:r w:rsidRPr="00504AB6">
        <w:t>.</w:t>
      </w:r>
    </w:p>
    <w:p w14:paraId="054BF920" w14:textId="77777777" w:rsidR="009956BC" w:rsidRDefault="009956BC" w:rsidP="009956BC">
      <w:pPr>
        <w:pStyle w:val="Heading4"/>
      </w:pPr>
      <w:r>
        <w:t>Effects of food</w:t>
      </w:r>
    </w:p>
    <w:p w14:paraId="4EA0E796" w14:textId="3ACAF56C" w:rsidR="009956BC" w:rsidRDefault="009956BC" w:rsidP="009956BC">
      <w:r w:rsidRPr="00504AB6">
        <w:t xml:space="preserve">Administration with food increased idebenone </w:t>
      </w:r>
      <w:r w:rsidR="006134EA">
        <w:t>maximum plasma concentrations (</w:t>
      </w:r>
      <w:r w:rsidRPr="00504AB6">
        <w:t>C</w:t>
      </w:r>
      <w:r w:rsidRPr="00504AB6">
        <w:rPr>
          <w:vertAlign w:val="subscript"/>
        </w:rPr>
        <w:t>max</w:t>
      </w:r>
      <w:r w:rsidR="006134EA">
        <w:t xml:space="preserve">) </w:t>
      </w:r>
      <w:r w:rsidRPr="00504AB6">
        <w:t>and AUC</w:t>
      </w:r>
      <w:r w:rsidR="006134EA">
        <w:t>;</w:t>
      </w:r>
      <w:r w:rsidR="00DB3203">
        <w:rPr>
          <w:rStyle w:val="FootnoteReference"/>
        </w:rPr>
        <w:footnoteReference w:id="10"/>
      </w:r>
      <w:r w:rsidR="0029326D">
        <w:t xml:space="preserve"> approximately 5 fold and 7 </w:t>
      </w:r>
      <w:r w:rsidRPr="00504AB6">
        <w:t>fold respectively when compared with the fasted state.</w:t>
      </w:r>
    </w:p>
    <w:p w14:paraId="0DE150B8" w14:textId="77777777" w:rsidR="009956BC" w:rsidRPr="00941F96" w:rsidRDefault="009956BC" w:rsidP="009956BC">
      <w:pPr>
        <w:pStyle w:val="Heading4"/>
      </w:pPr>
      <w:r w:rsidRPr="00941F96">
        <w:t>Absolute bioavailability</w:t>
      </w:r>
    </w:p>
    <w:p w14:paraId="17E2538D" w14:textId="77777777" w:rsidR="009956BC" w:rsidRDefault="009956BC" w:rsidP="009956BC">
      <w:r>
        <w:t>The sponsor has provided a justification for not performing an absolute bioavailability study. The main points of the justification are summarised below:</w:t>
      </w:r>
    </w:p>
    <w:p w14:paraId="60ABFE3F" w14:textId="77777777" w:rsidR="009956BC" w:rsidRDefault="009956BC" w:rsidP="009956BC">
      <w:pPr>
        <w:pStyle w:val="ListBullet"/>
      </w:pPr>
      <w:r>
        <w:t>Although idebenone is a new chemical entity in Australia, it has been marketed since 1993 in Italy, Portugal, Argentina, and Mexico for cerebral insufficiency of vascular or degenerative origin.</w:t>
      </w:r>
    </w:p>
    <w:p w14:paraId="41458F4D" w14:textId="77777777" w:rsidR="009956BC" w:rsidRDefault="009956BC" w:rsidP="009956BC">
      <w:pPr>
        <w:pStyle w:val="ListBullet"/>
      </w:pPr>
      <w:r>
        <w:t xml:space="preserve">Idebenone exhibits highly lipophilicity and very low solubility, making </w:t>
      </w:r>
      <w:r w:rsidR="0029326D">
        <w:t>intravenous (</w:t>
      </w:r>
      <w:r>
        <w:t>IV</w:t>
      </w:r>
      <w:r w:rsidR="0029326D">
        <w:t>)</w:t>
      </w:r>
      <w:r>
        <w:t xml:space="preserve"> formulations difficult to develop. No reports of administration of an IV idebenone formulation to humans have been found and only one report of administration to rats in a 10% polyethoxylated castor oil solution, which is not suitable for use in humans.</w:t>
      </w:r>
    </w:p>
    <w:p w14:paraId="249763B4" w14:textId="77777777" w:rsidR="009956BC" w:rsidRDefault="009956BC" w:rsidP="009956BC">
      <w:pPr>
        <w:pStyle w:val="ListBullet"/>
      </w:pPr>
      <w:r>
        <w:t>While a safe IV formulation could possibly be developed, the benefits of doing so would be minimal as idebenone has been in use for over 30 years and its pharmacokinetics and safety profile are well characterised.</w:t>
      </w:r>
    </w:p>
    <w:p w14:paraId="5ED8A4FD" w14:textId="77777777" w:rsidR="009956BC" w:rsidRPr="009956BC" w:rsidRDefault="009956BC" w:rsidP="009956BC">
      <w:r>
        <w:t>Given today’s technologies, it is thought that the development of an IV dose for use in an absolute bioavailability study should have been possible.</w:t>
      </w:r>
      <w:r w:rsidR="00DB3203">
        <w:t xml:space="preserve"> </w:t>
      </w:r>
      <w:r>
        <w:t>However, this matte</w:t>
      </w:r>
      <w:r w:rsidR="0029326D">
        <w:t>r will be highlighted with the c</w:t>
      </w:r>
      <w:r>
        <w:t>linical Delegate for consideration.</w:t>
      </w:r>
    </w:p>
    <w:p w14:paraId="383E6B62" w14:textId="77777777" w:rsidR="008E7846" w:rsidRPr="008751DC" w:rsidRDefault="008E7846" w:rsidP="008E7846">
      <w:pPr>
        <w:pStyle w:val="Heading3"/>
      </w:pPr>
      <w:bookmarkStart w:id="36" w:name="_Toc247691509"/>
      <w:bookmarkStart w:id="37" w:name="_Toc314842493"/>
      <w:bookmarkStart w:id="38" w:name="_Toc32828524"/>
      <w:r>
        <w:t>Quality s</w:t>
      </w:r>
      <w:r w:rsidRPr="008751DC">
        <w:t>ummary</w:t>
      </w:r>
      <w:r>
        <w:t xml:space="preserve"> and conclusions</w:t>
      </w:r>
      <w:bookmarkEnd w:id="36"/>
      <w:bookmarkEnd w:id="37"/>
      <w:bookmarkEnd w:id="38"/>
    </w:p>
    <w:p w14:paraId="4DAA508A" w14:textId="77777777" w:rsidR="008E7846" w:rsidRDefault="006C566D" w:rsidP="006C566D">
      <w:r w:rsidRPr="006C566D">
        <w:t>Approval is recommended in</w:t>
      </w:r>
      <w:r w:rsidRPr="00E8022B">
        <w:t xml:space="preserve"> relation to the pharmaceutical chemistry and quality aspects of the submission</w:t>
      </w:r>
      <w:r>
        <w:t xml:space="preserve"> as all matters raised during the evaluation have been satisfactorily resolved.</w:t>
      </w:r>
    </w:p>
    <w:p w14:paraId="19E091FB" w14:textId="77777777" w:rsidR="008E7846" w:rsidRDefault="008E7846" w:rsidP="008E7846">
      <w:pPr>
        <w:pStyle w:val="Heading2"/>
      </w:pPr>
      <w:bookmarkStart w:id="39" w:name="_Toc196046439"/>
      <w:bookmarkStart w:id="40" w:name="_Toc247691510"/>
      <w:bookmarkStart w:id="41" w:name="_Toc314842494"/>
      <w:bookmarkStart w:id="42" w:name="_Toc32828525"/>
      <w:r>
        <w:lastRenderedPageBreak/>
        <w:t>I</w:t>
      </w:r>
      <w:r w:rsidR="00500337">
        <w:t>V</w:t>
      </w:r>
      <w:r>
        <w:t>. Nonclinical</w:t>
      </w:r>
      <w:bookmarkEnd w:id="39"/>
      <w:r>
        <w:t xml:space="preserve"> findings</w:t>
      </w:r>
      <w:bookmarkEnd w:id="40"/>
      <w:bookmarkEnd w:id="41"/>
      <w:bookmarkEnd w:id="42"/>
    </w:p>
    <w:p w14:paraId="574D0779" w14:textId="77777777" w:rsidR="008E7846" w:rsidRPr="006C566D" w:rsidRDefault="008E7846" w:rsidP="006C566D">
      <w:pPr>
        <w:pStyle w:val="Heading3"/>
      </w:pPr>
      <w:bookmarkStart w:id="43" w:name="_Toc247691511"/>
      <w:bookmarkStart w:id="44" w:name="_Toc314842495"/>
      <w:bookmarkStart w:id="45" w:name="_Toc32828526"/>
      <w:r w:rsidRPr="006C566D">
        <w:t>Introduction</w:t>
      </w:r>
      <w:bookmarkEnd w:id="43"/>
      <w:bookmarkEnd w:id="44"/>
      <w:bookmarkEnd w:id="45"/>
    </w:p>
    <w:p w14:paraId="41249D20" w14:textId="77777777" w:rsidR="00685A72" w:rsidRDefault="0029326D" w:rsidP="006C566D">
      <w:r>
        <w:t>The sponsor</w:t>
      </w:r>
      <w:r w:rsidR="00DA3C41" w:rsidRPr="00E94D73">
        <w:t xml:space="preserve"> has applied to register a new chemical entity, idebenone (</w:t>
      </w:r>
      <w:r w:rsidR="00DB3203">
        <w:t>Raxone</w:t>
      </w:r>
      <w:r w:rsidR="00DA3C41" w:rsidRPr="00E94D73">
        <w:t>)</w:t>
      </w:r>
      <w:r w:rsidR="00DA3C41">
        <w:t xml:space="preserve"> </w:t>
      </w:r>
      <w:r w:rsidR="00DA3C41" w:rsidRPr="00E94D73">
        <w:t xml:space="preserve">for the treatment of patients with </w:t>
      </w:r>
      <w:r w:rsidR="0002337A">
        <w:t>DMD</w:t>
      </w:r>
      <w:r w:rsidR="00DA3C41" w:rsidRPr="00E94D73">
        <w:t xml:space="preserve"> for whom respiratory function has started to decline and who are currently not taking concomitant glucocorticoids. R</w:t>
      </w:r>
      <w:r w:rsidR="00DB3203" w:rsidRPr="00E94D73">
        <w:t>axone</w:t>
      </w:r>
      <w:r w:rsidR="00DA3C41" w:rsidRPr="00E94D73">
        <w:t xml:space="preserve"> can be used in patients previously treated with glucocorticoids or in patients in whom glucocorticoid treatment is not desired, not tolerated or is contraindicated</w:t>
      </w:r>
      <w:r w:rsidR="00DA3C41">
        <w:t xml:space="preserve">. </w:t>
      </w:r>
      <w:r w:rsidR="00DA3C41" w:rsidRPr="00AF7E3B">
        <w:t xml:space="preserve">The proposed dosing regimen involves oral administration </w:t>
      </w:r>
      <w:r w:rsidR="00DA3C41">
        <w:t>of</w:t>
      </w:r>
      <w:r w:rsidR="00DA3C41" w:rsidRPr="00E94D73">
        <w:t xml:space="preserve"> idebenone </w:t>
      </w:r>
      <w:r w:rsidR="00DA3C41">
        <w:t xml:space="preserve">at </w:t>
      </w:r>
      <w:r w:rsidR="00DA3C41" w:rsidRPr="00E94D73">
        <w:t>900 mg/day (300 mg, 3 times a day).</w:t>
      </w:r>
      <w:r w:rsidR="00DA3C41">
        <w:t xml:space="preserve"> </w:t>
      </w:r>
      <w:r w:rsidR="00DA3C41" w:rsidRPr="00AF7E3B">
        <w:t>The treatment duration has not been specified by the sponsor but is expected to be long-</w:t>
      </w:r>
      <w:r w:rsidR="00DA3C41" w:rsidRPr="009349E5">
        <w:t>term</w:t>
      </w:r>
      <w:r w:rsidR="00DA3C41" w:rsidRPr="00AF7E3B">
        <w:t xml:space="preserve"> given the chronic nature of DMD symptoms and </w:t>
      </w:r>
      <w:r w:rsidR="00DA3C41">
        <w:t xml:space="preserve">the </w:t>
      </w:r>
      <w:r w:rsidR="00DA3C41" w:rsidRPr="00AF7E3B">
        <w:t xml:space="preserve">lack of </w:t>
      </w:r>
      <w:r w:rsidR="00DA3C41">
        <w:t xml:space="preserve">available </w:t>
      </w:r>
      <w:r w:rsidR="00DA3C41" w:rsidRPr="00AF7E3B">
        <w:t>therapies</w:t>
      </w:r>
      <w:r w:rsidR="00685A72">
        <w:t>.</w:t>
      </w:r>
    </w:p>
    <w:p w14:paraId="34ACAB3E" w14:textId="77777777" w:rsidR="00DA3C41" w:rsidRPr="00EB69F1" w:rsidRDefault="00DA3C41" w:rsidP="0029326D">
      <w:pPr>
        <w:pStyle w:val="Heading4"/>
      </w:pPr>
      <w:bookmarkStart w:id="46" w:name="_Toc294861722"/>
      <w:bookmarkStart w:id="47" w:name="_Toc295290864"/>
      <w:bookmarkStart w:id="48" w:name="_Toc510093099"/>
      <w:r w:rsidRPr="00EB69F1">
        <w:t>General</w:t>
      </w:r>
      <w:r>
        <w:t xml:space="preserve"> </w:t>
      </w:r>
      <w:r w:rsidRPr="00EB69F1">
        <w:t>comments</w:t>
      </w:r>
      <w:bookmarkEnd w:id="46"/>
      <w:bookmarkEnd w:id="47"/>
      <w:bookmarkEnd w:id="48"/>
    </w:p>
    <w:p w14:paraId="5F324276" w14:textId="023B7A52" w:rsidR="00685A72" w:rsidRDefault="00DA3C41" w:rsidP="006C566D">
      <w:pPr>
        <w:rPr>
          <w:kern w:val="2"/>
        </w:rPr>
      </w:pPr>
      <w:r>
        <w:t>The overall quality of the nonclinical dossier was satisfactory and in general accord with the ICH guideline for the nonclinical assessment of pharmaceuticals</w:t>
      </w:r>
      <w:r w:rsidR="0029326D">
        <w:t>.</w:t>
      </w:r>
      <w:bookmarkStart w:id="49" w:name="_Ref25748272"/>
      <w:r w:rsidR="0029326D">
        <w:rPr>
          <w:rStyle w:val="FootnoteReference"/>
        </w:rPr>
        <w:footnoteReference w:id="11"/>
      </w:r>
      <w:bookmarkEnd w:id="49"/>
      <w:r>
        <w:t xml:space="preserve"> </w:t>
      </w:r>
      <w:r>
        <w:rPr>
          <w:kern w:val="2"/>
        </w:rPr>
        <w:t xml:space="preserve">The </w:t>
      </w:r>
      <w:r w:rsidR="0029326D">
        <w:rPr>
          <w:kern w:val="2"/>
        </w:rPr>
        <w:t>nonclinical</w:t>
      </w:r>
      <w:r>
        <w:rPr>
          <w:kern w:val="2"/>
        </w:rPr>
        <w:t xml:space="preserve"> dossier included </w:t>
      </w:r>
      <w:r w:rsidRPr="000B01B8">
        <w:rPr>
          <w:kern w:val="2"/>
        </w:rPr>
        <w:t>primary and secondary pharmacology studies (</w:t>
      </w:r>
      <w:r w:rsidRPr="000B01B8">
        <w:rPr>
          <w:i/>
          <w:kern w:val="2"/>
        </w:rPr>
        <w:t>in vitro</w:t>
      </w:r>
      <w:r w:rsidRPr="000B01B8">
        <w:rPr>
          <w:kern w:val="2"/>
        </w:rPr>
        <w:t xml:space="preserve"> and </w:t>
      </w:r>
      <w:r w:rsidRPr="000B01B8">
        <w:rPr>
          <w:i/>
          <w:kern w:val="2"/>
        </w:rPr>
        <w:t>in vivo</w:t>
      </w:r>
      <w:r>
        <w:rPr>
          <w:kern w:val="2"/>
        </w:rPr>
        <w:t>);</w:t>
      </w:r>
      <w:r w:rsidRPr="000B01B8">
        <w:rPr>
          <w:kern w:val="2"/>
        </w:rPr>
        <w:t xml:space="preserve"> </w:t>
      </w:r>
      <w:r>
        <w:rPr>
          <w:kern w:val="2"/>
        </w:rPr>
        <w:t>15</w:t>
      </w:r>
      <w:r w:rsidR="006134EA">
        <w:rPr>
          <w:kern w:val="2"/>
        </w:rPr>
        <w:t> </w:t>
      </w:r>
      <w:r w:rsidRPr="000B01B8">
        <w:rPr>
          <w:kern w:val="2"/>
        </w:rPr>
        <w:t xml:space="preserve">repeat-dose toxicity studies in three species </w:t>
      </w:r>
      <w:r>
        <w:rPr>
          <w:kern w:val="2"/>
        </w:rPr>
        <w:t>(</w:t>
      </w:r>
      <w:r w:rsidRPr="000B01B8">
        <w:rPr>
          <w:kern w:val="2"/>
        </w:rPr>
        <w:t xml:space="preserve">up to </w:t>
      </w:r>
      <w:r>
        <w:rPr>
          <w:kern w:val="2"/>
        </w:rPr>
        <w:t>13 weeks duration in mice, 1 years</w:t>
      </w:r>
      <w:r w:rsidRPr="000B01B8">
        <w:rPr>
          <w:kern w:val="2"/>
        </w:rPr>
        <w:t xml:space="preserve"> duration in rat</w:t>
      </w:r>
      <w:r>
        <w:rPr>
          <w:kern w:val="2"/>
        </w:rPr>
        <w:t>s and 52 weeks duration in dogs);</w:t>
      </w:r>
      <w:r w:rsidRPr="000B01B8">
        <w:rPr>
          <w:kern w:val="2"/>
        </w:rPr>
        <w:t xml:space="preserve"> genotoxicity and carcinogenicity studies in two </w:t>
      </w:r>
      <w:r>
        <w:rPr>
          <w:kern w:val="2"/>
        </w:rPr>
        <w:t>rodent species;</w:t>
      </w:r>
      <w:r w:rsidRPr="000B01B8">
        <w:rPr>
          <w:kern w:val="2"/>
        </w:rPr>
        <w:t xml:space="preserve"> a complete suite of reproductive </w:t>
      </w:r>
      <w:r>
        <w:rPr>
          <w:kern w:val="2"/>
        </w:rPr>
        <w:t>toxicity studies in two species;</w:t>
      </w:r>
      <w:r w:rsidRPr="000B01B8">
        <w:rPr>
          <w:kern w:val="2"/>
        </w:rPr>
        <w:t xml:space="preserve"> and qualifying studies in support of the specifications for</w:t>
      </w:r>
      <w:r w:rsidR="0029326D">
        <w:rPr>
          <w:kern w:val="2"/>
        </w:rPr>
        <w:t xml:space="preserve"> impurities. All pivotal safety </w:t>
      </w:r>
      <w:r w:rsidRPr="000B01B8">
        <w:rPr>
          <w:kern w:val="2"/>
        </w:rPr>
        <w:t xml:space="preserve">related studies </w:t>
      </w:r>
      <w:r w:rsidR="0029326D" w:rsidRPr="000B01B8">
        <w:rPr>
          <w:kern w:val="2"/>
        </w:rPr>
        <w:t xml:space="preserve">were </w:t>
      </w:r>
      <w:r w:rsidR="006134EA">
        <w:t>G</w:t>
      </w:r>
      <w:r w:rsidR="0029326D">
        <w:t xml:space="preserve">ood </w:t>
      </w:r>
      <w:r w:rsidR="006134EA">
        <w:t>L</w:t>
      </w:r>
      <w:r w:rsidR="0029326D">
        <w:t xml:space="preserve">aboratory </w:t>
      </w:r>
      <w:r w:rsidR="006134EA">
        <w:t>P</w:t>
      </w:r>
      <w:r w:rsidR="0029326D">
        <w:t>ractice</w:t>
      </w:r>
      <w:r w:rsidR="0029326D" w:rsidRPr="000B01B8">
        <w:rPr>
          <w:kern w:val="2"/>
        </w:rPr>
        <w:t xml:space="preserve"> </w:t>
      </w:r>
      <w:r w:rsidR="0029326D">
        <w:rPr>
          <w:kern w:val="2"/>
        </w:rPr>
        <w:t>(</w:t>
      </w:r>
      <w:r w:rsidRPr="000B01B8">
        <w:rPr>
          <w:kern w:val="2"/>
        </w:rPr>
        <w:t>GLP</w:t>
      </w:r>
      <w:r w:rsidR="0029326D">
        <w:rPr>
          <w:kern w:val="2"/>
        </w:rPr>
        <w:t>)</w:t>
      </w:r>
      <w:r w:rsidRPr="000B01B8">
        <w:rPr>
          <w:kern w:val="2"/>
        </w:rPr>
        <w:t xml:space="preserve"> compliant. The dossier was therefore considered to be comprehensive, in accordance with </w:t>
      </w:r>
      <w:r>
        <w:rPr>
          <w:kern w:val="2"/>
        </w:rPr>
        <w:t xml:space="preserve">relevant </w:t>
      </w:r>
      <w:r w:rsidRPr="000B01B8">
        <w:rPr>
          <w:kern w:val="2"/>
        </w:rPr>
        <w:t>ICH guidelines, and adequate to</w:t>
      </w:r>
      <w:r>
        <w:rPr>
          <w:kern w:val="2"/>
        </w:rPr>
        <w:t xml:space="preserve"> evaluate the safety of idebenone</w:t>
      </w:r>
      <w:r w:rsidR="00685A72">
        <w:rPr>
          <w:kern w:val="2"/>
        </w:rPr>
        <w:t>.</w:t>
      </w:r>
    </w:p>
    <w:p w14:paraId="262C9A03" w14:textId="77777777" w:rsidR="00DA3C41" w:rsidRPr="005D41A1" w:rsidRDefault="00DA3C41" w:rsidP="006C566D">
      <w:r w:rsidRPr="005D41A1">
        <w:t>A number of submitted studies were not evaluated. Studies C-14-339 a</w:t>
      </w:r>
      <w:r>
        <w:t xml:space="preserve">nd C-14-403 were not evaluated as these </w:t>
      </w:r>
      <w:r w:rsidRPr="005D41A1">
        <w:t>were review articles that focused on the potential of idebenone as a treatment for cerebrovascular disorders and were not considered relevant to the current application. Studies C-14-415 and C-14-416 reported on the effect of idebenone on neurological deficits following the induction of cerebrovascular lesions in stroke-prone spontaneously hypertensive rats and were also not considered relevant to the present application and not evaluated.</w:t>
      </w:r>
    </w:p>
    <w:p w14:paraId="181D2335" w14:textId="77777777" w:rsidR="004334C7" w:rsidRPr="004334C7" w:rsidRDefault="00DA3C41" w:rsidP="006C566D">
      <w:r w:rsidRPr="005D41A1">
        <w:t>A deficiency in the dossier is the lack of toxicokinetic dat</w:t>
      </w:r>
      <w:r w:rsidR="0029326D">
        <w:t xml:space="preserve">a accompanying the pivotal rat Study </w:t>
      </w:r>
      <w:r w:rsidRPr="005D41A1">
        <w:rPr>
          <w:kern w:val="2"/>
        </w:rPr>
        <w:t>C-14-434</w:t>
      </w:r>
      <w:r w:rsidRPr="005D41A1">
        <w:t xml:space="preserve"> and </w:t>
      </w:r>
      <w:r>
        <w:t xml:space="preserve">most of the </w:t>
      </w:r>
      <w:r w:rsidRPr="005D41A1">
        <w:t>submitted reproductive and developmental toxicity studies, prohibiting a comparison of drug exposure between animals and patients</w:t>
      </w:r>
      <w:r>
        <w:t xml:space="preserve"> on the basis of AUC (a more informative indicator of drug exposure than </w:t>
      </w:r>
      <w:r w:rsidRPr="00E71E46">
        <w:t>body surface area comparisons</w:t>
      </w:r>
      <w:r>
        <w:t xml:space="preserve">) </w:t>
      </w:r>
      <w:r w:rsidRPr="005D41A1">
        <w:t>and hence a correlation with toxicities.</w:t>
      </w:r>
    </w:p>
    <w:p w14:paraId="30DC71FC" w14:textId="77777777" w:rsidR="008E7846" w:rsidRDefault="008E7846" w:rsidP="008E7846">
      <w:pPr>
        <w:pStyle w:val="Heading3"/>
      </w:pPr>
      <w:bookmarkStart w:id="50" w:name="_Toc247691512"/>
      <w:bookmarkStart w:id="51" w:name="_Toc314842496"/>
      <w:bookmarkStart w:id="52" w:name="_Toc32828527"/>
      <w:r w:rsidRPr="00020030">
        <w:t>Pharmacology</w:t>
      </w:r>
      <w:bookmarkEnd w:id="50"/>
      <w:bookmarkEnd w:id="51"/>
      <w:bookmarkEnd w:id="52"/>
    </w:p>
    <w:p w14:paraId="140DA033" w14:textId="77777777" w:rsidR="00DA3C41" w:rsidRDefault="00DA3C41" w:rsidP="00DA3C41">
      <w:pPr>
        <w:pStyle w:val="Heading4"/>
      </w:pPr>
      <w:r w:rsidRPr="00EB69F1">
        <w:t>Primary pharmacology</w:t>
      </w:r>
    </w:p>
    <w:p w14:paraId="69C77B39" w14:textId="77777777" w:rsidR="00DA3C41" w:rsidRDefault="00DA3C41" w:rsidP="00DA3C41">
      <w:r w:rsidRPr="00184382">
        <w:t xml:space="preserve">Weakness of respiratory muscles leading to respiratory insufficiency is a key pathological feature associated with DMD. </w:t>
      </w:r>
      <w:r w:rsidR="0029326D" w:rsidRPr="000D7E9B">
        <w:t>Duchenne muscular</w:t>
      </w:r>
      <w:r w:rsidR="0029326D" w:rsidRPr="00FC5FDE">
        <w:t xml:space="preserve"> </w:t>
      </w:r>
      <w:r w:rsidR="0029326D" w:rsidRPr="000D7E9B">
        <w:t>dystrophy</w:t>
      </w:r>
      <w:r w:rsidRPr="00184382">
        <w:t xml:space="preserve"> is characterised by cell membrane fragility and intracellular Ca</w:t>
      </w:r>
      <w:r w:rsidRPr="00184382">
        <w:rPr>
          <w:vertAlign w:val="superscript"/>
        </w:rPr>
        <w:t>2+</w:t>
      </w:r>
      <w:r w:rsidRPr="00184382">
        <w:t xml:space="preserve"> dysregulation secondary to the disease-causing absence of the protein, dystrophin. This muscle cell membrane damage causes functional aberrations in mitochondrial energy transduction and increased production of cell-damaging reactive oxygen species (ROS)</w:t>
      </w:r>
      <w:r>
        <w:t>. M</w:t>
      </w:r>
      <w:r w:rsidRPr="00184382">
        <w:t xml:space="preserve">ouse myoblasts from </w:t>
      </w:r>
      <w:r w:rsidRPr="00184382">
        <w:rPr>
          <w:i/>
        </w:rPr>
        <w:t xml:space="preserve">mdx </w:t>
      </w:r>
      <w:r w:rsidRPr="00184382">
        <w:t xml:space="preserve">mice (engineered to have a point mutation in the </w:t>
      </w:r>
      <w:r w:rsidRPr="00184382">
        <w:rPr>
          <w:i/>
        </w:rPr>
        <w:t xml:space="preserve">dystrophin </w:t>
      </w:r>
      <w:r w:rsidRPr="00184382">
        <w:t xml:space="preserve">gene and exhibiting a mild DMD phenotype) </w:t>
      </w:r>
      <w:r w:rsidRPr="00184382">
        <w:lastRenderedPageBreak/>
        <w:t>demonstrate abnormalities in several mitochondrial function</w:t>
      </w:r>
      <w:r>
        <w:t xml:space="preserve">s </w:t>
      </w:r>
      <w:r w:rsidRPr="00184382">
        <w:t>including decreased basal oxygen consumption</w:t>
      </w:r>
      <w:r w:rsidR="0029326D">
        <w:t xml:space="preserve"> and levels of C</w:t>
      </w:r>
      <w:r>
        <w:t>om</w:t>
      </w:r>
      <w:r w:rsidRPr="00184382">
        <w:t xml:space="preserve">plex </w:t>
      </w:r>
      <w:r>
        <w:t xml:space="preserve">I, </w:t>
      </w:r>
      <w:r w:rsidRPr="00184382">
        <w:t xml:space="preserve">III and V </w:t>
      </w:r>
      <w:r>
        <w:t xml:space="preserve">and </w:t>
      </w:r>
      <w:r w:rsidRPr="00184382">
        <w:t>increased mitochondrial membrane potential</w:t>
      </w:r>
      <w:r>
        <w:t xml:space="preserve"> and </w:t>
      </w:r>
      <w:r w:rsidRPr="00184382">
        <w:t xml:space="preserve">ROS production. The cellular pathology at the mitochondrial level in dystrophic muscle cells manifests in multiple deficiencies of various metabolic pathways to culminate in </w:t>
      </w:r>
      <w:r w:rsidR="00DB3203">
        <w:t>adenosine triphosphate</w:t>
      </w:r>
      <w:r w:rsidR="00DB3203" w:rsidRPr="00184382">
        <w:t xml:space="preserve"> </w:t>
      </w:r>
      <w:r w:rsidR="00DB3203">
        <w:t>(</w:t>
      </w:r>
      <w:r w:rsidRPr="00184382">
        <w:t>ATP</w:t>
      </w:r>
      <w:r w:rsidR="00DB3203">
        <w:t>)</w:t>
      </w:r>
      <w:r w:rsidRPr="00184382">
        <w:t xml:space="preserve"> insufficiency</w:t>
      </w:r>
      <w:r>
        <w:t xml:space="preserve"> and excessive ROS formation</w:t>
      </w:r>
      <w:r w:rsidRPr="00184382">
        <w:t>.</w:t>
      </w:r>
    </w:p>
    <w:p w14:paraId="24CF2A7A" w14:textId="0F6F34B0" w:rsidR="00685A72" w:rsidRDefault="00DA3C41" w:rsidP="00DA3C41">
      <w:r>
        <w:t>Upon entering the cell, idebenone is reduced by the cytoplasmic enzyme NADH-quinone oxidoreductase 1 (NQO1) and the resulting reduced form enters the mitochondria where it is re-oxidi</w:t>
      </w:r>
      <w:r w:rsidR="006134EA">
        <w:t>s</w:t>
      </w:r>
      <w:r>
        <w:t xml:space="preserve">ed by </w:t>
      </w:r>
      <w:r w:rsidR="006134EA">
        <w:t>c</w:t>
      </w:r>
      <w:r>
        <w:t xml:space="preserve">omplex III, bypassing </w:t>
      </w:r>
      <w:r w:rsidR="006134EA">
        <w:t>c</w:t>
      </w:r>
      <w:r>
        <w:t xml:space="preserve">omplex I-dependent ATP synthesis. Idebenone can therefore restore mitochondrial function in the presence of </w:t>
      </w:r>
      <w:r w:rsidR="00597738">
        <w:t xml:space="preserve">complex </w:t>
      </w:r>
      <w:r>
        <w:t>I dysfunction.</w:t>
      </w:r>
      <w:r w:rsidRPr="00184382">
        <w:t xml:space="preserve"> </w:t>
      </w:r>
      <w:r>
        <w:t xml:space="preserve">Idebenone also inhibits mitochondrial ROS formation. </w:t>
      </w:r>
      <w:r w:rsidRPr="007E0D06">
        <w:t>It is proposed that idebenone prevents muscle deterioration in DMD via its ability to increase cellular energy production, reduce ROS formation and protect from cell-damaging oxidative stress</w:t>
      </w:r>
      <w:r w:rsidR="00685A72">
        <w:t>.</w:t>
      </w:r>
    </w:p>
    <w:p w14:paraId="3A9D4BF5" w14:textId="3571FAA6" w:rsidR="00DA3C41" w:rsidRDefault="00DA3C41" w:rsidP="00DA3C41">
      <w:r>
        <w:t>Idebenone restored mitochondri</w:t>
      </w:r>
      <w:r w:rsidR="0029326D">
        <w:t>al function in the presence of C</w:t>
      </w:r>
      <w:r>
        <w:t xml:space="preserve">omplex I inhibition in a mouse model of </w:t>
      </w:r>
      <w:r w:rsidRPr="00582FA7">
        <w:t xml:space="preserve">Leber’s hereditary optic neuropathy </w:t>
      </w:r>
      <w:r>
        <w:t>where it effectively prevented retinal ganglion cell death and decreased retinal th</w:t>
      </w:r>
      <w:r w:rsidR="0029326D">
        <w:t xml:space="preserve">ickness induced by rotenone (a </w:t>
      </w:r>
      <w:r w:rsidR="006134EA">
        <w:t>c</w:t>
      </w:r>
      <w:r>
        <w:t xml:space="preserve">omplex I inhibitor). Idebenone improved cardiac parameters after induction of ischemia by mediating a more rapid recovery of pulse rate and coronary blood flow and preventing a reduction in cardiac glycogen in perfused rat hearts </w:t>
      </w:r>
      <w:r>
        <w:rPr>
          <w:i/>
        </w:rPr>
        <w:t>ex vivo</w:t>
      </w:r>
      <w:r>
        <w:t>. Idebenone also prev</w:t>
      </w:r>
      <w:r w:rsidR="0029326D">
        <w:t xml:space="preserve">ented ischemia </w:t>
      </w:r>
      <w:r>
        <w:t xml:space="preserve">induced S-T segment increases in </w:t>
      </w:r>
      <w:r w:rsidR="0002337A">
        <w:t>electrocardiograms (</w:t>
      </w:r>
      <w:r>
        <w:t>ECG</w:t>
      </w:r>
      <w:r w:rsidR="0002337A">
        <w:t>)</w:t>
      </w:r>
      <w:r>
        <w:t xml:space="preserve"> (a hallmark of myocardial infarction) in dogs. In </w:t>
      </w:r>
      <w:r w:rsidRPr="00813072">
        <w:rPr>
          <w:i/>
        </w:rPr>
        <w:t>mdx</w:t>
      </w:r>
      <w:r>
        <w:t xml:space="preserve"> mice, idebenone prevented deleterious changes in cardiac physiology (such as reductions in heart rate, end-diastolic pressure and </w:t>
      </w:r>
      <w:r w:rsidRPr="003B5E25">
        <w:t>isovolumetric relaxation during diastole</w:t>
      </w:r>
      <w:r>
        <w:t xml:space="preserve">) and muscular parameters (including impaired running distance and increased variability in quadriceps, but not diaphragm, striated muscle </w:t>
      </w:r>
      <w:r w:rsidRPr="00142F35">
        <w:t>fib</w:t>
      </w:r>
      <w:r>
        <w:t>re</w:t>
      </w:r>
      <w:r w:rsidRPr="00142F35">
        <w:t xml:space="preserve"> diameter</w:t>
      </w:r>
      <w:r>
        <w:t xml:space="preserve">). Idebenone also decreased mortality in a </w:t>
      </w:r>
      <w:r w:rsidRPr="00D54C70">
        <w:t>dobutamine stress test</w:t>
      </w:r>
      <w:r>
        <w:t xml:space="preserve"> caused by left ventricular dilatation, reduced the likelihood of cardiac fibrosis development and reduced cardiac inflammation and serum troponin levels.</w:t>
      </w:r>
    </w:p>
    <w:p w14:paraId="3F77D457" w14:textId="77777777" w:rsidR="00DA3C41" w:rsidRPr="00EB69F1" w:rsidRDefault="00DA3C41" w:rsidP="00DA3C41">
      <w:pPr>
        <w:pStyle w:val="Heading4"/>
      </w:pPr>
      <w:r>
        <w:t>Safety</w:t>
      </w:r>
      <w:r w:rsidRPr="00EB69F1">
        <w:t xml:space="preserve"> pharmacology</w:t>
      </w:r>
    </w:p>
    <w:p w14:paraId="7319DB61" w14:textId="29BB14AB" w:rsidR="00685A72" w:rsidRDefault="00DA3C41" w:rsidP="00DA3C41">
      <w:r>
        <w:t>I</w:t>
      </w:r>
      <w:r w:rsidRPr="002A6F61">
        <w:t xml:space="preserve">debenone inhibited </w:t>
      </w:r>
      <w:r w:rsidR="0029326D">
        <w:rPr>
          <w:bCs/>
        </w:rPr>
        <w:t>human ether-a-go-go-related gene 1 (</w:t>
      </w:r>
      <w:r w:rsidRPr="002A6F61">
        <w:t>hERG-1</w:t>
      </w:r>
      <w:r w:rsidR="0029326D">
        <w:t>) tail currents in a dose </w:t>
      </w:r>
      <w:r w:rsidRPr="002A6F61">
        <w:t>dependent manner</w:t>
      </w:r>
      <w:r>
        <w:t xml:space="preserve"> (</w:t>
      </w:r>
      <w:r w:rsidRPr="002A6F61">
        <w:t xml:space="preserve">by 20% </w:t>
      </w:r>
      <w:r>
        <w:t xml:space="preserve">to </w:t>
      </w:r>
      <w:r w:rsidRPr="002A6F61">
        <w:t>46%</w:t>
      </w:r>
      <w:r>
        <w:t xml:space="preserve">) </w:t>
      </w:r>
      <w:r w:rsidRPr="002A6F61">
        <w:rPr>
          <w:i/>
        </w:rPr>
        <w:t>in vitro</w:t>
      </w:r>
      <w:r w:rsidRPr="002A6F61">
        <w:t xml:space="preserve"> </w:t>
      </w:r>
      <w:r>
        <w:t xml:space="preserve">at </w:t>
      </w:r>
      <w:r w:rsidRPr="002A6F61">
        <w:t>concentrations</w:t>
      </w:r>
      <w:r>
        <w:t xml:space="preserve"> (3 to 10</w:t>
      </w:r>
      <w:r w:rsidR="0029326D">
        <w:t xml:space="preserve"> </w:t>
      </w:r>
      <w:r>
        <w:t>µM)</w:t>
      </w:r>
      <w:r w:rsidRPr="002A6F61">
        <w:t xml:space="preserve"> </w:t>
      </w:r>
      <w:r>
        <w:t xml:space="preserve">well above the </w:t>
      </w:r>
      <w:r w:rsidRPr="002A6F61">
        <w:t xml:space="preserve">clinical </w:t>
      </w:r>
      <w:r>
        <w:t>C</w:t>
      </w:r>
      <w:r w:rsidRPr="00785AB6">
        <w:rPr>
          <w:vertAlign w:val="subscript"/>
        </w:rPr>
        <w:t>max</w:t>
      </w:r>
      <w:r>
        <w:t xml:space="preserve"> achieved in human studies</w:t>
      </w:r>
      <w:r w:rsidR="006134EA">
        <w:t>.</w:t>
      </w:r>
      <w:r>
        <w:rPr>
          <w:rStyle w:val="FootnoteReference"/>
        </w:rPr>
        <w:footnoteReference w:id="12"/>
      </w:r>
      <w:r>
        <w:t xml:space="preserve"> However, t</w:t>
      </w:r>
      <w:r w:rsidRPr="00810242">
        <w:t xml:space="preserve">here were no significant findings in </w:t>
      </w:r>
      <w:r w:rsidRPr="00810242">
        <w:rPr>
          <w:i/>
        </w:rPr>
        <w:t>in vivo</w:t>
      </w:r>
      <w:r w:rsidRPr="00810242">
        <w:t xml:space="preserve"> cardiovascular studies on telemetered dogs at </w:t>
      </w:r>
      <w:r>
        <w:t>exposure levels</w:t>
      </w:r>
      <w:r w:rsidR="006134EA">
        <w:t>;</w:t>
      </w:r>
      <w:r>
        <w:rPr>
          <w:rStyle w:val="FootnoteReference"/>
        </w:rPr>
        <w:footnoteReference w:id="13"/>
      </w:r>
      <w:r>
        <w:t xml:space="preserve"> more than </w:t>
      </w:r>
      <w:r w:rsidR="0029326D">
        <w:t xml:space="preserve">19 </w:t>
      </w:r>
      <w:r w:rsidRPr="00810242">
        <w:t>fold the clinical C</w:t>
      </w:r>
      <w:r w:rsidRPr="00810242">
        <w:rPr>
          <w:vertAlign w:val="subscript"/>
        </w:rPr>
        <w:t>max</w:t>
      </w:r>
      <w:r>
        <w:t xml:space="preserve">. Thus, </w:t>
      </w:r>
      <w:r w:rsidRPr="00810242">
        <w:t>no significant concerns are raised for the cardiovascular safety of idebenone</w:t>
      </w:r>
      <w:r w:rsidR="00685A72">
        <w:t>.</w:t>
      </w:r>
    </w:p>
    <w:p w14:paraId="420206E8" w14:textId="07F4AED7" w:rsidR="00DA3C41" w:rsidRPr="00DA3C41" w:rsidRDefault="00DA3C41" w:rsidP="00DA3C41">
      <w:r w:rsidRPr="0066326B">
        <w:t>There were no significant drug-related effects on the central nervous, respiratory or gastrointestinal systems in studies conducted in rats and mice</w:t>
      </w:r>
      <w:r>
        <w:t xml:space="preserve"> at multiples of the clinical C</w:t>
      </w:r>
      <w:r w:rsidRPr="0029326D">
        <w:rPr>
          <w:vertAlign w:val="subscript"/>
        </w:rPr>
        <w:t>max</w:t>
      </w:r>
      <w:r>
        <w:t xml:space="preserve"> of </w:t>
      </w:r>
      <w:r w:rsidR="0029326D">
        <w:t xml:space="preserve">≥ </w:t>
      </w:r>
      <w:r w:rsidRPr="0066326B">
        <w:t>56</w:t>
      </w:r>
      <w:r w:rsidR="0029326D">
        <w:t xml:space="preserve"> x</w:t>
      </w:r>
      <w:r w:rsidR="006134EA">
        <w:t>;</w:t>
      </w:r>
      <w:r>
        <w:rPr>
          <w:rStyle w:val="FootnoteReference"/>
        </w:rPr>
        <w:footnoteReference w:id="14"/>
      </w:r>
      <w:r>
        <w:t xml:space="preserve">and </w:t>
      </w:r>
      <w:r w:rsidR="0029326D">
        <w:t xml:space="preserve">≥ </w:t>
      </w:r>
      <w:r>
        <w:t>6</w:t>
      </w:r>
      <w:r w:rsidR="0029326D">
        <w:t xml:space="preserve"> x</w:t>
      </w:r>
      <w:r w:rsidR="006134EA">
        <w:t>;</w:t>
      </w:r>
      <w:r>
        <w:rPr>
          <w:rStyle w:val="FootnoteReference"/>
        </w:rPr>
        <w:footnoteReference w:id="15"/>
      </w:r>
      <w:r>
        <w:t xml:space="preserve"> respectively</w:t>
      </w:r>
      <w:r>
        <w:rPr>
          <w:rFonts w:asciiTheme="minorHAnsi" w:hAnsiTheme="minorHAnsi"/>
          <w:szCs w:val="14"/>
        </w:rPr>
        <w:t xml:space="preserve">. </w:t>
      </w:r>
      <w:r>
        <w:t>D</w:t>
      </w:r>
      <w:r w:rsidRPr="0066326B">
        <w:t xml:space="preserve">ogs </w:t>
      </w:r>
      <w:r>
        <w:t>received doses</w:t>
      </w:r>
      <w:r w:rsidRPr="0066326B">
        <w:t xml:space="preserve"> up to 500 mg/kg (</w:t>
      </w:r>
      <w:r w:rsidR="0029326D">
        <w:t xml:space="preserve">≥ 19 </w:t>
      </w:r>
      <w:r w:rsidRPr="0066326B">
        <w:t>fold the clinical C</w:t>
      </w:r>
      <w:r w:rsidRPr="0066326B">
        <w:rPr>
          <w:vertAlign w:val="subscript"/>
        </w:rPr>
        <w:t xml:space="preserve">max </w:t>
      </w:r>
      <w:r w:rsidRPr="0066326B">
        <w:t>when compared to the C</w:t>
      </w:r>
      <w:r w:rsidRPr="0066326B">
        <w:rPr>
          <w:vertAlign w:val="subscript"/>
        </w:rPr>
        <w:t>max</w:t>
      </w:r>
      <w:r w:rsidRPr="0066326B">
        <w:t xml:space="preserve"> (366 ng/mL) in dogs receivin</w:t>
      </w:r>
      <w:r w:rsidR="0029326D">
        <w:t>g the same dose in repeat-dose S</w:t>
      </w:r>
      <w:r w:rsidRPr="0066326B">
        <w:t xml:space="preserve">tudy </w:t>
      </w:r>
      <w:r w:rsidRPr="00810242">
        <w:rPr>
          <w:rFonts w:asciiTheme="minorHAnsi" w:hAnsiTheme="minorHAnsi"/>
          <w:szCs w:val="14"/>
        </w:rPr>
        <w:t>C32393</w:t>
      </w:r>
      <w:r w:rsidRPr="00DA3C41">
        <w:rPr>
          <w:rFonts w:asciiTheme="minorHAnsi" w:hAnsiTheme="minorHAnsi"/>
          <w:szCs w:val="14"/>
        </w:rPr>
        <w:t>)</w:t>
      </w:r>
      <w:r w:rsidRPr="00DA3C41">
        <w:t>.</w:t>
      </w:r>
    </w:p>
    <w:p w14:paraId="62CFD70F" w14:textId="77777777" w:rsidR="00685A72" w:rsidRDefault="00DA3C41" w:rsidP="00DA3C41">
      <w:r>
        <w:t>Overall the safety pharmacology data in animals demonstrated no overt safety concerns with respect to the clinical use of idebenone</w:t>
      </w:r>
      <w:r w:rsidR="00685A72">
        <w:t>.</w:t>
      </w:r>
    </w:p>
    <w:p w14:paraId="5A7A400D" w14:textId="77777777" w:rsidR="008E7846" w:rsidRDefault="008E7846" w:rsidP="008E7846">
      <w:pPr>
        <w:pStyle w:val="Heading3"/>
      </w:pPr>
      <w:bookmarkStart w:id="53" w:name="_Toc247691513"/>
      <w:bookmarkStart w:id="54" w:name="_Toc314842497"/>
      <w:bookmarkStart w:id="55" w:name="_Toc32828528"/>
      <w:r>
        <w:lastRenderedPageBreak/>
        <w:t>Pharmacokinetics</w:t>
      </w:r>
      <w:bookmarkEnd w:id="53"/>
      <w:bookmarkEnd w:id="54"/>
      <w:bookmarkEnd w:id="55"/>
    </w:p>
    <w:p w14:paraId="1EF81841" w14:textId="08DF2FC8" w:rsidR="00DA3C41" w:rsidRDefault="00DA3C41" w:rsidP="00DA3C41">
      <w:bookmarkStart w:id="56" w:name="_Toc247691514"/>
      <w:bookmarkStart w:id="57" w:name="_Toc314842498"/>
      <w:r w:rsidRPr="00E44FEE">
        <w:t xml:space="preserve">The pharmacokinetics of idebenone </w:t>
      </w:r>
      <w:r>
        <w:t>were</w:t>
      </w:r>
      <w:r w:rsidRPr="00E44FEE">
        <w:t xml:space="preserve"> studied in mice, rats and dogs. </w:t>
      </w:r>
      <w:r>
        <w:t xml:space="preserve">In humans and animals, </w:t>
      </w:r>
      <w:r w:rsidRPr="00B15B01">
        <w:t xml:space="preserve">idebenone is rapidly </w:t>
      </w:r>
      <w:r>
        <w:t xml:space="preserve">absorbed. When idebenone was administered by the clinical (oral) route the </w:t>
      </w:r>
      <w:r w:rsidR="006134EA">
        <w:t>time to maximum measure concentration (</w:t>
      </w:r>
      <w:r>
        <w:t>T</w:t>
      </w:r>
      <w:r w:rsidRPr="00A73BD7">
        <w:rPr>
          <w:vertAlign w:val="subscript"/>
        </w:rPr>
        <w:t>max</w:t>
      </w:r>
      <w:r w:rsidR="006134EA">
        <w:t xml:space="preserve">) </w:t>
      </w:r>
      <w:r w:rsidR="0029326D">
        <w:t xml:space="preserve">ranged between 0.25 hours to </w:t>
      </w:r>
      <w:r>
        <w:t xml:space="preserve">8 </w:t>
      </w:r>
      <w:r w:rsidR="0029326D">
        <w:t xml:space="preserve">hours </w:t>
      </w:r>
      <w:r>
        <w:t>post-dose in the species studied while in humans T</w:t>
      </w:r>
      <w:r w:rsidRPr="008223DD">
        <w:rPr>
          <w:vertAlign w:val="subscript"/>
        </w:rPr>
        <w:t>max</w:t>
      </w:r>
      <w:r>
        <w:t xml:space="preserve"> ranged between </w:t>
      </w:r>
      <w:r w:rsidR="003173BB">
        <w:t xml:space="preserve">approximately </w:t>
      </w:r>
      <w:r>
        <w:t xml:space="preserve">0.5 </w:t>
      </w:r>
      <w:r w:rsidR="0029326D">
        <w:t xml:space="preserve">hours </w:t>
      </w:r>
      <w:r w:rsidR="003173BB">
        <w:t xml:space="preserve">to </w:t>
      </w:r>
      <w:r>
        <w:t>3</w:t>
      </w:r>
      <w:r w:rsidR="0029326D">
        <w:t xml:space="preserve"> hours</w:t>
      </w:r>
      <w:r>
        <w:t>. A high variability in pharmacokinetic values was observed between studies in all species including humans. This is attributed to variations in absorption, the effect of food, and a high first pass effect (discussed below).</w:t>
      </w:r>
    </w:p>
    <w:p w14:paraId="2EC72DD0" w14:textId="6ABE1539" w:rsidR="00685A72" w:rsidRDefault="00DA3C41" w:rsidP="00DA3C41">
      <w:r w:rsidRPr="004F7516">
        <w:t>Idebenone is rapidly</w:t>
      </w:r>
      <w:r>
        <w:t xml:space="preserve"> </w:t>
      </w:r>
      <w:r w:rsidRPr="004F7516">
        <w:t>converted to metabolites by first pass metabolism</w:t>
      </w:r>
      <w:r>
        <w:t xml:space="preserve"> mediated by oxidative shortening (mainly by </w:t>
      </w:r>
      <w:r w:rsidRPr="002B5682">
        <w:t>CYP1A2,</w:t>
      </w:r>
      <w:r>
        <w:t xml:space="preserve"> </w:t>
      </w:r>
      <w:r w:rsidRPr="002B5682">
        <w:t>CYP2C19, and CYP3A4</w:t>
      </w:r>
      <w:r>
        <w:t>)</w:t>
      </w:r>
      <w:r w:rsidR="006134EA">
        <w:t>;</w:t>
      </w:r>
      <w:r w:rsidR="0002337A">
        <w:rPr>
          <w:rStyle w:val="FootnoteReference"/>
        </w:rPr>
        <w:footnoteReference w:id="16"/>
      </w:r>
      <w:r>
        <w:t xml:space="preserve"> </w:t>
      </w:r>
      <w:r w:rsidRPr="00B15B01">
        <w:t>to the metabolites QS10, QS8, QS6, and QS4</w:t>
      </w:r>
      <w:r w:rsidR="006134EA">
        <w:t>;</w:t>
      </w:r>
      <w:r w:rsidR="00252C48">
        <w:rPr>
          <w:rStyle w:val="FootnoteReference"/>
        </w:rPr>
        <w:footnoteReference w:id="17"/>
      </w:r>
      <w:r w:rsidRPr="00B15B01">
        <w:t xml:space="preserve"> (the number refers to the number of carbon atoms in the side-chain). Idebenone and all of the</w:t>
      </w:r>
      <w:r>
        <w:t>se</w:t>
      </w:r>
      <w:r w:rsidRPr="00B15B01">
        <w:t xml:space="preserve"> short</w:t>
      </w:r>
      <w:r>
        <w:t>-chain metabolites may also</w:t>
      </w:r>
      <w:r w:rsidRPr="00B15B01">
        <w:t xml:space="preserve"> undergo conjugation via glucuronidation or sulfation to yield conjugated moieties </w:t>
      </w:r>
      <w:r>
        <w:t>yielding</w:t>
      </w:r>
      <w:r w:rsidR="003173BB">
        <w:t xml:space="preserve"> idebenone-C, QS10</w:t>
      </w:r>
      <w:r w:rsidR="003173BB">
        <w:noBreakHyphen/>
      </w:r>
      <w:r w:rsidRPr="00B15B01">
        <w:t>C, QS8-C, QS6-C and QS4-C.</w:t>
      </w:r>
      <w:r w:rsidR="00273610">
        <w:rPr>
          <w:rStyle w:val="FootnoteReference"/>
        </w:rPr>
        <w:footnoteReference w:id="18"/>
      </w:r>
      <w:r>
        <w:t xml:space="preserve"> </w:t>
      </w:r>
      <w:r w:rsidRPr="004F7516">
        <w:t>Consequently, in both humans and animals, the plasma concentrations of idebenone are very low relative to its metabolites.</w:t>
      </w:r>
      <w:r>
        <w:t xml:space="preserve"> </w:t>
      </w:r>
      <w:r w:rsidRPr="00D52472">
        <w:t>The main metabolites are conjugates of</w:t>
      </w:r>
      <w:r>
        <w:t xml:space="preserve"> </w:t>
      </w:r>
      <w:r w:rsidRPr="00D52472">
        <w:t>QS10, QS6, and QS4 in rats, conjugates of idebenone and QS4 in dogs, and conjugates of</w:t>
      </w:r>
      <w:r>
        <w:t xml:space="preserve"> </w:t>
      </w:r>
      <w:r w:rsidRPr="00D52472">
        <w:t>idebenone and QS4 in humans</w:t>
      </w:r>
      <w:r>
        <w:t xml:space="preserve">. There are no metabolites unique to </w:t>
      </w:r>
      <w:r w:rsidRPr="00756024">
        <w:t>humans and none of the primary or secondary metabolites are pharmacologically active</w:t>
      </w:r>
      <w:r w:rsidR="00685A72">
        <w:t>.</w:t>
      </w:r>
    </w:p>
    <w:p w14:paraId="2A3540E2" w14:textId="77777777" w:rsidR="00DA3C41" w:rsidRDefault="00DA3C41" w:rsidP="00DA3C41">
      <w:r w:rsidRPr="00756024">
        <w:t>Administration of idebenone under fed conditions increased the relative bioavailability of the drug in dogs, a phenomenon that was also seen in humans, albeit to a lesser extent. In humans, the AUC and C</w:t>
      </w:r>
      <w:r w:rsidRPr="00756024">
        <w:rPr>
          <w:vertAlign w:val="subscript"/>
        </w:rPr>
        <w:t>max</w:t>
      </w:r>
      <w:r w:rsidRPr="00756024">
        <w:t xml:space="preserve"> of ideb</w:t>
      </w:r>
      <w:r w:rsidR="003173BB">
        <w:t xml:space="preserve">enone increased approximately 7 fold and 5 </w:t>
      </w:r>
      <w:r w:rsidRPr="00756024">
        <w:t>fold under fed conditions, respectively, compared to fasting conditions. In dogs the AUC and C</w:t>
      </w:r>
      <w:r w:rsidRPr="00756024">
        <w:rPr>
          <w:vertAlign w:val="subscript"/>
        </w:rPr>
        <w:t>max</w:t>
      </w:r>
      <w:r w:rsidRPr="00756024">
        <w:t xml:space="preserve"> of idebenone increased approximately 45</w:t>
      </w:r>
      <w:r w:rsidR="003173BB">
        <w:t xml:space="preserve"> fold</w:t>
      </w:r>
      <w:r w:rsidRPr="00756024">
        <w:t xml:space="preserve"> and 14</w:t>
      </w:r>
      <w:r w:rsidR="003173BB">
        <w:t xml:space="preserve"> fold</w:t>
      </w:r>
      <w:r w:rsidRPr="00756024">
        <w:t xml:space="preserve"> under fed conditions, respectively, compared to fasting conditions. As with </w:t>
      </w:r>
      <w:r>
        <w:t>idebenone</w:t>
      </w:r>
      <w:r w:rsidRPr="00756024">
        <w:t>, metabolite exposure also increased under fed conditions. In humans, the AUC and C</w:t>
      </w:r>
      <w:r w:rsidRPr="00756024">
        <w:rPr>
          <w:vertAlign w:val="subscript"/>
        </w:rPr>
        <w:t>max</w:t>
      </w:r>
      <w:r w:rsidRPr="00756024">
        <w:t xml:space="preserve"> of the conjugated metabolites increased up to 2</w:t>
      </w:r>
      <w:r w:rsidR="003173BB">
        <w:t xml:space="preserve"> fold</w:t>
      </w:r>
      <w:r w:rsidRPr="00756024">
        <w:t xml:space="preserve"> with food while in dogs the AUC and C</w:t>
      </w:r>
      <w:r w:rsidRPr="00756024">
        <w:rPr>
          <w:vertAlign w:val="subscript"/>
        </w:rPr>
        <w:t>max</w:t>
      </w:r>
      <w:r w:rsidRPr="00756024">
        <w:t xml:space="preserve"> of QS-4 (the predominant metabolite in humans) increased approximately 30</w:t>
      </w:r>
      <w:r w:rsidR="003173BB">
        <w:t xml:space="preserve"> fold</w:t>
      </w:r>
      <w:r w:rsidRPr="00756024">
        <w:t xml:space="preserve"> and 20</w:t>
      </w:r>
      <w:r w:rsidR="003173BB">
        <w:t xml:space="preserve"> fold</w:t>
      </w:r>
      <w:r w:rsidRPr="00756024">
        <w:t xml:space="preserve"> under fed conditions, respectively, compared to fasting conditions.</w:t>
      </w:r>
    </w:p>
    <w:p w14:paraId="5806DA0B" w14:textId="77777777" w:rsidR="00DA3C41" w:rsidRPr="00756024" w:rsidRDefault="00DA3C41" w:rsidP="00DA3C41">
      <w:r>
        <w:t>O</w:t>
      </w:r>
      <w:r w:rsidRPr="00756024">
        <w:t>ral bioavailability of idebenone is extremely low (</w:t>
      </w:r>
      <w:r w:rsidR="003173BB">
        <w:t xml:space="preserve">&lt; </w:t>
      </w:r>
      <w:r w:rsidRPr="00756024">
        <w:t xml:space="preserve">1%) </w:t>
      </w:r>
      <w:r>
        <w:t>i</w:t>
      </w:r>
      <w:r w:rsidRPr="00756024">
        <w:t>n all species used in the toxicology studies</w:t>
      </w:r>
      <w:r>
        <w:t>;</w:t>
      </w:r>
      <w:r w:rsidR="00DB3203">
        <w:t xml:space="preserve"> </w:t>
      </w:r>
      <w:r w:rsidRPr="00756024">
        <w:t>thus even at very high doses only low plasma concentrations of idebenone were observed in all species</w:t>
      </w:r>
      <w:r>
        <w:t>.</w:t>
      </w:r>
    </w:p>
    <w:p w14:paraId="19E7BDD4" w14:textId="77777777" w:rsidR="00DA3C41" w:rsidRPr="00756024" w:rsidRDefault="00DA3C41" w:rsidP="003173BB">
      <w:r>
        <w:t>I</w:t>
      </w:r>
      <w:r w:rsidRPr="00756024">
        <w:t xml:space="preserve">debenone and metabolite pharmacokinetics were non-linear at higher doses </w:t>
      </w:r>
      <w:r>
        <w:t>i</w:t>
      </w:r>
      <w:r w:rsidR="00273610">
        <w:t>n all species examined</w:t>
      </w:r>
      <w:r w:rsidRPr="00756024">
        <w:t xml:space="preserve">. </w:t>
      </w:r>
      <w:r>
        <w:t>T</w:t>
      </w:r>
      <w:r w:rsidRPr="00756024">
        <w:t>here was a plateauing of idebenone plasma concentrations at higher doses</w:t>
      </w:r>
      <w:r w:rsidRPr="008847D9">
        <w:t xml:space="preserve"> </w:t>
      </w:r>
      <w:r>
        <w:t>i</w:t>
      </w:r>
      <w:r w:rsidRPr="008847D9">
        <w:t>n both rats and dogs</w:t>
      </w:r>
      <w:r w:rsidRPr="00756024">
        <w:t>, with saturation of absorption at dose levels beyond 500 mg/kg in dogs.</w:t>
      </w:r>
      <w:r w:rsidR="00DB3203">
        <w:t xml:space="preserve"> </w:t>
      </w:r>
      <w:r w:rsidRPr="00756024">
        <w:t>There were generally no gender differences in pharmacokinetic parameters in any species. In humans, exposure to idebenone and its conjugated metabolites increased approximately dose proportionately: for a doubling in dose, systemic exposure increased, on average, approximately 1.7 to 2.5</w:t>
      </w:r>
      <w:r w:rsidR="003173BB">
        <w:t xml:space="preserve"> fold</w:t>
      </w:r>
      <w:r w:rsidRPr="00756024">
        <w:t>.</w:t>
      </w:r>
    </w:p>
    <w:p w14:paraId="6A6A1BB8" w14:textId="77777777" w:rsidR="00DA3C41" w:rsidRPr="000C5693" w:rsidRDefault="00DA3C41" w:rsidP="00DA3C41">
      <w:r w:rsidRPr="000C5693">
        <w:t>Plasma protein binding of idebenone was very high and similar across all species (</w:t>
      </w:r>
      <w:r w:rsidR="003173BB">
        <w:t>&gt; </w:t>
      </w:r>
      <w:r w:rsidRPr="000C5693">
        <w:t>99.9%, 98.0%, and 98.5% for rat, dog, and human plasma, respectively). In rat plasma, the binding of idebenone and its metabolites to lipoproteins was weak. Less than 25% of radiolabelled idebenone and its metabolite QS-4 were bound to plasma lipoproteins, with the remainder bound to albumin and other plasma proteins. Tissue distribution studies performed in rats</w:t>
      </w:r>
      <w:r>
        <w:t xml:space="preserve"> after oral dosing</w:t>
      </w:r>
      <w:r w:rsidRPr="000C5693">
        <w:t xml:space="preserve"> showed that </w:t>
      </w:r>
      <w:r w:rsidRPr="000C5693">
        <w:rPr>
          <w:vertAlign w:val="superscript"/>
        </w:rPr>
        <w:t>14</w:t>
      </w:r>
      <w:r>
        <w:t>C-</w:t>
      </w:r>
      <w:r w:rsidRPr="000C5693">
        <w:t>idebenone uptake was rapid and widespread</w:t>
      </w:r>
      <w:r>
        <w:t>, with a T</w:t>
      </w:r>
      <w:r w:rsidRPr="000C5693">
        <w:rPr>
          <w:vertAlign w:val="subscript"/>
        </w:rPr>
        <w:t>max</w:t>
      </w:r>
      <w:r>
        <w:t xml:space="preserve"> of 0.5 </w:t>
      </w:r>
      <w:r w:rsidR="0029326D">
        <w:t xml:space="preserve">hours </w:t>
      </w:r>
      <w:r>
        <w:t>in both plasma and brain</w:t>
      </w:r>
      <w:r w:rsidRPr="000C5693">
        <w:t xml:space="preserve">. The highest </w:t>
      </w:r>
      <w:r w:rsidRPr="000C5693">
        <w:rPr>
          <w:rFonts w:asciiTheme="minorHAnsi" w:hAnsiTheme="minorHAnsi"/>
        </w:rPr>
        <w:t>tissue:plasma C</w:t>
      </w:r>
      <w:r w:rsidRPr="000C5693">
        <w:rPr>
          <w:rFonts w:asciiTheme="minorHAnsi" w:hAnsiTheme="minorHAnsi"/>
          <w:vertAlign w:val="subscript"/>
        </w:rPr>
        <w:t>max</w:t>
      </w:r>
      <w:r w:rsidRPr="00764265">
        <w:rPr>
          <w:rFonts w:asciiTheme="minorHAnsi" w:hAnsiTheme="minorHAnsi"/>
        </w:rPr>
        <w:t xml:space="preserve"> </w:t>
      </w:r>
      <w:r w:rsidRPr="000C5693">
        <w:rPr>
          <w:rFonts w:asciiTheme="minorHAnsi" w:hAnsiTheme="minorHAnsi"/>
        </w:rPr>
        <w:t xml:space="preserve">ratios </w:t>
      </w:r>
      <w:r>
        <w:rPr>
          <w:rFonts w:asciiTheme="minorHAnsi" w:hAnsiTheme="minorHAnsi"/>
        </w:rPr>
        <w:t>(</w:t>
      </w:r>
      <w:r w:rsidR="003173BB">
        <w:rPr>
          <w:rFonts w:asciiTheme="minorHAnsi" w:hAnsiTheme="minorHAnsi"/>
        </w:rPr>
        <w:t xml:space="preserve">approximately </w:t>
      </w:r>
      <w:r>
        <w:rPr>
          <w:rFonts w:asciiTheme="minorHAnsi" w:hAnsiTheme="minorHAnsi"/>
        </w:rPr>
        <w:t xml:space="preserve">2) </w:t>
      </w:r>
      <w:r w:rsidRPr="000C5693">
        <w:rPr>
          <w:rFonts w:asciiTheme="minorHAnsi" w:hAnsiTheme="minorHAnsi"/>
        </w:rPr>
        <w:t>were observed in the liver and kidney</w:t>
      </w:r>
      <w:r>
        <w:rPr>
          <w:rFonts w:asciiTheme="minorHAnsi" w:hAnsiTheme="minorHAnsi"/>
        </w:rPr>
        <w:t xml:space="preserve"> and the peak brain </w:t>
      </w:r>
      <w:r>
        <w:rPr>
          <w:rFonts w:asciiTheme="minorHAnsi" w:hAnsiTheme="minorHAnsi"/>
        </w:rPr>
        <w:lastRenderedPageBreak/>
        <w:t>level was at least 8</w:t>
      </w:r>
      <w:r w:rsidR="003173BB">
        <w:rPr>
          <w:rFonts w:asciiTheme="minorHAnsi" w:hAnsiTheme="minorHAnsi"/>
        </w:rPr>
        <w:t xml:space="preserve"> fold</w:t>
      </w:r>
      <w:r>
        <w:rPr>
          <w:rFonts w:asciiTheme="minorHAnsi" w:hAnsiTheme="minorHAnsi"/>
        </w:rPr>
        <w:t xml:space="preserve"> lower than the plasma </w:t>
      </w:r>
      <w:r w:rsidRPr="000C5693">
        <w:rPr>
          <w:rFonts w:asciiTheme="minorHAnsi" w:hAnsiTheme="minorHAnsi"/>
        </w:rPr>
        <w:t>C</w:t>
      </w:r>
      <w:r w:rsidRPr="000C5693">
        <w:rPr>
          <w:rFonts w:asciiTheme="minorHAnsi" w:hAnsiTheme="minorHAnsi"/>
          <w:vertAlign w:val="subscript"/>
        </w:rPr>
        <w:t>max</w:t>
      </w:r>
      <w:r w:rsidRPr="000C5693">
        <w:rPr>
          <w:rFonts w:asciiTheme="minorHAnsi" w:hAnsiTheme="minorHAnsi"/>
        </w:rPr>
        <w:t>.</w:t>
      </w:r>
      <w:r>
        <w:rPr>
          <w:rFonts w:asciiTheme="minorHAnsi" w:hAnsiTheme="minorHAnsi"/>
        </w:rPr>
        <w:t xml:space="preserve"> </w:t>
      </w:r>
      <w:r>
        <w:t>High concentrations of idebenone were also found in the</w:t>
      </w:r>
      <w:r w:rsidRPr="000C5693">
        <w:t xml:space="preserve"> stomach, intestine, blood, lung, spleen, skeletal muscle (the target organ), and thymus.</w:t>
      </w:r>
      <w:r>
        <w:t xml:space="preserve"> </w:t>
      </w:r>
      <w:r w:rsidRPr="000C5693">
        <w:t xml:space="preserve">The </w:t>
      </w:r>
      <w:r>
        <w:t>exposure</w:t>
      </w:r>
      <w:r w:rsidRPr="000C5693">
        <w:t xml:space="preserve"> of idebenone metabolites in the plasma and brain were 908 and 310 times greater than that of idebenone, respectively. The amount of total radioactivity in the red blood cells was less than 10% of the values in the plasma, indicating minimal penetration into the erythrocyte fraction.</w:t>
      </w:r>
    </w:p>
    <w:p w14:paraId="03B65A68" w14:textId="561C959E" w:rsidR="00DA3C41" w:rsidRDefault="00DA3C41" w:rsidP="00075670">
      <w:r w:rsidRPr="004F7516">
        <w:t>Following repeated oral dosing over a 21 day period, mean levels of idebenone in vitreous or aqueous humo</w:t>
      </w:r>
      <w:r w:rsidR="00597738">
        <w:t>u</w:t>
      </w:r>
      <w:r w:rsidRPr="004F7516">
        <w:t xml:space="preserve">r were approximately 6% </w:t>
      </w:r>
      <w:r>
        <w:t>and</w:t>
      </w:r>
      <w:r w:rsidR="003173BB">
        <w:t xml:space="preserve"> 28 to </w:t>
      </w:r>
      <w:r w:rsidRPr="004F7516">
        <w:t>48% of the plasma concentrations, respectively. No accumulation of idebenone or its metabolites was found in the plasma or in the eye of exposed animals.</w:t>
      </w:r>
    </w:p>
    <w:p w14:paraId="05B7053A" w14:textId="77777777" w:rsidR="00DA3C41" w:rsidRDefault="00DA3C41" w:rsidP="00075670">
      <w:r>
        <w:t xml:space="preserve">In dogs, the main </w:t>
      </w:r>
      <w:r w:rsidRPr="00077198">
        <w:t>route</w:t>
      </w:r>
      <w:r>
        <w:t>s</w:t>
      </w:r>
      <w:r w:rsidRPr="00077198">
        <w:t xml:space="preserve"> of excretion </w:t>
      </w:r>
      <w:r>
        <w:t>were</w:t>
      </w:r>
      <w:r w:rsidRPr="00077198">
        <w:t xml:space="preserve"> renal</w:t>
      </w:r>
      <w:r>
        <w:t xml:space="preserve"> </w:t>
      </w:r>
      <w:r w:rsidRPr="00077198">
        <w:t>(</w:t>
      </w:r>
      <w:r w:rsidR="003173BB">
        <w:t xml:space="preserve">approximately </w:t>
      </w:r>
      <w:r w:rsidRPr="00077198">
        <w:t>50% of</w:t>
      </w:r>
      <w:r>
        <w:t xml:space="preserve"> administered radioactivity) and </w:t>
      </w:r>
      <w:r w:rsidR="003173BB">
        <w:t>faecal</w:t>
      </w:r>
      <w:r>
        <w:t xml:space="preserve"> (</w:t>
      </w:r>
      <w:r w:rsidR="003173BB">
        <w:t xml:space="preserve">approximately </w:t>
      </w:r>
      <w:r>
        <w:t xml:space="preserve">30% of administered radioactivity) </w:t>
      </w:r>
      <w:r w:rsidRPr="00077198">
        <w:t>after oral and intravenous administration</w:t>
      </w:r>
      <w:r>
        <w:t xml:space="preserve">. Similarly, in humans dosed with </w:t>
      </w:r>
      <w:r w:rsidRPr="00C354B5">
        <w:rPr>
          <w:vertAlign w:val="superscript"/>
        </w:rPr>
        <w:t>14</w:t>
      </w:r>
      <w:r>
        <w:t>C-idebenone, a</w:t>
      </w:r>
      <w:r w:rsidRPr="00D07C4F">
        <w:t>n average of 79.8% of radioactivity was eliminated in the urine</w:t>
      </w:r>
      <w:r>
        <w:t xml:space="preserve"> </w:t>
      </w:r>
      <w:r w:rsidRPr="00D07C4F">
        <w:t>and 7.1% in the faeces</w:t>
      </w:r>
      <w:r w:rsidRPr="00075670">
        <w:t>.</w:t>
      </w:r>
    </w:p>
    <w:p w14:paraId="59503372" w14:textId="77777777" w:rsidR="00685A72" w:rsidRDefault="00DA3C41" w:rsidP="00075670">
      <w:r w:rsidRPr="00C354B5">
        <w:t>Given the similarities in bioavailability, plasma protein binding</w:t>
      </w:r>
      <w:r>
        <w:t>, excretion</w:t>
      </w:r>
      <w:r w:rsidRPr="00C354B5">
        <w:t xml:space="preserve"> and metabolite profiles between humans and the animal models examined, the pharmacokinetics of the animal species selected were sufficiently similar to allow them to serve as appropriate models for the assessment of </w:t>
      </w:r>
      <w:r>
        <w:t>idebenone</w:t>
      </w:r>
      <w:r w:rsidRPr="00C354B5">
        <w:t xml:space="preserve"> toxicity in humans</w:t>
      </w:r>
      <w:r w:rsidR="00685A72">
        <w:t>.</w:t>
      </w:r>
    </w:p>
    <w:p w14:paraId="74D29126" w14:textId="77777777" w:rsidR="00DA3C41" w:rsidRPr="00EB69F1" w:rsidRDefault="00DA3C41" w:rsidP="00DA3C41">
      <w:pPr>
        <w:pStyle w:val="Heading4"/>
      </w:pPr>
      <w:bookmarkStart w:id="58" w:name="_Toc294861725"/>
      <w:r w:rsidRPr="00EB69F1">
        <w:t>Pharmacokinetic drug interactions</w:t>
      </w:r>
      <w:bookmarkEnd w:id="58"/>
    </w:p>
    <w:p w14:paraId="4D175EDB" w14:textId="709012F7" w:rsidR="00685A72" w:rsidRDefault="00075670" w:rsidP="00075670">
      <w:r w:rsidRPr="00756024">
        <w:t xml:space="preserve">Pharmacokinetic interactions of idebenone were examined in </w:t>
      </w:r>
      <w:r w:rsidRPr="00756024">
        <w:rPr>
          <w:i/>
        </w:rPr>
        <w:t>in vitro.</w:t>
      </w:r>
      <w:r w:rsidRPr="00756024">
        <w:t xml:space="preserve"> The ability of idebenone and one of its major metabolites, QS10, to inhibit cytochrome P450 isoforms (CYP1A, CYP1A2, CYP2B6, CYP2C8, CYP2C9, CYP2C19, CYP2D6 and CYP3A4) was assessed using human hepatic microsomes</w:t>
      </w:r>
      <w:r w:rsidRPr="00756024">
        <w:rPr>
          <w:i/>
        </w:rPr>
        <w:t xml:space="preserve">. </w:t>
      </w:r>
      <w:r w:rsidRPr="00756024">
        <w:t>Idebenone inhibited these P450 isoforms with</w:t>
      </w:r>
      <w:r w:rsidR="00597738">
        <w:t xml:space="preserve"> half maximal inhibitory concentration</w:t>
      </w:r>
      <w:r w:rsidRPr="00756024">
        <w:t xml:space="preserve"> </w:t>
      </w:r>
      <w:r w:rsidR="00597738">
        <w:t>(</w:t>
      </w:r>
      <w:r w:rsidRPr="00756024">
        <w:t>IC</w:t>
      </w:r>
      <w:r w:rsidRPr="00756024">
        <w:rPr>
          <w:vertAlign w:val="subscript"/>
        </w:rPr>
        <w:t>50</w:t>
      </w:r>
      <w:r w:rsidR="00597738">
        <w:t xml:space="preserve">) </w:t>
      </w:r>
      <w:r w:rsidRPr="00756024">
        <w:t>values that ranged from 1.69 µM to 10.3 µM (</w:t>
      </w:r>
      <w:r w:rsidRPr="00756024">
        <w:rPr>
          <w:kern w:val="2"/>
        </w:rPr>
        <w:t xml:space="preserve">values that exceed the clinical </w:t>
      </w:r>
      <w:r w:rsidRPr="00756024">
        <w:t>C</w:t>
      </w:r>
      <w:r w:rsidRPr="00756024">
        <w:rPr>
          <w:vertAlign w:val="subscript"/>
        </w:rPr>
        <w:t>max</w:t>
      </w:r>
      <w:r>
        <w:rPr>
          <w:vertAlign w:val="subscript"/>
        </w:rPr>
        <w:t xml:space="preserve"> </w:t>
      </w:r>
      <w:r w:rsidRPr="00756024">
        <w:t>by two orders of magnitude</w:t>
      </w:r>
      <w:r w:rsidR="00597738">
        <w:t>).</w:t>
      </w:r>
      <w:r>
        <w:rPr>
          <w:rStyle w:val="FootnoteReference"/>
        </w:rPr>
        <w:footnoteReference w:id="19"/>
      </w:r>
      <w:r w:rsidRPr="00756024">
        <w:t xml:space="preserve"> QS-10 inhibited these P450 isoforms with IC</w:t>
      </w:r>
      <w:r w:rsidRPr="00756024">
        <w:rPr>
          <w:vertAlign w:val="subscript"/>
        </w:rPr>
        <w:t>50</w:t>
      </w:r>
      <w:r w:rsidRPr="00756024">
        <w:t xml:space="preserve"> values that ranged from 9.14 µM to 28.9 µM which are approximately equal to the QS-10+QS-10-C C</w:t>
      </w:r>
      <w:r w:rsidRPr="00756024">
        <w:rPr>
          <w:vertAlign w:val="subscript"/>
        </w:rPr>
        <w:t>max</w:t>
      </w:r>
      <w:r w:rsidRPr="00756024">
        <w:t xml:space="preserve"> achieved clinically</w:t>
      </w:r>
      <w:r w:rsidR="00597738">
        <w:t>;</w:t>
      </w:r>
      <w:r>
        <w:rPr>
          <w:rStyle w:val="FootnoteReference"/>
        </w:rPr>
        <w:footnoteReference w:id="20"/>
      </w:r>
      <w:r w:rsidRPr="00756024">
        <w:t xml:space="preserve"> indicating that QS</w:t>
      </w:r>
      <w:r w:rsidR="00597738">
        <w:noBreakHyphen/>
      </w:r>
      <w:r w:rsidRPr="00756024">
        <w:t xml:space="preserve">10 has the potential to inhibit these P450 enzymes. Neither idebenone nor QS-10 was predicted to inhibit systemic CYP enzymes </w:t>
      </w:r>
      <w:r w:rsidRPr="00756024">
        <w:rPr>
          <w:i/>
        </w:rPr>
        <w:t>in vivo</w:t>
      </w:r>
      <w:r w:rsidRPr="00756024">
        <w:t xml:space="preserve">. However, both idebenone and QS-10 were predicted to inhibit intestinal CYP3A4 </w:t>
      </w:r>
      <w:r w:rsidRPr="00756024">
        <w:rPr>
          <w:i/>
        </w:rPr>
        <w:t>in vivo</w:t>
      </w:r>
      <w:r w:rsidRPr="00756024">
        <w:t>, which can potentially increase absorption/exposure of co-administered drugs that are CYP3A4 substrates. Therefore, clinically relevant inter</w:t>
      </w:r>
      <w:r w:rsidR="003173BB">
        <w:t>actions between idebenone or QS</w:t>
      </w:r>
      <w:r w:rsidR="003173BB">
        <w:noBreakHyphen/>
      </w:r>
      <w:r w:rsidRPr="00756024">
        <w:t>10 with CYP3A4 substrates are possible</w:t>
      </w:r>
      <w:r w:rsidR="00685A72">
        <w:t>.</w:t>
      </w:r>
    </w:p>
    <w:p w14:paraId="149EE1BC" w14:textId="77777777" w:rsidR="00685A72" w:rsidRDefault="00075670" w:rsidP="00075670">
      <w:pPr>
        <w:rPr>
          <w:rFonts w:asciiTheme="minorHAnsi" w:eastAsiaTheme="minorHAnsi" w:hAnsiTheme="minorHAnsi"/>
        </w:rPr>
      </w:pPr>
      <w:r w:rsidRPr="00756024">
        <w:t xml:space="preserve">In experiments performed on primary human hepatocytes, neither idebenone nor QS-10 significantly induced </w:t>
      </w:r>
      <w:r w:rsidRPr="00756024">
        <w:rPr>
          <w:rFonts w:asciiTheme="minorHAnsi" w:eastAsiaTheme="minorHAnsi" w:hAnsiTheme="minorHAnsi"/>
        </w:rPr>
        <w:t>CYP1A/1A2, CYP2B6 and CYP3A4 transcription or enzymatic activity</w:t>
      </w:r>
      <w:r w:rsidR="00685A72">
        <w:rPr>
          <w:rFonts w:asciiTheme="minorHAnsi" w:eastAsiaTheme="minorHAnsi" w:hAnsiTheme="minorHAnsi"/>
        </w:rPr>
        <w:t>.</w:t>
      </w:r>
    </w:p>
    <w:p w14:paraId="2E46AB89" w14:textId="340D3186" w:rsidR="00685A72" w:rsidRDefault="00075670" w:rsidP="00075670">
      <w:pPr>
        <w:rPr>
          <w:kern w:val="2"/>
        </w:rPr>
      </w:pPr>
      <w:r w:rsidRPr="00756024">
        <w:rPr>
          <w:rFonts w:asciiTheme="minorHAnsi" w:eastAsiaTheme="minorHAnsi" w:hAnsiTheme="minorHAnsi"/>
        </w:rPr>
        <w:t xml:space="preserve">Studies performed in </w:t>
      </w:r>
      <w:r w:rsidRPr="00756024">
        <w:rPr>
          <w:rFonts w:asciiTheme="minorHAnsi" w:eastAsiaTheme="minorHAnsi" w:hAnsiTheme="minorHAnsi"/>
          <w:i/>
        </w:rPr>
        <w:t xml:space="preserve">in vitro </w:t>
      </w:r>
      <w:r w:rsidRPr="00756024">
        <w:rPr>
          <w:rFonts w:asciiTheme="minorHAnsi" w:eastAsiaTheme="minorHAnsi" w:hAnsiTheme="minorHAnsi"/>
        </w:rPr>
        <w:t xml:space="preserve">MDR1-MDCK permeability </w:t>
      </w:r>
      <w:r>
        <w:rPr>
          <w:rFonts w:asciiTheme="minorHAnsi" w:eastAsiaTheme="minorHAnsi" w:hAnsiTheme="minorHAnsi"/>
        </w:rPr>
        <w:t>assays</w:t>
      </w:r>
      <w:r w:rsidR="00597738">
        <w:rPr>
          <w:rFonts w:asciiTheme="minorHAnsi" w:eastAsiaTheme="minorHAnsi" w:hAnsiTheme="minorHAnsi"/>
        </w:rPr>
        <w:t>;</w:t>
      </w:r>
      <w:r w:rsidR="00597738">
        <w:rPr>
          <w:rStyle w:val="FootnoteReference"/>
          <w:rFonts w:asciiTheme="minorHAnsi" w:eastAsiaTheme="minorHAnsi" w:hAnsiTheme="minorHAnsi"/>
        </w:rPr>
        <w:footnoteReference w:id="21"/>
      </w:r>
      <w:r>
        <w:rPr>
          <w:rFonts w:asciiTheme="minorHAnsi" w:eastAsiaTheme="minorHAnsi" w:hAnsiTheme="minorHAnsi"/>
        </w:rPr>
        <w:t xml:space="preserve"> </w:t>
      </w:r>
      <w:r w:rsidRPr="00756024">
        <w:rPr>
          <w:rFonts w:asciiTheme="minorHAnsi" w:eastAsiaTheme="minorHAnsi" w:hAnsiTheme="minorHAnsi"/>
        </w:rPr>
        <w:t xml:space="preserve">demonstrated that idebenone was not a P-glycoprotein </w:t>
      </w:r>
      <w:r w:rsidR="00597738">
        <w:rPr>
          <w:rFonts w:asciiTheme="minorHAnsi" w:eastAsiaTheme="minorHAnsi" w:hAnsiTheme="minorHAnsi"/>
        </w:rPr>
        <w:t xml:space="preserve">(P-gp) </w:t>
      </w:r>
      <w:r w:rsidRPr="00756024">
        <w:rPr>
          <w:rFonts w:asciiTheme="minorHAnsi" w:eastAsiaTheme="minorHAnsi" w:hAnsiTheme="minorHAnsi"/>
        </w:rPr>
        <w:t>substrate but inh</w:t>
      </w:r>
      <w:r w:rsidR="003173BB">
        <w:rPr>
          <w:rFonts w:asciiTheme="minorHAnsi" w:eastAsiaTheme="minorHAnsi" w:hAnsiTheme="minorHAnsi"/>
        </w:rPr>
        <w:t>ibited transport of the model P</w:t>
      </w:r>
      <w:r w:rsidR="003173BB">
        <w:rPr>
          <w:rFonts w:asciiTheme="minorHAnsi" w:eastAsiaTheme="minorHAnsi" w:hAnsiTheme="minorHAnsi"/>
        </w:rPr>
        <w:noBreakHyphen/>
      </w:r>
      <w:r w:rsidRPr="00756024">
        <w:rPr>
          <w:rFonts w:asciiTheme="minorHAnsi" w:eastAsiaTheme="minorHAnsi" w:hAnsiTheme="minorHAnsi"/>
        </w:rPr>
        <w:t>glycoprotein</w:t>
      </w:r>
      <w:r w:rsidR="003173BB">
        <w:rPr>
          <w:rFonts w:asciiTheme="minorHAnsi" w:eastAsiaTheme="minorHAnsi" w:hAnsiTheme="minorHAnsi"/>
        </w:rPr>
        <w:t xml:space="preserve"> </w:t>
      </w:r>
      <w:r w:rsidRPr="00756024">
        <w:rPr>
          <w:rFonts w:asciiTheme="minorHAnsi" w:eastAsiaTheme="minorHAnsi" w:hAnsiTheme="minorHAnsi"/>
        </w:rPr>
        <w:t xml:space="preserve"> substrate loperamide with an </w:t>
      </w:r>
      <w:r w:rsidRPr="00756024">
        <w:rPr>
          <w:kern w:val="2"/>
        </w:rPr>
        <w:t>IC</w:t>
      </w:r>
      <w:r w:rsidRPr="00756024">
        <w:rPr>
          <w:kern w:val="2"/>
          <w:vertAlign w:val="subscript"/>
        </w:rPr>
        <w:t>50</w:t>
      </w:r>
      <w:r w:rsidRPr="00756024">
        <w:rPr>
          <w:kern w:val="2"/>
        </w:rPr>
        <w:t xml:space="preserve"> value o</w:t>
      </w:r>
      <w:r>
        <w:rPr>
          <w:kern w:val="2"/>
        </w:rPr>
        <w:t>f 51.8 μM. It was predicted that idebenone could</w:t>
      </w:r>
      <w:r w:rsidRPr="00756024">
        <w:rPr>
          <w:kern w:val="2"/>
        </w:rPr>
        <w:t xml:space="preserve"> inhibit intestinal P-gp </w:t>
      </w:r>
      <w:r w:rsidRPr="00756024">
        <w:rPr>
          <w:i/>
          <w:kern w:val="2"/>
        </w:rPr>
        <w:t xml:space="preserve">in vivo, </w:t>
      </w:r>
      <w:r w:rsidRPr="00756024">
        <w:rPr>
          <w:kern w:val="2"/>
        </w:rPr>
        <w:t>potentially increasing the absorption and/or exposure of a co-administered drugs that are substrates for P-gp</w:t>
      </w:r>
      <w:r w:rsidR="00685A72">
        <w:rPr>
          <w:kern w:val="2"/>
        </w:rPr>
        <w:t>.</w:t>
      </w:r>
    </w:p>
    <w:p w14:paraId="682F701F" w14:textId="77777777" w:rsidR="001B5C90" w:rsidRDefault="008E7846" w:rsidP="001B5C90">
      <w:pPr>
        <w:pStyle w:val="Heading3"/>
      </w:pPr>
      <w:bookmarkStart w:id="59" w:name="_Toc32828529"/>
      <w:r>
        <w:lastRenderedPageBreak/>
        <w:t>Toxicology</w:t>
      </w:r>
      <w:bookmarkEnd w:id="56"/>
      <w:bookmarkEnd w:id="57"/>
      <w:bookmarkEnd w:id="59"/>
    </w:p>
    <w:p w14:paraId="7EED4ECB" w14:textId="77777777" w:rsidR="00075670" w:rsidRPr="00EB69F1" w:rsidRDefault="00075670" w:rsidP="00075670">
      <w:pPr>
        <w:pStyle w:val="Heading4"/>
      </w:pPr>
      <w:bookmarkStart w:id="60" w:name="_Toc294861727"/>
      <w:r w:rsidRPr="00EB69F1">
        <w:t>Acute toxicity</w:t>
      </w:r>
      <w:bookmarkEnd w:id="60"/>
    </w:p>
    <w:p w14:paraId="70F4B369" w14:textId="058E1FE1" w:rsidR="00685A72" w:rsidRDefault="00075670" w:rsidP="003D07E1">
      <w:r>
        <w:t xml:space="preserve">Idebenone and its QS-4 metabolite displayed a very low order of acute toxicity via the IP and PO routes in studies conducted in mice and rats. </w:t>
      </w:r>
      <w:r w:rsidR="00597738">
        <w:t xml:space="preserve">Intraperitoneal </w:t>
      </w:r>
      <w:r>
        <w:t xml:space="preserve">treatment caused more severe symptoms than PO including decreased locomotor activity, </w:t>
      </w:r>
      <w:r w:rsidRPr="00045B89">
        <w:t>lowered body temperature, slightly hypotonic abdominal muscles</w:t>
      </w:r>
      <w:r>
        <w:t>, loss of body weight and emaciation. The direct cause of death was respiratory failure in both IP- and PO-treated animals. QS-4</w:t>
      </w:r>
      <w:r w:rsidR="006302E9">
        <w:t>,</w:t>
      </w:r>
      <w:r>
        <w:t xml:space="preserve"> given </w:t>
      </w:r>
      <w:r w:rsidR="00597738">
        <w:t xml:space="preserve">by </w:t>
      </w:r>
      <w:r>
        <w:t>either</w:t>
      </w:r>
      <w:r w:rsidR="00597738">
        <w:t xml:space="preserve"> the intraperitoneal </w:t>
      </w:r>
      <w:r>
        <w:t xml:space="preserve">or PO </w:t>
      </w:r>
      <w:r w:rsidR="00597738">
        <w:t xml:space="preserve">route </w:t>
      </w:r>
      <w:r>
        <w:t xml:space="preserve">produced similar clinical symptoms as well as </w:t>
      </w:r>
      <w:r w:rsidRPr="005244ED">
        <w:t>respiratory depression, and hypothermia</w:t>
      </w:r>
      <w:r>
        <w:t xml:space="preserve"> in </w:t>
      </w:r>
      <w:r w:rsidR="00597738">
        <w:t xml:space="preserve">intraperitoneal </w:t>
      </w:r>
      <w:r>
        <w:t>treated animals</w:t>
      </w:r>
      <w:r w:rsidR="00685A72">
        <w:t>.</w:t>
      </w:r>
    </w:p>
    <w:p w14:paraId="7693B21C" w14:textId="77777777" w:rsidR="00075670" w:rsidRPr="00EB69F1" w:rsidRDefault="00075670" w:rsidP="003D07E1">
      <w:pPr>
        <w:pStyle w:val="Heading4"/>
      </w:pPr>
      <w:bookmarkStart w:id="61" w:name="_Toc294861728"/>
      <w:r w:rsidRPr="00EB69F1">
        <w:t>Repeat-dose toxicity</w:t>
      </w:r>
      <w:bookmarkEnd w:id="61"/>
    </w:p>
    <w:p w14:paraId="1B24DCD4" w14:textId="77777777" w:rsidR="00075670" w:rsidRPr="003D07E1" w:rsidRDefault="00075670" w:rsidP="003D07E1">
      <w:r w:rsidRPr="00515B9B">
        <w:t xml:space="preserve">Repeat dose studies were conducted in mice (up to 13 weeks), rats (up to 12 months) and dogs (up to 12 months). Durations of studies were acceptable in view of an anticipated long-term pattern of use to for providing symptomatic relief. </w:t>
      </w:r>
      <w:r>
        <w:t xml:space="preserve">The choice of species (rat and mouse as the rodent and dog as the non-rodent) for the pivotal studies is acceptable on the basis of pharmacokinetic considerations. Doses were administered orally, the clinical route of administration, yet were administered once daily instead of 3 split daily doses as proposed clinically. </w:t>
      </w:r>
      <w:r w:rsidRPr="00515B9B">
        <w:t>Design aspects of the studies (types of species used, group sizes, determined parameters) were appropriate and consistent with guidelines relevant to toxicity testing</w:t>
      </w:r>
      <w:r w:rsidR="003173BB">
        <w:t>.</w:t>
      </w:r>
      <w:r w:rsidR="003173BB">
        <w:rPr>
          <w:rStyle w:val="FootnoteReference"/>
        </w:rPr>
        <w:footnoteReference w:id="22"/>
      </w:r>
    </w:p>
    <w:p w14:paraId="70385FD8" w14:textId="77777777" w:rsidR="00075670" w:rsidRPr="00EB69F1" w:rsidRDefault="00075670" w:rsidP="003D07E1">
      <w:pPr>
        <w:pStyle w:val="Heading5"/>
      </w:pPr>
      <w:r w:rsidRPr="00EB69F1">
        <w:t>Relative exposure</w:t>
      </w:r>
    </w:p>
    <w:p w14:paraId="3DC1CF77" w14:textId="72FFADD7" w:rsidR="00685A72" w:rsidRDefault="00075670" w:rsidP="003D07E1">
      <w:r w:rsidRPr="00AA476C">
        <w:t>Exposure ratios are calculated based on animal:</w:t>
      </w:r>
      <w:r w:rsidR="00597738">
        <w:t xml:space="preserve"> </w:t>
      </w:r>
      <w:r w:rsidRPr="00AA476C">
        <w:t xml:space="preserve">human plasma </w:t>
      </w:r>
      <w:r w:rsidR="00597738">
        <w:t>AUC from time zero (dosing) to 6 hours post dose (</w:t>
      </w:r>
      <w:r w:rsidRPr="00AA476C">
        <w:t>AUC</w:t>
      </w:r>
      <w:r w:rsidRPr="00AA476C">
        <w:rPr>
          <w:vertAlign w:val="subscript"/>
        </w:rPr>
        <w:t>0-6h</w:t>
      </w:r>
      <w:r w:rsidR="00597738">
        <w:t xml:space="preserve">) </w:t>
      </w:r>
      <w:r w:rsidRPr="00AA476C">
        <w:t xml:space="preserve">values. The animal AUC data shown is the mean of male and female values. Human reference values are from clinical </w:t>
      </w:r>
      <w:r w:rsidR="003173BB">
        <w:t>Study</w:t>
      </w:r>
      <w:r w:rsidRPr="00AA476C">
        <w:t xml:space="preserve"> </w:t>
      </w:r>
      <w:r w:rsidRPr="00AA476C">
        <w:rPr>
          <w:rFonts w:asciiTheme="minorHAnsi" w:hAnsiTheme="minorHAnsi"/>
        </w:rPr>
        <w:t>SNT-I-003</w:t>
      </w:r>
      <w:r>
        <w:rPr>
          <w:rFonts w:asciiTheme="minorHAnsi" w:hAnsiTheme="minorHAnsi"/>
          <w:b/>
        </w:rPr>
        <w:t xml:space="preserve"> </w:t>
      </w:r>
      <w:r w:rsidRPr="00AA476C">
        <w:t xml:space="preserve">where healthy human subjects (between 18 and 45 years old) received up to </w:t>
      </w:r>
      <w:r>
        <w:t xml:space="preserve">2250 mg/kg/day, </w:t>
      </w:r>
      <w:r w:rsidRPr="00AA476C">
        <w:t>2.5 times the proposed clinical dose (900</w:t>
      </w:r>
      <w:r>
        <w:t xml:space="preserve"> mg/day), for 14</w:t>
      </w:r>
      <w:r w:rsidR="0032280D">
        <w:t> </w:t>
      </w:r>
      <w:r w:rsidRPr="00AA476C">
        <w:t xml:space="preserve">days. </w:t>
      </w:r>
      <w:r>
        <w:t>High exposure ratios of up to 102 in mice, 92 in rats and 145 in dogs were achiev</w:t>
      </w:r>
      <w:r w:rsidR="0030092C">
        <w:t>ed at the highest doses (Table 2</w:t>
      </w:r>
      <w:r>
        <w:t>)</w:t>
      </w:r>
      <w:r w:rsidR="00685A72">
        <w:t>.</w:t>
      </w:r>
    </w:p>
    <w:p w14:paraId="4F40D495" w14:textId="77777777" w:rsidR="003D07E1" w:rsidRPr="00EB69F1" w:rsidRDefault="0030092C" w:rsidP="003D07E1">
      <w:pPr>
        <w:pStyle w:val="TableTitle"/>
      </w:pPr>
      <w:r>
        <w:t>Table 2:</w:t>
      </w:r>
      <w:r w:rsidR="003D07E1">
        <w:t xml:space="preserve"> </w:t>
      </w:r>
      <w:r w:rsidR="003D07E1" w:rsidRPr="00EB69F1">
        <w:t>Relative exposure in repeat-dose toxicity and carcinogenicity studies</w:t>
      </w:r>
    </w:p>
    <w:tbl>
      <w:tblPr>
        <w:tblStyle w:val="TableTGAblue"/>
        <w:tblW w:w="8787" w:type="dxa"/>
        <w:tblLayout w:type="fixed"/>
        <w:tblLook w:val="01E0" w:firstRow="1" w:lastRow="1" w:firstColumn="1" w:lastColumn="1" w:noHBand="0" w:noVBand="0"/>
      </w:tblPr>
      <w:tblGrid>
        <w:gridCol w:w="1839"/>
        <w:gridCol w:w="2145"/>
        <w:gridCol w:w="1762"/>
        <w:gridCol w:w="1443"/>
        <w:gridCol w:w="1598"/>
      </w:tblGrid>
      <w:tr w:rsidR="003D07E1" w:rsidRPr="0032280D" w14:paraId="619D8012" w14:textId="77777777" w:rsidTr="003D07E1">
        <w:trPr>
          <w:cnfStyle w:val="100000000000" w:firstRow="1" w:lastRow="0" w:firstColumn="0" w:lastColumn="0" w:oddVBand="0" w:evenVBand="0" w:oddHBand="0" w:evenHBand="0" w:firstRowFirstColumn="0" w:firstRowLastColumn="0" w:lastRowFirstColumn="0" w:lastRowLastColumn="0"/>
          <w:trHeight w:val="459"/>
        </w:trPr>
        <w:tc>
          <w:tcPr>
            <w:tcW w:w="1839" w:type="dxa"/>
          </w:tcPr>
          <w:p w14:paraId="0528357E"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Species</w:t>
            </w:r>
          </w:p>
        </w:tc>
        <w:tc>
          <w:tcPr>
            <w:tcW w:w="2145" w:type="dxa"/>
          </w:tcPr>
          <w:p w14:paraId="7298E2AF"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Study duration</w:t>
            </w:r>
            <w:r w:rsidR="0032280D">
              <w:rPr>
                <w:rFonts w:asciiTheme="minorHAnsi" w:hAnsiTheme="minorHAnsi"/>
                <w:sz w:val="20"/>
                <w:szCs w:val="20"/>
              </w:rPr>
              <w:t xml:space="preserve"> </w:t>
            </w:r>
            <w:r w:rsidR="00DB3203" w:rsidRPr="0032280D">
              <w:rPr>
                <w:rFonts w:asciiTheme="minorHAnsi" w:hAnsiTheme="minorHAnsi"/>
                <w:sz w:val="20"/>
                <w:szCs w:val="20"/>
              </w:rPr>
              <w:t>(</w:t>
            </w:r>
            <w:r w:rsidRPr="0032280D">
              <w:rPr>
                <w:rFonts w:asciiTheme="minorHAnsi" w:hAnsiTheme="minorHAnsi"/>
                <w:sz w:val="20"/>
                <w:szCs w:val="20"/>
              </w:rPr>
              <w:t>Study no.</w:t>
            </w:r>
            <w:r w:rsidR="00DB3203" w:rsidRPr="0032280D">
              <w:rPr>
                <w:rFonts w:asciiTheme="minorHAnsi" w:hAnsiTheme="minorHAnsi"/>
                <w:sz w:val="20"/>
                <w:szCs w:val="20"/>
              </w:rPr>
              <w:t>)</w:t>
            </w:r>
          </w:p>
        </w:tc>
        <w:tc>
          <w:tcPr>
            <w:tcW w:w="1762" w:type="dxa"/>
          </w:tcPr>
          <w:p w14:paraId="6E3D5174" w14:textId="77777777" w:rsidR="003D07E1" w:rsidRPr="0032280D" w:rsidRDefault="0032280D" w:rsidP="0032280D">
            <w:pPr>
              <w:ind w:left="0" w:right="0"/>
              <w:rPr>
                <w:rFonts w:asciiTheme="minorHAnsi" w:hAnsiTheme="minorHAnsi"/>
                <w:sz w:val="20"/>
                <w:szCs w:val="20"/>
              </w:rPr>
            </w:pPr>
            <w:r>
              <w:rPr>
                <w:rFonts w:asciiTheme="minorHAnsi" w:hAnsiTheme="minorHAnsi"/>
                <w:sz w:val="20"/>
                <w:szCs w:val="20"/>
              </w:rPr>
              <w:t xml:space="preserve">Dose </w:t>
            </w:r>
            <w:r w:rsidR="003D07E1" w:rsidRPr="0032280D">
              <w:rPr>
                <w:rFonts w:asciiTheme="minorHAnsi" w:hAnsiTheme="minorHAnsi"/>
                <w:sz w:val="20"/>
                <w:szCs w:val="20"/>
              </w:rPr>
              <w:t>(mg/kg/day)</w:t>
            </w:r>
          </w:p>
        </w:tc>
        <w:tc>
          <w:tcPr>
            <w:tcW w:w="1443" w:type="dxa"/>
          </w:tcPr>
          <w:p w14:paraId="416AAEF9"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AUC0–24 h</w:t>
            </w:r>
            <w:r w:rsidR="0032280D">
              <w:rPr>
                <w:rFonts w:asciiTheme="minorHAnsi" w:hAnsiTheme="minorHAnsi"/>
                <w:sz w:val="20"/>
                <w:szCs w:val="20"/>
              </w:rPr>
              <w:t xml:space="preserve">^ </w:t>
            </w:r>
            <w:r w:rsidRPr="0032280D">
              <w:rPr>
                <w:rFonts w:asciiTheme="minorHAnsi" w:hAnsiTheme="minorHAnsi"/>
                <w:sz w:val="20"/>
                <w:szCs w:val="20"/>
              </w:rPr>
              <w:t>(ng∙h/mL)</w:t>
            </w:r>
          </w:p>
        </w:tc>
        <w:tc>
          <w:tcPr>
            <w:tcW w:w="1598" w:type="dxa"/>
          </w:tcPr>
          <w:p w14:paraId="34C76C96"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Exposure ratio</w:t>
            </w:r>
          </w:p>
        </w:tc>
      </w:tr>
      <w:tr w:rsidR="003D07E1" w:rsidRPr="0032280D" w14:paraId="1D130EC6" w14:textId="77777777" w:rsidTr="003D07E1">
        <w:trPr>
          <w:trHeight w:val="470"/>
        </w:trPr>
        <w:tc>
          <w:tcPr>
            <w:tcW w:w="1839" w:type="dxa"/>
            <w:vMerge w:val="restart"/>
          </w:tcPr>
          <w:p w14:paraId="72471A9D"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Mouse</w:t>
            </w:r>
            <w:r w:rsidR="0032280D">
              <w:rPr>
                <w:rFonts w:asciiTheme="minorHAnsi" w:hAnsiTheme="minorHAnsi"/>
                <w:sz w:val="20"/>
                <w:szCs w:val="20"/>
              </w:rPr>
              <w:t xml:space="preserve"> </w:t>
            </w:r>
            <w:r w:rsidRPr="0032280D">
              <w:rPr>
                <w:rFonts w:asciiTheme="minorHAnsi" w:hAnsiTheme="minorHAnsi"/>
                <w:sz w:val="20"/>
                <w:szCs w:val="20"/>
              </w:rPr>
              <w:t>(ICR)</w:t>
            </w:r>
          </w:p>
        </w:tc>
        <w:tc>
          <w:tcPr>
            <w:tcW w:w="2145" w:type="dxa"/>
            <w:vMerge w:val="restart"/>
          </w:tcPr>
          <w:p w14:paraId="2CD4DE57"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103 weeks</w:t>
            </w:r>
            <w:r w:rsidR="0032280D">
              <w:rPr>
                <w:rFonts w:asciiTheme="minorHAnsi" w:hAnsiTheme="minorHAnsi"/>
                <w:sz w:val="20"/>
                <w:szCs w:val="20"/>
              </w:rPr>
              <w:t xml:space="preserve"> </w:t>
            </w:r>
            <w:r w:rsidRPr="0032280D">
              <w:rPr>
                <w:rFonts w:asciiTheme="minorHAnsi" w:hAnsiTheme="minorHAnsi"/>
                <w:sz w:val="20"/>
                <w:szCs w:val="20"/>
              </w:rPr>
              <w:t xml:space="preserve">Study </w:t>
            </w:r>
            <w:r w:rsidR="0032280D">
              <w:rPr>
                <w:rFonts w:asciiTheme="minorHAnsi" w:hAnsiTheme="minorHAnsi"/>
                <w:sz w:val="20"/>
                <w:szCs w:val="20"/>
              </w:rPr>
              <w:t>CIT</w:t>
            </w:r>
            <w:r w:rsidR="0032280D">
              <w:rPr>
                <w:rFonts w:asciiTheme="minorHAnsi" w:hAnsiTheme="minorHAnsi"/>
                <w:sz w:val="20"/>
                <w:szCs w:val="20"/>
              </w:rPr>
              <w:noBreakHyphen/>
            </w:r>
            <w:r w:rsidRPr="0032280D">
              <w:rPr>
                <w:rFonts w:asciiTheme="minorHAnsi" w:hAnsiTheme="minorHAnsi"/>
                <w:sz w:val="20"/>
                <w:szCs w:val="20"/>
              </w:rPr>
              <w:t>12746</w:t>
            </w:r>
            <w:r w:rsidR="0032280D">
              <w:rPr>
                <w:rFonts w:asciiTheme="minorHAnsi" w:hAnsiTheme="minorHAnsi"/>
                <w:sz w:val="20"/>
                <w:szCs w:val="20"/>
              </w:rPr>
              <w:t xml:space="preserve"> </w:t>
            </w:r>
            <w:r w:rsidR="00DB3203" w:rsidRPr="0032280D">
              <w:rPr>
                <w:rFonts w:asciiTheme="minorHAnsi" w:hAnsiTheme="minorHAnsi"/>
                <w:sz w:val="20"/>
                <w:szCs w:val="20"/>
              </w:rPr>
              <w:t>(</w:t>
            </w:r>
            <w:r w:rsidRPr="0032280D">
              <w:rPr>
                <w:rFonts w:asciiTheme="minorHAnsi" w:hAnsiTheme="minorHAnsi"/>
                <w:sz w:val="20"/>
                <w:szCs w:val="20"/>
              </w:rPr>
              <w:t>carcinogenicity</w:t>
            </w:r>
            <w:r w:rsidR="00DB3203" w:rsidRPr="0032280D">
              <w:rPr>
                <w:rFonts w:asciiTheme="minorHAnsi" w:hAnsiTheme="minorHAnsi"/>
                <w:sz w:val="20"/>
                <w:szCs w:val="20"/>
              </w:rPr>
              <w:t>)</w:t>
            </w:r>
          </w:p>
        </w:tc>
        <w:tc>
          <w:tcPr>
            <w:tcW w:w="1762" w:type="dxa"/>
          </w:tcPr>
          <w:p w14:paraId="7D627942"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650</w:t>
            </w:r>
          </w:p>
        </w:tc>
        <w:tc>
          <w:tcPr>
            <w:tcW w:w="1443" w:type="dxa"/>
          </w:tcPr>
          <w:p w14:paraId="45D2C805"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1908</w:t>
            </w:r>
          </w:p>
        </w:tc>
        <w:tc>
          <w:tcPr>
            <w:tcW w:w="1598" w:type="dxa"/>
          </w:tcPr>
          <w:p w14:paraId="42504926"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45.2</w:t>
            </w:r>
          </w:p>
        </w:tc>
      </w:tr>
      <w:tr w:rsidR="003D07E1" w:rsidRPr="0032280D" w14:paraId="1CEDB43E" w14:textId="77777777" w:rsidTr="003D07E1">
        <w:trPr>
          <w:trHeight w:val="493"/>
        </w:trPr>
        <w:tc>
          <w:tcPr>
            <w:tcW w:w="1839" w:type="dxa"/>
            <w:vMerge/>
          </w:tcPr>
          <w:p w14:paraId="7F2A7ED8" w14:textId="77777777" w:rsidR="003D07E1" w:rsidRPr="0032280D" w:rsidRDefault="003D07E1" w:rsidP="0032280D">
            <w:pPr>
              <w:ind w:left="0" w:right="0"/>
              <w:rPr>
                <w:rFonts w:asciiTheme="minorHAnsi" w:hAnsiTheme="minorHAnsi"/>
                <w:sz w:val="20"/>
                <w:szCs w:val="20"/>
              </w:rPr>
            </w:pPr>
          </w:p>
        </w:tc>
        <w:tc>
          <w:tcPr>
            <w:tcW w:w="2145" w:type="dxa"/>
            <w:vMerge/>
          </w:tcPr>
          <w:p w14:paraId="1C511829" w14:textId="77777777" w:rsidR="003D07E1" w:rsidRPr="0032280D" w:rsidRDefault="003D07E1" w:rsidP="0032280D">
            <w:pPr>
              <w:ind w:left="0" w:right="0"/>
              <w:rPr>
                <w:rFonts w:asciiTheme="minorHAnsi" w:hAnsiTheme="minorHAnsi"/>
                <w:sz w:val="20"/>
                <w:szCs w:val="20"/>
              </w:rPr>
            </w:pPr>
          </w:p>
        </w:tc>
        <w:tc>
          <w:tcPr>
            <w:tcW w:w="1762" w:type="dxa"/>
          </w:tcPr>
          <w:p w14:paraId="6E18A1C0"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1280</w:t>
            </w:r>
          </w:p>
        </w:tc>
        <w:tc>
          <w:tcPr>
            <w:tcW w:w="1443" w:type="dxa"/>
          </w:tcPr>
          <w:p w14:paraId="4202402E"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2658</w:t>
            </w:r>
          </w:p>
        </w:tc>
        <w:tc>
          <w:tcPr>
            <w:tcW w:w="1598" w:type="dxa"/>
          </w:tcPr>
          <w:p w14:paraId="6B65013F"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62.5</w:t>
            </w:r>
          </w:p>
        </w:tc>
      </w:tr>
      <w:tr w:rsidR="003D07E1" w:rsidRPr="0032280D" w14:paraId="4E476917" w14:textId="77777777" w:rsidTr="003D07E1">
        <w:trPr>
          <w:trHeight w:val="505"/>
        </w:trPr>
        <w:tc>
          <w:tcPr>
            <w:tcW w:w="1839" w:type="dxa"/>
            <w:vMerge/>
          </w:tcPr>
          <w:p w14:paraId="662866CB" w14:textId="77777777" w:rsidR="003D07E1" w:rsidRPr="0032280D" w:rsidRDefault="003D07E1" w:rsidP="0032280D">
            <w:pPr>
              <w:ind w:left="0" w:right="0"/>
              <w:rPr>
                <w:rFonts w:asciiTheme="minorHAnsi" w:hAnsiTheme="minorHAnsi"/>
                <w:sz w:val="20"/>
                <w:szCs w:val="20"/>
              </w:rPr>
            </w:pPr>
          </w:p>
        </w:tc>
        <w:tc>
          <w:tcPr>
            <w:tcW w:w="2145" w:type="dxa"/>
            <w:vMerge/>
          </w:tcPr>
          <w:p w14:paraId="36FC6365" w14:textId="77777777" w:rsidR="003D07E1" w:rsidRPr="0032280D" w:rsidRDefault="003D07E1" w:rsidP="0032280D">
            <w:pPr>
              <w:ind w:left="0" w:right="0"/>
              <w:rPr>
                <w:rFonts w:asciiTheme="minorHAnsi" w:hAnsiTheme="minorHAnsi"/>
                <w:sz w:val="20"/>
                <w:szCs w:val="20"/>
              </w:rPr>
            </w:pPr>
          </w:p>
        </w:tc>
        <w:tc>
          <w:tcPr>
            <w:tcW w:w="1762" w:type="dxa"/>
          </w:tcPr>
          <w:p w14:paraId="0B7DF7E1"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2000</w:t>
            </w:r>
          </w:p>
        </w:tc>
        <w:tc>
          <w:tcPr>
            <w:tcW w:w="1443" w:type="dxa"/>
          </w:tcPr>
          <w:p w14:paraId="7A9B3293"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4387</w:t>
            </w:r>
          </w:p>
        </w:tc>
        <w:tc>
          <w:tcPr>
            <w:tcW w:w="1598" w:type="dxa"/>
          </w:tcPr>
          <w:p w14:paraId="2EF02851"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102.4</w:t>
            </w:r>
          </w:p>
        </w:tc>
      </w:tr>
      <w:tr w:rsidR="003D07E1" w:rsidRPr="0032280D" w14:paraId="12F2F1AF" w14:textId="77777777" w:rsidTr="003D07E1">
        <w:trPr>
          <w:trHeight w:val="470"/>
        </w:trPr>
        <w:tc>
          <w:tcPr>
            <w:tcW w:w="1839" w:type="dxa"/>
            <w:vMerge w:val="restart"/>
          </w:tcPr>
          <w:p w14:paraId="24978401"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Mouse</w:t>
            </w:r>
            <w:r w:rsidR="0032280D">
              <w:rPr>
                <w:rFonts w:asciiTheme="minorHAnsi" w:hAnsiTheme="minorHAnsi"/>
                <w:sz w:val="20"/>
                <w:szCs w:val="20"/>
              </w:rPr>
              <w:t xml:space="preserve"> </w:t>
            </w:r>
            <w:r w:rsidRPr="0032280D">
              <w:rPr>
                <w:rFonts w:asciiTheme="minorHAnsi" w:hAnsiTheme="minorHAnsi"/>
                <w:sz w:val="20"/>
                <w:szCs w:val="20"/>
              </w:rPr>
              <w:t>(CD-1)</w:t>
            </w:r>
          </w:p>
        </w:tc>
        <w:tc>
          <w:tcPr>
            <w:tcW w:w="2145" w:type="dxa"/>
            <w:vMerge w:val="restart"/>
          </w:tcPr>
          <w:p w14:paraId="63AFDC60"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13 weeks</w:t>
            </w:r>
            <w:r w:rsidR="0032280D">
              <w:rPr>
                <w:rFonts w:asciiTheme="minorHAnsi" w:hAnsiTheme="minorHAnsi"/>
                <w:sz w:val="20"/>
                <w:szCs w:val="20"/>
              </w:rPr>
              <w:t xml:space="preserve"> </w:t>
            </w:r>
            <w:r w:rsidRPr="0032280D">
              <w:rPr>
                <w:rFonts w:asciiTheme="minorHAnsi" w:hAnsiTheme="minorHAnsi"/>
                <w:sz w:val="20"/>
                <w:szCs w:val="20"/>
              </w:rPr>
              <w:t xml:space="preserve">Study </w:t>
            </w:r>
            <w:r w:rsidR="0032280D">
              <w:rPr>
                <w:rFonts w:asciiTheme="minorHAnsi" w:hAnsiTheme="minorHAnsi"/>
                <w:sz w:val="20"/>
                <w:szCs w:val="20"/>
              </w:rPr>
              <w:t>C</w:t>
            </w:r>
            <w:r w:rsidR="0032280D">
              <w:rPr>
                <w:rFonts w:asciiTheme="minorHAnsi" w:hAnsiTheme="minorHAnsi"/>
                <w:sz w:val="20"/>
                <w:szCs w:val="20"/>
              </w:rPr>
              <w:noBreakHyphen/>
              <w:t>14</w:t>
            </w:r>
            <w:r w:rsidR="0032280D">
              <w:rPr>
                <w:rFonts w:asciiTheme="minorHAnsi" w:hAnsiTheme="minorHAnsi"/>
                <w:sz w:val="20"/>
                <w:szCs w:val="20"/>
              </w:rPr>
              <w:noBreakHyphen/>
            </w:r>
            <w:r w:rsidRPr="0032280D">
              <w:rPr>
                <w:rFonts w:asciiTheme="minorHAnsi" w:hAnsiTheme="minorHAnsi"/>
                <w:sz w:val="20"/>
                <w:szCs w:val="20"/>
              </w:rPr>
              <w:t>714</w:t>
            </w:r>
          </w:p>
        </w:tc>
        <w:tc>
          <w:tcPr>
            <w:tcW w:w="1762" w:type="dxa"/>
          </w:tcPr>
          <w:p w14:paraId="6CA629B0"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210</w:t>
            </w:r>
          </w:p>
        </w:tc>
        <w:tc>
          <w:tcPr>
            <w:tcW w:w="1443" w:type="dxa"/>
          </w:tcPr>
          <w:p w14:paraId="3D9A2479"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35</w:t>
            </w:r>
          </w:p>
        </w:tc>
        <w:tc>
          <w:tcPr>
            <w:tcW w:w="1598" w:type="dxa"/>
          </w:tcPr>
          <w:p w14:paraId="5D760036"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1.3</w:t>
            </w:r>
          </w:p>
        </w:tc>
      </w:tr>
      <w:tr w:rsidR="003D07E1" w:rsidRPr="0032280D" w14:paraId="08C2ED23" w14:textId="77777777" w:rsidTr="003D07E1">
        <w:trPr>
          <w:trHeight w:val="505"/>
        </w:trPr>
        <w:tc>
          <w:tcPr>
            <w:tcW w:w="1839" w:type="dxa"/>
            <w:vMerge/>
          </w:tcPr>
          <w:p w14:paraId="0D2E86CB" w14:textId="77777777" w:rsidR="003D07E1" w:rsidRPr="0032280D" w:rsidRDefault="003D07E1" w:rsidP="0032280D">
            <w:pPr>
              <w:ind w:left="0" w:right="0"/>
              <w:rPr>
                <w:rFonts w:asciiTheme="minorHAnsi" w:hAnsiTheme="minorHAnsi"/>
                <w:sz w:val="20"/>
                <w:szCs w:val="20"/>
              </w:rPr>
            </w:pPr>
          </w:p>
        </w:tc>
        <w:tc>
          <w:tcPr>
            <w:tcW w:w="2145" w:type="dxa"/>
            <w:vMerge/>
          </w:tcPr>
          <w:p w14:paraId="4CF5C069" w14:textId="77777777" w:rsidR="003D07E1" w:rsidRPr="0032280D" w:rsidRDefault="003D07E1" w:rsidP="0032280D">
            <w:pPr>
              <w:ind w:left="0" w:right="0"/>
              <w:rPr>
                <w:rFonts w:asciiTheme="minorHAnsi" w:hAnsiTheme="minorHAnsi"/>
                <w:sz w:val="20"/>
                <w:szCs w:val="20"/>
              </w:rPr>
            </w:pPr>
          </w:p>
        </w:tc>
        <w:tc>
          <w:tcPr>
            <w:tcW w:w="1762" w:type="dxa"/>
          </w:tcPr>
          <w:p w14:paraId="0AE34B7F"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640</w:t>
            </w:r>
          </w:p>
        </w:tc>
        <w:tc>
          <w:tcPr>
            <w:tcW w:w="1443" w:type="dxa"/>
          </w:tcPr>
          <w:p w14:paraId="4CD40853"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172</w:t>
            </w:r>
          </w:p>
        </w:tc>
        <w:tc>
          <w:tcPr>
            <w:tcW w:w="1598" w:type="dxa"/>
          </w:tcPr>
          <w:p w14:paraId="7D503309"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4.0</w:t>
            </w:r>
          </w:p>
        </w:tc>
      </w:tr>
      <w:tr w:rsidR="003D07E1" w:rsidRPr="0032280D" w14:paraId="28CD1E2B" w14:textId="77777777" w:rsidTr="003D07E1">
        <w:trPr>
          <w:trHeight w:val="493"/>
        </w:trPr>
        <w:tc>
          <w:tcPr>
            <w:tcW w:w="1839" w:type="dxa"/>
            <w:vMerge/>
          </w:tcPr>
          <w:p w14:paraId="39101DC6" w14:textId="77777777" w:rsidR="003D07E1" w:rsidRPr="0032280D" w:rsidRDefault="003D07E1" w:rsidP="0032280D">
            <w:pPr>
              <w:ind w:left="0" w:right="0"/>
              <w:rPr>
                <w:rFonts w:asciiTheme="minorHAnsi" w:hAnsiTheme="minorHAnsi"/>
                <w:sz w:val="20"/>
                <w:szCs w:val="20"/>
              </w:rPr>
            </w:pPr>
          </w:p>
        </w:tc>
        <w:tc>
          <w:tcPr>
            <w:tcW w:w="2145" w:type="dxa"/>
            <w:vMerge/>
          </w:tcPr>
          <w:p w14:paraId="3A530867" w14:textId="77777777" w:rsidR="003D07E1" w:rsidRPr="0032280D" w:rsidRDefault="003D07E1" w:rsidP="0032280D">
            <w:pPr>
              <w:ind w:left="0" w:right="0"/>
              <w:rPr>
                <w:rFonts w:asciiTheme="minorHAnsi" w:hAnsiTheme="minorHAnsi"/>
                <w:sz w:val="20"/>
                <w:szCs w:val="20"/>
              </w:rPr>
            </w:pPr>
          </w:p>
        </w:tc>
        <w:tc>
          <w:tcPr>
            <w:tcW w:w="1762" w:type="dxa"/>
          </w:tcPr>
          <w:p w14:paraId="1E76183C"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1280</w:t>
            </w:r>
          </w:p>
        </w:tc>
        <w:tc>
          <w:tcPr>
            <w:tcW w:w="1443" w:type="dxa"/>
          </w:tcPr>
          <w:p w14:paraId="338C6DD8"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522</w:t>
            </w:r>
          </w:p>
        </w:tc>
        <w:tc>
          <w:tcPr>
            <w:tcW w:w="1598" w:type="dxa"/>
          </w:tcPr>
          <w:p w14:paraId="2D5ECC37"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12.0</w:t>
            </w:r>
          </w:p>
        </w:tc>
      </w:tr>
      <w:tr w:rsidR="003D07E1" w:rsidRPr="0032280D" w14:paraId="33A4CB1E" w14:textId="77777777" w:rsidTr="003D07E1">
        <w:trPr>
          <w:trHeight w:val="493"/>
        </w:trPr>
        <w:tc>
          <w:tcPr>
            <w:tcW w:w="1839" w:type="dxa"/>
            <w:vMerge/>
          </w:tcPr>
          <w:p w14:paraId="600B1656" w14:textId="77777777" w:rsidR="003D07E1" w:rsidRPr="0032280D" w:rsidRDefault="003D07E1" w:rsidP="0032280D">
            <w:pPr>
              <w:ind w:left="0" w:right="0"/>
              <w:rPr>
                <w:rFonts w:asciiTheme="minorHAnsi" w:hAnsiTheme="minorHAnsi"/>
                <w:sz w:val="20"/>
                <w:szCs w:val="20"/>
              </w:rPr>
            </w:pPr>
          </w:p>
        </w:tc>
        <w:tc>
          <w:tcPr>
            <w:tcW w:w="2145" w:type="dxa"/>
            <w:vMerge/>
          </w:tcPr>
          <w:p w14:paraId="2464BC5B" w14:textId="77777777" w:rsidR="003D07E1" w:rsidRPr="0032280D" w:rsidRDefault="003D07E1" w:rsidP="0032280D">
            <w:pPr>
              <w:ind w:left="0" w:right="0"/>
              <w:rPr>
                <w:rFonts w:asciiTheme="minorHAnsi" w:hAnsiTheme="minorHAnsi"/>
                <w:sz w:val="20"/>
                <w:szCs w:val="20"/>
              </w:rPr>
            </w:pPr>
          </w:p>
        </w:tc>
        <w:tc>
          <w:tcPr>
            <w:tcW w:w="1762" w:type="dxa"/>
          </w:tcPr>
          <w:p w14:paraId="479AC41A"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2000</w:t>
            </w:r>
          </w:p>
        </w:tc>
        <w:tc>
          <w:tcPr>
            <w:tcW w:w="1443" w:type="dxa"/>
          </w:tcPr>
          <w:p w14:paraId="1761F982"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1116</w:t>
            </w:r>
          </w:p>
        </w:tc>
        <w:tc>
          <w:tcPr>
            <w:tcW w:w="1598" w:type="dxa"/>
          </w:tcPr>
          <w:p w14:paraId="24AD9E76"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26.6</w:t>
            </w:r>
          </w:p>
        </w:tc>
      </w:tr>
      <w:tr w:rsidR="003D07E1" w:rsidRPr="0032280D" w14:paraId="1969DE8F" w14:textId="77777777" w:rsidTr="003D07E1">
        <w:trPr>
          <w:trHeight w:val="19"/>
        </w:trPr>
        <w:tc>
          <w:tcPr>
            <w:tcW w:w="1839" w:type="dxa"/>
            <w:vMerge w:val="restart"/>
          </w:tcPr>
          <w:p w14:paraId="541104DB"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lastRenderedPageBreak/>
              <w:t>Rat</w:t>
            </w:r>
            <w:r w:rsidR="0032280D">
              <w:rPr>
                <w:rFonts w:asciiTheme="minorHAnsi" w:hAnsiTheme="minorHAnsi"/>
                <w:sz w:val="20"/>
                <w:szCs w:val="20"/>
              </w:rPr>
              <w:t xml:space="preserve"> </w:t>
            </w:r>
            <w:r w:rsidRPr="0032280D">
              <w:rPr>
                <w:rFonts w:asciiTheme="minorHAnsi" w:hAnsiTheme="minorHAnsi"/>
                <w:sz w:val="20"/>
                <w:szCs w:val="20"/>
              </w:rPr>
              <w:t>(SD)</w:t>
            </w:r>
          </w:p>
        </w:tc>
        <w:tc>
          <w:tcPr>
            <w:tcW w:w="2145" w:type="dxa"/>
            <w:vMerge w:val="restart"/>
          </w:tcPr>
          <w:p w14:paraId="2BF41FEC" w14:textId="77777777" w:rsidR="003D07E1" w:rsidRPr="0032280D" w:rsidRDefault="0032280D" w:rsidP="0032280D">
            <w:pPr>
              <w:ind w:left="0" w:right="0"/>
              <w:rPr>
                <w:rFonts w:asciiTheme="minorHAnsi" w:hAnsiTheme="minorHAnsi"/>
                <w:sz w:val="20"/>
                <w:szCs w:val="20"/>
              </w:rPr>
            </w:pPr>
            <w:r>
              <w:rPr>
                <w:rFonts w:asciiTheme="minorHAnsi" w:hAnsiTheme="minorHAnsi"/>
                <w:sz w:val="20"/>
                <w:szCs w:val="20"/>
              </w:rPr>
              <w:t xml:space="preserve">13 weeks </w:t>
            </w:r>
            <w:r w:rsidR="003D07E1" w:rsidRPr="0032280D">
              <w:rPr>
                <w:rFonts w:asciiTheme="minorHAnsi" w:hAnsiTheme="minorHAnsi"/>
                <w:sz w:val="20"/>
                <w:szCs w:val="20"/>
              </w:rPr>
              <w:t>S</w:t>
            </w:r>
            <w:r>
              <w:rPr>
                <w:rFonts w:asciiTheme="minorHAnsi" w:hAnsiTheme="minorHAnsi"/>
                <w:sz w:val="20"/>
                <w:szCs w:val="20"/>
              </w:rPr>
              <w:t>tudy C</w:t>
            </w:r>
            <w:r>
              <w:rPr>
                <w:rFonts w:asciiTheme="minorHAnsi" w:hAnsiTheme="minorHAnsi"/>
                <w:sz w:val="20"/>
                <w:szCs w:val="20"/>
              </w:rPr>
              <w:noBreakHyphen/>
              <w:t>14</w:t>
            </w:r>
            <w:r>
              <w:rPr>
                <w:rFonts w:asciiTheme="minorHAnsi" w:hAnsiTheme="minorHAnsi"/>
                <w:sz w:val="20"/>
                <w:szCs w:val="20"/>
              </w:rPr>
              <w:noBreakHyphen/>
            </w:r>
            <w:r w:rsidR="003D07E1" w:rsidRPr="0032280D">
              <w:rPr>
                <w:rFonts w:asciiTheme="minorHAnsi" w:hAnsiTheme="minorHAnsi"/>
                <w:sz w:val="20"/>
                <w:szCs w:val="20"/>
              </w:rPr>
              <w:t>713</w:t>
            </w:r>
          </w:p>
        </w:tc>
        <w:tc>
          <w:tcPr>
            <w:tcW w:w="1762" w:type="dxa"/>
          </w:tcPr>
          <w:p w14:paraId="4F797CD2"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160</w:t>
            </w:r>
          </w:p>
        </w:tc>
        <w:tc>
          <w:tcPr>
            <w:tcW w:w="1443" w:type="dxa"/>
          </w:tcPr>
          <w:p w14:paraId="02B66733"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19</w:t>
            </w:r>
          </w:p>
        </w:tc>
        <w:tc>
          <w:tcPr>
            <w:tcW w:w="1598" w:type="dxa"/>
          </w:tcPr>
          <w:p w14:paraId="2AA1BA03"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0.0</w:t>
            </w:r>
          </w:p>
        </w:tc>
      </w:tr>
      <w:tr w:rsidR="003D07E1" w:rsidRPr="0032280D" w14:paraId="112BA8FF" w14:textId="77777777" w:rsidTr="003D07E1">
        <w:trPr>
          <w:trHeight w:val="19"/>
        </w:trPr>
        <w:tc>
          <w:tcPr>
            <w:tcW w:w="1839" w:type="dxa"/>
            <w:vMerge/>
          </w:tcPr>
          <w:p w14:paraId="0D8BD9C9" w14:textId="77777777" w:rsidR="003D07E1" w:rsidRPr="0032280D" w:rsidRDefault="003D07E1" w:rsidP="0032280D">
            <w:pPr>
              <w:ind w:left="0" w:right="0"/>
              <w:rPr>
                <w:rFonts w:asciiTheme="minorHAnsi" w:hAnsiTheme="minorHAnsi"/>
                <w:sz w:val="20"/>
                <w:szCs w:val="20"/>
              </w:rPr>
            </w:pPr>
          </w:p>
        </w:tc>
        <w:tc>
          <w:tcPr>
            <w:tcW w:w="2145" w:type="dxa"/>
            <w:vMerge/>
          </w:tcPr>
          <w:p w14:paraId="492EB296" w14:textId="77777777" w:rsidR="003D07E1" w:rsidRPr="0032280D" w:rsidRDefault="003D07E1" w:rsidP="0032280D">
            <w:pPr>
              <w:ind w:left="0" w:right="0"/>
              <w:rPr>
                <w:rFonts w:asciiTheme="minorHAnsi" w:hAnsiTheme="minorHAnsi"/>
                <w:sz w:val="20"/>
                <w:szCs w:val="20"/>
              </w:rPr>
            </w:pPr>
          </w:p>
        </w:tc>
        <w:tc>
          <w:tcPr>
            <w:tcW w:w="1762" w:type="dxa"/>
          </w:tcPr>
          <w:p w14:paraId="1F85F1AC"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500</w:t>
            </w:r>
          </w:p>
        </w:tc>
        <w:tc>
          <w:tcPr>
            <w:tcW w:w="1443" w:type="dxa"/>
          </w:tcPr>
          <w:p w14:paraId="70950A67"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688</w:t>
            </w:r>
          </w:p>
        </w:tc>
        <w:tc>
          <w:tcPr>
            <w:tcW w:w="1598" w:type="dxa"/>
          </w:tcPr>
          <w:p w14:paraId="20BD1718"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16.0</w:t>
            </w:r>
          </w:p>
        </w:tc>
      </w:tr>
      <w:tr w:rsidR="003D07E1" w:rsidRPr="0032280D" w14:paraId="0FDAFFD7" w14:textId="77777777" w:rsidTr="003D07E1">
        <w:trPr>
          <w:trHeight w:val="19"/>
        </w:trPr>
        <w:tc>
          <w:tcPr>
            <w:tcW w:w="1839" w:type="dxa"/>
            <w:vMerge/>
          </w:tcPr>
          <w:p w14:paraId="52FEF7BB" w14:textId="77777777" w:rsidR="003D07E1" w:rsidRPr="0032280D" w:rsidRDefault="003D07E1" w:rsidP="0032280D">
            <w:pPr>
              <w:ind w:left="0" w:right="0"/>
              <w:rPr>
                <w:rFonts w:asciiTheme="minorHAnsi" w:hAnsiTheme="minorHAnsi"/>
                <w:sz w:val="20"/>
                <w:szCs w:val="20"/>
              </w:rPr>
            </w:pPr>
          </w:p>
        </w:tc>
        <w:tc>
          <w:tcPr>
            <w:tcW w:w="2145" w:type="dxa"/>
            <w:vMerge/>
          </w:tcPr>
          <w:p w14:paraId="1A72AA83" w14:textId="77777777" w:rsidR="003D07E1" w:rsidRPr="0032280D" w:rsidRDefault="003D07E1" w:rsidP="0032280D">
            <w:pPr>
              <w:ind w:left="0" w:right="0"/>
              <w:rPr>
                <w:rFonts w:asciiTheme="minorHAnsi" w:hAnsiTheme="minorHAnsi"/>
                <w:sz w:val="20"/>
                <w:szCs w:val="20"/>
              </w:rPr>
            </w:pPr>
          </w:p>
        </w:tc>
        <w:tc>
          <w:tcPr>
            <w:tcW w:w="1762" w:type="dxa"/>
          </w:tcPr>
          <w:p w14:paraId="3C041472"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1000</w:t>
            </w:r>
          </w:p>
        </w:tc>
        <w:tc>
          <w:tcPr>
            <w:tcW w:w="1443" w:type="dxa"/>
          </w:tcPr>
          <w:p w14:paraId="03911D61"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1127</w:t>
            </w:r>
          </w:p>
        </w:tc>
        <w:tc>
          <w:tcPr>
            <w:tcW w:w="1598" w:type="dxa"/>
          </w:tcPr>
          <w:p w14:paraId="7120BC0C"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26.6</w:t>
            </w:r>
          </w:p>
        </w:tc>
      </w:tr>
      <w:tr w:rsidR="003D07E1" w:rsidRPr="0032280D" w14:paraId="5EA9BDFC" w14:textId="77777777" w:rsidTr="003D07E1">
        <w:trPr>
          <w:trHeight w:val="19"/>
        </w:trPr>
        <w:tc>
          <w:tcPr>
            <w:tcW w:w="1839" w:type="dxa"/>
            <w:vMerge/>
          </w:tcPr>
          <w:p w14:paraId="5F9588BC" w14:textId="77777777" w:rsidR="003D07E1" w:rsidRPr="0032280D" w:rsidRDefault="003D07E1" w:rsidP="0032280D">
            <w:pPr>
              <w:ind w:left="0" w:right="0"/>
              <w:rPr>
                <w:rFonts w:asciiTheme="minorHAnsi" w:hAnsiTheme="minorHAnsi"/>
                <w:sz w:val="20"/>
                <w:szCs w:val="20"/>
              </w:rPr>
            </w:pPr>
          </w:p>
        </w:tc>
        <w:tc>
          <w:tcPr>
            <w:tcW w:w="2145" w:type="dxa"/>
            <w:vMerge/>
          </w:tcPr>
          <w:p w14:paraId="06AB85E4" w14:textId="77777777" w:rsidR="003D07E1" w:rsidRPr="0032280D" w:rsidRDefault="003D07E1" w:rsidP="0032280D">
            <w:pPr>
              <w:ind w:left="0" w:right="0"/>
              <w:rPr>
                <w:rFonts w:asciiTheme="minorHAnsi" w:hAnsiTheme="minorHAnsi"/>
                <w:sz w:val="20"/>
                <w:szCs w:val="20"/>
              </w:rPr>
            </w:pPr>
          </w:p>
        </w:tc>
        <w:tc>
          <w:tcPr>
            <w:tcW w:w="1762" w:type="dxa"/>
          </w:tcPr>
          <w:p w14:paraId="7D3C3D63"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2500</w:t>
            </w:r>
          </w:p>
        </w:tc>
        <w:tc>
          <w:tcPr>
            <w:tcW w:w="1443" w:type="dxa"/>
          </w:tcPr>
          <w:p w14:paraId="0B0BFCB3"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3575</w:t>
            </w:r>
          </w:p>
        </w:tc>
        <w:tc>
          <w:tcPr>
            <w:tcW w:w="1598" w:type="dxa"/>
          </w:tcPr>
          <w:p w14:paraId="65EA0AB5"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83.8</w:t>
            </w:r>
          </w:p>
        </w:tc>
      </w:tr>
      <w:tr w:rsidR="003D07E1" w:rsidRPr="0032280D" w14:paraId="5D0100BA" w14:textId="77777777" w:rsidTr="003D07E1">
        <w:trPr>
          <w:trHeight w:val="19"/>
        </w:trPr>
        <w:tc>
          <w:tcPr>
            <w:tcW w:w="1839" w:type="dxa"/>
            <w:vMerge/>
          </w:tcPr>
          <w:p w14:paraId="30EA4C88" w14:textId="77777777" w:rsidR="003D07E1" w:rsidRPr="0032280D" w:rsidRDefault="003D07E1" w:rsidP="0032280D">
            <w:pPr>
              <w:ind w:left="0" w:right="0"/>
              <w:rPr>
                <w:rFonts w:asciiTheme="minorHAnsi" w:hAnsiTheme="minorHAnsi"/>
                <w:sz w:val="20"/>
                <w:szCs w:val="20"/>
              </w:rPr>
            </w:pPr>
          </w:p>
        </w:tc>
        <w:tc>
          <w:tcPr>
            <w:tcW w:w="2145" w:type="dxa"/>
            <w:vMerge w:val="restart"/>
          </w:tcPr>
          <w:p w14:paraId="2786CB09" w14:textId="77777777" w:rsidR="003D07E1" w:rsidRPr="0032280D" w:rsidRDefault="0032280D" w:rsidP="0032280D">
            <w:pPr>
              <w:ind w:left="0" w:right="0"/>
              <w:rPr>
                <w:rFonts w:asciiTheme="minorHAnsi" w:hAnsiTheme="minorHAnsi"/>
                <w:sz w:val="20"/>
                <w:szCs w:val="20"/>
              </w:rPr>
            </w:pPr>
            <w:r>
              <w:rPr>
                <w:rFonts w:asciiTheme="minorHAnsi" w:hAnsiTheme="minorHAnsi"/>
                <w:sz w:val="20"/>
                <w:szCs w:val="20"/>
              </w:rPr>
              <w:t>104 weeks Study C</w:t>
            </w:r>
            <w:r>
              <w:rPr>
                <w:rFonts w:asciiTheme="minorHAnsi" w:hAnsiTheme="minorHAnsi"/>
                <w:sz w:val="20"/>
                <w:szCs w:val="20"/>
              </w:rPr>
              <w:noBreakHyphen/>
              <w:t xml:space="preserve">14-886 </w:t>
            </w:r>
            <w:r w:rsidR="00DB3203" w:rsidRPr="0032280D">
              <w:rPr>
                <w:rFonts w:asciiTheme="minorHAnsi" w:hAnsiTheme="minorHAnsi"/>
                <w:sz w:val="20"/>
                <w:szCs w:val="20"/>
              </w:rPr>
              <w:t>(</w:t>
            </w:r>
            <w:r w:rsidR="003D07E1" w:rsidRPr="0032280D">
              <w:rPr>
                <w:rFonts w:asciiTheme="minorHAnsi" w:hAnsiTheme="minorHAnsi"/>
                <w:sz w:val="20"/>
                <w:szCs w:val="20"/>
              </w:rPr>
              <w:t>carcinogenicity</w:t>
            </w:r>
            <w:r w:rsidR="00DB3203" w:rsidRPr="0032280D">
              <w:rPr>
                <w:rFonts w:asciiTheme="minorHAnsi" w:hAnsiTheme="minorHAnsi"/>
                <w:sz w:val="20"/>
                <w:szCs w:val="20"/>
              </w:rPr>
              <w:t>)</w:t>
            </w:r>
          </w:p>
        </w:tc>
        <w:tc>
          <w:tcPr>
            <w:tcW w:w="1762" w:type="dxa"/>
          </w:tcPr>
          <w:p w14:paraId="7927D2A3"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500</w:t>
            </w:r>
          </w:p>
        </w:tc>
        <w:tc>
          <w:tcPr>
            <w:tcW w:w="1443" w:type="dxa"/>
          </w:tcPr>
          <w:p w14:paraId="07C8A42A"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1554</w:t>
            </w:r>
          </w:p>
        </w:tc>
        <w:tc>
          <w:tcPr>
            <w:tcW w:w="1598" w:type="dxa"/>
          </w:tcPr>
          <w:p w14:paraId="374E96EE"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35.9</w:t>
            </w:r>
          </w:p>
        </w:tc>
      </w:tr>
      <w:tr w:rsidR="003D07E1" w:rsidRPr="0032280D" w14:paraId="08180E86" w14:textId="77777777" w:rsidTr="003D07E1">
        <w:trPr>
          <w:trHeight w:val="19"/>
        </w:trPr>
        <w:tc>
          <w:tcPr>
            <w:tcW w:w="1839" w:type="dxa"/>
            <w:vMerge/>
          </w:tcPr>
          <w:p w14:paraId="0A85B85D" w14:textId="77777777" w:rsidR="003D07E1" w:rsidRPr="0032280D" w:rsidRDefault="003D07E1" w:rsidP="0032280D">
            <w:pPr>
              <w:ind w:left="0" w:right="0"/>
              <w:rPr>
                <w:rFonts w:asciiTheme="minorHAnsi" w:hAnsiTheme="minorHAnsi"/>
                <w:sz w:val="20"/>
                <w:szCs w:val="20"/>
              </w:rPr>
            </w:pPr>
          </w:p>
        </w:tc>
        <w:tc>
          <w:tcPr>
            <w:tcW w:w="2145" w:type="dxa"/>
            <w:vMerge/>
          </w:tcPr>
          <w:p w14:paraId="46FE84A0" w14:textId="77777777" w:rsidR="003D07E1" w:rsidRPr="0032280D" w:rsidRDefault="003D07E1" w:rsidP="0032280D">
            <w:pPr>
              <w:ind w:left="0" w:right="0"/>
              <w:rPr>
                <w:rFonts w:asciiTheme="minorHAnsi" w:hAnsiTheme="minorHAnsi"/>
                <w:sz w:val="20"/>
                <w:szCs w:val="20"/>
              </w:rPr>
            </w:pPr>
          </w:p>
        </w:tc>
        <w:tc>
          <w:tcPr>
            <w:tcW w:w="1762" w:type="dxa"/>
          </w:tcPr>
          <w:p w14:paraId="2D32DAD9"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1000</w:t>
            </w:r>
          </w:p>
        </w:tc>
        <w:tc>
          <w:tcPr>
            <w:tcW w:w="1443" w:type="dxa"/>
          </w:tcPr>
          <w:p w14:paraId="13027FD1"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3222</w:t>
            </w:r>
          </w:p>
        </w:tc>
        <w:tc>
          <w:tcPr>
            <w:tcW w:w="1598" w:type="dxa"/>
          </w:tcPr>
          <w:p w14:paraId="61EE2541"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75.8</w:t>
            </w:r>
          </w:p>
        </w:tc>
      </w:tr>
      <w:tr w:rsidR="003D07E1" w:rsidRPr="0032280D" w14:paraId="42DEE816" w14:textId="77777777" w:rsidTr="003D07E1">
        <w:trPr>
          <w:trHeight w:val="470"/>
        </w:trPr>
        <w:tc>
          <w:tcPr>
            <w:tcW w:w="1839" w:type="dxa"/>
            <w:vMerge w:val="restart"/>
          </w:tcPr>
          <w:p w14:paraId="1DF1F157"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Rat</w:t>
            </w:r>
            <w:r w:rsidR="0032280D">
              <w:rPr>
                <w:rFonts w:asciiTheme="minorHAnsi" w:hAnsiTheme="minorHAnsi"/>
                <w:sz w:val="20"/>
                <w:szCs w:val="20"/>
              </w:rPr>
              <w:t xml:space="preserve"> </w:t>
            </w:r>
            <w:r w:rsidRPr="0032280D">
              <w:rPr>
                <w:rFonts w:asciiTheme="minorHAnsi" w:hAnsiTheme="minorHAnsi"/>
                <w:sz w:val="20"/>
                <w:szCs w:val="20"/>
              </w:rPr>
              <w:t>(Wistar)</w:t>
            </w:r>
          </w:p>
        </w:tc>
        <w:tc>
          <w:tcPr>
            <w:tcW w:w="2145" w:type="dxa"/>
            <w:vMerge w:val="restart"/>
          </w:tcPr>
          <w:p w14:paraId="65C45518" w14:textId="77777777" w:rsidR="003D07E1" w:rsidRPr="0032280D" w:rsidRDefault="0032280D" w:rsidP="0032280D">
            <w:pPr>
              <w:ind w:left="0" w:right="0"/>
              <w:rPr>
                <w:rFonts w:asciiTheme="minorHAnsi" w:hAnsiTheme="minorHAnsi"/>
                <w:sz w:val="20"/>
                <w:szCs w:val="20"/>
              </w:rPr>
            </w:pPr>
            <w:r>
              <w:rPr>
                <w:rFonts w:asciiTheme="minorHAnsi" w:hAnsiTheme="minorHAnsi"/>
                <w:sz w:val="20"/>
                <w:szCs w:val="20"/>
              </w:rPr>
              <w:t xml:space="preserve">26 weeks </w:t>
            </w:r>
            <w:r w:rsidR="003D07E1" w:rsidRPr="0032280D">
              <w:rPr>
                <w:rFonts w:asciiTheme="minorHAnsi" w:hAnsiTheme="minorHAnsi"/>
                <w:sz w:val="20"/>
                <w:szCs w:val="20"/>
              </w:rPr>
              <w:t xml:space="preserve">Study </w:t>
            </w:r>
            <w:r>
              <w:rPr>
                <w:rFonts w:asciiTheme="minorHAnsi" w:hAnsiTheme="minorHAnsi"/>
                <w:sz w:val="20"/>
                <w:szCs w:val="20"/>
              </w:rPr>
              <w:t>C</w:t>
            </w:r>
            <w:r>
              <w:rPr>
                <w:rFonts w:asciiTheme="minorHAnsi" w:hAnsiTheme="minorHAnsi"/>
                <w:sz w:val="20"/>
                <w:szCs w:val="20"/>
              </w:rPr>
              <w:noBreakHyphen/>
              <w:t>14</w:t>
            </w:r>
            <w:r>
              <w:rPr>
                <w:rFonts w:asciiTheme="minorHAnsi" w:hAnsiTheme="minorHAnsi"/>
                <w:sz w:val="20"/>
                <w:szCs w:val="20"/>
              </w:rPr>
              <w:noBreakHyphen/>
            </w:r>
            <w:r w:rsidR="003D07E1" w:rsidRPr="0032280D">
              <w:rPr>
                <w:rFonts w:asciiTheme="minorHAnsi" w:hAnsiTheme="minorHAnsi"/>
                <w:sz w:val="20"/>
                <w:szCs w:val="20"/>
              </w:rPr>
              <w:t>787</w:t>
            </w:r>
          </w:p>
        </w:tc>
        <w:tc>
          <w:tcPr>
            <w:tcW w:w="1762" w:type="dxa"/>
          </w:tcPr>
          <w:p w14:paraId="3801664A"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30</w:t>
            </w:r>
          </w:p>
        </w:tc>
        <w:tc>
          <w:tcPr>
            <w:tcW w:w="1443" w:type="dxa"/>
          </w:tcPr>
          <w:p w14:paraId="28BE064B"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50</w:t>
            </w:r>
          </w:p>
        </w:tc>
        <w:tc>
          <w:tcPr>
            <w:tcW w:w="1598" w:type="dxa"/>
          </w:tcPr>
          <w:p w14:paraId="1D0423D2"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1.3</w:t>
            </w:r>
          </w:p>
        </w:tc>
      </w:tr>
      <w:tr w:rsidR="003D07E1" w:rsidRPr="0032280D" w14:paraId="5CB2223E" w14:textId="77777777" w:rsidTr="003D07E1">
        <w:trPr>
          <w:trHeight w:val="505"/>
        </w:trPr>
        <w:tc>
          <w:tcPr>
            <w:tcW w:w="1839" w:type="dxa"/>
            <w:vMerge/>
          </w:tcPr>
          <w:p w14:paraId="7C7A61B1" w14:textId="77777777" w:rsidR="003D07E1" w:rsidRPr="0032280D" w:rsidRDefault="003D07E1" w:rsidP="0032280D">
            <w:pPr>
              <w:ind w:left="0" w:right="0"/>
              <w:rPr>
                <w:rFonts w:asciiTheme="minorHAnsi" w:hAnsiTheme="minorHAnsi"/>
                <w:sz w:val="20"/>
                <w:szCs w:val="20"/>
              </w:rPr>
            </w:pPr>
          </w:p>
        </w:tc>
        <w:tc>
          <w:tcPr>
            <w:tcW w:w="2145" w:type="dxa"/>
            <w:vMerge/>
          </w:tcPr>
          <w:p w14:paraId="7E02AB00" w14:textId="77777777" w:rsidR="003D07E1" w:rsidRPr="0032280D" w:rsidRDefault="003D07E1" w:rsidP="0032280D">
            <w:pPr>
              <w:ind w:left="0" w:right="0"/>
              <w:rPr>
                <w:rFonts w:asciiTheme="minorHAnsi" w:hAnsiTheme="minorHAnsi"/>
                <w:sz w:val="20"/>
                <w:szCs w:val="20"/>
              </w:rPr>
            </w:pPr>
          </w:p>
        </w:tc>
        <w:tc>
          <w:tcPr>
            <w:tcW w:w="1762" w:type="dxa"/>
          </w:tcPr>
          <w:p w14:paraId="476707D3"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100</w:t>
            </w:r>
          </w:p>
        </w:tc>
        <w:tc>
          <w:tcPr>
            <w:tcW w:w="1443" w:type="dxa"/>
          </w:tcPr>
          <w:p w14:paraId="56A407FC"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141</w:t>
            </w:r>
          </w:p>
        </w:tc>
        <w:tc>
          <w:tcPr>
            <w:tcW w:w="1598" w:type="dxa"/>
          </w:tcPr>
          <w:p w14:paraId="6DD342AF"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2.7</w:t>
            </w:r>
          </w:p>
        </w:tc>
      </w:tr>
      <w:tr w:rsidR="003D07E1" w:rsidRPr="0032280D" w14:paraId="451D6585" w14:textId="77777777" w:rsidTr="003D07E1">
        <w:trPr>
          <w:trHeight w:val="493"/>
        </w:trPr>
        <w:tc>
          <w:tcPr>
            <w:tcW w:w="1839" w:type="dxa"/>
            <w:vMerge/>
          </w:tcPr>
          <w:p w14:paraId="38D8894E" w14:textId="77777777" w:rsidR="003D07E1" w:rsidRPr="0032280D" w:rsidRDefault="003D07E1" w:rsidP="0032280D">
            <w:pPr>
              <w:ind w:left="0" w:right="0"/>
              <w:rPr>
                <w:rFonts w:asciiTheme="minorHAnsi" w:hAnsiTheme="minorHAnsi"/>
                <w:sz w:val="20"/>
                <w:szCs w:val="20"/>
              </w:rPr>
            </w:pPr>
          </w:p>
        </w:tc>
        <w:tc>
          <w:tcPr>
            <w:tcW w:w="2145" w:type="dxa"/>
            <w:vMerge/>
          </w:tcPr>
          <w:p w14:paraId="66183493" w14:textId="77777777" w:rsidR="003D07E1" w:rsidRPr="0032280D" w:rsidRDefault="003D07E1" w:rsidP="0032280D">
            <w:pPr>
              <w:ind w:left="0" w:right="0"/>
              <w:rPr>
                <w:rFonts w:asciiTheme="minorHAnsi" w:hAnsiTheme="minorHAnsi"/>
                <w:sz w:val="20"/>
                <w:szCs w:val="20"/>
              </w:rPr>
            </w:pPr>
          </w:p>
        </w:tc>
        <w:tc>
          <w:tcPr>
            <w:tcW w:w="1762" w:type="dxa"/>
          </w:tcPr>
          <w:p w14:paraId="49A5D0EE"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300</w:t>
            </w:r>
          </w:p>
        </w:tc>
        <w:tc>
          <w:tcPr>
            <w:tcW w:w="1443" w:type="dxa"/>
          </w:tcPr>
          <w:p w14:paraId="794D1904"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1430</w:t>
            </w:r>
          </w:p>
        </w:tc>
        <w:tc>
          <w:tcPr>
            <w:tcW w:w="1598" w:type="dxa"/>
          </w:tcPr>
          <w:p w14:paraId="1DC5B780"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33.3</w:t>
            </w:r>
          </w:p>
        </w:tc>
      </w:tr>
      <w:tr w:rsidR="003D07E1" w:rsidRPr="0032280D" w14:paraId="1C5EAE24" w14:textId="77777777" w:rsidTr="003D07E1">
        <w:trPr>
          <w:trHeight w:val="505"/>
        </w:trPr>
        <w:tc>
          <w:tcPr>
            <w:tcW w:w="1839" w:type="dxa"/>
            <w:vMerge/>
          </w:tcPr>
          <w:p w14:paraId="13CC65C1" w14:textId="77777777" w:rsidR="003D07E1" w:rsidRPr="0032280D" w:rsidRDefault="003D07E1" w:rsidP="0032280D">
            <w:pPr>
              <w:ind w:left="0" w:right="0"/>
              <w:rPr>
                <w:rFonts w:asciiTheme="minorHAnsi" w:hAnsiTheme="minorHAnsi"/>
                <w:sz w:val="20"/>
                <w:szCs w:val="20"/>
              </w:rPr>
            </w:pPr>
          </w:p>
        </w:tc>
        <w:tc>
          <w:tcPr>
            <w:tcW w:w="2145" w:type="dxa"/>
            <w:vMerge/>
          </w:tcPr>
          <w:p w14:paraId="236846B3" w14:textId="77777777" w:rsidR="003D07E1" w:rsidRPr="0032280D" w:rsidRDefault="003D07E1" w:rsidP="0032280D">
            <w:pPr>
              <w:ind w:left="0" w:right="0"/>
              <w:rPr>
                <w:rFonts w:asciiTheme="minorHAnsi" w:hAnsiTheme="minorHAnsi"/>
                <w:sz w:val="20"/>
                <w:szCs w:val="20"/>
              </w:rPr>
            </w:pPr>
          </w:p>
        </w:tc>
        <w:tc>
          <w:tcPr>
            <w:tcW w:w="1762" w:type="dxa"/>
          </w:tcPr>
          <w:p w14:paraId="726D1398"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1000</w:t>
            </w:r>
          </w:p>
        </w:tc>
        <w:tc>
          <w:tcPr>
            <w:tcW w:w="1443" w:type="dxa"/>
          </w:tcPr>
          <w:p w14:paraId="5D95B4DD"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3907</w:t>
            </w:r>
          </w:p>
        </w:tc>
        <w:tc>
          <w:tcPr>
            <w:tcW w:w="1598" w:type="dxa"/>
          </w:tcPr>
          <w:p w14:paraId="53486BDC"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91.8</w:t>
            </w:r>
          </w:p>
        </w:tc>
      </w:tr>
      <w:tr w:rsidR="003D07E1" w:rsidRPr="0032280D" w14:paraId="4CC2164A" w14:textId="77777777" w:rsidTr="003D07E1">
        <w:trPr>
          <w:trHeight w:val="470"/>
        </w:trPr>
        <w:tc>
          <w:tcPr>
            <w:tcW w:w="1839" w:type="dxa"/>
            <w:vMerge w:val="restart"/>
          </w:tcPr>
          <w:p w14:paraId="774B5F09" w14:textId="77777777" w:rsidR="003D07E1" w:rsidRPr="0032280D" w:rsidRDefault="003D07E1" w:rsidP="0032280D">
            <w:pPr>
              <w:ind w:left="0" w:right="0"/>
              <w:rPr>
                <w:rFonts w:asciiTheme="minorHAnsi" w:hAnsiTheme="minorHAnsi"/>
                <w:sz w:val="20"/>
                <w:szCs w:val="20"/>
              </w:rPr>
            </w:pPr>
          </w:p>
        </w:tc>
        <w:tc>
          <w:tcPr>
            <w:tcW w:w="2145" w:type="dxa"/>
            <w:vMerge w:val="restart"/>
          </w:tcPr>
          <w:p w14:paraId="2189D2CF" w14:textId="77777777" w:rsidR="003D07E1" w:rsidRPr="0032280D" w:rsidRDefault="0032280D" w:rsidP="0032280D">
            <w:pPr>
              <w:ind w:left="0" w:right="0"/>
              <w:rPr>
                <w:rFonts w:asciiTheme="minorHAnsi" w:hAnsiTheme="minorHAnsi"/>
                <w:sz w:val="20"/>
                <w:szCs w:val="20"/>
              </w:rPr>
            </w:pPr>
            <w:r>
              <w:rPr>
                <w:rFonts w:asciiTheme="minorHAnsi" w:hAnsiTheme="minorHAnsi"/>
                <w:sz w:val="20"/>
                <w:szCs w:val="20"/>
              </w:rPr>
              <w:t xml:space="preserve">4 weeks Study AA62017 </w:t>
            </w:r>
            <w:r w:rsidR="003D07E1" w:rsidRPr="0032280D">
              <w:rPr>
                <w:rFonts w:asciiTheme="minorHAnsi" w:hAnsiTheme="minorHAnsi"/>
                <w:sz w:val="20"/>
                <w:szCs w:val="20"/>
              </w:rPr>
              <w:t>(Juveniles)</w:t>
            </w:r>
          </w:p>
        </w:tc>
        <w:tc>
          <w:tcPr>
            <w:tcW w:w="1762" w:type="dxa"/>
          </w:tcPr>
          <w:p w14:paraId="3F691076"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20</w:t>
            </w:r>
          </w:p>
        </w:tc>
        <w:tc>
          <w:tcPr>
            <w:tcW w:w="1443" w:type="dxa"/>
          </w:tcPr>
          <w:p w14:paraId="3CA960B9"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17</w:t>
            </w:r>
          </w:p>
        </w:tc>
        <w:tc>
          <w:tcPr>
            <w:tcW w:w="1598" w:type="dxa"/>
          </w:tcPr>
          <w:p w14:paraId="48F07B96"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0.4</w:t>
            </w:r>
          </w:p>
        </w:tc>
      </w:tr>
      <w:tr w:rsidR="003D07E1" w:rsidRPr="0032280D" w14:paraId="566BBC83" w14:textId="77777777" w:rsidTr="003D07E1">
        <w:trPr>
          <w:trHeight w:val="493"/>
        </w:trPr>
        <w:tc>
          <w:tcPr>
            <w:tcW w:w="1839" w:type="dxa"/>
            <w:vMerge/>
          </w:tcPr>
          <w:p w14:paraId="4CDDE4D5" w14:textId="77777777" w:rsidR="003D07E1" w:rsidRPr="0032280D" w:rsidRDefault="003D07E1" w:rsidP="0032280D">
            <w:pPr>
              <w:ind w:left="0" w:right="0"/>
              <w:rPr>
                <w:rFonts w:asciiTheme="minorHAnsi" w:hAnsiTheme="minorHAnsi"/>
                <w:sz w:val="20"/>
                <w:szCs w:val="20"/>
              </w:rPr>
            </w:pPr>
          </w:p>
        </w:tc>
        <w:tc>
          <w:tcPr>
            <w:tcW w:w="2145" w:type="dxa"/>
            <w:vMerge/>
          </w:tcPr>
          <w:p w14:paraId="77A091F2" w14:textId="77777777" w:rsidR="003D07E1" w:rsidRPr="0032280D" w:rsidRDefault="003D07E1" w:rsidP="0032280D">
            <w:pPr>
              <w:ind w:left="0" w:right="0"/>
              <w:rPr>
                <w:rFonts w:asciiTheme="minorHAnsi" w:hAnsiTheme="minorHAnsi"/>
                <w:sz w:val="20"/>
                <w:szCs w:val="20"/>
              </w:rPr>
            </w:pPr>
          </w:p>
        </w:tc>
        <w:tc>
          <w:tcPr>
            <w:tcW w:w="1762" w:type="dxa"/>
          </w:tcPr>
          <w:p w14:paraId="660BF78F"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200</w:t>
            </w:r>
          </w:p>
        </w:tc>
        <w:tc>
          <w:tcPr>
            <w:tcW w:w="1443" w:type="dxa"/>
          </w:tcPr>
          <w:p w14:paraId="74251285"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976</w:t>
            </w:r>
          </w:p>
        </w:tc>
        <w:tc>
          <w:tcPr>
            <w:tcW w:w="1598" w:type="dxa"/>
          </w:tcPr>
          <w:p w14:paraId="4D4475E5"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22.6</w:t>
            </w:r>
          </w:p>
        </w:tc>
      </w:tr>
      <w:tr w:rsidR="003D07E1" w:rsidRPr="0032280D" w14:paraId="0FAD311B" w14:textId="77777777" w:rsidTr="003D07E1">
        <w:trPr>
          <w:trHeight w:val="505"/>
        </w:trPr>
        <w:tc>
          <w:tcPr>
            <w:tcW w:w="1839" w:type="dxa"/>
            <w:vMerge/>
          </w:tcPr>
          <w:p w14:paraId="7E2BE41F" w14:textId="77777777" w:rsidR="003D07E1" w:rsidRPr="0032280D" w:rsidRDefault="003D07E1" w:rsidP="0032280D">
            <w:pPr>
              <w:ind w:left="0" w:right="0"/>
              <w:rPr>
                <w:rFonts w:asciiTheme="minorHAnsi" w:hAnsiTheme="minorHAnsi"/>
                <w:sz w:val="20"/>
                <w:szCs w:val="20"/>
              </w:rPr>
            </w:pPr>
          </w:p>
        </w:tc>
        <w:tc>
          <w:tcPr>
            <w:tcW w:w="2145" w:type="dxa"/>
            <w:vMerge/>
          </w:tcPr>
          <w:p w14:paraId="74DB8719" w14:textId="77777777" w:rsidR="003D07E1" w:rsidRPr="0032280D" w:rsidRDefault="003D07E1" w:rsidP="0032280D">
            <w:pPr>
              <w:ind w:left="0" w:right="0"/>
              <w:rPr>
                <w:rFonts w:asciiTheme="minorHAnsi" w:hAnsiTheme="minorHAnsi"/>
                <w:sz w:val="20"/>
                <w:szCs w:val="20"/>
              </w:rPr>
            </w:pPr>
          </w:p>
        </w:tc>
        <w:tc>
          <w:tcPr>
            <w:tcW w:w="1762" w:type="dxa"/>
          </w:tcPr>
          <w:p w14:paraId="24DAC471"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1000</w:t>
            </w:r>
          </w:p>
        </w:tc>
        <w:tc>
          <w:tcPr>
            <w:tcW w:w="1443" w:type="dxa"/>
          </w:tcPr>
          <w:p w14:paraId="77AEEE5A"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6285</w:t>
            </w:r>
          </w:p>
        </w:tc>
        <w:tc>
          <w:tcPr>
            <w:tcW w:w="1598" w:type="dxa"/>
          </w:tcPr>
          <w:p w14:paraId="0CFAE198"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147.6</w:t>
            </w:r>
          </w:p>
        </w:tc>
      </w:tr>
      <w:tr w:rsidR="003D07E1" w:rsidRPr="0032280D" w14:paraId="27C70779" w14:textId="77777777" w:rsidTr="003D07E1">
        <w:trPr>
          <w:trHeight w:val="470"/>
        </w:trPr>
        <w:tc>
          <w:tcPr>
            <w:tcW w:w="1839" w:type="dxa"/>
            <w:vMerge w:val="restart"/>
          </w:tcPr>
          <w:p w14:paraId="024184B8"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Dog</w:t>
            </w:r>
            <w:r w:rsidR="0032280D">
              <w:rPr>
                <w:rFonts w:asciiTheme="minorHAnsi" w:hAnsiTheme="minorHAnsi"/>
                <w:sz w:val="20"/>
                <w:szCs w:val="20"/>
              </w:rPr>
              <w:t xml:space="preserve"> </w:t>
            </w:r>
            <w:r w:rsidRPr="0032280D">
              <w:rPr>
                <w:rFonts w:asciiTheme="minorHAnsi" w:hAnsiTheme="minorHAnsi"/>
                <w:sz w:val="20"/>
                <w:szCs w:val="20"/>
              </w:rPr>
              <w:t>(beagle)</w:t>
            </w:r>
          </w:p>
        </w:tc>
        <w:tc>
          <w:tcPr>
            <w:tcW w:w="2145" w:type="dxa"/>
            <w:vMerge w:val="restart"/>
          </w:tcPr>
          <w:p w14:paraId="268D4B41" w14:textId="77777777" w:rsidR="003D07E1" w:rsidRPr="0032280D" w:rsidRDefault="0032280D" w:rsidP="0032280D">
            <w:pPr>
              <w:ind w:left="0" w:right="0"/>
              <w:rPr>
                <w:rFonts w:asciiTheme="minorHAnsi" w:hAnsiTheme="minorHAnsi"/>
                <w:sz w:val="20"/>
                <w:szCs w:val="20"/>
              </w:rPr>
            </w:pPr>
            <w:r>
              <w:rPr>
                <w:rFonts w:asciiTheme="minorHAnsi" w:hAnsiTheme="minorHAnsi"/>
                <w:sz w:val="20"/>
                <w:szCs w:val="20"/>
              </w:rPr>
              <w:t xml:space="preserve">5 weeks </w:t>
            </w:r>
            <w:r w:rsidR="003D07E1" w:rsidRPr="0032280D">
              <w:rPr>
                <w:rFonts w:asciiTheme="minorHAnsi" w:hAnsiTheme="minorHAnsi"/>
                <w:sz w:val="20"/>
                <w:szCs w:val="20"/>
              </w:rPr>
              <w:t>C23325</w:t>
            </w:r>
          </w:p>
        </w:tc>
        <w:tc>
          <w:tcPr>
            <w:tcW w:w="1762" w:type="dxa"/>
          </w:tcPr>
          <w:p w14:paraId="158CD03D"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500</w:t>
            </w:r>
          </w:p>
        </w:tc>
        <w:tc>
          <w:tcPr>
            <w:tcW w:w="1443" w:type="dxa"/>
          </w:tcPr>
          <w:p w14:paraId="561D738C"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2910</w:t>
            </w:r>
          </w:p>
        </w:tc>
        <w:tc>
          <w:tcPr>
            <w:tcW w:w="1598" w:type="dxa"/>
          </w:tcPr>
          <w:p w14:paraId="42E6B553"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67.8</w:t>
            </w:r>
          </w:p>
        </w:tc>
      </w:tr>
      <w:tr w:rsidR="003D07E1" w:rsidRPr="0032280D" w14:paraId="3AA17D8E" w14:textId="77777777" w:rsidTr="003D07E1">
        <w:trPr>
          <w:trHeight w:val="505"/>
        </w:trPr>
        <w:tc>
          <w:tcPr>
            <w:tcW w:w="1839" w:type="dxa"/>
            <w:vMerge/>
          </w:tcPr>
          <w:p w14:paraId="19766A07" w14:textId="77777777" w:rsidR="003D07E1" w:rsidRPr="0032280D" w:rsidRDefault="003D07E1" w:rsidP="0032280D">
            <w:pPr>
              <w:ind w:left="0" w:right="0"/>
              <w:rPr>
                <w:rFonts w:asciiTheme="minorHAnsi" w:hAnsiTheme="minorHAnsi"/>
                <w:sz w:val="20"/>
                <w:szCs w:val="20"/>
              </w:rPr>
            </w:pPr>
          </w:p>
        </w:tc>
        <w:tc>
          <w:tcPr>
            <w:tcW w:w="2145" w:type="dxa"/>
            <w:vMerge/>
          </w:tcPr>
          <w:p w14:paraId="6ECE4371" w14:textId="77777777" w:rsidR="003D07E1" w:rsidRPr="0032280D" w:rsidRDefault="003D07E1" w:rsidP="0032280D">
            <w:pPr>
              <w:ind w:left="0" w:right="0"/>
              <w:rPr>
                <w:rFonts w:asciiTheme="minorHAnsi" w:hAnsiTheme="minorHAnsi"/>
                <w:sz w:val="20"/>
                <w:szCs w:val="20"/>
              </w:rPr>
            </w:pPr>
          </w:p>
        </w:tc>
        <w:tc>
          <w:tcPr>
            <w:tcW w:w="1762" w:type="dxa"/>
          </w:tcPr>
          <w:p w14:paraId="79FE2907"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750</w:t>
            </w:r>
          </w:p>
        </w:tc>
        <w:tc>
          <w:tcPr>
            <w:tcW w:w="1443" w:type="dxa"/>
          </w:tcPr>
          <w:p w14:paraId="2678EFCD"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7186</w:t>
            </w:r>
          </w:p>
        </w:tc>
        <w:tc>
          <w:tcPr>
            <w:tcW w:w="1598" w:type="dxa"/>
          </w:tcPr>
          <w:p w14:paraId="08944180"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168.9</w:t>
            </w:r>
          </w:p>
        </w:tc>
      </w:tr>
      <w:tr w:rsidR="003D07E1" w:rsidRPr="0032280D" w14:paraId="2A1B4BBA" w14:textId="77777777" w:rsidTr="003D07E1">
        <w:trPr>
          <w:trHeight w:val="493"/>
        </w:trPr>
        <w:tc>
          <w:tcPr>
            <w:tcW w:w="1839" w:type="dxa"/>
            <w:vMerge/>
          </w:tcPr>
          <w:p w14:paraId="605A70F3" w14:textId="77777777" w:rsidR="003D07E1" w:rsidRPr="0032280D" w:rsidRDefault="003D07E1" w:rsidP="0032280D">
            <w:pPr>
              <w:ind w:left="0" w:right="0"/>
              <w:rPr>
                <w:rFonts w:asciiTheme="minorHAnsi" w:hAnsiTheme="minorHAnsi"/>
                <w:sz w:val="20"/>
                <w:szCs w:val="20"/>
              </w:rPr>
            </w:pPr>
          </w:p>
        </w:tc>
        <w:tc>
          <w:tcPr>
            <w:tcW w:w="2145" w:type="dxa"/>
            <w:vMerge/>
          </w:tcPr>
          <w:p w14:paraId="08ABF53E" w14:textId="77777777" w:rsidR="003D07E1" w:rsidRPr="0032280D" w:rsidRDefault="003D07E1" w:rsidP="0032280D">
            <w:pPr>
              <w:ind w:left="0" w:right="0"/>
              <w:rPr>
                <w:rFonts w:asciiTheme="minorHAnsi" w:hAnsiTheme="minorHAnsi"/>
                <w:sz w:val="20"/>
                <w:szCs w:val="20"/>
              </w:rPr>
            </w:pPr>
          </w:p>
        </w:tc>
        <w:tc>
          <w:tcPr>
            <w:tcW w:w="1762" w:type="dxa"/>
          </w:tcPr>
          <w:p w14:paraId="47EC12A1"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1000</w:t>
            </w:r>
          </w:p>
        </w:tc>
        <w:tc>
          <w:tcPr>
            <w:tcW w:w="1443" w:type="dxa"/>
          </w:tcPr>
          <w:p w14:paraId="469392CA"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6212</w:t>
            </w:r>
          </w:p>
        </w:tc>
        <w:tc>
          <w:tcPr>
            <w:tcW w:w="1598" w:type="dxa"/>
          </w:tcPr>
          <w:p w14:paraId="2673233B"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145.0</w:t>
            </w:r>
          </w:p>
        </w:tc>
      </w:tr>
      <w:tr w:rsidR="003D07E1" w:rsidRPr="0032280D" w14:paraId="53B51C3C" w14:textId="77777777" w:rsidTr="003D07E1">
        <w:trPr>
          <w:trHeight w:val="470"/>
        </w:trPr>
        <w:tc>
          <w:tcPr>
            <w:tcW w:w="1839" w:type="dxa"/>
            <w:vMerge w:val="restart"/>
          </w:tcPr>
          <w:p w14:paraId="7434E85F" w14:textId="77777777" w:rsidR="003D07E1" w:rsidRPr="0032280D" w:rsidRDefault="003D07E1" w:rsidP="0032280D">
            <w:pPr>
              <w:ind w:left="0" w:right="0"/>
              <w:rPr>
                <w:rFonts w:asciiTheme="minorHAnsi" w:hAnsiTheme="minorHAnsi"/>
                <w:sz w:val="20"/>
                <w:szCs w:val="20"/>
              </w:rPr>
            </w:pPr>
          </w:p>
        </w:tc>
        <w:tc>
          <w:tcPr>
            <w:tcW w:w="2145" w:type="dxa"/>
            <w:vMerge w:val="restart"/>
          </w:tcPr>
          <w:p w14:paraId="2CC3817E" w14:textId="77777777" w:rsidR="003D07E1" w:rsidRPr="0032280D" w:rsidRDefault="0032280D" w:rsidP="0032280D">
            <w:pPr>
              <w:ind w:left="0" w:right="0"/>
              <w:rPr>
                <w:rFonts w:asciiTheme="minorHAnsi" w:hAnsiTheme="minorHAnsi"/>
                <w:sz w:val="20"/>
                <w:szCs w:val="20"/>
              </w:rPr>
            </w:pPr>
            <w:r>
              <w:rPr>
                <w:rFonts w:asciiTheme="minorHAnsi" w:hAnsiTheme="minorHAnsi"/>
                <w:sz w:val="20"/>
                <w:szCs w:val="20"/>
              </w:rPr>
              <w:t>26 weeks Study C</w:t>
            </w:r>
            <w:r>
              <w:rPr>
                <w:rFonts w:asciiTheme="minorHAnsi" w:hAnsiTheme="minorHAnsi"/>
                <w:sz w:val="20"/>
                <w:szCs w:val="20"/>
              </w:rPr>
              <w:noBreakHyphen/>
              <w:t>14</w:t>
            </w:r>
            <w:r>
              <w:rPr>
                <w:rFonts w:asciiTheme="minorHAnsi" w:hAnsiTheme="minorHAnsi"/>
                <w:sz w:val="20"/>
                <w:szCs w:val="20"/>
              </w:rPr>
              <w:noBreakHyphen/>
            </w:r>
            <w:r w:rsidR="003D07E1" w:rsidRPr="0032280D">
              <w:rPr>
                <w:rFonts w:asciiTheme="minorHAnsi" w:hAnsiTheme="minorHAnsi"/>
                <w:sz w:val="20"/>
                <w:szCs w:val="20"/>
              </w:rPr>
              <w:t>800</w:t>
            </w:r>
          </w:p>
        </w:tc>
        <w:tc>
          <w:tcPr>
            <w:tcW w:w="1762" w:type="dxa"/>
          </w:tcPr>
          <w:p w14:paraId="634B97B6"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100</w:t>
            </w:r>
          </w:p>
        </w:tc>
        <w:tc>
          <w:tcPr>
            <w:tcW w:w="1443" w:type="dxa"/>
          </w:tcPr>
          <w:p w14:paraId="66081242"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181</w:t>
            </w:r>
          </w:p>
        </w:tc>
        <w:tc>
          <w:tcPr>
            <w:tcW w:w="1598" w:type="dxa"/>
          </w:tcPr>
          <w:p w14:paraId="5EB15274"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4.0</w:t>
            </w:r>
          </w:p>
        </w:tc>
      </w:tr>
      <w:tr w:rsidR="003D07E1" w:rsidRPr="0032280D" w14:paraId="599127B7" w14:textId="77777777" w:rsidTr="003D07E1">
        <w:trPr>
          <w:trHeight w:val="505"/>
        </w:trPr>
        <w:tc>
          <w:tcPr>
            <w:tcW w:w="1839" w:type="dxa"/>
            <w:vMerge/>
          </w:tcPr>
          <w:p w14:paraId="6608F972" w14:textId="77777777" w:rsidR="003D07E1" w:rsidRPr="0032280D" w:rsidRDefault="003D07E1" w:rsidP="0032280D">
            <w:pPr>
              <w:ind w:left="0" w:right="0"/>
              <w:rPr>
                <w:rFonts w:asciiTheme="minorHAnsi" w:hAnsiTheme="minorHAnsi"/>
                <w:sz w:val="20"/>
                <w:szCs w:val="20"/>
              </w:rPr>
            </w:pPr>
          </w:p>
        </w:tc>
        <w:tc>
          <w:tcPr>
            <w:tcW w:w="2145" w:type="dxa"/>
            <w:vMerge/>
          </w:tcPr>
          <w:p w14:paraId="0156677B" w14:textId="77777777" w:rsidR="003D07E1" w:rsidRPr="0032280D" w:rsidRDefault="003D07E1" w:rsidP="0032280D">
            <w:pPr>
              <w:ind w:left="0" w:right="0"/>
              <w:rPr>
                <w:rFonts w:asciiTheme="minorHAnsi" w:hAnsiTheme="minorHAnsi"/>
                <w:sz w:val="20"/>
                <w:szCs w:val="20"/>
              </w:rPr>
            </w:pPr>
          </w:p>
        </w:tc>
        <w:tc>
          <w:tcPr>
            <w:tcW w:w="1762" w:type="dxa"/>
          </w:tcPr>
          <w:p w14:paraId="6ACC7DB9"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500</w:t>
            </w:r>
          </w:p>
        </w:tc>
        <w:tc>
          <w:tcPr>
            <w:tcW w:w="1443" w:type="dxa"/>
          </w:tcPr>
          <w:p w14:paraId="42000A35"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3722</w:t>
            </w:r>
          </w:p>
        </w:tc>
        <w:tc>
          <w:tcPr>
            <w:tcW w:w="1598" w:type="dxa"/>
          </w:tcPr>
          <w:p w14:paraId="16947D21"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87.8</w:t>
            </w:r>
          </w:p>
        </w:tc>
      </w:tr>
      <w:tr w:rsidR="003D07E1" w:rsidRPr="0032280D" w14:paraId="24E215EC" w14:textId="77777777" w:rsidTr="003D07E1">
        <w:trPr>
          <w:trHeight w:val="470"/>
        </w:trPr>
        <w:tc>
          <w:tcPr>
            <w:tcW w:w="1839" w:type="dxa"/>
            <w:vMerge w:val="restart"/>
          </w:tcPr>
          <w:p w14:paraId="30AD7152" w14:textId="77777777" w:rsidR="003D07E1" w:rsidRPr="0032280D" w:rsidRDefault="003D07E1" w:rsidP="0032280D">
            <w:pPr>
              <w:ind w:left="0" w:right="0"/>
              <w:rPr>
                <w:rFonts w:asciiTheme="minorHAnsi" w:hAnsiTheme="minorHAnsi"/>
                <w:sz w:val="20"/>
                <w:szCs w:val="20"/>
              </w:rPr>
            </w:pPr>
          </w:p>
        </w:tc>
        <w:tc>
          <w:tcPr>
            <w:tcW w:w="2145" w:type="dxa"/>
            <w:vMerge w:val="restart"/>
          </w:tcPr>
          <w:p w14:paraId="08E12877" w14:textId="77777777" w:rsidR="003D07E1" w:rsidRPr="0032280D" w:rsidRDefault="0032280D" w:rsidP="0032280D">
            <w:pPr>
              <w:ind w:left="0" w:right="0"/>
              <w:rPr>
                <w:rFonts w:asciiTheme="minorHAnsi" w:hAnsiTheme="minorHAnsi"/>
                <w:sz w:val="20"/>
                <w:szCs w:val="20"/>
              </w:rPr>
            </w:pPr>
            <w:r>
              <w:rPr>
                <w:rFonts w:asciiTheme="minorHAnsi" w:hAnsiTheme="minorHAnsi"/>
                <w:sz w:val="20"/>
                <w:szCs w:val="20"/>
              </w:rPr>
              <w:t>39 weeks Study </w:t>
            </w:r>
            <w:r w:rsidR="003D07E1" w:rsidRPr="0032280D">
              <w:rPr>
                <w:rFonts w:asciiTheme="minorHAnsi" w:hAnsiTheme="minorHAnsi"/>
                <w:sz w:val="20"/>
                <w:szCs w:val="20"/>
              </w:rPr>
              <w:t>C32393</w:t>
            </w:r>
            <w:r>
              <w:rPr>
                <w:rFonts w:asciiTheme="minorHAnsi" w:hAnsiTheme="minorHAnsi"/>
                <w:sz w:val="20"/>
                <w:szCs w:val="20"/>
              </w:rPr>
              <w:t xml:space="preserve"> </w:t>
            </w:r>
            <w:r w:rsidR="00DB3203" w:rsidRPr="0032280D">
              <w:rPr>
                <w:rFonts w:asciiTheme="minorHAnsi" w:hAnsiTheme="minorHAnsi"/>
                <w:sz w:val="20"/>
                <w:szCs w:val="20"/>
              </w:rPr>
              <w:t>(</w:t>
            </w:r>
            <w:r w:rsidR="003D07E1" w:rsidRPr="0032280D">
              <w:rPr>
                <w:rFonts w:asciiTheme="minorHAnsi" w:hAnsiTheme="minorHAnsi"/>
                <w:sz w:val="20"/>
                <w:szCs w:val="20"/>
              </w:rPr>
              <w:t>Pivotal</w:t>
            </w:r>
            <w:r w:rsidR="00DB3203" w:rsidRPr="0032280D">
              <w:rPr>
                <w:rFonts w:asciiTheme="minorHAnsi" w:hAnsiTheme="minorHAnsi"/>
                <w:sz w:val="20"/>
                <w:szCs w:val="20"/>
              </w:rPr>
              <w:t>)</w:t>
            </w:r>
          </w:p>
        </w:tc>
        <w:tc>
          <w:tcPr>
            <w:tcW w:w="1762" w:type="dxa"/>
          </w:tcPr>
          <w:p w14:paraId="40DA1042"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500</w:t>
            </w:r>
          </w:p>
        </w:tc>
        <w:tc>
          <w:tcPr>
            <w:tcW w:w="1443" w:type="dxa"/>
          </w:tcPr>
          <w:p w14:paraId="08AE8235"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1545</w:t>
            </w:r>
          </w:p>
        </w:tc>
        <w:tc>
          <w:tcPr>
            <w:tcW w:w="1598" w:type="dxa"/>
          </w:tcPr>
          <w:p w14:paraId="29C5D0A5"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35.9</w:t>
            </w:r>
          </w:p>
        </w:tc>
      </w:tr>
      <w:tr w:rsidR="003D07E1" w:rsidRPr="0032280D" w14:paraId="07E42A35" w14:textId="77777777" w:rsidTr="003D07E1">
        <w:trPr>
          <w:trHeight w:val="470"/>
        </w:trPr>
        <w:tc>
          <w:tcPr>
            <w:tcW w:w="1839" w:type="dxa"/>
            <w:vMerge/>
          </w:tcPr>
          <w:p w14:paraId="106FB942" w14:textId="77777777" w:rsidR="003D07E1" w:rsidRPr="0032280D" w:rsidRDefault="003D07E1" w:rsidP="0032280D">
            <w:pPr>
              <w:ind w:left="0" w:right="0"/>
              <w:rPr>
                <w:rFonts w:asciiTheme="minorHAnsi" w:hAnsiTheme="minorHAnsi"/>
                <w:sz w:val="20"/>
                <w:szCs w:val="20"/>
              </w:rPr>
            </w:pPr>
          </w:p>
        </w:tc>
        <w:tc>
          <w:tcPr>
            <w:tcW w:w="2145" w:type="dxa"/>
            <w:vMerge/>
          </w:tcPr>
          <w:p w14:paraId="2922C722" w14:textId="77777777" w:rsidR="003D07E1" w:rsidRPr="0032280D" w:rsidRDefault="003D07E1" w:rsidP="0032280D">
            <w:pPr>
              <w:ind w:left="0" w:right="0"/>
              <w:rPr>
                <w:rFonts w:asciiTheme="minorHAnsi" w:hAnsiTheme="minorHAnsi"/>
                <w:sz w:val="20"/>
                <w:szCs w:val="20"/>
              </w:rPr>
            </w:pPr>
          </w:p>
        </w:tc>
        <w:tc>
          <w:tcPr>
            <w:tcW w:w="1762" w:type="dxa"/>
          </w:tcPr>
          <w:p w14:paraId="363E38FF"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750</w:t>
            </w:r>
          </w:p>
        </w:tc>
        <w:tc>
          <w:tcPr>
            <w:tcW w:w="1443" w:type="dxa"/>
          </w:tcPr>
          <w:p w14:paraId="0C1D59B8"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2205</w:t>
            </w:r>
          </w:p>
        </w:tc>
        <w:tc>
          <w:tcPr>
            <w:tcW w:w="1598" w:type="dxa"/>
          </w:tcPr>
          <w:p w14:paraId="5D079B78"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51.9</w:t>
            </w:r>
          </w:p>
        </w:tc>
      </w:tr>
      <w:tr w:rsidR="003D07E1" w:rsidRPr="0032280D" w14:paraId="23E6DCBE" w14:textId="77777777" w:rsidTr="003D07E1">
        <w:trPr>
          <w:trHeight w:val="470"/>
        </w:trPr>
        <w:tc>
          <w:tcPr>
            <w:tcW w:w="1839" w:type="dxa"/>
            <w:vMerge/>
          </w:tcPr>
          <w:p w14:paraId="5733DE09" w14:textId="77777777" w:rsidR="003D07E1" w:rsidRPr="0032280D" w:rsidRDefault="003D07E1" w:rsidP="0032280D">
            <w:pPr>
              <w:ind w:left="0" w:right="0"/>
              <w:rPr>
                <w:rFonts w:asciiTheme="minorHAnsi" w:hAnsiTheme="minorHAnsi"/>
                <w:sz w:val="20"/>
                <w:szCs w:val="20"/>
              </w:rPr>
            </w:pPr>
          </w:p>
        </w:tc>
        <w:tc>
          <w:tcPr>
            <w:tcW w:w="2145" w:type="dxa"/>
            <w:vMerge/>
          </w:tcPr>
          <w:p w14:paraId="7BD9F49B" w14:textId="77777777" w:rsidR="003D07E1" w:rsidRPr="0032280D" w:rsidRDefault="003D07E1" w:rsidP="0032280D">
            <w:pPr>
              <w:ind w:left="0" w:right="0"/>
              <w:rPr>
                <w:rFonts w:asciiTheme="minorHAnsi" w:hAnsiTheme="minorHAnsi"/>
                <w:sz w:val="20"/>
                <w:szCs w:val="20"/>
              </w:rPr>
            </w:pPr>
          </w:p>
        </w:tc>
        <w:tc>
          <w:tcPr>
            <w:tcW w:w="1762" w:type="dxa"/>
          </w:tcPr>
          <w:p w14:paraId="7389C961"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1000</w:t>
            </w:r>
          </w:p>
        </w:tc>
        <w:tc>
          <w:tcPr>
            <w:tcW w:w="1443" w:type="dxa"/>
          </w:tcPr>
          <w:p w14:paraId="07FF7DCF"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3471</w:t>
            </w:r>
          </w:p>
        </w:tc>
        <w:tc>
          <w:tcPr>
            <w:tcW w:w="1598" w:type="dxa"/>
          </w:tcPr>
          <w:p w14:paraId="6F8A3381"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81.1</w:t>
            </w:r>
          </w:p>
        </w:tc>
      </w:tr>
      <w:tr w:rsidR="003D07E1" w:rsidRPr="0032280D" w14:paraId="74BC174B" w14:textId="77777777" w:rsidTr="003D07E1">
        <w:trPr>
          <w:trHeight w:val="746"/>
        </w:trPr>
        <w:tc>
          <w:tcPr>
            <w:tcW w:w="1839" w:type="dxa"/>
          </w:tcPr>
          <w:p w14:paraId="6AAF28AE"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Human</w:t>
            </w:r>
            <w:r w:rsidR="0032280D">
              <w:rPr>
                <w:rFonts w:asciiTheme="minorHAnsi" w:hAnsiTheme="minorHAnsi"/>
                <w:sz w:val="20"/>
                <w:szCs w:val="20"/>
              </w:rPr>
              <w:t xml:space="preserve"> </w:t>
            </w:r>
            <w:r w:rsidRPr="0032280D">
              <w:rPr>
                <w:rFonts w:asciiTheme="minorHAnsi" w:hAnsiTheme="minorHAnsi"/>
                <w:sz w:val="20"/>
                <w:szCs w:val="20"/>
              </w:rPr>
              <w:t>(healthy volunteers)</w:t>
            </w:r>
          </w:p>
        </w:tc>
        <w:tc>
          <w:tcPr>
            <w:tcW w:w="2145" w:type="dxa"/>
          </w:tcPr>
          <w:p w14:paraId="5CB89C3C" w14:textId="77777777" w:rsidR="003D07E1" w:rsidRPr="0032280D" w:rsidRDefault="00DB3203" w:rsidP="0032280D">
            <w:pPr>
              <w:ind w:left="0" w:right="0"/>
              <w:rPr>
                <w:rFonts w:asciiTheme="minorHAnsi" w:hAnsiTheme="minorHAnsi"/>
                <w:sz w:val="20"/>
                <w:szCs w:val="20"/>
              </w:rPr>
            </w:pPr>
            <w:r w:rsidRPr="0032280D">
              <w:rPr>
                <w:rFonts w:asciiTheme="minorHAnsi" w:hAnsiTheme="minorHAnsi"/>
                <w:sz w:val="20"/>
                <w:szCs w:val="20"/>
              </w:rPr>
              <w:t>(</w:t>
            </w:r>
            <w:r w:rsidR="003D07E1" w:rsidRPr="0032280D">
              <w:rPr>
                <w:rFonts w:asciiTheme="minorHAnsi" w:hAnsiTheme="minorHAnsi"/>
                <w:sz w:val="20"/>
                <w:szCs w:val="20"/>
              </w:rPr>
              <w:t>Study SNT-I-003</w:t>
            </w:r>
            <w:r w:rsidRPr="0032280D">
              <w:rPr>
                <w:rFonts w:asciiTheme="minorHAnsi" w:hAnsiTheme="minorHAnsi"/>
                <w:sz w:val="20"/>
                <w:szCs w:val="20"/>
              </w:rPr>
              <w:t>)</w:t>
            </w:r>
          </w:p>
        </w:tc>
        <w:tc>
          <w:tcPr>
            <w:tcW w:w="1762" w:type="dxa"/>
          </w:tcPr>
          <w:p w14:paraId="314EA1C2" w14:textId="77777777" w:rsidR="003D07E1" w:rsidRPr="0032280D" w:rsidRDefault="00DB3203" w:rsidP="0032280D">
            <w:pPr>
              <w:ind w:left="0" w:right="0"/>
              <w:rPr>
                <w:rFonts w:asciiTheme="minorHAnsi" w:hAnsiTheme="minorHAnsi"/>
                <w:sz w:val="20"/>
                <w:szCs w:val="20"/>
              </w:rPr>
            </w:pPr>
            <w:r w:rsidRPr="0032280D">
              <w:rPr>
                <w:rFonts w:asciiTheme="minorHAnsi" w:hAnsiTheme="minorHAnsi"/>
                <w:sz w:val="20"/>
                <w:szCs w:val="20"/>
              </w:rPr>
              <w:t>(</w:t>
            </w:r>
            <w:r w:rsidR="003D07E1" w:rsidRPr="0032280D">
              <w:rPr>
                <w:rFonts w:asciiTheme="minorHAnsi" w:hAnsiTheme="minorHAnsi"/>
                <w:sz w:val="20"/>
                <w:szCs w:val="20"/>
              </w:rPr>
              <w:t>900 mg</w:t>
            </w:r>
            <w:r w:rsidRPr="0032280D">
              <w:rPr>
                <w:rFonts w:asciiTheme="minorHAnsi" w:hAnsiTheme="minorHAnsi"/>
                <w:sz w:val="20"/>
                <w:szCs w:val="20"/>
              </w:rPr>
              <w:t>)</w:t>
            </w:r>
          </w:p>
        </w:tc>
        <w:tc>
          <w:tcPr>
            <w:tcW w:w="1443" w:type="dxa"/>
          </w:tcPr>
          <w:p w14:paraId="30A061E6"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42.4</w:t>
            </w:r>
          </w:p>
        </w:tc>
        <w:tc>
          <w:tcPr>
            <w:tcW w:w="1598" w:type="dxa"/>
          </w:tcPr>
          <w:p w14:paraId="13D886E7"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w:t>
            </w:r>
          </w:p>
        </w:tc>
      </w:tr>
    </w:tbl>
    <w:p w14:paraId="6ED68E1B" w14:textId="08371E70" w:rsidR="003D07E1" w:rsidRDefault="003D07E1" w:rsidP="003D07E1">
      <w:pPr>
        <w:pStyle w:val="TableDescription"/>
      </w:pPr>
      <w:r>
        <w:t>^</w:t>
      </w:r>
      <w:r w:rsidR="0061481A">
        <w:t xml:space="preserve"> = </w:t>
      </w:r>
      <w:r>
        <w:t>data are for the sexes combined at the last sampling occasion</w:t>
      </w:r>
    </w:p>
    <w:p w14:paraId="3816975F" w14:textId="77777777" w:rsidR="003D07E1" w:rsidRDefault="003D07E1" w:rsidP="003D07E1">
      <w:pPr>
        <w:rPr>
          <w:kern w:val="2"/>
        </w:rPr>
      </w:pPr>
      <w:r>
        <w:t>Grouped toxicokinetic data were also obtained for idebenone plus its metabolites in rats and dogs, the species used in the pivotal toxicology studies. Exposure ratios achieved i</w:t>
      </w:r>
      <w:r w:rsidR="0030092C">
        <w:t>n animals were relatively low (Table 3</w:t>
      </w:r>
      <w:r>
        <w:t xml:space="preserve">); in neither the rat nor dog study did QS10+QS-10-C exceed clinical exposure. In rats, the maximal exposure ratios achieved for </w:t>
      </w:r>
      <w:r>
        <w:rPr>
          <w:kern w:val="2"/>
        </w:rPr>
        <w:t xml:space="preserve">idebenone + idebenone C, </w:t>
      </w:r>
      <w:r w:rsidRPr="00913E6D">
        <w:t>QS6+QS6-C</w:t>
      </w:r>
      <w:r>
        <w:t xml:space="preserve"> and </w:t>
      </w:r>
      <w:r w:rsidRPr="00913E6D">
        <w:t>QS4+QS4-C</w:t>
      </w:r>
      <w:r>
        <w:t xml:space="preserve"> were </w:t>
      </w:r>
      <w:r>
        <w:rPr>
          <w:kern w:val="2"/>
        </w:rPr>
        <w:t>0.2, 2.7 and 6.3, respectively, while i</w:t>
      </w:r>
      <w:r>
        <w:t xml:space="preserve">n dogs, </w:t>
      </w:r>
      <w:r>
        <w:lastRenderedPageBreak/>
        <w:t xml:space="preserve">the maximal exposure ratios achieved for </w:t>
      </w:r>
      <w:r>
        <w:rPr>
          <w:kern w:val="2"/>
        </w:rPr>
        <w:t xml:space="preserve">idebenone + idebenone C, </w:t>
      </w:r>
      <w:r w:rsidRPr="00913E6D">
        <w:t>QS6+QS6-C</w:t>
      </w:r>
      <w:r>
        <w:t xml:space="preserve"> and </w:t>
      </w:r>
      <w:r w:rsidRPr="00913E6D">
        <w:t>QS4+QS4-C</w:t>
      </w:r>
      <w:r>
        <w:rPr>
          <w:kern w:val="2"/>
        </w:rPr>
        <w:t xml:space="preserve"> were 6.5, 7.2 and 4.4, respectively. These studies demonstrate that idebenone and all metabolites can be generated in the species selected for toxicological examination. While the exposures achieved for each metabolite do not exceed the clinical exposure by a wide margin</w:t>
      </w:r>
      <w:r w:rsidRPr="00FC519E">
        <w:rPr>
          <w:kern w:val="2"/>
        </w:rPr>
        <w:t>, the toxicity of the metabolites are of no concern from a nonclinical perspective</w:t>
      </w:r>
      <w:r>
        <w:rPr>
          <w:kern w:val="2"/>
        </w:rPr>
        <w:t xml:space="preserve"> as they are not pharmacologically active, were present at significant levels in the species used for toxicological studies, and idebenone had a very low order of toxicity in the repeat dose studies.</w:t>
      </w:r>
    </w:p>
    <w:p w14:paraId="55B9F133" w14:textId="77777777" w:rsidR="003D07E1" w:rsidRPr="00EB69F1" w:rsidRDefault="0030092C" w:rsidP="003D07E1">
      <w:pPr>
        <w:pStyle w:val="TableTitle"/>
      </w:pPr>
      <w:r>
        <w:t>Table 3:</w:t>
      </w:r>
      <w:r w:rsidR="003D07E1">
        <w:t xml:space="preserve"> </w:t>
      </w:r>
      <w:r w:rsidR="003D07E1" w:rsidRPr="00EB69F1">
        <w:t>Relative exposure in repeat-dose toxicity and carcinogenicity studies</w:t>
      </w:r>
    </w:p>
    <w:tbl>
      <w:tblPr>
        <w:tblStyle w:val="TableTGAblue"/>
        <w:tblW w:w="8625" w:type="dxa"/>
        <w:tblLayout w:type="fixed"/>
        <w:tblLook w:val="01E0" w:firstRow="1" w:lastRow="1" w:firstColumn="1" w:lastColumn="1" w:noHBand="0" w:noVBand="0"/>
      </w:tblPr>
      <w:tblGrid>
        <w:gridCol w:w="1265"/>
        <w:gridCol w:w="1352"/>
        <w:gridCol w:w="1460"/>
        <w:gridCol w:w="1560"/>
        <w:gridCol w:w="1559"/>
        <w:gridCol w:w="1429"/>
      </w:tblGrid>
      <w:tr w:rsidR="003D07E1" w:rsidRPr="0032280D" w14:paraId="448C65F1" w14:textId="77777777" w:rsidTr="00616DAF">
        <w:trPr>
          <w:cnfStyle w:val="100000000000" w:firstRow="1" w:lastRow="0" w:firstColumn="0" w:lastColumn="0" w:oddVBand="0" w:evenVBand="0" w:oddHBand="0" w:evenHBand="0" w:firstRowFirstColumn="0" w:firstRowLastColumn="0" w:lastRowFirstColumn="0" w:lastRowLastColumn="0"/>
          <w:trHeight w:val="599"/>
        </w:trPr>
        <w:tc>
          <w:tcPr>
            <w:tcW w:w="1265" w:type="dxa"/>
          </w:tcPr>
          <w:p w14:paraId="59671BA0" w14:textId="77777777" w:rsidR="003D07E1" w:rsidRPr="0032280D" w:rsidRDefault="003D07E1" w:rsidP="0032280D">
            <w:pPr>
              <w:ind w:left="0" w:right="0"/>
              <w:rPr>
                <w:sz w:val="20"/>
                <w:szCs w:val="20"/>
              </w:rPr>
            </w:pPr>
            <w:r w:rsidRPr="0032280D">
              <w:rPr>
                <w:sz w:val="20"/>
                <w:szCs w:val="20"/>
              </w:rPr>
              <w:t>Species</w:t>
            </w:r>
          </w:p>
        </w:tc>
        <w:tc>
          <w:tcPr>
            <w:tcW w:w="1352" w:type="dxa"/>
          </w:tcPr>
          <w:p w14:paraId="639BAAC1" w14:textId="77777777" w:rsidR="003D07E1" w:rsidRPr="0032280D" w:rsidRDefault="003D07E1" w:rsidP="0032280D">
            <w:pPr>
              <w:ind w:left="0" w:right="0"/>
              <w:rPr>
                <w:sz w:val="20"/>
                <w:szCs w:val="20"/>
              </w:rPr>
            </w:pPr>
            <w:r w:rsidRPr="0032280D">
              <w:rPr>
                <w:sz w:val="20"/>
                <w:szCs w:val="20"/>
              </w:rPr>
              <w:t>Study duration</w:t>
            </w:r>
            <w:r w:rsidR="0032280D">
              <w:rPr>
                <w:sz w:val="20"/>
                <w:szCs w:val="20"/>
              </w:rPr>
              <w:t xml:space="preserve"> </w:t>
            </w:r>
            <w:r w:rsidR="00DB3203" w:rsidRPr="0032280D">
              <w:rPr>
                <w:sz w:val="20"/>
                <w:szCs w:val="20"/>
              </w:rPr>
              <w:t>(</w:t>
            </w:r>
            <w:r w:rsidRPr="0032280D">
              <w:rPr>
                <w:sz w:val="20"/>
                <w:szCs w:val="20"/>
              </w:rPr>
              <w:t>Study no.</w:t>
            </w:r>
            <w:r w:rsidR="00DB3203" w:rsidRPr="0032280D">
              <w:rPr>
                <w:sz w:val="20"/>
                <w:szCs w:val="20"/>
              </w:rPr>
              <w:t>)</w:t>
            </w:r>
          </w:p>
        </w:tc>
        <w:tc>
          <w:tcPr>
            <w:tcW w:w="1460" w:type="dxa"/>
          </w:tcPr>
          <w:p w14:paraId="65F2A1F3" w14:textId="77777777" w:rsidR="003D07E1" w:rsidRPr="0032280D" w:rsidRDefault="0032280D" w:rsidP="0032280D">
            <w:pPr>
              <w:ind w:left="0" w:right="0"/>
              <w:rPr>
                <w:sz w:val="20"/>
                <w:szCs w:val="20"/>
              </w:rPr>
            </w:pPr>
            <w:r>
              <w:rPr>
                <w:sz w:val="20"/>
                <w:szCs w:val="20"/>
              </w:rPr>
              <w:t xml:space="preserve">Dose </w:t>
            </w:r>
            <w:r w:rsidR="003D07E1" w:rsidRPr="0032280D">
              <w:rPr>
                <w:sz w:val="20"/>
                <w:szCs w:val="20"/>
              </w:rPr>
              <w:t>(mg/kg/day)</w:t>
            </w:r>
          </w:p>
        </w:tc>
        <w:tc>
          <w:tcPr>
            <w:tcW w:w="1560" w:type="dxa"/>
          </w:tcPr>
          <w:p w14:paraId="283BE070" w14:textId="77777777" w:rsidR="003D07E1" w:rsidRPr="0032280D" w:rsidRDefault="003D07E1" w:rsidP="0032280D">
            <w:pPr>
              <w:ind w:left="0" w:right="0"/>
              <w:rPr>
                <w:sz w:val="20"/>
                <w:szCs w:val="20"/>
              </w:rPr>
            </w:pPr>
            <w:r w:rsidRPr="0032280D">
              <w:rPr>
                <w:sz w:val="20"/>
                <w:szCs w:val="20"/>
              </w:rPr>
              <w:t>Analyte</w:t>
            </w:r>
          </w:p>
        </w:tc>
        <w:tc>
          <w:tcPr>
            <w:tcW w:w="1559" w:type="dxa"/>
          </w:tcPr>
          <w:p w14:paraId="1C1DF784" w14:textId="77777777" w:rsidR="003D07E1" w:rsidRPr="0032280D" w:rsidRDefault="003D07E1" w:rsidP="0032280D">
            <w:pPr>
              <w:ind w:left="0" w:right="0"/>
              <w:rPr>
                <w:sz w:val="20"/>
                <w:szCs w:val="20"/>
              </w:rPr>
            </w:pPr>
            <w:r w:rsidRPr="0032280D">
              <w:rPr>
                <w:sz w:val="20"/>
                <w:szCs w:val="20"/>
              </w:rPr>
              <w:t>AUC</w:t>
            </w:r>
            <w:r w:rsidRPr="0032280D">
              <w:rPr>
                <w:sz w:val="20"/>
                <w:szCs w:val="20"/>
                <w:vertAlign w:val="subscript"/>
              </w:rPr>
              <w:t>0–24</w:t>
            </w:r>
            <w:r w:rsidRPr="0032280D">
              <w:rPr>
                <w:w w:val="50"/>
                <w:sz w:val="20"/>
                <w:szCs w:val="20"/>
                <w:vertAlign w:val="subscript"/>
              </w:rPr>
              <w:t> </w:t>
            </w:r>
            <w:r w:rsidRPr="0032280D">
              <w:rPr>
                <w:sz w:val="20"/>
                <w:szCs w:val="20"/>
                <w:vertAlign w:val="subscript"/>
              </w:rPr>
              <w:t>h</w:t>
            </w:r>
            <w:r w:rsidR="0032280D">
              <w:rPr>
                <w:sz w:val="20"/>
                <w:szCs w:val="20"/>
              </w:rPr>
              <w:t xml:space="preserve">^ </w:t>
            </w:r>
            <w:r w:rsidRPr="0032280D">
              <w:rPr>
                <w:sz w:val="20"/>
                <w:szCs w:val="20"/>
              </w:rPr>
              <w:t>(ng∙h/mL)</w:t>
            </w:r>
          </w:p>
        </w:tc>
        <w:tc>
          <w:tcPr>
            <w:tcW w:w="1429" w:type="dxa"/>
          </w:tcPr>
          <w:p w14:paraId="44AD39BA"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Exposure ratio</w:t>
            </w:r>
            <w:r w:rsidRPr="0032280D">
              <w:rPr>
                <w:rFonts w:asciiTheme="minorHAnsi" w:hAnsiTheme="minorHAnsi"/>
                <w:sz w:val="20"/>
                <w:szCs w:val="20"/>
                <w:vertAlign w:val="superscript"/>
              </w:rPr>
              <w:t>#</w:t>
            </w:r>
          </w:p>
        </w:tc>
      </w:tr>
      <w:tr w:rsidR="003D07E1" w:rsidRPr="0032280D" w14:paraId="331C4EB6" w14:textId="77777777" w:rsidTr="00616DAF">
        <w:trPr>
          <w:trHeight w:val="643"/>
        </w:trPr>
        <w:tc>
          <w:tcPr>
            <w:tcW w:w="1265" w:type="dxa"/>
            <w:vMerge w:val="restart"/>
          </w:tcPr>
          <w:p w14:paraId="592FB26E" w14:textId="77777777" w:rsidR="003D07E1" w:rsidRPr="0032280D" w:rsidRDefault="003D07E1" w:rsidP="0032280D">
            <w:pPr>
              <w:ind w:left="0" w:right="0"/>
              <w:rPr>
                <w:color w:val="auto"/>
                <w:kern w:val="2"/>
                <w:sz w:val="20"/>
                <w:szCs w:val="20"/>
              </w:rPr>
            </w:pPr>
            <w:r w:rsidRPr="0032280D">
              <w:rPr>
                <w:color w:val="auto"/>
                <w:kern w:val="2"/>
                <w:sz w:val="20"/>
                <w:szCs w:val="20"/>
              </w:rPr>
              <w:t>Rat</w:t>
            </w:r>
            <w:r w:rsidR="0032280D">
              <w:rPr>
                <w:color w:val="auto"/>
                <w:kern w:val="2"/>
                <w:sz w:val="20"/>
                <w:szCs w:val="20"/>
              </w:rPr>
              <w:t xml:space="preserve"> </w:t>
            </w:r>
            <w:r w:rsidRPr="0032280D">
              <w:rPr>
                <w:color w:val="auto"/>
                <w:kern w:val="2"/>
                <w:sz w:val="20"/>
                <w:szCs w:val="20"/>
              </w:rPr>
              <w:t>(Wistar)</w:t>
            </w:r>
          </w:p>
        </w:tc>
        <w:tc>
          <w:tcPr>
            <w:tcW w:w="1352" w:type="dxa"/>
            <w:vMerge w:val="restart"/>
          </w:tcPr>
          <w:p w14:paraId="15DD04AC" w14:textId="77777777" w:rsidR="003D07E1" w:rsidRPr="0032280D" w:rsidRDefault="0032280D" w:rsidP="0032280D">
            <w:pPr>
              <w:ind w:left="0" w:right="0"/>
              <w:rPr>
                <w:color w:val="auto"/>
                <w:kern w:val="2"/>
                <w:sz w:val="20"/>
                <w:szCs w:val="20"/>
              </w:rPr>
            </w:pPr>
            <w:r>
              <w:rPr>
                <w:color w:val="auto"/>
                <w:kern w:val="2"/>
                <w:sz w:val="20"/>
                <w:szCs w:val="20"/>
              </w:rPr>
              <w:t xml:space="preserve">4 weeks Study </w:t>
            </w:r>
            <w:r w:rsidR="003D07E1" w:rsidRPr="0032280D">
              <w:rPr>
                <w:color w:val="auto"/>
                <w:kern w:val="2"/>
                <w:sz w:val="20"/>
                <w:szCs w:val="20"/>
              </w:rPr>
              <w:t>B25064</w:t>
            </w:r>
          </w:p>
        </w:tc>
        <w:tc>
          <w:tcPr>
            <w:tcW w:w="1460" w:type="dxa"/>
            <w:vMerge w:val="restart"/>
          </w:tcPr>
          <w:p w14:paraId="5B0904BD" w14:textId="77777777" w:rsidR="003D07E1" w:rsidRPr="0032280D" w:rsidRDefault="003D07E1" w:rsidP="0032280D">
            <w:pPr>
              <w:ind w:left="0" w:right="0"/>
              <w:rPr>
                <w:kern w:val="2"/>
                <w:sz w:val="20"/>
                <w:szCs w:val="20"/>
              </w:rPr>
            </w:pPr>
            <w:r w:rsidRPr="0032280D">
              <w:rPr>
                <w:kern w:val="2"/>
                <w:sz w:val="20"/>
                <w:szCs w:val="20"/>
              </w:rPr>
              <w:t>20</w:t>
            </w:r>
          </w:p>
        </w:tc>
        <w:tc>
          <w:tcPr>
            <w:tcW w:w="1560" w:type="dxa"/>
          </w:tcPr>
          <w:p w14:paraId="0407A0BA" w14:textId="77777777" w:rsidR="003D07E1" w:rsidRPr="0032280D" w:rsidRDefault="003D07E1" w:rsidP="0032280D">
            <w:pPr>
              <w:ind w:left="0" w:right="0"/>
              <w:rPr>
                <w:kern w:val="2"/>
                <w:sz w:val="20"/>
                <w:szCs w:val="20"/>
              </w:rPr>
            </w:pPr>
            <w:r w:rsidRPr="0032280D">
              <w:rPr>
                <w:kern w:val="2"/>
                <w:sz w:val="20"/>
                <w:szCs w:val="20"/>
              </w:rPr>
              <w:t>Idebenone + Idebenone C</w:t>
            </w:r>
          </w:p>
        </w:tc>
        <w:tc>
          <w:tcPr>
            <w:tcW w:w="1559" w:type="dxa"/>
          </w:tcPr>
          <w:p w14:paraId="33ADBFC9" w14:textId="77777777" w:rsidR="003D07E1" w:rsidRPr="0032280D" w:rsidRDefault="003D07E1" w:rsidP="0032280D">
            <w:pPr>
              <w:ind w:left="0" w:right="0"/>
              <w:rPr>
                <w:kern w:val="2"/>
                <w:sz w:val="20"/>
                <w:szCs w:val="20"/>
              </w:rPr>
            </w:pPr>
            <w:r w:rsidRPr="0032280D">
              <w:rPr>
                <w:kern w:val="2"/>
                <w:sz w:val="20"/>
                <w:szCs w:val="20"/>
              </w:rPr>
              <w:t>45</w:t>
            </w:r>
          </w:p>
        </w:tc>
        <w:tc>
          <w:tcPr>
            <w:tcW w:w="1429" w:type="dxa"/>
          </w:tcPr>
          <w:p w14:paraId="2BA34F0C" w14:textId="77777777" w:rsidR="003D07E1" w:rsidRPr="0032280D" w:rsidRDefault="003173BB" w:rsidP="0032280D">
            <w:pPr>
              <w:ind w:left="0" w:right="0"/>
              <w:rPr>
                <w:rFonts w:asciiTheme="minorHAnsi" w:hAnsiTheme="minorHAnsi"/>
                <w:color w:val="000000"/>
                <w:sz w:val="20"/>
                <w:szCs w:val="20"/>
              </w:rPr>
            </w:pPr>
            <w:r w:rsidRPr="0032280D">
              <w:rPr>
                <w:rFonts w:asciiTheme="minorHAnsi" w:hAnsiTheme="minorHAnsi"/>
                <w:color w:val="000000"/>
                <w:sz w:val="20"/>
                <w:szCs w:val="20"/>
              </w:rPr>
              <w:t xml:space="preserve">&lt; </w:t>
            </w:r>
            <w:r w:rsidR="003D07E1" w:rsidRPr="0032280D">
              <w:rPr>
                <w:rFonts w:asciiTheme="minorHAnsi" w:hAnsiTheme="minorHAnsi"/>
                <w:color w:val="000000"/>
                <w:sz w:val="20"/>
                <w:szCs w:val="20"/>
              </w:rPr>
              <w:t>0.1</w:t>
            </w:r>
          </w:p>
        </w:tc>
      </w:tr>
      <w:tr w:rsidR="003D07E1" w:rsidRPr="0032280D" w14:paraId="02B7AA6F" w14:textId="77777777" w:rsidTr="00616DAF">
        <w:trPr>
          <w:trHeight w:val="227"/>
        </w:trPr>
        <w:tc>
          <w:tcPr>
            <w:tcW w:w="1265" w:type="dxa"/>
            <w:vMerge/>
          </w:tcPr>
          <w:p w14:paraId="60045D4E" w14:textId="77777777" w:rsidR="003D07E1" w:rsidRPr="0032280D" w:rsidRDefault="003D07E1" w:rsidP="0032280D">
            <w:pPr>
              <w:ind w:left="0" w:right="0"/>
              <w:rPr>
                <w:kern w:val="2"/>
                <w:sz w:val="20"/>
                <w:szCs w:val="20"/>
              </w:rPr>
            </w:pPr>
          </w:p>
        </w:tc>
        <w:tc>
          <w:tcPr>
            <w:tcW w:w="1352" w:type="dxa"/>
            <w:vMerge/>
          </w:tcPr>
          <w:p w14:paraId="227C543A" w14:textId="77777777" w:rsidR="003D07E1" w:rsidRPr="0032280D" w:rsidRDefault="003D07E1" w:rsidP="0032280D">
            <w:pPr>
              <w:ind w:left="0" w:right="0"/>
              <w:rPr>
                <w:kern w:val="2"/>
                <w:sz w:val="20"/>
                <w:szCs w:val="20"/>
              </w:rPr>
            </w:pPr>
          </w:p>
        </w:tc>
        <w:tc>
          <w:tcPr>
            <w:tcW w:w="1460" w:type="dxa"/>
            <w:vMerge/>
          </w:tcPr>
          <w:p w14:paraId="16B7F536" w14:textId="77777777" w:rsidR="003D07E1" w:rsidRPr="0032280D" w:rsidRDefault="003D07E1" w:rsidP="0032280D">
            <w:pPr>
              <w:ind w:left="0" w:right="0"/>
              <w:rPr>
                <w:kern w:val="2"/>
                <w:sz w:val="20"/>
                <w:szCs w:val="20"/>
              </w:rPr>
            </w:pPr>
          </w:p>
        </w:tc>
        <w:tc>
          <w:tcPr>
            <w:tcW w:w="1560" w:type="dxa"/>
          </w:tcPr>
          <w:p w14:paraId="2A46DEAD"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QS10+QS10-C</w:t>
            </w:r>
          </w:p>
        </w:tc>
        <w:tc>
          <w:tcPr>
            <w:tcW w:w="1559" w:type="dxa"/>
          </w:tcPr>
          <w:p w14:paraId="7BD96650" w14:textId="77777777" w:rsidR="003D07E1" w:rsidRPr="0032280D" w:rsidRDefault="003D07E1" w:rsidP="0032280D">
            <w:pPr>
              <w:ind w:left="0" w:right="0"/>
              <w:rPr>
                <w:kern w:val="2"/>
                <w:sz w:val="20"/>
                <w:szCs w:val="20"/>
              </w:rPr>
            </w:pPr>
            <w:r w:rsidRPr="0032280D">
              <w:rPr>
                <w:kern w:val="2"/>
                <w:sz w:val="20"/>
                <w:szCs w:val="20"/>
              </w:rPr>
              <w:t>390</w:t>
            </w:r>
          </w:p>
        </w:tc>
        <w:tc>
          <w:tcPr>
            <w:tcW w:w="1429" w:type="dxa"/>
          </w:tcPr>
          <w:p w14:paraId="5E37189A" w14:textId="77777777" w:rsidR="003D07E1" w:rsidRPr="0032280D" w:rsidRDefault="003173BB" w:rsidP="0032280D">
            <w:pPr>
              <w:ind w:left="0" w:right="0"/>
              <w:rPr>
                <w:rFonts w:asciiTheme="minorHAnsi" w:hAnsiTheme="minorHAnsi"/>
                <w:color w:val="000000"/>
                <w:sz w:val="20"/>
                <w:szCs w:val="20"/>
              </w:rPr>
            </w:pPr>
            <w:r w:rsidRPr="0032280D">
              <w:rPr>
                <w:rFonts w:asciiTheme="minorHAnsi" w:hAnsiTheme="minorHAnsi"/>
                <w:color w:val="000000"/>
                <w:sz w:val="20"/>
                <w:szCs w:val="20"/>
              </w:rPr>
              <w:t xml:space="preserve">&lt; </w:t>
            </w:r>
            <w:r w:rsidR="003D07E1" w:rsidRPr="0032280D">
              <w:rPr>
                <w:rFonts w:asciiTheme="minorHAnsi" w:hAnsiTheme="minorHAnsi"/>
                <w:color w:val="000000"/>
                <w:sz w:val="20"/>
                <w:szCs w:val="20"/>
              </w:rPr>
              <w:t>0.1</w:t>
            </w:r>
          </w:p>
        </w:tc>
      </w:tr>
      <w:tr w:rsidR="003D07E1" w:rsidRPr="0032280D" w14:paraId="7557F568" w14:textId="77777777" w:rsidTr="00616DAF">
        <w:trPr>
          <w:trHeight w:val="227"/>
        </w:trPr>
        <w:tc>
          <w:tcPr>
            <w:tcW w:w="1265" w:type="dxa"/>
            <w:vMerge/>
          </w:tcPr>
          <w:p w14:paraId="5B1219AC" w14:textId="77777777" w:rsidR="003D07E1" w:rsidRPr="0032280D" w:rsidRDefault="003D07E1" w:rsidP="0032280D">
            <w:pPr>
              <w:ind w:left="0" w:right="0"/>
              <w:rPr>
                <w:kern w:val="2"/>
                <w:sz w:val="20"/>
                <w:szCs w:val="20"/>
              </w:rPr>
            </w:pPr>
          </w:p>
        </w:tc>
        <w:tc>
          <w:tcPr>
            <w:tcW w:w="1352" w:type="dxa"/>
            <w:vMerge/>
          </w:tcPr>
          <w:p w14:paraId="606FC1E9" w14:textId="77777777" w:rsidR="003D07E1" w:rsidRPr="0032280D" w:rsidRDefault="003D07E1" w:rsidP="0032280D">
            <w:pPr>
              <w:ind w:left="0" w:right="0"/>
              <w:rPr>
                <w:kern w:val="2"/>
                <w:sz w:val="20"/>
                <w:szCs w:val="20"/>
              </w:rPr>
            </w:pPr>
          </w:p>
        </w:tc>
        <w:tc>
          <w:tcPr>
            <w:tcW w:w="1460" w:type="dxa"/>
            <w:vMerge/>
          </w:tcPr>
          <w:p w14:paraId="3A6F041A" w14:textId="77777777" w:rsidR="003D07E1" w:rsidRPr="0032280D" w:rsidRDefault="003D07E1" w:rsidP="0032280D">
            <w:pPr>
              <w:ind w:left="0" w:right="0"/>
              <w:rPr>
                <w:kern w:val="2"/>
                <w:sz w:val="20"/>
                <w:szCs w:val="20"/>
              </w:rPr>
            </w:pPr>
          </w:p>
        </w:tc>
        <w:tc>
          <w:tcPr>
            <w:tcW w:w="1560" w:type="dxa"/>
          </w:tcPr>
          <w:p w14:paraId="4FFD27F8"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QS6+QS6-C</w:t>
            </w:r>
          </w:p>
        </w:tc>
        <w:tc>
          <w:tcPr>
            <w:tcW w:w="1559" w:type="dxa"/>
          </w:tcPr>
          <w:p w14:paraId="3DF33CB8" w14:textId="77777777" w:rsidR="003D07E1" w:rsidRPr="0032280D" w:rsidRDefault="003D07E1" w:rsidP="0032280D">
            <w:pPr>
              <w:ind w:left="0" w:right="0"/>
              <w:rPr>
                <w:kern w:val="2"/>
                <w:sz w:val="20"/>
                <w:szCs w:val="20"/>
              </w:rPr>
            </w:pPr>
            <w:r w:rsidRPr="0032280D">
              <w:rPr>
                <w:kern w:val="2"/>
                <w:sz w:val="20"/>
                <w:szCs w:val="20"/>
              </w:rPr>
              <w:t>340</w:t>
            </w:r>
          </w:p>
        </w:tc>
        <w:tc>
          <w:tcPr>
            <w:tcW w:w="1429" w:type="dxa"/>
          </w:tcPr>
          <w:p w14:paraId="376D40B3" w14:textId="77777777" w:rsidR="003D07E1" w:rsidRPr="0032280D" w:rsidRDefault="003173BB" w:rsidP="0032280D">
            <w:pPr>
              <w:ind w:left="0" w:right="0"/>
              <w:rPr>
                <w:rFonts w:asciiTheme="minorHAnsi" w:hAnsiTheme="minorHAnsi"/>
                <w:color w:val="000000"/>
                <w:sz w:val="20"/>
                <w:szCs w:val="20"/>
              </w:rPr>
            </w:pPr>
            <w:r w:rsidRPr="0032280D">
              <w:rPr>
                <w:rFonts w:asciiTheme="minorHAnsi" w:hAnsiTheme="minorHAnsi"/>
                <w:color w:val="000000"/>
                <w:sz w:val="20"/>
                <w:szCs w:val="20"/>
              </w:rPr>
              <w:t xml:space="preserve">&lt; </w:t>
            </w:r>
            <w:r w:rsidR="003D07E1" w:rsidRPr="0032280D">
              <w:rPr>
                <w:rFonts w:asciiTheme="minorHAnsi" w:hAnsiTheme="minorHAnsi"/>
                <w:color w:val="000000"/>
                <w:sz w:val="20"/>
                <w:szCs w:val="20"/>
              </w:rPr>
              <w:t>0.1</w:t>
            </w:r>
          </w:p>
        </w:tc>
      </w:tr>
      <w:tr w:rsidR="003D07E1" w:rsidRPr="0032280D" w14:paraId="748088BD" w14:textId="77777777" w:rsidTr="00616DAF">
        <w:trPr>
          <w:trHeight w:val="227"/>
        </w:trPr>
        <w:tc>
          <w:tcPr>
            <w:tcW w:w="1265" w:type="dxa"/>
            <w:vMerge/>
          </w:tcPr>
          <w:p w14:paraId="4A6E8394" w14:textId="77777777" w:rsidR="003D07E1" w:rsidRPr="0032280D" w:rsidRDefault="003D07E1" w:rsidP="0032280D">
            <w:pPr>
              <w:ind w:left="0" w:right="0"/>
              <w:rPr>
                <w:kern w:val="2"/>
                <w:sz w:val="20"/>
                <w:szCs w:val="20"/>
              </w:rPr>
            </w:pPr>
          </w:p>
        </w:tc>
        <w:tc>
          <w:tcPr>
            <w:tcW w:w="1352" w:type="dxa"/>
            <w:vMerge/>
          </w:tcPr>
          <w:p w14:paraId="0CBA94B8" w14:textId="77777777" w:rsidR="003D07E1" w:rsidRPr="0032280D" w:rsidRDefault="003D07E1" w:rsidP="0032280D">
            <w:pPr>
              <w:ind w:left="0" w:right="0"/>
              <w:rPr>
                <w:kern w:val="2"/>
                <w:sz w:val="20"/>
                <w:szCs w:val="20"/>
              </w:rPr>
            </w:pPr>
          </w:p>
        </w:tc>
        <w:tc>
          <w:tcPr>
            <w:tcW w:w="1460" w:type="dxa"/>
            <w:vMerge/>
          </w:tcPr>
          <w:p w14:paraId="6CE8030D" w14:textId="77777777" w:rsidR="003D07E1" w:rsidRPr="0032280D" w:rsidRDefault="003D07E1" w:rsidP="0032280D">
            <w:pPr>
              <w:ind w:left="0" w:right="0"/>
              <w:rPr>
                <w:kern w:val="2"/>
                <w:sz w:val="20"/>
                <w:szCs w:val="20"/>
              </w:rPr>
            </w:pPr>
          </w:p>
        </w:tc>
        <w:tc>
          <w:tcPr>
            <w:tcW w:w="1560" w:type="dxa"/>
          </w:tcPr>
          <w:p w14:paraId="1BC9EA02"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QS4+QS4-C</w:t>
            </w:r>
          </w:p>
        </w:tc>
        <w:tc>
          <w:tcPr>
            <w:tcW w:w="1559" w:type="dxa"/>
          </w:tcPr>
          <w:p w14:paraId="2C2311F0" w14:textId="77777777" w:rsidR="003D07E1" w:rsidRPr="0032280D" w:rsidRDefault="003D07E1" w:rsidP="0032280D">
            <w:pPr>
              <w:ind w:left="0" w:right="0"/>
              <w:rPr>
                <w:kern w:val="2"/>
                <w:sz w:val="20"/>
                <w:szCs w:val="20"/>
              </w:rPr>
            </w:pPr>
            <w:r w:rsidRPr="0032280D">
              <w:rPr>
                <w:kern w:val="2"/>
                <w:sz w:val="20"/>
                <w:szCs w:val="20"/>
              </w:rPr>
              <w:t>8066</w:t>
            </w:r>
          </w:p>
        </w:tc>
        <w:tc>
          <w:tcPr>
            <w:tcW w:w="1429" w:type="dxa"/>
          </w:tcPr>
          <w:p w14:paraId="5873FB67"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0.2</w:t>
            </w:r>
          </w:p>
        </w:tc>
      </w:tr>
      <w:tr w:rsidR="003D07E1" w:rsidRPr="0032280D" w14:paraId="4AAC082B" w14:textId="77777777" w:rsidTr="00616DAF">
        <w:trPr>
          <w:trHeight w:val="520"/>
        </w:trPr>
        <w:tc>
          <w:tcPr>
            <w:tcW w:w="1265" w:type="dxa"/>
            <w:vMerge/>
          </w:tcPr>
          <w:p w14:paraId="020AB133" w14:textId="77777777" w:rsidR="003D07E1" w:rsidRPr="0032280D" w:rsidRDefault="003D07E1" w:rsidP="0032280D">
            <w:pPr>
              <w:ind w:left="0" w:right="0"/>
              <w:rPr>
                <w:color w:val="00B050"/>
                <w:kern w:val="2"/>
                <w:sz w:val="20"/>
                <w:szCs w:val="20"/>
              </w:rPr>
            </w:pPr>
          </w:p>
        </w:tc>
        <w:tc>
          <w:tcPr>
            <w:tcW w:w="1352" w:type="dxa"/>
            <w:vMerge/>
          </w:tcPr>
          <w:p w14:paraId="6F3CB2CA" w14:textId="77777777" w:rsidR="003D07E1" w:rsidRPr="0032280D" w:rsidRDefault="003D07E1" w:rsidP="0032280D">
            <w:pPr>
              <w:ind w:left="0" w:right="0"/>
              <w:rPr>
                <w:kern w:val="2"/>
                <w:sz w:val="20"/>
                <w:szCs w:val="20"/>
              </w:rPr>
            </w:pPr>
          </w:p>
        </w:tc>
        <w:tc>
          <w:tcPr>
            <w:tcW w:w="1460" w:type="dxa"/>
            <w:vMerge w:val="restart"/>
          </w:tcPr>
          <w:p w14:paraId="06A3D13F" w14:textId="77777777" w:rsidR="003D07E1" w:rsidRPr="0032280D" w:rsidRDefault="003D07E1" w:rsidP="0032280D">
            <w:pPr>
              <w:ind w:left="0" w:right="0"/>
              <w:rPr>
                <w:kern w:val="2"/>
                <w:sz w:val="20"/>
                <w:szCs w:val="20"/>
              </w:rPr>
            </w:pPr>
            <w:r w:rsidRPr="0032280D">
              <w:rPr>
                <w:kern w:val="2"/>
                <w:sz w:val="20"/>
                <w:szCs w:val="20"/>
              </w:rPr>
              <w:t>100</w:t>
            </w:r>
          </w:p>
        </w:tc>
        <w:tc>
          <w:tcPr>
            <w:tcW w:w="1560" w:type="dxa"/>
          </w:tcPr>
          <w:p w14:paraId="559F0A9E" w14:textId="77777777" w:rsidR="003D07E1" w:rsidRPr="0032280D" w:rsidRDefault="003D07E1" w:rsidP="0032280D">
            <w:pPr>
              <w:ind w:left="0" w:right="0"/>
              <w:rPr>
                <w:kern w:val="2"/>
                <w:sz w:val="20"/>
                <w:szCs w:val="20"/>
              </w:rPr>
            </w:pPr>
            <w:r w:rsidRPr="0032280D">
              <w:rPr>
                <w:kern w:val="2"/>
                <w:sz w:val="20"/>
                <w:szCs w:val="20"/>
              </w:rPr>
              <w:t>Idebenone + Idebenone C</w:t>
            </w:r>
          </w:p>
        </w:tc>
        <w:tc>
          <w:tcPr>
            <w:tcW w:w="1559" w:type="dxa"/>
          </w:tcPr>
          <w:p w14:paraId="51673A18" w14:textId="77777777" w:rsidR="003D07E1" w:rsidRPr="0032280D" w:rsidRDefault="003D07E1" w:rsidP="0032280D">
            <w:pPr>
              <w:ind w:left="0" w:right="0"/>
              <w:rPr>
                <w:kern w:val="2"/>
                <w:sz w:val="20"/>
                <w:szCs w:val="20"/>
              </w:rPr>
            </w:pPr>
            <w:r w:rsidRPr="0032280D">
              <w:rPr>
                <w:kern w:val="2"/>
                <w:sz w:val="20"/>
                <w:szCs w:val="20"/>
              </w:rPr>
              <w:t>779</w:t>
            </w:r>
          </w:p>
        </w:tc>
        <w:tc>
          <w:tcPr>
            <w:tcW w:w="1429" w:type="dxa"/>
          </w:tcPr>
          <w:p w14:paraId="002C9DBD" w14:textId="77777777" w:rsidR="003D07E1" w:rsidRPr="0032280D" w:rsidRDefault="003173BB" w:rsidP="0032280D">
            <w:pPr>
              <w:ind w:left="0" w:right="0"/>
              <w:rPr>
                <w:rFonts w:asciiTheme="minorHAnsi" w:hAnsiTheme="minorHAnsi"/>
                <w:color w:val="000000"/>
                <w:sz w:val="20"/>
                <w:szCs w:val="20"/>
              </w:rPr>
            </w:pPr>
            <w:r w:rsidRPr="0032280D">
              <w:rPr>
                <w:rFonts w:asciiTheme="minorHAnsi" w:hAnsiTheme="minorHAnsi"/>
                <w:color w:val="000000"/>
                <w:sz w:val="20"/>
                <w:szCs w:val="20"/>
              </w:rPr>
              <w:t xml:space="preserve">&lt; </w:t>
            </w:r>
            <w:r w:rsidR="003D07E1" w:rsidRPr="0032280D">
              <w:rPr>
                <w:rFonts w:asciiTheme="minorHAnsi" w:hAnsiTheme="minorHAnsi"/>
                <w:color w:val="000000"/>
                <w:sz w:val="20"/>
                <w:szCs w:val="20"/>
              </w:rPr>
              <w:t>0.1</w:t>
            </w:r>
          </w:p>
        </w:tc>
      </w:tr>
      <w:tr w:rsidR="003D07E1" w:rsidRPr="0032280D" w14:paraId="47399477" w14:textId="77777777" w:rsidTr="00616DAF">
        <w:trPr>
          <w:trHeight w:val="227"/>
        </w:trPr>
        <w:tc>
          <w:tcPr>
            <w:tcW w:w="1265" w:type="dxa"/>
            <w:vMerge/>
          </w:tcPr>
          <w:p w14:paraId="44C22F6A" w14:textId="77777777" w:rsidR="003D07E1" w:rsidRPr="0032280D" w:rsidRDefault="003D07E1" w:rsidP="0032280D">
            <w:pPr>
              <w:ind w:left="0" w:right="0"/>
              <w:rPr>
                <w:kern w:val="2"/>
                <w:sz w:val="20"/>
                <w:szCs w:val="20"/>
              </w:rPr>
            </w:pPr>
          </w:p>
        </w:tc>
        <w:tc>
          <w:tcPr>
            <w:tcW w:w="1352" w:type="dxa"/>
            <w:vMerge/>
          </w:tcPr>
          <w:p w14:paraId="68A1DCE8" w14:textId="77777777" w:rsidR="003D07E1" w:rsidRPr="0032280D" w:rsidRDefault="003D07E1" w:rsidP="0032280D">
            <w:pPr>
              <w:ind w:left="0" w:right="0"/>
              <w:rPr>
                <w:kern w:val="2"/>
                <w:sz w:val="20"/>
                <w:szCs w:val="20"/>
              </w:rPr>
            </w:pPr>
          </w:p>
        </w:tc>
        <w:tc>
          <w:tcPr>
            <w:tcW w:w="1460" w:type="dxa"/>
            <w:vMerge/>
          </w:tcPr>
          <w:p w14:paraId="24A4A399" w14:textId="77777777" w:rsidR="003D07E1" w:rsidRPr="0032280D" w:rsidRDefault="003D07E1" w:rsidP="0032280D">
            <w:pPr>
              <w:ind w:left="0" w:right="0"/>
              <w:rPr>
                <w:kern w:val="2"/>
                <w:sz w:val="20"/>
                <w:szCs w:val="20"/>
              </w:rPr>
            </w:pPr>
          </w:p>
        </w:tc>
        <w:tc>
          <w:tcPr>
            <w:tcW w:w="1560" w:type="dxa"/>
          </w:tcPr>
          <w:p w14:paraId="5B24ECF6"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QS10+QS10-C</w:t>
            </w:r>
          </w:p>
        </w:tc>
        <w:tc>
          <w:tcPr>
            <w:tcW w:w="1559" w:type="dxa"/>
          </w:tcPr>
          <w:p w14:paraId="32A3850A" w14:textId="77777777" w:rsidR="003D07E1" w:rsidRPr="0032280D" w:rsidRDefault="003D07E1" w:rsidP="0032280D">
            <w:pPr>
              <w:ind w:left="0" w:right="0"/>
              <w:rPr>
                <w:kern w:val="2"/>
                <w:sz w:val="20"/>
                <w:szCs w:val="20"/>
              </w:rPr>
            </w:pPr>
            <w:r w:rsidRPr="0032280D">
              <w:rPr>
                <w:kern w:val="2"/>
                <w:sz w:val="20"/>
                <w:szCs w:val="20"/>
              </w:rPr>
              <w:t>4542</w:t>
            </w:r>
          </w:p>
        </w:tc>
        <w:tc>
          <w:tcPr>
            <w:tcW w:w="1429" w:type="dxa"/>
          </w:tcPr>
          <w:p w14:paraId="4633AB25"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0.2</w:t>
            </w:r>
          </w:p>
        </w:tc>
      </w:tr>
      <w:tr w:rsidR="003D07E1" w:rsidRPr="0032280D" w14:paraId="72B9E671" w14:textId="77777777" w:rsidTr="00616DAF">
        <w:trPr>
          <w:trHeight w:val="227"/>
        </w:trPr>
        <w:tc>
          <w:tcPr>
            <w:tcW w:w="1265" w:type="dxa"/>
            <w:vMerge/>
          </w:tcPr>
          <w:p w14:paraId="070173E6" w14:textId="77777777" w:rsidR="003D07E1" w:rsidRPr="0032280D" w:rsidRDefault="003D07E1" w:rsidP="0032280D">
            <w:pPr>
              <w:ind w:left="0" w:right="0"/>
              <w:rPr>
                <w:kern w:val="2"/>
                <w:sz w:val="20"/>
                <w:szCs w:val="20"/>
              </w:rPr>
            </w:pPr>
          </w:p>
        </w:tc>
        <w:tc>
          <w:tcPr>
            <w:tcW w:w="1352" w:type="dxa"/>
            <w:vMerge/>
          </w:tcPr>
          <w:p w14:paraId="5DC7E9C9" w14:textId="77777777" w:rsidR="003D07E1" w:rsidRPr="0032280D" w:rsidRDefault="003D07E1" w:rsidP="0032280D">
            <w:pPr>
              <w:ind w:left="0" w:right="0"/>
              <w:rPr>
                <w:kern w:val="2"/>
                <w:sz w:val="20"/>
                <w:szCs w:val="20"/>
              </w:rPr>
            </w:pPr>
          </w:p>
        </w:tc>
        <w:tc>
          <w:tcPr>
            <w:tcW w:w="1460" w:type="dxa"/>
            <w:vMerge/>
          </w:tcPr>
          <w:p w14:paraId="5960BCCD" w14:textId="77777777" w:rsidR="003D07E1" w:rsidRPr="0032280D" w:rsidRDefault="003D07E1" w:rsidP="0032280D">
            <w:pPr>
              <w:ind w:left="0" w:right="0"/>
              <w:rPr>
                <w:kern w:val="2"/>
                <w:sz w:val="20"/>
                <w:szCs w:val="20"/>
              </w:rPr>
            </w:pPr>
          </w:p>
        </w:tc>
        <w:tc>
          <w:tcPr>
            <w:tcW w:w="1560" w:type="dxa"/>
          </w:tcPr>
          <w:p w14:paraId="6F37FD2E"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QS6+QS6-C</w:t>
            </w:r>
          </w:p>
        </w:tc>
        <w:tc>
          <w:tcPr>
            <w:tcW w:w="1559" w:type="dxa"/>
          </w:tcPr>
          <w:p w14:paraId="51F8BF74" w14:textId="77777777" w:rsidR="003D07E1" w:rsidRPr="0032280D" w:rsidRDefault="003D07E1" w:rsidP="0032280D">
            <w:pPr>
              <w:ind w:left="0" w:right="0"/>
              <w:rPr>
                <w:kern w:val="2"/>
                <w:sz w:val="20"/>
                <w:szCs w:val="20"/>
              </w:rPr>
            </w:pPr>
            <w:r w:rsidRPr="0032280D">
              <w:rPr>
                <w:kern w:val="2"/>
                <w:sz w:val="20"/>
                <w:szCs w:val="20"/>
              </w:rPr>
              <w:t>4043</w:t>
            </w:r>
          </w:p>
        </w:tc>
        <w:tc>
          <w:tcPr>
            <w:tcW w:w="1429" w:type="dxa"/>
          </w:tcPr>
          <w:p w14:paraId="4ED594CA"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0.3</w:t>
            </w:r>
          </w:p>
        </w:tc>
      </w:tr>
      <w:tr w:rsidR="003D07E1" w:rsidRPr="0032280D" w14:paraId="41DC766C" w14:textId="77777777" w:rsidTr="00616DAF">
        <w:trPr>
          <w:trHeight w:val="227"/>
        </w:trPr>
        <w:tc>
          <w:tcPr>
            <w:tcW w:w="1265" w:type="dxa"/>
            <w:vMerge/>
          </w:tcPr>
          <w:p w14:paraId="60CA6DD1" w14:textId="77777777" w:rsidR="003D07E1" w:rsidRPr="0032280D" w:rsidRDefault="003D07E1" w:rsidP="0032280D">
            <w:pPr>
              <w:ind w:left="0" w:right="0"/>
              <w:rPr>
                <w:kern w:val="2"/>
                <w:sz w:val="20"/>
                <w:szCs w:val="20"/>
              </w:rPr>
            </w:pPr>
          </w:p>
        </w:tc>
        <w:tc>
          <w:tcPr>
            <w:tcW w:w="1352" w:type="dxa"/>
            <w:vMerge/>
          </w:tcPr>
          <w:p w14:paraId="50E3D300" w14:textId="77777777" w:rsidR="003D07E1" w:rsidRPr="0032280D" w:rsidRDefault="003D07E1" w:rsidP="0032280D">
            <w:pPr>
              <w:ind w:left="0" w:right="0"/>
              <w:rPr>
                <w:kern w:val="2"/>
                <w:sz w:val="20"/>
                <w:szCs w:val="20"/>
              </w:rPr>
            </w:pPr>
          </w:p>
        </w:tc>
        <w:tc>
          <w:tcPr>
            <w:tcW w:w="1460" w:type="dxa"/>
            <w:vMerge/>
          </w:tcPr>
          <w:p w14:paraId="4F228C4D" w14:textId="77777777" w:rsidR="003D07E1" w:rsidRPr="0032280D" w:rsidRDefault="003D07E1" w:rsidP="0032280D">
            <w:pPr>
              <w:ind w:left="0" w:right="0"/>
              <w:rPr>
                <w:kern w:val="2"/>
                <w:sz w:val="20"/>
                <w:szCs w:val="20"/>
              </w:rPr>
            </w:pPr>
          </w:p>
        </w:tc>
        <w:tc>
          <w:tcPr>
            <w:tcW w:w="1560" w:type="dxa"/>
          </w:tcPr>
          <w:p w14:paraId="7B6D55FD"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QS4+QS4-C</w:t>
            </w:r>
          </w:p>
        </w:tc>
        <w:tc>
          <w:tcPr>
            <w:tcW w:w="1559" w:type="dxa"/>
          </w:tcPr>
          <w:p w14:paraId="2C88B9F5" w14:textId="77777777" w:rsidR="003D07E1" w:rsidRPr="0032280D" w:rsidRDefault="003D07E1" w:rsidP="0032280D">
            <w:pPr>
              <w:ind w:left="0" w:right="0"/>
              <w:rPr>
                <w:kern w:val="2"/>
                <w:sz w:val="20"/>
                <w:szCs w:val="20"/>
              </w:rPr>
            </w:pPr>
            <w:r w:rsidRPr="0032280D">
              <w:rPr>
                <w:kern w:val="2"/>
                <w:sz w:val="20"/>
                <w:szCs w:val="20"/>
              </w:rPr>
              <w:t>62235</w:t>
            </w:r>
          </w:p>
        </w:tc>
        <w:tc>
          <w:tcPr>
            <w:tcW w:w="1429" w:type="dxa"/>
          </w:tcPr>
          <w:p w14:paraId="1452A6FA"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1.2</w:t>
            </w:r>
          </w:p>
        </w:tc>
      </w:tr>
      <w:tr w:rsidR="003D07E1" w:rsidRPr="0032280D" w14:paraId="479D9C90" w14:textId="77777777" w:rsidTr="00616DAF">
        <w:trPr>
          <w:trHeight w:val="520"/>
        </w:trPr>
        <w:tc>
          <w:tcPr>
            <w:tcW w:w="1265" w:type="dxa"/>
            <w:vMerge/>
          </w:tcPr>
          <w:p w14:paraId="41B7F084" w14:textId="77777777" w:rsidR="003D07E1" w:rsidRPr="0032280D" w:rsidRDefault="003D07E1" w:rsidP="0032280D">
            <w:pPr>
              <w:ind w:left="0" w:right="0"/>
              <w:rPr>
                <w:color w:val="00B050"/>
                <w:kern w:val="2"/>
                <w:sz w:val="20"/>
                <w:szCs w:val="20"/>
              </w:rPr>
            </w:pPr>
          </w:p>
        </w:tc>
        <w:tc>
          <w:tcPr>
            <w:tcW w:w="1352" w:type="dxa"/>
            <w:vMerge/>
          </w:tcPr>
          <w:p w14:paraId="4892C547" w14:textId="77777777" w:rsidR="003D07E1" w:rsidRPr="0032280D" w:rsidRDefault="003D07E1" w:rsidP="0032280D">
            <w:pPr>
              <w:ind w:left="0" w:right="0"/>
              <w:rPr>
                <w:kern w:val="2"/>
                <w:sz w:val="20"/>
                <w:szCs w:val="20"/>
              </w:rPr>
            </w:pPr>
          </w:p>
        </w:tc>
        <w:tc>
          <w:tcPr>
            <w:tcW w:w="1460" w:type="dxa"/>
            <w:vMerge w:val="restart"/>
          </w:tcPr>
          <w:p w14:paraId="41A72004" w14:textId="77777777" w:rsidR="003D07E1" w:rsidRPr="0032280D" w:rsidRDefault="003D07E1" w:rsidP="0032280D">
            <w:pPr>
              <w:ind w:left="0" w:right="0"/>
              <w:rPr>
                <w:kern w:val="2"/>
                <w:sz w:val="20"/>
                <w:szCs w:val="20"/>
              </w:rPr>
            </w:pPr>
            <w:r w:rsidRPr="0032280D">
              <w:rPr>
                <w:kern w:val="2"/>
                <w:sz w:val="20"/>
                <w:szCs w:val="20"/>
              </w:rPr>
              <w:t>500</w:t>
            </w:r>
          </w:p>
        </w:tc>
        <w:tc>
          <w:tcPr>
            <w:tcW w:w="1560" w:type="dxa"/>
          </w:tcPr>
          <w:p w14:paraId="43841085" w14:textId="77777777" w:rsidR="003D07E1" w:rsidRPr="0032280D" w:rsidRDefault="003D07E1" w:rsidP="0032280D">
            <w:pPr>
              <w:ind w:left="0" w:right="0"/>
              <w:rPr>
                <w:kern w:val="2"/>
                <w:sz w:val="20"/>
                <w:szCs w:val="20"/>
              </w:rPr>
            </w:pPr>
            <w:r w:rsidRPr="0032280D">
              <w:rPr>
                <w:kern w:val="2"/>
                <w:sz w:val="20"/>
                <w:szCs w:val="20"/>
              </w:rPr>
              <w:t>Idebenone + Idebenone C</w:t>
            </w:r>
          </w:p>
        </w:tc>
        <w:tc>
          <w:tcPr>
            <w:tcW w:w="1559" w:type="dxa"/>
          </w:tcPr>
          <w:p w14:paraId="3C7A9AB4" w14:textId="77777777" w:rsidR="003D07E1" w:rsidRPr="0032280D" w:rsidRDefault="003D07E1" w:rsidP="0032280D">
            <w:pPr>
              <w:ind w:left="0" w:right="0"/>
              <w:rPr>
                <w:kern w:val="2"/>
                <w:sz w:val="20"/>
                <w:szCs w:val="20"/>
              </w:rPr>
            </w:pPr>
            <w:r w:rsidRPr="0032280D">
              <w:rPr>
                <w:kern w:val="2"/>
                <w:sz w:val="20"/>
                <w:szCs w:val="20"/>
              </w:rPr>
              <w:t>8400</w:t>
            </w:r>
          </w:p>
        </w:tc>
        <w:tc>
          <w:tcPr>
            <w:tcW w:w="1429" w:type="dxa"/>
          </w:tcPr>
          <w:p w14:paraId="468DC3CE"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0.2</w:t>
            </w:r>
          </w:p>
        </w:tc>
      </w:tr>
      <w:tr w:rsidR="003D07E1" w:rsidRPr="0032280D" w14:paraId="5341481D" w14:textId="77777777" w:rsidTr="00616DAF">
        <w:trPr>
          <w:trHeight w:val="227"/>
        </w:trPr>
        <w:tc>
          <w:tcPr>
            <w:tcW w:w="1265" w:type="dxa"/>
            <w:vMerge/>
          </w:tcPr>
          <w:p w14:paraId="048C1B48" w14:textId="77777777" w:rsidR="003D07E1" w:rsidRPr="0032280D" w:rsidRDefault="003D07E1" w:rsidP="0032280D">
            <w:pPr>
              <w:ind w:left="0" w:right="0"/>
              <w:rPr>
                <w:kern w:val="2"/>
                <w:sz w:val="20"/>
                <w:szCs w:val="20"/>
              </w:rPr>
            </w:pPr>
          </w:p>
        </w:tc>
        <w:tc>
          <w:tcPr>
            <w:tcW w:w="1352" w:type="dxa"/>
            <w:vMerge/>
          </w:tcPr>
          <w:p w14:paraId="0DFF39E7" w14:textId="77777777" w:rsidR="003D07E1" w:rsidRPr="0032280D" w:rsidRDefault="003D07E1" w:rsidP="0032280D">
            <w:pPr>
              <w:ind w:left="0" w:right="0"/>
              <w:rPr>
                <w:kern w:val="2"/>
                <w:sz w:val="20"/>
                <w:szCs w:val="20"/>
              </w:rPr>
            </w:pPr>
          </w:p>
        </w:tc>
        <w:tc>
          <w:tcPr>
            <w:tcW w:w="1460" w:type="dxa"/>
            <w:vMerge/>
          </w:tcPr>
          <w:p w14:paraId="135D14DC" w14:textId="77777777" w:rsidR="003D07E1" w:rsidRPr="0032280D" w:rsidRDefault="003D07E1" w:rsidP="0032280D">
            <w:pPr>
              <w:ind w:left="0" w:right="0"/>
              <w:rPr>
                <w:kern w:val="2"/>
                <w:sz w:val="20"/>
                <w:szCs w:val="20"/>
              </w:rPr>
            </w:pPr>
          </w:p>
        </w:tc>
        <w:tc>
          <w:tcPr>
            <w:tcW w:w="1560" w:type="dxa"/>
          </w:tcPr>
          <w:p w14:paraId="74F5E967"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QS10+QS10-C</w:t>
            </w:r>
          </w:p>
        </w:tc>
        <w:tc>
          <w:tcPr>
            <w:tcW w:w="1559" w:type="dxa"/>
          </w:tcPr>
          <w:p w14:paraId="1907F813" w14:textId="77777777" w:rsidR="003D07E1" w:rsidRPr="0032280D" w:rsidRDefault="003D07E1" w:rsidP="0032280D">
            <w:pPr>
              <w:ind w:left="0" w:right="0"/>
              <w:rPr>
                <w:kern w:val="2"/>
                <w:sz w:val="20"/>
                <w:szCs w:val="20"/>
              </w:rPr>
            </w:pPr>
            <w:r w:rsidRPr="0032280D">
              <w:rPr>
                <w:kern w:val="2"/>
                <w:sz w:val="20"/>
                <w:szCs w:val="20"/>
              </w:rPr>
              <w:t>21493</w:t>
            </w:r>
          </w:p>
        </w:tc>
        <w:tc>
          <w:tcPr>
            <w:tcW w:w="1429" w:type="dxa"/>
          </w:tcPr>
          <w:p w14:paraId="61C4BADB"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0.9</w:t>
            </w:r>
          </w:p>
        </w:tc>
      </w:tr>
      <w:tr w:rsidR="003D07E1" w:rsidRPr="0032280D" w14:paraId="470128B9" w14:textId="77777777" w:rsidTr="00616DAF">
        <w:trPr>
          <w:trHeight w:val="227"/>
        </w:trPr>
        <w:tc>
          <w:tcPr>
            <w:tcW w:w="1265" w:type="dxa"/>
            <w:vMerge/>
          </w:tcPr>
          <w:p w14:paraId="0A78513D" w14:textId="77777777" w:rsidR="003D07E1" w:rsidRPr="0032280D" w:rsidRDefault="003D07E1" w:rsidP="0032280D">
            <w:pPr>
              <w:ind w:left="0" w:right="0"/>
              <w:rPr>
                <w:kern w:val="2"/>
                <w:sz w:val="20"/>
                <w:szCs w:val="20"/>
              </w:rPr>
            </w:pPr>
          </w:p>
        </w:tc>
        <w:tc>
          <w:tcPr>
            <w:tcW w:w="1352" w:type="dxa"/>
            <w:vMerge/>
          </w:tcPr>
          <w:p w14:paraId="44D13653" w14:textId="77777777" w:rsidR="003D07E1" w:rsidRPr="0032280D" w:rsidRDefault="003D07E1" w:rsidP="0032280D">
            <w:pPr>
              <w:ind w:left="0" w:right="0"/>
              <w:rPr>
                <w:kern w:val="2"/>
                <w:sz w:val="20"/>
                <w:szCs w:val="20"/>
              </w:rPr>
            </w:pPr>
          </w:p>
        </w:tc>
        <w:tc>
          <w:tcPr>
            <w:tcW w:w="1460" w:type="dxa"/>
            <w:vMerge/>
          </w:tcPr>
          <w:p w14:paraId="291DEB97" w14:textId="77777777" w:rsidR="003D07E1" w:rsidRPr="0032280D" w:rsidRDefault="003D07E1" w:rsidP="0032280D">
            <w:pPr>
              <w:ind w:left="0" w:right="0"/>
              <w:rPr>
                <w:kern w:val="2"/>
                <w:sz w:val="20"/>
                <w:szCs w:val="20"/>
              </w:rPr>
            </w:pPr>
          </w:p>
        </w:tc>
        <w:tc>
          <w:tcPr>
            <w:tcW w:w="1560" w:type="dxa"/>
          </w:tcPr>
          <w:p w14:paraId="7BE3C6BC"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QS6+QS6-C</w:t>
            </w:r>
          </w:p>
        </w:tc>
        <w:tc>
          <w:tcPr>
            <w:tcW w:w="1559" w:type="dxa"/>
          </w:tcPr>
          <w:p w14:paraId="6C4C140E" w14:textId="77777777" w:rsidR="003D07E1" w:rsidRPr="0032280D" w:rsidRDefault="003D07E1" w:rsidP="0032280D">
            <w:pPr>
              <w:ind w:left="0" w:right="0"/>
              <w:rPr>
                <w:kern w:val="2"/>
                <w:sz w:val="20"/>
                <w:szCs w:val="20"/>
              </w:rPr>
            </w:pPr>
            <w:r w:rsidRPr="0032280D">
              <w:rPr>
                <w:kern w:val="2"/>
                <w:sz w:val="20"/>
                <w:szCs w:val="20"/>
              </w:rPr>
              <w:t>34497</w:t>
            </w:r>
          </w:p>
        </w:tc>
        <w:tc>
          <w:tcPr>
            <w:tcW w:w="1429" w:type="dxa"/>
          </w:tcPr>
          <w:p w14:paraId="3DAA3D5F"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2.7</w:t>
            </w:r>
          </w:p>
        </w:tc>
      </w:tr>
      <w:tr w:rsidR="003D07E1" w:rsidRPr="0032280D" w14:paraId="20B1C76B" w14:textId="77777777" w:rsidTr="00616DAF">
        <w:trPr>
          <w:trHeight w:val="227"/>
        </w:trPr>
        <w:tc>
          <w:tcPr>
            <w:tcW w:w="1265" w:type="dxa"/>
            <w:vMerge/>
          </w:tcPr>
          <w:p w14:paraId="1284186D" w14:textId="77777777" w:rsidR="003D07E1" w:rsidRPr="0032280D" w:rsidRDefault="003D07E1" w:rsidP="0032280D">
            <w:pPr>
              <w:ind w:left="0" w:right="0"/>
              <w:rPr>
                <w:kern w:val="2"/>
                <w:sz w:val="20"/>
                <w:szCs w:val="20"/>
              </w:rPr>
            </w:pPr>
          </w:p>
        </w:tc>
        <w:tc>
          <w:tcPr>
            <w:tcW w:w="1352" w:type="dxa"/>
            <w:vMerge/>
          </w:tcPr>
          <w:p w14:paraId="70A9D18E" w14:textId="77777777" w:rsidR="003D07E1" w:rsidRPr="0032280D" w:rsidRDefault="003D07E1" w:rsidP="0032280D">
            <w:pPr>
              <w:ind w:left="0" w:right="0"/>
              <w:rPr>
                <w:kern w:val="2"/>
                <w:sz w:val="20"/>
                <w:szCs w:val="20"/>
              </w:rPr>
            </w:pPr>
          </w:p>
        </w:tc>
        <w:tc>
          <w:tcPr>
            <w:tcW w:w="1460" w:type="dxa"/>
            <w:vMerge/>
          </w:tcPr>
          <w:p w14:paraId="3DD92B1F" w14:textId="77777777" w:rsidR="003D07E1" w:rsidRPr="0032280D" w:rsidRDefault="003D07E1" w:rsidP="0032280D">
            <w:pPr>
              <w:ind w:left="0" w:right="0"/>
              <w:rPr>
                <w:kern w:val="2"/>
                <w:sz w:val="20"/>
                <w:szCs w:val="20"/>
              </w:rPr>
            </w:pPr>
          </w:p>
        </w:tc>
        <w:tc>
          <w:tcPr>
            <w:tcW w:w="1560" w:type="dxa"/>
          </w:tcPr>
          <w:p w14:paraId="4F582BE3"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QS4+QS4-C</w:t>
            </w:r>
          </w:p>
        </w:tc>
        <w:tc>
          <w:tcPr>
            <w:tcW w:w="1559" w:type="dxa"/>
          </w:tcPr>
          <w:p w14:paraId="04988553" w14:textId="77777777" w:rsidR="003D07E1" w:rsidRPr="0032280D" w:rsidRDefault="003D07E1" w:rsidP="0032280D">
            <w:pPr>
              <w:ind w:left="0" w:right="0"/>
              <w:rPr>
                <w:kern w:val="2"/>
                <w:sz w:val="20"/>
                <w:szCs w:val="20"/>
              </w:rPr>
            </w:pPr>
            <w:r w:rsidRPr="0032280D">
              <w:rPr>
                <w:kern w:val="2"/>
                <w:sz w:val="20"/>
                <w:szCs w:val="20"/>
              </w:rPr>
              <w:t>337951</w:t>
            </w:r>
          </w:p>
        </w:tc>
        <w:tc>
          <w:tcPr>
            <w:tcW w:w="1429" w:type="dxa"/>
          </w:tcPr>
          <w:p w14:paraId="6A3F7D2B"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6.3</w:t>
            </w:r>
          </w:p>
        </w:tc>
      </w:tr>
      <w:tr w:rsidR="003D07E1" w:rsidRPr="0032280D" w14:paraId="2EB24AA2" w14:textId="77777777" w:rsidTr="00616DAF">
        <w:trPr>
          <w:trHeight w:val="227"/>
        </w:trPr>
        <w:tc>
          <w:tcPr>
            <w:tcW w:w="1265" w:type="dxa"/>
            <w:vMerge/>
          </w:tcPr>
          <w:p w14:paraId="5F3C23D1" w14:textId="77777777" w:rsidR="003D07E1" w:rsidRPr="0032280D" w:rsidRDefault="003D07E1" w:rsidP="0032280D">
            <w:pPr>
              <w:ind w:left="0" w:right="0"/>
              <w:rPr>
                <w:kern w:val="2"/>
                <w:sz w:val="20"/>
                <w:szCs w:val="20"/>
              </w:rPr>
            </w:pPr>
          </w:p>
        </w:tc>
        <w:tc>
          <w:tcPr>
            <w:tcW w:w="1352" w:type="dxa"/>
            <w:vMerge w:val="restart"/>
          </w:tcPr>
          <w:p w14:paraId="213701DD" w14:textId="77777777" w:rsidR="003D07E1" w:rsidRPr="0032280D" w:rsidRDefault="003D07E1" w:rsidP="0032280D">
            <w:pPr>
              <w:ind w:left="0" w:right="0"/>
              <w:rPr>
                <w:kern w:val="2"/>
                <w:sz w:val="20"/>
                <w:szCs w:val="20"/>
              </w:rPr>
            </w:pPr>
            <w:r w:rsidRPr="0032280D">
              <w:rPr>
                <w:kern w:val="2"/>
                <w:sz w:val="20"/>
                <w:szCs w:val="20"/>
              </w:rPr>
              <w:t>4 weeks</w:t>
            </w:r>
            <w:r w:rsidR="0032280D">
              <w:rPr>
                <w:kern w:val="2"/>
                <w:sz w:val="20"/>
                <w:szCs w:val="20"/>
              </w:rPr>
              <w:t xml:space="preserve"> Study AA62017 </w:t>
            </w:r>
            <w:r w:rsidRPr="0032280D">
              <w:rPr>
                <w:kern w:val="2"/>
                <w:sz w:val="20"/>
                <w:szCs w:val="20"/>
              </w:rPr>
              <w:t>(Juveniles)</w:t>
            </w:r>
          </w:p>
        </w:tc>
        <w:tc>
          <w:tcPr>
            <w:tcW w:w="1460" w:type="dxa"/>
            <w:vMerge w:val="restart"/>
          </w:tcPr>
          <w:p w14:paraId="564F3534" w14:textId="77777777" w:rsidR="003D07E1" w:rsidRPr="0032280D" w:rsidRDefault="003D07E1" w:rsidP="0032280D">
            <w:pPr>
              <w:ind w:left="0" w:right="0"/>
              <w:rPr>
                <w:kern w:val="2"/>
                <w:sz w:val="20"/>
                <w:szCs w:val="20"/>
              </w:rPr>
            </w:pPr>
            <w:r w:rsidRPr="0032280D">
              <w:rPr>
                <w:kern w:val="2"/>
                <w:sz w:val="20"/>
                <w:szCs w:val="20"/>
              </w:rPr>
              <w:t>1000</w:t>
            </w:r>
          </w:p>
        </w:tc>
        <w:tc>
          <w:tcPr>
            <w:tcW w:w="1560" w:type="dxa"/>
          </w:tcPr>
          <w:p w14:paraId="37B8F564" w14:textId="77777777" w:rsidR="003D07E1" w:rsidRPr="0032280D" w:rsidRDefault="003D07E1" w:rsidP="0032280D">
            <w:pPr>
              <w:ind w:left="0" w:right="0"/>
              <w:rPr>
                <w:kern w:val="2"/>
                <w:sz w:val="20"/>
                <w:szCs w:val="20"/>
              </w:rPr>
            </w:pPr>
            <w:r w:rsidRPr="0032280D">
              <w:rPr>
                <w:kern w:val="2"/>
                <w:sz w:val="20"/>
                <w:szCs w:val="20"/>
              </w:rPr>
              <w:t>Idebenone + Idebenone C</w:t>
            </w:r>
          </w:p>
        </w:tc>
        <w:tc>
          <w:tcPr>
            <w:tcW w:w="1559" w:type="dxa"/>
          </w:tcPr>
          <w:p w14:paraId="4DAACD93" w14:textId="77777777" w:rsidR="003D07E1" w:rsidRPr="0032280D" w:rsidRDefault="003D07E1" w:rsidP="0032280D">
            <w:pPr>
              <w:ind w:left="0" w:right="0"/>
              <w:rPr>
                <w:kern w:val="2"/>
                <w:sz w:val="20"/>
                <w:szCs w:val="20"/>
              </w:rPr>
            </w:pPr>
            <w:r w:rsidRPr="0032280D">
              <w:rPr>
                <w:kern w:val="2"/>
                <w:sz w:val="20"/>
                <w:szCs w:val="20"/>
              </w:rPr>
              <w:t>33104</w:t>
            </w:r>
          </w:p>
        </w:tc>
        <w:tc>
          <w:tcPr>
            <w:tcW w:w="1429" w:type="dxa"/>
          </w:tcPr>
          <w:p w14:paraId="2C9D6ED9"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0.7</w:t>
            </w:r>
          </w:p>
        </w:tc>
      </w:tr>
      <w:tr w:rsidR="003D07E1" w:rsidRPr="0032280D" w14:paraId="55165039" w14:textId="77777777" w:rsidTr="00616DAF">
        <w:trPr>
          <w:trHeight w:val="227"/>
        </w:trPr>
        <w:tc>
          <w:tcPr>
            <w:tcW w:w="1265" w:type="dxa"/>
            <w:vMerge/>
          </w:tcPr>
          <w:p w14:paraId="08E5ED7D" w14:textId="77777777" w:rsidR="003D07E1" w:rsidRPr="0032280D" w:rsidRDefault="003D07E1" w:rsidP="0032280D">
            <w:pPr>
              <w:ind w:left="0" w:right="0"/>
              <w:rPr>
                <w:kern w:val="2"/>
                <w:sz w:val="20"/>
                <w:szCs w:val="20"/>
              </w:rPr>
            </w:pPr>
          </w:p>
        </w:tc>
        <w:tc>
          <w:tcPr>
            <w:tcW w:w="1352" w:type="dxa"/>
            <w:vMerge/>
          </w:tcPr>
          <w:p w14:paraId="77D49692" w14:textId="77777777" w:rsidR="003D07E1" w:rsidRPr="0032280D" w:rsidRDefault="003D07E1" w:rsidP="0032280D">
            <w:pPr>
              <w:ind w:left="0" w:right="0"/>
              <w:rPr>
                <w:kern w:val="2"/>
                <w:sz w:val="20"/>
                <w:szCs w:val="20"/>
              </w:rPr>
            </w:pPr>
          </w:p>
        </w:tc>
        <w:tc>
          <w:tcPr>
            <w:tcW w:w="1460" w:type="dxa"/>
            <w:vMerge/>
          </w:tcPr>
          <w:p w14:paraId="31A147CA" w14:textId="77777777" w:rsidR="003D07E1" w:rsidRPr="0032280D" w:rsidRDefault="003D07E1" w:rsidP="0032280D">
            <w:pPr>
              <w:ind w:left="0" w:right="0"/>
              <w:rPr>
                <w:kern w:val="2"/>
                <w:sz w:val="20"/>
                <w:szCs w:val="20"/>
              </w:rPr>
            </w:pPr>
          </w:p>
        </w:tc>
        <w:tc>
          <w:tcPr>
            <w:tcW w:w="1560" w:type="dxa"/>
          </w:tcPr>
          <w:p w14:paraId="134BE7D4"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QS10+QS10-C</w:t>
            </w:r>
          </w:p>
        </w:tc>
        <w:tc>
          <w:tcPr>
            <w:tcW w:w="1559" w:type="dxa"/>
          </w:tcPr>
          <w:p w14:paraId="62096284" w14:textId="77777777" w:rsidR="003D07E1" w:rsidRPr="0032280D" w:rsidRDefault="003D07E1" w:rsidP="0032280D">
            <w:pPr>
              <w:ind w:left="0" w:right="0"/>
              <w:rPr>
                <w:kern w:val="2"/>
                <w:sz w:val="20"/>
                <w:szCs w:val="20"/>
              </w:rPr>
            </w:pPr>
            <w:r w:rsidRPr="0032280D">
              <w:rPr>
                <w:kern w:val="2"/>
                <w:sz w:val="20"/>
                <w:szCs w:val="20"/>
              </w:rPr>
              <w:t>70645</w:t>
            </w:r>
          </w:p>
        </w:tc>
        <w:tc>
          <w:tcPr>
            <w:tcW w:w="1429" w:type="dxa"/>
          </w:tcPr>
          <w:p w14:paraId="1D154C21"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3</w:t>
            </w:r>
          </w:p>
        </w:tc>
      </w:tr>
      <w:tr w:rsidR="003D07E1" w:rsidRPr="0032280D" w14:paraId="40875705" w14:textId="77777777" w:rsidTr="00616DAF">
        <w:trPr>
          <w:trHeight w:val="227"/>
        </w:trPr>
        <w:tc>
          <w:tcPr>
            <w:tcW w:w="1265" w:type="dxa"/>
            <w:vMerge/>
          </w:tcPr>
          <w:p w14:paraId="54108A6D" w14:textId="77777777" w:rsidR="003D07E1" w:rsidRPr="0032280D" w:rsidRDefault="003D07E1" w:rsidP="0032280D">
            <w:pPr>
              <w:ind w:left="0" w:right="0"/>
              <w:rPr>
                <w:kern w:val="2"/>
                <w:sz w:val="20"/>
                <w:szCs w:val="20"/>
              </w:rPr>
            </w:pPr>
          </w:p>
        </w:tc>
        <w:tc>
          <w:tcPr>
            <w:tcW w:w="1352" w:type="dxa"/>
            <w:vMerge/>
          </w:tcPr>
          <w:p w14:paraId="199B4AC5" w14:textId="77777777" w:rsidR="003D07E1" w:rsidRPr="0032280D" w:rsidRDefault="003D07E1" w:rsidP="0032280D">
            <w:pPr>
              <w:ind w:left="0" w:right="0"/>
              <w:rPr>
                <w:kern w:val="2"/>
                <w:sz w:val="20"/>
                <w:szCs w:val="20"/>
              </w:rPr>
            </w:pPr>
          </w:p>
        </w:tc>
        <w:tc>
          <w:tcPr>
            <w:tcW w:w="1460" w:type="dxa"/>
            <w:vMerge/>
          </w:tcPr>
          <w:p w14:paraId="759032DE" w14:textId="77777777" w:rsidR="003D07E1" w:rsidRPr="0032280D" w:rsidRDefault="003D07E1" w:rsidP="0032280D">
            <w:pPr>
              <w:ind w:left="0" w:right="0"/>
              <w:rPr>
                <w:kern w:val="2"/>
                <w:sz w:val="20"/>
                <w:szCs w:val="20"/>
              </w:rPr>
            </w:pPr>
          </w:p>
        </w:tc>
        <w:tc>
          <w:tcPr>
            <w:tcW w:w="1560" w:type="dxa"/>
          </w:tcPr>
          <w:p w14:paraId="37FC5D8B"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QS6+QS6-C</w:t>
            </w:r>
          </w:p>
        </w:tc>
        <w:tc>
          <w:tcPr>
            <w:tcW w:w="1559" w:type="dxa"/>
          </w:tcPr>
          <w:p w14:paraId="679D70BD" w14:textId="77777777" w:rsidR="003D07E1" w:rsidRPr="0032280D" w:rsidRDefault="003D07E1" w:rsidP="0032280D">
            <w:pPr>
              <w:ind w:left="0" w:right="0"/>
              <w:rPr>
                <w:kern w:val="2"/>
                <w:sz w:val="20"/>
                <w:szCs w:val="20"/>
              </w:rPr>
            </w:pPr>
            <w:r w:rsidRPr="0032280D">
              <w:rPr>
                <w:kern w:val="2"/>
                <w:sz w:val="20"/>
                <w:szCs w:val="20"/>
              </w:rPr>
              <w:t>206824</w:t>
            </w:r>
          </w:p>
        </w:tc>
        <w:tc>
          <w:tcPr>
            <w:tcW w:w="1429" w:type="dxa"/>
          </w:tcPr>
          <w:p w14:paraId="1DFAFB4C"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16</w:t>
            </w:r>
          </w:p>
        </w:tc>
      </w:tr>
      <w:tr w:rsidR="003D07E1" w:rsidRPr="0032280D" w14:paraId="2D624A00" w14:textId="77777777" w:rsidTr="00616DAF">
        <w:trPr>
          <w:trHeight w:val="227"/>
        </w:trPr>
        <w:tc>
          <w:tcPr>
            <w:tcW w:w="1265" w:type="dxa"/>
            <w:vMerge/>
          </w:tcPr>
          <w:p w14:paraId="23222E70" w14:textId="77777777" w:rsidR="003D07E1" w:rsidRPr="0032280D" w:rsidRDefault="003D07E1" w:rsidP="0032280D">
            <w:pPr>
              <w:ind w:left="0" w:right="0"/>
              <w:rPr>
                <w:kern w:val="2"/>
                <w:sz w:val="20"/>
                <w:szCs w:val="20"/>
              </w:rPr>
            </w:pPr>
          </w:p>
        </w:tc>
        <w:tc>
          <w:tcPr>
            <w:tcW w:w="1352" w:type="dxa"/>
            <w:vMerge/>
          </w:tcPr>
          <w:p w14:paraId="715C4D6F" w14:textId="77777777" w:rsidR="003D07E1" w:rsidRPr="0032280D" w:rsidRDefault="003D07E1" w:rsidP="0032280D">
            <w:pPr>
              <w:ind w:left="0" w:right="0"/>
              <w:rPr>
                <w:kern w:val="2"/>
                <w:sz w:val="20"/>
                <w:szCs w:val="20"/>
              </w:rPr>
            </w:pPr>
          </w:p>
        </w:tc>
        <w:tc>
          <w:tcPr>
            <w:tcW w:w="1460" w:type="dxa"/>
            <w:vMerge/>
          </w:tcPr>
          <w:p w14:paraId="7D1397DA" w14:textId="77777777" w:rsidR="003D07E1" w:rsidRPr="0032280D" w:rsidRDefault="003D07E1" w:rsidP="0032280D">
            <w:pPr>
              <w:ind w:left="0" w:right="0"/>
              <w:rPr>
                <w:kern w:val="2"/>
                <w:sz w:val="20"/>
                <w:szCs w:val="20"/>
              </w:rPr>
            </w:pPr>
          </w:p>
        </w:tc>
        <w:tc>
          <w:tcPr>
            <w:tcW w:w="1560" w:type="dxa"/>
          </w:tcPr>
          <w:p w14:paraId="73B58233"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QS4+QS4-C</w:t>
            </w:r>
          </w:p>
        </w:tc>
        <w:tc>
          <w:tcPr>
            <w:tcW w:w="1559" w:type="dxa"/>
          </w:tcPr>
          <w:p w14:paraId="1550D00C" w14:textId="77777777" w:rsidR="003D07E1" w:rsidRPr="0032280D" w:rsidRDefault="003D07E1" w:rsidP="0032280D">
            <w:pPr>
              <w:ind w:left="0" w:right="0"/>
              <w:rPr>
                <w:kern w:val="2"/>
                <w:sz w:val="20"/>
                <w:szCs w:val="20"/>
              </w:rPr>
            </w:pPr>
            <w:r w:rsidRPr="0032280D">
              <w:rPr>
                <w:kern w:val="2"/>
                <w:sz w:val="20"/>
                <w:szCs w:val="20"/>
              </w:rPr>
              <w:t>683005</w:t>
            </w:r>
          </w:p>
        </w:tc>
        <w:tc>
          <w:tcPr>
            <w:tcW w:w="1429" w:type="dxa"/>
          </w:tcPr>
          <w:p w14:paraId="584A1707"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13</w:t>
            </w:r>
          </w:p>
        </w:tc>
      </w:tr>
      <w:tr w:rsidR="003D07E1" w:rsidRPr="0032280D" w14:paraId="5CC44A62" w14:textId="77777777" w:rsidTr="00616DAF">
        <w:trPr>
          <w:trHeight w:val="227"/>
        </w:trPr>
        <w:tc>
          <w:tcPr>
            <w:tcW w:w="1265" w:type="dxa"/>
            <w:vMerge w:val="restart"/>
          </w:tcPr>
          <w:p w14:paraId="2EBDAF67" w14:textId="77777777" w:rsidR="003D07E1" w:rsidRPr="0032280D" w:rsidRDefault="003D07E1" w:rsidP="0032280D">
            <w:pPr>
              <w:ind w:left="0" w:right="0"/>
              <w:rPr>
                <w:color w:val="auto"/>
                <w:kern w:val="2"/>
                <w:sz w:val="20"/>
                <w:szCs w:val="20"/>
              </w:rPr>
            </w:pPr>
            <w:r w:rsidRPr="0032280D">
              <w:rPr>
                <w:color w:val="auto"/>
                <w:kern w:val="2"/>
                <w:sz w:val="20"/>
                <w:szCs w:val="20"/>
              </w:rPr>
              <w:t>Dog (beagle)</w:t>
            </w:r>
          </w:p>
        </w:tc>
        <w:tc>
          <w:tcPr>
            <w:tcW w:w="1352" w:type="dxa"/>
            <w:vMerge w:val="restart"/>
          </w:tcPr>
          <w:p w14:paraId="3DFECE3F" w14:textId="77777777" w:rsidR="003D07E1" w:rsidRPr="0032280D" w:rsidRDefault="003D07E1" w:rsidP="0032280D">
            <w:pPr>
              <w:ind w:left="0" w:right="0"/>
              <w:rPr>
                <w:color w:val="auto"/>
                <w:kern w:val="2"/>
                <w:sz w:val="20"/>
                <w:szCs w:val="20"/>
              </w:rPr>
            </w:pPr>
            <w:r w:rsidRPr="0032280D">
              <w:rPr>
                <w:color w:val="auto"/>
                <w:kern w:val="2"/>
                <w:sz w:val="20"/>
                <w:szCs w:val="20"/>
              </w:rPr>
              <w:t>39 weeks</w:t>
            </w:r>
          </w:p>
        </w:tc>
        <w:tc>
          <w:tcPr>
            <w:tcW w:w="1460" w:type="dxa"/>
            <w:vMerge w:val="restart"/>
          </w:tcPr>
          <w:p w14:paraId="733B19D4" w14:textId="77777777" w:rsidR="003D07E1" w:rsidRPr="0032280D" w:rsidRDefault="003D07E1" w:rsidP="0032280D">
            <w:pPr>
              <w:ind w:left="0" w:right="0"/>
              <w:rPr>
                <w:color w:val="auto"/>
                <w:kern w:val="2"/>
                <w:sz w:val="20"/>
                <w:szCs w:val="20"/>
              </w:rPr>
            </w:pPr>
            <w:r w:rsidRPr="0032280D">
              <w:rPr>
                <w:color w:val="auto"/>
                <w:kern w:val="2"/>
                <w:sz w:val="20"/>
                <w:szCs w:val="20"/>
              </w:rPr>
              <w:t>500</w:t>
            </w:r>
          </w:p>
        </w:tc>
        <w:tc>
          <w:tcPr>
            <w:tcW w:w="1560" w:type="dxa"/>
          </w:tcPr>
          <w:p w14:paraId="3D5ADD24" w14:textId="77777777" w:rsidR="003D07E1" w:rsidRPr="0032280D" w:rsidRDefault="003D07E1" w:rsidP="0032280D">
            <w:pPr>
              <w:ind w:left="0" w:right="0"/>
              <w:rPr>
                <w:kern w:val="2"/>
                <w:sz w:val="20"/>
                <w:szCs w:val="20"/>
              </w:rPr>
            </w:pPr>
            <w:r w:rsidRPr="0032280D">
              <w:rPr>
                <w:kern w:val="2"/>
                <w:sz w:val="20"/>
                <w:szCs w:val="20"/>
              </w:rPr>
              <w:t>Idebenone + Idebenone C</w:t>
            </w:r>
          </w:p>
        </w:tc>
        <w:tc>
          <w:tcPr>
            <w:tcW w:w="1559" w:type="dxa"/>
          </w:tcPr>
          <w:p w14:paraId="61E2831F" w14:textId="77777777" w:rsidR="003D07E1" w:rsidRPr="0032280D" w:rsidRDefault="003D07E1" w:rsidP="0032280D">
            <w:pPr>
              <w:ind w:left="0" w:right="0"/>
              <w:rPr>
                <w:kern w:val="2"/>
                <w:sz w:val="20"/>
                <w:szCs w:val="20"/>
              </w:rPr>
            </w:pPr>
            <w:r w:rsidRPr="0032280D">
              <w:rPr>
                <w:kern w:val="2"/>
                <w:sz w:val="20"/>
                <w:szCs w:val="20"/>
              </w:rPr>
              <w:t>150397</w:t>
            </w:r>
          </w:p>
        </w:tc>
        <w:tc>
          <w:tcPr>
            <w:tcW w:w="1429" w:type="dxa"/>
          </w:tcPr>
          <w:p w14:paraId="49CD1C52"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3.1</w:t>
            </w:r>
          </w:p>
        </w:tc>
      </w:tr>
      <w:tr w:rsidR="003D07E1" w:rsidRPr="0032280D" w14:paraId="0C8A3CA4" w14:textId="77777777" w:rsidTr="00616DAF">
        <w:trPr>
          <w:trHeight w:val="227"/>
        </w:trPr>
        <w:tc>
          <w:tcPr>
            <w:tcW w:w="1265" w:type="dxa"/>
            <w:vMerge/>
          </w:tcPr>
          <w:p w14:paraId="71666E36" w14:textId="77777777" w:rsidR="003D07E1" w:rsidRPr="0032280D" w:rsidRDefault="003D07E1" w:rsidP="0032280D">
            <w:pPr>
              <w:ind w:left="0" w:right="0"/>
              <w:rPr>
                <w:kern w:val="2"/>
                <w:sz w:val="20"/>
                <w:szCs w:val="20"/>
              </w:rPr>
            </w:pPr>
          </w:p>
        </w:tc>
        <w:tc>
          <w:tcPr>
            <w:tcW w:w="1352" w:type="dxa"/>
            <w:vMerge/>
          </w:tcPr>
          <w:p w14:paraId="019EFAF1" w14:textId="77777777" w:rsidR="003D07E1" w:rsidRPr="0032280D" w:rsidRDefault="003D07E1" w:rsidP="0032280D">
            <w:pPr>
              <w:ind w:left="0" w:right="0"/>
              <w:rPr>
                <w:kern w:val="2"/>
                <w:sz w:val="20"/>
                <w:szCs w:val="20"/>
              </w:rPr>
            </w:pPr>
          </w:p>
        </w:tc>
        <w:tc>
          <w:tcPr>
            <w:tcW w:w="1460" w:type="dxa"/>
            <w:vMerge/>
          </w:tcPr>
          <w:p w14:paraId="4B0DA3A0" w14:textId="77777777" w:rsidR="003D07E1" w:rsidRPr="0032280D" w:rsidRDefault="003D07E1" w:rsidP="0032280D">
            <w:pPr>
              <w:ind w:left="0" w:right="0"/>
              <w:rPr>
                <w:kern w:val="2"/>
                <w:sz w:val="20"/>
                <w:szCs w:val="20"/>
              </w:rPr>
            </w:pPr>
          </w:p>
        </w:tc>
        <w:tc>
          <w:tcPr>
            <w:tcW w:w="1560" w:type="dxa"/>
          </w:tcPr>
          <w:p w14:paraId="654B142E"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QS10+QS10-C</w:t>
            </w:r>
          </w:p>
        </w:tc>
        <w:tc>
          <w:tcPr>
            <w:tcW w:w="1559" w:type="dxa"/>
          </w:tcPr>
          <w:p w14:paraId="0C5212F6" w14:textId="77777777" w:rsidR="003D07E1" w:rsidRPr="0032280D" w:rsidRDefault="003D07E1" w:rsidP="0032280D">
            <w:pPr>
              <w:ind w:left="0" w:right="0"/>
              <w:rPr>
                <w:kern w:val="2"/>
                <w:sz w:val="20"/>
                <w:szCs w:val="20"/>
              </w:rPr>
            </w:pPr>
            <w:r w:rsidRPr="0032280D">
              <w:rPr>
                <w:kern w:val="2"/>
                <w:sz w:val="20"/>
                <w:szCs w:val="20"/>
              </w:rPr>
              <w:t>7439</w:t>
            </w:r>
          </w:p>
        </w:tc>
        <w:tc>
          <w:tcPr>
            <w:tcW w:w="1429" w:type="dxa"/>
          </w:tcPr>
          <w:p w14:paraId="43AE3092"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0.3</w:t>
            </w:r>
          </w:p>
        </w:tc>
      </w:tr>
      <w:tr w:rsidR="003D07E1" w:rsidRPr="0032280D" w14:paraId="7B871781" w14:textId="77777777" w:rsidTr="00616DAF">
        <w:trPr>
          <w:trHeight w:val="227"/>
        </w:trPr>
        <w:tc>
          <w:tcPr>
            <w:tcW w:w="1265" w:type="dxa"/>
            <w:vMerge/>
          </w:tcPr>
          <w:p w14:paraId="2E450CC3" w14:textId="77777777" w:rsidR="003D07E1" w:rsidRPr="0032280D" w:rsidRDefault="003D07E1" w:rsidP="0032280D">
            <w:pPr>
              <w:ind w:left="0" w:right="0"/>
              <w:rPr>
                <w:kern w:val="2"/>
                <w:sz w:val="20"/>
                <w:szCs w:val="20"/>
              </w:rPr>
            </w:pPr>
          </w:p>
        </w:tc>
        <w:tc>
          <w:tcPr>
            <w:tcW w:w="1352" w:type="dxa"/>
            <w:vMerge/>
          </w:tcPr>
          <w:p w14:paraId="2A075C9F" w14:textId="77777777" w:rsidR="003D07E1" w:rsidRPr="0032280D" w:rsidRDefault="003D07E1" w:rsidP="0032280D">
            <w:pPr>
              <w:ind w:left="0" w:right="0"/>
              <w:rPr>
                <w:kern w:val="2"/>
                <w:sz w:val="20"/>
                <w:szCs w:val="20"/>
              </w:rPr>
            </w:pPr>
          </w:p>
        </w:tc>
        <w:tc>
          <w:tcPr>
            <w:tcW w:w="1460" w:type="dxa"/>
            <w:vMerge/>
          </w:tcPr>
          <w:p w14:paraId="77791A0C" w14:textId="77777777" w:rsidR="003D07E1" w:rsidRPr="0032280D" w:rsidRDefault="003D07E1" w:rsidP="0032280D">
            <w:pPr>
              <w:ind w:left="0" w:right="0"/>
              <w:rPr>
                <w:kern w:val="2"/>
                <w:sz w:val="20"/>
                <w:szCs w:val="20"/>
              </w:rPr>
            </w:pPr>
          </w:p>
        </w:tc>
        <w:tc>
          <w:tcPr>
            <w:tcW w:w="1560" w:type="dxa"/>
          </w:tcPr>
          <w:p w14:paraId="7BE939D6"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QS6+QS6-C</w:t>
            </w:r>
          </w:p>
        </w:tc>
        <w:tc>
          <w:tcPr>
            <w:tcW w:w="1559" w:type="dxa"/>
          </w:tcPr>
          <w:p w14:paraId="3D5CD422" w14:textId="77777777" w:rsidR="003D07E1" w:rsidRPr="0032280D" w:rsidRDefault="003D07E1" w:rsidP="0032280D">
            <w:pPr>
              <w:ind w:left="0" w:right="0"/>
              <w:rPr>
                <w:kern w:val="2"/>
                <w:sz w:val="20"/>
                <w:szCs w:val="20"/>
              </w:rPr>
            </w:pPr>
            <w:r w:rsidRPr="0032280D">
              <w:rPr>
                <w:kern w:val="2"/>
                <w:sz w:val="20"/>
                <w:szCs w:val="20"/>
              </w:rPr>
              <w:t>52890</w:t>
            </w:r>
          </w:p>
        </w:tc>
        <w:tc>
          <w:tcPr>
            <w:tcW w:w="1429" w:type="dxa"/>
          </w:tcPr>
          <w:p w14:paraId="2D42ECE7"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4.2</w:t>
            </w:r>
          </w:p>
        </w:tc>
      </w:tr>
      <w:tr w:rsidR="003D07E1" w:rsidRPr="0032280D" w14:paraId="6650E537" w14:textId="77777777" w:rsidTr="00616DAF">
        <w:trPr>
          <w:trHeight w:val="227"/>
        </w:trPr>
        <w:tc>
          <w:tcPr>
            <w:tcW w:w="1265" w:type="dxa"/>
            <w:vMerge/>
          </w:tcPr>
          <w:p w14:paraId="089DBBE8" w14:textId="77777777" w:rsidR="003D07E1" w:rsidRPr="0032280D" w:rsidRDefault="003D07E1" w:rsidP="0032280D">
            <w:pPr>
              <w:ind w:left="0" w:right="0"/>
              <w:rPr>
                <w:kern w:val="2"/>
                <w:sz w:val="20"/>
                <w:szCs w:val="20"/>
              </w:rPr>
            </w:pPr>
          </w:p>
        </w:tc>
        <w:tc>
          <w:tcPr>
            <w:tcW w:w="1352" w:type="dxa"/>
            <w:vMerge/>
          </w:tcPr>
          <w:p w14:paraId="263E797E" w14:textId="77777777" w:rsidR="003D07E1" w:rsidRPr="0032280D" w:rsidRDefault="003D07E1" w:rsidP="0032280D">
            <w:pPr>
              <w:ind w:left="0" w:right="0"/>
              <w:rPr>
                <w:kern w:val="2"/>
                <w:sz w:val="20"/>
                <w:szCs w:val="20"/>
              </w:rPr>
            </w:pPr>
          </w:p>
        </w:tc>
        <w:tc>
          <w:tcPr>
            <w:tcW w:w="1460" w:type="dxa"/>
            <w:vMerge/>
          </w:tcPr>
          <w:p w14:paraId="45C791D1" w14:textId="77777777" w:rsidR="003D07E1" w:rsidRPr="0032280D" w:rsidRDefault="003D07E1" w:rsidP="0032280D">
            <w:pPr>
              <w:ind w:left="0" w:right="0"/>
              <w:rPr>
                <w:kern w:val="2"/>
                <w:sz w:val="20"/>
                <w:szCs w:val="20"/>
              </w:rPr>
            </w:pPr>
          </w:p>
        </w:tc>
        <w:tc>
          <w:tcPr>
            <w:tcW w:w="1560" w:type="dxa"/>
          </w:tcPr>
          <w:p w14:paraId="1431DDDD"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QS4+QS4-C</w:t>
            </w:r>
          </w:p>
        </w:tc>
        <w:tc>
          <w:tcPr>
            <w:tcW w:w="1559" w:type="dxa"/>
          </w:tcPr>
          <w:p w14:paraId="58192014" w14:textId="77777777" w:rsidR="003D07E1" w:rsidRPr="0032280D" w:rsidRDefault="003D07E1" w:rsidP="0032280D">
            <w:pPr>
              <w:ind w:left="0" w:right="0"/>
              <w:rPr>
                <w:kern w:val="2"/>
                <w:sz w:val="20"/>
                <w:szCs w:val="20"/>
              </w:rPr>
            </w:pPr>
            <w:r w:rsidRPr="0032280D">
              <w:rPr>
                <w:kern w:val="2"/>
                <w:sz w:val="20"/>
                <w:szCs w:val="20"/>
              </w:rPr>
              <w:t>177866</w:t>
            </w:r>
          </w:p>
        </w:tc>
        <w:tc>
          <w:tcPr>
            <w:tcW w:w="1429" w:type="dxa"/>
          </w:tcPr>
          <w:p w14:paraId="56F09354"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3.3</w:t>
            </w:r>
          </w:p>
        </w:tc>
      </w:tr>
      <w:tr w:rsidR="003D07E1" w:rsidRPr="0032280D" w14:paraId="332733D9" w14:textId="77777777" w:rsidTr="00616DAF">
        <w:trPr>
          <w:trHeight w:val="227"/>
        </w:trPr>
        <w:tc>
          <w:tcPr>
            <w:tcW w:w="1265" w:type="dxa"/>
            <w:vMerge/>
          </w:tcPr>
          <w:p w14:paraId="487657CE" w14:textId="77777777" w:rsidR="003D07E1" w:rsidRPr="0032280D" w:rsidRDefault="003D07E1" w:rsidP="0032280D">
            <w:pPr>
              <w:ind w:left="0" w:right="0"/>
              <w:rPr>
                <w:color w:val="00B050"/>
                <w:kern w:val="2"/>
                <w:sz w:val="20"/>
                <w:szCs w:val="20"/>
              </w:rPr>
            </w:pPr>
          </w:p>
        </w:tc>
        <w:tc>
          <w:tcPr>
            <w:tcW w:w="1352" w:type="dxa"/>
            <w:vMerge/>
          </w:tcPr>
          <w:p w14:paraId="7F135818" w14:textId="77777777" w:rsidR="003D07E1" w:rsidRPr="0032280D" w:rsidRDefault="003D07E1" w:rsidP="0032280D">
            <w:pPr>
              <w:ind w:left="0" w:right="0"/>
              <w:rPr>
                <w:kern w:val="2"/>
                <w:sz w:val="20"/>
                <w:szCs w:val="20"/>
              </w:rPr>
            </w:pPr>
          </w:p>
        </w:tc>
        <w:tc>
          <w:tcPr>
            <w:tcW w:w="1460" w:type="dxa"/>
            <w:vMerge w:val="restart"/>
          </w:tcPr>
          <w:p w14:paraId="24277DE4" w14:textId="77777777" w:rsidR="003D07E1" w:rsidRPr="0032280D" w:rsidRDefault="003D07E1" w:rsidP="0032280D">
            <w:pPr>
              <w:ind w:left="0" w:right="0"/>
              <w:rPr>
                <w:kern w:val="2"/>
                <w:sz w:val="20"/>
                <w:szCs w:val="20"/>
              </w:rPr>
            </w:pPr>
            <w:r w:rsidRPr="0032280D">
              <w:rPr>
                <w:kern w:val="2"/>
                <w:sz w:val="20"/>
                <w:szCs w:val="20"/>
              </w:rPr>
              <w:t>750</w:t>
            </w:r>
          </w:p>
        </w:tc>
        <w:tc>
          <w:tcPr>
            <w:tcW w:w="1560" w:type="dxa"/>
          </w:tcPr>
          <w:p w14:paraId="1A156055" w14:textId="77777777" w:rsidR="003D07E1" w:rsidRPr="0032280D" w:rsidRDefault="003D07E1" w:rsidP="0032280D">
            <w:pPr>
              <w:ind w:left="0" w:right="0"/>
              <w:rPr>
                <w:kern w:val="2"/>
                <w:sz w:val="20"/>
                <w:szCs w:val="20"/>
              </w:rPr>
            </w:pPr>
            <w:r w:rsidRPr="0032280D">
              <w:rPr>
                <w:kern w:val="2"/>
                <w:sz w:val="20"/>
                <w:szCs w:val="20"/>
              </w:rPr>
              <w:t>Idebenone + Idebenone C</w:t>
            </w:r>
          </w:p>
        </w:tc>
        <w:tc>
          <w:tcPr>
            <w:tcW w:w="1559" w:type="dxa"/>
          </w:tcPr>
          <w:p w14:paraId="411D61D0" w14:textId="77777777" w:rsidR="003D07E1" w:rsidRPr="0032280D" w:rsidRDefault="003D07E1" w:rsidP="0032280D">
            <w:pPr>
              <w:ind w:left="0" w:right="0"/>
              <w:rPr>
                <w:kern w:val="2"/>
                <w:sz w:val="20"/>
                <w:szCs w:val="20"/>
              </w:rPr>
            </w:pPr>
            <w:r w:rsidRPr="0032280D">
              <w:rPr>
                <w:kern w:val="2"/>
                <w:sz w:val="20"/>
                <w:szCs w:val="20"/>
              </w:rPr>
              <w:t>205679</w:t>
            </w:r>
          </w:p>
        </w:tc>
        <w:tc>
          <w:tcPr>
            <w:tcW w:w="1429" w:type="dxa"/>
          </w:tcPr>
          <w:p w14:paraId="1F3E469A"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4.2</w:t>
            </w:r>
          </w:p>
        </w:tc>
      </w:tr>
      <w:tr w:rsidR="003D07E1" w:rsidRPr="0032280D" w14:paraId="73DEE220" w14:textId="77777777" w:rsidTr="00616DAF">
        <w:trPr>
          <w:trHeight w:val="227"/>
        </w:trPr>
        <w:tc>
          <w:tcPr>
            <w:tcW w:w="1265" w:type="dxa"/>
            <w:vMerge/>
          </w:tcPr>
          <w:p w14:paraId="01FCE4A0" w14:textId="77777777" w:rsidR="003D07E1" w:rsidRPr="0032280D" w:rsidRDefault="003D07E1" w:rsidP="0032280D">
            <w:pPr>
              <w:ind w:left="0" w:right="0"/>
              <w:rPr>
                <w:kern w:val="2"/>
                <w:sz w:val="20"/>
                <w:szCs w:val="20"/>
              </w:rPr>
            </w:pPr>
          </w:p>
        </w:tc>
        <w:tc>
          <w:tcPr>
            <w:tcW w:w="1352" w:type="dxa"/>
            <w:vMerge/>
          </w:tcPr>
          <w:p w14:paraId="5DDB8AF7" w14:textId="77777777" w:rsidR="003D07E1" w:rsidRPr="0032280D" w:rsidRDefault="003D07E1" w:rsidP="0032280D">
            <w:pPr>
              <w:ind w:left="0" w:right="0"/>
              <w:rPr>
                <w:kern w:val="2"/>
                <w:sz w:val="20"/>
                <w:szCs w:val="20"/>
              </w:rPr>
            </w:pPr>
          </w:p>
        </w:tc>
        <w:tc>
          <w:tcPr>
            <w:tcW w:w="1460" w:type="dxa"/>
            <w:vMerge/>
          </w:tcPr>
          <w:p w14:paraId="4A6F1274" w14:textId="77777777" w:rsidR="003D07E1" w:rsidRPr="0032280D" w:rsidRDefault="003D07E1" w:rsidP="0032280D">
            <w:pPr>
              <w:ind w:left="0" w:right="0"/>
              <w:rPr>
                <w:kern w:val="2"/>
                <w:sz w:val="20"/>
                <w:szCs w:val="20"/>
              </w:rPr>
            </w:pPr>
          </w:p>
        </w:tc>
        <w:tc>
          <w:tcPr>
            <w:tcW w:w="1560" w:type="dxa"/>
          </w:tcPr>
          <w:p w14:paraId="2223CC20"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QS10+QS10-C</w:t>
            </w:r>
          </w:p>
        </w:tc>
        <w:tc>
          <w:tcPr>
            <w:tcW w:w="1559" w:type="dxa"/>
          </w:tcPr>
          <w:p w14:paraId="525AB540" w14:textId="77777777" w:rsidR="003D07E1" w:rsidRPr="0032280D" w:rsidRDefault="003D07E1" w:rsidP="0032280D">
            <w:pPr>
              <w:ind w:left="0" w:right="0"/>
              <w:rPr>
                <w:kern w:val="2"/>
                <w:sz w:val="20"/>
                <w:szCs w:val="20"/>
              </w:rPr>
            </w:pPr>
            <w:r w:rsidRPr="0032280D">
              <w:rPr>
                <w:kern w:val="2"/>
                <w:sz w:val="20"/>
                <w:szCs w:val="20"/>
              </w:rPr>
              <w:t>15034</w:t>
            </w:r>
          </w:p>
        </w:tc>
        <w:tc>
          <w:tcPr>
            <w:tcW w:w="1429" w:type="dxa"/>
          </w:tcPr>
          <w:p w14:paraId="7CE838FB"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0.6</w:t>
            </w:r>
          </w:p>
        </w:tc>
      </w:tr>
      <w:tr w:rsidR="003D07E1" w:rsidRPr="0032280D" w14:paraId="19470582" w14:textId="77777777" w:rsidTr="00616DAF">
        <w:trPr>
          <w:trHeight w:val="227"/>
        </w:trPr>
        <w:tc>
          <w:tcPr>
            <w:tcW w:w="1265" w:type="dxa"/>
            <w:vMerge/>
          </w:tcPr>
          <w:p w14:paraId="4895EA06" w14:textId="77777777" w:rsidR="003D07E1" w:rsidRPr="0032280D" w:rsidRDefault="003D07E1" w:rsidP="0032280D">
            <w:pPr>
              <w:ind w:left="0" w:right="0"/>
              <w:rPr>
                <w:kern w:val="2"/>
                <w:sz w:val="20"/>
                <w:szCs w:val="20"/>
              </w:rPr>
            </w:pPr>
          </w:p>
        </w:tc>
        <w:tc>
          <w:tcPr>
            <w:tcW w:w="1352" w:type="dxa"/>
            <w:vMerge/>
          </w:tcPr>
          <w:p w14:paraId="3A3FC085" w14:textId="77777777" w:rsidR="003D07E1" w:rsidRPr="0032280D" w:rsidRDefault="003D07E1" w:rsidP="0032280D">
            <w:pPr>
              <w:ind w:left="0" w:right="0"/>
              <w:rPr>
                <w:kern w:val="2"/>
                <w:sz w:val="20"/>
                <w:szCs w:val="20"/>
              </w:rPr>
            </w:pPr>
          </w:p>
        </w:tc>
        <w:tc>
          <w:tcPr>
            <w:tcW w:w="1460" w:type="dxa"/>
            <w:vMerge/>
          </w:tcPr>
          <w:p w14:paraId="3AC98E13" w14:textId="77777777" w:rsidR="003D07E1" w:rsidRPr="0032280D" w:rsidRDefault="003D07E1" w:rsidP="0032280D">
            <w:pPr>
              <w:ind w:left="0" w:right="0"/>
              <w:rPr>
                <w:kern w:val="2"/>
                <w:sz w:val="20"/>
                <w:szCs w:val="20"/>
              </w:rPr>
            </w:pPr>
          </w:p>
        </w:tc>
        <w:tc>
          <w:tcPr>
            <w:tcW w:w="1560" w:type="dxa"/>
          </w:tcPr>
          <w:p w14:paraId="615C4DFC"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QS6+QS6-C</w:t>
            </w:r>
          </w:p>
        </w:tc>
        <w:tc>
          <w:tcPr>
            <w:tcW w:w="1559" w:type="dxa"/>
          </w:tcPr>
          <w:p w14:paraId="2D28A9A5" w14:textId="77777777" w:rsidR="003D07E1" w:rsidRPr="0032280D" w:rsidRDefault="003D07E1" w:rsidP="0032280D">
            <w:pPr>
              <w:ind w:left="0" w:right="0"/>
              <w:rPr>
                <w:kern w:val="2"/>
                <w:sz w:val="20"/>
                <w:szCs w:val="20"/>
              </w:rPr>
            </w:pPr>
            <w:r w:rsidRPr="0032280D">
              <w:rPr>
                <w:kern w:val="2"/>
                <w:sz w:val="20"/>
                <w:szCs w:val="20"/>
              </w:rPr>
              <w:t>30154</w:t>
            </w:r>
          </w:p>
        </w:tc>
        <w:tc>
          <w:tcPr>
            <w:tcW w:w="1429" w:type="dxa"/>
          </w:tcPr>
          <w:p w14:paraId="0C00E467"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2.4</w:t>
            </w:r>
          </w:p>
        </w:tc>
      </w:tr>
      <w:tr w:rsidR="003D07E1" w:rsidRPr="0032280D" w14:paraId="22D64992" w14:textId="77777777" w:rsidTr="00616DAF">
        <w:trPr>
          <w:trHeight w:val="227"/>
        </w:trPr>
        <w:tc>
          <w:tcPr>
            <w:tcW w:w="1265" w:type="dxa"/>
            <w:vMerge/>
          </w:tcPr>
          <w:p w14:paraId="54AB07A5" w14:textId="77777777" w:rsidR="003D07E1" w:rsidRPr="0032280D" w:rsidRDefault="003D07E1" w:rsidP="0032280D">
            <w:pPr>
              <w:ind w:left="0" w:right="0"/>
              <w:rPr>
                <w:kern w:val="2"/>
                <w:sz w:val="20"/>
                <w:szCs w:val="20"/>
              </w:rPr>
            </w:pPr>
          </w:p>
        </w:tc>
        <w:tc>
          <w:tcPr>
            <w:tcW w:w="1352" w:type="dxa"/>
            <w:vMerge/>
          </w:tcPr>
          <w:p w14:paraId="4051205B" w14:textId="77777777" w:rsidR="003D07E1" w:rsidRPr="0032280D" w:rsidRDefault="003D07E1" w:rsidP="0032280D">
            <w:pPr>
              <w:ind w:left="0" w:right="0"/>
              <w:rPr>
                <w:kern w:val="2"/>
                <w:sz w:val="20"/>
                <w:szCs w:val="20"/>
              </w:rPr>
            </w:pPr>
          </w:p>
        </w:tc>
        <w:tc>
          <w:tcPr>
            <w:tcW w:w="1460" w:type="dxa"/>
            <w:vMerge/>
          </w:tcPr>
          <w:p w14:paraId="03530D9E" w14:textId="77777777" w:rsidR="003D07E1" w:rsidRPr="0032280D" w:rsidRDefault="003D07E1" w:rsidP="0032280D">
            <w:pPr>
              <w:ind w:left="0" w:right="0"/>
              <w:rPr>
                <w:kern w:val="2"/>
                <w:sz w:val="20"/>
                <w:szCs w:val="20"/>
              </w:rPr>
            </w:pPr>
          </w:p>
        </w:tc>
        <w:tc>
          <w:tcPr>
            <w:tcW w:w="1560" w:type="dxa"/>
          </w:tcPr>
          <w:p w14:paraId="243E0F9C"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QS4+QS4-C</w:t>
            </w:r>
          </w:p>
        </w:tc>
        <w:tc>
          <w:tcPr>
            <w:tcW w:w="1559" w:type="dxa"/>
          </w:tcPr>
          <w:p w14:paraId="7BE9A9C3" w14:textId="77777777" w:rsidR="003D07E1" w:rsidRPr="0032280D" w:rsidRDefault="003D07E1" w:rsidP="0032280D">
            <w:pPr>
              <w:ind w:left="0" w:right="0"/>
              <w:rPr>
                <w:kern w:val="2"/>
                <w:sz w:val="20"/>
                <w:szCs w:val="20"/>
              </w:rPr>
            </w:pPr>
            <w:r w:rsidRPr="0032280D">
              <w:rPr>
                <w:kern w:val="2"/>
                <w:sz w:val="20"/>
                <w:szCs w:val="20"/>
              </w:rPr>
              <w:t>155093</w:t>
            </w:r>
          </w:p>
        </w:tc>
        <w:tc>
          <w:tcPr>
            <w:tcW w:w="1429" w:type="dxa"/>
          </w:tcPr>
          <w:p w14:paraId="4E22A9BB"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2.9</w:t>
            </w:r>
          </w:p>
        </w:tc>
      </w:tr>
      <w:tr w:rsidR="003D07E1" w:rsidRPr="0032280D" w14:paraId="31ADE678" w14:textId="77777777" w:rsidTr="00616DAF">
        <w:trPr>
          <w:trHeight w:val="227"/>
        </w:trPr>
        <w:tc>
          <w:tcPr>
            <w:tcW w:w="1265" w:type="dxa"/>
            <w:vMerge/>
          </w:tcPr>
          <w:p w14:paraId="11D12954" w14:textId="77777777" w:rsidR="003D07E1" w:rsidRPr="0032280D" w:rsidRDefault="003D07E1" w:rsidP="0032280D">
            <w:pPr>
              <w:ind w:left="0" w:right="0"/>
              <w:rPr>
                <w:color w:val="00B050"/>
                <w:kern w:val="2"/>
                <w:sz w:val="20"/>
                <w:szCs w:val="20"/>
              </w:rPr>
            </w:pPr>
          </w:p>
        </w:tc>
        <w:tc>
          <w:tcPr>
            <w:tcW w:w="1352" w:type="dxa"/>
            <w:vMerge/>
          </w:tcPr>
          <w:p w14:paraId="202B3357" w14:textId="77777777" w:rsidR="003D07E1" w:rsidRPr="0032280D" w:rsidRDefault="003D07E1" w:rsidP="0032280D">
            <w:pPr>
              <w:ind w:left="0" w:right="0"/>
              <w:rPr>
                <w:kern w:val="2"/>
                <w:sz w:val="20"/>
                <w:szCs w:val="20"/>
              </w:rPr>
            </w:pPr>
          </w:p>
        </w:tc>
        <w:tc>
          <w:tcPr>
            <w:tcW w:w="1460" w:type="dxa"/>
            <w:vMerge w:val="restart"/>
          </w:tcPr>
          <w:p w14:paraId="345D5072" w14:textId="77777777" w:rsidR="003D07E1" w:rsidRPr="0032280D" w:rsidRDefault="003D07E1" w:rsidP="0032280D">
            <w:pPr>
              <w:ind w:left="0" w:right="0"/>
              <w:rPr>
                <w:kern w:val="2"/>
                <w:sz w:val="20"/>
                <w:szCs w:val="20"/>
              </w:rPr>
            </w:pPr>
            <w:r w:rsidRPr="0032280D">
              <w:rPr>
                <w:kern w:val="2"/>
                <w:sz w:val="20"/>
                <w:szCs w:val="20"/>
              </w:rPr>
              <w:t>1000</w:t>
            </w:r>
          </w:p>
        </w:tc>
        <w:tc>
          <w:tcPr>
            <w:tcW w:w="1560" w:type="dxa"/>
          </w:tcPr>
          <w:p w14:paraId="7AE3F5F5" w14:textId="77777777" w:rsidR="003D07E1" w:rsidRPr="0032280D" w:rsidRDefault="003D07E1" w:rsidP="0032280D">
            <w:pPr>
              <w:ind w:left="0" w:right="0"/>
              <w:rPr>
                <w:kern w:val="2"/>
                <w:sz w:val="20"/>
                <w:szCs w:val="20"/>
              </w:rPr>
            </w:pPr>
            <w:r w:rsidRPr="0032280D">
              <w:rPr>
                <w:kern w:val="2"/>
                <w:sz w:val="20"/>
                <w:szCs w:val="20"/>
              </w:rPr>
              <w:t>Idebenone + Idebenone C</w:t>
            </w:r>
          </w:p>
        </w:tc>
        <w:tc>
          <w:tcPr>
            <w:tcW w:w="1559" w:type="dxa"/>
          </w:tcPr>
          <w:p w14:paraId="165FC253" w14:textId="77777777" w:rsidR="003D07E1" w:rsidRPr="0032280D" w:rsidRDefault="003D07E1" w:rsidP="0032280D">
            <w:pPr>
              <w:ind w:left="0" w:right="0"/>
              <w:rPr>
                <w:kern w:val="2"/>
                <w:sz w:val="20"/>
                <w:szCs w:val="20"/>
              </w:rPr>
            </w:pPr>
            <w:r w:rsidRPr="0032280D">
              <w:rPr>
                <w:kern w:val="2"/>
                <w:sz w:val="20"/>
                <w:szCs w:val="20"/>
              </w:rPr>
              <w:t>318550</w:t>
            </w:r>
          </w:p>
        </w:tc>
        <w:tc>
          <w:tcPr>
            <w:tcW w:w="1429" w:type="dxa"/>
          </w:tcPr>
          <w:p w14:paraId="72AEA99D"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6.5</w:t>
            </w:r>
          </w:p>
        </w:tc>
      </w:tr>
      <w:tr w:rsidR="003D07E1" w:rsidRPr="0032280D" w14:paraId="6C4F8D60" w14:textId="77777777" w:rsidTr="00616DAF">
        <w:trPr>
          <w:trHeight w:val="227"/>
        </w:trPr>
        <w:tc>
          <w:tcPr>
            <w:tcW w:w="1265" w:type="dxa"/>
            <w:vMerge/>
          </w:tcPr>
          <w:p w14:paraId="776F5BF0" w14:textId="77777777" w:rsidR="003D07E1" w:rsidRPr="0032280D" w:rsidRDefault="003D07E1" w:rsidP="0032280D">
            <w:pPr>
              <w:ind w:left="0" w:right="0"/>
              <w:rPr>
                <w:kern w:val="2"/>
                <w:sz w:val="20"/>
                <w:szCs w:val="20"/>
              </w:rPr>
            </w:pPr>
          </w:p>
        </w:tc>
        <w:tc>
          <w:tcPr>
            <w:tcW w:w="1352" w:type="dxa"/>
            <w:vMerge/>
          </w:tcPr>
          <w:p w14:paraId="0626F7EF" w14:textId="77777777" w:rsidR="003D07E1" w:rsidRPr="0032280D" w:rsidRDefault="003D07E1" w:rsidP="0032280D">
            <w:pPr>
              <w:ind w:left="0" w:right="0"/>
              <w:rPr>
                <w:kern w:val="2"/>
                <w:sz w:val="20"/>
                <w:szCs w:val="20"/>
              </w:rPr>
            </w:pPr>
          </w:p>
        </w:tc>
        <w:tc>
          <w:tcPr>
            <w:tcW w:w="1460" w:type="dxa"/>
            <w:vMerge/>
          </w:tcPr>
          <w:p w14:paraId="2002351D" w14:textId="77777777" w:rsidR="003D07E1" w:rsidRPr="0032280D" w:rsidRDefault="003D07E1" w:rsidP="0032280D">
            <w:pPr>
              <w:ind w:left="0" w:right="0"/>
              <w:rPr>
                <w:kern w:val="2"/>
                <w:sz w:val="20"/>
                <w:szCs w:val="20"/>
              </w:rPr>
            </w:pPr>
          </w:p>
        </w:tc>
        <w:tc>
          <w:tcPr>
            <w:tcW w:w="1560" w:type="dxa"/>
          </w:tcPr>
          <w:p w14:paraId="0FBC503C"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QS10+QS10-C</w:t>
            </w:r>
          </w:p>
        </w:tc>
        <w:tc>
          <w:tcPr>
            <w:tcW w:w="1559" w:type="dxa"/>
          </w:tcPr>
          <w:p w14:paraId="465ED833" w14:textId="77777777" w:rsidR="003D07E1" w:rsidRPr="0032280D" w:rsidRDefault="003D07E1" w:rsidP="0032280D">
            <w:pPr>
              <w:ind w:left="0" w:right="0"/>
              <w:rPr>
                <w:kern w:val="2"/>
                <w:sz w:val="20"/>
                <w:szCs w:val="20"/>
              </w:rPr>
            </w:pPr>
            <w:r w:rsidRPr="0032280D">
              <w:rPr>
                <w:kern w:val="2"/>
                <w:sz w:val="20"/>
                <w:szCs w:val="20"/>
              </w:rPr>
              <w:t>24027</w:t>
            </w:r>
          </w:p>
        </w:tc>
        <w:tc>
          <w:tcPr>
            <w:tcW w:w="1429" w:type="dxa"/>
          </w:tcPr>
          <w:p w14:paraId="3F990487"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1.0</w:t>
            </w:r>
          </w:p>
        </w:tc>
      </w:tr>
      <w:tr w:rsidR="003D07E1" w:rsidRPr="0032280D" w14:paraId="19C5D3A1" w14:textId="77777777" w:rsidTr="00616DAF">
        <w:trPr>
          <w:trHeight w:val="227"/>
        </w:trPr>
        <w:tc>
          <w:tcPr>
            <w:tcW w:w="1265" w:type="dxa"/>
            <w:vMerge/>
          </w:tcPr>
          <w:p w14:paraId="42EF9004" w14:textId="77777777" w:rsidR="003D07E1" w:rsidRPr="0032280D" w:rsidRDefault="003D07E1" w:rsidP="0032280D">
            <w:pPr>
              <w:ind w:left="0" w:right="0"/>
              <w:rPr>
                <w:kern w:val="2"/>
                <w:sz w:val="20"/>
                <w:szCs w:val="20"/>
              </w:rPr>
            </w:pPr>
          </w:p>
        </w:tc>
        <w:tc>
          <w:tcPr>
            <w:tcW w:w="1352" w:type="dxa"/>
            <w:vMerge/>
          </w:tcPr>
          <w:p w14:paraId="7B74B1E8" w14:textId="77777777" w:rsidR="003D07E1" w:rsidRPr="0032280D" w:rsidRDefault="003D07E1" w:rsidP="0032280D">
            <w:pPr>
              <w:ind w:left="0" w:right="0"/>
              <w:rPr>
                <w:kern w:val="2"/>
                <w:sz w:val="20"/>
                <w:szCs w:val="20"/>
              </w:rPr>
            </w:pPr>
          </w:p>
        </w:tc>
        <w:tc>
          <w:tcPr>
            <w:tcW w:w="1460" w:type="dxa"/>
            <w:vMerge/>
          </w:tcPr>
          <w:p w14:paraId="46DA03EC" w14:textId="77777777" w:rsidR="003D07E1" w:rsidRPr="0032280D" w:rsidRDefault="003D07E1" w:rsidP="0032280D">
            <w:pPr>
              <w:ind w:left="0" w:right="0"/>
              <w:rPr>
                <w:kern w:val="2"/>
                <w:sz w:val="20"/>
                <w:szCs w:val="20"/>
              </w:rPr>
            </w:pPr>
          </w:p>
        </w:tc>
        <w:tc>
          <w:tcPr>
            <w:tcW w:w="1560" w:type="dxa"/>
          </w:tcPr>
          <w:p w14:paraId="34D54B47"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QS6+QS6-C</w:t>
            </w:r>
          </w:p>
        </w:tc>
        <w:tc>
          <w:tcPr>
            <w:tcW w:w="1559" w:type="dxa"/>
          </w:tcPr>
          <w:p w14:paraId="75B5B4C3" w14:textId="77777777" w:rsidR="003D07E1" w:rsidRPr="0032280D" w:rsidRDefault="003D07E1" w:rsidP="0032280D">
            <w:pPr>
              <w:ind w:left="0" w:right="0"/>
              <w:rPr>
                <w:kern w:val="2"/>
                <w:sz w:val="20"/>
                <w:szCs w:val="20"/>
              </w:rPr>
            </w:pPr>
            <w:r w:rsidRPr="0032280D">
              <w:rPr>
                <w:kern w:val="2"/>
                <w:sz w:val="20"/>
                <w:szCs w:val="20"/>
              </w:rPr>
              <w:t>90886</w:t>
            </w:r>
          </w:p>
        </w:tc>
        <w:tc>
          <w:tcPr>
            <w:tcW w:w="1429" w:type="dxa"/>
          </w:tcPr>
          <w:p w14:paraId="56E4921A"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7.2</w:t>
            </w:r>
          </w:p>
        </w:tc>
      </w:tr>
      <w:tr w:rsidR="003D07E1" w:rsidRPr="0032280D" w14:paraId="3A83B88B" w14:textId="77777777" w:rsidTr="00616DAF">
        <w:trPr>
          <w:trHeight w:val="227"/>
        </w:trPr>
        <w:tc>
          <w:tcPr>
            <w:tcW w:w="1265" w:type="dxa"/>
            <w:vMerge/>
          </w:tcPr>
          <w:p w14:paraId="55547558" w14:textId="77777777" w:rsidR="003D07E1" w:rsidRPr="0032280D" w:rsidRDefault="003D07E1" w:rsidP="0032280D">
            <w:pPr>
              <w:ind w:left="0" w:right="0"/>
              <w:rPr>
                <w:kern w:val="2"/>
                <w:sz w:val="20"/>
                <w:szCs w:val="20"/>
              </w:rPr>
            </w:pPr>
          </w:p>
        </w:tc>
        <w:tc>
          <w:tcPr>
            <w:tcW w:w="1352" w:type="dxa"/>
            <w:vMerge/>
          </w:tcPr>
          <w:p w14:paraId="2426911B" w14:textId="77777777" w:rsidR="003D07E1" w:rsidRPr="0032280D" w:rsidRDefault="003D07E1" w:rsidP="0032280D">
            <w:pPr>
              <w:ind w:left="0" w:right="0"/>
              <w:rPr>
                <w:kern w:val="2"/>
                <w:sz w:val="20"/>
                <w:szCs w:val="20"/>
              </w:rPr>
            </w:pPr>
          </w:p>
        </w:tc>
        <w:tc>
          <w:tcPr>
            <w:tcW w:w="1460" w:type="dxa"/>
            <w:vMerge/>
          </w:tcPr>
          <w:p w14:paraId="76996E01" w14:textId="77777777" w:rsidR="003D07E1" w:rsidRPr="0032280D" w:rsidRDefault="003D07E1" w:rsidP="0032280D">
            <w:pPr>
              <w:ind w:left="0" w:right="0"/>
              <w:rPr>
                <w:kern w:val="2"/>
                <w:sz w:val="20"/>
                <w:szCs w:val="20"/>
              </w:rPr>
            </w:pPr>
          </w:p>
        </w:tc>
        <w:tc>
          <w:tcPr>
            <w:tcW w:w="1560" w:type="dxa"/>
          </w:tcPr>
          <w:p w14:paraId="771E1B37"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QS4+QS4-C</w:t>
            </w:r>
          </w:p>
        </w:tc>
        <w:tc>
          <w:tcPr>
            <w:tcW w:w="1559" w:type="dxa"/>
          </w:tcPr>
          <w:p w14:paraId="5906FAC0" w14:textId="77777777" w:rsidR="003D07E1" w:rsidRPr="0032280D" w:rsidRDefault="003D07E1" w:rsidP="0032280D">
            <w:pPr>
              <w:ind w:left="0" w:right="0"/>
              <w:rPr>
                <w:kern w:val="2"/>
                <w:sz w:val="20"/>
                <w:szCs w:val="20"/>
              </w:rPr>
            </w:pPr>
            <w:r w:rsidRPr="0032280D">
              <w:rPr>
                <w:kern w:val="2"/>
                <w:sz w:val="20"/>
                <w:szCs w:val="20"/>
              </w:rPr>
              <w:t>236273</w:t>
            </w:r>
          </w:p>
        </w:tc>
        <w:tc>
          <w:tcPr>
            <w:tcW w:w="1429" w:type="dxa"/>
          </w:tcPr>
          <w:p w14:paraId="7BCE75A2" w14:textId="77777777" w:rsidR="003D07E1" w:rsidRPr="0032280D" w:rsidRDefault="003D07E1" w:rsidP="0032280D">
            <w:pPr>
              <w:ind w:left="0" w:right="0"/>
              <w:rPr>
                <w:rFonts w:asciiTheme="minorHAnsi" w:hAnsiTheme="minorHAnsi"/>
                <w:color w:val="000000"/>
                <w:sz w:val="20"/>
                <w:szCs w:val="20"/>
              </w:rPr>
            </w:pPr>
            <w:r w:rsidRPr="0032280D">
              <w:rPr>
                <w:rFonts w:asciiTheme="minorHAnsi" w:hAnsiTheme="minorHAnsi"/>
                <w:color w:val="000000"/>
                <w:sz w:val="20"/>
                <w:szCs w:val="20"/>
              </w:rPr>
              <w:t>4.4</w:t>
            </w:r>
          </w:p>
        </w:tc>
      </w:tr>
      <w:tr w:rsidR="003D07E1" w:rsidRPr="0032280D" w14:paraId="681B65AC" w14:textId="77777777" w:rsidTr="00616DAF">
        <w:trPr>
          <w:trHeight w:val="540"/>
        </w:trPr>
        <w:tc>
          <w:tcPr>
            <w:tcW w:w="1265" w:type="dxa"/>
            <w:vMerge w:val="restart"/>
          </w:tcPr>
          <w:p w14:paraId="6A4B8D87" w14:textId="77777777" w:rsidR="003D07E1" w:rsidRPr="0032280D" w:rsidRDefault="003D07E1" w:rsidP="0032280D">
            <w:pPr>
              <w:ind w:left="0" w:right="0"/>
              <w:rPr>
                <w:kern w:val="2"/>
                <w:sz w:val="20"/>
                <w:szCs w:val="20"/>
              </w:rPr>
            </w:pPr>
            <w:r w:rsidRPr="0032280D">
              <w:rPr>
                <w:kern w:val="2"/>
                <w:sz w:val="20"/>
                <w:szCs w:val="20"/>
              </w:rPr>
              <w:t>Human</w:t>
            </w:r>
            <w:r w:rsidR="0032280D">
              <w:rPr>
                <w:kern w:val="2"/>
                <w:sz w:val="20"/>
                <w:szCs w:val="20"/>
              </w:rPr>
              <w:t xml:space="preserve"> </w:t>
            </w:r>
            <w:r w:rsidRPr="0032280D">
              <w:rPr>
                <w:kern w:val="2"/>
                <w:sz w:val="20"/>
                <w:szCs w:val="20"/>
              </w:rPr>
              <w:t>(healthy volunteers)</w:t>
            </w:r>
          </w:p>
        </w:tc>
        <w:tc>
          <w:tcPr>
            <w:tcW w:w="1352" w:type="dxa"/>
            <w:vMerge w:val="restart"/>
          </w:tcPr>
          <w:p w14:paraId="6F81567F" w14:textId="77777777" w:rsidR="003D07E1" w:rsidRPr="0032280D" w:rsidRDefault="00DB3203" w:rsidP="0032280D">
            <w:pPr>
              <w:ind w:left="0" w:right="0"/>
              <w:rPr>
                <w:kern w:val="2"/>
                <w:sz w:val="20"/>
                <w:szCs w:val="20"/>
              </w:rPr>
            </w:pPr>
            <w:r w:rsidRPr="0032280D">
              <w:rPr>
                <w:kern w:val="2"/>
                <w:sz w:val="20"/>
                <w:szCs w:val="20"/>
              </w:rPr>
              <w:t>(</w:t>
            </w:r>
            <w:r w:rsidR="003D07E1" w:rsidRPr="0032280D">
              <w:rPr>
                <w:kern w:val="2"/>
                <w:sz w:val="20"/>
                <w:szCs w:val="20"/>
              </w:rPr>
              <w:t xml:space="preserve">Study </w:t>
            </w:r>
            <w:r w:rsidR="003D07E1" w:rsidRPr="0032280D">
              <w:rPr>
                <w:rFonts w:asciiTheme="minorHAnsi" w:hAnsiTheme="minorHAnsi"/>
                <w:sz w:val="20"/>
                <w:szCs w:val="20"/>
              </w:rPr>
              <w:t>SNT-I-003</w:t>
            </w:r>
            <w:r w:rsidRPr="0032280D">
              <w:rPr>
                <w:kern w:val="2"/>
                <w:sz w:val="20"/>
                <w:szCs w:val="20"/>
              </w:rPr>
              <w:t>)</w:t>
            </w:r>
          </w:p>
        </w:tc>
        <w:tc>
          <w:tcPr>
            <w:tcW w:w="1460" w:type="dxa"/>
            <w:vMerge w:val="restart"/>
          </w:tcPr>
          <w:p w14:paraId="4FE039E6" w14:textId="77777777" w:rsidR="003D07E1" w:rsidRPr="0032280D" w:rsidRDefault="00DB3203" w:rsidP="0032280D">
            <w:pPr>
              <w:ind w:left="0" w:right="0"/>
              <w:rPr>
                <w:kern w:val="2"/>
                <w:sz w:val="20"/>
                <w:szCs w:val="20"/>
              </w:rPr>
            </w:pPr>
            <w:r w:rsidRPr="0032280D">
              <w:rPr>
                <w:kern w:val="2"/>
                <w:sz w:val="20"/>
                <w:szCs w:val="20"/>
              </w:rPr>
              <w:t>(</w:t>
            </w:r>
            <w:r w:rsidR="003D07E1" w:rsidRPr="0032280D">
              <w:rPr>
                <w:kern w:val="2"/>
                <w:sz w:val="20"/>
                <w:szCs w:val="20"/>
              </w:rPr>
              <w:t>2250 mg</w:t>
            </w:r>
            <w:r w:rsidR="0032280D">
              <w:rPr>
                <w:kern w:val="2"/>
                <w:sz w:val="20"/>
                <w:szCs w:val="20"/>
              </w:rPr>
              <w:t xml:space="preserve">/day </w:t>
            </w:r>
            <w:r w:rsidR="003D07E1" w:rsidRPr="0032280D">
              <w:rPr>
                <w:kern w:val="2"/>
                <w:sz w:val="20"/>
                <w:szCs w:val="20"/>
              </w:rPr>
              <w:t xml:space="preserve">(900 mg </w:t>
            </w:r>
            <w:r w:rsidR="0032280D">
              <w:rPr>
                <w:kern w:val="2"/>
                <w:sz w:val="20"/>
                <w:szCs w:val="20"/>
              </w:rPr>
              <w:t>TDS</w:t>
            </w:r>
            <w:r w:rsidR="003D07E1" w:rsidRPr="0032280D">
              <w:rPr>
                <w:kern w:val="2"/>
                <w:sz w:val="20"/>
                <w:szCs w:val="20"/>
              </w:rPr>
              <w:t>)</w:t>
            </w:r>
            <w:r w:rsidRPr="0032280D">
              <w:rPr>
                <w:kern w:val="2"/>
                <w:sz w:val="20"/>
                <w:szCs w:val="20"/>
              </w:rPr>
              <w:t>)</w:t>
            </w:r>
          </w:p>
        </w:tc>
        <w:tc>
          <w:tcPr>
            <w:tcW w:w="1560" w:type="dxa"/>
          </w:tcPr>
          <w:p w14:paraId="681A1ED1" w14:textId="77777777" w:rsidR="003D07E1" w:rsidRPr="0032280D" w:rsidRDefault="003D07E1" w:rsidP="0032280D">
            <w:pPr>
              <w:ind w:left="0" w:right="0"/>
              <w:rPr>
                <w:kern w:val="2"/>
                <w:sz w:val="20"/>
                <w:szCs w:val="20"/>
              </w:rPr>
            </w:pPr>
            <w:r w:rsidRPr="0032280D">
              <w:rPr>
                <w:kern w:val="2"/>
                <w:sz w:val="20"/>
                <w:szCs w:val="20"/>
              </w:rPr>
              <w:t>Idebenone + Idebenone C</w:t>
            </w:r>
          </w:p>
        </w:tc>
        <w:tc>
          <w:tcPr>
            <w:tcW w:w="1559" w:type="dxa"/>
          </w:tcPr>
          <w:p w14:paraId="4D1D3834" w14:textId="77777777" w:rsidR="003D07E1" w:rsidRPr="0032280D" w:rsidRDefault="003D07E1" w:rsidP="0032280D">
            <w:pPr>
              <w:ind w:left="0" w:right="0"/>
              <w:rPr>
                <w:kern w:val="2"/>
                <w:sz w:val="20"/>
                <w:szCs w:val="20"/>
              </w:rPr>
            </w:pPr>
            <w:r w:rsidRPr="0032280D">
              <w:rPr>
                <w:kern w:val="2"/>
                <w:sz w:val="20"/>
                <w:szCs w:val="20"/>
              </w:rPr>
              <w:t>49302</w:t>
            </w:r>
            <w:r w:rsidRPr="0032280D">
              <w:rPr>
                <w:kern w:val="2"/>
                <w:sz w:val="20"/>
                <w:szCs w:val="20"/>
                <w:vertAlign w:val="superscript"/>
              </w:rPr>
              <w:t>#</w:t>
            </w:r>
          </w:p>
        </w:tc>
        <w:tc>
          <w:tcPr>
            <w:tcW w:w="1429" w:type="dxa"/>
          </w:tcPr>
          <w:p w14:paraId="7501FB87" w14:textId="77777777" w:rsidR="003D07E1" w:rsidRPr="0032280D" w:rsidRDefault="003D07E1" w:rsidP="0032280D">
            <w:pPr>
              <w:ind w:left="0" w:right="0"/>
              <w:rPr>
                <w:rFonts w:asciiTheme="minorHAnsi" w:hAnsiTheme="minorHAnsi"/>
                <w:kern w:val="2"/>
                <w:sz w:val="20"/>
                <w:szCs w:val="20"/>
              </w:rPr>
            </w:pPr>
            <w:r w:rsidRPr="0032280D">
              <w:rPr>
                <w:rFonts w:asciiTheme="minorHAnsi" w:hAnsiTheme="minorHAnsi"/>
                <w:kern w:val="2"/>
                <w:sz w:val="20"/>
                <w:szCs w:val="20"/>
              </w:rPr>
              <w:t>–</w:t>
            </w:r>
          </w:p>
        </w:tc>
      </w:tr>
      <w:tr w:rsidR="003D07E1" w:rsidRPr="0032280D" w14:paraId="31285050" w14:textId="77777777" w:rsidTr="00616DAF">
        <w:trPr>
          <w:trHeight w:val="227"/>
        </w:trPr>
        <w:tc>
          <w:tcPr>
            <w:tcW w:w="1265" w:type="dxa"/>
            <w:vMerge/>
          </w:tcPr>
          <w:p w14:paraId="7E186C98" w14:textId="77777777" w:rsidR="003D07E1" w:rsidRPr="0032280D" w:rsidRDefault="003D07E1" w:rsidP="0032280D">
            <w:pPr>
              <w:ind w:left="0" w:right="0"/>
              <w:rPr>
                <w:kern w:val="2"/>
                <w:sz w:val="20"/>
                <w:szCs w:val="20"/>
              </w:rPr>
            </w:pPr>
          </w:p>
        </w:tc>
        <w:tc>
          <w:tcPr>
            <w:tcW w:w="1352" w:type="dxa"/>
            <w:vMerge/>
          </w:tcPr>
          <w:p w14:paraId="0A0AFFC1" w14:textId="77777777" w:rsidR="003D07E1" w:rsidRPr="0032280D" w:rsidRDefault="003D07E1" w:rsidP="0032280D">
            <w:pPr>
              <w:ind w:left="0" w:right="0"/>
              <w:rPr>
                <w:kern w:val="2"/>
                <w:sz w:val="20"/>
                <w:szCs w:val="20"/>
              </w:rPr>
            </w:pPr>
          </w:p>
        </w:tc>
        <w:tc>
          <w:tcPr>
            <w:tcW w:w="1460" w:type="dxa"/>
            <w:vMerge/>
          </w:tcPr>
          <w:p w14:paraId="63023E64" w14:textId="77777777" w:rsidR="003D07E1" w:rsidRPr="0032280D" w:rsidRDefault="003D07E1" w:rsidP="0032280D">
            <w:pPr>
              <w:ind w:left="0" w:right="0"/>
              <w:rPr>
                <w:kern w:val="2"/>
                <w:sz w:val="20"/>
                <w:szCs w:val="20"/>
              </w:rPr>
            </w:pPr>
          </w:p>
        </w:tc>
        <w:tc>
          <w:tcPr>
            <w:tcW w:w="1560" w:type="dxa"/>
          </w:tcPr>
          <w:p w14:paraId="682073C4"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QS10+QS10-C</w:t>
            </w:r>
          </w:p>
        </w:tc>
        <w:tc>
          <w:tcPr>
            <w:tcW w:w="1559" w:type="dxa"/>
          </w:tcPr>
          <w:p w14:paraId="4006268E" w14:textId="77777777" w:rsidR="003D07E1" w:rsidRPr="0032280D" w:rsidRDefault="003D07E1" w:rsidP="0032280D">
            <w:pPr>
              <w:ind w:left="0" w:right="0"/>
              <w:rPr>
                <w:kern w:val="2"/>
                <w:sz w:val="20"/>
                <w:szCs w:val="20"/>
              </w:rPr>
            </w:pPr>
            <w:r w:rsidRPr="0032280D">
              <w:rPr>
                <w:kern w:val="2"/>
                <w:sz w:val="20"/>
                <w:szCs w:val="20"/>
              </w:rPr>
              <w:t>25043</w:t>
            </w:r>
            <w:r w:rsidRPr="0032280D">
              <w:rPr>
                <w:kern w:val="2"/>
                <w:sz w:val="20"/>
                <w:szCs w:val="20"/>
                <w:vertAlign w:val="superscript"/>
              </w:rPr>
              <w:t>#</w:t>
            </w:r>
          </w:p>
        </w:tc>
        <w:tc>
          <w:tcPr>
            <w:tcW w:w="1429" w:type="dxa"/>
          </w:tcPr>
          <w:p w14:paraId="4701F532" w14:textId="77777777" w:rsidR="003D07E1" w:rsidRPr="0032280D" w:rsidRDefault="003D07E1" w:rsidP="0032280D">
            <w:pPr>
              <w:ind w:left="0" w:right="0"/>
              <w:rPr>
                <w:rFonts w:asciiTheme="minorHAnsi" w:hAnsiTheme="minorHAnsi"/>
                <w:kern w:val="2"/>
                <w:sz w:val="20"/>
                <w:szCs w:val="20"/>
              </w:rPr>
            </w:pPr>
            <w:r w:rsidRPr="0032280D">
              <w:rPr>
                <w:rFonts w:asciiTheme="minorHAnsi" w:hAnsiTheme="minorHAnsi"/>
                <w:kern w:val="2"/>
                <w:sz w:val="20"/>
                <w:szCs w:val="20"/>
              </w:rPr>
              <w:t>-</w:t>
            </w:r>
          </w:p>
        </w:tc>
      </w:tr>
      <w:tr w:rsidR="003D07E1" w:rsidRPr="0032280D" w14:paraId="02BD45C8" w14:textId="77777777" w:rsidTr="00616DAF">
        <w:trPr>
          <w:trHeight w:val="227"/>
        </w:trPr>
        <w:tc>
          <w:tcPr>
            <w:tcW w:w="1265" w:type="dxa"/>
            <w:vMerge/>
          </w:tcPr>
          <w:p w14:paraId="729DDC09" w14:textId="77777777" w:rsidR="003D07E1" w:rsidRPr="0032280D" w:rsidRDefault="003D07E1" w:rsidP="0032280D">
            <w:pPr>
              <w:ind w:left="0" w:right="0"/>
              <w:rPr>
                <w:kern w:val="2"/>
                <w:sz w:val="20"/>
                <w:szCs w:val="20"/>
              </w:rPr>
            </w:pPr>
          </w:p>
        </w:tc>
        <w:tc>
          <w:tcPr>
            <w:tcW w:w="1352" w:type="dxa"/>
            <w:vMerge/>
          </w:tcPr>
          <w:p w14:paraId="2D0F3058" w14:textId="77777777" w:rsidR="003D07E1" w:rsidRPr="0032280D" w:rsidRDefault="003D07E1" w:rsidP="0032280D">
            <w:pPr>
              <w:ind w:left="0" w:right="0"/>
              <w:rPr>
                <w:kern w:val="2"/>
                <w:sz w:val="20"/>
                <w:szCs w:val="20"/>
              </w:rPr>
            </w:pPr>
          </w:p>
        </w:tc>
        <w:tc>
          <w:tcPr>
            <w:tcW w:w="1460" w:type="dxa"/>
            <w:vMerge/>
          </w:tcPr>
          <w:p w14:paraId="3ABE692D" w14:textId="77777777" w:rsidR="003D07E1" w:rsidRPr="0032280D" w:rsidRDefault="003D07E1" w:rsidP="0032280D">
            <w:pPr>
              <w:ind w:left="0" w:right="0"/>
              <w:rPr>
                <w:kern w:val="2"/>
                <w:sz w:val="20"/>
                <w:szCs w:val="20"/>
              </w:rPr>
            </w:pPr>
          </w:p>
        </w:tc>
        <w:tc>
          <w:tcPr>
            <w:tcW w:w="1560" w:type="dxa"/>
          </w:tcPr>
          <w:p w14:paraId="35D5A895" w14:textId="77777777" w:rsidR="003D07E1" w:rsidRPr="0032280D" w:rsidRDefault="003D07E1" w:rsidP="0032280D">
            <w:pPr>
              <w:ind w:left="0" w:right="0"/>
              <w:rPr>
                <w:rFonts w:asciiTheme="minorHAnsi" w:hAnsiTheme="minorHAnsi"/>
                <w:sz w:val="20"/>
                <w:szCs w:val="20"/>
              </w:rPr>
            </w:pPr>
            <w:r w:rsidRPr="0032280D">
              <w:rPr>
                <w:rFonts w:asciiTheme="minorHAnsi" w:hAnsiTheme="minorHAnsi"/>
                <w:sz w:val="20"/>
                <w:szCs w:val="20"/>
              </w:rPr>
              <w:t>QS6+QS6-C</w:t>
            </w:r>
          </w:p>
        </w:tc>
        <w:tc>
          <w:tcPr>
            <w:tcW w:w="1559" w:type="dxa"/>
          </w:tcPr>
          <w:p w14:paraId="60B12FAC" w14:textId="77777777" w:rsidR="003D07E1" w:rsidRPr="0032280D" w:rsidRDefault="003D07E1" w:rsidP="0032280D">
            <w:pPr>
              <w:ind w:left="0" w:right="0"/>
              <w:rPr>
                <w:kern w:val="2"/>
                <w:sz w:val="20"/>
                <w:szCs w:val="20"/>
              </w:rPr>
            </w:pPr>
            <w:r w:rsidRPr="0032280D">
              <w:rPr>
                <w:kern w:val="2"/>
                <w:sz w:val="20"/>
                <w:szCs w:val="20"/>
              </w:rPr>
              <w:t>12688</w:t>
            </w:r>
            <w:r w:rsidRPr="0032280D">
              <w:rPr>
                <w:kern w:val="2"/>
                <w:sz w:val="20"/>
                <w:szCs w:val="20"/>
                <w:vertAlign w:val="superscript"/>
              </w:rPr>
              <w:t>#</w:t>
            </w:r>
          </w:p>
        </w:tc>
        <w:tc>
          <w:tcPr>
            <w:tcW w:w="1429" w:type="dxa"/>
          </w:tcPr>
          <w:p w14:paraId="087EC7A2" w14:textId="77777777" w:rsidR="003D07E1" w:rsidRPr="0032280D" w:rsidRDefault="003D07E1" w:rsidP="0032280D">
            <w:pPr>
              <w:ind w:left="0" w:right="0"/>
              <w:rPr>
                <w:rFonts w:asciiTheme="minorHAnsi" w:hAnsiTheme="minorHAnsi"/>
                <w:kern w:val="2"/>
                <w:sz w:val="20"/>
                <w:szCs w:val="20"/>
              </w:rPr>
            </w:pPr>
            <w:r w:rsidRPr="0032280D">
              <w:rPr>
                <w:rFonts w:asciiTheme="minorHAnsi" w:hAnsiTheme="minorHAnsi"/>
                <w:kern w:val="2"/>
                <w:sz w:val="20"/>
                <w:szCs w:val="20"/>
              </w:rPr>
              <w:t>-</w:t>
            </w:r>
          </w:p>
        </w:tc>
      </w:tr>
      <w:tr w:rsidR="003D07E1" w:rsidRPr="0032280D" w14:paraId="4F1C1D1E" w14:textId="77777777" w:rsidTr="00616DAF">
        <w:trPr>
          <w:trHeight w:val="227"/>
        </w:trPr>
        <w:tc>
          <w:tcPr>
            <w:tcW w:w="1265" w:type="dxa"/>
            <w:vMerge/>
          </w:tcPr>
          <w:p w14:paraId="322AB86A" w14:textId="77777777" w:rsidR="003D07E1" w:rsidRPr="0032280D" w:rsidRDefault="003D07E1" w:rsidP="0032280D">
            <w:pPr>
              <w:ind w:left="0" w:right="0"/>
              <w:rPr>
                <w:kern w:val="2"/>
                <w:sz w:val="20"/>
                <w:szCs w:val="20"/>
              </w:rPr>
            </w:pPr>
          </w:p>
        </w:tc>
        <w:tc>
          <w:tcPr>
            <w:tcW w:w="1352" w:type="dxa"/>
            <w:vMerge/>
          </w:tcPr>
          <w:p w14:paraId="2BF17B2D" w14:textId="77777777" w:rsidR="003D07E1" w:rsidRPr="0032280D" w:rsidRDefault="003D07E1" w:rsidP="0032280D">
            <w:pPr>
              <w:ind w:left="0" w:right="0"/>
              <w:rPr>
                <w:kern w:val="2"/>
                <w:sz w:val="20"/>
                <w:szCs w:val="20"/>
              </w:rPr>
            </w:pPr>
          </w:p>
        </w:tc>
        <w:tc>
          <w:tcPr>
            <w:tcW w:w="1460" w:type="dxa"/>
            <w:vMerge/>
          </w:tcPr>
          <w:p w14:paraId="6A0F2E75" w14:textId="77777777" w:rsidR="003D07E1" w:rsidRPr="0032280D" w:rsidRDefault="003D07E1" w:rsidP="0032280D">
            <w:pPr>
              <w:ind w:left="0" w:right="0"/>
              <w:rPr>
                <w:kern w:val="2"/>
                <w:sz w:val="20"/>
                <w:szCs w:val="20"/>
              </w:rPr>
            </w:pPr>
          </w:p>
        </w:tc>
        <w:tc>
          <w:tcPr>
            <w:tcW w:w="1560" w:type="dxa"/>
          </w:tcPr>
          <w:p w14:paraId="637638C9" w14:textId="77777777" w:rsidR="003D07E1" w:rsidRPr="0032280D" w:rsidRDefault="003D07E1" w:rsidP="0032280D">
            <w:pPr>
              <w:ind w:left="0" w:right="0"/>
              <w:rPr>
                <w:kern w:val="2"/>
                <w:sz w:val="20"/>
                <w:szCs w:val="20"/>
              </w:rPr>
            </w:pPr>
            <w:r w:rsidRPr="0032280D">
              <w:rPr>
                <w:rFonts w:asciiTheme="minorHAnsi" w:hAnsiTheme="minorHAnsi"/>
                <w:sz w:val="20"/>
                <w:szCs w:val="20"/>
              </w:rPr>
              <w:t>QS4+QS4-C</w:t>
            </w:r>
          </w:p>
        </w:tc>
        <w:tc>
          <w:tcPr>
            <w:tcW w:w="1559" w:type="dxa"/>
          </w:tcPr>
          <w:p w14:paraId="496D61A4" w14:textId="77777777" w:rsidR="003D07E1" w:rsidRPr="0032280D" w:rsidRDefault="003D07E1" w:rsidP="0032280D">
            <w:pPr>
              <w:ind w:left="0" w:right="0"/>
              <w:rPr>
                <w:kern w:val="2"/>
                <w:sz w:val="20"/>
                <w:szCs w:val="20"/>
              </w:rPr>
            </w:pPr>
            <w:r w:rsidRPr="0032280D">
              <w:rPr>
                <w:kern w:val="2"/>
                <w:sz w:val="20"/>
                <w:szCs w:val="20"/>
              </w:rPr>
              <w:t>53649</w:t>
            </w:r>
            <w:r w:rsidRPr="0032280D">
              <w:rPr>
                <w:kern w:val="2"/>
                <w:sz w:val="20"/>
                <w:szCs w:val="20"/>
                <w:vertAlign w:val="superscript"/>
              </w:rPr>
              <w:t>#</w:t>
            </w:r>
          </w:p>
        </w:tc>
        <w:tc>
          <w:tcPr>
            <w:tcW w:w="1429" w:type="dxa"/>
          </w:tcPr>
          <w:p w14:paraId="0447BCA1" w14:textId="77777777" w:rsidR="003D07E1" w:rsidRPr="0032280D" w:rsidRDefault="003D07E1" w:rsidP="0032280D">
            <w:pPr>
              <w:ind w:left="0" w:right="0"/>
              <w:rPr>
                <w:rFonts w:asciiTheme="minorHAnsi" w:hAnsiTheme="minorHAnsi"/>
                <w:kern w:val="2"/>
                <w:sz w:val="20"/>
                <w:szCs w:val="20"/>
              </w:rPr>
            </w:pPr>
            <w:r w:rsidRPr="0032280D">
              <w:rPr>
                <w:rFonts w:asciiTheme="minorHAnsi" w:hAnsiTheme="minorHAnsi"/>
                <w:kern w:val="2"/>
                <w:sz w:val="20"/>
                <w:szCs w:val="20"/>
              </w:rPr>
              <w:t>-</w:t>
            </w:r>
          </w:p>
        </w:tc>
      </w:tr>
    </w:tbl>
    <w:p w14:paraId="0495DD52" w14:textId="3008BA6B" w:rsidR="003D07E1" w:rsidRDefault="003D07E1" w:rsidP="003D07E1">
      <w:pPr>
        <w:pStyle w:val="TableDescription"/>
      </w:pPr>
      <w:r w:rsidRPr="00EB69F1">
        <w:rPr>
          <w:position w:val="-2"/>
          <w:vertAlign w:val="superscript"/>
        </w:rPr>
        <w:t>#</w:t>
      </w:r>
      <w:r w:rsidR="0061481A">
        <w:t xml:space="preserve"> = </w:t>
      </w:r>
      <w:r>
        <w:t>(AUC</w:t>
      </w:r>
      <w:r w:rsidRPr="00AA476C">
        <w:rPr>
          <w:vertAlign w:val="subscript"/>
        </w:rPr>
        <w:t>0-6h</w:t>
      </w:r>
      <w:r>
        <w:t xml:space="preserve"> × 4)/2.5 since the MRHD is 900</w:t>
      </w:r>
      <w:r w:rsidR="001601AD">
        <w:t xml:space="preserve"> mg</w:t>
      </w:r>
      <w:r>
        <w:t>/day</w:t>
      </w:r>
      <w:r w:rsidRPr="00970C2E">
        <w:t>;</w:t>
      </w:r>
      <w:r>
        <w:t xml:space="preserve"> ^</w:t>
      </w:r>
      <w:r w:rsidR="0061481A">
        <w:t xml:space="preserve"> = </w:t>
      </w:r>
      <w:r>
        <w:t>data are for the sexes combined at the last sampling occasion</w:t>
      </w:r>
    </w:p>
    <w:p w14:paraId="045848F7" w14:textId="77777777" w:rsidR="003D07E1" w:rsidRDefault="003D07E1" w:rsidP="003D07E1">
      <w:pPr>
        <w:pStyle w:val="Heading5"/>
      </w:pPr>
      <w:r w:rsidRPr="00EB69F1">
        <w:t>Major toxicities</w:t>
      </w:r>
    </w:p>
    <w:p w14:paraId="49F3EBB8" w14:textId="77777777" w:rsidR="00685A72" w:rsidRDefault="003D07E1" w:rsidP="003D07E1">
      <w:r>
        <w:t xml:space="preserve">Overall, idebenone exhibited a very low order of toxicity in the repeat dose studies in all species. The only target organ which consistently exhibited pathology in rats was the gastrointestinal system in which reversible effects were observed. This was demonstrated at necropsy in the forestomach as mucosal thickening and histopathologically as increased squamous epithelium accompanying hyperkeratosis of the forestomach, degeneration, erosion, ulceration, foci of necrosis, and oedema associated with infiltration of inflammatory cells. Effects in the glandular stomach were seen to a </w:t>
      </w:r>
      <w:r w:rsidR="0032280D">
        <w:t xml:space="preserve">lesser extent, except in the 26 </w:t>
      </w:r>
      <w:r>
        <w:t>week oral gavage study at doses up to 1000 mg/kg, and included red spots, hyperplasia, and ulceration. Given that this pathology was not observed in dogs and that there is no anatomical equivalent of the forestomach in humans (it is anticipated that exposure to the human oesophagus will be transient whereas the rodent forestomach is a holding compartment), this toxicity is regarded as rodent-specific and of limited relevance to human toxicity</w:t>
      </w:r>
      <w:r w:rsidR="00685A72">
        <w:t>.</w:t>
      </w:r>
    </w:p>
    <w:p w14:paraId="2DA6D054" w14:textId="77777777" w:rsidR="00685A72" w:rsidRDefault="003D07E1" w:rsidP="003D07E1">
      <w:r>
        <w:t>In studies conducted in dogs u</w:t>
      </w:r>
      <w:r w:rsidR="0032280D">
        <w:t xml:space="preserve">p to 52 weeks in duration, dose </w:t>
      </w:r>
      <w:r>
        <w:t xml:space="preserve">dependent incidences of clinical signs such as vomiting of yellow fluid, mucus or feed, loose watery </w:t>
      </w:r>
      <w:r w:rsidR="0032280D">
        <w:t>faeces</w:t>
      </w:r>
      <w:r>
        <w:t xml:space="preserve">, decreases in food consumption, and consequent body weight losses, were observed. These </w:t>
      </w:r>
      <w:r>
        <w:lastRenderedPageBreak/>
        <w:t xml:space="preserve">effects were not considered toxicologically adverse and body weight losses tended to be reversible upon cessation of dosing. Treatment of dogs with idebenone was also associated with statistically significant changes in some haematology, clinical chemistry, and organ weight parameters. However, since no clear patterns were evident and the observed changes remained within the normal physiological limits, they were considered to be of no toxicological relevance. In a </w:t>
      </w:r>
      <w:r w:rsidR="0032280D">
        <w:t xml:space="preserve">39 </w:t>
      </w:r>
      <w:r w:rsidRPr="004522D4">
        <w:t>week chronic</w:t>
      </w:r>
      <w:r>
        <w:t xml:space="preserve"> </w:t>
      </w:r>
      <w:r w:rsidRPr="004522D4">
        <w:t>toxicity study</w:t>
      </w:r>
      <w:r>
        <w:t xml:space="preserve"> </w:t>
      </w:r>
      <w:r w:rsidRPr="004522D4">
        <w:t>which included a supportive feeding regimen</w:t>
      </w:r>
      <w:r>
        <w:t xml:space="preserve"> </w:t>
      </w:r>
      <w:r w:rsidRPr="004522D4">
        <w:t>to minimize adverse body weight losses</w:t>
      </w:r>
      <w:r>
        <w:t xml:space="preserve">, two animals dosed at 1000 mg/kg/day showed mild liver hypertrophy and two exhibited lung fibrosis, oedema, inflammation and </w:t>
      </w:r>
      <w:r w:rsidRPr="006A73F1">
        <w:rPr>
          <w:rFonts w:asciiTheme="minorHAnsi" w:hAnsiTheme="minorHAnsi"/>
        </w:rPr>
        <w:t>alveolo-bronchiolar hyperplasia</w:t>
      </w:r>
      <w:r>
        <w:rPr>
          <w:rFonts w:asciiTheme="minorHAnsi" w:hAnsiTheme="minorHAnsi"/>
        </w:rPr>
        <w:t>, all of which were not evident in recovery animals</w:t>
      </w:r>
      <w:r>
        <w:t xml:space="preserve">; the only other effects in this species included dose-dependent increases in gastrointestinal disturbances (such as loose </w:t>
      </w:r>
      <w:r w:rsidR="0032280D">
        <w:t>faeces</w:t>
      </w:r>
      <w:r>
        <w:t>, diarrhoea and emesis), body weight loss, and reductions in food intake</w:t>
      </w:r>
      <w:r w:rsidR="00685A72">
        <w:t>.</w:t>
      </w:r>
    </w:p>
    <w:p w14:paraId="7393023A" w14:textId="77777777" w:rsidR="003D07E1" w:rsidRPr="00EB69F1" w:rsidRDefault="003D07E1" w:rsidP="003D07E1">
      <w:pPr>
        <w:pStyle w:val="Heading4"/>
      </w:pPr>
      <w:bookmarkStart w:id="62" w:name="_Toc294861729"/>
      <w:r w:rsidRPr="00EB69F1">
        <w:t>Genotoxicity</w:t>
      </w:r>
      <w:bookmarkEnd w:id="62"/>
    </w:p>
    <w:p w14:paraId="69C9517F" w14:textId="77777777" w:rsidR="003D07E1" w:rsidRPr="009D2817" w:rsidRDefault="003D07E1" w:rsidP="003D07E1">
      <w:r w:rsidRPr="009D2817">
        <w:t xml:space="preserve">The genotoxic potential of idebenone was evaluated in a battery of </w:t>
      </w:r>
      <w:r w:rsidRPr="009D2817">
        <w:rPr>
          <w:i/>
        </w:rPr>
        <w:t xml:space="preserve">in vitro </w:t>
      </w:r>
      <w:r w:rsidRPr="009D2817">
        <w:t xml:space="preserve">and </w:t>
      </w:r>
      <w:r w:rsidRPr="009D2817">
        <w:rPr>
          <w:i/>
        </w:rPr>
        <w:t>in vivo</w:t>
      </w:r>
      <w:r w:rsidRPr="009D2817">
        <w:t xml:space="preserve"> assays based on endpoints for gene mutation, chromosome aberrations, and DNA damage. The methods used to assess genotoxicity were generally appropriate and utilised study designs that were consistent with ICH guidelines on genotoxicity testing</w:t>
      </w:r>
      <w:r w:rsidR="0032280D">
        <w:t>;</w:t>
      </w:r>
      <w:r w:rsidR="0032280D">
        <w:rPr>
          <w:rStyle w:val="FootnoteReference"/>
        </w:rPr>
        <w:footnoteReference w:id="23"/>
      </w:r>
      <w:r w:rsidRPr="009D2817">
        <w:t xml:space="preserve"> and all but one bacterial reverse mutation assay were conducted under GLP conditions. Idebenone demonstrated no genotoxic potential in the </w:t>
      </w:r>
      <w:r w:rsidRPr="009D2817">
        <w:rPr>
          <w:i/>
        </w:rPr>
        <w:t>in vitro</w:t>
      </w:r>
      <w:r w:rsidRPr="009D2817">
        <w:t xml:space="preserve"> bacterial mutagenicity assays or in the </w:t>
      </w:r>
      <w:r w:rsidRPr="009D2817">
        <w:rPr>
          <w:i/>
        </w:rPr>
        <w:t>in vivo</w:t>
      </w:r>
      <w:r w:rsidRPr="009D2817">
        <w:t xml:space="preserve"> micronucleus tests. No genotoxic effects were induced by idebenone in an unscheduled DNA synthesis test in rat liver or in an in vivo chromosome aberration assay in rat bone marrow. </w:t>
      </w:r>
      <w:r>
        <w:t xml:space="preserve">When </w:t>
      </w:r>
      <w:r w:rsidRPr="00950D83">
        <w:t>assayed for its ability to induce mutation at the tk locus in L5178Y TK+/- mouse</w:t>
      </w:r>
      <w:r>
        <w:t xml:space="preserve"> </w:t>
      </w:r>
      <w:r w:rsidRPr="00950D83">
        <w:t>lymphoma cells</w:t>
      </w:r>
      <w:r>
        <w:t xml:space="preserve">, idebenone </w:t>
      </w:r>
      <w:r w:rsidRPr="00950D83">
        <w:t>produced positive mutagenic responses</w:t>
      </w:r>
      <w:r>
        <w:t xml:space="preserve">, however, within replicates in this study, this result was </w:t>
      </w:r>
      <w:r w:rsidRPr="00950D83">
        <w:t xml:space="preserve">not </w:t>
      </w:r>
      <w:r>
        <w:t xml:space="preserve">reproducible, not statistically </w:t>
      </w:r>
      <w:r w:rsidRPr="00950D83">
        <w:t>significant, and not dose-related</w:t>
      </w:r>
      <w:r>
        <w:t xml:space="preserve">. These results were therefore of limited value in predicting idebenone genotoxicity. </w:t>
      </w:r>
      <w:r w:rsidRPr="007D764B">
        <w:rPr>
          <w:i/>
        </w:rPr>
        <w:t>In vitro</w:t>
      </w:r>
      <w:r w:rsidRPr="007D764B">
        <w:t xml:space="preserve"> chromosomal aberration studies in human peripheral</w:t>
      </w:r>
      <w:r>
        <w:t xml:space="preserve"> </w:t>
      </w:r>
      <w:r w:rsidRPr="007D764B">
        <w:t>lymphocytes demonstrated the induction of chromosome aberrations</w:t>
      </w:r>
      <w:r>
        <w:t xml:space="preserve">, however, idebenone was considered to not be potentially clastogenic as the aberrations induced were </w:t>
      </w:r>
      <w:r w:rsidRPr="00484817">
        <w:t>considered to be related to the redox</w:t>
      </w:r>
      <w:r>
        <w:t xml:space="preserve"> </w:t>
      </w:r>
      <w:r w:rsidRPr="00484817">
        <w:t>properties of idebenone</w:t>
      </w:r>
      <w:r>
        <w:t xml:space="preserve"> and idebenone was not carcinogen</w:t>
      </w:r>
      <w:r w:rsidR="0032280D">
        <w:t>ic in long term rodent studies.</w:t>
      </w:r>
    </w:p>
    <w:p w14:paraId="6B485AAA" w14:textId="77777777" w:rsidR="003D07E1" w:rsidRDefault="003D07E1" w:rsidP="003D07E1">
      <w:pPr>
        <w:pStyle w:val="Heading4"/>
      </w:pPr>
      <w:bookmarkStart w:id="63" w:name="_Toc294861730"/>
      <w:r w:rsidRPr="00EB69F1">
        <w:t>Carcinogenicity</w:t>
      </w:r>
      <w:bookmarkEnd w:id="63"/>
    </w:p>
    <w:p w14:paraId="51CB0A51" w14:textId="066AAF3E" w:rsidR="00685A72" w:rsidRDefault="003D07E1" w:rsidP="003D07E1">
      <w:r>
        <w:t xml:space="preserve">The </w:t>
      </w:r>
      <w:r w:rsidR="0032280D">
        <w:t xml:space="preserve">sponsor submitted two </w:t>
      </w:r>
      <w:r>
        <w:t xml:space="preserve">carcinogenicity studies </w:t>
      </w:r>
      <w:r w:rsidR="004D5E1C">
        <w:t xml:space="preserve">of 2 years in duration; one study </w:t>
      </w:r>
      <w:r>
        <w:t xml:space="preserve">each for mice and rats. Idebenone was administered through the diet and both males and females were used in the studies. Design aspects of the studies were generally consistent with ICH and EU guidance for carcinogenicity studies. Dose selection was based on preliminary 13 week toxicity studies that sought to determine a maximum tolerated dose for the tested species. </w:t>
      </w:r>
      <w:r w:rsidRPr="006C0639">
        <w:t>The high</w:t>
      </w:r>
      <w:r>
        <w:t>est dose of idebenone used in</w:t>
      </w:r>
      <w:r w:rsidRPr="006C0639">
        <w:t xml:space="preserve"> </w:t>
      </w:r>
      <w:r>
        <w:t xml:space="preserve">the </w:t>
      </w:r>
      <w:r w:rsidRPr="006C0639">
        <w:t>mouse</w:t>
      </w:r>
      <w:r>
        <w:t xml:space="preserve"> </w:t>
      </w:r>
      <w:r w:rsidRPr="006C0639">
        <w:t>carcinogenicity stud</w:t>
      </w:r>
      <w:r>
        <w:t xml:space="preserve">ies </w:t>
      </w:r>
      <w:r w:rsidRPr="006C0639">
        <w:t>was based on a toxicity-ba</w:t>
      </w:r>
      <w:r>
        <w:t xml:space="preserve">sed endpoint: </w:t>
      </w:r>
      <w:r w:rsidRPr="006C0639">
        <w:t>gastric irritation</w:t>
      </w:r>
      <w:r>
        <w:t xml:space="preserve"> </w:t>
      </w:r>
      <w:r w:rsidRPr="006C0639">
        <w:t>manifested mainly as epithelial cell hyperplasia</w:t>
      </w:r>
      <w:r>
        <w:t xml:space="preserve">, </w:t>
      </w:r>
      <w:r w:rsidRPr="006C0639">
        <w:t>and based on the histopathological findings in</w:t>
      </w:r>
      <w:r>
        <w:t xml:space="preserve"> </w:t>
      </w:r>
      <w:r w:rsidRPr="006C0639">
        <w:t>the forestomach and the reductions in body weig</w:t>
      </w:r>
      <w:r w:rsidR="0032280D">
        <w:t>ht gain observed in both the 13-</w:t>
      </w:r>
      <w:r w:rsidRPr="006C0639">
        <w:t>week dose range</w:t>
      </w:r>
      <w:r w:rsidR="0032280D">
        <w:t xml:space="preserve"> </w:t>
      </w:r>
      <w:r>
        <w:t>finding</w:t>
      </w:r>
      <w:r w:rsidRPr="006C0639">
        <w:t xml:space="preserve"> study and </w:t>
      </w:r>
      <w:r>
        <w:t xml:space="preserve">a previous long-term mouse </w:t>
      </w:r>
      <w:r w:rsidRPr="006C0639">
        <w:t>carcinogenicity study. As such,</w:t>
      </w:r>
      <w:r>
        <w:t xml:space="preserve"> </w:t>
      </w:r>
      <w:r w:rsidRPr="006C0639">
        <w:t xml:space="preserve">2000 mg/kg/day was considered to be the </w:t>
      </w:r>
      <w:r w:rsidR="0053065A">
        <w:t>maximum tolerated dose</w:t>
      </w:r>
      <w:r w:rsidR="0053065A" w:rsidRPr="006C0639">
        <w:t xml:space="preserve"> </w:t>
      </w:r>
      <w:r w:rsidR="0053065A">
        <w:t>(</w:t>
      </w:r>
      <w:r w:rsidRPr="006C0639">
        <w:t>MTD</w:t>
      </w:r>
      <w:r w:rsidR="0053065A">
        <w:t>)</w:t>
      </w:r>
      <w:r w:rsidRPr="006C0639">
        <w:t xml:space="preserve"> in the mouse and therefore to have been a</w:t>
      </w:r>
      <w:r>
        <w:t xml:space="preserve"> </w:t>
      </w:r>
      <w:r w:rsidRPr="006C0639">
        <w:t xml:space="preserve">suitable high dose for the </w:t>
      </w:r>
      <w:r w:rsidR="0032280D">
        <w:t>subsequent long </w:t>
      </w:r>
      <w:r>
        <w:t>term</w:t>
      </w:r>
      <w:r w:rsidRPr="006C0639">
        <w:t xml:space="preserve"> carcinogenicity</w:t>
      </w:r>
      <w:r>
        <w:t xml:space="preserve"> </w:t>
      </w:r>
      <w:r w:rsidRPr="006C0639">
        <w:t>study</w:t>
      </w:r>
      <w:r>
        <w:t xml:space="preserve">. In an initial </w:t>
      </w:r>
      <w:r w:rsidRPr="00EA1555">
        <w:t>104-week</w:t>
      </w:r>
      <w:r>
        <w:t xml:space="preserve"> carcinogenicity study in rats, f</w:t>
      </w:r>
      <w:r w:rsidRPr="00EA1555">
        <w:t>ew toxic changes were observed</w:t>
      </w:r>
      <w:r>
        <w:t>. 13</w:t>
      </w:r>
      <w:r w:rsidR="004D5E1C">
        <w:t xml:space="preserve"> </w:t>
      </w:r>
      <w:r>
        <w:t xml:space="preserve">week pilot toxicity studies </w:t>
      </w:r>
      <w:r w:rsidR="0032280D">
        <w:t>using doses up to 2500 </w:t>
      </w:r>
      <w:r w:rsidRPr="00EA1555">
        <w:t>mg/kg/day</w:t>
      </w:r>
      <w:r>
        <w:t xml:space="preserve"> revealed h</w:t>
      </w:r>
      <w:r w:rsidRPr="00EA1555">
        <w:t>istopathological changes such as hyperplasia and</w:t>
      </w:r>
      <w:r>
        <w:t xml:space="preserve"> </w:t>
      </w:r>
      <w:r w:rsidRPr="00EA1555">
        <w:t xml:space="preserve">hyperkeratosis of the mucosal epithelium, erosion, and </w:t>
      </w:r>
      <w:r>
        <w:t>o</w:t>
      </w:r>
      <w:r w:rsidRPr="00EA1555">
        <w:t>edema in the forestomach of</w:t>
      </w:r>
      <w:r>
        <w:t xml:space="preserve"> </w:t>
      </w:r>
      <w:r w:rsidRPr="00EA1555">
        <w:t xml:space="preserve">rats at 500 mg/kg/day and above. Based on the results of </w:t>
      </w:r>
      <w:r w:rsidRPr="00EA1555">
        <w:lastRenderedPageBreak/>
        <w:t>this study, a supplemental 104-week</w:t>
      </w:r>
      <w:r>
        <w:t xml:space="preserve"> </w:t>
      </w:r>
      <w:r w:rsidRPr="00EA1555">
        <w:t xml:space="preserve">study was carried out in rats using dose levels </w:t>
      </w:r>
      <w:r>
        <w:t>up to 1000 mg/kg. Sufficiently high exposure ratios were achieved in both the long term mouse (102) and rat (76) studies. In both species mortality/survival rates were not significantly affected by idebenone treatment relative to untreated control groups</w:t>
      </w:r>
      <w:r w:rsidR="00685A72">
        <w:t>.</w:t>
      </w:r>
    </w:p>
    <w:p w14:paraId="7557A841" w14:textId="1755C67E" w:rsidR="003D07E1" w:rsidRPr="00EB69F1" w:rsidRDefault="003D07E1" w:rsidP="003D07E1">
      <w:r>
        <w:t xml:space="preserve">In the mouse studies, </w:t>
      </w:r>
      <w:r w:rsidRPr="0087204C">
        <w:t xml:space="preserve">idebenone treatment </w:t>
      </w:r>
      <w:r>
        <w:t xml:space="preserve">did not influence </w:t>
      </w:r>
      <w:r w:rsidRPr="0087204C">
        <w:t>the incidence, time of onset,</w:t>
      </w:r>
      <w:r>
        <w:t xml:space="preserve"> </w:t>
      </w:r>
      <w:r w:rsidRPr="0087204C">
        <w:t xml:space="preserve">location, size, or multiplicity of palpable masses. </w:t>
      </w:r>
      <w:r>
        <w:t>T</w:t>
      </w:r>
      <w:r w:rsidRPr="0087204C">
        <w:t>here was no increase in incidence of</w:t>
      </w:r>
      <w:r>
        <w:t xml:space="preserve"> </w:t>
      </w:r>
      <w:r w:rsidRPr="0087204C">
        <w:t>forestomach tumo</w:t>
      </w:r>
      <w:r>
        <w:t>u</w:t>
      </w:r>
      <w:r w:rsidRPr="0087204C">
        <w:t>rs</w:t>
      </w:r>
      <w:r>
        <w:t xml:space="preserve"> (given the stomach epithelial irritation observed in these and other repeat dose studies). In the mouse study in which higher doses (up to 200 mg/kg) were used, a low incidence of benign tumours (including </w:t>
      </w:r>
      <w:r>
        <w:rPr>
          <w:rFonts w:asciiTheme="minorHAnsi" w:hAnsiTheme="minorHAnsi"/>
        </w:rPr>
        <w:t>h</w:t>
      </w:r>
      <w:r w:rsidRPr="009C08AD">
        <w:rPr>
          <w:rFonts w:asciiTheme="minorHAnsi" w:hAnsiTheme="minorHAnsi"/>
        </w:rPr>
        <w:t xml:space="preserve">aemangioma </w:t>
      </w:r>
      <w:r>
        <w:rPr>
          <w:rFonts w:asciiTheme="minorHAnsi" w:hAnsiTheme="minorHAnsi"/>
        </w:rPr>
        <w:t xml:space="preserve">and </w:t>
      </w:r>
      <w:r w:rsidRPr="009C08AD">
        <w:rPr>
          <w:rFonts w:asciiTheme="minorHAnsi" w:hAnsiTheme="minorHAnsi"/>
        </w:rPr>
        <w:t>leiomyoma</w:t>
      </w:r>
      <w:r>
        <w:rPr>
          <w:rFonts w:asciiTheme="minorHAnsi" w:hAnsiTheme="minorHAnsi"/>
        </w:rPr>
        <w:t>) and malignant sarcomas (f</w:t>
      </w:r>
      <w:r w:rsidRPr="009C08AD">
        <w:rPr>
          <w:rFonts w:asciiTheme="minorHAnsi" w:hAnsiTheme="minorHAnsi"/>
        </w:rPr>
        <w:t>ibrosarcoma</w:t>
      </w:r>
      <w:r>
        <w:rPr>
          <w:rFonts w:asciiTheme="minorHAnsi" w:hAnsiTheme="minorHAnsi"/>
        </w:rPr>
        <w:t>, l</w:t>
      </w:r>
      <w:r w:rsidRPr="009C08AD">
        <w:rPr>
          <w:rFonts w:asciiTheme="minorHAnsi" w:hAnsiTheme="minorHAnsi"/>
        </w:rPr>
        <w:t>eiomyosarcoma</w:t>
      </w:r>
      <w:r>
        <w:rPr>
          <w:rFonts w:asciiTheme="minorHAnsi" w:hAnsiTheme="minorHAnsi"/>
        </w:rPr>
        <w:t xml:space="preserve"> and e</w:t>
      </w:r>
      <w:r w:rsidRPr="009C08AD">
        <w:rPr>
          <w:rFonts w:asciiTheme="minorHAnsi" w:hAnsiTheme="minorHAnsi"/>
        </w:rPr>
        <w:t>ndometrial sarcoma</w:t>
      </w:r>
      <w:r>
        <w:rPr>
          <w:rFonts w:asciiTheme="minorHAnsi" w:hAnsiTheme="minorHAnsi"/>
        </w:rPr>
        <w:t>)</w:t>
      </w:r>
      <w:r>
        <w:t xml:space="preserve"> were observed in the </w:t>
      </w:r>
      <w:r w:rsidR="0053065A">
        <w:t xml:space="preserve">medium dose </w:t>
      </w:r>
      <w:r>
        <w:t xml:space="preserve">and </w:t>
      </w:r>
      <w:r w:rsidR="0053065A">
        <w:t xml:space="preserve">high dose </w:t>
      </w:r>
      <w:r>
        <w:t xml:space="preserve">groups. These incidences were within the historical control range for this mouse strain in the testing facility. In the rat studies the </w:t>
      </w:r>
      <w:r w:rsidRPr="00EA1555">
        <w:t>incidence</w:t>
      </w:r>
      <w:r>
        <w:t xml:space="preserve"> </w:t>
      </w:r>
      <w:r w:rsidRPr="00EA1555">
        <w:t>of palpable masses</w:t>
      </w:r>
      <w:r>
        <w:t xml:space="preserve"> was not influenced by idebenone. </w:t>
      </w:r>
      <w:r w:rsidRPr="00EA1555">
        <w:t>Macroscopically there was an increase in yellow and thickened mucosa which correlated</w:t>
      </w:r>
      <w:r>
        <w:t xml:space="preserve"> </w:t>
      </w:r>
      <w:r w:rsidRPr="00EA1555">
        <w:t>microscopically with an increased incidence of squamous cell hyperplasia/hyperkeratosis,</w:t>
      </w:r>
      <w:r>
        <w:t xml:space="preserve"> </w:t>
      </w:r>
      <w:r w:rsidRPr="00EA1555">
        <w:t>variably accompanied by gastritis, forestomach erosions and basal cell hyperplasia. A low</w:t>
      </w:r>
      <w:r>
        <w:t xml:space="preserve"> </w:t>
      </w:r>
      <w:r w:rsidRPr="00EA1555">
        <w:t>incidence of squamous and basal cell tumo</w:t>
      </w:r>
      <w:r>
        <w:t>u</w:t>
      </w:r>
      <w:r w:rsidRPr="00EA1555">
        <w:t>rs was seen in the treated animals. These proliferative</w:t>
      </w:r>
      <w:r>
        <w:t xml:space="preserve"> </w:t>
      </w:r>
      <w:r w:rsidRPr="00EA1555">
        <w:t>findings are considered likely to be a consequence of non-pharmacologically-related local</w:t>
      </w:r>
      <w:r>
        <w:t xml:space="preserve"> </w:t>
      </w:r>
      <w:r w:rsidRPr="00EA1555">
        <w:t>irritation to the forestomach and</w:t>
      </w:r>
      <w:r>
        <w:t>,</w:t>
      </w:r>
      <w:r w:rsidRPr="00EA1555">
        <w:t xml:space="preserve"> since this is a rodent-specific organ</w:t>
      </w:r>
      <w:r>
        <w:t>,</w:t>
      </w:r>
      <w:r w:rsidRPr="00EA1555">
        <w:t xml:space="preserve"> are not considered to be</w:t>
      </w:r>
      <w:r>
        <w:t xml:space="preserve"> </w:t>
      </w:r>
      <w:r w:rsidRPr="00EA1555">
        <w:t>relevant to the assessment of safety for human use</w:t>
      </w:r>
      <w:r>
        <w:t>. Other neoplastic findings in rats included lung alveolar carcinoma, adrenal carcinoma, liver and pancreas sarcoma, squamous cell papilloma, thyroid follicular cell carcinoma and thyroid C cell adenoma. The incidence of these neoplasms, which occurred only in males, lacked a dose-dependent relationship, were below the spontaneous incidence rate according to historical control data for this strain</w:t>
      </w:r>
      <w:r w:rsidR="004D5E1C">
        <w:t>;</w:t>
      </w:r>
      <w:r>
        <w:rPr>
          <w:rStyle w:val="FootnoteReference"/>
          <w:kern w:val="2"/>
          <w:szCs w:val="20"/>
        </w:rPr>
        <w:footnoteReference w:id="24"/>
      </w:r>
      <w:r>
        <w:t xml:space="preserve"> and were not observed in a subsequent carcinogenicity study in which doses of idebenone up to 10 times higher were used.</w:t>
      </w:r>
    </w:p>
    <w:p w14:paraId="3EDEB5DB" w14:textId="77777777" w:rsidR="003D07E1" w:rsidRDefault="003D07E1" w:rsidP="003D07E1">
      <w:pPr>
        <w:pStyle w:val="Heading4"/>
      </w:pPr>
      <w:r w:rsidRPr="00EB69F1">
        <w:t>Reproductive toxicity</w:t>
      </w:r>
    </w:p>
    <w:p w14:paraId="00F3704C" w14:textId="77777777" w:rsidR="003D07E1" w:rsidRDefault="003D07E1" w:rsidP="003D07E1">
      <w:r>
        <w:t>Reproductive toxicity was evaluated in fertility, embryofetal development and pre-/postnatal development studies in rats and rabbits. Animals received daily oral doses of idebenone of up to 1000 mg/kg/day in rats and up to 500 mg/kg/day in rabbits. The study designs were generally acceptable, using accepted dosing regimens appropriate for the selected test species. Toxicokinetic parameters for the reproductive toxicity studies were not determined in any of the rat studies and as such AUC values are not available for exposure comparisons.</w:t>
      </w:r>
      <w:r w:rsidR="00DB3203">
        <w:t xml:space="preserve"> </w:t>
      </w:r>
      <w:r>
        <w:t xml:space="preserve">In addition, the potential placental and milk transfer of idebenone was not </w:t>
      </w:r>
      <w:r w:rsidRPr="00A04A8E">
        <w:t>assessed.</w:t>
      </w:r>
    </w:p>
    <w:p w14:paraId="1627D001" w14:textId="77777777" w:rsidR="003D07E1" w:rsidRPr="003D07E1" w:rsidRDefault="003D07E1" w:rsidP="003D07E1">
      <w:r>
        <w:t xml:space="preserve">No statistically significant differences were observed with regard to </w:t>
      </w:r>
      <w:r w:rsidRPr="00FC4CEC">
        <w:t>numbers of corpora lutea or implantations, rate of pre-implantation loss, numbers of resorpti</w:t>
      </w:r>
      <w:r>
        <w:t>ons, and dead and live embryos in fertility studies in rats. I</w:t>
      </w:r>
      <w:r w:rsidRPr="00FC4CEC">
        <w:t>n one study there was a slight trend towards a higher rate of post-implantation losses and lower number of live embryos in the high-dose group (resulting from two dams that showed a high implantation loss).</w:t>
      </w:r>
      <w:r>
        <w:t xml:space="preserve"> Based on body surface area comparisons, the </w:t>
      </w:r>
      <w:r w:rsidR="0053065A">
        <w:t>no observed adverse effect level (</w:t>
      </w:r>
      <w:r>
        <w:t>NOAEL</w:t>
      </w:r>
      <w:r w:rsidR="0053065A">
        <w:t>)</w:t>
      </w:r>
      <w:r>
        <w:t xml:space="preserve"> for male fer</w:t>
      </w:r>
      <w:r w:rsidR="0053065A">
        <w:t>tility was determined to be 500 </w:t>
      </w:r>
      <w:r>
        <w:t xml:space="preserve">mg/kg/day and 1000 mg/kg/day for female fertility, which resulted in dose exposures that were 5 times and 10 times the human dose, respectively, (based on administration of the </w:t>
      </w:r>
      <w:r w:rsidR="0053065A">
        <w:t>maximum recommended human dose (</w:t>
      </w:r>
      <w:r>
        <w:t>MRHD</w:t>
      </w:r>
      <w:r w:rsidR="0053065A">
        <w:t>)</w:t>
      </w:r>
      <w:r>
        <w:t xml:space="preserve"> of 900 mg).</w:t>
      </w:r>
    </w:p>
    <w:p w14:paraId="10637947" w14:textId="76826543" w:rsidR="003D07E1" w:rsidRDefault="003D07E1" w:rsidP="003D07E1">
      <w:r w:rsidRPr="006D1260">
        <w:t xml:space="preserve">In embryofetal studies in rats, reproductive parameters did not show any differences between treated and control groups, and no differences in the numbers of visceral and skeletal malformations and abnormalities or deviations were observed in </w:t>
      </w:r>
      <w:r w:rsidRPr="00E71E46">
        <w:t xml:space="preserve">the fetuses, including in studies where there were signs of maternotoxicity. </w:t>
      </w:r>
      <w:r>
        <w:t>T</w:t>
      </w:r>
      <w:r w:rsidRPr="00E71E46">
        <w:t xml:space="preserve">he NOAEL for </w:t>
      </w:r>
      <w:r w:rsidRPr="00E71E46">
        <w:lastRenderedPageBreak/>
        <w:t xml:space="preserve">embryofetal development </w:t>
      </w:r>
      <w:r>
        <w:t>i</w:t>
      </w:r>
      <w:r w:rsidRPr="00E71E46">
        <w:t xml:space="preserve">n rats was 1000 mg/kg/day, </w:t>
      </w:r>
      <w:r>
        <w:t xml:space="preserve">equivalent to </w:t>
      </w:r>
      <w:r w:rsidRPr="00E71E46">
        <w:t>10 times the clinical exposure at the MRHD</w:t>
      </w:r>
      <w:r>
        <w:t xml:space="preserve"> of</w:t>
      </w:r>
      <w:r w:rsidRPr="00E71E46">
        <w:t>, 900</w:t>
      </w:r>
      <w:r w:rsidR="001601AD">
        <w:t xml:space="preserve"> mg</w:t>
      </w:r>
      <w:r>
        <w:t xml:space="preserve"> (</w:t>
      </w:r>
      <w:r w:rsidRPr="00E71E46">
        <w:t xml:space="preserve">based on body surface area). In the rabbit embryofetal studies, one abortion </w:t>
      </w:r>
      <w:r>
        <w:t>was observed in a high-dose group which was judged to be a spontaneous occurrence, since there were no abnormal findings at necropsy and since the spontaneous abortion rate in this strain of rabbits (</w:t>
      </w:r>
      <w:r w:rsidR="004D5E1C">
        <w:t>Japanese White (</w:t>
      </w:r>
      <w:r>
        <w:t>Kbl:JW</w:t>
      </w:r>
      <w:r w:rsidR="004D5E1C">
        <w:t>)</w:t>
      </w:r>
      <w:r>
        <w:t>) is of the order of 3%. No differences between idebenone-treated and control groups were observed with respect to numbers of corpora lutea and implants, rate of pre- and post-implantation losses, and to numbers, body weights, and sex ratio of live foetuses in either rabbit study. Idebenone did not induce significant differences in the frequencies of observed external, visceral and skeletal malformations, or abnormalities/deviations between treated and control group foetuses in either study. The exposure ratios achieved in</w:t>
      </w:r>
      <w:r w:rsidR="0053065A">
        <w:t xml:space="preserve"> the rabbit study were very low </w:t>
      </w:r>
      <w:r>
        <w:t>(</w:t>
      </w:r>
      <w:r w:rsidR="0053065A">
        <w:t>≤ </w:t>
      </w:r>
      <w:r>
        <w:t xml:space="preserve">1, </w:t>
      </w:r>
      <w:r w:rsidR="0030092C">
        <w:t>Table 4</w:t>
      </w:r>
      <w:r>
        <w:t>), however, maternotoxicity was evident in this study (both food consumption and body weight gain were suppressed in high dose dams).</w:t>
      </w:r>
    </w:p>
    <w:p w14:paraId="53305FA3" w14:textId="53F2872F" w:rsidR="003D07E1" w:rsidRDefault="003D07E1" w:rsidP="003D07E1">
      <w:r>
        <w:t xml:space="preserve">In a peri/post-natal studies conducted in rats, the </w:t>
      </w:r>
      <w:r w:rsidR="004D5E1C">
        <w:t>parent generation (</w:t>
      </w:r>
      <w:r>
        <w:t>F</w:t>
      </w:r>
      <w:r w:rsidRPr="00E857C3">
        <w:rPr>
          <w:vertAlign w:val="subscript"/>
        </w:rPr>
        <w:t>0</w:t>
      </w:r>
      <w:r w:rsidR="004D5E1C">
        <w:t>)</w:t>
      </w:r>
      <w:r>
        <w:t xml:space="preserve"> of the 500 mg/kg/day (high) dose group displayed transient hypersalivation immediately after dosing</w:t>
      </w:r>
      <w:r w:rsidR="004D5E1C">
        <w:t>.</w:t>
      </w:r>
      <w:r>
        <w:t xml:space="preserve"> In the 100 mg/kg/day and 500 mg/kg/day groups red-brown urine was also evident. There were no treatment-related differences in body weight, length of gestation period and parturition, nursing, and necropsy findings in the F</w:t>
      </w:r>
      <w:r w:rsidRPr="0073481B">
        <w:rPr>
          <w:vertAlign w:val="subscript"/>
        </w:rPr>
        <w:t xml:space="preserve">0 </w:t>
      </w:r>
      <w:r>
        <w:t xml:space="preserve">dams. In the </w:t>
      </w:r>
      <w:r w:rsidR="004D5E1C">
        <w:t>first filial generation (</w:t>
      </w:r>
      <w:r>
        <w:t>F</w:t>
      </w:r>
      <w:r w:rsidRPr="0073481B">
        <w:rPr>
          <w:vertAlign w:val="subscript"/>
        </w:rPr>
        <w:t>1</w:t>
      </w:r>
      <w:r w:rsidR="004D5E1C">
        <w:t xml:space="preserve">) </w:t>
      </w:r>
      <w:r>
        <w:t xml:space="preserve">animals, no treatment-related changes were observed on litter size, pup mortality, bodyweight changes of pups, physical and functional and behavioural development. </w:t>
      </w:r>
      <w:r w:rsidRPr="00FC4CEC">
        <w:t>Treated females with normal delivery were not observed to exhibit differences from controls with respect to delivery, nursing, body weight, duration of pregnancy, and number of implantations and delivered pups. Their pups did not show differences between treated and control groups with respect to survival, weight gain, functional test results and developmental landmarks, nor were there any findings at necropsy</w:t>
      </w:r>
      <w:r>
        <w:t xml:space="preserve">. Reproductive performance was also unchanged by exposure to idebenone. At necropsy, there were no differences in the numbers and frequencies of external, visceral, and skeletal abnormalities between the dose groups. Similar results were obtained in a separate study </w:t>
      </w:r>
      <w:r w:rsidR="0053065A">
        <w:t>where the maximum dose was 1000 </w:t>
      </w:r>
      <w:r>
        <w:t xml:space="preserve">mg/kg/day with the exception of decreased food consumption and body weight loss in the </w:t>
      </w:r>
      <w:r w:rsidR="004D5E1C">
        <w:t>high dose group</w:t>
      </w:r>
      <w:r>
        <w:t xml:space="preserve"> dams. The NOAEL for pup development was determined to be 500 mg/kg/day, or about 5</w:t>
      </w:r>
      <w:r w:rsidRPr="00E71E46">
        <w:t xml:space="preserve"> times the clinical exposure (at the MRHD, 900</w:t>
      </w:r>
      <w:r w:rsidR="001601AD">
        <w:t xml:space="preserve"> mg</w:t>
      </w:r>
      <w:r w:rsidRPr="00E71E46">
        <w:t>, based on body surface area</w:t>
      </w:r>
      <w:r>
        <w:t>).</w:t>
      </w:r>
    </w:p>
    <w:p w14:paraId="01D1D350" w14:textId="77777777" w:rsidR="00C9747E" w:rsidRDefault="003D07E1" w:rsidP="003D07E1">
      <w:pPr>
        <w:pStyle w:val="Heading5"/>
      </w:pPr>
      <w:r w:rsidRPr="00EB69F1">
        <w:t>Relative exposure</w:t>
      </w:r>
    </w:p>
    <w:p w14:paraId="69A44CD2" w14:textId="77777777" w:rsidR="003D07E1" w:rsidRPr="00F34CA1" w:rsidRDefault="0030092C" w:rsidP="003D07E1">
      <w:pPr>
        <w:pStyle w:val="TableTitle"/>
      </w:pPr>
      <w:r>
        <w:t>Table 4:</w:t>
      </w:r>
      <w:r w:rsidR="003D07E1" w:rsidRPr="00F34CA1">
        <w:t xml:space="preserve"> Relative exposure in reproductive toxicity studies</w:t>
      </w:r>
    </w:p>
    <w:tbl>
      <w:tblPr>
        <w:tblStyle w:val="TableTGAblue"/>
        <w:tblW w:w="5000" w:type="pct"/>
        <w:tblLook w:val="01E0" w:firstRow="1" w:lastRow="1" w:firstColumn="1" w:lastColumn="1" w:noHBand="0" w:noVBand="0"/>
      </w:tblPr>
      <w:tblGrid>
        <w:gridCol w:w="1250"/>
        <w:gridCol w:w="1352"/>
        <w:gridCol w:w="1419"/>
        <w:gridCol w:w="1068"/>
        <w:gridCol w:w="1107"/>
        <w:gridCol w:w="1180"/>
        <w:gridCol w:w="1108"/>
      </w:tblGrid>
      <w:tr w:rsidR="0053065A" w:rsidRPr="0053065A" w14:paraId="77CA2A8A" w14:textId="77777777" w:rsidTr="003D07E1">
        <w:trPr>
          <w:cnfStyle w:val="100000000000" w:firstRow="1" w:lastRow="0" w:firstColumn="0" w:lastColumn="0" w:oddVBand="0" w:evenVBand="0" w:oddHBand="0" w:evenHBand="0" w:firstRowFirstColumn="0" w:firstRowLastColumn="0" w:lastRowFirstColumn="0" w:lastRowLastColumn="0"/>
        </w:trPr>
        <w:tc>
          <w:tcPr>
            <w:tcW w:w="742" w:type="pct"/>
          </w:tcPr>
          <w:p w14:paraId="5F240D4D" w14:textId="77777777" w:rsidR="003D07E1" w:rsidRPr="0053065A" w:rsidRDefault="003D07E1" w:rsidP="0053065A">
            <w:pPr>
              <w:ind w:left="0" w:right="0"/>
              <w:rPr>
                <w:sz w:val="20"/>
                <w:szCs w:val="20"/>
              </w:rPr>
            </w:pPr>
            <w:r w:rsidRPr="0053065A">
              <w:rPr>
                <w:sz w:val="20"/>
                <w:szCs w:val="20"/>
              </w:rPr>
              <w:t>Species</w:t>
            </w:r>
          </w:p>
        </w:tc>
        <w:tc>
          <w:tcPr>
            <w:tcW w:w="802" w:type="pct"/>
          </w:tcPr>
          <w:p w14:paraId="051F1ADE" w14:textId="77777777" w:rsidR="003D07E1" w:rsidRPr="0053065A" w:rsidRDefault="003D07E1" w:rsidP="0053065A">
            <w:pPr>
              <w:ind w:left="0" w:right="0"/>
              <w:rPr>
                <w:sz w:val="20"/>
                <w:szCs w:val="20"/>
              </w:rPr>
            </w:pPr>
            <w:r w:rsidRPr="0053065A">
              <w:rPr>
                <w:sz w:val="20"/>
                <w:szCs w:val="20"/>
              </w:rPr>
              <w:t>Study</w:t>
            </w:r>
            <w:r w:rsidR="0053065A">
              <w:rPr>
                <w:sz w:val="20"/>
                <w:szCs w:val="20"/>
              </w:rPr>
              <w:t xml:space="preserve"> </w:t>
            </w:r>
            <w:r w:rsidR="00DB3203" w:rsidRPr="0053065A">
              <w:rPr>
                <w:sz w:val="20"/>
                <w:szCs w:val="20"/>
              </w:rPr>
              <w:t>(</w:t>
            </w:r>
            <w:r w:rsidR="0053065A">
              <w:rPr>
                <w:sz w:val="20"/>
                <w:szCs w:val="20"/>
              </w:rPr>
              <w:t>Study </w:t>
            </w:r>
            <w:r w:rsidRPr="0053065A">
              <w:rPr>
                <w:sz w:val="20"/>
                <w:szCs w:val="20"/>
              </w:rPr>
              <w:t>no.</w:t>
            </w:r>
            <w:r w:rsidR="00DB3203" w:rsidRPr="0053065A">
              <w:rPr>
                <w:sz w:val="20"/>
                <w:szCs w:val="20"/>
              </w:rPr>
              <w:t>)</w:t>
            </w:r>
          </w:p>
        </w:tc>
        <w:tc>
          <w:tcPr>
            <w:tcW w:w="804" w:type="pct"/>
          </w:tcPr>
          <w:p w14:paraId="15566C9A" w14:textId="77777777" w:rsidR="003D07E1" w:rsidRPr="0053065A" w:rsidRDefault="0053065A" w:rsidP="0053065A">
            <w:pPr>
              <w:ind w:left="0" w:right="0"/>
              <w:rPr>
                <w:sz w:val="20"/>
                <w:szCs w:val="20"/>
              </w:rPr>
            </w:pPr>
            <w:r>
              <w:rPr>
                <w:sz w:val="20"/>
                <w:szCs w:val="20"/>
              </w:rPr>
              <w:t xml:space="preserve">Dose </w:t>
            </w:r>
            <w:r w:rsidR="003D07E1" w:rsidRPr="0053065A">
              <w:rPr>
                <w:sz w:val="20"/>
                <w:szCs w:val="20"/>
              </w:rPr>
              <w:t>(mg/kg/day)</w:t>
            </w:r>
          </w:p>
        </w:tc>
        <w:tc>
          <w:tcPr>
            <w:tcW w:w="635" w:type="pct"/>
          </w:tcPr>
          <w:p w14:paraId="48507C19" w14:textId="77777777" w:rsidR="009B4DEE" w:rsidRDefault="003D07E1" w:rsidP="009B4DEE">
            <w:pPr>
              <w:ind w:left="0" w:right="0"/>
              <w:rPr>
                <w:sz w:val="20"/>
                <w:szCs w:val="20"/>
              </w:rPr>
            </w:pPr>
            <w:r w:rsidRPr="0053065A">
              <w:rPr>
                <w:sz w:val="20"/>
                <w:szCs w:val="20"/>
              </w:rPr>
              <w:t>Dose</w:t>
            </w:r>
            <w:r w:rsidR="009B4DEE">
              <w:rPr>
                <w:sz w:val="20"/>
                <w:szCs w:val="20"/>
              </w:rPr>
              <w:t xml:space="preserve"> </w:t>
            </w:r>
          </w:p>
          <w:p w14:paraId="67FB2663" w14:textId="06CED866" w:rsidR="003D07E1" w:rsidRPr="0053065A" w:rsidRDefault="003D07E1" w:rsidP="009B4DEE">
            <w:pPr>
              <w:ind w:left="0" w:right="0"/>
              <w:rPr>
                <w:sz w:val="20"/>
                <w:szCs w:val="20"/>
              </w:rPr>
            </w:pPr>
            <w:r w:rsidRPr="0053065A">
              <w:rPr>
                <w:sz w:val="20"/>
                <w:szCs w:val="20"/>
              </w:rPr>
              <w:t>(mg/m</w:t>
            </w:r>
            <w:r w:rsidRPr="0053065A">
              <w:rPr>
                <w:sz w:val="20"/>
                <w:szCs w:val="20"/>
                <w:vertAlign w:val="superscript"/>
              </w:rPr>
              <w:t>2</w:t>
            </w:r>
            <w:r w:rsidRPr="0053065A">
              <w:rPr>
                <w:sz w:val="20"/>
                <w:szCs w:val="20"/>
              </w:rPr>
              <w:t>)</w:t>
            </w:r>
          </w:p>
        </w:tc>
        <w:tc>
          <w:tcPr>
            <w:tcW w:w="658" w:type="pct"/>
          </w:tcPr>
          <w:p w14:paraId="28FCA4EB" w14:textId="77777777" w:rsidR="003D07E1" w:rsidRPr="0053065A" w:rsidRDefault="0053065A" w:rsidP="0053065A">
            <w:pPr>
              <w:ind w:left="0" w:right="0"/>
              <w:rPr>
                <w:sz w:val="20"/>
                <w:szCs w:val="20"/>
              </w:rPr>
            </w:pPr>
            <w:r>
              <w:rPr>
                <w:sz w:val="20"/>
                <w:szCs w:val="20"/>
              </w:rPr>
              <w:t xml:space="preserve">Exposure ratio </w:t>
            </w:r>
            <w:r w:rsidR="003D07E1" w:rsidRPr="0053065A">
              <w:rPr>
                <w:sz w:val="20"/>
                <w:szCs w:val="20"/>
              </w:rPr>
              <w:t>(BSA*)</w:t>
            </w:r>
          </w:p>
        </w:tc>
        <w:tc>
          <w:tcPr>
            <w:tcW w:w="700" w:type="pct"/>
          </w:tcPr>
          <w:p w14:paraId="7F4F95FF" w14:textId="77777777" w:rsidR="003D07E1" w:rsidRPr="0053065A" w:rsidRDefault="003D07E1" w:rsidP="0053065A">
            <w:pPr>
              <w:ind w:left="0" w:right="0"/>
              <w:rPr>
                <w:sz w:val="20"/>
                <w:szCs w:val="20"/>
              </w:rPr>
            </w:pPr>
            <w:r w:rsidRPr="0053065A">
              <w:rPr>
                <w:sz w:val="20"/>
                <w:szCs w:val="20"/>
              </w:rPr>
              <w:t>AUC</w:t>
            </w:r>
            <w:r w:rsidRPr="0053065A">
              <w:rPr>
                <w:sz w:val="20"/>
                <w:szCs w:val="20"/>
                <w:vertAlign w:val="subscript"/>
              </w:rPr>
              <w:t>0–24</w:t>
            </w:r>
            <w:r w:rsidRPr="0053065A">
              <w:rPr>
                <w:w w:val="50"/>
                <w:sz w:val="20"/>
                <w:szCs w:val="20"/>
                <w:vertAlign w:val="subscript"/>
              </w:rPr>
              <w:t> </w:t>
            </w:r>
            <w:r w:rsidRPr="0053065A">
              <w:rPr>
                <w:sz w:val="20"/>
                <w:szCs w:val="20"/>
                <w:vertAlign w:val="subscript"/>
              </w:rPr>
              <w:t>h</w:t>
            </w:r>
            <w:r w:rsidR="0053065A">
              <w:rPr>
                <w:sz w:val="20"/>
                <w:szCs w:val="20"/>
              </w:rPr>
              <w:t xml:space="preserve"> </w:t>
            </w:r>
            <w:r w:rsidRPr="0053065A">
              <w:rPr>
                <w:sz w:val="20"/>
                <w:szCs w:val="20"/>
              </w:rPr>
              <w:t>(ng∙h/mL)</w:t>
            </w:r>
          </w:p>
        </w:tc>
        <w:tc>
          <w:tcPr>
            <w:tcW w:w="658" w:type="pct"/>
          </w:tcPr>
          <w:p w14:paraId="2B3A548B" w14:textId="77777777" w:rsidR="003D07E1" w:rsidRPr="0053065A" w:rsidRDefault="003D07E1" w:rsidP="0053065A">
            <w:pPr>
              <w:ind w:left="0" w:right="0"/>
              <w:rPr>
                <w:sz w:val="20"/>
                <w:szCs w:val="20"/>
              </w:rPr>
            </w:pPr>
            <w:r w:rsidRPr="0053065A">
              <w:rPr>
                <w:sz w:val="20"/>
                <w:szCs w:val="20"/>
              </w:rPr>
              <w:t>Exposure ratio</w:t>
            </w:r>
            <w:r w:rsidR="0053065A">
              <w:rPr>
                <w:sz w:val="20"/>
                <w:szCs w:val="20"/>
              </w:rPr>
              <w:t xml:space="preserve"> </w:t>
            </w:r>
            <w:r w:rsidRPr="0053065A">
              <w:rPr>
                <w:sz w:val="20"/>
                <w:szCs w:val="20"/>
              </w:rPr>
              <w:t>(AUC)</w:t>
            </w:r>
          </w:p>
        </w:tc>
      </w:tr>
      <w:tr w:rsidR="0053065A" w:rsidRPr="0053065A" w14:paraId="4EC24112" w14:textId="77777777" w:rsidTr="003D07E1">
        <w:trPr>
          <w:trHeight w:val="227"/>
        </w:trPr>
        <w:tc>
          <w:tcPr>
            <w:tcW w:w="742" w:type="pct"/>
            <w:vMerge w:val="restart"/>
          </w:tcPr>
          <w:p w14:paraId="21CEEC5E" w14:textId="77777777" w:rsidR="003D07E1" w:rsidRPr="0053065A" w:rsidRDefault="003D07E1" w:rsidP="0053065A">
            <w:pPr>
              <w:ind w:left="0" w:right="0"/>
              <w:rPr>
                <w:kern w:val="2"/>
                <w:sz w:val="20"/>
                <w:szCs w:val="20"/>
              </w:rPr>
            </w:pPr>
            <w:r w:rsidRPr="0053065A">
              <w:rPr>
                <w:kern w:val="2"/>
                <w:sz w:val="20"/>
                <w:szCs w:val="20"/>
              </w:rPr>
              <w:t>Rat</w:t>
            </w:r>
          </w:p>
        </w:tc>
        <w:tc>
          <w:tcPr>
            <w:tcW w:w="802" w:type="pct"/>
            <w:vMerge w:val="restart"/>
          </w:tcPr>
          <w:p w14:paraId="1A4E8BEC" w14:textId="77777777" w:rsidR="003D07E1" w:rsidRPr="0053065A" w:rsidRDefault="00DB3203" w:rsidP="0053065A">
            <w:pPr>
              <w:ind w:left="0" w:right="0"/>
              <w:rPr>
                <w:kern w:val="2"/>
                <w:sz w:val="20"/>
                <w:szCs w:val="20"/>
              </w:rPr>
            </w:pPr>
            <w:r w:rsidRPr="0053065A">
              <w:rPr>
                <w:kern w:val="2"/>
                <w:sz w:val="20"/>
                <w:szCs w:val="20"/>
              </w:rPr>
              <w:t>(</w:t>
            </w:r>
            <w:r w:rsidR="003D07E1" w:rsidRPr="0053065A">
              <w:rPr>
                <w:kern w:val="2"/>
                <w:sz w:val="20"/>
                <w:szCs w:val="20"/>
              </w:rPr>
              <w:t>C-14-332</w:t>
            </w:r>
            <w:r w:rsidRPr="0053065A">
              <w:rPr>
                <w:kern w:val="2"/>
                <w:sz w:val="20"/>
                <w:szCs w:val="20"/>
              </w:rPr>
              <w:t>)</w:t>
            </w:r>
          </w:p>
          <w:p w14:paraId="525A91EF" w14:textId="77777777" w:rsidR="003D07E1" w:rsidRPr="0053065A" w:rsidRDefault="00DB3203" w:rsidP="0053065A">
            <w:pPr>
              <w:ind w:left="0" w:right="0"/>
              <w:rPr>
                <w:kern w:val="2"/>
                <w:sz w:val="20"/>
                <w:szCs w:val="20"/>
              </w:rPr>
            </w:pPr>
            <w:r w:rsidRPr="0053065A">
              <w:rPr>
                <w:kern w:val="2"/>
                <w:sz w:val="20"/>
                <w:szCs w:val="20"/>
              </w:rPr>
              <w:t>(</w:t>
            </w:r>
            <w:r w:rsidR="003D07E1" w:rsidRPr="0053065A">
              <w:rPr>
                <w:kern w:val="2"/>
                <w:sz w:val="20"/>
                <w:szCs w:val="20"/>
              </w:rPr>
              <w:t>C-14-749</w:t>
            </w:r>
            <w:r w:rsidRPr="0053065A">
              <w:rPr>
                <w:kern w:val="2"/>
                <w:sz w:val="20"/>
                <w:szCs w:val="20"/>
              </w:rPr>
              <w:t>)</w:t>
            </w:r>
          </w:p>
        </w:tc>
        <w:tc>
          <w:tcPr>
            <w:tcW w:w="804" w:type="pct"/>
          </w:tcPr>
          <w:p w14:paraId="779D5650" w14:textId="77777777" w:rsidR="003D07E1" w:rsidRPr="0053065A" w:rsidRDefault="003D07E1" w:rsidP="0053065A">
            <w:pPr>
              <w:ind w:left="0" w:right="0"/>
              <w:rPr>
                <w:kern w:val="2"/>
                <w:sz w:val="20"/>
                <w:szCs w:val="20"/>
              </w:rPr>
            </w:pPr>
            <w:r w:rsidRPr="0053065A">
              <w:rPr>
                <w:kern w:val="2"/>
                <w:sz w:val="20"/>
                <w:szCs w:val="20"/>
              </w:rPr>
              <w:t>500</w:t>
            </w:r>
          </w:p>
        </w:tc>
        <w:tc>
          <w:tcPr>
            <w:tcW w:w="635" w:type="pct"/>
          </w:tcPr>
          <w:p w14:paraId="6A0528C1" w14:textId="77777777" w:rsidR="003D07E1" w:rsidRPr="0053065A" w:rsidRDefault="003D07E1" w:rsidP="0053065A">
            <w:pPr>
              <w:ind w:left="0" w:right="0"/>
              <w:rPr>
                <w:kern w:val="2"/>
                <w:sz w:val="20"/>
                <w:szCs w:val="20"/>
              </w:rPr>
            </w:pPr>
            <w:r w:rsidRPr="0053065A">
              <w:rPr>
                <w:kern w:val="2"/>
                <w:sz w:val="20"/>
                <w:szCs w:val="20"/>
              </w:rPr>
              <w:t>3000</w:t>
            </w:r>
          </w:p>
        </w:tc>
        <w:tc>
          <w:tcPr>
            <w:tcW w:w="658" w:type="pct"/>
          </w:tcPr>
          <w:p w14:paraId="62F97151" w14:textId="77777777" w:rsidR="003D07E1" w:rsidRPr="0053065A" w:rsidRDefault="003D07E1" w:rsidP="0053065A">
            <w:pPr>
              <w:ind w:left="0" w:right="0"/>
              <w:rPr>
                <w:kern w:val="2"/>
                <w:sz w:val="20"/>
                <w:szCs w:val="20"/>
              </w:rPr>
            </w:pPr>
            <w:r w:rsidRPr="0053065A">
              <w:rPr>
                <w:kern w:val="2"/>
                <w:sz w:val="20"/>
                <w:szCs w:val="20"/>
              </w:rPr>
              <w:t>5</w:t>
            </w:r>
          </w:p>
        </w:tc>
        <w:tc>
          <w:tcPr>
            <w:tcW w:w="700" w:type="pct"/>
          </w:tcPr>
          <w:p w14:paraId="167D1E46" w14:textId="77777777" w:rsidR="003D07E1" w:rsidRPr="0053065A" w:rsidRDefault="003D07E1" w:rsidP="0053065A">
            <w:pPr>
              <w:ind w:left="0" w:right="0"/>
              <w:rPr>
                <w:kern w:val="2"/>
                <w:sz w:val="20"/>
                <w:szCs w:val="20"/>
              </w:rPr>
            </w:pPr>
            <w:r w:rsidRPr="0053065A">
              <w:rPr>
                <w:kern w:val="2"/>
                <w:sz w:val="20"/>
                <w:szCs w:val="20"/>
              </w:rPr>
              <w:t>-</w:t>
            </w:r>
          </w:p>
        </w:tc>
        <w:tc>
          <w:tcPr>
            <w:tcW w:w="658" w:type="pct"/>
          </w:tcPr>
          <w:p w14:paraId="58FF21D8" w14:textId="77777777" w:rsidR="003D07E1" w:rsidRPr="0053065A" w:rsidRDefault="003D07E1" w:rsidP="0053065A">
            <w:pPr>
              <w:ind w:left="0" w:right="0"/>
              <w:rPr>
                <w:kern w:val="2"/>
                <w:sz w:val="20"/>
                <w:szCs w:val="20"/>
              </w:rPr>
            </w:pPr>
            <w:r w:rsidRPr="0053065A">
              <w:rPr>
                <w:kern w:val="2"/>
                <w:sz w:val="20"/>
                <w:szCs w:val="20"/>
              </w:rPr>
              <w:t>-</w:t>
            </w:r>
          </w:p>
        </w:tc>
      </w:tr>
      <w:tr w:rsidR="0053065A" w:rsidRPr="0053065A" w14:paraId="6439B8BC" w14:textId="77777777" w:rsidTr="003D07E1">
        <w:trPr>
          <w:trHeight w:val="227"/>
        </w:trPr>
        <w:tc>
          <w:tcPr>
            <w:tcW w:w="742" w:type="pct"/>
            <w:vMerge/>
          </w:tcPr>
          <w:p w14:paraId="0D473512" w14:textId="77777777" w:rsidR="003D07E1" w:rsidRPr="0053065A" w:rsidRDefault="003D07E1" w:rsidP="0053065A">
            <w:pPr>
              <w:ind w:left="0" w:right="0"/>
              <w:rPr>
                <w:kern w:val="2"/>
                <w:sz w:val="20"/>
                <w:szCs w:val="20"/>
              </w:rPr>
            </w:pPr>
          </w:p>
        </w:tc>
        <w:tc>
          <w:tcPr>
            <w:tcW w:w="802" w:type="pct"/>
            <w:vMerge/>
          </w:tcPr>
          <w:p w14:paraId="7FCBABBB" w14:textId="77777777" w:rsidR="003D07E1" w:rsidRPr="0053065A" w:rsidRDefault="003D07E1" w:rsidP="0053065A">
            <w:pPr>
              <w:ind w:left="0" w:right="0"/>
              <w:rPr>
                <w:kern w:val="2"/>
                <w:sz w:val="20"/>
                <w:szCs w:val="20"/>
              </w:rPr>
            </w:pPr>
          </w:p>
        </w:tc>
        <w:tc>
          <w:tcPr>
            <w:tcW w:w="804" w:type="pct"/>
          </w:tcPr>
          <w:p w14:paraId="43882DFA" w14:textId="77777777" w:rsidR="003D07E1" w:rsidRPr="0053065A" w:rsidRDefault="003D07E1" w:rsidP="0053065A">
            <w:pPr>
              <w:ind w:left="0" w:right="0"/>
              <w:rPr>
                <w:kern w:val="2"/>
                <w:sz w:val="20"/>
                <w:szCs w:val="20"/>
              </w:rPr>
            </w:pPr>
            <w:r w:rsidRPr="0053065A">
              <w:rPr>
                <w:kern w:val="2"/>
                <w:sz w:val="20"/>
                <w:szCs w:val="20"/>
              </w:rPr>
              <w:t>1000</w:t>
            </w:r>
          </w:p>
        </w:tc>
        <w:tc>
          <w:tcPr>
            <w:tcW w:w="635" w:type="pct"/>
          </w:tcPr>
          <w:p w14:paraId="5A58B233" w14:textId="77777777" w:rsidR="003D07E1" w:rsidRPr="0053065A" w:rsidRDefault="003D07E1" w:rsidP="0053065A">
            <w:pPr>
              <w:ind w:left="0" w:right="0"/>
              <w:rPr>
                <w:kern w:val="2"/>
                <w:sz w:val="20"/>
                <w:szCs w:val="20"/>
              </w:rPr>
            </w:pPr>
            <w:r w:rsidRPr="0053065A">
              <w:rPr>
                <w:kern w:val="2"/>
                <w:sz w:val="20"/>
                <w:szCs w:val="20"/>
              </w:rPr>
              <w:t>6000</w:t>
            </w:r>
          </w:p>
        </w:tc>
        <w:tc>
          <w:tcPr>
            <w:tcW w:w="658" w:type="pct"/>
          </w:tcPr>
          <w:p w14:paraId="17B93B53" w14:textId="77777777" w:rsidR="003D07E1" w:rsidRPr="0053065A" w:rsidRDefault="003D07E1" w:rsidP="0053065A">
            <w:pPr>
              <w:ind w:left="0" w:right="0"/>
              <w:rPr>
                <w:kern w:val="2"/>
                <w:sz w:val="20"/>
                <w:szCs w:val="20"/>
              </w:rPr>
            </w:pPr>
            <w:r w:rsidRPr="0053065A">
              <w:rPr>
                <w:kern w:val="2"/>
                <w:sz w:val="20"/>
                <w:szCs w:val="20"/>
              </w:rPr>
              <w:t>10</w:t>
            </w:r>
          </w:p>
        </w:tc>
        <w:tc>
          <w:tcPr>
            <w:tcW w:w="700" w:type="pct"/>
          </w:tcPr>
          <w:p w14:paraId="3825AF1A" w14:textId="77777777" w:rsidR="003D07E1" w:rsidRPr="0053065A" w:rsidRDefault="003D07E1" w:rsidP="0053065A">
            <w:pPr>
              <w:ind w:left="0" w:right="0"/>
              <w:rPr>
                <w:kern w:val="2"/>
                <w:sz w:val="20"/>
                <w:szCs w:val="20"/>
              </w:rPr>
            </w:pPr>
            <w:r w:rsidRPr="0053065A">
              <w:rPr>
                <w:kern w:val="2"/>
                <w:sz w:val="20"/>
                <w:szCs w:val="20"/>
              </w:rPr>
              <w:t>-</w:t>
            </w:r>
          </w:p>
        </w:tc>
        <w:tc>
          <w:tcPr>
            <w:tcW w:w="658" w:type="pct"/>
          </w:tcPr>
          <w:p w14:paraId="18BB4B05" w14:textId="77777777" w:rsidR="003D07E1" w:rsidRPr="0053065A" w:rsidRDefault="003D07E1" w:rsidP="0053065A">
            <w:pPr>
              <w:ind w:left="0" w:right="0"/>
              <w:rPr>
                <w:kern w:val="2"/>
                <w:sz w:val="20"/>
                <w:szCs w:val="20"/>
              </w:rPr>
            </w:pPr>
            <w:r w:rsidRPr="0053065A">
              <w:rPr>
                <w:kern w:val="2"/>
                <w:sz w:val="20"/>
                <w:szCs w:val="20"/>
              </w:rPr>
              <w:t>-</w:t>
            </w:r>
          </w:p>
        </w:tc>
      </w:tr>
      <w:tr w:rsidR="0053065A" w:rsidRPr="0053065A" w14:paraId="6857B068" w14:textId="77777777" w:rsidTr="003D07E1">
        <w:trPr>
          <w:trHeight w:val="227"/>
        </w:trPr>
        <w:tc>
          <w:tcPr>
            <w:tcW w:w="742" w:type="pct"/>
            <w:vMerge w:val="restart"/>
          </w:tcPr>
          <w:p w14:paraId="1570EDCD" w14:textId="77777777" w:rsidR="003D07E1" w:rsidRPr="0053065A" w:rsidRDefault="003D07E1" w:rsidP="0053065A">
            <w:pPr>
              <w:ind w:left="0" w:right="0"/>
              <w:rPr>
                <w:kern w:val="2"/>
                <w:sz w:val="20"/>
                <w:szCs w:val="20"/>
              </w:rPr>
            </w:pPr>
            <w:r w:rsidRPr="0053065A">
              <w:rPr>
                <w:kern w:val="2"/>
                <w:sz w:val="20"/>
                <w:szCs w:val="20"/>
              </w:rPr>
              <w:t>Rabbit</w:t>
            </w:r>
            <w:r w:rsidR="0053065A">
              <w:rPr>
                <w:kern w:val="2"/>
                <w:sz w:val="20"/>
                <w:szCs w:val="20"/>
              </w:rPr>
              <w:t xml:space="preserve"> </w:t>
            </w:r>
            <w:r w:rsidRPr="0053065A">
              <w:rPr>
                <w:kern w:val="2"/>
                <w:sz w:val="20"/>
                <w:szCs w:val="20"/>
              </w:rPr>
              <w:t>(Kbl)</w:t>
            </w:r>
          </w:p>
        </w:tc>
        <w:tc>
          <w:tcPr>
            <w:tcW w:w="802" w:type="pct"/>
            <w:vMerge w:val="restart"/>
          </w:tcPr>
          <w:p w14:paraId="285F7B5C" w14:textId="77777777" w:rsidR="003D07E1" w:rsidRPr="0053065A" w:rsidRDefault="0053065A" w:rsidP="0053065A">
            <w:pPr>
              <w:ind w:left="0" w:right="0"/>
              <w:rPr>
                <w:kern w:val="2"/>
                <w:sz w:val="20"/>
                <w:szCs w:val="20"/>
              </w:rPr>
            </w:pPr>
            <w:r>
              <w:rPr>
                <w:kern w:val="2"/>
                <w:sz w:val="20"/>
                <w:szCs w:val="20"/>
              </w:rPr>
              <w:t xml:space="preserve">Embryofetal development </w:t>
            </w:r>
            <w:r w:rsidR="00DB3203" w:rsidRPr="0053065A">
              <w:rPr>
                <w:kern w:val="2"/>
                <w:sz w:val="20"/>
                <w:szCs w:val="20"/>
              </w:rPr>
              <w:t>(</w:t>
            </w:r>
            <w:r w:rsidR="003D07E1" w:rsidRPr="0053065A">
              <w:rPr>
                <w:kern w:val="2"/>
                <w:sz w:val="20"/>
                <w:szCs w:val="20"/>
              </w:rPr>
              <w:t>C-14-780</w:t>
            </w:r>
            <w:r w:rsidR="00DB3203" w:rsidRPr="0053065A">
              <w:rPr>
                <w:kern w:val="2"/>
                <w:sz w:val="20"/>
                <w:szCs w:val="20"/>
              </w:rPr>
              <w:t>)</w:t>
            </w:r>
          </w:p>
        </w:tc>
        <w:tc>
          <w:tcPr>
            <w:tcW w:w="804" w:type="pct"/>
          </w:tcPr>
          <w:p w14:paraId="720C4080" w14:textId="77777777" w:rsidR="003D07E1" w:rsidRPr="0053065A" w:rsidRDefault="003D07E1" w:rsidP="0053065A">
            <w:pPr>
              <w:ind w:left="0" w:right="0"/>
              <w:rPr>
                <w:kern w:val="2"/>
                <w:sz w:val="20"/>
                <w:szCs w:val="20"/>
              </w:rPr>
            </w:pPr>
            <w:r w:rsidRPr="0053065A">
              <w:rPr>
                <w:kern w:val="2"/>
                <w:sz w:val="20"/>
                <w:szCs w:val="20"/>
              </w:rPr>
              <w:t>150</w:t>
            </w:r>
          </w:p>
        </w:tc>
        <w:tc>
          <w:tcPr>
            <w:tcW w:w="635" w:type="pct"/>
          </w:tcPr>
          <w:p w14:paraId="5B1364A9" w14:textId="77777777" w:rsidR="003D07E1" w:rsidRPr="0053065A" w:rsidRDefault="003D07E1" w:rsidP="0053065A">
            <w:pPr>
              <w:ind w:left="0" w:right="0"/>
              <w:rPr>
                <w:kern w:val="2"/>
                <w:sz w:val="20"/>
                <w:szCs w:val="20"/>
              </w:rPr>
            </w:pPr>
            <w:r w:rsidRPr="0053065A">
              <w:rPr>
                <w:kern w:val="2"/>
                <w:sz w:val="20"/>
                <w:szCs w:val="20"/>
              </w:rPr>
              <w:t>1800</w:t>
            </w:r>
          </w:p>
        </w:tc>
        <w:tc>
          <w:tcPr>
            <w:tcW w:w="658" w:type="pct"/>
          </w:tcPr>
          <w:p w14:paraId="12099278" w14:textId="77777777" w:rsidR="003D07E1" w:rsidRPr="0053065A" w:rsidRDefault="003D07E1" w:rsidP="0053065A">
            <w:pPr>
              <w:ind w:left="0" w:right="0"/>
              <w:rPr>
                <w:kern w:val="2"/>
                <w:sz w:val="20"/>
                <w:szCs w:val="20"/>
              </w:rPr>
            </w:pPr>
            <w:r w:rsidRPr="0053065A">
              <w:rPr>
                <w:kern w:val="2"/>
                <w:sz w:val="20"/>
                <w:szCs w:val="20"/>
              </w:rPr>
              <w:t>3</w:t>
            </w:r>
          </w:p>
        </w:tc>
        <w:tc>
          <w:tcPr>
            <w:tcW w:w="700" w:type="pct"/>
          </w:tcPr>
          <w:p w14:paraId="1444CEBA" w14:textId="77777777" w:rsidR="003D07E1" w:rsidRPr="0053065A" w:rsidRDefault="003D07E1" w:rsidP="0053065A">
            <w:pPr>
              <w:ind w:left="0" w:right="0"/>
              <w:rPr>
                <w:kern w:val="2"/>
                <w:sz w:val="20"/>
                <w:szCs w:val="20"/>
              </w:rPr>
            </w:pPr>
            <w:r w:rsidRPr="0053065A">
              <w:rPr>
                <w:kern w:val="2"/>
                <w:sz w:val="20"/>
                <w:szCs w:val="20"/>
              </w:rPr>
              <w:t>10.3</w:t>
            </w:r>
          </w:p>
        </w:tc>
        <w:tc>
          <w:tcPr>
            <w:tcW w:w="658" w:type="pct"/>
          </w:tcPr>
          <w:p w14:paraId="2EBB73D6" w14:textId="77777777" w:rsidR="003D07E1" w:rsidRPr="0053065A" w:rsidRDefault="003D07E1" w:rsidP="0053065A">
            <w:pPr>
              <w:ind w:left="0" w:right="0"/>
              <w:rPr>
                <w:kern w:val="2"/>
                <w:sz w:val="20"/>
                <w:szCs w:val="20"/>
              </w:rPr>
            </w:pPr>
            <w:r w:rsidRPr="0053065A">
              <w:rPr>
                <w:kern w:val="2"/>
                <w:sz w:val="20"/>
                <w:szCs w:val="20"/>
              </w:rPr>
              <w:t>0.2</w:t>
            </w:r>
          </w:p>
        </w:tc>
      </w:tr>
      <w:tr w:rsidR="0053065A" w:rsidRPr="0053065A" w14:paraId="586D2DE2" w14:textId="77777777" w:rsidTr="003D07E1">
        <w:trPr>
          <w:trHeight w:val="227"/>
        </w:trPr>
        <w:tc>
          <w:tcPr>
            <w:tcW w:w="742" w:type="pct"/>
            <w:vMerge/>
          </w:tcPr>
          <w:p w14:paraId="0717738E" w14:textId="77777777" w:rsidR="003D07E1" w:rsidRPr="0053065A" w:rsidRDefault="003D07E1" w:rsidP="0053065A">
            <w:pPr>
              <w:ind w:left="0" w:right="0"/>
              <w:rPr>
                <w:kern w:val="2"/>
                <w:sz w:val="20"/>
                <w:szCs w:val="20"/>
              </w:rPr>
            </w:pPr>
          </w:p>
        </w:tc>
        <w:tc>
          <w:tcPr>
            <w:tcW w:w="802" w:type="pct"/>
            <w:vMerge/>
          </w:tcPr>
          <w:p w14:paraId="29B8C609" w14:textId="77777777" w:rsidR="003D07E1" w:rsidRPr="0053065A" w:rsidRDefault="003D07E1" w:rsidP="0053065A">
            <w:pPr>
              <w:ind w:left="0" w:right="0"/>
              <w:rPr>
                <w:kern w:val="2"/>
                <w:sz w:val="20"/>
                <w:szCs w:val="20"/>
              </w:rPr>
            </w:pPr>
          </w:p>
        </w:tc>
        <w:tc>
          <w:tcPr>
            <w:tcW w:w="804" w:type="pct"/>
          </w:tcPr>
          <w:p w14:paraId="30920AA2" w14:textId="77777777" w:rsidR="003D07E1" w:rsidRPr="0053065A" w:rsidRDefault="003D07E1" w:rsidP="0053065A">
            <w:pPr>
              <w:ind w:left="0" w:right="0"/>
              <w:rPr>
                <w:kern w:val="2"/>
                <w:sz w:val="20"/>
                <w:szCs w:val="20"/>
              </w:rPr>
            </w:pPr>
            <w:r w:rsidRPr="0053065A">
              <w:rPr>
                <w:kern w:val="2"/>
                <w:sz w:val="20"/>
                <w:szCs w:val="20"/>
              </w:rPr>
              <w:t>500</w:t>
            </w:r>
          </w:p>
        </w:tc>
        <w:tc>
          <w:tcPr>
            <w:tcW w:w="635" w:type="pct"/>
          </w:tcPr>
          <w:p w14:paraId="6DAEA7A4" w14:textId="77777777" w:rsidR="003D07E1" w:rsidRPr="0053065A" w:rsidRDefault="003D07E1" w:rsidP="0053065A">
            <w:pPr>
              <w:ind w:left="0" w:right="0"/>
              <w:rPr>
                <w:kern w:val="2"/>
                <w:sz w:val="20"/>
                <w:szCs w:val="20"/>
              </w:rPr>
            </w:pPr>
            <w:r w:rsidRPr="0053065A">
              <w:rPr>
                <w:kern w:val="2"/>
                <w:sz w:val="20"/>
                <w:szCs w:val="20"/>
              </w:rPr>
              <w:t>6000</w:t>
            </w:r>
          </w:p>
        </w:tc>
        <w:tc>
          <w:tcPr>
            <w:tcW w:w="658" w:type="pct"/>
          </w:tcPr>
          <w:p w14:paraId="606220A8" w14:textId="77777777" w:rsidR="003D07E1" w:rsidRPr="0053065A" w:rsidRDefault="003D07E1" w:rsidP="0053065A">
            <w:pPr>
              <w:ind w:left="0" w:right="0"/>
              <w:rPr>
                <w:kern w:val="2"/>
                <w:sz w:val="20"/>
                <w:szCs w:val="20"/>
              </w:rPr>
            </w:pPr>
            <w:r w:rsidRPr="0053065A">
              <w:rPr>
                <w:kern w:val="2"/>
                <w:sz w:val="20"/>
                <w:szCs w:val="20"/>
              </w:rPr>
              <w:t>10</w:t>
            </w:r>
          </w:p>
        </w:tc>
        <w:tc>
          <w:tcPr>
            <w:tcW w:w="700" w:type="pct"/>
          </w:tcPr>
          <w:p w14:paraId="2F8BC465" w14:textId="77777777" w:rsidR="003D07E1" w:rsidRPr="0053065A" w:rsidRDefault="003D07E1" w:rsidP="0053065A">
            <w:pPr>
              <w:ind w:left="0" w:right="0"/>
              <w:rPr>
                <w:kern w:val="2"/>
                <w:sz w:val="20"/>
                <w:szCs w:val="20"/>
              </w:rPr>
            </w:pPr>
            <w:r w:rsidRPr="0053065A">
              <w:rPr>
                <w:kern w:val="2"/>
                <w:sz w:val="20"/>
                <w:szCs w:val="20"/>
              </w:rPr>
              <w:t>59.4</w:t>
            </w:r>
          </w:p>
        </w:tc>
        <w:tc>
          <w:tcPr>
            <w:tcW w:w="658" w:type="pct"/>
          </w:tcPr>
          <w:p w14:paraId="1FFA17BB" w14:textId="77777777" w:rsidR="003D07E1" w:rsidRPr="0053065A" w:rsidRDefault="003D07E1" w:rsidP="0053065A">
            <w:pPr>
              <w:ind w:left="0" w:right="0"/>
              <w:rPr>
                <w:kern w:val="2"/>
                <w:sz w:val="20"/>
                <w:szCs w:val="20"/>
              </w:rPr>
            </w:pPr>
            <w:r w:rsidRPr="0053065A">
              <w:rPr>
                <w:kern w:val="2"/>
                <w:sz w:val="20"/>
                <w:szCs w:val="20"/>
              </w:rPr>
              <w:t>1</w:t>
            </w:r>
          </w:p>
        </w:tc>
      </w:tr>
      <w:tr w:rsidR="0053065A" w:rsidRPr="0053065A" w14:paraId="072B685F" w14:textId="77777777" w:rsidTr="003D07E1">
        <w:trPr>
          <w:trHeight w:val="227"/>
        </w:trPr>
        <w:tc>
          <w:tcPr>
            <w:tcW w:w="742" w:type="pct"/>
          </w:tcPr>
          <w:p w14:paraId="6F8625D8" w14:textId="77777777" w:rsidR="003D07E1" w:rsidRPr="0053065A" w:rsidRDefault="003D07E1" w:rsidP="0053065A">
            <w:pPr>
              <w:ind w:left="0" w:right="0"/>
              <w:rPr>
                <w:kern w:val="2"/>
                <w:sz w:val="20"/>
                <w:szCs w:val="20"/>
              </w:rPr>
            </w:pPr>
            <w:r w:rsidRPr="0053065A">
              <w:rPr>
                <w:kern w:val="2"/>
                <w:sz w:val="20"/>
                <w:szCs w:val="20"/>
              </w:rPr>
              <w:t>Human</w:t>
            </w:r>
            <w:r w:rsidR="0053065A">
              <w:rPr>
                <w:kern w:val="2"/>
                <w:sz w:val="20"/>
                <w:szCs w:val="20"/>
              </w:rPr>
              <w:t xml:space="preserve"> </w:t>
            </w:r>
            <w:r w:rsidRPr="0053065A">
              <w:rPr>
                <w:kern w:val="2"/>
                <w:sz w:val="20"/>
                <w:szCs w:val="20"/>
              </w:rPr>
              <w:t>(healthy volunteers)</w:t>
            </w:r>
          </w:p>
        </w:tc>
        <w:tc>
          <w:tcPr>
            <w:tcW w:w="802" w:type="pct"/>
          </w:tcPr>
          <w:p w14:paraId="0866BB25" w14:textId="77777777" w:rsidR="003D07E1" w:rsidRPr="0053065A" w:rsidRDefault="00DB3203" w:rsidP="0053065A">
            <w:pPr>
              <w:ind w:left="0" w:right="0"/>
              <w:rPr>
                <w:kern w:val="2"/>
                <w:sz w:val="20"/>
                <w:szCs w:val="20"/>
              </w:rPr>
            </w:pPr>
            <w:r w:rsidRPr="0053065A">
              <w:rPr>
                <w:kern w:val="2"/>
                <w:sz w:val="20"/>
                <w:szCs w:val="20"/>
              </w:rPr>
              <w:t>(</w:t>
            </w:r>
            <w:r w:rsidR="003D07E1" w:rsidRPr="0053065A">
              <w:rPr>
                <w:kern w:val="2"/>
                <w:sz w:val="20"/>
                <w:szCs w:val="20"/>
              </w:rPr>
              <w:t xml:space="preserve">Study </w:t>
            </w:r>
            <w:r w:rsidR="003D07E1" w:rsidRPr="0053065A">
              <w:rPr>
                <w:rFonts w:asciiTheme="minorHAnsi" w:hAnsiTheme="minorHAnsi"/>
                <w:sz w:val="20"/>
                <w:szCs w:val="20"/>
              </w:rPr>
              <w:t>SNT-I-003</w:t>
            </w:r>
            <w:r w:rsidRPr="0053065A">
              <w:rPr>
                <w:kern w:val="2"/>
                <w:sz w:val="20"/>
                <w:szCs w:val="20"/>
              </w:rPr>
              <w:t>)</w:t>
            </w:r>
          </w:p>
        </w:tc>
        <w:tc>
          <w:tcPr>
            <w:tcW w:w="804" w:type="pct"/>
          </w:tcPr>
          <w:p w14:paraId="68262EAA" w14:textId="77777777" w:rsidR="003D07E1" w:rsidRPr="0053065A" w:rsidRDefault="0053065A" w:rsidP="0053065A">
            <w:pPr>
              <w:ind w:left="0" w:right="0"/>
              <w:rPr>
                <w:kern w:val="2"/>
                <w:sz w:val="20"/>
                <w:szCs w:val="20"/>
              </w:rPr>
            </w:pPr>
            <w:r>
              <w:rPr>
                <w:kern w:val="2"/>
                <w:sz w:val="20"/>
                <w:szCs w:val="20"/>
              </w:rPr>
              <w:t xml:space="preserve">18 </w:t>
            </w:r>
            <w:r w:rsidR="00DB3203" w:rsidRPr="0053065A">
              <w:rPr>
                <w:kern w:val="2"/>
                <w:sz w:val="20"/>
                <w:szCs w:val="20"/>
              </w:rPr>
              <w:t>(</w:t>
            </w:r>
            <w:r w:rsidR="003D07E1" w:rsidRPr="0053065A">
              <w:rPr>
                <w:kern w:val="2"/>
                <w:sz w:val="20"/>
                <w:szCs w:val="20"/>
              </w:rPr>
              <w:t>2250 mg</w:t>
            </w:r>
            <w:r w:rsidR="00DB3203" w:rsidRPr="0053065A">
              <w:rPr>
                <w:kern w:val="2"/>
                <w:sz w:val="20"/>
                <w:szCs w:val="20"/>
              </w:rPr>
              <w:t>)</w:t>
            </w:r>
          </w:p>
        </w:tc>
        <w:tc>
          <w:tcPr>
            <w:tcW w:w="635" w:type="pct"/>
          </w:tcPr>
          <w:p w14:paraId="1BD920C1" w14:textId="77777777" w:rsidR="003D07E1" w:rsidRPr="0053065A" w:rsidRDefault="003D07E1" w:rsidP="0053065A">
            <w:pPr>
              <w:ind w:left="0" w:right="0"/>
              <w:rPr>
                <w:kern w:val="2"/>
                <w:sz w:val="20"/>
                <w:szCs w:val="20"/>
              </w:rPr>
            </w:pPr>
            <w:r w:rsidRPr="0053065A">
              <w:rPr>
                <w:kern w:val="2"/>
                <w:sz w:val="20"/>
                <w:szCs w:val="20"/>
              </w:rPr>
              <w:t>600</w:t>
            </w:r>
          </w:p>
        </w:tc>
        <w:tc>
          <w:tcPr>
            <w:tcW w:w="658" w:type="pct"/>
          </w:tcPr>
          <w:p w14:paraId="73CA3C4A" w14:textId="77777777" w:rsidR="003D07E1" w:rsidRPr="0053065A" w:rsidRDefault="003D07E1" w:rsidP="0053065A">
            <w:pPr>
              <w:ind w:left="0" w:right="0"/>
              <w:rPr>
                <w:kern w:val="2"/>
                <w:sz w:val="20"/>
                <w:szCs w:val="20"/>
              </w:rPr>
            </w:pPr>
            <w:r w:rsidRPr="0053065A">
              <w:rPr>
                <w:kern w:val="2"/>
                <w:sz w:val="20"/>
                <w:szCs w:val="20"/>
              </w:rPr>
              <w:t>1</w:t>
            </w:r>
          </w:p>
        </w:tc>
        <w:tc>
          <w:tcPr>
            <w:tcW w:w="700" w:type="pct"/>
          </w:tcPr>
          <w:p w14:paraId="3077DB38" w14:textId="77777777" w:rsidR="003D07E1" w:rsidRPr="0053065A" w:rsidRDefault="003D07E1" w:rsidP="0053065A">
            <w:pPr>
              <w:ind w:left="0" w:right="0"/>
              <w:rPr>
                <w:kern w:val="2"/>
                <w:sz w:val="20"/>
                <w:szCs w:val="20"/>
              </w:rPr>
            </w:pPr>
            <w:r w:rsidRPr="0053065A">
              <w:rPr>
                <w:kern w:val="2"/>
                <w:sz w:val="20"/>
                <w:szCs w:val="20"/>
              </w:rPr>
              <w:t>56.8</w:t>
            </w:r>
            <w:r w:rsidRPr="0053065A">
              <w:rPr>
                <w:kern w:val="2"/>
                <w:sz w:val="20"/>
                <w:szCs w:val="20"/>
                <w:vertAlign w:val="superscript"/>
              </w:rPr>
              <w:t>#</w:t>
            </w:r>
          </w:p>
        </w:tc>
        <w:tc>
          <w:tcPr>
            <w:tcW w:w="658" w:type="pct"/>
          </w:tcPr>
          <w:p w14:paraId="0121C266" w14:textId="77777777" w:rsidR="003D07E1" w:rsidRPr="0053065A" w:rsidRDefault="003D07E1" w:rsidP="0053065A">
            <w:pPr>
              <w:ind w:left="0" w:right="0"/>
              <w:rPr>
                <w:kern w:val="2"/>
                <w:sz w:val="20"/>
                <w:szCs w:val="20"/>
              </w:rPr>
            </w:pPr>
            <w:r w:rsidRPr="0053065A">
              <w:rPr>
                <w:kern w:val="2"/>
                <w:sz w:val="20"/>
                <w:szCs w:val="20"/>
              </w:rPr>
              <w:t>–</w:t>
            </w:r>
          </w:p>
        </w:tc>
      </w:tr>
    </w:tbl>
    <w:p w14:paraId="274FC986" w14:textId="77EFF4A0" w:rsidR="003D07E1" w:rsidRDefault="003D07E1" w:rsidP="003D07E1">
      <w:pPr>
        <w:pStyle w:val="TableDescription"/>
      </w:pPr>
      <w:r w:rsidRPr="00EB69F1">
        <w:rPr>
          <w:position w:val="-2"/>
          <w:vertAlign w:val="superscript"/>
        </w:rPr>
        <w:t>#</w:t>
      </w:r>
      <w:r w:rsidR="0061481A">
        <w:t xml:space="preserve"> = </w:t>
      </w:r>
      <w:r>
        <w:t>(AUC</w:t>
      </w:r>
      <w:r w:rsidRPr="00AA476C">
        <w:rPr>
          <w:vertAlign w:val="subscript"/>
        </w:rPr>
        <w:t>0-6h</w:t>
      </w:r>
      <w:r>
        <w:t xml:space="preserve"> × 4)/2.5 since the MRHD is 900</w:t>
      </w:r>
      <w:r w:rsidR="001601AD">
        <w:t xml:space="preserve"> mg</w:t>
      </w:r>
      <w:r>
        <w:t>/day</w:t>
      </w:r>
      <w:r w:rsidRPr="00970C2E">
        <w:t>;</w:t>
      </w:r>
      <w:r>
        <w:t xml:space="preserve"> ^</w:t>
      </w:r>
      <w:r w:rsidR="0061481A">
        <w:t xml:space="preserve"> = </w:t>
      </w:r>
      <w:r>
        <w:t>data are from the last sampling occasion; Body Surface Area: Km</w:t>
      </w:r>
      <w:r w:rsidR="0061481A">
        <w:t xml:space="preserve"> = </w:t>
      </w:r>
      <w:r>
        <w:t>6 (rat), 12 (rabbit), 33 (50 kg human).</w:t>
      </w:r>
    </w:p>
    <w:p w14:paraId="3AF2E3D2" w14:textId="77777777" w:rsidR="003D07E1" w:rsidRPr="00EB69F1" w:rsidRDefault="003D07E1" w:rsidP="003D07E1">
      <w:pPr>
        <w:pStyle w:val="Heading5"/>
      </w:pPr>
      <w:r w:rsidRPr="00EB69F1">
        <w:lastRenderedPageBreak/>
        <w:t>Pregnancy classification</w:t>
      </w:r>
    </w:p>
    <w:p w14:paraId="131AD216" w14:textId="77777777" w:rsidR="003D07E1" w:rsidRPr="003A76F7" w:rsidRDefault="003D07E1" w:rsidP="003D07E1">
      <w:r w:rsidRPr="003A76F7">
        <w:t>The sponsor has proposed Pregnancy Category B1.</w:t>
      </w:r>
      <w:bookmarkStart w:id="64" w:name="_Ref25765125"/>
      <w:r w:rsidR="0053065A">
        <w:rPr>
          <w:rStyle w:val="FootnoteReference"/>
        </w:rPr>
        <w:footnoteReference w:id="25"/>
      </w:r>
      <w:bookmarkEnd w:id="64"/>
      <w:r w:rsidRPr="003A76F7">
        <w:t xml:space="preserve"> Given the lack of adverse findings in the reproductive toxicity </w:t>
      </w:r>
      <w:r>
        <w:t>studies i</w:t>
      </w:r>
      <w:r w:rsidRPr="003A76F7">
        <w:t xml:space="preserve">n both rats and rabbit, this category is </w:t>
      </w:r>
      <w:r>
        <w:t xml:space="preserve">considered </w:t>
      </w:r>
      <w:r w:rsidRPr="003A76F7">
        <w:t>appropriate.</w:t>
      </w:r>
    </w:p>
    <w:p w14:paraId="06FA493F" w14:textId="64F63473" w:rsidR="003D07E1" w:rsidRDefault="003D07E1" w:rsidP="003D07E1">
      <w:pPr>
        <w:pStyle w:val="Heading4"/>
      </w:pPr>
      <w:r>
        <w:t>I</w:t>
      </w:r>
      <w:r w:rsidRPr="00EB69F1">
        <w:t>mmunotoxicity</w:t>
      </w:r>
      <w:r w:rsidR="004D5E1C">
        <w:t xml:space="preserve"> and a</w:t>
      </w:r>
      <w:r>
        <w:t>ntigenicity</w:t>
      </w:r>
    </w:p>
    <w:p w14:paraId="4AD8B2A7" w14:textId="4B75B644" w:rsidR="003D07E1" w:rsidRPr="003D07E1" w:rsidRDefault="003D07E1" w:rsidP="003D07E1">
      <w:r>
        <w:t>Idebenone was not immunogenic in mice</w:t>
      </w:r>
      <w:r w:rsidR="004D5E1C">
        <w:t xml:space="preserve">; </w:t>
      </w:r>
      <w:r>
        <w:t>it did not yield positive p</w:t>
      </w:r>
      <w:r w:rsidRPr="00182650">
        <w:t>assive cutaneous anaphyla</w:t>
      </w:r>
      <w:r>
        <w:t>ct</w:t>
      </w:r>
      <w:r w:rsidRPr="00182650">
        <w:t>ic</w:t>
      </w:r>
      <w:r>
        <w:t xml:space="preserve"> reactions, p</w:t>
      </w:r>
      <w:r w:rsidRPr="00182650">
        <w:t>assive h</w:t>
      </w:r>
      <w:r w:rsidR="004D5E1C">
        <w:t>a</w:t>
      </w:r>
      <w:r w:rsidRPr="00182650">
        <w:t>emagglutination</w:t>
      </w:r>
      <w:r>
        <w:t xml:space="preserve"> reactions or agar precipitin reactions when administered at doses up to 200 mg/kg daily for four weeks. S</w:t>
      </w:r>
      <w:r w:rsidRPr="000C1FD6">
        <w:t>ystemic anaphylaxis tests in guinea pigs</w:t>
      </w:r>
      <w:r>
        <w:t xml:space="preserve"> were negative as shown by the absence of an </w:t>
      </w:r>
      <w:r w:rsidRPr="009E2F28">
        <w:t xml:space="preserve">active systemic anaphylactic reaction was elicited </w:t>
      </w:r>
      <w:r>
        <w:t>following an intraperitoneal challenge with idebenone after repeat oral idebenone dosing (up to 100 mg/kg) for four weeks.</w:t>
      </w:r>
    </w:p>
    <w:p w14:paraId="764A966B" w14:textId="77777777" w:rsidR="003D07E1" w:rsidRDefault="003D07E1" w:rsidP="003D07E1">
      <w:pPr>
        <w:pStyle w:val="Heading4"/>
      </w:pPr>
      <w:r w:rsidRPr="00EB69F1">
        <w:t>Impurities</w:t>
      </w:r>
    </w:p>
    <w:p w14:paraId="26797A56" w14:textId="77777777" w:rsidR="003D07E1" w:rsidRPr="00B32D67" w:rsidRDefault="003D07E1" w:rsidP="003D07E1">
      <w:r w:rsidRPr="00B32D67">
        <w:t>The proposed specifications for impurities in the drug substance/product are below the ICH qualification thresholds</w:t>
      </w:r>
      <w:r>
        <w:t xml:space="preserve"> or </w:t>
      </w:r>
      <w:r w:rsidRPr="00B32D67">
        <w:t xml:space="preserve">have been adequately qualified. All identified impurities have been assessed for potential mutagenicity </w:t>
      </w:r>
      <w:r>
        <w:t xml:space="preserve">and </w:t>
      </w:r>
      <w:r w:rsidRPr="00B32D67">
        <w:t>are considered non-mutagenic</w:t>
      </w:r>
      <w:r>
        <w:t>.</w:t>
      </w:r>
    </w:p>
    <w:p w14:paraId="1D570BA3" w14:textId="77777777" w:rsidR="003D07E1" w:rsidRDefault="003D07E1" w:rsidP="003D07E1">
      <w:pPr>
        <w:pStyle w:val="Heading4"/>
      </w:pPr>
      <w:r w:rsidRPr="00EB69F1">
        <w:t>Paediatric use</w:t>
      </w:r>
    </w:p>
    <w:p w14:paraId="2F663040" w14:textId="3CCD119E" w:rsidR="003D07E1" w:rsidRPr="003A76F7" w:rsidRDefault="003D07E1" w:rsidP="003D07E1">
      <w:r>
        <w:t xml:space="preserve">A repeat dose study was also conducted in juvenile animals since idebenone is intended for paediatric use. Juvenile Wistar rats were treated </w:t>
      </w:r>
      <w:r w:rsidR="001601AD">
        <w:t>for 4 weeks at doses up to 1000 </w:t>
      </w:r>
      <w:r>
        <w:t xml:space="preserve">mg/kg/day. A slight reduction of body weight in the mid- and high-dose groups was observed and histopathological examination revealed an increased incidence and severity of hyaline droplet accumulation in the epithelial cells of the proximal renal tubules in the male rats treated at 1000 mg/kg/day. Bone densitometry investigations revealed transient lower bone content and density of the femur and lumbar vertebrae in the high dose females only, consistent with the observed treatment-related growth retardation, that were markedly reduced after the recovery period. There was no effect on the subsequent development of the animals or on reproductive function and the NOAEL was determined to be 200 mg/kg/day. The exposure ratios achieved in this study were adequate, with the exception of idebenone+idebenone-C. The exposure ratios achieved in </w:t>
      </w:r>
      <w:r w:rsidR="003B17A3">
        <w:t xml:space="preserve">the high dose group </w:t>
      </w:r>
      <w:r>
        <w:t xml:space="preserve">animals (based on AUC) on </w:t>
      </w:r>
      <w:r w:rsidR="003B17A3">
        <w:t>D</w:t>
      </w:r>
      <w:r>
        <w:t xml:space="preserve">ay 28 (post-natal </w:t>
      </w:r>
      <w:r w:rsidR="003B17A3">
        <w:t>D</w:t>
      </w:r>
      <w:r>
        <w:t xml:space="preserve">ay 48), compared to clinical </w:t>
      </w:r>
      <w:r w:rsidR="003173BB">
        <w:t>Study</w:t>
      </w:r>
      <w:r w:rsidR="0053065A">
        <w:t> </w:t>
      </w:r>
      <w:r w:rsidR="0053065A">
        <w:rPr>
          <w:rFonts w:asciiTheme="minorHAnsi" w:hAnsiTheme="minorHAnsi"/>
        </w:rPr>
        <w:t>SNT</w:t>
      </w:r>
      <w:r w:rsidR="0053065A">
        <w:rPr>
          <w:rFonts w:asciiTheme="minorHAnsi" w:hAnsiTheme="minorHAnsi"/>
        </w:rPr>
        <w:noBreakHyphen/>
      </w:r>
      <w:r w:rsidRPr="005D2BA3">
        <w:rPr>
          <w:rFonts w:asciiTheme="minorHAnsi" w:hAnsiTheme="minorHAnsi"/>
        </w:rPr>
        <w:t>I-003</w:t>
      </w:r>
      <w:r>
        <w:rPr>
          <w:rFonts w:asciiTheme="minorHAnsi" w:hAnsiTheme="minorHAnsi"/>
        </w:rPr>
        <w:t xml:space="preserve">, </w:t>
      </w:r>
      <w:r>
        <w:t>were 111 for idebenone, 0.7 for</w:t>
      </w:r>
      <w:r w:rsidR="00DB3203">
        <w:t xml:space="preserve"> </w:t>
      </w:r>
      <w:r>
        <w:t xml:space="preserve">idebenone+idebenone-C, 3 for QS10+QS10-C, 16 for QS6+QS6-C and 13 for QS4+QS4-C </w:t>
      </w:r>
      <w:r w:rsidR="0030092C">
        <w:t>(Table 2</w:t>
      </w:r>
      <w:r w:rsidRPr="009019CE">
        <w:t>).</w:t>
      </w:r>
    </w:p>
    <w:p w14:paraId="7E55DE63" w14:textId="371D5852" w:rsidR="003D07E1" w:rsidRPr="00EB69F1" w:rsidRDefault="003D07E1" w:rsidP="003D07E1">
      <w:pPr>
        <w:pStyle w:val="Heading4"/>
      </w:pPr>
      <w:bookmarkStart w:id="65" w:name="_Toc510093103"/>
      <w:r w:rsidRPr="00EB69F1">
        <w:t>Comments on the</w:t>
      </w:r>
      <w:r>
        <w:t xml:space="preserve"> </w:t>
      </w:r>
      <w:r w:rsidR="00F8405A">
        <w:t>nonclinical</w:t>
      </w:r>
      <w:r w:rsidR="00F8405A" w:rsidRPr="00EB69F1">
        <w:t xml:space="preserve"> safety specificatio</w:t>
      </w:r>
      <w:r w:rsidRPr="00EB69F1">
        <w:t xml:space="preserve">n of the </w:t>
      </w:r>
      <w:r w:rsidR="00F8405A" w:rsidRPr="00EB69F1">
        <w:t>risk management plan</w:t>
      </w:r>
      <w:bookmarkEnd w:id="65"/>
    </w:p>
    <w:p w14:paraId="3F4185AF" w14:textId="76786DB1" w:rsidR="003D07E1" w:rsidRPr="00F16F2F" w:rsidRDefault="003D07E1" w:rsidP="003D07E1">
      <w:r w:rsidRPr="00F16F2F">
        <w:t xml:space="preserve">Results and conclusions drawn from the nonclinical program for idebenone detailed in the sponsor’s draft </w:t>
      </w:r>
      <w:r w:rsidR="003B17A3">
        <w:t>risk management plan (RMP)</w:t>
      </w:r>
      <w:r w:rsidRPr="00F16F2F">
        <w:t xml:space="preserve"> are in general</w:t>
      </w:r>
      <w:r w:rsidR="0053065A">
        <w:t xml:space="preserve"> concordance with those of the nonclinical e</w:t>
      </w:r>
      <w:r w:rsidRPr="00F16F2F">
        <w:t>valuator.</w:t>
      </w:r>
    </w:p>
    <w:p w14:paraId="4FB25F05" w14:textId="77777777" w:rsidR="008E7846" w:rsidRPr="003D07E1" w:rsidRDefault="008E7846" w:rsidP="003D07E1">
      <w:pPr>
        <w:pStyle w:val="Heading3"/>
      </w:pPr>
      <w:bookmarkStart w:id="66" w:name="_Toc247691515"/>
      <w:bookmarkStart w:id="67" w:name="_Toc314842499"/>
      <w:bookmarkStart w:id="68" w:name="_Toc32828530"/>
      <w:r w:rsidRPr="003D07E1">
        <w:t>Nonclinical summary and conclusions</w:t>
      </w:r>
      <w:bookmarkEnd w:id="66"/>
      <w:bookmarkEnd w:id="67"/>
      <w:bookmarkEnd w:id="68"/>
    </w:p>
    <w:p w14:paraId="08F4117F" w14:textId="77777777" w:rsidR="00DA3C41" w:rsidRPr="001D7002" w:rsidRDefault="00DA3C41" w:rsidP="003D07E1">
      <w:pPr>
        <w:pStyle w:val="ListBullet"/>
      </w:pPr>
      <w:r>
        <w:t xml:space="preserve">The submitted </w:t>
      </w:r>
      <w:r w:rsidR="0053065A">
        <w:t>nonclinical</w:t>
      </w:r>
      <w:r>
        <w:t xml:space="preserve"> dossier was in general accordance with the relevant ICH guideline</w:t>
      </w:r>
      <w:r w:rsidR="0053065A">
        <w:t>.</w:t>
      </w:r>
      <w:r w:rsidR="0053065A" w:rsidRPr="0053065A">
        <w:rPr>
          <w:vertAlign w:val="superscript"/>
        </w:rPr>
        <w:fldChar w:fldCharType="begin"/>
      </w:r>
      <w:r w:rsidR="0053065A" w:rsidRPr="0053065A">
        <w:rPr>
          <w:vertAlign w:val="superscript"/>
        </w:rPr>
        <w:instrText xml:space="preserve"> NOTEREF _Ref25748272 \h </w:instrText>
      </w:r>
      <w:r w:rsidR="0053065A">
        <w:rPr>
          <w:vertAlign w:val="superscript"/>
        </w:rPr>
        <w:instrText xml:space="preserve"> \* MERGEFORMAT </w:instrText>
      </w:r>
      <w:r w:rsidR="0053065A" w:rsidRPr="0053065A">
        <w:rPr>
          <w:vertAlign w:val="superscript"/>
        </w:rPr>
      </w:r>
      <w:r w:rsidR="0053065A" w:rsidRPr="0053065A">
        <w:rPr>
          <w:vertAlign w:val="superscript"/>
        </w:rPr>
        <w:fldChar w:fldCharType="separate"/>
      </w:r>
      <w:r w:rsidR="0053065A" w:rsidRPr="0053065A">
        <w:rPr>
          <w:vertAlign w:val="superscript"/>
        </w:rPr>
        <w:t>9</w:t>
      </w:r>
      <w:r w:rsidR="0053065A" w:rsidRPr="0053065A">
        <w:rPr>
          <w:vertAlign w:val="superscript"/>
        </w:rPr>
        <w:fldChar w:fldCharType="end"/>
      </w:r>
      <w:r>
        <w:t xml:space="preserve"> All the pivotal safety and toxicity studies were conducted according to GLP. </w:t>
      </w:r>
      <w:r>
        <w:lastRenderedPageBreak/>
        <w:t>The overall quality of the dossier was acceptable in view of the design and scope of the submitted studies.</w:t>
      </w:r>
    </w:p>
    <w:p w14:paraId="164FDDFA" w14:textId="77777777" w:rsidR="00DA3C41" w:rsidRPr="00EB69F1" w:rsidRDefault="00DA3C41" w:rsidP="003D07E1">
      <w:pPr>
        <w:pStyle w:val="ListBullet"/>
      </w:pPr>
      <w:r w:rsidRPr="00880B8D">
        <w:rPr>
          <w:i/>
        </w:rPr>
        <w:t xml:space="preserve">In vitro, </w:t>
      </w:r>
      <w:r w:rsidRPr="00880B8D">
        <w:t xml:space="preserve">idebenone prevented ATP loss in erythrocytes and inhibited mitochondrial lipid peroxidation. </w:t>
      </w:r>
      <w:r w:rsidRPr="00880B8D">
        <w:rPr>
          <w:i/>
        </w:rPr>
        <w:t xml:space="preserve">In vivo, </w:t>
      </w:r>
      <w:r w:rsidRPr="00880B8D">
        <w:t xml:space="preserve">idebenone restored mitochondrial function in a mouse model of Leber’s hereditary optic neuropathy. Idebenone improved cardiomyocyte function after ischemia in perfused rat hearts and ischemia-induced S-T segment increases in ECGs in dogs. In </w:t>
      </w:r>
      <w:r w:rsidRPr="00880B8D">
        <w:rPr>
          <w:i/>
        </w:rPr>
        <w:t>mdx</w:t>
      </w:r>
      <w:r w:rsidRPr="00880B8D">
        <w:t xml:space="preserve"> mice, a DMD model, idebenone prevented some deleterious changes in skeletal muscle, cardiomyocytes </w:t>
      </w:r>
      <w:r>
        <w:t>and cardiac physiology</w:t>
      </w:r>
      <w:r>
        <w:rPr>
          <w:color w:val="00B050"/>
        </w:rPr>
        <w:t>.</w:t>
      </w:r>
    </w:p>
    <w:p w14:paraId="11037313" w14:textId="7F09109F" w:rsidR="00DA3C41" w:rsidRPr="00F649C0" w:rsidRDefault="00DA3C41" w:rsidP="003D07E1">
      <w:pPr>
        <w:pStyle w:val="ListBullet"/>
        <w:rPr>
          <w:kern w:val="2"/>
        </w:rPr>
      </w:pPr>
      <w:r>
        <w:t xml:space="preserve">Overall, the safety pharmacology data in animals demonstrate no overt safety concerns with respect to the clinical use of idebenone for the treatment of DMD. </w:t>
      </w:r>
      <w:r w:rsidRPr="00880B8D">
        <w:rPr>
          <w:kern w:val="2"/>
        </w:rPr>
        <w:t>Safety pharmacology studies assessed effects on the cardiovascular, respi</w:t>
      </w:r>
      <w:r>
        <w:rPr>
          <w:kern w:val="2"/>
        </w:rPr>
        <w:t xml:space="preserve">ratory, renal, gastrointestinal </w:t>
      </w:r>
      <w:r w:rsidRPr="00880B8D">
        <w:rPr>
          <w:kern w:val="2"/>
        </w:rPr>
        <w:t xml:space="preserve">and central nervous systems. No effects of toxicological concern were seen on </w:t>
      </w:r>
      <w:r w:rsidR="003B17A3">
        <w:rPr>
          <w:kern w:val="2"/>
        </w:rPr>
        <w:t>central nervous system</w:t>
      </w:r>
      <w:r w:rsidRPr="00880B8D">
        <w:rPr>
          <w:kern w:val="2"/>
        </w:rPr>
        <w:t>, respiratory, gastrointestinal or renal function in a variety of animal models.</w:t>
      </w:r>
      <w:r w:rsidRPr="00880B8D">
        <w:t xml:space="preserve"> </w:t>
      </w:r>
      <w:r w:rsidRPr="00880B8D">
        <w:rPr>
          <w:kern w:val="2"/>
        </w:rPr>
        <w:t>Idebenone significantly inhibited the tail currents of the hERG channel with an IC</w:t>
      </w:r>
      <w:r w:rsidRPr="00880B8D">
        <w:rPr>
          <w:kern w:val="2"/>
          <w:vertAlign w:val="subscript"/>
        </w:rPr>
        <w:t>50</w:t>
      </w:r>
      <w:r>
        <w:rPr>
          <w:kern w:val="2"/>
        </w:rPr>
        <w:t xml:space="preserve"> of 5.5 </w:t>
      </w:r>
      <w:r w:rsidR="003B17A3">
        <w:rPr>
          <w:kern w:val="2"/>
        </w:rPr>
        <w:t>µ</w:t>
      </w:r>
      <w:r>
        <w:rPr>
          <w:kern w:val="2"/>
        </w:rPr>
        <w:t xml:space="preserve">M, however, </w:t>
      </w:r>
      <w:r w:rsidRPr="00880B8D">
        <w:rPr>
          <w:kern w:val="2"/>
        </w:rPr>
        <w:t>no adverse findings on QTc</w:t>
      </w:r>
      <w:r w:rsidR="00273610">
        <w:rPr>
          <w:kern w:val="2"/>
        </w:rPr>
        <w:t>;</w:t>
      </w:r>
      <w:r w:rsidR="00273610">
        <w:rPr>
          <w:rStyle w:val="FootnoteReference"/>
          <w:kern w:val="2"/>
        </w:rPr>
        <w:footnoteReference w:id="26"/>
      </w:r>
      <w:r w:rsidRPr="00880B8D">
        <w:rPr>
          <w:kern w:val="2"/>
        </w:rPr>
        <w:t xml:space="preserve"> were evident </w:t>
      </w:r>
      <w:r w:rsidRPr="00880B8D">
        <w:rPr>
          <w:i/>
          <w:kern w:val="2"/>
        </w:rPr>
        <w:t>in vivo</w:t>
      </w:r>
      <w:r w:rsidRPr="00880B8D">
        <w:rPr>
          <w:kern w:val="2"/>
        </w:rPr>
        <w:t xml:space="preserve"> as measured in a 39-week toxicology study in telemetered dogs.</w:t>
      </w:r>
      <w:r>
        <w:rPr>
          <w:kern w:val="2"/>
        </w:rPr>
        <w:t xml:space="preserve"> In the pivotal dog study, heart rate was significantly reduced, a phenotype which persisted in recovery animals.</w:t>
      </w:r>
    </w:p>
    <w:p w14:paraId="4C625CAB" w14:textId="77777777" w:rsidR="00685A72" w:rsidRDefault="00DA3C41" w:rsidP="003D07E1">
      <w:pPr>
        <w:pStyle w:val="ListBullet"/>
      </w:pPr>
      <w:r w:rsidRPr="008652B6">
        <w:t>Overall, the pharmacokinetic profile in animals was qualitatively similar to that of humans.</w:t>
      </w:r>
      <w:r w:rsidR="00DB3203">
        <w:t xml:space="preserve"> </w:t>
      </w:r>
      <w:r w:rsidRPr="008652B6">
        <w:t>Idebenone was readily and rapidly absorbed with a similar T</w:t>
      </w:r>
      <w:r w:rsidRPr="008652B6">
        <w:rPr>
          <w:vertAlign w:val="subscript"/>
        </w:rPr>
        <w:t>max</w:t>
      </w:r>
      <w:r w:rsidRPr="008652B6">
        <w:t xml:space="preserve"> in all species. Plasma protein binding of idebenone was very high (</w:t>
      </w:r>
      <w:r w:rsidR="003173BB">
        <w:t xml:space="preserve">&gt; </w:t>
      </w:r>
      <w:r w:rsidRPr="008652B6">
        <w:t xml:space="preserve">98%) in all animal species and humans. </w:t>
      </w:r>
      <w:r w:rsidRPr="008652B6">
        <w:rPr>
          <w:kern w:val="2"/>
        </w:rPr>
        <w:t>In all species</w:t>
      </w:r>
      <w:r w:rsidR="00DB3203">
        <w:rPr>
          <w:kern w:val="2"/>
        </w:rPr>
        <w:t xml:space="preserve"> </w:t>
      </w:r>
      <w:r w:rsidRPr="008652B6">
        <w:rPr>
          <w:kern w:val="2"/>
        </w:rPr>
        <w:t>idebenone oral bioavailability is less than 1%.</w:t>
      </w:r>
      <w:r w:rsidR="00DB3203">
        <w:rPr>
          <w:kern w:val="2"/>
        </w:rPr>
        <w:t xml:space="preserve"> </w:t>
      </w:r>
      <w:r w:rsidRPr="008652B6">
        <w:t xml:space="preserve">Tissue distribution </w:t>
      </w:r>
      <w:r w:rsidRPr="00921BEE">
        <w:t xml:space="preserve">of </w:t>
      </w:r>
      <w:r>
        <w:t>idebenone</w:t>
      </w:r>
      <w:r w:rsidRPr="00921BEE">
        <w:t xml:space="preserve"> was wide but</w:t>
      </w:r>
      <w:r>
        <w:t xml:space="preserve"> after oral administration the concentration of idebenone in the rat brain is approximately 20</w:t>
      </w:r>
      <w:r w:rsidR="003173BB">
        <w:t xml:space="preserve"> fold</w:t>
      </w:r>
      <w:r>
        <w:t xml:space="preserve"> lower than in plasma.</w:t>
      </w:r>
      <w:r w:rsidRPr="00921BEE">
        <w:t xml:space="preserve"> </w:t>
      </w:r>
      <w:r>
        <w:t xml:space="preserve">The metabolism of idebenone by oxidation and side chain shortening (mainly by CYP1A2, CYP2C19, and CYP3A4) and subsequent conjugation is fast and extensive in humans and animals. </w:t>
      </w:r>
      <w:r w:rsidRPr="00921BEE">
        <w:t>The main human metabolite</w:t>
      </w:r>
      <w:r>
        <w:t>s, which have high hydrophilicity and are pharmacologically inactive, were also</w:t>
      </w:r>
      <w:r w:rsidRPr="00921BEE">
        <w:t xml:space="preserve"> significant metabolite</w:t>
      </w:r>
      <w:r>
        <w:t>s</w:t>
      </w:r>
      <w:r w:rsidRPr="00921BEE">
        <w:t xml:space="preserve"> in </w:t>
      </w:r>
      <w:r>
        <w:t>the species used in the toxicity studies. In all species, all conjugated metabolites are present at much higher concentrations than idebenone and its unconjugated metabolites. Idebenone metabolites</w:t>
      </w:r>
      <w:r w:rsidRPr="00921BEE">
        <w:t xml:space="preserve"> </w:t>
      </w:r>
      <w:r>
        <w:t xml:space="preserve">were </w:t>
      </w:r>
      <w:r w:rsidRPr="00921BEE">
        <w:t xml:space="preserve">excreted via urine and faeces with urine as the predominant route of excretion in </w:t>
      </w:r>
      <w:r>
        <w:t xml:space="preserve">both </w:t>
      </w:r>
      <w:r w:rsidRPr="00921BEE">
        <w:t xml:space="preserve">humans </w:t>
      </w:r>
      <w:r>
        <w:t>and the</w:t>
      </w:r>
      <w:r w:rsidRPr="00921BEE">
        <w:t xml:space="preserve"> animal species</w:t>
      </w:r>
      <w:r>
        <w:t xml:space="preserve"> examined</w:t>
      </w:r>
      <w:r w:rsidR="00685A72">
        <w:t>.</w:t>
      </w:r>
    </w:p>
    <w:p w14:paraId="7489F1DF" w14:textId="77777777" w:rsidR="00DA3C41" w:rsidRPr="00A23121" w:rsidRDefault="00DA3C41" w:rsidP="003D07E1">
      <w:pPr>
        <w:pStyle w:val="ListBullet"/>
      </w:pPr>
      <w:r w:rsidRPr="00A23121">
        <w:t xml:space="preserve">Based on </w:t>
      </w:r>
      <w:r w:rsidRPr="00A23121">
        <w:rPr>
          <w:i/>
        </w:rPr>
        <w:t>in vitro</w:t>
      </w:r>
      <w:r w:rsidRPr="00A23121">
        <w:t xml:space="preserve"> studies, idebenone is not predicted to induce CYP1A/1A2, CYP2B6 and CYP3A4. </w:t>
      </w:r>
      <w:r w:rsidRPr="00A23121">
        <w:rPr>
          <w:i/>
        </w:rPr>
        <w:t>In vitro</w:t>
      </w:r>
      <w:r w:rsidRPr="00A23121">
        <w:t xml:space="preserve"> studies predicted that both idebenone and the metabolite QS-10 may</w:t>
      </w:r>
      <w:r w:rsidRPr="00A23121">
        <w:rPr>
          <w:kern w:val="2"/>
        </w:rPr>
        <w:t xml:space="preserve"> inhibit intestinal, but not systemic, CYP3A4, potentially increasing the absorption/exposure </w:t>
      </w:r>
      <w:r>
        <w:rPr>
          <w:kern w:val="2"/>
        </w:rPr>
        <w:t xml:space="preserve">of </w:t>
      </w:r>
      <w:r w:rsidRPr="00A23121">
        <w:rPr>
          <w:kern w:val="2"/>
        </w:rPr>
        <w:t>co-administered drugs that are CYP3A4 substrates.</w:t>
      </w:r>
      <w:r w:rsidRPr="00A23121">
        <w:t xml:space="preserve"> Idebenone may </w:t>
      </w:r>
      <w:r>
        <w:t xml:space="preserve">also </w:t>
      </w:r>
      <w:r w:rsidRPr="00A23121">
        <w:t>increase the exposure of co-administered drugs that are substrates of P-glycoprotein.</w:t>
      </w:r>
    </w:p>
    <w:p w14:paraId="6B10EB79" w14:textId="77777777" w:rsidR="00DA3C41" w:rsidRPr="00D52F91" w:rsidRDefault="00DA3C41" w:rsidP="003D07E1">
      <w:pPr>
        <w:pStyle w:val="ListBullet"/>
        <w:rPr>
          <w:kern w:val="2"/>
        </w:rPr>
      </w:pPr>
      <w:r w:rsidRPr="00D52F91">
        <w:rPr>
          <w:kern w:val="2"/>
        </w:rPr>
        <w:t>Idebenone had a low order of acute toxicity in mice and rats when administered orally</w:t>
      </w:r>
      <w:r>
        <w:rPr>
          <w:kern w:val="2"/>
        </w:rPr>
        <w:t xml:space="preserve"> (</w:t>
      </w:r>
      <w:r w:rsidRPr="00D52F91">
        <w:rPr>
          <w:kern w:val="2"/>
        </w:rPr>
        <w:t>the clinical route</w:t>
      </w:r>
      <w:r>
        <w:rPr>
          <w:kern w:val="2"/>
        </w:rPr>
        <w:t>)</w:t>
      </w:r>
      <w:r w:rsidRPr="00D52F91">
        <w:rPr>
          <w:kern w:val="2"/>
        </w:rPr>
        <w:t>.</w:t>
      </w:r>
    </w:p>
    <w:p w14:paraId="03267DB7" w14:textId="77777777" w:rsidR="00DA3C41" w:rsidRPr="00EB69F1" w:rsidRDefault="00DA3C41" w:rsidP="003D07E1">
      <w:pPr>
        <w:pStyle w:val="ListBullet"/>
      </w:pPr>
      <w:r w:rsidRPr="00D52F91">
        <w:t xml:space="preserve">Repeat dose studies </w:t>
      </w:r>
      <w:r w:rsidRPr="00901EA6">
        <w:t xml:space="preserve">by the oral route </w:t>
      </w:r>
      <w:r w:rsidRPr="00D52F91">
        <w:t>were conducted in mice (up to 13 weeks), rats (up to 12 months) and dogs (up to 12 months)</w:t>
      </w:r>
      <w:r>
        <w:t xml:space="preserve"> with high</w:t>
      </w:r>
      <w:r w:rsidRPr="00901EA6">
        <w:t xml:space="preserve"> exposures (AUC) </w:t>
      </w:r>
      <w:r>
        <w:t>achieved in all species. Idebenone exhibited a low order of toxicity in repeat dose studies in all species. The major effects in rats and dogs were reductions in body weight gain in the high dose groups and gastrointestinal symptoms which manifested in the rat as forestomach changes (low clinical relevance) and in the dog as vomiting and loose faeces (local GI irritation at high doses).</w:t>
      </w:r>
    </w:p>
    <w:p w14:paraId="76B19996" w14:textId="35FFA358" w:rsidR="00685A72" w:rsidRDefault="00DA3C41" w:rsidP="003D07E1">
      <w:pPr>
        <w:pStyle w:val="ListBullet"/>
        <w:rPr>
          <w:kern w:val="2"/>
          <w:szCs w:val="20"/>
        </w:rPr>
      </w:pPr>
      <w:r w:rsidRPr="008F697E">
        <w:t xml:space="preserve">Idebenone was not mutagenic in the bacterial mutation assay, bacterial </w:t>
      </w:r>
      <w:r w:rsidRPr="008F697E">
        <w:rPr>
          <w:i/>
        </w:rPr>
        <w:t xml:space="preserve">rec </w:t>
      </w:r>
      <w:r w:rsidRPr="008F697E">
        <w:t xml:space="preserve">assay, </w:t>
      </w:r>
      <w:r w:rsidRPr="008F697E">
        <w:rPr>
          <w:i/>
        </w:rPr>
        <w:t>in</w:t>
      </w:r>
      <w:r w:rsidR="003B17A3">
        <w:rPr>
          <w:i/>
        </w:rPr>
        <w:t> </w:t>
      </w:r>
      <w:r w:rsidRPr="008F697E">
        <w:rPr>
          <w:i/>
        </w:rPr>
        <w:t>vitro</w:t>
      </w:r>
      <w:r w:rsidRPr="008F697E">
        <w:t xml:space="preserve"> mammalian f</w:t>
      </w:r>
      <w:r w:rsidRPr="008F697E">
        <w:rPr>
          <w:kern w:val="2"/>
        </w:rPr>
        <w:t xml:space="preserve">orward mutation assay </w:t>
      </w:r>
      <w:r w:rsidRPr="008F697E">
        <w:t xml:space="preserve">or clastogenic </w:t>
      </w:r>
      <w:r w:rsidRPr="008F697E">
        <w:rPr>
          <w:i/>
        </w:rPr>
        <w:t>in vivo</w:t>
      </w:r>
      <w:r w:rsidRPr="008F697E">
        <w:t xml:space="preserve"> in rodent </w:t>
      </w:r>
      <w:r w:rsidRPr="008F697E">
        <w:lastRenderedPageBreak/>
        <w:t xml:space="preserve">micronucleus tests. </w:t>
      </w:r>
      <w:r>
        <w:t xml:space="preserve">Despite a positive result for </w:t>
      </w:r>
      <w:r w:rsidRPr="008F697E">
        <w:t>clastogenic</w:t>
      </w:r>
      <w:r>
        <w:t>ity</w:t>
      </w:r>
      <w:r w:rsidRPr="008F697E">
        <w:t xml:space="preserve"> in human lymphocytes</w:t>
      </w:r>
      <w:r>
        <w:t xml:space="preserve"> at high concentrations (likely reflecting redox </w:t>
      </w:r>
      <w:r w:rsidRPr="00080C61">
        <w:t xml:space="preserve">properties </w:t>
      </w:r>
      <w:r>
        <w:t xml:space="preserve">at high </w:t>
      </w:r>
      <w:r w:rsidRPr="00080C61">
        <w:t>of the substance</w:t>
      </w:r>
      <w:r>
        <w:t>), the weight of evidence suggests no genotoxicity concerns for idebenone</w:t>
      </w:r>
      <w:r w:rsidRPr="008F697E">
        <w:t>. No treatment related increase in tumour incidence was observed in mice or rats in 2</w:t>
      </w:r>
      <w:r w:rsidR="003B17A3">
        <w:t xml:space="preserve"> </w:t>
      </w:r>
      <w:r w:rsidRPr="008F697E">
        <w:t xml:space="preserve">year oral carcinogenicity studies. </w:t>
      </w:r>
      <w:r w:rsidRPr="008F697E">
        <w:rPr>
          <w:kern w:val="2"/>
          <w:szCs w:val="20"/>
        </w:rPr>
        <w:t xml:space="preserve">High exposure ratios were achieved in both the long term mouse (77) and rat (57) </w:t>
      </w:r>
      <w:r w:rsidRPr="008F697E">
        <w:t xml:space="preserve">carcinogenicity </w:t>
      </w:r>
      <w:r w:rsidRPr="008F697E">
        <w:rPr>
          <w:kern w:val="2"/>
          <w:szCs w:val="20"/>
        </w:rPr>
        <w:t>studies</w:t>
      </w:r>
      <w:r w:rsidR="00685A72">
        <w:rPr>
          <w:kern w:val="2"/>
          <w:szCs w:val="20"/>
        </w:rPr>
        <w:t>.</w:t>
      </w:r>
    </w:p>
    <w:p w14:paraId="165E13F8" w14:textId="77777777" w:rsidR="00685A72" w:rsidRDefault="00DA3C41" w:rsidP="003D07E1">
      <w:pPr>
        <w:pStyle w:val="ListBullet"/>
        <w:rPr>
          <w:kern w:val="2"/>
        </w:rPr>
      </w:pPr>
      <w:r w:rsidRPr="008F697E">
        <w:rPr>
          <w:kern w:val="2"/>
        </w:rPr>
        <w:t>Fertility was unaffected in male and female rats treated with idebenone at exposure levels ≥</w:t>
      </w:r>
      <w:r w:rsidR="0053065A">
        <w:rPr>
          <w:kern w:val="2"/>
        </w:rPr>
        <w:t xml:space="preserve"> </w:t>
      </w:r>
      <w:r w:rsidRPr="008F697E">
        <w:rPr>
          <w:kern w:val="2"/>
        </w:rPr>
        <w:t xml:space="preserve">5 times the clinical dose </w:t>
      </w:r>
      <w:r w:rsidRPr="008F697E">
        <w:t>based on body surface area comparisons</w:t>
      </w:r>
      <w:r w:rsidRPr="008F697E">
        <w:rPr>
          <w:kern w:val="2"/>
        </w:rPr>
        <w:t xml:space="preserve">. Idebenone was not teratogenic in rats or rabbits in embryofetal studies </w:t>
      </w:r>
      <w:r>
        <w:rPr>
          <w:kern w:val="2"/>
        </w:rPr>
        <w:t xml:space="preserve">where </w:t>
      </w:r>
      <w:r w:rsidRPr="008F697E">
        <w:rPr>
          <w:kern w:val="2"/>
        </w:rPr>
        <w:t xml:space="preserve">exposure levels </w:t>
      </w:r>
      <w:r>
        <w:rPr>
          <w:kern w:val="2"/>
        </w:rPr>
        <w:t xml:space="preserve">of </w:t>
      </w:r>
      <w:r w:rsidRPr="008F697E">
        <w:rPr>
          <w:kern w:val="2"/>
        </w:rPr>
        <w:t>10</w:t>
      </w:r>
      <w:r w:rsidR="0053065A">
        <w:rPr>
          <w:kern w:val="2"/>
        </w:rPr>
        <w:t xml:space="preserve"> x</w:t>
      </w:r>
      <w:r>
        <w:rPr>
          <w:kern w:val="2"/>
        </w:rPr>
        <w:t xml:space="preserve"> and 1</w:t>
      </w:r>
      <w:r w:rsidR="0053065A">
        <w:rPr>
          <w:kern w:val="2"/>
        </w:rPr>
        <w:t xml:space="preserve"> x</w:t>
      </w:r>
      <w:r>
        <w:rPr>
          <w:kern w:val="2"/>
        </w:rPr>
        <w:t xml:space="preserve"> </w:t>
      </w:r>
      <w:r w:rsidRPr="008F697E">
        <w:rPr>
          <w:kern w:val="2"/>
        </w:rPr>
        <w:t>that achieved clinical</w:t>
      </w:r>
      <w:r>
        <w:rPr>
          <w:kern w:val="2"/>
        </w:rPr>
        <w:t>ly</w:t>
      </w:r>
      <w:r w:rsidRPr="008F697E">
        <w:rPr>
          <w:kern w:val="2"/>
        </w:rPr>
        <w:t xml:space="preserve"> were achieved</w:t>
      </w:r>
      <w:r>
        <w:rPr>
          <w:kern w:val="2"/>
        </w:rPr>
        <w:t>, respectively</w:t>
      </w:r>
      <w:r w:rsidRPr="008F697E">
        <w:rPr>
          <w:kern w:val="2"/>
        </w:rPr>
        <w:t>. No adverse effects on pup development were observed in the rat p</w:t>
      </w:r>
      <w:r>
        <w:rPr>
          <w:kern w:val="2"/>
        </w:rPr>
        <w:t>eri</w:t>
      </w:r>
      <w:r w:rsidRPr="008F697E">
        <w:rPr>
          <w:kern w:val="2"/>
        </w:rPr>
        <w:t>/post-natal studies</w:t>
      </w:r>
      <w:r w:rsidR="00685A72">
        <w:rPr>
          <w:kern w:val="2"/>
        </w:rPr>
        <w:t>.</w:t>
      </w:r>
    </w:p>
    <w:p w14:paraId="3230E10B" w14:textId="77777777" w:rsidR="00DA3C41" w:rsidRPr="00EB69F1" w:rsidRDefault="003D07E1" w:rsidP="003D07E1">
      <w:pPr>
        <w:pStyle w:val="Heading4"/>
      </w:pPr>
      <w:bookmarkStart w:id="69" w:name="_Toc294861479"/>
      <w:bookmarkStart w:id="70" w:name="_Toc295290862"/>
      <w:bookmarkStart w:id="71" w:name="_Toc510093097"/>
      <w:r w:rsidRPr="00EB69F1">
        <w:t>Conclusions and recommendation</w:t>
      </w:r>
      <w:bookmarkEnd w:id="69"/>
      <w:bookmarkEnd w:id="70"/>
      <w:bookmarkEnd w:id="71"/>
    </w:p>
    <w:p w14:paraId="18363592" w14:textId="2DC5061D" w:rsidR="00DA3C41" w:rsidRPr="00FE1B6A" w:rsidRDefault="00DA3C41" w:rsidP="003D07E1">
      <w:pPr>
        <w:pStyle w:val="ListBullet"/>
      </w:pPr>
      <w:r w:rsidRPr="00FE1B6A">
        <w:t xml:space="preserve">The nonclinical dossier </w:t>
      </w:r>
      <w:r w:rsidR="006302E9">
        <w:t>contained no major deficiencies.</w:t>
      </w:r>
    </w:p>
    <w:p w14:paraId="72B1DBF5" w14:textId="77777777" w:rsidR="00685A72" w:rsidRDefault="00DA3C41" w:rsidP="003D07E1">
      <w:pPr>
        <w:pStyle w:val="ListBullet"/>
      </w:pPr>
      <w:r w:rsidRPr="00FE1B6A">
        <w:t>The primary pharmacology studies suggest that idebenone can alleviate certain DMD symptoms in animal models of DMD</w:t>
      </w:r>
      <w:r w:rsidR="00685A72">
        <w:t>.</w:t>
      </w:r>
    </w:p>
    <w:p w14:paraId="2C502F81" w14:textId="77777777" w:rsidR="00DA3C41" w:rsidRPr="00F62071" w:rsidRDefault="00DA3C41" w:rsidP="003D07E1">
      <w:pPr>
        <w:pStyle w:val="ListBullet"/>
      </w:pPr>
      <w:r>
        <w:t>The safety</w:t>
      </w:r>
      <w:r w:rsidRPr="00F62071">
        <w:t xml:space="preserve"> pharmacology </w:t>
      </w:r>
      <w:r>
        <w:t xml:space="preserve">and </w:t>
      </w:r>
      <w:r w:rsidRPr="008D4FEB">
        <w:rPr>
          <w:kern w:val="2"/>
        </w:rPr>
        <w:t xml:space="preserve">repeat-dose toxicity studies </w:t>
      </w:r>
      <w:r w:rsidRPr="00F62071">
        <w:t>raised no significant concerns</w:t>
      </w:r>
      <w:r>
        <w:t xml:space="preserve"> for the clinical use of idebenone.</w:t>
      </w:r>
    </w:p>
    <w:p w14:paraId="1B3B381D" w14:textId="77777777" w:rsidR="00DA3C41" w:rsidRPr="00FE1B6A" w:rsidRDefault="00DA3C41" w:rsidP="003D07E1">
      <w:pPr>
        <w:pStyle w:val="ListBullet"/>
        <w:rPr>
          <w:kern w:val="2"/>
        </w:rPr>
      </w:pPr>
      <w:r w:rsidRPr="00FE1B6A">
        <w:rPr>
          <w:kern w:val="2"/>
        </w:rPr>
        <w:t xml:space="preserve">Idebenone is not considered to pose a carcinogenic </w:t>
      </w:r>
      <w:r>
        <w:rPr>
          <w:kern w:val="2"/>
        </w:rPr>
        <w:t xml:space="preserve">or mutagenic </w:t>
      </w:r>
      <w:r w:rsidRPr="00FE1B6A">
        <w:rPr>
          <w:kern w:val="2"/>
        </w:rPr>
        <w:t>hazard in humans</w:t>
      </w:r>
      <w:r>
        <w:rPr>
          <w:kern w:val="2"/>
        </w:rPr>
        <w:t>, and the weight of evidence suggests that it is not clastogenic.</w:t>
      </w:r>
    </w:p>
    <w:p w14:paraId="49E4789E" w14:textId="1FBA97E7" w:rsidR="00DA3C41" w:rsidRPr="00FE1B6A" w:rsidRDefault="00DA3C41" w:rsidP="003D07E1">
      <w:pPr>
        <w:pStyle w:val="ListBullet"/>
        <w:rPr>
          <w:kern w:val="2"/>
        </w:rPr>
      </w:pPr>
      <w:r w:rsidRPr="00FE1B6A">
        <w:rPr>
          <w:kern w:val="2"/>
        </w:rPr>
        <w:t xml:space="preserve">The proposed </w:t>
      </w:r>
      <w:r w:rsidR="003B17A3">
        <w:rPr>
          <w:kern w:val="2"/>
        </w:rPr>
        <w:t>P</w:t>
      </w:r>
      <w:r w:rsidRPr="00FE1B6A">
        <w:rPr>
          <w:kern w:val="2"/>
        </w:rPr>
        <w:t xml:space="preserve">regnancy </w:t>
      </w:r>
      <w:r w:rsidR="003B17A3">
        <w:rPr>
          <w:kern w:val="2"/>
        </w:rPr>
        <w:t>C</w:t>
      </w:r>
      <w:r w:rsidRPr="00FE1B6A">
        <w:rPr>
          <w:kern w:val="2"/>
        </w:rPr>
        <w:t>ategory of B1 is considered appropriate for idebenone.</w:t>
      </w:r>
      <w:r w:rsidR="003B17A3" w:rsidRPr="00616DAF">
        <w:rPr>
          <w:kern w:val="2"/>
          <w:vertAlign w:val="superscript"/>
        </w:rPr>
        <w:fldChar w:fldCharType="begin"/>
      </w:r>
      <w:r w:rsidR="003B17A3" w:rsidRPr="00616DAF">
        <w:rPr>
          <w:kern w:val="2"/>
          <w:vertAlign w:val="superscript"/>
        </w:rPr>
        <w:instrText xml:space="preserve"> NOTEREF _Ref25765125 \h </w:instrText>
      </w:r>
      <w:r w:rsidR="003B17A3">
        <w:rPr>
          <w:kern w:val="2"/>
          <w:vertAlign w:val="superscript"/>
        </w:rPr>
        <w:instrText xml:space="preserve"> \* MERGEFORMAT </w:instrText>
      </w:r>
      <w:r w:rsidR="003B17A3" w:rsidRPr="00616DAF">
        <w:rPr>
          <w:kern w:val="2"/>
          <w:vertAlign w:val="superscript"/>
        </w:rPr>
      </w:r>
      <w:r w:rsidR="003B17A3" w:rsidRPr="00616DAF">
        <w:rPr>
          <w:kern w:val="2"/>
          <w:vertAlign w:val="superscript"/>
        </w:rPr>
        <w:fldChar w:fldCharType="separate"/>
      </w:r>
      <w:r w:rsidR="003B17A3" w:rsidRPr="00616DAF">
        <w:rPr>
          <w:kern w:val="2"/>
          <w:vertAlign w:val="superscript"/>
        </w:rPr>
        <w:t>26</w:t>
      </w:r>
      <w:r w:rsidR="003B17A3" w:rsidRPr="00616DAF">
        <w:rPr>
          <w:kern w:val="2"/>
          <w:vertAlign w:val="superscript"/>
        </w:rPr>
        <w:fldChar w:fldCharType="end"/>
      </w:r>
    </w:p>
    <w:p w14:paraId="5CF41532" w14:textId="77777777" w:rsidR="00DA3C41" w:rsidRPr="00FC2BA6" w:rsidRDefault="00DA3C41" w:rsidP="003D07E1">
      <w:pPr>
        <w:pStyle w:val="ListBullet"/>
        <w:rPr>
          <w:kern w:val="2"/>
        </w:rPr>
      </w:pPr>
      <w:r>
        <w:rPr>
          <w:kern w:val="2"/>
        </w:rPr>
        <w:t>T</w:t>
      </w:r>
      <w:r w:rsidRPr="00FC2BA6">
        <w:rPr>
          <w:kern w:val="2"/>
        </w:rPr>
        <w:t xml:space="preserve">here are no nonclinical objections to </w:t>
      </w:r>
      <w:r>
        <w:rPr>
          <w:kern w:val="2"/>
        </w:rPr>
        <w:t xml:space="preserve">the </w:t>
      </w:r>
      <w:r w:rsidRPr="00FC2BA6">
        <w:rPr>
          <w:kern w:val="2"/>
        </w:rPr>
        <w:t xml:space="preserve">registration of </w:t>
      </w:r>
      <w:r>
        <w:rPr>
          <w:kern w:val="2"/>
        </w:rPr>
        <w:t>idebenone.</w:t>
      </w:r>
    </w:p>
    <w:p w14:paraId="1ADE0A2A" w14:textId="77777777" w:rsidR="00DA3C41" w:rsidRPr="00DB7957" w:rsidRDefault="00DA3C41" w:rsidP="003D07E1">
      <w:pPr>
        <w:pStyle w:val="ListBullet"/>
        <w:numPr>
          <w:ilvl w:val="0"/>
          <w:numId w:val="0"/>
        </w:numPr>
        <w:rPr>
          <w:kern w:val="2"/>
        </w:rPr>
      </w:pPr>
      <w:r w:rsidRPr="00DB7957">
        <w:rPr>
          <w:kern w:val="2"/>
        </w:rPr>
        <w:t>The</w:t>
      </w:r>
      <w:r w:rsidR="003D07E1">
        <w:rPr>
          <w:kern w:val="2"/>
        </w:rPr>
        <w:t xml:space="preserve"> nonclinical evaluator also recommended changes to the PI but these are beyond the scope of the AusPAR.</w:t>
      </w:r>
    </w:p>
    <w:p w14:paraId="5338AF6B" w14:textId="77777777" w:rsidR="008E7846" w:rsidRPr="00254787" w:rsidRDefault="008E7846" w:rsidP="008E7846">
      <w:pPr>
        <w:pStyle w:val="Heading2"/>
      </w:pPr>
      <w:bookmarkStart w:id="72" w:name="_Toc196046462"/>
      <w:bookmarkStart w:id="73" w:name="_Toc247691516"/>
      <w:bookmarkStart w:id="74" w:name="_Toc314842500"/>
      <w:bookmarkStart w:id="75" w:name="_Toc32828531"/>
      <w:bookmarkStart w:id="76" w:name="_Toc163441353"/>
      <w:bookmarkStart w:id="77" w:name="_Toc163441348"/>
      <w:r>
        <w:t xml:space="preserve">V. </w:t>
      </w:r>
      <w:r w:rsidRPr="00254787">
        <w:t>Clinical</w:t>
      </w:r>
      <w:bookmarkEnd w:id="72"/>
      <w:r>
        <w:t xml:space="preserve"> </w:t>
      </w:r>
      <w:r w:rsidR="003A7F6C">
        <w:t>f</w:t>
      </w:r>
      <w:r>
        <w:t>indings</w:t>
      </w:r>
      <w:bookmarkEnd w:id="73"/>
      <w:bookmarkEnd w:id="74"/>
      <w:bookmarkEnd w:id="75"/>
    </w:p>
    <w:p w14:paraId="40AE849F" w14:textId="77777777" w:rsidR="00C80137" w:rsidRDefault="00C80137" w:rsidP="00D425BB">
      <w:bookmarkStart w:id="78" w:name="_Toc196046463"/>
      <w:r>
        <w:t xml:space="preserve">A summary of the </w:t>
      </w:r>
      <w:r w:rsidRPr="00FD70B8">
        <w:t>clinical findings is presented in this section.</w:t>
      </w:r>
    </w:p>
    <w:p w14:paraId="02229F0F" w14:textId="77777777" w:rsidR="008E7846" w:rsidRDefault="008E7846" w:rsidP="008E7846">
      <w:pPr>
        <w:pStyle w:val="Heading3"/>
      </w:pPr>
      <w:bookmarkStart w:id="79" w:name="_Toc247691517"/>
      <w:bookmarkStart w:id="80" w:name="_Toc314842501"/>
      <w:bookmarkStart w:id="81" w:name="_Toc32828532"/>
      <w:r w:rsidRPr="00254787">
        <w:t>Introduction</w:t>
      </w:r>
      <w:bookmarkEnd w:id="78"/>
      <w:bookmarkEnd w:id="79"/>
      <w:bookmarkEnd w:id="80"/>
      <w:bookmarkEnd w:id="81"/>
    </w:p>
    <w:p w14:paraId="053CA705" w14:textId="2EE15886" w:rsidR="00441AF6" w:rsidRDefault="00441AF6" w:rsidP="00441AF6">
      <w:pPr>
        <w:rPr>
          <w:lang w:eastAsia="ja-JP"/>
        </w:rPr>
      </w:pPr>
      <w:r w:rsidRPr="00AE471C">
        <w:rPr>
          <w:lang w:eastAsia="ja-JP"/>
        </w:rPr>
        <w:t>Idebenone is a potent antioxidant and inhibitor of lipid</w:t>
      </w:r>
      <w:r>
        <w:rPr>
          <w:lang w:eastAsia="ja-JP"/>
        </w:rPr>
        <w:t xml:space="preserve"> </w:t>
      </w:r>
      <w:r w:rsidRPr="00AE471C">
        <w:rPr>
          <w:lang w:eastAsia="ja-JP"/>
        </w:rPr>
        <w:t>peroxidation which has been shown to protect cell membranes and mitochondria from</w:t>
      </w:r>
      <w:r>
        <w:rPr>
          <w:lang w:eastAsia="ja-JP"/>
        </w:rPr>
        <w:t xml:space="preserve"> </w:t>
      </w:r>
      <w:r w:rsidRPr="00AE471C">
        <w:rPr>
          <w:lang w:eastAsia="ja-JP"/>
        </w:rPr>
        <w:t>oxidative damage.</w:t>
      </w:r>
      <w:r w:rsidR="00DB3203">
        <w:rPr>
          <w:lang w:eastAsia="ja-JP"/>
        </w:rPr>
        <w:t xml:space="preserve"> </w:t>
      </w:r>
      <w:r w:rsidRPr="00AE471C">
        <w:rPr>
          <w:lang w:eastAsia="ja-JP"/>
        </w:rPr>
        <w:t>Idebenone also stimulates mitochondrial electron flux and cellular</w:t>
      </w:r>
      <w:r>
        <w:rPr>
          <w:lang w:eastAsia="ja-JP"/>
        </w:rPr>
        <w:t xml:space="preserve"> </w:t>
      </w:r>
      <w:r w:rsidRPr="00AE471C">
        <w:rPr>
          <w:lang w:eastAsia="ja-JP"/>
        </w:rPr>
        <w:t xml:space="preserve">energy production by bypassing the </w:t>
      </w:r>
      <w:r w:rsidR="003B17A3">
        <w:rPr>
          <w:lang w:eastAsia="ja-JP"/>
        </w:rPr>
        <w:t>c</w:t>
      </w:r>
      <w:r w:rsidRPr="00AE471C">
        <w:rPr>
          <w:lang w:eastAsia="ja-JP"/>
        </w:rPr>
        <w:t>omplex I defect and stimulating an alternative</w:t>
      </w:r>
      <w:r>
        <w:rPr>
          <w:lang w:eastAsia="ja-JP"/>
        </w:rPr>
        <w:t xml:space="preserve"> </w:t>
      </w:r>
      <w:r w:rsidRPr="00AE471C">
        <w:rPr>
          <w:lang w:eastAsia="ja-JP"/>
        </w:rPr>
        <w:t xml:space="preserve">pathway through </w:t>
      </w:r>
      <w:r w:rsidR="003B17A3">
        <w:rPr>
          <w:lang w:eastAsia="ja-JP"/>
        </w:rPr>
        <w:t>c</w:t>
      </w:r>
      <w:r w:rsidRPr="00AE471C">
        <w:rPr>
          <w:lang w:eastAsia="ja-JP"/>
        </w:rPr>
        <w:t>omplex III.</w:t>
      </w:r>
    </w:p>
    <w:p w14:paraId="02E01083" w14:textId="77777777" w:rsidR="00441AF6" w:rsidRPr="00203A4B" w:rsidRDefault="00441AF6" w:rsidP="00441AF6">
      <w:pPr>
        <w:rPr>
          <w:lang w:eastAsia="ja-JP"/>
        </w:rPr>
      </w:pPr>
      <w:r w:rsidRPr="00203A4B">
        <w:rPr>
          <w:lang w:eastAsia="ja-JP"/>
        </w:rPr>
        <w:t>The sponsor’s requested indication is:</w:t>
      </w:r>
    </w:p>
    <w:p w14:paraId="68E623B5" w14:textId="77777777" w:rsidR="00441AF6" w:rsidRPr="00203A4B" w:rsidRDefault="00441AF6" w:rsidP="00441AF6">
      <w:pPr>
        <w:ind w:left="720"/>
        <w:rPr>
          <w:i/>
          <w:lang w:eastAsia="ja-JP"/>
        </w:rPr>
      </w:pPr>
      <w:r w:rsidRPr="00203A4B">
        <w:rPr>
          <w:i/>
          <w:lang w:eastAsia="ja-JP"/>
        </w:rPr>
        <w:t>Raxone is indicated for the treatment of patients with Duchenne Muscular Dystrophy (DMD) in whom respiratory function has started to decline and who are currently not taking concomitant glucocorticoids.</w:t>
      </w:r>
      <w:r w:rsidR="00DB3203">
        <w:rPr>
          <w:i/>
          <w:lang w:eastAsia="ja-JP"/>
        </w:rPr>
        <w:t xml:space="preserve"> </w:t>
      </w:r>
      <w:r w:rsidRPr="00203A4B">
        <w:rPr>
          <w:i/>
          <w:lang w:eastAsia="ja-JP"/>
        </w:rPr>
        <w:t>Raxone can be used in patients previously treated with glucocorticoids or in patients in whom glucocorticoid treatment is not desired, not tolerated or is contraindicated.</w:t>
      </w:r>
    </w:p>
    <w:p w14:paraId="5FF4B531" w14:textId="491C30DE" w:rsidR="00441AF6" w:rsidRDefault="00441AF6" w:rsidP="00441AF6">
      <w:pPr>
        <w:rPr>
          <w:lang w:eastAsia="ja-JP"/>
        </w:rPr>
      </w:pPr>
      <w:r w:rsidRPr="00203A4B">
        <w:rPr>
          <w:lang w:eastAsia="ja-JP"/>
        </w:rPr>
        <w:t xml:space="preserve">Based on the wording of the indication, it appears that the sponsor is requesting both first line treatment in patients in whom glucocorticoid </w:t>
      </w:r>
      <w:r>
        <w:rPr>
          <w:lang w:eastAsia="ja-JP"/>
        </w:rPr>
        <w:t xml:space="preserve">(GC) </w:t>
      </w:r>
      <w:r w:rsidRPr="00203A4B">
        <w:rPr>
          <w:lang w:eastAsia="ja-JP"/>
        </w:rPr>
        <w:t xml:space="preserve">treatment is not </w:t>
      </w:r>
      <w:r>
        <w:rPr>
          <w:lang w:eastAsia="ja-JP"/>
        </w:rPr>
        <w:t xml:space="preserve">considered appropriate, </w:t>
      </w:r>
      <w:r w:rsidRPr="00203A4B">
        <w:rPr>
          <w:lang w:eastAsia="ja-JP"/>
        </w:rPr>
        <w:t xml:space="preserve">or is contraindicated, and second line treatment in patients previously treated with </w:t>
      </w:r>
      <w:r>
        <w:rPr>
          <w:lang w:eastAsia="ja-JP"/>
        </w:rPr>
        <w:t>GCs.</w:t>
      </w:r>
      <w:r w:rsidR="00DB3203">
        <w:rPr>
          <w:lang w:eastAsia="ja-JP"/>
        </w:rPr>
        <w:t xml:space="preserve"> </w:t>
      </w:r>
      <w:r>
        <w:rPr>
          <w:lang w:eastAsia="ja-JP"/>
        </w:rPr>
        <w:t xml:space="preserve">The submitted trial data </w:t>
      </w:r>
      <w:r w:rsidRPr="000B082F">
        <w:rPr>
          <w:lang w:eastAsia="ja-JP"/>
        </w:rPr>
        <w:t>support</w:t>
      </w:r>
      <w:r>
        <w:rPr>
          <w:lang w:eastAsia="ja-JP"/>
        </w:rPr>
        <w:t>s</w:t>
      </w:r>
      <w:r w:rsidRPr="000B082F">
        <w:rPr>
          <w:lang w:eastAsia="ja-JP"/>
        </w:rPr>
        <w:t xml:space="preserve"> this indication.</w:t>
      </w:r>
      <w:r w:rsidR="00DB3203">
        <w:rPr>
          <w:lang w:eastAsia="ja-JP"/>
        </w:rPr>
        <w:t xml:space="preserve"> </w:t>
      </w:r>
      <w:r w:rsidR="004B3A61">
        <w:rPr>
          <w:lang w:eastAsia="ja-JP"/>
        </w:rPr>
        <w:t xml:space="preserve">The pivotal </w:t>
      </w:r>
      <w:r w:rsidR="004B3A61">
        <w:rPr>
          <w:lang w:eastAsia="ja-JP"/>
        </w:rPr>
        <w:lastRenderedPageBreak/>
        <w:t>DELOS </w:t>
      </w:r>
      <w:r w:rsidR="003B17A3">
        <w:rPr>
          <w:lang w:eastAsia="ja-JP"/>
        </w:rPr>
        <w:t>s</w:t>
      </w:r>
      <w:r w:rsidR="003173BB">
        <w:rPr>
          <w:lang w:eastAsia="ja-JP"/>
        </w:rPr>
        <w:t>tudy</w:t>
      </w:r>
      <w:r w:rsidR="003B17A3">
        <w:rPr>
          <w:lang w:eastAsia="ja-JP"/>
        </w:rPr>
        <w:t>;</w:t>
      </w:r>
      <w:r w:rsidR="003B17A3">
        <w:rPr>
          <w:rStyle w:val="FootnoteReference"/>
          <w:lang w:eastAsia="ja-JP"/>
        </w:rPr>
        <w:footnoteReference w:id="27"/>
      </w:r>
      <w:r>
        <w:rPr>
          <w:lang w:eastAsia="ja-JP"/>
        </w:rPr>
        <w:t xml:space="preserve"> included patients who were both prior GC users (56.3%), and GC naïve (43.8%), however the reasons why patients ceased using GCs</w:t>
      </w:r>
      <w:r w:rsidRPr="00900128">
        <w:rPr>
          <w:lang w:eastAsia="ja-JP"/>
        </w:rPr>
        <w:t xml:space="preserve"> </w:t>
      </w:r>
      <w:r>
        <w:rPr>
          <w:lang w:eastAsia="ja-JP"/>
        </w:rPr>
        <w:t>or were not considered for GC treatment was not discussed</w:t>
      </w:r>
      <w:r w:rsidRPr="003B6749">
        <w:rPr>
          <w:lang w:eastAsia="ja-JP"/>
        </w:rPr>
        <w:t>.</w:t>
      </w:r>
      <w:r w:rsidR="00DB3203">
        <w:rPr>
          <w:lang w:eastAsia="ja-JP"/>
        </w:rPr>
        <w:t xml:space="preserve"> </w:t>
      </w:r>
      <w:r w:rsidRPr="003B6749">
        <w:rPr>
          <w:lang w:eastAsia="ja-JP"/>
        </w:rPr>
        <w:t>This is not considered to be an important omission as it is unlikely to impact the mechanism of action or potential efficacy of idebenone.</w:t>
      </w:r>
    </w:p>
    <w:p w14:paraId="49D80BF7" w14:textId="77777777" w:rsidR="00441AF6" w:rsidRDefault="00441AF6" w:rsidP="00441AF6">
      <w:pPr>
        <w:pStyle w:val="Heading4"/>
      </w:pPr>
      <w:bookmarkStart w:id="82" w:name="_Toc510688906"/>
      <w:r>
        <w:t>Dosage forms and strengths</w:t>
      </w:r>
      <w:bookmarkEnd w:id="82"/>
    </w:p>
    <w:p w14:paraId="004FE38B" w14:textId="77777777" w:rsidR="00441AF6" w:rsidRPr="002F6E09" w:rsidRDefault="00DB3203" w:rsidP="004B3A61">
      <w:pPr>
        <w:rPr>
          <w:lang w:eastAsia="ja-JP"/>
        </w:rPr>
      </w:pPr>
      <w:r>
        <w:rPr>
          <w:lang w:eastAsia="ja-JP"/>
        </w:rPr>
        <w:t>Raxone</w:t>
      </w:r>
      <w:r w:rsidR="00441AF6" w:rsidRPr="002F6E09">
        <w:rPr>
          <w:lang w:eastAsia="ja-JP"/>
        </w:rPr>
        <w:t xml:space="preserve"> are orange, round, biconvex film-coated tablets containing 150 mg of idebenone and the excipients: lactose</w:t>
      </w:r>
      <w:r w:rsidR="00441AF6">
        <w:rPr>
          <w:lang w:eastAsia="ja-JP"/>
        </w:rPr>
        <w:t xml:space="preserve"> </w:t>
      </w:r>
      <w:r w:rsidR="00441AF6" w:rsidRPr="002F6E09">
        <w:rPr>
          <w:lang w:eastAsia="ja-JP"/>
        </w:rPr>
        <w:t>monohydrate, microcrystalline cellulose, croscarmellose sodium, povidone, magnesium stearate, colloidal anhydrous silica, and</w:t>
      </w:r>
      <w:r w:rsidR="00441AF6">
        <w:rPr>
          <w:lang w:eastAsia="ja-JP"/>
        </w:rPr>
        <w:t xml:space="preserve"> </w:t>
      </w:r>
      <w:r w:rsidR="00441AF6" w:rsidRPr="002F6E09">
        <w:rPr>
          <w:lang w:eastAsia="ja-JP"/>
        </w:rPr>
        <w:t>opadry II 85F23495 orange.</w:t>
      </w:r>
    </w:p>
    <w:p w14:paraId="13D8F2B0" w14:textId="58263DB0" w:rsidR="00441AF6" w:rsidRDefault="00DB3203" w:rsidP="004B3A61">
      <w:pPr>
        <w:rPr>
          <w:lang w:eastAsia="ja-JP"/>
        </w:rPr>
      </w:pPr>
      <w:r>
        <w:rPr>
          <w:lang w:eastAsia="ja-JP"/>
        </w:rPr>
        <w:t>Raxone</w:t>
      </w:r>
      <w:r w:rsidR="00441AF6" w:rsidRPr="002F6E09">
        <w:rPr>
          <w:lang w:eastAsia="ja-JP"/>
        </w:rPr>
        <w:t xml:space="preserve"> is presented in a </w:t>
      </w:r>
      <w:r w:rsidR="003B17A3">
        <w:rPr>
          <w:lang w:eastAsia="ja-JP"/>
        </w:rPr>
        <w:t>high density polyethelene</w:t>
      </w:r>
      <w:r w:rsidR="003B17A3" w:rsidRPr="002F6E09">
        <w:rPr>
          <w:lang w:eastAsia="ja-JP"/>
        </w:rPr>
        <w:t xml:space="preserve"> </w:t>
      </w:r>
      <w:r w:rsidR="00441AF6" w:rsidRPr="002F6E09">
        <w:rPr>
          <w:lang w:eastAsia="ja-JP"/>
        </w:rPr>
        <w:t>bottle with a polypropylene tamper evident, child resistant cap.</w:t>
      </w:r>
    </w:p>
    <w:p w14:paraId="04E2FD58" w14:textId="77777777" w:rsidR="00441AF6" w:rsidRDefault="00441AF6" w:rsidP="00441AF6">
      <w:pPr>
        <w:pStyle w:val="Heading4"/>
      </w:pPr>
      <w:bookmarkStart w:id="83" w:name="_Toc510688907"/>
      <w:r>
        <w:t>Dosage and administration</w:t>
      </w:r>
      <w:bookmarkEnd w:id="83"/>
    </w:p>
    <w:p w14:paraId="131DCBAE" w14:textId="0653D15C" w:rsidR="00441AF6" w:rsidRDefault="00441AF6" w:rsidP="004B3A61">
      <w:pPr>
        <w:rPr>
          <w:lang w:eastAsia="ja-JP"/>
        </w:rPr>
      </w:pPr>
      <w:r w:rsidRPr="00203A4B">
        <w:rPr>
          <w:lang w:eastAsia="ja-JP"/>
        </w:rPr>
        <w:t xml:space="preserve">The recommended dose </w:t>
      </w:r>
      <w:r>
        <w:rPr>
          <w:lang w:eastAsia="ja-JP"/>
        </w:rPr>
        <w:t xml:space="preserve">of idebenone </w:t>
      </w:r>
      <w:r w:rsidRPr="00203A4B">
        <w:rPr>
          <w:lang w:eastAsia="ja-JP"/>
        </w:rPr>
        <w:t xml:space="preserve">is 900 mg/day (300 mg, </w:t>
      </w:r>
      <w:r w:rsidR="003B17A3">
        <w:rPr>
          <w:lang w:eastAsia="ja-JP"/>
        </w:rPr>
        <w:t>three times a day (</w:t>
      </w:r>
      <w:r w:rsidR="004B3A61">
        <w:rPr>
          <w:lang w:eastAsia="ja-JP"/>
        </w:rPr>
        <w:t>TDS</w:t>
      </w:r>
      <w:r w:rsidR="003B17A3">
        <w:rPr>
          <w:lang w:eastAsia="ja-JP"/>
        </w:rPr>
        <w:t>)</w:t>
      </w:r>
      <w:r w:rsidRPr="00203A4B">
        <w:rPr>
          <w:lang w:eastAsia="ja-JP"/>
        </w:rPr>
        <w:t>).</w:t>
      </w:r>
      <w:r w:rsidR="00DB3203">
        <w:rPr>
          <w:lang w:eastAsia="ja-JP"/>
        </w:rPr>
        <w:t xml:space="preserve"> Raxone</w:t>
      </w:r>
      <w:r w:rsidRPr="00203A4B">
        <w:rPr>
          <w:lang w:eastAsia="ja-JP"/>
        </w:rPr>
        <w:t xml:space="preserve"> film-coated tablets should be swallowed whole with water.</w:t>
      </w:r>
      <w:r w:rsidR="00DB3203">
        <w:rPr>
          <w:lang w:eastAsia="ja-JP"/>
        </w:rPr>
        <w:t xml:space="preserve"> </w:t>
      </w:r>
      <w:r w:rsidRPr="00203A4B">
        <w:rPr>
          <w:lang w:eastAsia="ja-JP"/>
        </w:rPr>
        <w:t>The tablets should not be broken or chewed.</w:t>
      </w:r>
    </w:p>
    <w:p w14:paraId="791B8C69" w14:textId="77777777" w:rsidR="00441AF6" w:rsidRPr="00203A4B" w:rsidRDefault="00DB3203" w:rsidP="004B3A61">
      <w:pPr>
        <w:rPr>
          <w:lang w:eastAsia="ja-JP"/>
        </w:rPr>
      </w:pPr>
      <w:r>
        <w:rPr>
          <w:lang w:eastAsia="ja-JP"/>
        </w:rPr>
        <w:t>Raxone</w:t>
      </w:r>
      <w:r w:rsidR="00441AF6" w:rsidRPr="00203A4B">
        <w:rPr>
          <w:lang w:eastAsia="ja-JP"/>
        </w:rPr>
        <w:t xml:space="preserve"> should be administered with food because food increases the bioavailability of idebenone.</w:t>
      </w:r>
    </w:p>
    <w:p w14:paraId="30E67F01" w14:textId="259E3786" w:rsidR="00441AF6" w:rsidRPr="00D03812" w:rsidRDefault="00441AF6" w:rsidP="00441AF6">
      <w:pPr>
        <w:pStyle w:val="Heading5"/>
        <w:rPr>
          <w:lang w:eastAsia="ja-JP"/>
        </w:rPr>
      </w:pPr>
      <w:r w:rsidRPr="00D03812">
        <w:rPr>
          <w:lang w:eastAsia="ja-JP"/>
        </w:rPr>
        <w:t xml:space="preserve">Special </w:t>
      </w:r>
      <w:r w:rsidR="00F8405A">
        <w:rPr>
          <w:lang w:eastAsia="ja-JP"/>
        </w:rPr>
        <w:t>p</w:t>
      </w:r>
      <w:r w:rsidRPr="00D03812">
        <w:rPr>
          <w:lang w:eastAsia="ja-JP"/>
        </w:rPr>
        <w:t>opulations</w:t>
      </w:r>
    </w:p>
    <w:p w14:paraId="15A313C5" w14:textId="77777777" w:rsidR="00441AF6" w:rsidRPr="00D03812" w:rsidRDefault="00441AF6" w:rsidP="00441AF6">
      <w:pPr>
        <w:pStyle w:val="Heading6"/>
        <w:rPr>
          <w:lang w:eastAsia="ja-JP"/>
        </w:rPr>
      </w:pPr>
      <w:r w:rsidRPr="00D03812">
        <w:rPr>
          <w:lang w:eastAsia="ja-JP"/>
        </w:rPr>
        <w:t>Elderly</w:t>
      </w:r>
    </w:p>
    <w:p w14:paraId="2C3A2E35" w14:textId="77777777" w:rsidR="00441AF6" w:rsidRPr="00D03812" w:rsidRDefault="00441AF6" w:rsidP="00441AF6">
      <w:pPr>
        <w:rPr>
          <w:lang w:eastAsia="ja-JP"/>
        </w:rPr>
      </w:pPr>
      <w:r w:rsidRPr="00D03812">
        <w:rPr>
          <w:lang w:eastAsia="ja-JP"/>
        </w:rPr>
        <w:t>No specific dose adjustment is required for the treatment in elderly patients.</w:t>
      </w:r>
    </w:p>
    <w:p w14:paraId="4F0B5F3A" w14:textId="77777777" w:rsidR="00441AF6" w:rsidRPr="002F6E09" w:rsidRDefault="00441AF6" w:rsidP="00441AF6">
      <w:pPr>
        <w:pStyle w:val="Heading6"/>
        <w:rPr>
          <w:lang w:eastAsia="ja-JP"/>
        </w:rPr>
      </w:pPr>
      <w:r w:rsidRPr="002F6E09">
        <w:rPr>
          <w:lang w:eastAsia="ja-JP"/>
        </w:rPr>
        <w:t>Paediatric</w:t>
      </w:r>
    </w:p>
    <w:p w14:paraId="025101DA" w14:textId="77777777" w:rsidR="00441AF6" w:rsidRPr="002F6E09" w:rsidRDefault="00441AF6" w:rsidP="00441AF6">
      <w:pPr>
        <w:rPr>
          <w:lang w:eastAsia="ja-JP"/>
        </w:rPr>
      </w:pPr>
      <w:r w:rsidRPr="002F6E09">
        <w:rPr>
          <w:lang w:eastAsia="ja-JP"/>
        </w:rPr>
        <w:t xml:space="preserve">The safety and efficacy of </w:t>
      </w:r>
      <w:r w:rsidR="00DB3203">
        <w:rPr>
          <w:lang w:eastAsia="ja-JP"/>
        </w:rPr>
        <w:t>Raxone</w:t>
      </w:r>
      <w:r w:rsidRPr="002F6E09">
        <w:rPr>
          <w:lang w:eastAsia="ja-JP"/>
        </w:rPr>
        <w:t xml:space="preserve"> has not been established in children under 10 years of age.</w:t>
      </w:r>
    </w:p>
    <w:p w14:paraId="78C0AA22" w14:textId="77777777" w:rsidR="00441AF6" w:rsidRPr="002F6E09" w:rsidRDefault="00441AF6" w:rsidP="00441AF6">
      <w:pPr>
        <w:pStyle w:val="Heading6"/>
        <w:rPr>
          <w:lang w:eastAsia="ja-JP"/>
        </w:rPr>
      </w:pPr>
      <w:r w:rsidRPr="002F6E09">
        <w:rPr>
          <w:lang w:eastAsia="ja-JP"/>
        </w:rPr>
        <w:t>Renal and hepatic impairment</w:t>
      </w:r>
    </w:p>
    <w:p w14:paraId="124BE56D" w14:textId="77777777" w:rsidR="00441AF6" w:rsidRDefault="00441AF6" w:rsidP="00441AF6">
      <w:pPr>
        <w:rPr>
          <w:lang w:eastAsia="ja-JP"/>
        </w:rPr>
      </w:pPr>
      <w:r w:rsidRPr="002F6E09">
        <w:rPr>
          <w:lang w:eastAsia="ja-JP"/>
        </w:rPr>
        <w:t>Caution is advised in treatment of patients with hepatic or renal impairment. Based on the population pharmacokinetic (</w:t>
      </w:r>
      <w:r w:rsidR="00252C48">
        <w:rPr>
          <w:lang w:eastAsia="ja-JP"/>
        </w:rPr>
        <w:t>P</w:t>
      </w:r>
      <w:r w:rsidRPr="002F6E09">
        <w:rPr>
          <w:lang w:eastAsia="ja-JP"/>
        </w:rPr>
        <w:t>PK) results,</w:t>
      </w:r>
      <w:r>
        <w:rPr>
          <w:lang w:eastAsia="ja-JP"/>
        </w:rPr>
        <w:t xml:space="preserve"> </w:t>
      </w:r>
      <w:r w:rsidRPr="002F6E09">
        <w:rPr>
          <w:lang w:eastAsia="ja-JP"/>
        </w:rPr>
        <w:t>dose adjustment may be advisable.</w:t>
      </w:r>
    </w:p>
    <w:p w14:paraId="04AD2F96" w14:textId="3494CEA8" w:rsidR="00441AF6" w:rsidRDefault="00441AF6" w:rsidP="00441AF6">
      <w:pPr>
        <w:rPr>
          <w:rFonts w:ascii="Calibri" w:hAnsi="Calibri"/>
          <w:lang w:eastAsia="ja-JP"/>
        </w:rPr>
      </w:pPr>
      <w:r w:rsidRPr="00441AF6">
        <w:t>Given the natural history of DMD, it is likely that children aged less than 10 years will be considered for treatment with idebenone.</w:t>
      </w:r>
      <w:r w:rsidR="00DB3203">
        <w:t xml:space="preserve"> </w:t>
      </w:r>
      <w:r w:rsidR="00640C58" w:rsidRPr="00441AF6">
        <w:t>However,</w:t>
      </w:r>
      <w:r w:rsidRPr="00441AF6">
        <w:t xml:space="preserve"> base</w:t>
      </w:r>
      <w:r w:rsidR="004B3A61">
        <w:t xml:space="preserve">d on the natural history study </w:t>
      </w:r>
      <w:r w:rsidRPr="00441AF6">
        <w:t xml:space="preserve">it appears that respiratory decline (to a </w:t>
      </w:r>
      <w:r w:rsidR="003B17A3">
        <w:t>p</w:t>
      </w:r>
      <w:r w:rsidR="003B17A3" w:rsidRPr="003B17A3">
        <w:t xml:space="preserve">ercent predicted peak expiratory flow </w:t>
      </w:r>
      <w:r w:rsidR="003B17A3">
        <w:t>(</w:t>
      </w:r>
      <w:r w:rsidRPr="00441AF6">
        <w:t>PEF%p</w:t>
      </w:r>
      <w:r w:rsidR="003B17A3">
        <w:t>)</w:t>
      </w:r>
      <w:r w:rsidR="00616DAF">
        <w:t> </w:t>
      </w:r>
      <w:r w:rsidR="003173BB">
        <w:t>&lt;</w:t>
      </w:r>
      <w:r w:rsidR="00616DAF">
        <w:t> </w:t>
      </w:r>
      <w:r w:rsidR="004B3A61">
        <w:t>80%)</w:t>
      </w:r>
      <w:r w:rsidRPr="00441AF6">
        <w:t xml:space="preserve"> generally occurs from approximately age 10.</w:t>
      </w:r>
      <w:r w:rsidR="00DB3203">
        <w:t xml:space="preserve"> </w:t>
      </w:r>
      <w:r w:rsidRPr="00441AF6">
        <w:t xml:space="preserve">It may be desirable to add </w:t>
      </w:r>
      <w:r w:rsidR="00685A72">
        <w:t>‘</w:t>
      </w:r>
      <w:r w:rsidRPr="00441AF6">
        <w:t xml:space="preserve">(PEF%p </w:t>
      </w:r>
      <w:r w:rsidR="003173BB">
        <w:t xml:space="preserve">&lt; </w:t>
      </w:r>
      <w:r w:rsidRPr="00441AF6">
        <w:t>80%)</w:t>
      </w:r>
      <w:r w:rsidR="00685A72">
        <w:t>’</w:t>
      </w:r>
      <w:r w:rsidRPr="00441AF6">
        <w:t xml:space="preserve"> to the wording of the indication to clarify the level of respiratory function decline where idebenone is considered</w:t>
      </w:r>
      <w:r w:rsidRPr="00CC576C">
        <w:rPr>
          <w:rFonts w:ascii="Calibri" w:hAnsi="Calibri"/>
          <w:lang w:eastAsia="ja-JP"/>
        </w:rPr>
        <w:t xml:space="preserve"> beneficial.</w:t>
      </w:r>
    </w:p>
    <w:p w14:paraId="03074EAF" w14:textId="77777777" w:rsidR="00441AF6" w:rsidRDefault="00441AF6" w:rsidP="00441AF6">
      <w:pPr>
        <w:pStyle w:val="Heading5"/>
      </w:pPr>
      <w:bookmarkStart w:id="84" w:name="_Ref482364440"/>
      <w:bookmarkStart w:id="85" w:name="_Toc510688910"/>
      <w:r w:rsidRPr="00E709B3">
        <w:t>Information on the condition being treated</w:t>
      </w:r>
      <w:bookmarkEnd w:id="84"/>
      <w:bookmarkEnd w:id="85"/>
    </w:p>
    <w:p w14:paraId="4A624419" w14:textId="296D1257" w:rsidR="00441AF6" w:rsidRDefault="00441AF6" w:rsidP="00441AF6">
      <w:pPr>
        <w:rPr>
          <w:lang w:eastAsia="ja-JP"/>
        </w:rPr>
      </w:pPr>
      <w:r w:rsidRPr="00CF0798">
        <w:rPr>
          <w:lang w:eastAsia="ja-JP"/>
        </w:rPr>
        <w:t>D</w:t>
      </w:r>
      <w:r w:rsidR="0002337A">
        <w:rPr>
          <w:lang w:eastAsia="ja-JP"/>
        </w:rPr>
        <w:t>uchenne muscular dystrophy</w:t>
      </w:r>
      <w:r w:rsidRPr="00CF0798">
        <w:rPr>
          <w:lang w:eastAsia="ja-JP"/>
        </w:rPr>
        <w:t xml:space="preserve"> </w:t>
      </w:r>
      <w:r w:rsidR="007B504D">
        <w:rPr>
          <w:lang w:eastAsia="ja-JP"/>
        </w:rPr>
        <w:t xml:space="preserve">(DMD) </w:t>
      </w:r>
      <w:r w:rsidRPr="00CF0798">
        <w:rPr>
          <w:lang w:eastAsia="ja-JP"/>
        </w:rPr>
        <w:t xml:space="preserve">is a severe, </w:t>
      </w:r>
      <w:r>
        <w:rPr>
          <w:lang w:eastAsia="ja-JP"/>
        </w:rPr>
        <w:t xml:space="preserve">rapidly </w:t>
      </w:r>
      <w:r w:rsidRPr="00CF0798">
        <w:rPr>
          <w:lang w:eastAsia="ja-JP"/>
        </w:rPr>
        <w:t>progressive X-linked neuromuscular disease that</w:t>
      </w:r>
      <w:r>
        <w:rPr>
          <w:lang w:eastAsia="ja-JP"/>
        </w:rPr>
        <w:t xml:space="preserve"> primarily affects young males, with an incidence of</w:t>
      </w:r>
      <w:r w:rsidRPr="00CF0798">
        <w:rPr>
          <w:lang w:eastAsia="ja-JP"/>
        </w:rPr>
        <w:t xml:space="preserve"> 1 in 3</w:t>
      </w:r>
      <w:r>
        <w:rPr>
          <w:lang w:eastAsia="ja-JP"/>
        </w:rPr>
        <w:t>,</w:t>
      </w:r>
      <w:r w:rsidR="004B3A61">
        <w:rPr>
          <w:lang w:eastAsia="ja-JP"/>
        </w:rPr>
        <w:t xml:space="preserve">600 to </w:t>
      </w:r>
      <w:r w:rsidRPr="00CF0798">
        <w:rPr>
          <w:lang w:eastAsia="ja-JP"/>
        </w:rPr>
        <w:t>6</w:t>
      </w:r>
      <w:r>
        <w:rPr>
          <w:lang w:eastAsia="ja-JP"/>
        </w:rPr>
        <w:t>,</w:t>
      </w:r>
      <w:r w:rsidRPr="00CF0798">
        <w:rPr>
          <w:lang w:eastAsia="ja-JP"/>
        </w:rPr>
        <w:t>000 live male births.</w:t>
      </w:r>
      <w:r w:rsidR="00DB3203">
        <w:rPr>
          <w:lang w:eastAsia="ja-JP"/>
        </w:rPr>
        <w:t xml:space="preserve"> </w:t>
      </w:r>
      <w:r w:rsidRPr="00CF0798">
        <w:rPr>
          <w:lang w:eastAsia="ja-JP"/>
        </w:rPr>
        <w:t>DMD occurs as a result of mutations (mainly deletions) in the dystrophin gene (</w:t>
      </w:r>
      <w:r w:rsidRPr="00CF0798">
        <w:rPr>
          <w:i/>
          <w:iCs/>
          <w:lang w:eastAsia="ja-JP"/>
        </w:rPr>
        <w:t>DMD</w:t>
      </w:r>
      <w:r w:rsidRPr="00CF0798">
        <w:rPr>
          <w:lang w:eastAsia="ja-JP"/>
        </w:rPr>
        <w:t>; locus Xp21.2).</w:t>
      </w:r>
      <w:r w:rsidR="00DB3203">
        <w:rPr>
          <w:lang w:eastAsia="ja-JP"/>
        </w:rPr>
        <w:t xml:space="preserve"> </w:t>
      </w:r>
      <w:r w:rsidRPr="00CF0798">
        <w:rPr>
          <w:lang w:eastAsia="ja-JP"/>
        </w:rPr>
        <w:t>Mutations lead to an absence of or defect in the protein dystrophin in skeletal and cardiac muscles, which results in progressive muscle degeneration and necrotising lesions.</w:t>
      </w:r>
      <w:r w:rsidR="00DB3203">
        <w:rPr>
          <w:lang w:eastAsia="ja-JP"/>
        </w:rPr>
        <w:t xml:space="preserve"> </w:t>
      </w:r>
      <w:r w:rsidRPr="00CF0798">
        <w:rPr>
          <w:lang w:eastAsia="ja-JP"/>
        </w:rPr>
        <w:t>Variable phenotypic expression relates mainly to the type of mutation and its effect on the production of dystrophin.</w:t>
      </w:r>
      <w:r w:rsidR="00DB3203">
        <w:rPr>
          <w:lang w:eastAsia="ja-JP"/>
        </w:rPr>
        <w:t xml:space="preserve"> </w:t>
      </w:r>
      <w:r w:rsidRPr="00CF0798">
        <w:rPr>
          <w:lang w:eastAsia="ja-JP"/>
        </w:rPr>
        <w:t>Some patients with dystrophin mutations also have an isolated cardiac phenotype.</w:t>
      </w:r>
      <w:r w:rsidR="00DB3203">
        <w:rPr>
          <w:lang w:eastAsia="ja-JP"/>
        </w:rPr>
        <w:t xml:space="preserve"> </w:t>
      </w:r>
      <w:r>
        <w:rPr>
          <w:lang w:eastAsia="ja-JP"/>
        </w:rPr>
        <w:t xml:space="preserve">While primarily an </w:t>
      </w:r>
      <w:r w:rsidRPr="0052354E">
        <w:rPr>
          <w:lang w:eastAsia="ja-JP"/>
        </w:rPr>
        <w:lastRenderedPageBreak/>
        <w:t>X</w:t>
      </w:r>
      <w:r w:rsidR="007B504D">
        <w:rPr>
          <w:lang w:eastAsia="ja-JP"/>
        </w:rPr>
        <w:noBreakHyphen/>
      </w:r>
      <w:r w:rsidRPr="0052354E">
        <w:rPr>
          <w:lang w:eastAsia="ja-JP"/>
        </w:rPr>
        <w:t xml:space="preserve">linked </w:t>
      </w:r>
      <w:r>
        <w:rPr>
          <w:lang w:eastAsia="ja-JP"/>
        </w:rPr>
        <w:t xml:space="preserve">condition affecting males, </w:t>
      </w:r>
      <w:r w:rsidR="003173BB">
        <w:rPr>
          <w:lang w:eastAsia="ja-JP"/>
        </w:rPr>
        <w:t xml:space="preserve">approximately </w:t>
      </w:r>
      <w:r w:rsidRPr="00CF0798">
        <w:rPr>
          <w:lang w:eastAsia="ja-JP"/>
        </w:rPr>
        <w:t>10% of female carriers show some disease manifestations</w:t>
      </w:r>
      <w:r>
        <w:rPr>
          <w:lang w:eastAsia="ja-JP"/>
        </w:rPr>
        <w:t>,</w:t>
      </w:r>
      <w:r w:rsidRPr="00CF0798">
        <w:rPr>
          <w:lang w:eastAsia="ja-JP"/>
        </w:rPr>
        <w:t xml:space="preserve"> </w:t>
      </w:r>
      <w:r>
        <w:rPr>
          <w:lang w:eastAsia="ja-JP"/>
        </w:rPr>
        <w:t>but</w:t>
      </w:r>
      <w:r w:rsidRPr="00CF0798">
        <w:rPr>
          <w:lang w:eastAsia="ja-JP"/>
        </w:rPr>
        <w:t xml:space="preserve"> usually </w:t>
      </w:r>
      <w:r>
        <w:rPr>
          <w:lang w:eastAsia="ja-JP"/>
        </w:rPr>
        <w:t>exhibit a</w:t>
      </w:r>
      <w:r w:rsidRPr="00CF0798">
        <w:rPr>
          <w:lang w:eastAsia="ja-JP"/>
        </w:rPr>
        <w:t xml:space="preserve"> milder </w:t>
      </w:r>
      <w:r>
        <w:rPr>
          <w:lang w:eastAsia="ja-JP"/>
        </w:rPr>
        <w:t>phenotype</w:t>
      </w:r>
      <w:r w:rsidRPr="00CF0798">
        <w:rPr>
          <w:lang w:eastAsia="ja-JP"/>
        </w:rPr>
        <w:t>.</w:t>
      </w:r>
    </w:p>
    <w:p w14:paraId="36DB5996" w14:textId="77777777" w:rsidR="00441AF6" w:rsidRPr="00CF0798" w:rsidRDefault="00441AF6" w:rsidP="00441AF6">
      <w:pPr>
        <w:rPr>
          <w:lang w:eastAsia="ja-JP"/>
        </w:rPr>
      </w:pPr>
      <w:r>
        <w:rPr>
          <w:lang w:eastAsia="ja-JP"/>
        </w:rPr>
        <w:t>Clinically, a</w:t>
      </w:r>
      <w:r w:rsidRPr="00960657">
        <w:rPr>
          <w:lang w:eastAsia="ja-JP"/>
        </w:rPr>
        <w:t xml:space="preserve">ffected individuals </w:t>
      </w:r>
      <w:r>
        <w:rPr>
          <w:lang w:eastAsia="ja-JP"/>
        </w:rPr>
        <w:t xml:space="preserve">usually present by the age of 3 to 5 years with delayed motor milestones, gait disturbances, muscle pseudohypertrophy, and difficulties jumping and climbing stairs </w:t>
      </w:r>
      <w:r w:rsidRPr="00064792">
        <w:rPr>
          <w:lang w:eastAsia="ja-JP"/>
        </w:rPr>
        <w:t>due to proximal muscle weakness</w:t>
      </w:r>
      <w:r>
        <w:rPr>
          <w:lang w:eastAsia="ja-JP"/>
        </w:rPr>
        <w:t>.</w:t>
      </w:r>
      <w:r w:rsidR="00DB3203">
        <w:rPr>
          <w:lang w:eastAsia="ja-JP"/>
        </w:rPr>
        <w:t xml:space="preserve"> </w:t>
      </w:r>
      <w:r>
        <w:rPr>
          <w:lang w:eastAsia="ja-JP"/>
        </w:rPr>
        <w:t>If untreated there is progressive muscle degeneration and functional decline resulting in the need for a wheelchair by 8 to 14 years, and the development of serious respiratory, orthopaedic, and cardiac complications.</w:t>
      </w:r>
      <w:r w:rsidR="00DB3203">
        <w:rPr>
          <w:lang w:eastAsia="ja-JP"/>
        </w:rPr>
        <w:t xml:space="preserve"> </w:t>
      </w:r>
      <w:r>
        <w:rPr>
          <w:lang w:eastAsia="ja-JP"/>
        </w:rPr>
        <w:t>Death occurs at a mean age of 19 years without treatment, usually due to respiratory disease or cardiomyopathy.</w:t>
      </w:r>
      <w:r w:rsidR="00DB3203">
        <w:rPr>
          <w:lang w:eastAsia="ja-JP"/>
        </w:rPr>
        <w:t xml:space="preserve"> </w:t>
      </w:r>
      <w:r>
        <w:rPr>
          <w:lang w:eastAsia="ja-JP"/>
        </w:rPr>
        <w:t xml:space="preserve">Life expectancy has been extended into the </w:t>
      </w:r>
      <w:r w:rsidR="004B3A61">
        <w:rPr>
          <w:lang w:eastAsia="ja-JP"/>
        </w:rPr>
        <w:t>third</w:t>
      </w:r>
      <w:r>
        <w:rPr>
          <w:lang w:eastAsia="ja-JP"/>
        </w:rPr>
        <w:t xml:space="preserve"> or </w:t>
      </w:r>
      <w:r w:rsidR="004B3A61">
        <w:rPr>
          <w:lang w:eastAsia="ja-JP"/>
        </w:rPr>
        <w:t>fourth</w:t>
      </w:r>
      <w:r>
        <w:rPr>
          <w:lang w:eastAsia="ja-JP"/>
        </w:rPr>
        <w:t xml:space="preserve"> decade with the introduction of GC therapy, proactive cardiac management, and nocturnal ventilator support.</w:t>
      </w:r>
    </w:p>
    <w:p w14:paraId="1808AC8E" w14:textId="77777777" w:rsidR="00441AF6" w:rsidRDefault="00441AF6" w:rsidP="00441AF6">
      <w:pPr>
        <w:pStyle w:val="Heading5"/>
      </w:pPr>
      <w:bookmarkStart w:id="86" w:name="_Ref482785839"/>
      <w:bookmarkStart w:id="87" w:name="_Toc510688911"/>
      <w:r>
        <w:t>Current treatment options</w:t>
      </w:r>
      <w:bookmarkEnd w:id="86"/>
      <w:bookmarkEnd w:id="87"/>
    </w:p>
    <w:p w14:paraId="1FD08DFE" w14:textId="77777777" w:rsidR="00441AF6" w:rsidRPr="004B49C6" w:rsidRDefault="00441AF6" w:rsidP="00441AF6">
      <w:pPr>
        <w:rPr>
          <w:lang w:eastAsia="ja-JP"/>
        </w:rPr>
      </w:pPr>
      <w:r w:rsidRPr="00205363">
        <w:rPr>
          <w:lang w:eastAsia="ja-JP"/>
        </w:rPr>
        <w:t>There</w:t>
      </w:r>
      <w:r>
        <w:rPr>
          <w:lang w:eastAsia="ja-JP"/>
        </w:rPr>
        <w:t xml:space="preserve"> are no specific treatments for DMD currently approved in Australia.</w:t>
      </w:r>
      <w:r w:rsidR="00DB3203">
        <w:rPr>
          <w:lang w:eastAsia="ja-JP"/>
        </w:rPr>
        <w:t xml:space="preserve"> </w:t>
      </w:r>
      <w:r>
        <w:rPr>
          <w:lang w:eastAsia="ja-JP"/>
        </w:rPr>
        <w:t>Current treat</w:t>
      </w:r>
      <w:r w:rsidRPr="00205363">
        <w:rPr>
          <w:lang w:eastAsia="ja-JP"/>
        </w:rPr>
        <w:t xml:space="preserve">ment </w:t>
      </w:r>
      <w:r>
        <w:rPr>
          <w:lang w:eastAsia="ja-JP"/>
        </w:rPr>
        <w:t>relies</w:t>
      </w:r>
      <w:r w:rsidRPr="00205363">
        <w:rPr>
          <w:lang w:eastAsia="ja-JP"/>
        </w:rPr>
        <w:t xml:space="preserve"> on medical</w:t>
      </w:r>
      <w:r>
        <w:rPr>
          <w:lang w:eastAsia="ja-JP"/>
        </w:rPr>
        <w:t xml:space="preserve"> (corticosteroids)</w:t>
      </w:r>
      <w:r w:rsidRPr="00205363">
        <w:rPr>
          <w:lang w:eastAsia="ja-JP"/>
        </w:rPr>
        <w:t>, surgical, and rehabilitative app</w:t>
      </w:r>
      <w:r>
        <w:rPr>
          <w:lang w:eastAsia="ja-JP"/>
        </w:rPr>
        <w:t xml:space="preserve">roaches </w:t>
      </w:r>
      <w:r w:rsidRPr="00410317">
        <w:rPr>
          <w:lang w:eastAsia="ja-JP"/>
        </w:rPr>
        <w:t>to manage symptoms</w:t>
      </w:r>
      <w:r>
        <w:rPr>
          <w:lang w:eastAsia="ja-JP"/>
        </w:rPr>
        <w:t xml:space="preserve">, </w:t>
      </w:r>
      <w:r w:rsidRPr="00410317">
        <w:rPr>
          <w:lang w:eastAsia="ja-JP"/>
        </w:rPr>
        <w:t>maintain patient function and comfort</w:t>
      </w:r>
      <w:r>
        <w:rPr>
          <w:lang w:eastAsia="ja-JP"/>
        </w:rPr>
        <w:t>,</w:t>
      </w:r>
      <w:r w:rsidRPr="00410317">
        <w:rPr>
          <w:lang w:eastAsia="ja-JP"/>
        </w:rPr>
        <w:t xml:space="preserve"> and improve quality of life.</w:t>
      </w:r>
      <w:r w:rsidR="00DB3203">
        <w:rPr>
          <w:lang w:eastAsia="ja-JP"/>
        </w:rPr>
        <w:t xml:space="preserve"> </w:t>
      </w:r>
      <w:r>
        <w:rPr>
          <w:lang w:eastAsia="ja-JP"/>
        </w:rPr>
        <w:t>Glucocorticoids (</w:t>
      </w:r>
      <w:r w:rsidRPr="001656E4">
        <w:rPr>
          <w:lang w:eastAsia="ja-JP"/>
        </w:rPr>
        <w:t>prednisone and deflazacort</w:t>
      </w:r>
      <w:r>
        <w:rPr>
          <w:lang w:eastAsia="ja-JP"/>
        </w:rPr>
        <w:t>)</w:t>
      </w:r>
      <w:r w:rsidRPr="001656E4">
        <w:rPr>
          <w:lang w:eastAsia="ja-JP"/>
        </w:rPr>
        <w:t xml:space="preserve"> </w:t>
      </w:r>
      <w:r>
        <w:rPr>
          <w:lang w:eastAsia="ja-JP"/>
        </w:rPr>
        <w:t xml:space="preserve">provide temporary improvement by </w:t>
      </w:r>
      <w:r w:rsidRPr="001656E4">
        <w:rPr>
          <w:lang w:eastAsia="ja-JP"/>
        </w:rPr>
        <w:t>slowing the</w:t>
      </w:r>
      <w:r>
        <w:rPr>
          <w:lang w:eastAsia="ja-JP"/>
        </w:rPr>
        <w:t xml:space="preserve"> rate of progression or stabilis</w:t>
      </w:r>
      <w:r w:rsidRPr="001656E4">
        <w:rPr>
          <w:lang w:eastAsia="ja-JP"/>
        </w:rPr>
        <w:t>ing muscle strength and function.</w:t>
      </w:r>
      <w:r w:rsidR="00DB3203">
        <w:rPr>
          <w:lang w:eastAsia="ja-JP"/>
        </w:rPr>
        <w:t xml:space="preserve"> </w:t>
      </w:r>
      <w:r>
        <w:rPr>
          <w:lang w:eastAsia="ja-JP"/>
        </w:rPr>
        <w:t>However, c</w:t>
      </w:r>
      <w:r w:rsidRPr="001656E4">
        <w:rPr>
          <w:lang w:eastAsia="ja-JP"/>
        </w:rPr>
        <w:t>orticosteroid the</w:t>
      </w:r>
      <w:r>
        <w:rPr>
          <w:lang w:eastAsia="ja-JP"/>
        </w:rPr>
        <w:t>rapy also leads to significant side effects which can limit their usefulness</w:t>
      </w:r>
      <w:r w:rsidRPr="001656E4">
        <w:rPr>
          <w:lang w:eastAsia="ja-JP"/>
        </w:rPr>
        <w:t>.</w:t>
      </w:r>
      <w:r w:rsidR="00DB3203">
        <w:rPr>
          <w:lang w:eastAsia="ja-JP"/>
        </w:rPr>
        <w:t xml:space="preserve"> </w:t>
      </w:r>
      <w:r>
        <w:rPr>
          <w:lang w:eastAsia="ja-JP"/>
        </w:rPr>
        <w:t xml:space="preserve">Symptomatic and supportive </w:t>
      </w:r>
      <w:r w:rsidRPr="004B49C6">
        <w:rPr>
          <w:lang w:eastAsia="ja-JP"/>
        </w:rPr>
        <w:t>treatment of respiratory insufficiency associated with DMD includes airway clearance, respiratory muscle training, non-invasive nocturnal ventilation, non-invasive daytime ventilation and continuous invasive ventilation.</w:t>
      </w:r>
      <w:r w:rsidR="00DB3203">
        <w:rPr>
          <w:lang w:eastAsia="ja-JP"/>
        </w:rPr>
        <w:t xml:space="preserve"> </w:t>
      </w:r>
      <w:r w:rsidRPr="004B49C6">
        <w:rPr>
          <w:lang w:eastAsia="ja-JP"/>
        </w:rPr>
        <w:t>A summary of these approaches is outlined in</w:t>
      </w:r>
      <w:r w:rsidR="0030092C">
        <w:rPr>
          <w:lang w:eastAsia="ja-JP"/>
        </w:rPr>
        <w:t xml:space="preserve"> Table 5</w:t>
      </w:r>
      <w:r w:rsidRPr="004B49C6">
        <w:rPr>
          <w:lang w:eastAsia="ja-JP"/>
        </w:rPr>
        <w:t>, below.</w:t>
      </w:r>
    </w:p>
    <w:p w14:paraId="1EE40AEA" w14:textId="77777777" w:rsidR="00441AF6" w:rsidRDefault="00441AF6" w:rsidP="00441AF6">
      <w:pPr>
        <w:rPr>
          <w:lang w:eastAsia="ja-JP"/>
        </w:rPr>
      </w:pPr>
      <w:r w:rsidRPr="00D934BB">
        <w:rPr>
          <w:lang w:eastAsia="ja-JP"/>
        </w:rPr>
        <w:t xml:space="preserve">There is thus an unmet medical need for the management of respiratory function decline in patients not taking </w:t>
      </w:r>
      <w:r>
        <w:rPr>
          <w:lang w:eastAsia="ja-JP"/>
        </w:rPr>
        <w:t>GC</w:t>
      </w:r>
      <w:r w:rsidRPr="00D934BB">
        <w:rPr>
          <w:lang w:eastAsia="ja-JP"/>
        </w:rPr>
        <w:t>.</w:t>
      </w:r>
    </w:p>
    <w:p w14:paraId="2D836AFB" w14:textId="21D52851" w:rsidR="00441AF6" w:rsidRDefault="00441AF6" w:rsidP="00441AF6">
      <w:pPr>
        <w:rPr>
          <w:lang w:eastAsia="ja-JP"/>
        </w:rPr>
      </w:pPr>
      <w:r>
        <w:rPr>
          <w:lang w:val="en" w:eastAsia="ja-JP"/>
        </w:rPr>
        <w:t>O</w:t>
      </w:r>
      <w:r w:rsidRPr="00900128">
        <w:rPr>
          <w:lang w:val="en" w:eastAsia="ja-JP"/>
        </w:rPr>
        <w:t>n 31 July 2014,</w:t>
      </w:r>
      <w:r>
        <w:rPr>
          <w:lang w:val="en" w:eastAsia="ja-JP"/>
        </w:rPr>
        <w:t xml:space="preserve"> t</w:t>
      </w:r>
      <w:r w:rsidRPr="00745946">
        <w:rPr>
          <w:lang w:val="en" w:eastAsia="ja-JP"/>
        </w:rPr>
        <w:t xml:space="preserve">he </w:t>
      </w:r>
      <w:r w:rsidR="007B504D">
        <w:rPr>
          <w:lang w:val="en" w:eastAsia="ja-JP"/>
        </w:rPr>
        <w:t xml:space="preserve">EMA’s </w:t>
      </w:r>
      <w:r w:rsidRPr="00745946">
        <w:rPr>
          <w:lang w:val="en" w:eastAsia="ja-JP"/>
        </w:rPr>
        <w:t xml:space="preserve">CHMP </w:t>
      </w:r>
      <w:r>
        <w:rPr>
          <w:lang w:val="en" w:eastAsia="ja-JP"/>
        </w:rPr>
        <w:t>granted</w:t>
      </w:r>
      <w:r w:rsidRPr="00745946">
        <w:rPr>
          <w:lang w:val="en" w:eastAsia="ja-JP"/>
        </w:rPr>
        <w:t xml:space="preserve"> conditional marketing </w:t>
      </w:r>
      <w:r w:rsidRPr="00900128">
        <w:rPr>
          <w:lang w:eastAsia="ja-JP"/>
        </w:rPr>
        <w:t>authorisation</w:t>
      </w:r>
      <w:r w:rsidRPr="00745946">
        <w:rPr>
          <w:lang w:val="en" w:eastAsia="ja-JP"/>
        </w:rPr>
        <w:t xml:space="preserve"> for Translarna (ataluren)</w:t>
      </w:r>
      <w:r>
        <w:rPr>
          <w:lang w:val="en" w:eastAsia="ja-JP"/>
        </w:rPr>
        <w:t xml:space="preserve"> </w:t>
      </w:r>
      <w:r>
        <w:rPr>
          <w:lang w:eastAsia="ja-JP"/>
        </w:rPr>
        <w:t xml:space="preserve">for </w:t>
      </w:r>
      <w:r w:rsidRPr="00745946">
        <w:rPr>
          <w:lang w:eastAsia="ja-JP"/>
        </w:rPr>
        <w:t xml:space="preserve">the treatment of </w:t>
      </w:r>
      <w:r w:rsidR="0002337A">
        <w:rPr>
          <w:lang w:eastAsia="ja-JP"/>
        </w:rPr>
        <w:t>DMD</w:t>
      </w:r>
      <w:r w:rsidR="004B3A61">
        <w:rPr>
          <w:lang w:eastAsia="ja-JP"/>
        </w:rPr>
        <w:t xml:space="preserve"> </w:t>
      </w:r>
      <w:r w:rsidRPr="00745946">
        <w:rPr>
          <w:lang w:eastAsia="ja-JP"/>
        </w:rPr>
        <w:t>resulting from a nonsense</w:t>
      </w:r>
      <w:r>
        <w:rPr>
          <w:lang w:eastAsia="ja-JP"/>
        </w:rPr>
        <w:t xml:space="preserve"> </w:t>
      </w:r>
      <w:r w:rsidRPr="00745946">
        <w:rPr>
          <w:lang w:eastAsia="ja-JP"/>
        </w:rPr>
        <w:t>mutation in the dystrophin gene, in ambulatory patients aged 5 years and older</w:t>
      </w:r>
      <w:r>
        <w:rPr>
          <w:lang w:eastAsia="ja-JP"/>
        </w:rPr>
        <w:t>.</w:t>
      </w:r>
    </w:p>
    <w:p w14:paraId="25ABECF6" w14:textId="3AD4973D" w:rsidR="00441AF6" w:rsidRDefault="00441AF6" w:rsidP="00441AF6">
      <w:pPr>
        <w:rPr>
          <w:lang w:val="en-US" w:eastAsia="ja-JP"/>
        </w:rPr>
      </w:pPr>
      <w:r w:rsidRPr="008D5764">
        <w:rPr>
          <w:lang w:eastAsia="ja-JP"/>
        </w:rPr>
        <w:t>The FDA issued a Refuse to File letter for ataluren on 23 February 2016, and an appeal filed by t</w:t>
      </w:r>
      <w:r w:rsidRPr="008D5764">
        <w:rPr>
          <w:lang w:val="en-US" w:eastAsia="ja-JP"/>
        </w:rPr>
        <w:t xml:space="preserve">he company was rejected by the FDA on </w:t>
      </w:r>
      <w:r w:rsidR="004B3A61" w:rsidRPr="008D5764">
        <w:rPr>
          <w:lang w:val="en-US" w:eastAsia="ja-JP"/>
        </w:rPr>
        <w:t>17</w:t>
      </w:r>
      <w:r w:rsidR="004B3A61">
        <w:rPr>
          <w:lang w:val="en-US" w:eastAsia="ja-JP"/>
        </w:rPr>
        <w:t xml:space="preserve"> </w:t>
      </w:r>
      <w:r w:rsidRPr="008D5764">
        <w:rPr>
          <w:lang w:val="en-US" w:eastAsia="ja-JP"/>
        </w:rPr>
        <w:t>October</w:t>
      </w:r>
      <w:r w:rsidR="004B3A61">
        <w:rPr>
          <w:lang w:val="en-US" w:eastAsia="ja-JP"/>
        </w:rPr>
        <w:t xml:space="preserve"> </w:t>
      </w:r>
      <w:r w:rsidRPr="008D5764">
        <w:rPr>
          <w:lang w:val="en-US" w:eastAsia="ja-JP"/>
        </w:rPr>
        <w:t>2016.</w:t>
      </w:r>
      <w:r w:rsidR="00DB3203">
        <w:rPr>
          <w:lang w:val="en-US" w:eastAsia="ja-JP"/>
        </w:rPr>
        <w:t xml:space="preserve"> </w:t>
      </w:r>
      <w:r w:rsidRPr="008D5764">
        <w:rPr>
          <w:lang w:val="en-US" w:eastAsia="ja-JP"/>
        </w:rPr>
        <w:t xml:space="preserve">The company resubmitted a New Drug Application during </w:t>
      </w:r>
      <w:r w:rsidR="007B504D">
        <w:rPr>
          <w:lang w:val="en-US" w:eastAsia="ja-JP"/>
        </w:rPr>
        <w:t>the first quarter</w:t>
      </w:r>
      <w:r w:rsidRPr="008D5764">
        <w:rPr>
          <w:lang w:val="en-US" w:eastAsia="ja-JP"/>
        </w:rPr>
        <w:t xml:space="preserve"> of 2017</w:t>
      </w:r>
      <w:r>
        <w:rPr>
          <w:lang w:val="en-US" w:eastAsia="ja-JP"/>
        </w:rPr>
        <w:t>, but</w:t>
      </w:r>
      <w:r w:rsidRPr="008D5764">
        <w:rPr>
          <w:lang w:val="en-US" w:eastAsia="ja-JP"/>
        </w:rPr>
        <w:t xml:space="preserve"> </w:t>
      </w:r>
      <w:r>
        <w:rPr>
          <w:lang w:val="en-US" w:eastAsia="ja-JP"/>
        </w:rPr>
        <w:t xml:space="preserve">in October 2017 the FDA issued a </w:t>
      </w:r>
      <w:r w:rsidR="007B504D">
        <w:rPr>
          <w:lang w:val="en-US" w:eastAsia="ja-JP"/>
        </w:rPr>
        <w:t>C</w:t>
      </w:r>
      <w:r>
        <w:rPr>
          <w:lang w:val="en-US" w:eastAsia="ja-JP"/>
        </w:rPr>
        <w:t xml:space="preserve">omplete </w:t>
      </w:r>
      <w:r w:rsidR="007B504D">
        <w:rPr>
          <w:lang w:val="en-US" w:eastAsia="ja-JP"/>
        </w:rPr>
        <w:t>R</w:t>
      </w:r>
      <w:r>
        <w:rPr>
          <w:lang w:val="en-US" w:eastAsia="ja-JP"/>
        </w:rPr>
        <w:t>esponse letter stating that it is unable to approve the application in its current form.</w:t>
      </w:r>
    </w:p>
    <w:p w14:paraId="4FAE61AC" w14:textId="00D65FCE" w:rsidR="00441AF6" w:rsidRDefault="00441AF6" w:rsidP="00441AF6">
      <w:pPr>
        <w:pStyle w:val="TableTitle"/>
      </w:pPr>
      <w:bookmarkStart w:id="88" w:name="_Ref482786677"/>
      <w:bookmarkStart w:id="89" w:name="_Toc510688982"/>
      <w:r>
        <w:lastRenderedPageBreak/>
        <w:t xml:space="preserve">Table </w:t>
      </w:r>
      <w:bookmarkEnd w:id="88"/>
      <w:r w:rsidR="0030092C">
        <w:t>5</w:t>
      </w:r>
      <w:r>
        <w:t>:</w:t>
      </w:r>
      <w:r w:rsidR="00DB3203">
        <w:t xml:space="preserve"> </w:t>
      </w:r>
      <w:r w:rsidRPr="002F141A">
        <w:t>Summary of DMD care guidelines</w:t>
      </w:r>
      <w:r>
        <w:t xml:space="preserve"> </w:t>
      </w:r>
      <w:r w:rsidRPr="002F141A">
        <w:t>(reproduced from Landfeldt et al</w:t>
      </w:r>
      <w:r w:rsidR="00CC66F4">
        <w:t>. 2015</w:t>
      </w:r>
      <w:r w:rsidR="00CC66F4">
        <w:rPr>
          <w:rStyle w:val="FootnoteReference"/>
        </w:rPr>
        <w:footnoteReference w:id="28"/>
      </w:r>
      <w:r w:rsidRPr="002F141A">
        <w:t>)</w:t>
      </w:r>
      <w:bookmarkEnd w:id="89"/>
    </w:p>
    <w:p w14:paraId="6FE5E82F" w14:textId="77777777" w:rsidR="00441AF6" w:rsidRPr="00441AF6" w:rsidRDefault="00441AF6" w:rsidP="00441AF6">
      <w:r>
        <w:rPr>
          <w:noProof/>
          <w:lang w:eastAsia="en-AU"/>
        </w:rPr>
        <w:drawing>
          <wp:inline distT="0" distB="0" distL="0" distR="0" wp14:anchorId="58CFC770" wp14:editId="0B0BC3BB">
            <wp:extent cx="5400040" cy="4831715"/>
            <wp:effectExtent l="0" t="0" r="0" b="6985"/>
            <wp:docPr id="12" name="Picture 12" descr="Summary of DMD care guidelines (reproduced from Landfeldt et 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4831715"/>
                    </a:xfrm>
                    <a:prstGeom prst="rect">
                      <a:avLst/>
                    </a:prstGeom>
                  </pic:spPr>
                </pic:pic>
              </a:graphicData>
            </a:graphic>
          </wp:inline>
        </w:drawing>
      </w:r>
    </w:p>
    <w:p w14:paraId="62095812" w14:textId="77777777" w:rsidR="00605AD4" w:rsidRDefault="00605AD4" w:rsidP="00605AD4">
      <w:pPr>
        <w:pStyle w:val="Heading4"/>
      </w:pPr>
      <w:bookmarkStart w:id="90" w:name="_Toc196046464"/>
      <w:bookmarkStart w:id="91" w:name="_Toc247691518"/>
      <w:bookmarkStart w:id="92" w:name="_Toc314842502"/>
      <w:r w:rsidRPr="00605AD4">
        <w:t xml:space="preserve">Clinical </w:t>
      </w:r>
      <w:r w:rsidR="00EF59DC">
        <w:t>r</w:t>
      </w:r>
      <w:r w:rsidRPr="00605AD4">
        <w:t>ationale</w:t>
      </w:r>
    </w:p>
    <w:p w14:paraId="1B849444" w14:textId="77777777" w:rsidR="00441AF6" w:rsidRDefault="00441AF6" w:rsidP="00441AF6">
      <w:pPr>
        <w:rPr>
          <w:lang w:eastAsia="ja-JP"/>
        </w:rPr>
      </w:pPr>
      <w:r>
        <w:rPr>
          <w:lang w:eastAsia="ja-JP"/>
        </w:rPr>
        <w:t>In the Clinical Overview, the sponsor provides an overview of the clinical and pathophysiological symptoms and signs of DMD, noting that in the absence of treatment, weakness of respiratory muscles gradually progresses to respiratory failure and the need for assisted ventilation by the time patients reach their mid-to-late teenage years.</w:t>
      </w:r>
      <w:r w:rsidR="00DB3203">
        <w:rPr>
          <w:lang w:eastAsia="ja-JP"/>
        </w:rPr>
        <w:t xml:space="preserve"> </w:t>
      </w:r>
      <w:r>
        <w:rPr>
          <w:lang w:eastAsia="ja-JP"/>
        </w:rPr>
        <w:t xml:space="preserve">While treatment with GCs can delay the decline in muscle strength and stabilise pulmonary function, their use is associated with recognised side effects such as </w:t>
      </w:r>
      <w:r w:rsidRPr="0049663C">
        <w:rPr>
          <w:lang w:eastAsia="ja-JP"/>
        </w:rPr>
        <w:t>growth</w:t>
      </w:r>
      <w:r>
        <w:rPr>
          <w:lang w:eastAsia="ja-JP"/>
        </w:rPr>
        <w:t xml:space="preserve"> </w:t>
      </w:r>
      <w:r w:rsidRPr="0049663C">
        <w:rPr>
          <w:lang w:eastAsia="ja-JP"/>
        </w:rPr>
        <w:t xml:space="preserve">retardation, bone demineralisation and increased fracture risk, obesity, </w:t>
      </w:r>
      <w:r>
        <w:rPr>
          <w:lang w:eastAsia="ja-JP"/>
        </w:rPr>
        <w:t xml:space="preserve">behavioural changes, </w:t>
      </w:r>
      <w:r w:rsidRPr="0049663C">
        <w:rPr>
          <w:lang w:eastAsia="ja-JP"/>
        </w:rPr>
        <w:t>hypertension</w:t>
      </w:r>
      <w:r>
        <w:rPr>
          <w:lang w:eastAsia="ja-JP"/>
        </w:rPr>
        <w:t xml:space="preserve"> </w:t>
      </w:r>
      <w:r w:rsidRPr="0049663C">
        <w:rPr>
          <w:lang w:eastAsia="ja-JP"/>
        </w:rPr>
        <w:t>and cataracts</w:t>
      </w:r>
      <w:r>
        <w:rPr>
          <w:lang w:eastAsia="ja-JP"/>
        </w:rPr>
        <w:t>.</w:t>
      </w:r>
      <w:r w:rsidR="00DB3203">
        <w:rPr>
          <w:lang w:eastAsia="ja-JP"/>
        </w:rPr>
        <w:t xml:space="preserve"> </w:t>
      </w:r>
      <w:r>
        <w:rPr>
          <w:lang w:eastAsia="ja-JP"/>
        </w:rPr>
        <w:t>These side effects often lead to discontinuation of GC treatment.</w:t>
      </w:r>
      <w:r w:rsidR="00DB3203">
        <w:rPr>
          <w:lang w:eastAsia="ja-JP"/>
        </w:rPr>
        <w:t xml:space="preserve"> </w:t>
      </w:r>
      <w:r>
        <w:rPr>
          <w:lang w:eastAsia="ja-JP"/>
        </w:rPr>
        <w:t>There is thus an unmet clinical need for an alternative effective treatment option.</w:t>
      </w:r>
    </w:p>
    <w:p w14:paraId="4838B37E" w14:textId="0AE51E5F" w:rsidR="00441AF6" w:rsidRDefault="00441AF6" w:rsidP="00441AF6">
      <w:pPr>
        <w:rPr>
          <w:iCs/>
          <w:lang w:eastAsia="ja-JP"/>
        </w:rPr>
      </w:pPr>
      <w:r w:rsidRPr="0077405B">
        <w:rPr>
          <w:lang w:eastAsia="ja-JP"/>
        </w:rPr>
        <w:t xml:space="preserve">Cell membrane fragility and intracellular </w:t>
      </w:r>
      <w:r w:rsidR="007B504D">
        <w:rPr>
          <w:lang w:eastAsia="ja-JP"/>
        </w:rPr>
        <w:t>calcium ion (</w:t>
      </w:r>
      <w:r w:rsidRPr="0077405B">
        <w:rPr>
          <w:lang w:eastAsia="ja-JP"/>
        </w:rPr>
        <w:t>Ca</w:t>
      </w:r>
      <w:r w:rsidRPr="00414718">
        <w:rPr>
          <w:vertAlign w:val="superscript"/>
          <w:lang w:eastAsia="ja-JP"/>
        </w:rPr>
        <w:t>2</w:t>
      </w:r>
      <w:r w:rsidRPr="00BC7448">
        <w:rPr>
          <w:vertAlign w:val="superscript"/>
          <w:lang w:eastAsia="ja-JP"/>
        </w:rPr>
        <w:t>+</w:t>
      </w:r>
      <w:r w:rsidR="007B504D">
        <w:rPr>
          <w:lang w:eastAsia="ja-JP"/>
        </w:rPr>
        <w:t xml:space="preserve">) </w:t>
      </w:r>
      <w:r w:rsidRPr="0077405B">
        <w:rPr>
          <w:lang w:eastAsia="ja-JP"/>
        </w:rPr>
        <w:t>dysregulation</w:t>
      </w:r>
      <w:r>
        <w:rPr>
          <w:lang w:eastAsia="ja-JP"/>
        </w:rPr>
        <w:t xml:space="preserve"> </w:t>
      </w:r>
      <w:r w:rsidRPr="0077405B">
        <w:rPr>
          <w:lang w:eastAsia="ja-JP"/>
        </w:rPr>
        <w:t xml:space="preserve">secondary to the disease-causing absence of the </w:t>
      </w:r>
      <w:r w:rsidRPr="0061481A">
        <w:rPr>
          <w:lang w:eastAsia="ja-JP"/>
        </w:rPr>
        <w:t xml:space="preserve">protein </w:t>
      </w:r>
      <w:r w:rsidRPr="0061481A">
        <w:rPr>
          <w:iCs/>
          <w:lang w:eastAsia="ja-JP"/>
        </w:rPr>
        <w:t>dystrophin</w:t>
      </w:r>
      <w:r>
        <w:rPr>
          <w:i/>
          <w:iCs/>
          <w:lang w:eastAsia="ja-JP"/>
        </w:rPr>
        <w:t xml:space="preserve"> </w:t>
      </w:r>
      <w:r w:rsidRPr="0077405B">
        <w:rPr>
          <w:iCs/>
          <w:lang w:eastAsia="ja-JP"/>
        </w:rPr>
        <w:t>is characteristic of DMD</w:t>
      </w:r>
      <w:r>
        <w:rPr>
          <w:iCs/>
          <w:lang w:eastAsia="ja-JP"/>
        </w:rPr>
        <w:t xml:space="preserve"> and results in </w:t>
      </w:r>
      <w:r w:rsidRPr="0077405B">
        <w:rPr>
          <w:iCs/>
          <w:lang w:eastAsia="ja-JP"/>
        </w:rPr>
        <w:t>functional aberrations in</w:t>
      </w:r>
      <w:r>
        <w:rPr>
          <w:iCs/>
          <w:lang w:eastAsia="ja-JP"/>
        </w:rPr>
        <w:t xml:space="preserve"> </w:t>
      </w:r>
      <w:r w:rsidRPr="0077405B">
        <w:rPr>
          <w:iCs/>
          <w:lang w:eastAsia="ja-JP"/>
        </w:rPr>
        <w:t>mitochondrial energy transduction and increased production of cell-damaging reactive</w:t>
      </w:r>
      <w:r>
        <w:rPr>
          <w:iCs/>
          <w:lang w:eastAsia="ja-JP"/>
        </w:rPr>
        <w:t xml:space="preserve"> </w:t>
      </w:r>
      <w:r w:rsidRPr="0077405B">
        <w:rPr>
          <w:iCs/>
          <w:lang w:eastAsia="ja-JP"/>
        </w:rPr>
        <w:t>oxygen species (ROS)</w:t>
      </w:r>
      <w:r>
        <w:rPr>
          <w:iCs/>
          <w:lang w:eastAsia="ja-JP"/>
        </w:rPr>
        <w:t>.</w:t>
      </w:r>
      <w:r w:rsidR="00DB3203">
        <w:rPr>
          <w:iCs/>
          <w:lang w:eastAsia="ja-JP"/>
        </w:rPr>
        <w:t xml:space="preserve"> </w:t>
      </w:r>
      <w:r>
        <w:rPr>
          <w:iCs/>
          <w:lang w:eastAsia="ja-JP"/>
        </w:rPr>
        <w:t xml:space="preserve">In a well-established </w:t>
      </w:r>
      <w:r w:rsidRPr="009C093C">
        <w:rPr>
          <w:iCs/>
          <w:lang w:eastAsia="ja-JP"/>
        </w:rPr>
        <w:t>dystrophin-deficient</w:t>
      </w:r>
      <w:r w:rsidRPr="009C093C">
        <w:rPr>
          <w:i/>
          <w:iCs/>
          <w:lang w:eastAsia="ja-JP"/>
        </w:rPr>
        <w:t xml:space="preserve"> mdx </w:t>
      </w:r>
      <w:r w:rsidRPr="009C093C">
        <w:rPr>
          <w:iCs/>
          <w:lang w:eastAsia="ja-JP"/>
        </w:rPr>
        <w:t xml:space="preserve">mouse </w:t>
      </w:r>
      <w:r>
        <w:rPr>
          <w:iCs/>
          <w:lang w:eastAsia="ja-JP"/>
        </w:rPr>
        <w:t xml:space="preserve">disease model for DMD, one of the defective functional parameters identified was a deficiency in </w:t>
      </w:r>
      <w:r w:rsidR="007B504D">
        <w:rPr>
          <w:iCs/>
          <w:lang w:eastAsia="ja-JP"/>
        </w:rPr>
        <w:t>c</w:t>
      </w:r>
      <w:r w:rsidRPr="009C093C">
        <w:rPr>
          <w:iCs/>
          <w:lang w:eastAsia="ja-JP"/>
        </w:rPr>
        <w:t>omplex I-mediated mitochondrial ATP</w:t>
      </w:r>
      <w:r>
        <w:rPr>
          <w:iCs/>
          <w:lang w:eastAsia="ja-JP"/>
        </w:rPr>
        <w:t xml:space="preserve"> </w:t>
      </w:r>
      <w:r w:rsidRPr="009C093C">
        <w:rPr>
          <w:iCs/>
          <w:lang w:eastAsia="ja-JP"/>
        </w:rPr>
        <w:t>production rate</w:t>
      </w:r>
      <w:r>
        <w:rPr>
          <w:iCs/>
          <w:lang w:eastAsia="ja-JP"/>
        </w:rPr>
        <w:t>.</w:t>
      </w:r>
      <w:r w:rsidR="00DB3203">
        <w:rPr>
          <w:iCs/>
          <w:lang w:eastAsia="ja-JP"/>
        </w:rPr>
        <w:t xml:space="preserve"> </w:t>
      </w:r>
      <w:r>
        <w:rPr>
          <w:iCs/>
          <w:lang w:eastAsia="ja-JP"/>
        </w:rPr>
        <w:t xml:space="preserve">It is </w:t>
      </w:r>
      <w:r>
        <w:rPr>
          <w:iCs/>
          <w:lang w:eastAsia="ja-JP"/>
        </w:rPr>
        <w:lastRenderedPageBreak/>
        <w:t xml:space="preserve">postulated that this may contribute to pathological muscle wasting in DMD </w:t>
      </w:r>
      <w:r w:rsidRPr="0053334C">
        <w:rPr>
          <w:iCs/>
          <w:lang w:eastAsia="ja-JP"/>
        </w:rPr>
        <w:t>by reducing ATP availability</w:t>
      </w:r>
      <w:r>
        <w:rPr>
          <w:iCs/>
          <w:lang w:eastAsia="ja-JP"/>
        </w:rPr>
        <w:t xml:space="preserve"> </w:t>
      </w:r>
      <w:r w:rsidRPr="0053334C">
        <w:rPr>
          <w:iCs/>
          <w:lang w:eastAsia="ja-JP"/>
        </w:rPr>
        <w:t>to Ca</w:t>
      </w:r>
      <w:r w:rsidRPr="00414718">
        <w:rPr>
          <w:iCs/>
          <w:vertAlign w:val="superscript"/>
          <w:lang w:eastAsia="ja-JP"/>
        </w:rPr>
        <w:t>2</w:t>
      </w:r>
      <w:r w:rsidRPr="0053334C">
        <w:rPr>
          <w:iCs/>
          <w:vertAlign w:val="superscript"/>
          <w:lang w:eastAsia="ja-JP"/>
        </w:rPr>
        <w:t>+</w:t>
      </w:r>
      <w:r w:rsidRPr="0053334C">
        <w:rPr>
          <w:iCs/>
          <w:lang w:eastAsia="ja-JP"/>
        </w:rPr>
        <w:t xml:space="preserve"> regulation and fibre regeneration.</w:t>
      </w:r>
    </w:p>
    <w:p w14:paraId="424ACADB" w14:textId="7B940F98" w:rsidR="00441AF6" w:rsidRDefault="00441AF6" w:rsidP="00441AF6">
      <w:pPr>
        <w:rPr>
          <w:iCs/>
          <w:lang w:eastAsia="ja-JP"/>
        </w:rPr>
      </w:pPr>
      <w:r>
        <w:rPr>
          <w:iCs/>
          <w:lang w:eastAsia="ja-JP"/>
        </w:rPr>
        <w:t xml:space="preserve">Idebenone has been reported </w:t>
      </w:r>
      <w:r w:rsidRPr="00BC7448">
        <w:rPr>
          <w:iCs/>
          <w:lang w:eastAsia="ja-JP"/>
        </w:rPr>
        <w:t>to utilise</w:t>
      </w:r>
      <w:r w:rsidR="0061481A">
        <w:rPr>
          <w:iCs/>
          <w:lang w:eastAsia="ja-JP"/>
        </w:rPr>
        <w:t xml:space="preserve"> and activate </w:t>
      </w:r>
      <w:r w:rsidR="007B504D">
        <w:rPr>
          <w:iCs/>
          <w:lang w:eastAsia="ja-JP"/>
        </w:rPr>
        <w:t>c</w:t>
      </w:r>
      <w:r w:rsidR="0061481A">
        <w:rPr>
          <w:iCs/>
          <w:lang w:eastAsia="ja-JP"/>
        </w:rPr>
        <w:t xml:space="preserve">omplex I </w:t>
      </w:r>
      <w:r w:rsidRPr="00BC7448">
        <w:rPr>
          <w:iCs/>
          <w:lang w:eastAsia="ja-JP"/>
        </w:rPr>
        <w:t>independent metabolic</w:t>
      </w:r>
      <w:r>
        <w:rPr>
          <w:iCs/>
          <w:lang w:eastAsia="ja-JP"/>
        </w:rPr>
        <w:t xml:space="preserve"> </w:t>
      </w:r>
      <w:r w:rsidRPr="00BC7448">
        <w:rPr>
          <w:iCs/>
          <w:lang w:eastAsia="ja-JP"/>
        </w:rPr>
        <w:t>pathways</w:t>
      </w:r>
      <w:r>
        <w:rPr>
          <w:iCs/>
          <w:lang w:eastAsia="ja-JP"/>
        </w:rPr>
        <w:t xml:space="preserve"> enabling restoration of </w:t>
      </w:r>
      <w:r w:rsidRPr="00BC7448">
        <w:rPr>
          <w:iCs/>
          <w:lang w:eastAsia="ja-JP"/>
        </w:rPr>
        <w:t xml:space="preserve">mitochondrial function in the presence of </w:t>
      </w:r>
      <w:r w:rsidR="007B504D">
        <w:rPr>
          <w:iCs/>
          <w:lang w:eastAsia="ja-JP"/>
        </w:rPr>
        <w:t>c</w:t>
      </w:r>
      <w:r w:rsidRPr="00BC7448">
        <w:rPr>
          <w:iCs/>
          <w:lang w:eastAsia="ja-JP"/>
        </w:rPr>
        <w:t>omplex I dysfunctio</w:t>
      </w:r>
      <w:r>
        <w:rPr>
          <w:iCs/>
          <w:lang w:eastAsia="ja-JP"/>
        </w:rPr>
        <w:t xml:space="preserve">n, and </w:t>
      </w:r>
      <w:r w:rsidRPr="00BC7448">
        <w:rPr>
          <w:iCs/>
          <w:lang w:eastAsia="ja-JP"/>
        </w:rPr>
        <w:t xml:space="preserve">to </w:t>
      </w:r>
      <w:r>
        <w:rPr>
          <w:iCs/>
          <w:lang w:eastAsia="ja-JP"/>
        </w:rPr>
        <w:t>inhibit</w:t>
      </w:r>
      <w:r w:rsidRPr="00BC7448">
        <w:rPr>
          <w:iCs/>
          <w:lang w:eastAsia="ja-JP"/>
        </w:rPr>
        <w:t xml:space="preserve"> mitochondrial</w:t>
      </w:r>
      <w:r>
        <w:rPr>
          <w:iCs/>
          <w:lang w:eastAsia="ja-JP"/>
        </w:rPr>
        <w:t xml:space="preserve"> </w:t>
      </w:r>
      <w:r w:rsidRPr="00BC7448">
        <w:rPr>
          <w:iCs/>
          <w:lang w:eastAsia="ja-JP"/>
        </w:rPr>
        <w:t>ROS formation</w:t>
      </w:r>
      <w:r>
        <w:rPr>
          <w:iCs/>
          <w:lang w:eastAsia="ja-JP"/>
        </w:rPr>
        <w:t>.</w:t>
      </w:r>
      <w:r w:rsidR="00DB3203">
        <w:rPr>
          <w:iCs/>
          <w:lang w:eastAsia="ja-JP"/>
        </w:rPr>
        <w:t xml:space="preserve"> </w:t>
      </w:r>
      <w:r w:rsidR="00640C58">
        <w:rPr>
          <w:iCs/>
          <w:lang w:eastAsia="ja-JP"/>
        </w:rPr>
        <w:t>Therefore,</w:t>
      </w:r>
      <w:r>
        <w:rPr>
          <w:iCs/>
          <w:lang w:eastAsia="ja-JP"/>
        </w:rPr>
        <w:t xml:space="preserve"> the anticipated </w:t>
      </w:r>
      <w:r w:rsidRPr="00414718">
        <w:rPr>
          <w:iCs/>
          <w:lang w:eastAsia="ja-JP"/>
        </w:rPr>
        <w:t>mode of action of idebenone in dystrophin deficient muscle is</w:t>
      </w:r>
      <w:r>
        <w:rPr>
          <w:iCs/>
          <w:lang w:eastAsia="ja-JP"/>
        </w:rPr>
        <w:t xml:space="preserve"> as </w:t>
      </w:r>
      <w:r w:rsidRPr="00414718">
        <w:rPr>
          <w:iCs/>
          <w:lang w:eastAsia="ja-JP"/>
        </w:rPr>
        <w:t>illustrated schematically in</w:t>
      </w:r>
      <w:r w:rsidR="0030092C">
        <w:rPr>
          <w:iCs/>
          <w:lang w:eastAsia="ja-JP"/>
        </w:rPr>
        <w:t xml:space="preserve"> Figure 2</w:t>
      </w:r>
      <w:r>
        <w:rPr>
          <w:iCs/>
          <w:lang w:eastAsia="ja-JP"/>
        </w:rPr>
        <w:t>.</w:t>
      </w:r>
    </w:p>
    <w:p w14:paraId="4A55047B" w14:textId="77777777" w:rsidR="00441AF6" w:rsidRDefault="00441AF6" w:rsidP="00441AF6">
      <w:pPr>
        <w:pStyle w:val="FigureTitle"/>
        <w:rPr>
          <w:iCs/>
          <w:lang w:eastAsia="ja-JP"/>
        </w:rPr>
      </w:pPr>
      <w:bookmarkStart w:id="93" w:name="_Ref485288350"/>
      <w:bookmarkStart w:id="94" w:name="_Toc510689064"/>
      <w:r>
        <w:t>Figure</w:t>
      </w:r>
      <w:bookmarkEnd w:id="93"/>
      <w:r w:rsidR="0030092C">
        <w:t xml:space="preserve"> 2</w:t>
      </w:r>
      <w:r>
        <w:t>:</w:t>
      </w:r>
      <w:r w:rsidR="00DB3203">
        <w:t xml:space="preserve"> </w:t>
      </w:r>
      <w:r w:rsidRPr="00414718">
        <w:t>Schematic presentation of the mechanism of action of idebenone in dystrophin</w:t>
      </w:r>
      <w:r>
        <w:t>-</w:t>
      </w:r>
      <w:r w:rsidRPr="00414718">
        <w:t>deficient</w:t>
      </w:r>
      <w:r>
        <w:t xml:space="preserve"> </w:t>
      </w:r>
      <w:r w:rsidRPr="00414718">
        <w:t>skeletal muscle</w:t>
      </w:r>
      <w:bookmarkEnd w:id="94"/>
    </w:p>
    <w:p w14:paraId="3A99C31E" w14:textId="77777777" w:rsidR="00441AF6" w:rsidRDefault="0098642B" w:rsidP="00441AF6">
      <w:pPr>
        <w:rPr>
          <w:iCs/>
          <w:lang w:eastAsia="ja-JP"/>
        </w:rPr>
      </w:pPr>
      <w:r>
        <w:rPr>
          <w:noProof/>
          <w:lang w:eastAsia="en-AU"/>
        </w:rPr>
        <w:drawing>
          <wp:inline distT="0" distB="0" distL="0" distR="0" wp14:anchorId="77608A4B" wp14:editId="4DA667B1">
            <wp:extent cx="5400040" cy="3213100"/>
            <wp:effectExtent l="0" t="0" r="0" b="6350"/>
            <wp:docPr id="13" name="Picture 13" descr="Schematic presentation of the mechanism of action of idebenone in dystrophin-deficient skeletal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213100"/>
                    </a:xfrm>
                    <a:prstGeom prst="rect">
                      <a:avLst/>
                    </a:prstGeom>
                  </pic:spPr>
                </pic:pic>
              </a:graphicData>
            </a:graphic>
          </wp:inline>
        </w:drawing>
      </w:r>
    </w:p>
    <w:p w14:paraId="37DF26F9" w14:textId="77777777" w:rsidR="00605AD4" w:rsidRDefault="00605AD4" w:rsidP="00605AD4">
      <w:pPr>
        <w:pStyle w:val="Heading4"/>
      </w:pPr>
      <w:r w:rsidRPr="00605AD4">
        <w:t>Guidance</w:t>
      </w:r>
    </w:p>
    <w:p w14:paraId="06E6E678" w14:textId="77777777" w:rsidR="0098642B" w:rsidRDefault="0098642B" w:rsidP="0098642B">
      <w:pPr>
        <w:rPr>
          <w:lang w:eastAsia="ja-JP"/>
        </w:rPr>
      </w:pPr>
      <w:r w:rsidRPr="00870D57">
        <w:rPr>
          <w:bCs/>
          <w:lang w:eastAsia="ja-JP"/>
        </w:rPr>
        <w:t>The TGA guidance, including EU guidelines adopted by the TGA, relevant to this submission are:</w:t>
      </w:r>
    </w:p>
    <w:p w14:paraId="63242C0F" w14:textId="77777777" w:rsidR="0098642B" w:rsidRPr="00041660" w:rsidRDefault="0098642B" w:rsidP="0098642B">
      <w:pPr>
        <w:pStyle w:val="ListBullet"/>
        <w:rPr>
          <w:lang w:val="en"/>
        </w:rPr>
      </w:pPr>
      <w:r w:rsidRPr="00041660">
        <w:rPr>
          <w:lang w:val="en"/>
        </w:rPr>
        <w:t>Guideline on the clinical investigation of medicinal products for the treatment of Duchenne and Becker muscular dystrophy (EMA/CHMP/236981/2011)</w:t>
      </w:r>
    </w:p>
    <w:p w14:paraId="7DBB2A90" w14:textId="77777777" w:rsidR="0098642B" w:rsidRPr="00041660" w:rsidRDefault="0098642B" w:rsidP="0098642B">
      <w:pPr>
        <w:pStyle w:val="ListBullet"/>
        <w:rPr>
          <w:lang w:val="en"/>
        </w:rPr>
      </w:pPr>
      <w:r w:rsidRPr="00041660">
        <w:rPr>
          <w:lang w:val="en"/>
        </w:rPr>
        <w:t>Guideline on clinical trials in small populations (CHMP/EWP/83561/2005)</w:t>
      </w:r>
    </w:p>
    <w:p w14:paraId="105CE4D4" w14:textId="021631F1" w:rsidR="0098642B" w:rsidRPr="00041660" w:rsidRDefault="0098642B" w:rsidP="0098642B">
      <w:pPr>
        <w:pStyle w:val="ListBullet"/>
        <w:rPr>
          <w:lang w:val="en"/>
        </w:rPr>
      </w:pPr>
      <w:r w:rsidRPr="00041660">
        <w:rPr>
          <w:lang w:val="en"/>
        </w:rPr>
        <w:t>Points to consider on application with 1.</w:t>
      </w:r>
      <w:r w:rsidR="00640C58">
        <w:rPr>
          <w:lang w:val="en"/>
        </w:rPr>
        <w:t xml:space="preserve"> </w:t>
      </w:r>
      <w:r w:rsidRPr="00041660">
        <w:rPr>
          <w:lang w:val="en"/>
        </w:rPr>
        <w:t>meta-analysis 2.</w:t>
      </w:r>
      <w:r w:rsidR="00640C58">
        <w:rPr>
          <w:lang w:val="en"/>
        </w:rPr>
        <w:t xml:space="preserve"> </w:t>
      </w:r>
      <w:r w:rsidRPr="00041660">
        <w:rPr>
          <w:lang w:val="en"/>
        </w:rPr>
        <w:t>one pivotal study (CHMP/EWP/2330/99)</w:t>
      </w:r>
    </w:p>
    <w:p w14:paraId="56C35F13" w14:textId="4A2C18D7" w:rsidR="0098642B" w:rsidRPr="00041660" w:rsidRDefault="0098642B" w:rsidP="0098642B">
      <w:pPr>
        <w:pStyle w:val="ListBullet"/>
        <w:rPr>
          <w:lang w:val="en"/>
        </w:rPr>
      </w:pPr>
      <w:r w:rsidRPr="00041660">
        <w:rPr>
          <w:lang w:val="en"/>
        </w:rPr>
        <w:t>ICH Topic E4</w:t>
      </w:r>
      <w:r w:rsidR="007B504D">
        <w:rPr>
          <w:lang w:val="en"/>
        </w:rPr>
        <w:t>:</w:t>
      </w:r>
      <w:r w:rsidRPr="00041660">
        <w:rPr>
          <w:lang w:val="en"/>
        </w:rPr>
        <w:t xml:space="preserve"> Note for </w:t>
      </w:r>
      <w:r w:rsidR="007B504D" w:rsidRPr="00041660">
        <w:rPr>
          <w:lang w:val="en"/>
        </w:rPr>
        <w:t>guidance on dose response information to support drug registration</w:t>
      </w:r>
      <w:r w:rsidRPr="00041660">
        <w:rPr>
          <w:lang w:val="en"/>
        </w:rPr>
        <w:t xml:space="preserve"> (CPMP/ICH/378/95)</w:t>
      </w:r>
    </w:p>
    <w:p w14:paraId="20232F60" w14:textId="1323CD97" w:rsidR="0098642B" w:rsidRDefault="0098642B" w:rsidP="0098642B">
      <w:pPr>
        <w:pStyle w:val="ListBullet"/>
        <w:rPr>
          <w:lang w:val="en"/>
        </w:rPr>
      </w:pPr>
      <w:r w:rsidRPr="00041660">
        <w:rPr>
          <w:lang w:val="en"/>
        </w:rPr>
        <w:t xml:space="preserve">Clinical </w:t>
      </w:r>
      <w:r w:rsidR="007B504D" w:rsidRPr="00041660">
        <w:rPr>
          <w:lang w:val="en"/>
        </w:rPr>
        <w:t>investigation of medicinal products for long-term use (pp. 127 - 132 of rules 1998 (3c) - 3cc6a)</w:t>
      </w:r>
    </w:p>
    <w:p w14:paraId="00DD36B1" w14:textId="52C405CC" w:rsidR="0098642B" w:rsidRPr="0098642B" w:rsidRDefault="0098642B" w:rsidP="0098642B">
      <w:pPr>
        <w:pStyle w:val="ListBullet"/>
        <w:rPr>
          <w:lang w:val="en"/>
        </w:rPr>
      </w:pPr>
      <w:r w:rsidRPr="00062E70">
        <w:rPr>
          <w:lang w:val="en"/>
        </w:rPr>
        <w:t xml:space="preserve">Australian regulatory guidelines for prescription medicines (ARGPM) Guidance 8: </w:t>
      </w:r>
      <w:r w:rsidR="007B504D" w:rsidRPr="00062E70">
        <w:rPr>
          <w:lang w:val="en"/>
        </w:rPr>
        <w:t>product information</w:t>
      </w:r>
      <w:r w:rsidRPr="00062E70">
        <w:rPr>
          <w:lang w:val="en"/>
        </w:rPr>
        <w:t xml:space="preserve">; Guidance 15: </w:t>
      </w:r>
      <w:r w:rsidR="007B504D" w:rsidRPr="00062E70">
        <w:rPr>
          <w:lang w:val="en"/>
        </w:rPr>
        <w:t>biopharmaceutic studies.</w:t>
      </w:r>
    </w:p>
    <w:p w14:paraId="4187DC59" w14:textId="451F3DEC" w:rsidR="0098642B" w:rsidRPr="00FA1EB7" w:rsidRDefault="007B504D" w:rsidP="0098642B">
      <w:pPr>
        <w:rPr>
          <w:bCs/>
          <w:lang w:eastAsia="ja-JP"/>
        </w:rPr>
      </w:pPr>
      <w:r>
        <w:rPr>
          <w:bCs/>
          <w:lang w:eastAsia="ja-JP"/>
        </w:rPr>
        <w:t>The following guidance/documents were a</w:t>
      </w:r>
      <w:r w:rsidR="0098642B" w:rsidRPr="00FA1EB7">
        <w:rPr>
          <w:bCs/>
          <w:lang w:eastAsia="ja-JP"/>
        </w:rPr>
        <w:t>lso consulted:</w:t>
      </w:r>
    </w:p>
    <w:p w14:paraId="141D1715" w14:textId="233E3C68" w:rsidR="00500337" w:rsidRPr="0098642B" w:rsidRDefault="0098642B" w:rsidP="00500337">
      <w:pPr>
        <w:pStyle w:val="ListBullet"/>
        <w:rPr>
          <w:b/>
        </w:rPr>
      </w:pPr>
      <w:r w:rsidRPr="00FA1EB7">
        <w:rPr>
          <w:lang w:val="en"/>
        </w:rPr>
        <w:lastRenderedPageBreak/>
        <w:t xml:space="preserve">Draft FDA </w:t>
      </w:r>
      <w:r w:rsidR="007B504D">
        <w:rPr>
          <w:lang w:val="en"/>
        </w:rPr>
        <w:t>g</w:t>
      </w:r>
      <w:r w:rsidRPr="00FA1EB7">
        <w:rPr>
          <w:lang w:val="en"/>
        </w:rPr>
        <w:t xml:space="preserve">uidance: </w:t>
      </w:r>
      <w:r w:rsidR="0002337A">
        <w:t>DMD</w:t>
      </w:r>
      <w:r w:rsidR="0061481A">
        <w:t xml:space="preserve"> </w:t>
      </w:r>
      <w:r w:rsidRPr="00FA1EB7">
        <w:t xml:space="preserve">and </w:t>
      </w:r>
      <w:r w:rsidR="007B504D">
        <w:t>r</w:t>
      </w:r>
      <w:r w:rsidRPr="00FA1EB7">
        <w:t xml:space="preserve">elated </w:t>
      </w:r>
      <w:r w:rsidR="007B504D">
        <w:t>d</w:t>
      </w:r>
      <w:r w:rsidRPr="00FA1EB7">
        <w:t xml:space="preserve">ystrophinopathies: </w:t>
      </w:r>
      <w:r w:rsidR="007B504D" w:rsidRPr="00FA1EB7">
        <w:t>developing drugs for treatment guidance for industry</w:t>
      </w:r>
      <w:r w:rsidRPr="00FA1EB7">
        <w:t>.</w:t>
      </w:r>
      <w:r w:rsidR="00DB3203">
        <w:t xml:space="preserve"> </w:t>
      </w:r>
      <w:r w:rsidRPr="00FA1EB7">
        <w:t xml:space="preserve">US Department of Health and Human Services </w:t>
      </w:r>
      <w:r w:rsidR="007B504D">
        <w:t>FDA</w:t>
      </w:r>
      <w:r w:rsidRPr="00FA1EB7">
        <w:t xml:space="preserve"> Center for Drug Evaluation and Research (CDER) June</w:t>
      </w:r>
      <w:r w:rsidR="007B504D">
        <w:t> </w:t>
      </w:r>
      <w:r w:rsidRPr="00FA1EB7">
        <w:t>2015.</w:t>
      </w:r>
      <w:r w:rsidR="007B504D">
        <w:rPr>
          <w:rStyle w:val="FootnoteReference"/>
        </w:rPr>
        <w:footnoteReference w:id="29"/>
      </w:r>
    </w:p>
    <w:p w14:paraId="3B0B29EA" w14:textId="77777777" w:rsidR="00605AD4" w:rsidRDefault="00605AD4" w:rsidP="00605AD4">
      <w:pPr>
        <w:pStyle w:val="Heading4"/>
      </w:pPr>
      <w:r w:rsidRPr="00605AD4">
        <w:t>Contents of the clinical dossier</w:t>
      </w:r>
    </w:p>
    <w:p w14:paraId="3653D312" w14:textId="77777777" w:rsidR="00500337" w:rsidRDefault="0098642B" w:rsidP="00500337">
      <w:pPr>
        <w:rPr>
          <w:lang w:eastAsia="ja-JP"/>
        </w:rPr>
      </w:pPr>
      <w:r w:rsidRPr="00C13FC1">
        <w:rPr>
          <w:lang w:eastAsia="ja-JP"/>
        </w:rPr>
        <w:t>The dossier documented a full clinical development program of pharmacolo</w:t>
      </w:r>
      <w:r>
        <w:rPr>
          <w:lang w:eastAsia="ja-JP"/>
        </w:rPr>
        <w:t>gy, efficacy and safety studies, and</w:t>
      </w:r>
      <w:r w:rsidRPr="00CA3A43">
        <w:rPr>
          <w:lang w:eastAsia="ja-JP"/>
        </w:rPr>
        <w:t xml:space="preserve"> </w:t>
      </w:r>
      <w:r w:rsidRPr="00C13FC1">
        <w:rPr>
          <w:lang w:eastAsia="ja-JP"/>
        </w:rPr>
        <w:t>contained the following clinical information</w:t>
      </w:r>
      <w:r>
        <w:rPr>
          <w:lang w:eastAsia="ja-JP"/>
        </w:rPr>
        <w:t>:</w:t>
      </w:r>
    </w:p>
    <w:p w14:paraId="48D523F1" w14:textId="4657B963" w:rsidR="0098642B" w:rsidRPr="00C13FC1" w:rsidRDefault="0098642B" w:rsidP="00616DAF">
      <w:pPr>
        <w:pStyle w:val="ListBullet"/>
      </w:pPr>
      <w:r w:rsidRPr="00DB74AD">
        <w:t xml:space="preserve">4 </w:t>
      </w:r>
      <w:r w:rsidR="0061481A">
        <w:t>Phase I</w:t>
      </w:r>
      <w:r w:rsidRPr="00DB74AD">
        <w:t xml:space="preserve"> studies evaluating the clinical pharmacology and bioavailability of idebenone in healthy subjects</w:t>
      </w:r>
      <w:r>
        <w:t xml:space="preserve"> (</w:t>
      </w:r>
      <w:r w:rsidR="007B504D">
        <w:t xml:space="preserve">Studies </w:t>
      </w:r>
      <w:r>
        <w:t xml:space="preserve">SNT-I-001, </w:t>
      </w:r>
      <w:r w:rsidRPr="00675C01">
        <w:t>SNT-I-00</w:t>
      </w:r>
      <w:r>
        <w:t xml:space="preserve">2, </w:t>
      </w:r>
      <w:r w:rsidRPr="00675C01">
        <w:t>SNT-I-00</w:t>
      </w:r>
      <w:r>
        <w:t>3</w:t>
      </w:r>
      <w:r w:rsidR="007B504D">
        <w:t xml:space="preserve"> and</w:t>
      </w:r>
      <w:r>
        <w:t xml:space="preserve"> </w:t>
      </w:r>
      <w:r w:rsidRPr="00675C01">
        <w:t>SNT-I-00</w:t>
      </w:r>
      <w:r>
        <w:t>4)</w:t>
      </w:r>
      <w:r w:rsidRPr="00DB74AD">
        <w:t>.</w:t>
      </w:r>
    </w:p>
    <w:p w14:paraId="33D0BC8D" w14:textId="6A3DDC39" w:rsidR="0098642B" w:rsidRDefault="0098642B" w:rsidP="00616DAF">
      <w:pPr>
        <w:pStyle w:val="ListBullet"/>
      </w:pPr>
      <w:r>
        <w:t>2 clinical studies (1 Phase II</w:t>
      </w:r>
      <w:r w:rsidRPr="007B24B7">
        <w:t xml:space="preserve"> </w:t>
      </w:r>
      <w:r w:rsidR="007B504D">
        <w:t xml:space="preserve">study </w:t>
      </w:r>
      <w:r w:rsidR="00DB3203">
        <w:t>(</w:t>
      </w:r>
      <w:r w:rsidR="007B504D">
        <w:t xml:space="preserve">Study </w:t>
      </w:r>
      <w:r w:rsidRPr="007B24B7">
        <w:t>DELPHI SNT-II-001</w:t>
      </w:r>
      <w:r w:rsidR="00DB3203">
        <w:t>)</w:t>
      </w:r>
      <w:r>
        <w:t>, 1 Phase III</w:t>
      </w:r>
      <w:r w:rsidRPr="007B24B7">
        <w:t xml:space="preserve"> </w:t>
      </w:r>
      <w:r w:rsidR="007B504D">
        <w:t xml:space="preserve">study </w:t>
      </w:r>
      <w:r w:rsidR="00DB3203">
        <w:t>(</w:t>
      </w:r>
      <w:r w:rsidRPr="007B24B7">
        <w:t>DELOS</w:t>
      </w:r>
      <w:r w:rsidR="007B504D">
        <w:t>; Study</w:t>
      </w:r>
      <w:r w:rsidRPr="007B24B7">
        <w:t xml:space="preserve"> SNT-III-003</w:t>
      </w:r>
      <w:r w:rsidR="00DB3203">
        <w:t>)</w:t>
      </w:r>
      <w:r>
        <w:t>) with 1 long-term extension study</w:t>
      </w:r>
      <w:r w:rsidRPr="007B24B7">
        <w:t xml:space="preserve"> </w:t>
      </w:r>
      <w:r>
        <w:t>(</w:t>
      </w:r>
      <w:r w:rsidR="007B504D">
        <w:t xml:space="preserve">Study </w:t>
      </w:r>
      <w:r w:rsidRPr="007B24B7">
        <w:t>DELPHI-E SNT</w:t>
      </w:r>
      <w:r w:rsidR="007B504D">
        <w:noBreakHyphen/>
      </w:r>
      <w:r w:rsidRPr="007B24B7">
        <w:t>II-001-E</w:t>
      </w:r>
      <w:r>
        <w:t>) in DMD.</w:t>
      </w:r>
      <w:r w:rsidR="00DB3203">
        <w:t xml:space="preserve"> </w:t>
      </w:r>
      <w:r>
        <w:t xml:space="preserve">In </w:t>
      </w:r>
      <w:r w:rsidR="0061481A">
        <w:t>addition,</w:t>
      </w:r>
      <w:r>
        <w:t xml:space="preserve"> there were</w:t>
      </w:r>
      <w:r w:rsidRPr="007B24B7">
        <w:t xml:space="preserve"> 4 </w:t>
      </w:r>
      <w:r>
        <w:t>further</w:t>
      </w:r>
      <w:r w:rsidRPr="007B24B7">
        <w:t xml:space="preserve"> </w:t>
      </w:r>
      <w:r w:rsidRPr="007B24B7">
        <w:rPr>
          <w:i/>
        </w:rPr>
        <w:t>post-hoc</w:t>
      </w:r>
      <w:r>
        <w:t xml:space="preserve"> </w:t>
      </w:r>
      <w:r w:rsidRPr="007B24B7">
        <w:t xml:space="preserve">analyses </w:t>
      </w:r>
      <w:r>
        <w:t>in the DELPHI (</w:t>
      </w:r>
      <w:r w:rsidR="007B504D">
        <w:t xml:space="preserve">Study </w:t>
      </w:r>
      <w:r w:rsidRPr="00675C01">
        <w:t>SNT-IR-011</w:t>
      </w:r>
      <w:r>
        <w:t xml:space="preserve">) and DELOS </w:t>
      </w:r>
      <w:r w:rsidR="007B504D">
        <w:t xml:space="preserve">studies </w:t>
      </w:r>
      <w:r>
        <w:t>(</w:t>
      </w:r>
      <w:r w:rsidR="007B504D">
        <w:t xml:space="preserve">Studies </w:t>
      </w:r>
      <w:r w:rsidRPr="007B24B7">
        <w:t>SNT-IR-009</w:t>
      </w:r>
      <w:r>
        <w:t xml:space="preserve">, </w:t>
      </w:r>
      <w:r w:rsidRPr="007B24B7">
        <w:t xml:space="preserve">SNT-IR-010, </w:t>
      </w:r>
      <w:r w:rsidR="007B504D">
        <w:t xml:space="preserve">and </w:t>
      </w:r>
      <w:r w:rsidRPr="007B24B7">
        <w:t>SNT</w:t>
      </w:r>
      <w:r w:rsidR="007B504D">
        <w:noBreakHyphen/>
      </w:r>
      <w:r w:rsidRPr="007B24B7">
        <w:t>IR</w:t>
      </w:r>
      <w:r w:rsidR="007B504D">
        <w:noBreakHyphen/>
      </w:r>
      <w:r w:rsidRPr="007B24B7">
        <w:t>012)</w:t>
      </w:r>
      <w:r>
        <w:t xml:space="preserve"> studies.</w:t>
      </w:r>
    </w:p>
    <w:p w14:paraId="69DE4B8E" w14:textId="2389F337" w:rsidR="0098642B" w:rsidRDefault="0098642B" w:rsidP="00616DAF">
      <w:pPr>
        <w:pStyle w:val="ListBullet"/>
      </w:pPr>
      <w:r>
        <w:t xml:space="preserve">2 Phase II clinical studies in Leber’s </w:t>
      </w:r>
      <w:r w:rsidR="007B504D">
        <w:t>h</w:t>
      </w:r>
      <w:r>
        <w:t xml:space="preserve">ereditary </w:t>
      </w:r>
      <w:r w:rsidR="007B504D">
        <w:t>o</w:t>
      </w:r>
      <w:r>
        <w:t xml:space="preserve">ptic </w:t>
      </w:r>
      <w:r w:rsidR="007B504D">
        <w:t>n</w:t>
      </w:r>
      <w:r>
        <w:t>europathy (</w:t>
      </w:r>
      <w:r w:rsidR="007B504D">
        <w:t>Studies </w:t>
      </w:r>
      <w:r w:rsidRPr="00675C01">
        <w:t>RHODOS</w:t>
      </w:r>
      <w:r>
        <w:t xml:space="preserve"> </w:t>
      </w:r>
      <w:r w:rsidR="0061481A">
        <w:t>SNT</w:t>
      </w:r>
      <w:r w:rsidR="0061481A">
        <w:noBreakHyphen/>
        <w:t>II</w:t>
      </w:r>
      <w:r w:rsidR="0061481A">
        <w:noBreakHyphen/>
      </w:r>
      <w:r w:rsidRPr="00675C01">
        <w:t>003</w:t>
      </w:r>
      <w:r w:rsidR="007B504D">
        <w:t xml:space="preserve"> and</w:t>
      </w:r>
      <w:r w:rsidR="00616DAF">
        <w:t xml:space="preserve"> </w:t>
      </w:r>
      <w:r w:rsidRPr="00675C01">
        <w:t>RHODOS</w:t>
      </w:r>
      <w:r>
        <w:t>-</w:t>
      </w:r>
      <w:r w:rsidRPr="00675C01">
        <w:t>OFU</w:t>
      </w:r>
      <w:r>
        <w:t xml:space="preserve"> </w:t>
      </w:r>
      <w:r w:rsidRPr="00675C01">
        <w:t>SNT-II-003</w:t>
      </w:r>
      <w:r>
        <w:t>)</w:t>
      </w:r>
      <w:r w:rsidR="00640C58">
        <w:t>.</w:t>
      </w:r>
    </w:p>
    <w:p w14:paraId="10057ABA" w14:textId="779E8545" w:rsidR="0098642B" w:rsidRDefault="0098642B" w:rsidP="00616DAF">
      <w:pPr>
        <w:pStyle w:val="ListBullet"/>
      </w:pPr>
      <w:r>
        <w:t xml:space="preserve">3 clinical studies </w:t>
      </w:r>
      <w:r w:rsidRPr="00B045A9">
        <w:t>(1 Phase II</w:t>
      </w:r>
      <w:r w:rsidR="007B504D">
        <w:t xml:space="preserve"> and</w:t>
      </w:r>
      <w:r>
        <w:t>2</w:t>
      </w:r>
      <w:r w:rsidRPr="00B045A9">
        <w:t xml:space="preserve"> Phase III) </w:t>
      </w:r>
      <w:r>
        <w:t xml:space="preserve">in Friedreich’s </w:t>
      </w:r>
      <w:r w:rsidR="007B504D">
        <w:t>a</w:t>
      </w:r>
      <w:r>
        <w:t>taxia</w:t>
      </w:r>
      <w:r w:rsidRPr="00B045A9">
        <w:t xml:space="preserve"> with </w:t>
      </w:r>
      <w:r>
        <w:t>2</w:t>
      </w:r>
      <w:r w:rsidR="007B504D">
        <w:t> </w:t>
      </w:r>
      <w:r w:rsidRPr="00B045A9">
        <w:t>long</w:t>
      </w:r>
      <w:r w:rsidR="007B504D">
        <w:noBreakHyphen/>
      </w:r>
      <w:r w:rsidRPr="00B045A9">
        <w:t>term extension</w:t>
      </w:r>
      <w:r>
        <w:t xml:space="preserve"> studies (</w:t>
      </w:r>
      <w:r w:rsidR="007B504D">
        <w:t xml:space="preserve">Studies </w:t>
      </w:r>
      <w:r w:rsidRPr="00675C01">
        <w:t>NICOSIA</w:t>
      </w:r>
      <w:r>
        <w:t xml:space="preserve"> </w:t>
      </w:r>
      <w:r w:rsidRPr="00675C01">
        <w:t>SNT-II-002</w:t>
      </w:r>
      <w:r>
        <w:t xml:space="preserve">, </w:t>
      </w:r>
      <w:r w:rsidRPr="00675C01">
        <w:t>IONIA</w:t>
      </w:r>
      <w:r>
        <w:t xml:space="preserve"> </w:t>
      </w:r>
      <w:r w:rsidRPr="00675C01">
        <w:t>SNT-III-002</w:t>
      </w:r>
      <w:r>
        <w:t xml:space="preserve">, </w:t>
      </w:r>
      <w:r w:rsidRPr="00675C01">
        <w:t>MICONOS</w:t>
      </w:r>
      <w:r>
        <w:t xml:space="preserve"> </w:t>
      </w:r>
      <w:r w:rsidRPr="00675C01">
        <w:t>SNT-III-001</w:t>
      </w:r>
      <w:r>
        <w:t xml:space="preserve">, </w:t>
      </w:r>
      <w:r w:rsidRPr="00675C01">
        <w:t>IONIA-E</w:t>
      </w:r>
      <w:r>
        <w:t xml:space="preserve"> </w:t>
      </w:r>
      <w:r w:rsidRPr="00675C01">
        <w:t>SNT-III-002-E</w:t>
      </w:r>
      <w:r w:rsidR="007B504D">
        <w:t xml:space="preserve"> and</w:t>
      </w:r>
      <w:r w:rsidR="00616DAF">
        <w:t xml:space="preserve"> </w:t>
      </w:r>
      <w:r w:rsidRPr="00675C01">
        <w:t>MICONOS-E</w:t>
      </w:r>
      <w:r>
        <w:t xml:space="preserve"> </w:t>
      </w:r>
      <w:r w:rsidRPr="00675C01">
        <w:t>SNT-III-001E</w:t>
      </w:r>
      <w:r>
        <w:t>)</w:t>
      </w:r>
      <w:r w:rsidR="00640C58">
        <w:t>.</w:t>
      </w:r>
    </w:p>
    <w:p w14:paraId="3D41F9E0" w14:textId="1803CDD7" w:rsidR="0098642B" w:rsidRDefault="0098642B" w:rsidP="00616DAF">
      <w:pPr>
        <w:pStyle w:val="ListBullet"/>
      </w:pPr>
      <w:r>
        <w:t>1 natural history study in DMD (</w:t>
      </w:r>
      <w:r w:rsidR="007B504D">
        <w:t xml:space="preserve">Study </w:t>
      </w:r>
      <w:r w:rsidRPr="00675C01">
        <w:t>SNT-IR-013</w:t>
      </w:r>
      <w:r>
        <w:t>)</w:t>
      </w:r>
    </w:p>
    <w:p w14:paraId="271BEB15" w14:textId="28D7A903" w:rsidR="0098642B" w:rsidRDefault="0098642B" w:rsidP="00616DAF">
      <w:pPr>
        <w:pStyle w:val="ListBullet"/>
      </w:pPr>
      <w:r>
        <w:t xml:space="preserve">1 matching study of </w:t>
      </w:r>
      <w:r w:rsidR="0061481A" w:rsidRPr="00C13FC1">
        <w:t>D</w:t>
      </w:r>
      <w:r w:rsidR="0061481A" w:rsidRPr="008F4C52">
        <w:t>uch</w:t>
      </w:r>
      <w:r w:rsidR="0061481A" w:rsidRPr="00C13FC1">
        <w:t>e</w:t>
      </w:r>
      <w:r w:rsidR="0061481A" w:rsidRPr="008F4C52">
        <w:t>nne</w:t>
      </w:r>
      <w:r w:rsidRPr="008F4C52">
        <w:t xml:space="preserve"> muscular dystrophy </w:t>
      </w:r>
      <w:r w:rsidR="007B504D">
        <w:t>l</w:t>
      </w:r>
      <w:r w:rsidRPr="008F4C52">
        <w:t xml:space="preserve">ong-term </w:t>
      </w:r>
      <w:r w:rsidR="0061481A" w:rsidRPr="008F4C52">
        <w:t>ideben</w:t>
      </w:r>
      <w:r w:rsidR="0061481A" w:rsidRPr="00C13FC1">
        <w:t>o</w:t>
      </w:r>
      <w:r w:rsidR="0061481A" w:rsidRPr="008F4C52">
        <w:t>ne</w:t>
      </w:r>
      <w:r w:rsidRPr="008F4C52">
        <w:t xml:space="preserve"> </w:t>
      </w:r>
      <w:r w:rsidR="007B504D">
        <w:t>s</w:t>
      </w:r>
      <w:r w:rsidRPr="008F4C52">
        <w:t xml:space="preserve">tudy </w:t>
      </w:r>
      <w:r>
        <w:t>(DELOS) with natural history in DMD (</w:t>
      </w:r>
      <w:r w:rsidR="007B504D">
        <w:t xml:space="preserve">Study </w:t>
      </w:r>
      <w:r w:rsidRPr="00675C01">
        <w:t>SNT-IR-014</w:t>
      </w:r>
      <w:r>
        <w:t>)</w:t>
      </w:r>
      <w:r w:rsidR="00640C58">
        <w:t>.</w:t>
      </w:r>
    </w:p>
    <w:p w14:paraId="75163CE6" w14:textId="50308C6A" w:rsidR="0098642B" w:rsidRDefault="0098642B" w:rsidP="00616DAF">
      <w:pPr>
        <w:pStyle w:val="ListBullet"/>
      </w:pPr>
      <w:r>
        <w:t>283 literature references</w:t>
      </w:r>
      <w:r w:rsidR="00640C58">
        <w:t>.</w:t>
      </w:r>
    </w:p>
    <w:p w14:paraId="712B2D33" w14:textId="19681AE2" w:rsidR="00685A72" w:rsidRDefault="0098642B" w:rsidP="0098642B">
      <w:pPr>
        <w:rPr>
          <w:lang w:eastAsia="ja-JP"/>
        </w:rPr>
      </w:pPr>
      <w:r w:rsidRPr="00AC660E">
        <w:rPr>
          <w:lang w:eastAsia="ja-JP"/>
        </w:rPr>
        <w:t xml:space="preserve">In addition to the above studies developed by </w:t>
      </w:r>
      <w:r w:rsidR="007B504D">
        <w:rPr>
          <w:lang w:eastAsia="ja-JP"/>
        </w:rPr>
        <w:t>Santhera</w:t>
      </w:r>
      <w:r w:rsidRPr="00AC660E">
        <w:rPr>
          <w:lang w:eastAsia="ja-JP"/>
        </w:rPr>
        <w:t>, the dossier included four drug-drug interaction studies, two studies in special populations (hepatic or renal impairment), and one absorption, distribution, metabolism</w:t>
      </w:r>
      <w:r w:rsidR="007B504D">
        <w:rPr>
          <w:lang w:eastAsia="ja-JP"/>
        </w:rPr>
        <w:t xml:space="preserve"> and</w:t>
      </w:r>
      <w:r w:rsidRPr="00AC660E">
        <w:rPr>
          <w:lang w:eastAsia="ja-JP"/>
        </w:rPr>
        <w:t xml:space="preserve"> excretion (ADME) study, all sponsored by Takeda and performed between the mid-1980s and mid-1990s.</w:t>
      </w:r>
      <w:r w:rsidR="00DB3203">
        <w:rPr>
          <w:lang w:eastAsia="ja-JP"/>
        </w:rPr>
        <w:t xml:space="preserve"> </w:t>
      </w:r>
      <w:r>
        <w:rPr>
          <w:lang w:eastAsia="ja-JP"/>
        </w:rPr>
        <w:t>These studies</w:t>
      </w:r>
      <w:r w:rsidRPr="00AC660E">
        <w:rPr>
          <w:lang w:eastAsia="ja-JP"/>
        </w:rPr>
        <w:t xml:space="preserve"> generally used much lower doses than </w:t>
      </w:r>
      <w:r>
        <w:rPr>
          <w:lang w:eastAsia="ja-JP"/>
        </w:rPr>
        <w:t xml:space="preserve">currently </w:t>
      </w:r>
      <w:r w:rsidRPr="00AC660E">
        <w:rPr>
          <w:lang w:eastAsia="ja-JP"/>
        </w:rPr>
        <w:t>proposed (</w:t>
      </w:r>
      <w:r w:rsidR="0030092C">
        <w:rPr>
          <w:lang w:eastAsia="ja-JP"/>
        </w:rPr>
        <w:t>Table 6</w:t>
      </w:r>
      <w:r w:rsidRPr="00AC660E">
        <w:rPr>
          <w:lang w:eastAsia="ja-JP"/>
        </w:rPr>
        <w:t xml:space="preserve">, below), and used a different analytical method for the </w:t>
      </w:r>
      <w:r w:rsidR="00252C48">
        <w:t>pharmacokinetic (</w:t>
      </w:r>
      <w:r w:rsidRPr="00AC660E">
        <w:rPr>
          <w:lang w:eastAsia="ja-JP"/>
        </w:rPr>
        <w:t>PK</w:t>
      </w:r>
      <w:r w:rsidR="00252C48">
        <w:rPr>
          <w:lang w:eastAsia="ja-JP"/>
        </w:rPr>
        <w:t>)</w:t>
      </w:r>
      <w:r w:rsidRPr="00AC660E">
        <w:rPr>
          <w:lang w:eastAsia="ja-JP"/>
        </w:rPr>
        <w:t xml:space="preserve"> assessments which have not been cross validated with the current methods.</w:t>
      </w:r>
      <w:r w:rsidR="00DB3203">
        <w:rPr>
          <w:lang w:eastAsia="ja-JP"/>
        </w:rPr>
        <w:t xml:space="preserve"> </w:t>
      </w:r>
      <w:r w:rsidRPr="00AC660E">
        <w:rPr>
          <w:lang w:eastAsia="ja-JP"/>
        </w:rPr>
        <w:t>With the exception of the studies in subjects with renal or hepatic impairment, the results are not proposed for inclusion in the Australian PI.</w:t>
      </w:r>
      <w:r w:rsidR="00DB3203">
        <w:rPr>
          <w:lang w:eastAsia="ja-JP"/>
        </w:rPr>
        <w:t xml:space="preserve"> </w:t>
      </w:r>
      <w:r w:rsidR="0061481A" w:rsidRPr="00AC660E">
        <w:rPr>
          <w:lang w:eastAsia="ja-JP"/>
        </w:rPr>
        <w:t>Therefore,</w:t>
      </w:r>
      <w:r w:rsidRPr="00AC660E">
        <w:rPr>
          <w:lang w:eastAsia="ja-JP"/>
        </w:rPr>
        <w:t xml:space="preserve"> they have not been formally evaluated</w:t>
      </w:r>
      <w:r w:rsidR="00685A72">
        <w:rPr>
          <w:lang w:eastAsia="ja-JP"/>
        </w:rPr>
        <w:t>.</w:t>
      </w:r>
    </w:p>
    <w:p w14:paraId="2072023A" w14:textId="77777777" w:rsidR="0098642B" w:rsidRDefault="0098642B" w:rsidP="0098642B">
      <w:pPr>
        <w:pStyle w:val="TableTitle"/>
        <w:rPr>
          <w:lang w:eastAsia="ja-JP"/>
        </w:rPr>
      </w:pPr>
      <w:bookmarkStart w:id="95" w:name="_Ref487797578"/>
      <w:bookmarkStart w:id="96" w:name="_Toc510688985"/>
      <w:r>
        <w:lastRenderedPageBreak/>
        <w:t xml:space="preserve">Table </w:t>
      </w:r>
      <w:bookmarkEnd w:id="95"/>
      <w:r w:rsidR="0030092C">
        <w:t>6</w:t>
      </w:r>
      <w:r>
        <w:t>:</w:t>
      </w:r>
      <w:r w:rsidR="00DB3203">
        <w:t xml:space="preserve"> </w:t>
      </w:r>
      <w:r>
        <w:t xml:space="preserve">List of </w:t>
      </w:r>
      <w:r w:rsidR="0061481A">
        <w:t>Phase I</w:t>
      </w:r>
      <w:r>
        <w:t xml:space="preserve"> studies sponsored by Takeda or Abbott/Takeda Pharmaceuticals</w:t>
      </w:r>
      <w:bookmarkEnd w:id="96"/>
    </w:p>
    <w:p w14:paraId="50CC38EC" w14:textId="77777777" w:rsidR="0098642B" w:rsidRDefault="0098642B" w:rsidP="00500337">
      <w:r>
        <w:rPr>
          <w:noProof/>
          <w:lang w:eastAsia="en-AU"/>
        </w:rPr>
        <w:drawing>
          <wp:inline distT="0" distB="0" distL="0" distR="0" wp14:anchorId="03E4C24D" wp14:editId="79FEC502">
            <wp:extent cx="5400040" cy="2567305"/>
            <wp:effectExtent l="0" t="0" r="0" b="4445"/>
            <wp:docPr id="14" name="Picture 14" descr="List of Phase I studies sponsored by Takeda or Abbott/Takeda Pharmaceut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567305"/>
                    </a:xfrm>
                    <a:prstGeom prst="rect">
                      <a:avLst/>
                    </a:prstGeom>
                  </pic:spPr>
                </pic:pic>
              </a:graphicData>
            </a:graphic>
          </wp:inline>
        </w:drawing>
      </w:r>
    </w:p>
    <w:p w14:paraId="45B08502" w14:textId="77777777" w:rsidR="0098642B" w:rsidRPr="00500337" w:rsidRDefault="0098642B" w:rsidP="0098642B">
      <w:r>
        <w:t>The clinical studies submitted for indications other than DMD will be evaluated for safety only.</w:t>
      </w:r>
    </w:p>
    <w:p w14:paraId="1FEB7E50" w14:textId="77777777" w:rsidR="00605AD4" w:rsidRDefault="00605AD4" w:rsidP="00605AD4">
      <w:pPr>
        <w:pStyle w:val="Heading4"/>
      </w:pPr>
      <w:r w:rsidRPr="00605AD4">
        <w:t>Paediatric data</w:t>
      </w:r>
    </w:p>
    <w:p w14:paraId="28597BB6" w14:textId="299846F0" w:rsidR="00500337" w:rsidRPr="00500337" w:rsidRDefault="0061481A" w:rsidP="0098642B">
      <w:r>
        <w:rPr>
          <w:lang w:eastAsia="ja-JP"/>
        </w:rPr>
        <w:t>Data on children (2 to 11 years) and adolescents (12 to</w:t>
      </w:r>
      <w:r w:rsidR="0098642B">
        <w:rPr>
          <w:lang w:eastAsia="ja-JP"/>
        </w:rPr>
        <w:t xml:space="preserve"> 17 years) have been included in this submission</w:t>
      </w:r>
      <w:r w:rsidR="006302E9">
        <w:rPr>
          <w:lang w:eastAsia="ja-JP"/>
        </w:rPr>
        <w:t>.</w:t>
      </w:r>
    </w:p>
    <w:p w14:paraId="0BEBB4E2" w14:textId="77777777" w:rsidR="00605AD4" w:rsidRDefault="00605AD4" w:rsidP="00605AD4">
      <w:pPr>
        <w:pStyle w:val="Heading4"/>
      </w:pPr>
      <w:r w:rsidRPr="00605AD4">
        <w:t>Good clinical practice</w:t>
      </w:r>
    </w:p>
    <w:p w14:paraId="6C870BAE" w14:textId="6A79831C" w:rsidR="00500337" w:rsidRPr="00500337" w:rsidRDefault="0098642B" w:rsidP="00500337">
      <w:pPr>
        <w:rPr>
          <w:lang w:eastAsia="ja-JP"/>
        </w:rPr>
      </w:pPr>
      <w:r>
        <w:rPr>
          <w:lang w:eastAsia="ja-JP"/>
        </w:rPr>
        <w:t>All a</w:t>
      </w:r>
      <w:r w:rsidRPr="00964BF8">
        <w:rPr>
          <w:lang w:eastAsia="ja-JP"/>
        </w:rPr>
        <w:t xml:space="preserve">pplicant-sponsored clinical studies </w:t>
      </w:r>
      <w:r w:rsidRPr="00B045A9">
        <w:rPr>
          <w:lang w:eastAsia="ja-JP"/>
        </w:rPr>
        <w:t>are stated by the sponsor to have been conducted according to Good Clinical</w:t>
      </w:r>
      <w:r>
        <w:rPr>
          <w:lang w:eastAsia="ja-JP"/>
        </w:rPr>
        <w:t xml:space="preserve"> </w:t>
      </w:r>
      <w:r w:rsidRPr="00B045A9">
        <w:rPr>
          <w:lang w:eastAsia="ja-JP"/>
        </w:rPr>
        <w:t>Practice (GCP), the Declaration of Helsinki, Directive 2001/20/EC, Guideline for GCP</w:t>
      </w:r>
      <w:r>
        <w:rPr>
          <w:lang w:eastAsia="ja-JP"/>
        </w:rPr>
        <w:t xml:space="preserve"> </w:t>
      </w:r>
      <w:r w:rsidRPr="00B045A9">
        <w:rPr>
          <w:lang w:eastAsia="ja-JP"/>
        </w:rPr>
        <w:t>ICH E6.</w:t>
      </w:r>
      <w:r w:rsidR="00D41706">
        <w:rPr>
          <w:rStyle w:val="FootnoteReference"/>
          <w:lang w:eastAsia="ja-JP"/>
        </w:rPr>
        <w:footnoteReference w:id="30"/>
      </w:r>
      <w:r w:rsidR="00DB3203">
        <w:rPr>
          <w:lang w:eastAsia="ja-JP"/>
        </w:rPr>
        <w:t xml:space="preserve"> </w:t>
      </w:r>
      <w:r w:rsidRPr="00AC1D4D">
        <w:rPr>
          <w:lang w:eastAsia="ja-JP"/>
        </w:rPr>
        <w:t xml:space="preserve">The Cooperative International Neuromuscular Research Group (CINRG) </w:t>
      </w:r>
      <w:r w:rsidRPr="003D56DD">
        <w:rPr>
          <w:lang w:eastAsia="ja-JP"/>
        </w:rPr>
        <w:t xml:space="preserve">Duchenne Natural History Study </w:t>
      </w:r>
      <w:r>
        <w:rPr>
          <w:lang w:eastAsia="ja-JP"/>
        </w:rPr>
        <w:t>(</w:t>
      </w:r>
      <w:r w:rsidRPr="00AC1D4D">
        <w:rPr>
          <w:lang w:eastAsia="ja-JP"/>
        </w:rPr>
        <w:t>DNHS</w:t>
      </w:r>
      <w:r>
        <w:rPr>
          <w:lang w:eastAsia="ja-JP"/>
        </w:rPr>
        <w:t>)</w:t>
      </w:r>
      <w:r w:rsidRPr="00AC1D4D">
        <w:rPr>
          <w:lang w:eastAsia="ja-JP"/>
        </w:rPr>
        <w:t xml:space="preserve"> </w:t>
      </w:r>
      <w:r>
        <w:rPr>
          <w:lang w:eastAsia="ja-JP"/>
        </w:rPr>
        <w:t>was conducted</w:t>
      </w:r>
      <w:r>
        <w:rPr>
          <w:b/>
          <w:bCs/>
          <w:lang w:eastAsia="ja-JP"/>
        </w:rPr>
        <w:t xml:space="preserve"> </w:t>
      </w:r>
      <w:r w:rsidRPr="00964BF8">
        <w:rPr>
          <w:bCs/>
          <w:lang w:eastAsia="ja-JP"/>
        </w:rPr>
        <w:t>according to the ethical principles stated in the latest version of the Declaration of Helsinki, the applicable guidelines for good clinical practices, or the applicable laws and regulations of the country of the study site, whichever provides the greater protection of the individual.</w:t>
      </w:r>
    </w:p>
    <w:p w14:paraId="13D7FA4A" w14:textId="77777777" w:rsidR="008E7846" w:rsidRDefault="008E7846" w:rsidP="00605AD4">
      <w:pPr>
        <w:pStyle w:val="Heading3"/>
      </w:pPr>
      <w:bookmarkStart w:id="97" w:name="_Toc32828533"/>
      <w:r w:rsidRPr="00254787">
        <w:t>Pharmacokinetics</w:t>
      </w:r>
      <w:bookmarkEnd w:id="76"/>
      <w:bookmarkEnd w:id="90"/>
      <w:bookmarkEnd w:id="91"/>
      <w:bookmarkEnd w:id="92"/>
      <w:bookmarkEnd w:id="97"/>
    </w:p>
    <w:p w14:paraId="5FA9A7E5" w14:textId="77777777" w:rsidR="00605AD4" w:rsidRDefault="00605AD4" w:rsidP="00605AD4">
      <w:pPr>
        <w:pStyle w:val="Heading4"/>
      </w:pPr>
      <w:r>
        <w:t>Studies</w:t>
      </w:r>
      <w:r w:rsidR="00500337">
        <w:t xml:space="preserve"> providing pharmacokinetic data</w:t>
      </w:r>
    </w:p>
    <w:p w14:paraId="0A9AF32E" w14:textId="3CCC2CF3" w:rsidR="0098642B" w:rsidRDefault="0098642B" w:rsidP="0098642B">
      <w:pPr>
        <w:rPr>
          <w:lang w:eastAsia="ja-JP"/>
        </w:rPr>
      </w:pPr>
      <w:r w:rsidRPr="00423D94">
        <w:rPr>
          <w:lang w:eastAsia="ja-JP"/>
        </w:rPr>
        <w:t>The pharmacokinetic</w:t>
      </w:r>
      <w:r>
        <w:rPr>
          <w:lang w:eastAsia="ja-JP"/>
        </w:rPr>
        <w:t>s</w:t>
      </w:r>
      <w:r w:rsidRPr="00423D94">
        <w:rPr>
          <w:lang w:eastAsia="ja-JP"/>
        </w:rPr>
        <w:t xml:space="preserve"> </w:t>
      </w:r>
      <w:r>
        <w:rPr>
          <w:lang w:eastAsia="ja-JP"/>
        </w:rPr>
        <w:t>(PK) of</w:t>
      </w:r>
      <w:r w:rsidRPr="00423D94">
        <w:rPr>
          <w:lang w:eastAsia="ja-JP"/>
        </w:rPr>
        <w:t xml:space="preserve"> </w:t>
      </w:r>
      <w:r>
        <w:rPr>
          <w:lang w:eastAsia="ja-JP"/>
        </w:rPr>
        <w:t>idebenone</w:t>
      </w:r>
      <w:r w:rsidRPr="00423D94">
        <w:rPr>
          <w:lang w:eastAsia="ja-JP"/>
        </w:rPr>
        <w:t xml:space="preserve"> 150 mg </w:t>
      </w:r>
      <w:r>
        <w:rPr>
          <w:lang w:eastAsia="ja-JP"/>
        </w:rPr>
        <w:t xml:space="preserve">has been evaluated </w:t>
      </w:r>
      <w:r w:rsidRPr="00423D94">
        <w:rPr>
          <w:lang w:eastAsia="ja-JP"/>
        </w:rPr>
        <w:t>in</w:t>
      </w:r>
      <w:r>
        <w:rPr>
          <w:lang w:eastAsia="ja-JP"/>
        </w:rPr>
        <w:t xml:space="preserve"> </w:t>
      </w:r>
      <w:r w:rsidRPr="00423D94">
        <w:rPr>
          <w:lang w:eastAsia="ja-JP"/>
        </w:rPr>
        <w:t xml:space="preserve">four </w:t>
      </w:r>
      <w:r>
        <w:rPr>
          <w:lang w:eastAsia="ja-JP"/>
        </w:rPr>
        <w:t>Phase I studies</w:t>
      </w:r>
      <w:r w:rsidRPr="00423D94">
        <w:rPr>
          <w:lang w:eastAsia="ja-JP"/>
        </w:rPr>
        <w:t xml:space="preserve"> (</w:t>
      </w:r>
      <w:r w:rsidR="00D41706">
        <w:rPr>
          <w:lang w:eastAsia="ja-JP"/>
        </w:rPr>
        <w:t xml:space="preserve">Studies </w:t>
      </w:r>
      <w:r w:rsidRPr="00423D94">
        <w:rPr>
          <w:bCs/>
          <w:lang w:eastAsia="ja-JP"/>
        </w:rPr>
        <w:t xml:space="preserve">SNT-I-001, SNT-I-002, SNT-I-003 </w:t>
      </w:r>
      <w:r w:rsidRPr="00423D94">
        <w:rPr>
          <w:lang w:eastAsia="ja-JP"/>
        </w:rPr>
        <w:t xml:space="preserve">and </w:t>
      </w:r>
      <w:r w:rsidRPr="00423D94">
        <w:rPr>
          <w:bCs/>
          <w:lang w:eastAsia="ja-JP"/>
        </w:rPr>
        <w:t>SNT-I-004</w:t>
      </w:r>
      <w:r w:rsidRPr="00423D94">
        <w:rPr>
          <w:lang w:eastAsia="ja-JP"/>
        </w:rPr>
        <w:t>)</w:t>
      </w:r>
      <w:r>
        <w:rPr>
          <w:lang w:eastAsia="ja-JP"/>
        </w:rPr>
        <w:t xml:space="preserve"> in 69 </w:t>
      </w:r>
      <w:r w:rsidRPr="00423D94">
        <w:rPr>
          <w:lang w:eastAsia="ja-JP"/>
        </w:rPr>
        <w:t xml:space="preserve">healthy volunteers, </w:t>
      </w:r>
      <w:r>
        <w:rPr>
          <w:lang w:eastAsia="ja-JP"/>
        </w:rPr>
        <w:t xml:space="preserve">all </w:t>
      </w:r>
      <w:r w:rsidRPr="00423D94">
        <w:rPr>
          <w:lang w:eastAsia="ja-JP"/>
        </w:rPr>
        <w:t xml:space="preserve">of whom received </w:t>
      </w:r>
      <w:r>
        <w:rPr>
          <w:lang w:eastAsia="ja-JP"/>
        </w:rPr>
        <w:t>idebenone</w:t>
      </w:r>
      <w:r w:rsidRPr="00423D94">
        <w:rPr>
          <w:lang w:eastAsia="ja-JP"/>
        </w:rPr>
        <w:t>.</w:t>
      </w:r>
      <w:r w:rsidR="00DB3203">
        <w:rPr>
          <w:lang w:eastAsia="ja-JP"/>
        </w:rPr>
        <w:t xml:space="preserve"> </w:t>
      </w:r>
      <w:r>
        <w:rPr>
          <w:lang w:eastAsia="ja-JP"/>
        </w:rPr>
        <w:t xml:space="preserve">These </w:t>
      </w:r>
      <w:r w:rsidRPr="00423D94">
        <w:rPr>
          <w:lang w:eastAsia="ja-JP"/>
        </w:rPr>
        <w:t>studies are summarised in</w:t>
      </w:r>
      <w:r w:rsidR="0030092C">
        <w:rPr>
          <w:lang w:eastAsia="ja-JP"/>
        </w:rPr>
        <w:t xml:space="preserve"> Table 7</w:t>
      </w:r>
      <w:r>
        <w:rPr>
          <w:lang w:eastAsia="ja-JP"/>
        </w:rPr>
        <w:t>, below.</w:t>
      </w:r>
      <w:r w:rsidR="00DB3203">
        <w:rPr>
          <w:lang w:eastAsia="ja-JP"/>
        </w:rPr>
        <w:t xml:space="preserve"> </w:t>
      </w:r>
      <w:r w:rsidRPr="00AC660E">
        <w:rPr>
          <w:lang w:eastAsia="ja-JP"/>
        </w:rPr>
        <w:t>In addition to the studies sponsored by Santhera, four drug-drug interaction studies, two studies in special populations, and one ADME study, all sponsored by Takeda, were performed.</w:t>
      </w:r>
      <w:r w:rsidR="00DB3203">
        <w:rPr>
          <w:lang w:eastAsia="ja-JP"/>
        </w:rPr>
        <w:t xml:space="preserve"> </w:t>
      </w:r>
      <w:r>
        <w:rPr>
          <w:lang w:eastAsia="ja-JP"/>
        </w:rPr>
        <w:t xml:space="preserve">As these studies </w:t>
      </w:r>
      <w:r w:rsidRPr="00614661">
        <w:rPr>
          <w:lang w:eastAsia="ja-JP"/>
        </w:rPr>
        <w:t xml:space="preserve">did not use the 150 mg film-coated tablet formulation of idebenone proposed for registration </w:t>
      </w:r>
      <w:r>
        <w:rPr>
          <w:lang w:eastAsia="ja-JP"/>
        </w:rPr>
        <w:t>and w</w:t>
      </w:r>
      <w:r w:rsidRPr="00614661">
        <w:rPr>
          <w:lang w:eastAsia="ja-JP"/>
        </w:rPr>
        <w:t>ith the exception of the studies in subjects with renal or hepatic impairment,</w:t>
      </w:r>
      <w:r>
        <w:rPr>
          <w:lang w:eastAsia="ja-JP"/>
        </w:rPr>
        <w:t xml:space="preserve"> have not been formally evaluated.</w:t>
      </w:r>
    </w:p>
    <w:p w14:paraId="756FF044" w14:textId="54370804" w:rsidR="0098642B" w:rsidRDefault="0098642B" w:rsidP="0098642B">
      <w:pPr>
        <w:rPr>
          <w:lang w:eastAsia="ja-JP"/>
        </w:rPr>
      </w:pPr>
      <w:r w:rsidRPr="00FA1EB7">
        <w:rPr>
          <w:lang w:eastAsia="ja-JP"/>
        </w:rPr>
        <w:lastRenderedPageBreak/>
        <w:t xml:space="preserve">The PK of idebenone in the target population </w:t>
      </w:r>
      <w:r>
        <w:rPr>
          <w:lang w:eastAsia="ja-JP"/>
        </w:rPr>
        <w:t xml:space="preserve">(DMD) </w:t>
      </w:r>
      <w:r w:rsidRPr="00FA1EB7">
        <w:rPr>
          <w:lang w:eastAsia="ja-JP"/>
        </w:rPr>
        <w:t>was investigated</w:t>
      </w:r>
      <w:r>
        <w:rPr>
          <w:lang w:eastAsia="ja-JP"/>
        </w:rPr>
        <w:t xml:space="preserve"> to a limited degree</w:t>
      </w:r>
      <w:r w:rsidRPr="00FA1EB7">
        <w:rPr>
          <w:lang w:eastAsia="ja-JP"/>
        </w:rPr>
        <w:t xml:space="preserve"> in the DELPHI </w:t>
      </w:r>
      <w:r w:rsidR="00D41706">
        <w:rPr>
          <w:lang w:eastAsia="ja-JP"/>
        </w:rPr>
        <w:t>s</w:t>
      </w:r>
      <w:r w:rsidR="003173BB">
        <w:rPr>
          <w:lang w:eastAsia="ja-JP"/>
        </w:rPr>
        <w:t>tudy</w:t>
      </w:r>
      <w:r w:rsidRPr="00FA1EB7">
        <w:rPr>
          <w:lang w:eastAsia="ja-JP"/>
        </w:rPr>
        <w:t>.</w:t>
      </w:r>
    </w:p>
    <w:p w14:paraId="6261689F" w14:textId="28AB2114" w:rsidR="0098642B" w:rsidRPr="00AC660E" w:rsidRDefault="0098642B" w:rsidP="0098642B">
      <w:pPr>
        <w:rPr>
          <w:lang w:eastAsia="ja-JP"/>
        </w:rPr>
      </w:pPr>
      <w:r w:rsidRPr="00AC660E">
        <w:rPr>
          <w:lang w:eastAsia="ja-JP"/>
        </w:rPr>
        <w:t xml:space="preserve">A population PK </w:t>
      </w:r>
      <w:r>
        <w:rPr>
          <w:lang w:eastAsia="ja-JP"/>
        </w:rPr>
        <w:t xml:space="preserve">(PopPK) </w:t>
      </w:r>
      <w:r w:rsidRPr="00AC660E">
        <w:rPr>
          <w:lang w:eastAsia="ja-JP"/>
        </w:rPr>
        <w:t xml:space="preserve">model was developed for </w:t>
      </w:r>
      <w:r w:rsidR="0061481A">
        <w:rPr>
          <w:lang w:eastAsia="ja-JP"/>
        </w:rPr>
        <w:t>idebenone</w:t>
      </w:r>
      <w:r w:rsidRPr="00AC660E">
        <w:rPr>
          <w:lang w:eastAsia="ja-JP"/>
        </w:rPr>
        <w:t xml:space="preserve"> and its metabolite QS10 using data from </w:t>
      </w:r>
      <w:r w:rsidR="00D41706">
        <w:rPr>
          <w:lang w:eastAsia="ja-JP"/>
        </w:rPr>
        <w:t xml:space="preserve">Studies </w:t>
      </w:r>
      <w:r w:rsidRPr="00AC660E">
        <w:rPr>
          <w:bCs/>
          <w:lang w:eastAsia="ja-JP"/>
        </w:rPr>
        <w:t>SNT-I-001</w:t>
      </w:r>
      <w:r w:rsidRPr="00AC660E">
        <w:rPr>
          <w:lang w:eastAsia="ja-JP"/>
        </w:rPr>
        <w:t xml:space="preserve">, </w:t>
      </w:r>
      <w:r w:rsidRPr="00AC660E">
        <w:rPr>
          <w:bCs/>
          <w:lang w:eastAsia="ja-JP"/>
        </w:rPr>
        <w:t>SNT-I-002</w:t>
      </w:r>
      <w:r w:rsidRPr="00AC660E">
        <w:rPr>
          <w:lang w:eastAsia="ja-JP"/>
        </w:rPr>
        <w:t xml:space="preserve">, </w:t>
      </w:r>
      <w:r w:rsidRPr="00AC660E">
        <w:rPr>
          <w:bCs/>
          <w:lang w:eastAsia="ja-JP"/>
        </w:rPr>
        <w:t xml:space="preserve">SNT-I-003 </w:t>
      </w:r>
      <w:r w:rsidRPr="00AC660E">
        <w:rPr>
          <w:lang w:eastAsia="ja-JP"/>
        </w:rPr>
        <w:t xml:space="preserve">and </w:t>
      </w:r>
      <w:r w:rsidRPr="00AC660E">
        <w:rPr>
          <w:bCs/>
          <w:lang w:eastAsia="ja-JP"/>
        </w:rPr>
        <w:t>SNT-I-004</w:t>
      </w:r>
      <w:r w:rsidRPr="00AC660E">
        <w:rPr>
          <w:lang w:eastAsia="ja-JP"/>
        </w:rPr>
        <w:t xml:space="preserve">, the </w:t>
      </w:r>
      <w:r w:rsidRPr="00AC660E">
        <w:rPr>
          <w:bCs/>
          <w:lang w:eastAsia="ja-JP"/>
        </w:rPr>
        <w:t xml:space="preserve">RHODOS </w:t>
      </w:r>
      <w:r w:rsidR="00D41706">
        <w:rPr>
          <w:lang w:eastAsia="ja-JP"/>
        </w:rPr>
        <w:t>sudy</w:t>
      </w:r>
      <w:r w:rsidR="00D41706" w:rsidRPr="00AC660E">
        <w:rPr>
          <w:lang w:eastAsia="ja-JP"/>
        </w:rPr>
        <w:t xml:space="preserve"> </w:t>
      </w:r>
      <w:r w:rsidRPr="00AC660E">
        <w:rPr>
          <w:lang w:eastAsia="ja-JP"/>
        </w:rPr>
        <w:t xml:space="preserve">in </w:t>
      </w:r>
      <w:r w:rsidR="0002337A">
        <w:t xml:space="preserve">Leber’s </w:t>
      </w:r>
      <w:r w:rsidR="00D41706">
        <w:t>hereditary optic neuropathy</w:t>
      </w:r>
      <w:r w:rsidR="00D41706" w:rsidRPr="00AC660E">
        <w:rPr>
          <w:lang w:eastAsia="ja-JP"/>
        </w:rPr>
        <w:t xml:space="preserve"> </w:t>
      </w:r>
      <w:r w:rsidR="0002337A">
        <w:rPr>
          <w:lang w:eastAsia="ja-JP"/>
        </w:rPr>
        <w:t>(</w:t>
      </w:r>
      <w:r w:rsidRPr="00AC660E">
        <w:rPr>
          <w:lang w:eastAsia="ja-JP"/>
        </w:rPr>
        <w:t>LHON</w:t>
      </w:r>
      <w:r w:rsidR="0002337A">
        <w:rPr>
          <w:lang w:eastAsia="ja-JP"/>
        </w:rPr>
        <w:t>)</w:t>
      </w:r>
      <w:r w:rsidRPr="00AC660E">
        <w:rPr>
          <w:lang w:eastAsia="ja-JP"/>
        </w:rPr>
        <w:t xml:space="preserve"> patients (55 patients) and two Phase III efficacy, safety and tolerability studies in </w:t>
      </w:r>
      <w:r w:rsidR="0002337A">
        <w:t>Friedreich’s ataxia</w:t>
      </w:r>
      <w:r w:rsidR="0002337A" w:rsidRPr="00AC660E">
        <w:rPr>
          <w:lang w:eastAsia="ja-JP"/>
        </w:rPr>
        <w:t xml:space="preserve"> </w:t>
      </w:r>
      <w:r w:rsidR="0002337A">
        <w:rPr>
          <w:lang w:eastAsia="ja-JP"/>
        </w:rPr>
        <w:t>(</w:t>
      </w:r>
      <w:r w:rsidRPr="00AC660E">
        <w:rPr>
          <w:lang w:eastAsia="ja-JP"/>
        </w:rPr>
        <w:t>FRDA</w:t>
      </w:r>
      <w:r w:rsidR="0002337A">
        <w:rPr>
          <w:lang w:eastAsia="ja-JP"/>
        </w:rPr>
        <w:t>)</w:t>
      </w:r>
      <w:r w:rsidRPr="00AC660E">
        <w:rPr>
          <w:lang w:eastAsia="ja-JP"/>
        </w:rPr>
        <w:t xml:space="preserve"> patients (</w:t>
      </w:r>
      <w:r w:rsidRPr="00AC660E">
        <w:rPr>
          <w:bCs/>
          <w:lang w:eastAsia="ja-JP"/>
        </w:rPr>
        <w:t>MICONOS</w:t>
      </w:r>
      <w:r w:rsidR="00D41706">
        <w:rPr>
          <w:bCs/>
          <w:lang w:eastAsia="ja-JP"/>
        </w:rPr>
        <w:t xml:space="preserve"> study </w:t>
      </w:r>
      <w:r w:rsidRPr="00AC660E">
        <w:rPr>
          <w:lang w:eastAsia="ja-JP"/>
        </w:rPr>
        <w:t xml:space="preserve">, 173 patients and </w:t>
      </w:r>
      <w:r w:rsidRPr="00AC660E">
        <w:rPr>
          <w:bCs/>
          <w:lang w:eastAsia="ja-JP"/>
        </w:rPr>
        <w:t>IONIA</w:t>
      </w:r>
      <w:r w:rsidR="00D41706">
        <w:rPr>
          <w:bCs/>
          <w:lang w:eastAsia="ja-JP"/>
        </w:rPr>
        <w:t xml:space="preserve"> study </w:t>
      </w:r>
      <w:r w:rsidRPr="00AC660E">
        <w:rPr>
          <w:lang w:eastAsia="ja-JP"/>
        </w:rPr>
        <w:t>, 46 patients).</w:t>
      </w:r>
      <w:r w:rsidR="00DB3203">
        <w:rPr>
          <w:lang w:eastAsia="ja-JP"/>
        </w:rPr>
        <w:t xml:space="preserve"> </w:t>
      </w:r>
      <w:r w:rsidR="0061481A">
        <w:rPr>
          <w:lang w:eastAsia="ja-JP"/>
        </w:rPr>
        <w:t>idebenone</w:t>
      </w:r>
      <w:r w:rsidRPr="00AC660E">
        <w:rPr>
          <w:lang w:eastAsia="ja-JP"/>
        </w:rPr>
        <w:t xml:space="preserve"> and QS10 concentration-time, dosing, demographic and covariate data from the seven clinical studies were combined.</w:t>
      </w:r>
    </w:p>
    <w:p w14:paraId="4DF788C8" w14:textId="77777777" w:rsidR="0098642B" w:rsidRDefault="0098642B" w:rsidP="0098642B">
      <w:pPr>
        <w:pStyle w:val="TableTitle"/>
      </w:pPr>
      <w:bookmarkStart w:id="98" w:name="_Ref487109311"/>
      <w:bookmarkStart w:id="99" w:name="_Toc510688986"/>
      <w:r>
        <w:t xml:space="preserve">Table </w:t>
      </w:r>
      <w:bookmarkEnd w:id="98"/>
      <w:r w:rsidR="0030092C">
        <w:t>7</w:t>
      </w:r>
      <w:r>
        <w:rPr>
          <w:noProof/>
        </w:rPr>
        <w:t>:</w:t>
      </w:r>
      <w:r w:rsidR="00DB3203">
        <w:t xml:space="preserve"> </w:t>
      </w:r>
      <w:r>
        <w:t>Submitted pharmacokinetic studies</w:t>
      </w:r>
      <w:bookmarkEnd w:id="99"/>
    </w:p>
    <w:tbl>
      <w:tblPr>
        <w:tblStyle w:val="TableTGAblue"/>
        <w:tblW w:w="8354" w:type="dxa"/>
        <w:tblLayout w:type="fixed"/>
        <w:tblLook w:val="04A0" w:firstRow="1" w:lastRow="0" w:firstColumn="1" w:lastColumn="0" w:noHBand="0" w:noVBand="1"/>
      </w:tblPr>
      <w:tblGrid>
        <w:gridCol w:w="1951"/>
        <w:gridCol w:w="3260"/>
        <w:gridCol w:w="2268"/>
        <w:gridCol w:w="875"/>
      </w:tblGrid>
      <w:tr w:rsidR="0098642B" w:rsidRPr="00C37A1D" w14:paraId="34BFD4A0" w14:textId="77777777" w:rsidTr="009B4DEE">
        <w:trPr>
          <w:cnfStyle w:val="100000000000" w:firstRow="1" w:lastRow="0" w:firstColumn="0" w:lastColumn="0" w:oddVBand="0" w:evenVBand="0" w:oddHBand="0" w:evenHBand="0" w:firstRowFirstColumn="0" w:firstRowLastColumn="0" w:lastRowFirstColumn="0" w:lastRowLastColumn="0"/>
        </w:trPr>
        <w:tc>
          <w:tcPr>
            <w:tcW w:w="1951" w:type="dxa"/>
          </w:tcPr>
          <w:p w14:paraId="2C474583" w14:textId="77777777" w:rsidR="0098642B" w:rsidRPr="00C37A1D" w:rsidRDefault="0098642B" w:rsidP="00775149">
            <w:pPr>
              <w:pStyle w:val="Tabletext"/>
              <w:rPr>
                <w:b w:val="0"/>
              </w:rPr>
            </w:pPr>
            <w:r w:rsidRPr="00C37A1D">
              <w:t>PK topic</w:t>
            </w:r>
          </w:p>
        </w:tc>
        <w:tc>
          <w:tcPr>
            <w:tcW w:w="3260" w:type="dxa"/>
          </w:tcPr>
          <w:p w14:paraId="454278CC" w14:textId="77777777" w:rsidR="0098642B" w:rsidRPr="00C37A1D" w:rsidRDefault="0098642B" w:rsidP="00775149">
            <w:pPr>
              <w:pStyle w:val="Tabletext"/>
              <w:rPr>
                <w:b w:val="0"/>
              </w:rPr>
            </w:pPr>
            <w:r w:rsidRPr="00C37A1D">
              <w:t>Subtopic</w:t>
            </w:r>
          </w:p>
        </w:tc>
        <w:tc>
          <w:tcPr>
            <w:tcW w:w="2268" w:type="dxa"/>
          </w:tcPr>
          <w:p w14:paraId="22210B85" w14:textId="77777777" w:rsidR="0098642B" w:rsidRPr="00C37A1D" w:rsidRDefault="0098642B" w:rsidP="00775149">
            <w:pPr>
              <w:pStyle w:val="Tabletext"/>
              <w:rPr>
                <w:b w:val="0"/>
              </w:rPr>
            </w:pPr>
            <w:r w:rsidRPr="00C37A1D">
              <w:t>Study ID</w:t>
            </w:r>
          </w:p>
        </w:tc>
        <w:tc>
          <w:tcPr>
            <w:tcW w:w="875" w:type="dxa"/>
          </w:tcPr>
          <w:p w14:paraId="68C3A5E3" w14:textId="77777777" w:rsidR="0098642B" w:rsidRPr="00C37A1D" w:rsidRDefault="0098642B" w:rsidP="00775149">
            <w:pPr>
              <w:pStyle w:val="Tabletext"/>
              <w:jc w:val="center"/>
              <w:rPr>
                <w:b w:val="0"/>
              </w:rPr>
            </w:pPr>
            <w:r w:rsidRPr="00C37A1D">
              <w:t>*</w:t>
            </w:r>
          </w:p>
        </w:tc>
      </w:tr>
      <w:tr w:rsidR="0098642B" w:rsidRPr="00C37A1D" w14:paraId="05AC9385" w14:textId="77777777" w:rsidTr="009B4DEE">
        <w:tc>
          <w:tcPr>
            <w:tcW w:w="1951" w:type="dxa"/>
            <w:vMerge w:val="restart"/>
          </w:tcPr>
          <w:p w14:paraId="3E4CCBD3" w14:textId="77777777" w:rsidR="0098642B" w:rsidRPr="00C37A1D" w:rsidRDefault="0098642B" w:rsidP="00775149">
            <w:pPr>
              <w:pStyle w:val="Tabletext"/>
              <w:keepNext/>
              <w:rPr>
                <w:b/>
              </w:rPr>
            </w:pPr>
            <w:r>
              <w:rPr>
                <w:b/>
              </w:rPr>
              <w:t>PK in healthy adults</w:t>
            </w:r>
          </w:p>
        </w:tc>
        <w:tc>
          <w:tcPr>
            <w:tcW w:w="3260" w:type="dxa"/>
          </w:tcPr>
          <w:p w14:paraId="2334455B" w14:textId="77777777" w:rsidR="0098642B" w:rsidRPr="00C37A1D" w:rsidRDefault="0098642B" w:rsidP="00775149">
            <w:pPr>
              <w:pStyle w:val="Tabletext"/>
              <w:keepNext/>
            </w:pPr>
            <w:r w:rsidRPr="00C37A1D">
              <w:t>General PK</w:t>
            </w:r>
            <w:r w:rsidRPr="00C37A1D">
              <w:tab/>
              <w:t>- Single dose</w:t>
            </w:r>
          </w:p>
        </w:tc>
        <w:tc>
          <w:tcPr>
            <w:tcW w:w="2268" w:type="dxa"/>
          </w:tcPr>
          <w:p w14:paraId="27557686" w14:textId="77777777" w:rsidR="0098642B" w:rsidRDefault="0098642B" w:rsidP="00775149">
            <w:pPr>
              <w:pStyle w:val="Tabletext"/>
              <w:keepNext/>
              <w:ind w:left="34"/>
            </w:pPr>
            <w:r w:rsidRPr="0058698C">
              <w:t>SNT-I-002</w:t>
            </w:r>
          </w:p>
          <w:p w14:paraId="14B0AA94" w14:textId="77777777" w:rsidR="0098642B" w:rsidRDefault="0098642B" w:rsidP="00775149">
            <w:pPr>
              <w:pStyle w:val="Tabletext"/>
              <w:keepNext/>
              <w:ind w:left="34"/>
            </w:pPr>
            <w:r>
              <w:t>SNT-I-004</w:t>
            </w:r>
          </w:p>
          <w:p w14:paraId="588CB692" w14:textId="77777777" w:rsidR="0098642B" w:rsidRPr="00C37A1D" w:rsidRDefault="0098642B" w:rsidP="00775149">
            <w:pPr>
              <w:pStyle w:val="Tabletext"/>
              <w:keepNext/>
              <w:ind w:left="34"/>
            </w:pPr>
            <w:r w:rsidRPr="00A27814">
              <w:t>M90-441‡</w:t>
            </w:r>
          </w:p>
        </w:tc>
        <w:tc>
          <w:tcPr>
            <w:tcW w:w="875" w:type="dxa"/>
          </w:tcPr>
          <w:p w14:paraId="2944F1D5" w14:textId="77777777" w:rsidR="0098642B" w:rsidRDefault="0098642B" w:rsidP="00775149">
            <w:pPr>
              <w:pStyle w:val="Tabletext"/>
              <w:keepNext/>
              <w:jc w:val="center"/>
            </w:pPr>
            <w:r>
              <w:t>*</w:t>
            </w:r>
          </w:p>
          <w:p w14:paraId="54FE3658" w14:textId="77777777" w:rsidR="0098642B" w:rsidRDefault="0098642B" w:rsidP="00775149">
            <w:pPr>
              <w:pStyle w:val="Tabletext"/>
              <w:keepNext/>
              <w:jc w:val="center"/>
            </w:pPr>
            <w:r>
              <w:t>*</w:t>
            </w:r>
          </w:p>
          <w:p w14:paraId="3777B020" w14:textId="77777777" w:rsidR="0098642B" w:rsidRPr="00C37A1D" w:rsidRDefault="0098642B" w:rsidP="00775149">
            <w:pPr>
              <w:pStyle w:val="Tabletext"/>
              <w:keepNext/>
              <w:jc w:val="center"/>
            </w:pPr>
            <w:r>
              <w:t>*</w:t>
            </w:r>
          </w:p>
        </w:tc>
      </w:tr>
      <w:tr w:rsidR="0098642B" w:rsidRPr="00C37A1D" w14:paraId="4F64EC9B" w14:textId="77777777" w:rsidTr="009B4DEE">
        <w:tc>
          <w:tcPr>
            <w:tcW w:w="1951" w:type="dxa"/>
            <w:vMerge/>
          </w:tcPr>
          <w:p w14:paraId="48A40B44" w14:textId="77777777" w:rsidR="0098642B" w:rsidRPr="00C37A1D" w:rsidRDefault="0098642B" w:rsidP="00775149">
            <w:pPr>
              <w:pStyle w:val="Tabletext"/>
              <w:keepNext/>
            </w:pPr>
          </w:p>
        </w:tc>
        <w:tc>
          <w:tcPr>
            <w:tcW w:w="3260" w:type="dxa"/>
          </w:tcPr>
          <w:p w14:paraId="58510126" w14:textId="77777777" w:rsidR="0098642B" w:rsidRPr="00C37A1D" w:rsidRDefault="0098642B" w:rsidP="00775149">
            <w:pPr>
              <w:pStyle w:val="Tabletext"/>
              <w:keepNext/>
              <w:tabs>
                <w:tab w:val="left" w:pos="1447"/>
              </w:tabs>
            </w:pPr>
            <w:r>
              <w:tab/>
            </w:r>
            <w:r w:rsidRPr="00C37A1D">
              <w:t>- Multi-dose</w:t>
            </w:r>
          </w:p>
        </w:tc>
        <w:tc>
          <w:tcPr>
            <w:tcW w:w="2268" w:type="dxa"/>
          </w:tcPr>
          <w:p w14:paraId="36A5F9A7" w14:textId="77777777" w:rsidR="0098642B" w:rsidRPr="00C37A1D" w:rsidRDefault="0098642B" w:rsidP="00775149">
            <w:pPr>
              <w:pStyle w:val="Tabletext"/>
              <w:keepNext/>
              <w:ind w:left="34"/>
            </w:pPr>
            <w:r w:rsidRPr="0058698C">
              <w:t>SNT-I-003</w:t>
            </w:r>
          </w:p>
        </w:tc>
        <w:tc>
          <w:tcPr>
            <w:tcW w:w="875" w:type="dxa"/>
          </w:tcPr>
          <w:p w14:paraId="18675642" w14:textId="77777777" w:rsidR="0098642B" w:rsidRPr="00C37A1D" w:rsidRDefault="0098642B" w:rsidP="00775149">
            <w:pPr>
              <w:pStyle w:val="Tabletext"/>
              <w:keepNext/>
              <w:jc w:val="center"/>
            </w:pPr>
            <w:r>
              <w:t>*</w:t>
            </w:r>
          </w:p>
        </w:tc>
      </w:tr>
      <w:tr w:rsidR="0098642B" w:rsidRPr="00C37A1D" w14:paraId="334A5745" w14:textId="77777777" w:rsidTr="009B4DEE">
        <w:tc>
          <w:tcPr>
            <w:tcW w:w="1951" w:type="dxa"/>
            <w:vMerge/>
          </w:tcPr>
          <w:p w14:paraId="6DD5CCD9" w14:textId="77777777" w:rsidR="0098642B" w:rsidRPr="00C37A1D" w:rsidRDefault="0098642B" w:rsidP="00775149">
            <w:pPr>
              <w:pStyle w:val="Tabletext"/>
              <w:keepNext/>
            </w:pPr>
          </w:p>
        </w:tc>
        <w:tc>
          <w:tcPr>
            <w:tcW w:w="3260" w:type="dxa"/>
          </w:tcPr>
          <w:p w14:paraId="3E20992B" w14:textId="77777777" w:rsidR="0098642B" w:rsidRPr="00C37A1D" w:rsidRDefault="0098642B" w:rsidP="00775149">
            <w:pPr>
              <w:pStyle w:val="Tabletext"/>
              <w:keepNext/>
            </w:pPr>
            <w:r w:rsidRPr="00C37A1D">
              <w:t>Food effect</w:t>
            </w:r>
          </w:p>
        </w:tc>
        <w:tc>
          <w:tcPr>
            <w:tcW w:w="2268" w:type="dxa"/>
          </w:tcPr>
          <w:p w14:paraId="03A0D5AD" w14:textId="77777777" w:rsidR="0098642B" w:rsidRPr="00C37A1D" w:rsidRDefault="0098642B" w:rsidP="00775149">
            <w:pPr>
              <w:pStyle w:val="Tabletext"/>
              <w:keepNext/>
              <w:ind w:left="34"/>
            </w:pPr>
            <w:r w:rsidRPr="0058698C">
              <w:t>SNT-I-001</w:t>
            </w:r>
          </w:p>
        </w:tc>
        <w:tc>
          <w:tcPr>
            <w:tcW w:w="875" w:type="dxa"/>
          </w:tcPr>
          <w:p w14:paraId="4C31F329" w14:textId="77777777" w:rsidR="0098642B" w:rsidRPr="00C37A1D" w:rsidRDefault="0098642B" w:rsidP="00775149">
            <w:pPr>
              <w:pStyle w:val="Tabletext"/>
              <w:keepNext/>
              <w:jc w:val="center"/>
            </w:pPr>
            <w:r>
              <w:t>*</w:t>
            </w:r>
          </w:p>
        </w:tc>
      </w:tr>
      <w:tr w:rsidR="0098642B" w:rsidRPr="00C37A1D" w14:paraId="339B7BE7" w14:textId="77777777" w:rsidTr="009B4DEE">
        <w:tc>
          <w:tcPr>
            <w:tcW w:w="1951" w:type="dxa"/>
            <w:vMerge w:val="restart"/>
          </w:tcPr>
          <w:p w14:paraId="4602B0B5" w14:textId="77777777" w:rsidR="0098642B" w:rsidRPr="00C37A1D" w:rsidRDefault="0098642B" w:rsidP="00775149">
            <w:pPr>
              <w:pStyle w:val="Tabletext"/>
              <w:keepNext/>
              <w:rPr>
                <w:b/>
              </w:rPr>
            </w:pPr>
            <w:r>
              <w:rPr>
                <w:b/>
              </w:rPr>
              <w:t>PK in special populations</w:t>
            </w:r>
          </w:p>
        </w:tc>
        <w:tc>
          <w:tcPr>
            <w:tcW w:w="3260" w:type="dxa"/>
          </w:tcPr>
          <w:p w14:paraId="7041E3E5" w14:textId="78BAD2BB" w:rsidR="0098642B" w:rsidRPr="00C37A1D" w:rsidRDefault="0098642B" w:rsidP="00775149">
            <w:pPr>
              <w:pStyle w:val="Tabletext"/>
              <w:keepNext/>
              <w:tabs>
                <w:tab w:val="left" w:pos="1877"/>
              </w:tabs>
            </w:pPr>
            <w:r>
              <w:t>Target population §</w:t>
            </w:r>
            <w:r w:rsidRPr="00C37A1D">
              <w:t xml:space="preserve">- </w:t>
            </w:r>
            <w:r w:rsidRPr="004922A8">
              <w:t>Multi-dose</w:t>
            </w:r>
          </w:p>
        </w:tc>
        <w:tc>
          <w:tcPr>
            <w:tcW w:w="2268" w:type="dxa"/>
          </w:tcPr>
          <w:p w14:paraId="2AD0C7B9" w14:textId="77777777" w:rsidR="0098642B" w:rsidRPr="00C37A1D" w:rsidRDefault="0098642B" w:rsidP="00775149">
            <w:pPr>
              <w:pStyle w:val="Tabletext"/>
              <w:ind w:left="34"/>
            </w:pPr>
            <w:r w:rsidRPr="004922A8">
              <w:t>SNT-II-001 (DELPHI)</w:t>
            </w:r>
          </w:p>
        </w:tc>
        <w:tc>
          <w:tcPr>
            <w:tcW w:w="875" w:type="dxa"/>
          </w:tcPr>
          <w:p w14:paraId="268ABDAE" w14:textId="77777777" w:rsidR="0098642B" w:rsidRPr="00C37A1D" w:rsidRDefault="0098642B" w:rsidP="00775149">
            <w:pPr>
              <w:pStyle w:val="Tabletext"/>
              <w:keepNext/>
              <w:jc w:val="center"/>
            </w:pPr>
          </w:p>
        </w:tc>
      </w:tr>
      <w:tr w:rsidR="0098642B" w:rsidRPr="00C37A1D" w14:paraId="7D0434B0" w14:textId="77777777" w:rsidTr="009B4DEE">
        <w:tc>
          <w:tcPr>
            <w:tcW w:w="1951" w:type="dxa"/>
            <w:vMerge/>
          </w:tcPr>
          <w:p w14:paraId="6EED0F87" w14:textId="77777777" w:rsidR="0098642B" w:rsidRPr="00C37A1D" w:rsidRDefault="0098642B" w:rsidP="00775149">
            <w:pPr>
              <w:pStyle w:val="Tabletext"/>
              <w:keepNext/>
            </w:pPr>
          </w:p>
        </w:tc>
        <w:tc>
          <w:tcPr>
            <w:tcW w:w="3260" w:type="dxa"/>
          </w:tcPr>
          <w:p w14:paraId="17799A3E" w14:textId="77777777" w:rsidR="0098642B" w:rsidRPr="008B4D3C" w:rsidRDefault="0098642B" w:rsidP="00775149">
            <w:pPr>
              <w:pStyle w:val="Tabletext"/>
              <w:keepNext/>
            </w:pPr>
            <w:r w:rsidRPr="008B4D3C">
              <w:t>Hepatic impairment</w:t>
            </w:r>
          </w:p>
        </w:tc>
        <w:tc>
          <w:tcPr>
            <w:tcW w:w="2268" w:type="dxa"/>
          </w:tcPr>
          <w:p w14:paraId="2F1EFB17" w14:textId="77777777" w:rsidR="0098642B" w:rsidRPr="008B4D3C" w:rsidRDefault="0098642B" w:rsidP="00775149">
            <w:pPr>
              <w:pStyle w:val="Tabletext"/>
              <w:keepNext/>
              <w:ind w:left="34"/>
            </w:pPr>
            <w:r w:rsidRPr="008B4D3C">
              <w:t>CV-2619/EC071#</w:t>
            </w:r>
          </w:p>
        </w:tc>
        <w:tc>
          <w:tcPr>
            <w:tcW w:w="875" w:type="dxa"/>
          </w:tcPr>
          <w:p w14:paraId="52936E88" w14:textId="77777777" w:rsidR="0098642B" w:rsidRPr="00C37A1D" w:rsidRDefault="0098642B" w:rsidP="00775149">
            <w:pPr>
              <w:pStyle w:val="Tabletext"/>
              <w:keepNext/>
              <w:jc w:val="center"/>
            </w:pPr>
            <w:r>
              <w:t>*</w:t>
            </w:r>
          </w:p>
        </w:tc>
      </w:tr>
      <w:tr w:rsidR="0098642B" w:rsidRPr="00C37A1D" w14:paraId="2899D607" w14:textId="77777777" w:rsidTr="009B4DEE">
        <w:tc>
          <w:tcPr>
            <w:tcW w:w="1951" w:type="dxa"/>
            <w:vMerge/>
          </w:tcPr>
          <w:p w14:paraId="2566499D" w14:textId="77777777" w:rsidR="0098642B" w:rsidRPr="00C37A1D" w:rsidRDefault="0098642B" w:rsidP="00775149">
            <w:pPr>
              <w:pStyle w:val="Tabletext"/>
              <w:keepNext/>
            </w:pPr>
          </w:p>
        </w:tc>
        <w:tc>
          <w:tcPr>
            <w:tcW w:w="3260" w:type="dxa"/>
          </w:tcPr>
          <w:p w14:paraId="6022C14F" w14:textId="77777777" w:rsidR="0098642B" w:rsidRPr="00FE5E53" w:rsidRDefault="0098642B" w:rsidP="00775149">
            <w:pPr>
              <w:pStyle w:val="Tabletext"/>
              <w:keepNext/>
            </w:pPr>
            <w:r w:rsidRPr="00FE5E53">
              <w:t>Renal impairment</w:t>
            </w:r>
          </w:p>
        </w:tc>
        <w:tc>
          <w:tcPr>
            <w:tcW w:w="2268" w:type="dxa"/>
          </w:tcPr>
          <w:p w14:paraId="305ED329" w14:textId="77777777" w:rsidR="0098642B" w:rsidRPr="00FE5E53" w:rsidRDefault="0098642B" w:rsidP="00775149">
            <w:pPr>
              <w:pStyle w:val="Tabletext"/>
              <w:keepNext/>
              <w:ind w:left="34"/>
            </w:pPr>
            <w:r w:rsidRPr="00FE5E53">
              <w:t>CV-2619/EC070#</w:t>
            </w:r>
          </w:p>
        </w:tc>
        <w:tc>
          <w:tcPr>
            <w:tcW w:w="875" w:type="dxa"/>
          </w:tcPr>
          <w:p w14:paraId="40D78F1B" w14:textId="77777777" w:rsidR="0098642B" w:rsidRPr="00C37A1D" w:rsidRDefault="0098642B" w:rsidP="00775149">
            <w:pPr>
              <w:pStyle w:val="Tabletext"/>
              <w:keepNext/>
              <w:jc w:val="center"/>
            </w:pPr>
            <w:r>
              <w:t>*</w:t>
            </w:r>
          </w:p>
        </w:tc>
      </w:tr>
      <w:tr w:rsidR="0098642B" w:rsidRPr="00C37A1D" w14:paraId="6FBC48F5" w14:textId="77777777" w:rsidTr="009B4DEE">
        <w:tc>
          <w:tcPr>
            <w:tcW w:w="1951" w:type="dxa"/>
          </w:tcPr>
          <w:p w14:paraId="30B48E81" w14:textId="77777777" w:rsidR="0098642B" w:rsidRPr="00C37A1D" w:rsidRDefault="0098642B" w:rsidP="00775149">
            <w:pPr>
              <w:pStyle w:val="Tabletext"/>
              <w:keepNext/>
              <w:rPr>
                <w:b/>
              </w:rPr>
            </w:pPr>
            <w:r w:rsidRPr="00C37A1D">
              <w:rPr>
                <w:b/>
              </w:rPr>
              <w:t>Population PK analyses</w:t>
            </w:r>
          </w:p>
        </w:tc>
        <w:tc>
          <w:tcPr>
            <w:tcW w:w="3260" w:type="dxa"/>
          </w:tcPr>
          <w:p w14:paraId="19CBBB0A" w14:textId="77777777" w:rsidR="0098642B" w:rsidRPr="00C37A1D" w:rsidRDefault="0098642B" w:rsidP="00775149">
            <w:pPr>
              <w:pStyle w:val="Tabletext"/>
              <w:keepNext/>
            </w:pPr>
            <w:r w:rsidRPr="00C37A1D">
              <w:t>Healthy subjects</w:t>
            </w:r>
            <w:r>
              <w:t xml:space="preserve"> / other patient groups (LHON </w:t>
            </w:r>
            <w:r w:rsidR="00ED6165">
              <w:t>and</w:t>
            </w:r>
            <w:r>
              <w:t xml:space="preserve"> FRDA)</w:t>
            </w:r>
          </w:p>
        </w:tc>
        <w:tc>
          <w:tcPr>
            <w:tcW w:w="2268" w:type="dxa"/>
          </w:tcPr>
          <w:p w14:paraId="37D32FBF" w14:textId="77777777" w:rsidR="0098642B" w:rsidRPr="00C37A1D" w:rsidRDefault="0098642B" w:rsidP="00775149">
            <w:pPr>
              <w:pStyle w:val="Tabletext"/>
              <w:keepNext/>
              <w:ind w:left="34"/>
            </w:pPr>
            <w:r>
              <w:t>RA 833004</w:t>
            </w:r>
          </w:p>
        </w:tc>
        <w:tc>
          <w:tcPr>
            <w:tcW w:w="875" w:type="dxa"/>
          </w:tcPr>
          <w:p w14:paraId="3BDB864F" w14:textId="77777777" w:rsidR="0098642B" w:rsidRPr="00C37A1D" w:rsidRDefault="0098642B" w:rsidP="00775149">
            <w:pPr>
              <w:pStyle w:val="Tabletext"/>
              <w:keepNext/>
              <w:jc w:val="center"/>
            </w:pPr>
            <w:r>
              <w:t>*</w:t>
            </w:r>
          </w:p>
        </w:tc>
      </w:tr>
    </w:tbl>
    <w:p w14:paraId="2547CB0D" w14:textId="77777777" w:rsidR="0098642B" w:rsidRDefault="0098642B" w:rsidP="0098642B">
      <w:pPr>
        <w:pStyle w:val="TableDescription"/>
      </w:pPr>
      <w:r w:rsidRPr="00C37A1D">
        <w:t xml:space="preserve">* Indicates </w:t>
      </w:r>
      <w:r>
        <w:t xml:space="preserve">the primary PK aim of the study; </w:t>
      </w:r>
      <w:r w:rsidRPr="00C37A1D">
        <w:t>§ Subjects who would be eligible to receive the drug if appro</w:t>
      </w:r>
      <w:r>
        <w:t xml:space="preserve">ved for the proposed indication; # </w:t>
      </w:r>
      <w:r w:rsidRPr="00981883">
        <w:t>sponsor: Takeda Pharmaceuticals</w:t>
      </w:r>
      <w:r>
        <w:t>;</w:t>
      </w:r>
      <w:r w:rsidRPr="00981883">
        <w:t xml:space="preserve"> ‡sponsor: Abbott/Taked</w:t>
      </w:r>
      <w:r>
        <w:t>a.</w:t>
      </w:r>
    </w:p>
    <w:p w14:paraId="4E4588DD" w14:textId="77777777" w:rsidR="0098642B" w:rsidRDefault="0098642B" w:rsidP="0098642B">
      <w:pPr>
        <w:pStyle w:val="TableTitle"/>
      </w:pPr>
      <w:bookmarkStart w:id="100" w:name="_Toc510688987"/>
      <w:r>
        <w:t>Table</w:t>
      </w:r>
      <w:r w:rsidR="0030092C">
        <w:t xml:space="preserve"> 8</w:t>
      </w:r>
      <w:r>
        <w:rPr>
          <w:noProof/>
        </w:rPr>
        <w:t>:</w:t>
      </w:r>
      <w:r w:rsidR="00DB3203">
        <w:t xml:space="preserve"> </w:t>
      </w:r>
      <w:r w:rsidRPr="00BC615D">
        <w:t xml:space="preserve">Pharmacokinetic results excluded from </w:t>
      </w:r>
      <w:r>
        <w:t xml:space="preserve">formal </w:t>
      </w:r>
      <w:r w:rsidRPr="00BC615D">
        <w:t>consideration</w:t>
      </w:r>
      <w:bookmarkEnd w:id="100"/>
    </w:p>
    <w:tbl>
      <w:tblPr>
        <w:tblStyle w:val="TableTGAblue"/>
        <w:tblW w:w="4771" w:type="pct"/>
        <w:tblLook w:val="04A0" w:firstRow="1" w:lastRow="0" w:firstColumn="1" w:lastColumn="0" w:noHBand="0" w:noVBand="1"/>
      </w:tblPr>
      <w:tblGrid>
        <w:gridCol w:w="2223"/>
        <w:gridCol w:w="151"/>
        <w:gridCol w:w="3011"/>
        <w:gridCol w:w="147"/>
        <w:gridCol w:w="2563"/>
      </w:tblGrid>
      <w:tr w:rsidR="0098642B" w:rsidRPr="00AC660E" w14:paraId="4DA3E5FA" w14:textId="77777777" w:rsidTr="0098642B">
        <w:trPr>
          <w:cnfStyle w:val="100000000000" w:firstRow="1" w:lastRow="0" w:firstColumn="0" w:lastColumn="0" w:oddVBand="0" w:evenVBand="0" w:oddHBand="0" w:evenHBand="0" w:firstRowFirstColumn="0" w:firstRowLastColumn="0" w:lastRowFirstColumn="0" w:lastRowLastColumn="0"/>
          <w:trHeight w:val="749"/>
        </w:trPr>
        <w:tc>
          <w:tcPr>
            <w:tcW w:w="1466" w:type="pct"/>
            <w:gridSpan w:val="2"/>
          </w:tcPr>
          <w:p w14:paraId="5CA069A3" w14:textId="77777777" w:rsidR="0098642B" w:rsidRPr="00AC660E" w:rsidRDefault="0098642B" w:rsidP="00775149">
            <w:pPr>
              <w:keepLines/>
              <w:rPr>
                <w:sz w:val="20"/>
                <w:szCs w:val="20"/>
              </w:rPr>
            </w:pPr>
            <w:r w:rsidRPr="00AC660E">
              <w:rPr>
                <w:sz w:val="20"/>
                <w:szCs w:val="20"/>
              </w:rPr>
              <w:t>Study ID</w:t>
            </w:r>
          </w:p>
        </w:tc>
        <w:tc>
          <w:tcPr>
            <w:tcW w:w="1951" w:type="pct"/>
            <w:gridSpan w:val="2"/>
          </w:tcPr>
          <w:p w14:paraId="11018CE0" w14:textId="77777777" w:rsidR="0098642B" w:rsidRPr="00AC660E" w:rsidRDefault="0098642B" w:rsidP="00775149">
            <w:pPr>
              <w:keepLines/>
              <w:rPr>
                <w:sz w:val="20"/>
                <w:szCs w:val="20"/>
              </w:rPr>
            </w:pPr>
            <w:r w:rsidRPr="00AC660E">
              <w:rPr>
                <w:sz w:val="20"/>
                <w:szCs w:val="20"/>
              </w:rPr>
              <w:t>Subtopics</w:t>
            </w:r>
          </w:p>
        </w:tc>
        <w:tc>
          <w:tcPr>
            <w:tcW w:w="1582" w:type="pct"/>
          </w:tcPr>
          <w:p w14:paraId="03862E1E" w14:textId="77777777" w:rsidR="0098642B" w:rsidRPr="00AC660E" w:rsidRDefault="0098642B" w:rsidP="00775149">
            <w:pPr>
              <w:keepLines/>
              <w:rPr>
                <w:sz w:val="20"/>
                <w:szCs w:val="20"/>
              </w:rPr>
            </w:pPr>
            <w:r w:rsidRPr="00AC660E">
              <w:rPr>
                <w:sz w:val="20"/>
                <w:szCs w:val="20"/>
              </w:rPr>
              <w:t>PK results excluded</w:t>
            </w:r>
          </w:p>
        </w:tc>
      </w:tr>
      <w:tr w:rsidR="0098642B" w:rsidRPr="00AC660E" w14:paraId="5D88B943" w14:textId="77777777" w:rsidTr="0098642B">
        <w:trPr>
          <w:trHeight w:val="508"/>
        </w:trPr>
        <w:tc>
          <w:tcPr>
            <w:tcW w:w="1373" w:type="pct"/>
          </w:tcPr>
          <w:p w14:paraId="23BA80B0" w14:textId="77777777" w:rsidR="0098642B" w:rsidRPr="00AC660E" w:rsidRDefault="0098642B" w:rsidP="00775149">
            <w:pPr>
              <w:keepNext/>
              <w:keepLines/>
              <w:ind w:left="0" w:right="34"/>
              <w:rPr>
                <w:rFonts w:asciiTheme="minorHAnsi" w:hAnsiTheme="minorHAnsi"/>
                <w:sz w:val="20"/>
                <w:szCs w:val="20"/>
              </w:rPr>
            </w:pPr>
            <w:r w:rsidRPr="00AC660E">
              <w:rPr>
                <w:rFonts w:asciiTheme="minorHAnsi" w:hAnsiTheme="minorHAnsi"/>
                <w:sz w:val="20"/>
                <w:szCs w:val="20"/>
              </w:rPr>
              <w:t>CV-2619/EC074</w:t>
            </w:r>
          </w:p>
        </w:tc>
        <w:tc>
          <w:tcPr>
            <w:tcW w:w="1953" w:type="pct"/>
            <w:gridSpan w:val="2"/>
          </w:tcPr>
          <w:p w14:paraId="44E7A3BF" w14:textId="77777777" w:rsidR="0098642B" w:rsidRPr="00AC660E" w:rsidRDefault="0098642B" w:rsidP="00775149">
            <w:pPr>
              <w:keepNext/>
              <w:keepLines/>
              <w:ind w:left="34" w:right="0"/>
              <w:rPr>
                <w:rFonts w:asciiTheme="minorHAnsi" w:hAnsiTheme="minorHAnsi"/>
                <w:sz w:val="20"/>
                <w:szCs w:val="20"/>
              </w:rPr>
            </w:pPr>
            <w:r w:rsidRPr="00AC660E">
              <w:rPr>
                <w:rFonts w:asciiTheme="minorHAnsi" w:hAnsiTheme="minorHAnsi"/>
                <w:sz w:val="20"/>
                <w:szCs w:val="20"/>
              </w:rPr>
              <w:t>PK interactions</w:t>
            </w:r>
            <w:r>
              <w:rPr>
                <w:rFonts w:asciiTheme="minorHAnsi" w:hAnsiTheme="minorHAnsi"/>
                <w:sz w:val="20"/>
                <w:szCs w:val="20"/>
              </w:rPr>
              <w:t xml:space="preserve"> -</w:t>
            </w:r>
            <w:r w:rsidRPr="00AC660E">
              <w:rPr>
                <w:color w:val="auto"/>
                <w:sz w:val="20"/>
                <w:szCs w:val="20"/>
                <w:lang w:eastAsia="en-US"/>
              </w:rPr>
              <w:t xml:space="preserve"> </w:t>
            </w:r>
            <w:r w:rsidRPr="00AC660E">
              <w:rPr>
                <w:rFonts w:asciiTheme="minorHAnsi" w:hAnsiTheme="minorHAnsi"/>
                <w:sz w:val="20"/>
                <w:szCs w:val="20"/>
              </w:rPr>
              <w:t>Lithium</w:t>
            </w:r>
          </w:p>
        </w:tc>
        <w:tc>
          <w:tcPr>
            <w:tcW w:w="1674" w:type="pct"/>
            <w:gridSpan w:val="2"/>
          </w:tcPr>
          <w:p w14:paraId="0581BEFE" w14:textId="77777777" w:rsidR="0098642B" w:rsidRPr="00AC660E" w:rsidRDefault="0098642B" w:rsidP="00775149">
            <w:pPr>
              <w:pStyle w:val="Tabletext"/>
              <w:keepNext/>
              <w:jc w:val="center"/>
              <w:rPr>
                <w:sz w:val="20"/>
                <w:szCs w:val="20"/>
              </w:rPr>
            </w:pPr>
            <w:r>
              <w:rPr>
                <w:sz w:val="20"/>
                <w:szCs w:val="20"/>
              </w:rPr>
              <w:t>All</w:t>
            </w:r>
          </w:p>
        </w:tc>
      </w:tr>
      <w:tr w:rsidR="0098642B" w:rsidRPr="00AC660E" w14:paraId="6BF42F44" w14:textId="77777777" w:rsidTr="0098642B">
        <w:trPr>
          <w:trHeight w:val="749"/>
        </w:trPr>
        <w:tc>
          <w:tcPr>
            <w:tcW w:w="1373" w:type="pct"/>
          </w:tcPr>
          <w:p w14:paraId="613838DF" w14:textId="77777777" w:rsidR="0098642B" w:rsidRPr="00AC660E" w:rsidRDefault="0098642B" w:rsidP="00775149">
            <w:pPr>
              <w:keepNext/>
              <w:keepLines/>
              <w:ind w:left="0" w:right="34"/>
              <w:rPr>
                <w:rFonts w:asciiTheme="minorHAnsi" w:hAnsiTheme="minorHAnsi"/>
                <w:sz w:val="20"/>
                <w:szCs w:val="20"/>
              </w:rPr>
            </w:pPr>
            <w:r w:rsidRPr="00AC660E">
              <w:rPr>
                <w:rFonts w:asciiTheme="minorHAnsi" w:hAnsiTheme="minorHAnsi"/>
                <w:sz w:val="20"/>
                <w:szCs w:val="20"/>
              </w:rPr>
              <w:t>CV-2619/EC075</w:t>
            </w:r>
          </w:p>
        </w:tc>
        <w:tc>
          <w:tcPr>
            <w:tcW w:w="1953" w:type="pct"/>
            <w:gridSpan w:val="2"/>
          </w:tcPr>
          <w:p w14:paraId="44EAB4AE" w14:textId="77777777" w:rsidR="0098642B" w:rsidRPr="00AC660E" w:rsidRDefault="0098642B" w:rsidP="00775149">
            <w:pPr>
              <w:ind w:left="34" w:right="0"/>
              <w:rPr>
                <w:rFonts w:asciiTheme="minorHAnsi" w:hAnsiTheme="minorHAnsi"/>
                <w:sz w:val="20"/>
                <w:szCs w:val="20"/>
              </w:rPr>
            </w:pPr>
            <w:r w:rsidRPr="00AC660E">
              <w:rPr>
                <w:rFonts w:asciiTheme="minorHAnsi" w:hAnsiTheme="minorHAnsi"/>
                <w:sz w:val="20"/>
                <w:szCs w:val="20"/>
              </w:rPr>
              <w:t>PK interactions</w:t>
            </w:r>
            <w:r>
              <w:rPr>
                <w:rFonts w:asciiTheme="minorHAnsi" w:hAnsiTheme="minorHAnsi"/>
                <w:sz w:val="20"/>
                <w:szCs w:val="20"/>
              </w:rPr>
              <w:t xml:space="preserve"> - </w:t>
            </w:r>
            <w:r w:rsidRPr="00AC660E">
              <w:rPr>
                <w:rFonts w:asciiTheme="minorHAnsi" w:hAnsiTheme="minorHAnsi"/>
                <w:sz w:val="20"/>
                <w:szCs w:val="20"/>
              </w:rPr>
              <w:t>Amitriptyline</w:t>
            </w:r>
          </w:p>
        </w:tc>
        <w:tc>
          <w:tcPr>
            <w:tcW w:w="1674" w:type="pct"/>
            <w:gridSpan w:val="2"/>
          </w:tcPr>
          <w:p w14:paraId="7B223FBD" w14:textId="77777777" w:rsidR="0098642B" w:rsidRPr="00AC660E" w:rsidRDefault="0098642B" w:rsidP="00775149">
            <w:pPr>
              <w:pStyle w:val="Tabletext"/>
              <w:keepNext/>
              <w:jc w:val="center"/>
              <w:rPr>
                <w:sz w:val="20"/>
                <w:szCs w:val="20"/>
              </w:rPr>
            </w:pPr>
            <w:r>
              <w:rPr>
                <w:sz w:val="20"/>
                <w:szCs w:val="20"/>
              </w:rPr>
              <w:t>All</w:t>
            </w:r>
          </w:p>
        </w:tc>
      </w:tr>
      <w:tr w:rsidR="0098642B" w:rsidRPr="00AC660E" w14:paraId="10C8E4E6" w14:textId="77777777" w:rsidTr="0098642B">
        <w:trPr>
          <w:trHeight w:val="749"/>
        </w:trPr>
        <w:tc>
          <w:tcPr>
            <w:tcW w:w="1373" w:type="pct"/>
          </w:tcPr>
          <w:p w14:paraId="11C63C6A" w14:textId="77777777" w:rsidR="0098642B" w:rsidRPr="00AC660E" w:rsidRDefault="0098642B" w:rsidP="00775149">
            <w:pPr>
              <w:keepNext/>
              <w:keepLines/>
              <w:ind w:left="0" w:right="34"/>
              <w:rPr>
                <w:rFonts w:asciiTheme="minorHAnsi" w:hAnsiTheme="minorHAnsi"/>
                <w:sz w:val="20"/>
                <w:szCs w:val="20"/>
              </w:rPr>
            </w:pPr>
            <w:r w:rsidRPr="00AC660E">
              <w:rPr>
                <w:rFonts w:asciiTheme="minorHAnsi" w:hAnsiTheme="minorHAnsi"/>
                <w:sz w:val="20"/>
                <w:szCs w:val="20"/>
              </w:rPr>
              <w:t>CV-2619/EC076</w:t>
            </w:r>
          </w:p>
        </w:tc>
        <w:tc>
          <w:tcPr>
            <w:tcW w:w="1953" w:type="pct"/>
            <w:gridSpan w:val="2"/>
          </w:tcPr>
          <w:p w14:paraId="7D0879F5" w14:textId="77777777" w:rsidR="0098642B" w:rsidRPr="00AC660E" w:rsidRDefault="0098642B" w:rsidP="00775149">
            <w:pPr>
              <w:ind w:left="34" w:right="0"/>
              <w:rPr>
                <w:rFonts w:asciiTheme="minorHAnsi" w:hAnsiTheme="minorHAnsi"/>
                <w:sz w:val="20"/>
                <w:szCs w:val="20"/>
              </w:rPr>
            </w:pPr>
            <w:r w:rsidRPr="00AC660E">
              <w:rPr>
                <w:rFonts w:asciiTheme="minorHAnsi" w:hAnsiTheme="minorHAnsi"/>
                <w:sz w:val="20"/>
                <w:szCs w:val="20"/>
              </w:rPr>
              <w:t>PK interactions</w:t>
            </w:r>
            <w:r>
              <w:rPr>
                <w:rFonts w:asciiTheme="minorHAnsi" w:hAnsiTheme="minorHAnsi"/>
                <w:sz w:val="20"/>
                <w:szCs w:val="20"/>
              </w:rPr>
              <w:t xml:space="preserve"> - </w:t>
            </w:r>
            <w:r w:rsidRPr="00AC660E">
              <w:rPr>
                <w:rFonts w:asciiTheme="minorHAnsi" w:hAnsiTheme="minorHAnsi"/>
                <w:sz w:val="20"/>
                <w:szCs w:val="20"/>
              </w:rPr>
              <w:t>Fluvoxamine</w:t>
            </w:r>
          </w:p>
        </w:tc>
        <w:tc>
          <w:tcPr>
            <w:tcW w:w="1674" w:type="pct"/>
            <w:gridSpan w:val="2"/>
          </w:tcPr>
          <w:p w14:paraId="493BA8D6" w14:textId="77777777" w:rsidR="0098642B" w:rsidRPr="00AC660E" w:rsidRDefault="0098642B" w:rsidP="00775149">
            <w:pPr>
              <w:pStyle w:val="Tabletext"/>
              <w:keepNext/>
              <w:jc w:val="center"/>
              <w:rPr>
                <w:sz w:val="20"/>
                <w:szCs w:val="20"/>
              </w:rPr>
            </w:pPr>
            <w:r>
              <w:rPr>
                <w:sz w:val="20"/>
                <w:szCs w:val="20"/>
              </w:rPr>
              <w:t>All</w:t>
            </w:r>
          </w:p>
        </w:tc>
      </w:tr>
      <w:tr w:rsidR="0098642B" w:rsidRPr="00AC660E" w14:paraId="505F3A05" w14:textId="77777777" w:rsidTr="0098642B">
        <w:trPr>
          <w:trHeight w:val="495"/>
        </w:trPr>
        <w:tc>
          <w:tcPr>
            <w:tcW w:w="1373" w:type="pct"/>
          </w:tcPr>
          <w:p w14:paraId="06020627" w14:textId="77777777" w:rsidR="0098642B" w:rsidRPr="00AC660E" w:rsidRDefault="0098642B" w:rsidP="00775149">
            <w:pPr>
              <w:keepNext/>
              <w:keepLines/>
              <w:ind w:left="0" w:right="34"/>
              <w:rPr>
                <w:rFonts w:asciiTheme="minorHAnsi" w:hAnsiTheme="minorHAnsi"/>
                <w:sz w:val="20"/>
                <w:szCs w:val="20"/>
              </w:rPr>
            </w:pPr>
            <w:r w:rsidRPr="00AC660E">
              <w:rPr>
                <w:rFonts w:asciiTheme="minorHAnsi" w:hAnsiTheme="minorHAnsi"/>
                <w:sz w:val="20"/>
                <w:szCs w:val="20"/>
              </w:rPr>
              <w:t>CV-2619/PNFP-003</w:t>
            </w:r>
          </w:p>
        </w:tc>
        <w:tc>
          <w:tcPr>
            <w:tcW w:w="1953" w:type="pct"/>
            <w:gridSpan w:val="2"/>
          </w:tcPr>
          <w:p w14:paraId="16B2BB4C" w14:textId="77777777" w:rsidR="0098642B" w:rsidRPr="00AC660E" w:rsidRDefault="0098642B" w:rsidP="00775149">
            <w:pPr>
              <w:ind w:left="34" w:right="0"/>
              <w:rPr>
                <w:rFonts w:asciiTheme="minorHAnsi" w:hAnsiTheme="minorHAnsi"/>
                <w:sz w:val="20"/>
                <w:szCs w:val="20"/>
              </w:rPr>
            </w:pPr>
            <w:r w:rsidRPr="00AC660E">
              <w:rPr>
                <w:rFonts w:asciiTheme="minorHAnsi" w:hAnsiTheme="minorHAnsi"/>
                <w:sz w:val="20"/>
                <w:szCs w:val="20"/>
              </w:rPr>
              <w:t>PK interactions</w:t>
            </w:r>
            <w:r>
              <w:rPr>
                <w:rFonts w:asciiTheme="minorHAnsi" w:hAnsiTheme="minorHAnsi"/>
                <w:sz w:val="20"/>
                <w:szCs w:val="20"/>
              </w:rPr>
              <w:t xml:space="preserve"> - </w:t>
            </w:r>
            <w:r w:rsidRPr="00AC660E">
              <w:rPr>
                <w:rFonts w:asciiTheme="minorHAnsi" w:hAnsiTheme="minorHAnsi"/>
                <w:sz w:val="20"/>
                <w:szCs w:val="20"/>
              </w:rPr>
              <w:t>Donepezil</w:t>
            </w:r>
          </w:p>
        </w:tc>
        <w:tc>
          <w:tcPr>
            <w:tcW w:w="1674" w:type="pct"/>
            <w:gridSpan w:val="2"/>
          </w:tcPr>
          <w:p w14:paraId="61C7FDC4" w14:textId="77777777" w:rsidR="0098642B" w:rsidRPr="00AC660E" w:rsidRDefault="0098642B" w:rsidP="00775149">
            <w:pPr>
              <w:pStyle w:val="Tabletext"/>
              <w:keepNext/>
              <w:jc w:val="center"/>
              <w:rPr>
                <w:sz w:val="20"/>
                <w:szCs w:val="20"/>
              </w:rPr>
            </w:pPr>
            <w:r>
              <w:rPr>
                <w:sz w:val="20"/>
                <w:szCs w:val="20"/>
              </w:rPr>
              <w:t>All</w:t>
            </w:r>
          </w:p>
        </w:tc>
      </w:tr>
    </w:tbl>
    <w:p w14:paraId="21E1C386" w14:textId="77777777" w:rsidR="00605AD4" w:rsidRDefault="00605AD4" w:rsidP="00605AD4">
      <w:pPr>
        <w:pStyle w:val="Heading4"/>
      </w:pPr>
      <w:r>
        <w:t>Evaluator’s conclusions on pharmacokinetics</w:t>
      </w:r>
    </w:p>
    <w:p w14:paraId="6D16BEC6" w14:textId="5CFA8007" w:rsidR="0098642B" w:rsidRDefault="0098642B" w:rsidP="0098642B">
      <w:pPr>
        <w:rPr>
          <w:lang w:eastAsia="ja-JP"/>
        </w:rPr>
      </w:pPr>
      <w:r>
        <w:rPr>
          <w:lang w:eastAsia="ja-JP"/>
        </w:rPr>
        <w:t xml:space="preserve">The PK of idebenone 150 mg has been determined in </w:t>
      </w:r>
      <w:r w:rsidRPr="009F1560">
        <w:rPr>
          <w:lang w:eastAsia="ja-JP"/>
        </w:rPr>
        <w:t>four Phase I studies in 69 healthy volunteers</w:t>
      </w:r>
      <w:r>
        <w:rPr>
          <w:lang w:eastAsia="ja-JP"/>
        </w:rPr>
        <w:t>, with limited data from 13 patients with DMD</w:t>
      </w:r>
      <w:r w:rsidR="0061481A">
        <w:rPr>
          <w:lang w:eastAsia="ja-JP"/>
        </w:rPr>
        <w:t xml:space="preserve"> who participated in the </w:t>
      </w:r>
      <w:r w:rsidR="0061481A">
        <w:rPr>
          <w:lang w:eastAsia="ja-JP"/>
        </w:rPr>
        <w:lastRenderedPageBreak/>
        <w:t>DELPHI </w:t>
      </w:r>
      <w:r w:rsidR="00D41706">
        <w:rPr>
          <w:lang w:eastAsia="ja-JP"/>
        </w:rPr>
        <w:t>s</w:t>
      </w:r>
      <w:r w:rsidR="003173BB">
        <w:rPr>
          <w:lang w:eastAsia="ja-JP"/>
        </w:rPr>
        <w:t>tudy</w:t>
      </w:r>
      <w:r>
        <w:rPr>
          <w:lang w:eastAsia="ja-JP"/>
        </w:rPr>
        <w:t>.</w:t>
      </w:r>
      <w:r w:rsidR="00DB3203">
        <w:rPr>
          <w:lang w:eastAsia="ja-JP"/>
        </w:rPr>
        <w:t xml:space="preserve"> </w:t>
      </w:r>
      <w:r>
        <w:rPr>
          <w:lang w:eastAsia="ja-JP"/>
        </w:rPr>
        <w:t>On the basis of these studies the PK of idebenone can be summarised as follows:</w:t>
      </w:r>
    </w:p>
    <w:p w14:paraId="1CA19CA1" w14:textId="110E8136" w:rsidR="0098642B" w:rsidRDefault="00D41706" w:rsidP="0098642B">
      <w:pPr>
        <w:pStyle w:val="ListBullet"/>
      </w:pPr>
      <w:r>
        <w:t>I</w:t>
      </w:r>
      <w:r w:rsidR="0061481A">
        <w:t>debenone</w:t>
      </w:r>
      <w:r w:rsidR="0098642B">
        <w:t xml:space="preserve"> is rapidly absorbed after oral administration.</w:t>
      </w:r>
    </w:p>
    <w:p w14:paraId="7F029923" w14:textId="77777777" w:rsidR="0098642B" w:rsidRDefault="0098642B" w:rsidP="0098642B">
      <w:pPr>
        <w:pStyle w:val="ListBullet"/>
      </w:pPr>
      <w:r>
        <w:t xml:space="preserve">Maximum plasma levels of </w:t>
      </w:r>
      <w:r w:rsidR="0061481A">
        <w:t>idebenone</w:t>
      </w:r>
      <w:r>
        <w:t xml:space="preserve"> are reached approximately </w:t>
      </w:r>
      <w:r w:rsidRPr="00B33B9D">
        <w:t>1 hour</w:t>
      </w:r>
      <w:r>
        <w:t xml:space="preserve"> post-administration.</w:t>
      </w:r>
    </w:p>
    <w:p w14:paraId="21B9CCF3" w14:textId="747FA0F9" w:rsidR="0098642B" w:rsidRDefault="00D41706" w:rsidP="0098642B">
      <w:pPr>
        <w:pStyle w:val="ListBullet"/>
      </w:pPr>
      <w:r>
        <w:t>I</w:t>
      </w:r>
      <w:r w:rsidR="0061481A">
        <w:t>debenone</w:t>
      </w:r>
      <w:r w:rsidR="0098642B">
        <w:t xml:space="preserve"> undergoes extensive first pass metabolism.</w:t>
      </w:r>
    </w:p>
    <w:p w14:paraId="6FF85C38" w14:textId="5F4F5EAD" w:rsidR="0098642B" w:rsidRDefault="00D41706" w:rsidP="0098642B">
      <w:pPr>
        <w:pStyle w:val="ListBullet"/>
      </w:pPr>
      <w:r>
        <w:t>I</w:t>
      </w:r>
      <w:r w:rsidR="0061481A">
        <w:t>debenone</w:t>
      </w:r>
      <w:r w:rsidR="0098642B">
        <w:t xml:space="preserve"> is metabolised in the liver by oxidative shortening to the Phase I metabolites QS10, QS8, QS6, and QS4.</w:t>
      </w:r>
    </w:p>
    <w:p w14:paraId="25F6B74C" w14:textId="77777777" w:rsidR="0098642B" w:rsidRDefault="0098642B" w:rsidP="0098642B">
      <w:pPr>
        <w:pStyle w:val="ListBullet"/>
      </w:pPr>
      <w:r>
        <w:t xml:space="preserve">The Phase I metabolites and </w:t>
      </w:r>
      <w:r w:rsidR="0061481A">
        <w:t>idebenone</w:t>
      </w:r>
      <w:r>
        <w:t xml:space="preserve"> are conjugated to Phase II metabolites: </w:t>
      </w:r>
      <w:r w:rsidR="0061481A">
        <w:t>idebenone</w:t>
      </w:r>
      <w:r>
        <w:t xml:space="preserve">-C, </w:t>
      </w:r>
      <w:r w:rsidRPr="00417B14">
        <w:t>QS10</w:t>
      </w:r>
      <w:r>
        <w:t>-C</w:t>
      </w:r>
      <w:r w:rsidRPr="00417B14">
        <w:t>, QS8</w:t>
      </w:r>
      <w:r>
        <w:t>-C</w:t>
      </w:r>
      <w:r w:rsidRPr="00417B14">
        <w:t>, QS6</w:t>
      </w:r>
      <w:r>
        <w:t>-C</w:t>
      </w:r>
      <w:r w:rsidRPr="00417B14">
        <w:t>, and QS4</w:t>
      </w:r>
      <w:r>
        <w:t>-C.</w:t>
      </w:r>
    </w:p>
    <w:p w14:paraId="04E2A845" w14:textId="77777777" w:rsidR="0098642B" w:rsidRDefault="0098642B" w:rsidP="0098642B">
      <w:pPr>
        <w:pStyle w:val="ListBullet"/>
      </w:pPr>
      <w:r>
        <w:t xml:space="preserve">Bioavailability of </w:t>
      </w:r>
      <w:r w:rsidR="0061481A">
        <w:t>idebenone</w:t>
      </w:r>
      <w:r>
        <w:t xml:space="preserve"> and its metabolites is increased by food intake (</w:t>
      </w:r>
      <w:r w:rsidR="0061481A">
        <w:t>for example</w:t>
      </w:r>
      <w:r>
        <w:t xml:space="preserve"> </w:t>
      </w:r>
      <w:r w:rsidR="003173BB">
        <w:t xml:space="preserve">approximately </w:t>
      </w:r>
      <w:r w:rsidRPr="00575F97">
        <w:t>7</w:t>
      </w:r>
      <w:r w:rsidR="003173BB">
        <w:t xml:space="preserve"> fold</w:t>
      </w:r>
      <w:r>
        <w:t xml:space="preserve"> increase in </w:t>
      </w:r>
      <w:r w:rsidRPr="00575F97">
        <w:t>AUC</w:t>
      </w:r>
      <w:r w:rsidRPr="00575F97">
        <w:rPr>
          <w:vertAlign w:val="subscript"/>
        </w:rPr>
        <w:t xml:space="preserve">0-t </w:t>
      </w:r>
      <w:r w:rsidRPr="00575F97">
        <w:t>and</w:t>
      </w:r>
      <w:r>
        <w:t xml:space="preserve"> </w:t>
      </w:r>
      <w:r w:rsidRPr="00575F97">
        <w:t>5</w:t>
      </w:r>
      <w:r w:rsidR="003173BB">
        <w:t xml:space="preserve"> fold</w:t>
      </w:r>
      <w:r w:rsidRPr="00575F97">
        <w:t xml:space="preserve"> </w:t>
      </w:r>
      <w:r>
        <w:t xml:space="preserve">increase in </w:t>
      </w:r>
      <w:r w:rsidRPr="00575F97">
        <w:t>C</w:t>
      </w:r>
      <w:r w:rsidRPr="00575F97">
        <w:rPr>
          <w:vertAlign w:val="subscript"/>
        </w:rPr>
        <w:t>max</w:t>
      </w:r>
      <w:r w:rsidRPr="00575F97">
        <w:t xml:space="preserve"> </w:t>
      </w:r>
      <w:r>
        <w:t>for</w:t>
      </w:r>
      <w:r w:rsidRPr="00575F97">
        <w:t xml:space="preserve"> </w:t>
      </w:r>
      <w:r w:rsidR="0061481A">
        <w:t>idebenone</w:t>
      </w:r>
      <w:r>
        <w:t xml:space="preserve"> compared to fasting conditions).</w:t>
      </w:r>
    </w:p>
    <w:p w14:paraId="065E0163" w14:textId="77777777" w:rsidR="0098642B" w:rsidRDefault="0098642B" w:rsidP="0098642B">
      <w:pPr>
        <w:pStyle w:val="ListBullet"/>
      </w:pPr>
      <w:r w:rsidRPr="00575F97">
        <w:t>Systemic exposure to idebenone (AUC</w:t>
      </w:r>
      <w:r w:rsidRPr="00575F97">
        <w:rPr>
          <w:vertAlign w:val="subscript"/>
        </w:rPr>
        <w:t>0-t</w:t>
      </w:r>
      <w:r w:rsidRPr="00575F97">
        <w:t xml:space="preserve">) increased </w:t>
      </w:r>
      <w:r>
        <w:t>slightly more</w:t>
      </w:r>
      <w:r w:rsidRPr="00575F97">
        <w:t xml:space="preserve"> than dose proportionately</w:t>
      </w:r>
      <w:r>
        <w:t xml:space="preserve"> (</w:t>
      </w:r>
      <w:r w:rsidR="003173BB">
        <w:t xml:space="preserve">approximately </w:t>
      </w:r>
      <w:r>
        <w:t>2.5</w:t>
      </w:r>
      <w:r w:rsidR="003173BB">
        <w:t xml:space="preserve"> fold</w:t>
      </w:r>
      <w:r>
        <w:t>).</w:t>
      </w:r>
    </w:p>
    <w:p w14:paraId="5F67EDC8" w14:textId="77777777" w:rsidR="0098642B" w:rsidRDefault="0098642B" w:rsidP="0098642B">
      <w:pPr>
        <w:pStyle w:val="ListBullet"/>
      </w:pPr>
      <w:r>
        <w:t xml:space="preserve">There is minimal accumulation </w:t>
      </w:r>
      <w:r w:rsidRPr="00E43AE3">
        <w:t xml:space="preserve">of </w:t>
      </w:r>
      <w:r w:rsidR="0061481A">
        <w:t>idebenone</w:t>
      </w:r>
      <w:r w:rsidRPr="00E43AE3">
        <w:t xml:space="preserve"> in plasma, consistent with a short half-life relative to the dosing interval.</w:t>
      </w:r>
    </w:p>
    <w:p w14:paraId="311A020D" w14:textId="77777777" w:rsidR="0098642B" w:rsidRDefault="0098642B" w:rsidP="0098642B">
      <w:pPr>
        <w:pStyle w:val="ListBullet"/>
      </w:pPr>
      <w:r>
        <w:t>The main metabolites are eliminated primarily via the kidneys.</w:t>
      </w:r>
    </w:p>
    <w:p w14:paraId="4DCD71E2" w14:textId="77777777" w:rsidR="0098642B" w:rsidRPr="00BA6FAC" w:rsidRDefault="0098642B" w:rsidP="0098642B">
      <w:pPr>
        <w:rPr>
          <w:lang w:eastAsia="ja-JP"/>
        </w:rPr>
      </w:pPr>
      <w:r>
        <w:rPr>
          <w:lang w:eastAsia="ja-JP"/>
        </w:rPr>
        <w:t xml:space="preserve">No absolute bioavailability study was conducted, however </w:t>
      </w:r>
      <w:r w:rsidRPr="00575F97">
        <w:rPr>
          <w:lang w:val="en" w:eastAsia="ja-JP"/>
        </w:rPr>
        <w:t>given the lack of an IV formulation and the safety and efficacy data presented for the proposed oral formulation</w:t>
      </w:r>
      <w:r>
        <w:rPr>
          <w:lang w:val="en" w:eastAsia="ja-JP"/>
        </w:rPr>
        <w:t>,</w:t>
      </w:r>
      <w:r w:rsidRPr="00575F97">
        <w:rPr>
          <w:lang w:eastAsia="ja-JP"/>
        </w:rPr>
        <w:t xml:space="preserve"> </w:t>
      </w:r>
      <w:r>
        <w:rPr>
          <w:lang w:eastAsia="ja-JP"/>
        </w:rPr>
        <w:t>the justification provided by the sponsor was considered acceptable.</w:t>
      </w:r>
    </w:p>
    <w:p w14:paraId="5D96B7AD" w14:textId="13A55CE5" w:rsidR="0098642B" w:rsidRPr="000808DD" w:rsidRDefault="0098642B" w:rsidP="0098642B">
      <w:pPr>
        <w:rPr>
          <w:rFonts w:asciiTheme="minorHAnsi" w:hAnsiTheme="minorHAnsi"/>
          <w:lang w:eastAsia="ja-JP"/>
        </w:rPr>
      </w:pPr>
      <w:r w:rsidRPr="002F63C1">
        <w:rPr>
          <w:lang w:eastAsia="ja-JP"/>
        </w:rPr>
        <w:t>The age ranges studied in</w:t>
      </w:r>
      <w:r w:rsidRPr="00BE3C3B">
        <w:rPr>
          <w:lang w:eastAsia="ja-JP"/>
        </w:rPr>
        <w:t xml:space="preserve"> patients </w:t>
      </w:r>
      <w:r w:rsidRPr="00EC1D27">
        <w:rPr>
          <w:lang w:eastAsia="ja-JP"/>
        </w:rPr>
        <w:t>(9.4 to 16.4 years)</w:t>
      </w:r>
      <w:r>
        <w:rPr>
          <w:lang w:eastAsia="ja-JP"/>
        </w:rPr>
        <w:t xml:space="preserve"> and </w:t>
      </w:r>
      <w:r w:rsidRPr="00BE3C3B">
        <w:rPr>
          <w:lang w:eastAsia="ja-JP"/>
        </w:rPr>
        <w:t>healthy volunteers</w:t>
      </w:r>
      <w:r>
        <w:rPr>
          <w:lang w:eastAsia="ja-JP"/>
        </w:rPr>
        <w:t xml:space="preserve"> </w:t>
      </w:r>
      <w:r w:rsidRPr="00EC1D27">
        <w:rPr>
          <w:lang w:eastAsia="ja-JP"/>
        </w:rPr>
        <w:t xml:space="preserve">(19 to </w:t>
      </w:r>
      <w:r>
        <w:rPr>
          <w:lang w:eastAsia="ja-JP"/>
        </w:rPr>
        <w:t xml:space="preserve">41 years) </w:t>
      </w:r>
      <w:r w:rsidRPr="00BE3C3B">
        <w:rPr>
          <w:lang w:eastAsia="ja-JP"/>
        </w:rPr>
        <w:t>is appropriate for the indication sought</w:t>
      </w:r>
      <w:r>
        <w:rPr>
          <w:lang w:eastAsia="ja-JP"/>
        </w:rPr>
        <w:t>, although the numbers were very limited in the DMD population (N</w:t>
      </w:r>
      <w:r w:rsidR="0061481A">
        <w:rPr>
          <w:lang w:eastAsia="ja-JP"/>
        </w:rPr>
        <w:t xml:space="preserve"> = </w:t>
      </w:r>
      <w:r>
        <w:rPr>
          <w:lang w:eastAsia="ja-JP"/>
        </w:rPr>
        <w:t>13</w:t>
      </w:r>
      <w:r w:rsidRPr="000808DD">
        <w:rPr>
          <w:lang w:eastAsia="ja-JP"/>
        </w:rPr>
        <w:t>).</w:t>
      </w:r>
      <w:r w:rsidR="00DB3203">
        <w:rPr>
          <w:lang w:eastAsia="ja-JP"/>
        </w:rPr>
        <w:t xml:space="preserve"> </w:t>
      </w:r>
      <w:r w:rsidRPr="000808DD">
        <w:rPr>
          <w:lang w:eastAsia="ja-JP"/>
        </w:rPr>
        <w:t xml:space="preserve">While the sponsor stated that overall exposures of idebenone and its </w:t>
      </w:r>
      <w:r w:rsidRPr="000808DD">
        <w:rPr>
          <w:rFonts w:asciiTheme="minorHAnsi" w:hAnsiTheme="minorHAnsi"/>
          <w:lang w:eastAsia="ja-JP"/>
        </w:rPr>
        <w:t xml:space="preserve">metabolites </w:t>
      </w:r>
      <w:r w:rsidR="00685A72">
        <w:rPr>
          <w:rFonts w:asciiTheme="minorHAnsi" w:hAnsiTheme="minorHAnsi"/>
          <w:lang w:eastAsia="ja-JP"/>
        </w:rPr>
        <w:t>‘</w:t>
      </w:r>
      <w:r w:rsidRPr="000808DD">
        <w:rPr>
          <w:rFonts w:asciiTheme="minorHAnsi" w:hAnsiTheme="minorHAnsi"/>
          <w:i/>
          <w:lang w:eastAsia="ja-JP"/>
        </w:rPr>
        <w:t>were comparable between the DMD patients and healthy subjects</w:t>
      </w:r>
      <w:r w:rsidR="00685A72">
        <w:rPr>
          <w:rFonts w:asciiTheme="minorHAnsi" w:hAnsiTheme="minorHAnsi"/>
          <w:lang w:eastAsia="ja-JP"/>
        </w:rPr>
        <w:t>’</w:t>
      </w:r>
      <w:r w:rsidRPr="000808DD">
        <w:rPr>
          <w:rFonts w:asciiTheme="minorHAnsi" w:hAnsiTheme="minorHAnsi"/>
          <w:lang w:eastAsia="ja-JP"/>
        </w:rPr>
        <w:t xml:space="preserve"> this comparison is limited because of the timing of the PK samples and difference in idebenone </w:t>
      </w:r>
      <w:r w:rsidR="0061481A">
        <w:rPr>
          <w:rFonts w:asciiTheme="minorHAnsi" w:hAnsiTheme="minorHAnsi"/>
          <w:lang w:eastAsia="ja-JP"/>
        </w:rPr>
        <w:t>doses administered (150 to</w:t>
      </w:r>
      <w:r w:rsidRPr="000808DD">
        <w:rPr>
          <w:rFonts w:asciiTheme="minorHAnsi" w:hAnsiTheme="minorHAnsi"/>
          <w:lang w:eastAsia="ja-JP"/>
        </w:rPr>
        <w:t xml:space="preserve"> 750 mg single or </w:t>
      </w:r>
      <w:r w:rsidR="00ED6165">
        <w:t>three times daily (</w:t>
      </w:r>
      <w:r w:rsidR="00ED6165" w:rsidRPr="000808DD">
        <w:rPr>
          <w:rFonts w:asciiTheme="minorHAnsi" w:hAnsiTheme="minorHAnsi"/>
          <w:lang w:eastAsia="ja-JP"/>
        </w:rPr>
        <w:t>TDS</w:t>
      </w:r>
      <w:r w:rsidR="00ED6165">
        <w:rPr>
          <w:rFonts w:asciiTheme="minorHAnsi" w:hAnsiTheme="minorHAnsi"/>
          <w:lang w:eastAsia="ja-JP"/>
        </w:rPr>
        <w:t>)</w:t>
      </w:r>
      <w:r w:rsidRPr="000808DD">
        <w:rPr>
          <w:rFonts w:asciiTheme="minorHAnsi" w:hAnsiTheme="minorHAnsi"/>
          <w:lang w:eastAsia="ja-JP"/>
        </w:rPr>
        <w:t xml:space="preserve"> doses for up to 14 days in healthy volunteers </w:t>
      </w:r>
      <w:r w:rsidR="0061481A" w:rsidRPr="0061481A">
        <w:rPr>
          <w:rFonts w:asciiTheme="minorHAnsi" w:hAnsiTheme="minorHAnsi"/>
          <w:lang w:eastAsia="ja-JP"/>
        </w:rPr>
        <w:t>versus</w:t>
      </w:r>
      <w:r w:rsidRPr="000808DD">
        <w:rPr>
          <w:rFonts w:asciiTheme="minorHAnsi" w:hAnsiTheme="minorHAnsi"/>
          <w:lang w:eastAsia="ja-JP"/>
        </w:rPr>
        <w:t xml:space="preserve"> 150 mg </w:t>
      </w:r>
      <w:r w:rsidR="00ED6165" w:rsidRPr="000808DD">
        <w:rPr>
          <w:rFonts w:asciiTheme="minorHAnsi" w:hAnsiTheme="minorHAnsi"/>
          <w:lang w:eastAsia="ja-JP"/>
        </w:rPr>
        <w:t>TDS</w:t>
      </w:r>
      <w:r w:rsidRPr="000808DD">
        <w:rPr>
          <w:rFonts w:asciiTheme="minorHAnsi" w:hAnsiTheme="minorHAnsi"/>
          <w:lang w:eastAsia="ja-JP"/>
        </w:rPr>
        <w:t xml:space="preserve"> for 26 and 52 weeks in </w:t>
      </w:r>
      <w:r w:rsidR="00D41706">
        <w:rPr>
          <w:rFonts w:asciiTheme="minorHAnsi" w:hAnsiTheme="minorHAnsi"/>
          <w:lang w:eastAsia="ja-JP"/>
        </w:rPr>
        <w:t xml:space="preserve">the </w:t>
      </w:r>
      <w:r w:rsidRPr="000808DD">
        <w:rPr>
          <w:rFonts w:asciiTheme="minorHAnsi" w:hAnsiTheme="minorHAnsi"/>
          <w:lang w:eastAsia="ja-JP"/>
        </w:rPr>
        <w:t>DELPHI</w:t>
      </w:r>
      <w:r w:rsidR="00D41706">
        <w:rPr>
          <w:rFonts w:asciiTheme="minorHAnsi" w:hAnsiTheme="minorHAnsi"/>
          <w:lang w:eastAsia="ja-JP"/>
        </w:rPr>
        <w:t xml:space="preserve"> study</w:t>
      </w:r>
      <w:r w:rsidRPr="000808DD">
        <w:rPr>
          <w:rFonts w:asciiTheme="minorHAnsi" w:hAnsiTheme="minorHAnsi"/>
          <w:lang w:eastAsia="ja-JP"/>
        </w:rPr>
        <w:t>).</w:t>
      </w:r>
      <w:r w:rsidR="00DB3203">
        <w:rPr>
          <w:rFonts w:asciiTheme="minorHAnsi" w:hAnsiTheme="minorHAnsi"/>
          <w:lang w:eastAsia="ja-JP"/>
        </w:rPr>
        <w:t xml:space="preserve"> </w:t>
      </w:r>
      <w:r w:rsidRPr="000808DD">
        <w:rPr>
          <w:rFonts w:asciiTheme="minorHAnsi" w:hAnsiTheme="minorHAnsi"/>
          <w:lang w:eastAsia="ja-JP"/>
        </w:rPr>
        <w:t>However, bearing these limitations in mind, the PK data in DMD patients was not incompatible with that of healthy volunteers at the time points measured.</w:t>
      </w:r>
    </w:p>
    <w:p w14:paraId="7A115A1C" w14:textId="2F9624E7" w:rsidR="0098642B" w:rsidRDefault="0098642B" w:rsidP="0098642B">
      <w:pPr>
        <w:rPr>
          <w:rFonts w:asciiTheme="minorHAnsi" w:hAnsiTheme="minorHAnsi"/>
          <w:highlight w:val="green"/>
          <w:lang w:eastAsia="ja-JP"/>
        </w:rPr>
      </w:pPr>
      <w:r w:rsidRPr="000808DD">
        <w:rPr>
          <w:rFonts w:asciiTheme="minorHAnsi" w:hAnsiTheme="minorHAnsi"/>
          <w:lang w:eastAsia="ja-JP"/>
        </w:rPr>
        <w:t xml:space="preserve">A PPK model was developed using data from the healthy volunteers in the </w:t>
      </w:r>
      <w:r>
        <w:rPr>
          <w:rFonts w:asciiTheme="minorHAnsi" w:hAnsiTheme="minorHAnsi"/>
          <w:lang w:eastAsia="ja-JP"/>
        </w:rPr>
        <w:t>four</w:t>
      </w:r>
      <w:r w:rsidRPr="000808DD">
        <w:rPr>
          <w:rFonts w:asciiTheme="minorHAnsi" w:hAnsiTheme="minorHAnsi"/>
          <w:lang w:eastAsia="ja-JP"/>
        </w:rPr>
        <w:t xml:space="preserve"> Phase I PK studies and 222 </w:t>
      </w:r>
      <w:r w:rsidR="00D41706">
        <w:rPr>
          <w:rFonts w:asciiTheme="minorHAnsi" w:hAnsiTheme="minorHAnsi"/>
          <w:lang w:eastAsia="ja-JP"/>
        </w:rPr>
        <w:t>Friedrich’s ataxia</w:t>
      </w:r>
      <w:r w:rsidRPr="000808DD">
        <w:rPr>
          <w:rFonts w:asciiTheme="minorHAnsi" w:hAnsiTheme="minorHAnsi"/>
          <w:lang w:eastAsia="ja-JP"/>
        </w:rPr>
        <w:t>/</w:t>
      </w:r>
      <w:r w:rsidR="00D41706" w:rsidRPr="000808DD">
        <w:rPr>
          <w:rFonts w:asciiTheme="minorHAnsi" w:hAnsiTheme="minorHAnsi"/>
          <w:lang w:eastAsia="ja-JP"/>
        </w:rPr>
        <w:t>L</w:t>
      </w:r>
      <w:r w:rsidR="00D41706">
        <w:rPr>
          <w:rFonts w:asciiTheme="minorHAnsi" w:hAnsiTheme="minorHAnsi"/>
          <w:lang w:eastAsia="ja-JP"/>
        </w:rPr>
        <w:t>eber’s hereditary optic neuropathy</w:t>
      </w:r>
      <w:r w:rsidR="00D41706" w:rsidRPr="000808DD">
        <w:rPr>
          <w:rFonts w:asciiTheme="minorHAnsi" w:hAnsiTheme="minorHAnsi"/>
          <w:lang w:eastAsia="ja-JP"/>
        </w:rPr>
        <w:t xml:space="preserve"> </w:t>
      </w:r>
      <w:r w:rsidRPr="000808DD">
        <w:rPr>
          <w:rFonts w:asciiTheme="minorHAnsi" w:hAnsiTheme="minorHAnsi"/>
          <w:lang w:eastAsia="ja-JP"/>
        </w:rPr>
        <w:t>patients (aged 8 to 70 years).</w:t>
      </w:r>
      <w:r w:rsidR="00DB3203">
        <w:rPr>
          <w:rFonts w:asciiTheme="minorHAnsi" w:hAnsiTheme="minorHAnsi"/>
          <w:lang w:eastAsia="ja-JP"/>
        </w:rPr>
        <w:t xml:space="preserve"> </w:t>
      </w:r>
      <w:r w:rsidRPr="000808DD">
        <w:rPr>
          <w:rFonts w:asciiTheme="minorHAnsi" w:hAnsiTheme="minorHAnsi"/>
          <w:lang w:eastAsia="ja-JP"/>
        </w:rPr>
        <w:t xml:space="preserve">The </w:t>
      </w:r>
      <w:r w:rsidR="0061481A">
        <w:rPr>
          <w:rFonts w:asciiTheme="minorHAnsi" w:hAnsiTheme="minorHAnsi"/>
          <w:lang w:eastAsia="ja-JP"/>
        </w:rPr>
        <w:t>idebenone</w:t>
      </w:r>
      <w:r w:rsidRPr="000808DD">
        <w:rPr>
          <w:rFonts w:asciiTheme="minorHAnsi" w:hAnsiTheme="minorHAnsi"/>
          <w:lang w:eastAsia="ja-JP"/>
        </w:rPr>
        <w:t xml:space="preserve"> plasma concentration-time data was adequately described by a one-compartment model with first-order absorption and elimination.</w:t>
      </w:r>
      <w:r w:rsidR="00DB3203">
        <w:rPr>
          <w:rFonts w:asciiTheme="minorHAnsi" w:hAnsiTheme="minorHAnsi"/>
          <w:lang w:eastAsia="ja-JP"/>
        </w:rPr>
        <w:t xml:space="preserve"> </w:t>
      </w:r>
      <w:r w:rsidRPr="000808DD">
        <w:rPr>
          <w:rFonts w:asciiTheme="minorHAnsi" w:hAnsiTheme="minorHAnsi"/>
          <w:lang w:eastAsia="ja-JP"/>
        </w:rPr>
        <w:t xml:space="preserve">Of the covariates tested, only body </w:t>
      </w:r>
      <w:r w:rsidRPr="00C420B0">
        <w:rPr>
          <w:rFonts w:asciiTheme="minorHAnsi" w:hAnsiTheme="minorHAnsi"/>
          <w:lang w:eastAsia="ja-JP"/>
        </w:rPr>
        <w:t xml:space="preserve">weight on </w:t>
      </w:r>
      <w:r w:rsidR="00D41706">
        <w:rPr>
          <w:rFonts w:asciiTheme="minorHAnsi" w:hAnsiTheme="minorHAnsi"/>
          <w:lang w:eastAsia="ja-JP"/>
        </w:rPr>
        <w:t>clearance (CL)</w:t>
      </w:r>
      <w:r w:rsidRPr="00C420B0">
        <w:rPr>
          <w:rFonts w:asciiTheme="minorHAnsi" w:hAnsiTheme="minorHAnsi"/>
          <w:lang w:eastAsia="ja-JP"/>
        </w:rPr>
        <w:t xml:space="preserve"> and food on </w:t>
      </w:r>
      <w:r w:rsidR="00D41706">
        <w:rPr>
          <w:rFonts w:asciiTheme="minorHAnsi" w:hAnsiTheme="minorHAnsi"/>
          <w:lang w:eastAsia="ja-JP"/>
        </w:rPr>
        <w:t>absorption rate (</w:t>
      </w:r>
      <w:r w:rsidRPr="00C420B0">
        <w:rPr>
          <w:rFonts w:asciiTheme="minorHAnsi" w:hAnsiTheme="minorHAnsi"/>
          <w:lang w:eastAsia="ja-JP"/>
        </w:rPr>
        <w:t>KA</w:t>
      </w:r>
      <w:r w:rsidR="00D41706">
        <w:rPr>
          <w:rFonts w:asciiTheme="minorHAnsi" w:hAnsiTheme="minorHAnsi"/>
          <w:lang w:eastAsia="ja-JP"/>
        </w:rPr>
        <w:t>)</w:t>
      </w:r>
      <w:r w:rsidRPr="00C420B0">
        <w:rPr>
          <w:rFonts w:asciiTheme="minorHAnsi" w:hAnsiTheme="minorHAnsi"/>
          <w:lang w:eastAsia="ja-JP"/>
        </w:rPr>
        <w:t xml:space="preserve"> and </w:t>
      </w:r>
      <w:r w:rsidR="00D41706">
        <w:rPr>
          <w:rFonts w:asciiTheme="minorHAnsi" w:hAnsiTheme="minorHAnsi"/>
          <w:lang w:eastAsia="ja-JP"/>
        </w:rPr>
        <w:t>oral clearance (CL/</w:t>
      </w:r>
      <w:r w:rsidRPr="00C420B0">
        <w:rPr>
          <w:rFonts w:asciiTheme="minorHAnsi" w:hAnsiTheme="minorHAnsi"/>
          <w:lang w:eastAsia="ja-JP"/>
        </w:rPr>
        <w:t>F</w:t>
      </w:r>
      <w:r w:rsidR="00D41706">
        <w:rPr>
          <w:rFonts w:asciiTheme="minorHAnsi" w:hAnsiTheme="minorHAnsi"/>
          <w:lang w:eastAsia="ja-JP"/>
        </w:rPr>
        <w:t>)</w:t>
      </w:r>
      <w:r w:rsidRPr="00C420B0">
        <w:rPr>
          <w:rFonts w:asciiTheme="minorHAnsi" w:hAnsiTheme="minorHAnsi"/>
          <w:lang w:eastAsia="ja-JP"/>
        </w:rPr>
        <w:t xml:space="preserve"> were</w:t>
      </w:r>
      <w:r w:rsidRPr="000808DD">
        <w:rPr>
          <w:rFonts w:asciiTheme="minorHAnsi" w:hAnsiTheme="minorHAnsi"/>
          <w:lang w:eastAsia="ja-JP"/>
        </w:rPr>
        <w:t xml:space="preserve"> found to be significant.</w:t>
      </w:r>
      <w:r w:rsidR="00DB3203">
        <w:rPr>
          <w:rFonts w:asciiTheme="minorHAnsi" w:hAnsiTheme="minorHAnsi"/>
          <w:lang w:eastAsia="ja-JP"/>
        </w:rPr>
        <w:t xml:space="preserve"> </w:t>
      </w:r>
      <w:r w:rsidRPr="000808DD">
        <w:rPr>
          <w:lang w:eastAsia="ja-JP"/>
        </w:rPr>
        <w:t>Despite a reduction in apparent oral clearance of idebenone reported in the</w:t>
      </w:r>
      <w:r w:rsidRPr="00BE3C3B">
        <w:rPr>
          <w:lang w:eastAsia="ja-JP"/>
        </w:rPr>
        <w:t xml:space="preserve"> PopPK analysis for the lightest subjects (correlated with younger age) compared with a 70 kg subject (CL/F estimated to be 0.54</w:t>
      </w:r>
      <w:r w:rsidR="003173BB">
        <w:rPr>
          <w:lang w:eastAsia="ja-JP"/>
        </w:rPr>
        <w:t xml:space="preserve"> fold</w:t>
      </w:r>
      <w:r w:rsidRPr="00BE3C3B">
        <w:rPr>
          <w:lang w:eastAsia="ja-JP"/>
        </w:rPr>
        <w:t>), on the basis of the safety profile of idebenone</w:t>
      </w:r>
      <w:r>
        <w:rPr>
          <w:lang w:eastAsia="ja-JP"/>
        </w:rPr>
        <w:t>,</w:t>
      </w:r>
      <w:r w:rsidRPr="00BE3C3B">
        <w:rPr>
          <w:lang w:eastAsia="ja-JP"/>
        </w:rPr>
        <w:t xml:space="preserve"> age adjusted dosing does not appear to be required.</w:t>
      </w:r>
    </w:p>
    <w:p w14:paraId="06BAE474" w14:textId="77777777" w:rsidR="0098642B" w:rsidRPr="00283771" w:rsidRDefault="0098642B" w:rsidP="0098642B">
      <w:pPr>
        <w:rPr>
          <w:lang w:eastAsia="ja-JP"/>
        </w:rPr>
      </w:pPr>
      <w:r w:rsidRPr="00283771">
        <w:rPr>
          <w:lang w:eastAsia="ja-JP"/>
        </w:rPr>
        <w:t>The PK information presented in the PI is considered satisfactory.</w:t>
      </w:r>
    </w:p>
    <w:p w14:paraId="4ADAE86B" w14:textId="77777777" w:rsidR="00500337" w:rsidRPr="00500337" w:rsidRDefault="0098642B" w:rsidP="00500337">
      <w:pPr>
        <w:rPr>
          <w:lang w:eastAsia="ja-JP"/>
        </w:rPr>
      </w:pPr>
      <w:r w:rsidRPr="00283771">
        <w:rPr>
          <w:lang w:eastAsia="ja-JP"/>
        </w:rPr>
        <w:t>The sponsor has identified that there is an ongoing interaction study of Raxone with midazolam being conducted in healthy male volunteers.</w:t>
      </w:r>
      <w:r w:rsidR="00DB3203">
        <w:rPr>
          <w:lang w:eastAsia="ja-JP"/>
        </w:rPr>
        <w:t xml:space="preserve"> </w:t>
      </w:r>
      <w:r w:rsidRPr="00283771">
        <w:rPr>
          <w:lang w:eastAsia="ja-JP"/>
        </w:rPr>
        <w:t>The results of this study should be provided as a condition of registration once it is completed.</w:t>
      </w:r>
    </w:p>
    <w:p w14:paraId="4B132624" w14:textId="77777777" w:rsidR="008E7846" w:rsidRDefault="008E7846" w:rsidP="008E7846">
      <w:pPr>
        <w:pStyle w:val="Heading3"/>
      </w:pPr>
      <w:bookmarkStart w:id="101" w:name="_Toc196046481"/>
      <w:bookmarkStart w:id="102" w:name="_Toc247691520"/>
      <w:bookmarkStart w:id="103" w:name="_Toc314842503"/>
      <w:bookmarkStart w:id="104" w:name="_Toc32828534"/>
      <w:r w:rsidRPr="00254787">
        <w:lastRenderedPageBreak/>
        <w:t>Pharmacodynamics</w:t>
      </w:r>
      <w:bookmarkEnd w:id="77"/>
      <w:bookmarkEnd w:id="101"/>
      <w:bookmarkEnd w:id="102"/>
      <w:bookmarkEnd w:id="103"/>
      <w:bookmarkEnd w:id="104"/>
    </w:p>
    <w:p w14:paraId="38AB01AE" w14:textId="77777777" w:rsidR="00605AD4" w:rsidRDefault="00605AD4" w:rsidP="00605AD4">
      <w:pPr>
        <w:pStyle w:val="Heading4"/>
      </w:pPr>
      <w:r>
        <w:t>Studies providing pharmacodynamic data</w:t>
      </w:r>
    </w:p>
    <w:p w14:paraId="136C3872" w14:textId="77777777" w:rsidR="00DA7618" w:rsidRDefault="00DA7618" w:rsidP="00DA7618">
      <w:pPr>
        <w:rPr>
          <w:lang w:eastAsia="ja-JP"/>
        </w:rPr>
      </w:pPr>
      <w:r>
        <w:rPr>
          <w:lang w:eastAsia="ja-JP"/>
        </w:rPr>
        <w:t>The primary and secondary pharmacodynamics of idebenone has been assessed in non-clinical studies and will be evaluated by the nonclinical evaluator.</w:t>
      </w:r>
    </w:p>
    <w:p w14:paraId="39BE24C9" w14:textId="12AF0624" w:rsidR="00DA7618" w:rsidRPr="00DA64E7" w:rsidRDefault="00DA7618" w:rsidP="00DA7618">
      <w:pPr>
        <w:rPr>
          <w:rFonts w:asciiTheme="minorHAnsi" w:eastAsiaTheme="minorHAnsi" w:hAnsiTheme="minorHAnsi"/>
          <w:color w:val="000000"/>
        </w:rPr>
      </w:pPr>
      <w:r w:rsidRPr="00DA64E7">
        <w:rPr>
          <w:rFonts w:asciiTheme="minorHAnsi" w:hAnsiTheme="minorHAnsi"/>
          <w:lang w:eastAsia="ja-JP"/>
        </w:rPr>
        <w:t>The sponsor stated that no pharmacodynamic studies have been conducted with Raxone in DMD patients</w:t>
      </w:r>
      <w:r w:rsidR="00640C58">
        <w:rPr>
          <w:rFonts w:asciiTheme="minorHAnsi" w:hAnsiTheme="minorHAnsi"/>
          <w:lang w:eastAsia="ja-JP"/>
        </w:rPr>
        <w:t>.</w:t>
      </w:r>
      <w:r w:rsidRPr="00DA64E7">
        <w:rPr>
          <w:rStyle w:val="FootnoteReference"/>
          <w:rFonts w:asciiTheme="minorHAnsi" w:hAnsiTheme="minorHAnsi"/>
          <w:lang w:eastAsia="ja-JP"/>
        </w:rPr>
        <w:footnoteReference w:id="31"/>
      </w:r>
      <w:r w:rsidR="00DB3203">
        <w:rPr>
          <w:rFonts w:asciiTheme="minorHAnsi" w:hAnsiTheme="minorHAnsi"/>
          <w:lang w:eastAsia="ja-JP"/>
        </w:rPr>
        <w:t xml:space="preserve"> </w:t>
      </w:r>
      <w:r w:rsidR="00C420B0" w:rsidRPr="00DA64E7">
        <w:rPr>
          <w:rFonts w:asciiTheme="minorHAnsi" w:hAnsiTheme="minorHAnsi"/>
          <w:lang w:eastAsia="ja-JP"/>
        </w:rPr>
        <w:t>However,</w:t>
      </w:r>
      <w:r w:rsidRPr="00DA64E7">
        <w:rPr>
          <w:rFonts w:asciiTheme="minorHAnsi" w:hAnsiTheme="minorHAnsi"/>
          <w:lang w:eastAsia="ja-JP"/>
        </w:rPr>
        <w:t xml:space="preserve"> in </w:t>
      </w:r>
      <w:r w:rsidR="003173BB">
        <w:rPr>
          <w:rFonts w:asciiTheme="minorHAnsi" w:hAnsiTheme="minorHAnsi"/>
          <w:lang w:eastAsia="ja-JP"/>
        </w:rPr>
        <w:t>Study</w:t>
      </w:r>
      <w:r w:rsidRPr="00DA64E7">
        <w:rPr>
          <w:rFonts w:asciiTheme="minorHAnsi" w:hAnsiTheme="minorHAnsi"/>
          <w:lang w:eastAsia="ja-JP"/>
        </w:rPr>
        <w:t xml:space="preserve"> SNT-I-003, the potential enzyme inducing effect of single and repeated idebenone doses (150 mg or 5 x 150 mg </w:t>
      </w:r>
      <w:r w:rsidR="00ED6165" w:rsidRPr="00DA64E7">
        <w:rPr>
          <w:rFonts w:asciiTheme="minorHAnsi" w:hAnsiTheme="minorHAnsi"/>
          <w:lang w:eastAsia="ja-JP"/>
        </w:rPr>
        <w:t>TDS</w:t>
      </w:r>
      <w:r w:rsidRPr="00DA64E7">
        <w:rPr>
          <w:rFonts w:asciiTheme="minorHAnsi" w:hAnsiTheme="minorHAnsi"/>
          <w:lang w:eastAsia="ja-JP"/>
        </w:rPr>
        <w:t>) on the urinary excretion of cortisone and 6-β-OH-cortisone was assessed.</w:t>
      </w:r>
      <w:r w:rsidR="00DB3203">
        <w:rPr>
          <w:rFonts w:asciiTheme="minorHAnsi" w:hAnsiTheme="minorHAnsi"/>
          <w:lang w:eastAsia="ja-JP"/>
        </w:rPr>
        <w:t xml:space="preserve"> </w:t>
      </w:r>
      <w:r w:rsidRPr="00DA64E7">
        <w:rPr>
          <w:rFonts w:asciiTheme="minorHAnsi" w:hAnsiTheme="minorHAnsi"/>
          <w:lang w:eastAsia="ja-JP"/>
        </w:rPr>
        <w:t>Based on this analysis, there was no</w:t>
      </w:r>
      <w:r w:rsidRPr="00DA64E7">
        <w:rPr>
          <w:rFonts w:asciiTheme="minorHAnsi" w:eastAsiaTheme="minorHAnsi" w:hAnsiTheme="minorHAnsi"/>
          <w:color w:val="000000"/>
        </w:rPr>
        <w:t xml:space="preserve"> indication of an inducing effect of idebenone on drug metabolising enzymes when given in daily doses up to 750 mg </w:t>
      </w:r>
      <w:r w:rsidR="00ED6165">
        <w:rPr>
          <w:rFonts w:asciiTheme="minorHAnsi" w:eastAsiaTheme="minorHAnsi" w:hAnsiTheme="minorHAnsi"/>
          <w:color w:val="000000"/>
        </w:rPr>
        <w:t>TDS</w:t>
      </w:r>
      <w:r>
        <w:rPr>
          <w:rFonts w:asciiTheme="minorHAnsi" w:eastAsiaTheme="minorHAnsi" w:hAnsiTheme="minorHAnsi"/>
          <w:color w:val="000000"/>
        </w:rPr>
        <w:t xml:space="preserve"> </w:t>
      </w:r>
      <w:r w:rsidRPr="00DA64E7">
        <w:rPr>
          <w:rFonts w:asciiTheme="minorHAnsi" w:eastAsiaTheme="minorHAnsi" w:hAnsiTheme="minorHAnsi"/>
          <w:color w:val="000000"/>
        </w:rPr>
        <w:t>for two weeks.</w:t>
      </w:r>
    </w:p>
    <w:p w14:paraId="4E9615C6" w14:textId="77777777" w:rsidR="00605AD4" w:rsidRDefault="00605AD4" w:rsidP="00605AD4">
      <w:pPr>
        <w:pStyle w:val="Heading4"/>
      </w:pPr>
      <w:r>
        <w:t>Evaluator’s conclusions on pharmacodynamics</w:t>
      </w:r>
    </w:p>
    <w:p w14:paraId="6ECE3634" w14:textId="77777777" w:rsidR="00500337" w:rsidRPr="00500337" w:rsidRDefault="00DA7618" w:rsidP="00DA7618">
      <w:r>
        <w:rPr>
          <w:lang w:eastAsia="ja-JP"/>
        </w:rPr>
        <w:t>The sponsor has not provided a clinical pharmacodynamic program.</w:t>
      </w:r>
      <w:r w:rsidR="00DB3203">
        <w:rPr>
          <w:lang w:eastAsia="ja-JP"/>
        </w:rPr>
        <w:t xml:space="preserve"> </w:t>
      </w:r>
      <w:r>
        <w:rPr>
          <w:lang w:eastAsia="ja-JP"/>
        </w:rPr>
        <w:t>There was only a single clinical study that provided any PD data (</w:t>
      </w:r>
      <w:r w:rsidR="0061481A">
        <w:rPr>
          <w:lang w:eastAsia="ja-JP"/>
        </w:rPr>
        <w:t xml:space="preserve">Study </w:t>
      </w:r>
      <w:r>
        <w:rPr>
          <w:lang w:eastAsia="ja-JP"/>
        </w:rPr>
        <w:t xml:space="preserve">SNT-I-003), which concluded that </w:t>
      </w:r>
      <w:r w:rsidRPr="004D200E">
        <w:rPr>
          <w:lang w:eastAsia="ja-JP"/>
        </w:rPr>
        <w:t>there was no indication of an inducing effect of idebenone on drug metabolising enzymes when given in daily doses up to 750 mg for two weeks.</w:t>
      </w:r>
      <w:r w:rsidR="00DB3203">
        <w:rPr>
          <w:lang w:eastAsia="ja-JP"/>
        </w:rPr>
        <w:t xml:space="preserve"> </w:t>
      </w:r>
      <w:r>
        <w:rPr>
          <w:lang w:eastAsia="ja-JP"/>
        </w:rPr>
        <w:t>Conclusions regarding pharmacodynamics of idebenone will rely on the evaluation of nonclinical data by the nonclinical evaluator.</w:t>
      </w:r>
    </w:p>
    <w:p w14:paraId="78024A98" w14:textId="77777777" w:rsidR="008E7846" w:rsidRDefault="00605AD4" w:rsidP="00605AD4">
      <w:pPr>
        <w:pStyle w:val="Heading3"/>
      </w:pPr>
      <w:bookmarkStart w:id="105" w:name="_Toc32828535"/>
      <w:r>
        <w:t>Dosage selection for the pivotal studies</w:t>
      </w:r>
      <w:bookmarkEnd w:id="105"/>
    </w:p>
    <w:p w14:paraId="0AF4A408" w14:textId="77777777" w:rsidR="00DA7618" w:rsidRDefault="00DA7618" w:rsidP="00DA7618">
      <w:pPr>
        <w:rPr>
          <w:lang w:eastAsia="ja-JP"/>
        </w:rPr>
      </w:pPr>
      <w:r>
        <w:rPr>
          <w:lang w:eastAsia="ja-JP"/>
        </w:rPr>
        <w:t>The sponsor submitted a justification for the absence of dose ranging studies.</w:t>
      </w:r>
    </w:p>
    <w:p w14:paraId="66456F4A" w14:textId="77777777" w:rsidR="00DA7618" w:rsidRPr="00545B14" w:rsidRDefault="00DA7618" w:rsidP="00DA7618">
      <w:pPr>
        <w:pStyle w:val="Heading4"/>
      </w:pPr>
      <w:bookmarkStart w:id="106" w:name="_Toc510688931"/>
      <w:r w:rsidRPr="005C1900">
        <w:t>Pharmacokinetics</w:t>
      </w:r>
      <w:r>
        <w:t xml:space="preserve"> and pharmacodynamics: dos</w:t>
      </w:r>
      <w:r w:rsidRPr="00545B14">
        <w:t xml:space="preserve">e </w:t>
      </w:r>
      <w:r>
        <w:t>finding</w:t>
      </w:r>
      <w:r w:rsidRPr="00545B14">
        <w:t xml:space="preserve"> </w:t>
      </w:r>
      <w:r>
        <w:t>s</w:t>
      </w:r>
      <w:r w:rsidRPr="00545B14">
        <w:t>tudies</w:t>
      </w:r>
      <w:bookmarkEnd w:id="106"/>
    </w:p>
    <w:p w14:paraId="10CB666B" w14:textId="2B4D88FC" w:rsidR="00DA7618" w:rsidRDefault="00DA7618" w:rsidP="00DA7618">
      <w:pPr>
        <w:rPr>
          <w:lang w:eastAsia="ja-JP"/>
        </w:rPr>
      </w:pPr>
      <w:r w:rsidRPr="00F8313C">
        <w:rPr>
          <w:lang w:eastAsia="ja-JP"/>
        </w:rPr>
        <w:t xml:space="preserve">No </w:t>
      </w:r>
      <w:r>
        <w:rPr>
          <w:lang w:eastAsia="ja-JP"/>
        </w:rPr>
        <w:t xml:space="preserve">PK or </w:t>
      </w:r>
      <w:r w:rsidR="00D41706">
        <w:rPr>
          <w:lang w:eastAsia="ja-JP"/>
        </w:rPr>
        <w:t>pharmacodynamic</w:t>
      </w:r>
      <w:r>
        <w:rPr>
          <w:lang w:eastAsia="ja-JP"/>
        </w:rPr>
        <w:t xml:space="preserve"> </w:t>
      </w:r>
      <w:r w:rsidRPr="00F8313C">
        <w:rPr>
          <w:lang w:eastAsia="ja-JP"/>
        </w:rPr>
        <w:t>dose ranging study has been conducted in DMD.</w:t>
      </w:r>
    </w:p>
    <w:p w14:paraId="6624C600" w14:textId="77777777" w:rsidR="00DA7618" w:rsidRPr="00545B14" w:rsidRDefault="00DA7618" w:rsidP="00DA7618">
      <w:pPr>
        <w:pStyle w:val="Heading4"/>
      </w:pPr>
      <w:bookmarkStart w:id="107" w:name="_Toc416353696"/>
      <w:bookmarkStart w:id="108" w:name="_Toc421005263"/>
      <w:bookmarkStart w:id="109" w:name="_Toc432079145"/>
      <w:bookmarkStart w:id="110" w:name="_Toc432080718"/>
      <w:bookmarkStart w:id="111" w:name="_Toc510688932"/>
      <w:r w:rsidRPr="005C1900">
        <w:t>Phase</w:t>
      </w:r>
      <w:r w:rsidRPr="00545B14">
        <w:t xml:space="preserve"> II </w:t>
      </w:r>
      <w:r>
        <w:t>d</w:t>
      </w:r>
      <w:r w:rsidRPr="00545B14">
        <w:t xml:space="preserve">ose </w:t>
      </w:r>
      <w:r>
        <w:t>finding</w:t>
      </w:r>
      <w:r w:rsidRPr="00545B14">
        <w:t xml:space="preserve"> </w:t>
      </w:r>
      <w:r>
        <w:t>s</w:t>
      </w:r>
      <w:r w:rsidRPr="00545B14">
        <w:t>tudies</w:t>
      </w:r>
      <w:bookmarkEnd w:id="107"/>
      <w:bookmarkEnd w:id="108"/>
      <w:bookmarkEnd w:id="109"/>
      <w:bookmarkEnd w:id="110"/>
      <w:bookmarkEnd w:id="111"/>
    </w:p>
    <w:p w14:paraId="2BCCD182" w14:textId="610F2620" w:rsidR="00DA7618" w:rsidRDefault="00DA7618" w:rsidP="00DA7618">
      <w:pPr>
        <w:rPr>
          <w:lang w:eastAsia="ja-JP"/>
        </w:rPr>
      </w:pPr>
      <w:r>
        <w:rPr>
          <w:lang w:eastAsia="ja-JP"/>
        </w:rPr>
        <w:t xml:space="preserve">In Friedrich’s </w:t>
      </w:r>
      <w:r w:rsidR="00D41706">
        <w:rPr>
          <w:lang w:eastAsia="ja-JP"/>
        </w:rPr>
        <w:t>a</w:t>
      </w:r>
      <w:r>
        <w:rPr>
          <w:lang w:eastAsia="ja-JP"/>
        </w:rPr>
        <w:t>taxia (FRDA), a 6</w:t>
      </w:r>
      <w:r w:rsidR="00D41706">
        <w:rPr>
          <w:lang w:eastAsia="ja-JP"/>
        </w:rPr>
        <w:t xml:space="preserve"> </w:t>
      </w:r>
      <w:r>
        <w:rPr>
          <w:lang w:eastAsia="ja-JP"/>
        </w:rPr>
        <w:t>month Phase II safety and efficacy study wi</w:t>
      </w:r>
      <w:r w:rsidR="0061481A">
        <w:rPr>
          <w:lang w:eastAsia="ja-JP"/>
        </w:rPr>
        <w:t xml:space="preserve">th idebenone in patients aged 9 to </w:t>
      </w:r>
      <w:r>
        <w:rPr>
          <w:lang w:eastAsia="ja-JP"/>
        </w:rPr>
        <w:t xml:space="preserve">17 years (the NICOSIA </w:t>
      </w:r>
      <w:r w:rsidR="00D41706">
        <w:rPr>
          <w:lang w:eastAsia="ja-JP"/>
        </w:rPr>
        <w:t>s</w:t>
      </w:r>
      <w:r w:rsidR="003173BB">
        <w:rPr>
          <w:lang w:eastAsia="ja-JP"/>
        </w:rPr>
        <w:t>tudy</w:t>
      </w:r>
      <w:r>
        <w:rPr>
          <w:lang w:eastAsia="ja-JP"/>
        </w:rPr>
        <w:t>) w</w:t>
      </w:r>
      <w:r w:rsidR="0061481A">
        <w:rPr>
          <w:lang w:eastAsia="ja-JP"/>
        </w:rPr>
        <w:t xml:space="preserve">as conducted using three weight </w:t>
      </w:r>
      <w:r>
        <w:rPr>
          <w:lang w:eastAsia="ja-JP"/>
        </w:rPr>
        <w:t>adjusted dose levels.</w:t>
      </w:r>
      <w:r w:rsidR="00DB3203">
        <w:rPr>
          <w:lang w:eastAsia="ja-JP"/>
        </w:rPr>
        <w:t xml:space="preserve"> </w:t>
      </w:r>
      <w:r>
        <w:rPr>
          <w:lang w:eastAsia="ja-JP"/>
        </w:rPr>
        <w:t xml:space="preserve">Results from this study suggested that a dose of 900 mg/day for patients </w:t>
      </w:r>
      <w:r w:rsidR="003173BB">
        <w:rPr>
          <w:lang w:eastAsia="ja-JP"/>
        </w:rPr>
        <w:t xml:space="preserve">&gt; </w:t>
      </w:r>
      <w:r>
        <w:rPr>
          <w:lang w:eastAsia="ja-JP"/>
        </w:rPr>
        <w:t>45 kg was the optimal dose, with lower doses found to be less efficacious whilst a higher dose (2250 mg/day) did not demonstrate markedly improved clinical effect.</w:t>
      </w:r>
    </w:p>
    <w:p w14:paraId="6B8E2418" w14:textId="12EB1E40" w:rsidR="00DA7618" w:rsidRDefault="00DA7618" w:rsidP="00DA7618">
      <w:pPr>
        <w:rPr>
          <w:lang w:eastAsia="ja-JP"/>
        </w:rPr>
      </w:pPr>
      <w:r>
        <w:rPr>
          <w:lang w:eastAsia="ja-JP"/>
        </w:rPr>
        <w:t xml:space="preserve">The majority of patients in the DELPHI </w:t>
      </w:r>
      <w:r w:rsidR="00D41706">
        <w:rPr>
          <w:lang w:eastAsia="ja-JP"/>
        </w:rPr>
        <w:t>s</w:t>
      </w:r>
      <w:r w:rsidR="003173BB">
        <w:rPr>
          <w:lang w:eastAsia="ja-JP"/>
        </w:rPr>
        <w:t>tudy</w:t>
      </w:r>
      <w:r>
        <w:rPr>
          <w:lang w:eastAsia="ja-JP"/>
        </w:rPr>
        <w:t xml:space="preserve"> </w:t>
      </w:r>
      <w:r w:rsidRPr="0053605F">
        <w:rPr>
          <w:lang w:eastAsia="ja-JP"/>
        </w:rPr>
        <w:t xml:space="preserve">weighed </w:t>
      </w:r>
      <w:r w:rsidR="0053065A">
        <w:rPr>
          <w:lang w:eastAsia="ja-JP"/>
        </w:rPr>
        <w:t xml:space="preserve">≤ </w:t>
      </w:r>
      <w:r w:rsidRPr="0053605F">
        <w:rPr>
          <w:lang w:eastAsia="ja-JP"/>
        </w:rPr>
        <w:t xml:space="preserve">45 kg </w:t>
      </w:r>
      <w:r>
        <w:rPr>
          <w:lang w:eastAsia="ja-JP"/>
        </w:rPr>
        <w:t xml:space="preserve">and received idebenone at 450 mg/day, and this was the initial dose in the DELPHI-E </w:t>
      </w:r>
      <w:r w:rsidR="00D41706">
        <w:rPr>
          <w:lang w:eastAsia="ja-JP"/>
        </w:rPr>
        <w:t>s</w:t>
      </w:r>
      <w:r w:rsidR="003173BB">
        <w:rPr>
          <w:lang w:eastAsia="ja-JP"/>
        </w:rPr>
        <w:t>tudy</w:t>
      </w:r>
      <w:r>
        <w:rPr>
          <w:lang w:eastAsia="ja-JP"/>
        </w:rPr>
        <w:t>.</w:t>
      </w:r>
      <w:r w:rsidR="00DB3203">
        <w:rPr>
          <w:lang w:eastAsia="ja-JP"/>
        </w:rPr>
        <w:t xml:space="preserve"> </w:t>
      </w:r>
      <w:r w:rsidR="0061481A">
        <w:rPr>
          <w:lang w:eastAsia="ja-JP"/>
        </w:rPr>
        <w:t>However,</w:t>
      </w:r>
      <w:r>
        <w:rPr>
          <w:lang w:eastAsia="ja-JP"/>
        </w:rPr>
        <w:t xml:space="preserve"> this dose was increased to 900 mg/day for patients exceeding 45 kg in body weight during the 24</w:t>
      </w:r>
      <w:r w:rsidR="00D41706">
        <w:rPr>
          <w:lang w:eastAsia="ja-JP"/>
        </w:rPr>
        <w:t> </w:t>
      </w:r>
      <w:r>
        <w:rPr>
          <w:lang w:eastAsia="ja-JP"/>
        </w:rPr>
        <w:t>month study.</w:t>
      </w:r>
    </w:p>
    <w:p w14:paraId="470B8B94" w14:textId="60F44794" w:rsidR="00DA7618" w:rsidRDefault="00DA7618" w:rsidP="00DA7618">
      <w:pPr>
        <w:rPr>
          <w:lang w:eastAsia="ja-JP"/>
        </w:rPr>
      </w:pPr>
      <w:r>
        <w:rPr>
          <w:lang w:eastAsia="ja-JP"/>
        </w:rPr>
        <w:t xml:space="preserve">Patients in the DELOS </w:t>
      </w:r>
      <w:r w:rsidR="00D41706">
        <w:rPr>
          <w:lang w:eastAsia="ja-JP"/>
        </w:rPr>
        <w:t>s</w:t>
      </w:r>
      <w:r w:rsidR="003173BB">
        <w:rPr>
          <w:lang w:eastAsia="ja-JP"/>
        </w:rPr>
        <w:t>tudy</w:t>
      </w:r>
      <w:r>
        <w:rPr>
          <w:lang w:eastAsia="ja-JP"/>
        </w:rPr>
        <w:t xml:space="preserve"> received idebenone 900 mg/day, based on the older average age and higher body weight.</w:t>
      </w:r>
    </w:p>
    <w:p w14:paraId="20F6851C" w14:textId="77777777" w:rsidR="00DA7618" w:rsidRPr="00670FF0" w:rsidRDefault="00DA7618" w:rsidP="00DA7618">
      <w:pPr>
        <w:pStyle w:val="Heading4"/>
      </w:pPr>
      <w:bookmarkStart w:id="112" w:name="_Toc416353712"/>
      <w:bookmarkStart w:id="113" w:name="_Toc421005265"/>
      <w:bookmarkStart w:id="114" w:name="_Toc432079147"/>
      <w:bookmarkStart w:id="115" w:name="_Toc432080720"/>
      <w:bookmarkStart w:id="116" w:name="_Toc510688933"/>
      <w:r w:rsidRPr="00670FF0">
        <w:t>Phase III pivotal studies investigating more than one dose regimen</w:t>
      </w:r>
      <w:bookmarkEnd w:id="112"/>
      <w:bookmarkEnd w:id="113"/>
      <w:bookmarkEnd w:id="114"/>
      <w:bookmarkEnd w:id="115"/>
      <w:bookmarkEnd w:id="116"/>
    </w:p>
    <w:p w14:paraId="2C5D3C92" w14:textId="77777777" w:rsidR="00DA7618" w:rsidRDefault="00DA7618" w:rsidP="00DA7618">
      <w:pPr>
        <w:rPr>
          <w:lang w:eastAsia="ja-JP"/>
        </w:rPr>
      </w:pPr>
      <w:r w:rsidRPr="000E3A69">
        <w:rPr>
          <w:lang w:eastAsia="ja-JP"/>
        </w:rPr>
        <w:t xml:space="preserve">No </w:t>
      </w:r>
      <w:r>
        <w:rPr>
          <w:lang w:eastAsia="ja-JP"/>
        </w:rPr>
        <w:t>pivotal Phase III</w:t>
      </w:r>
      <w:r w:rsidRPr="000E3A69">
        <w:rPr>
          <w:lang w:eastAsia="ja-JP"/>
        </w:rPr>
        <w:t xml:space="preserve"> dose ranging study has been conducted in DMD.</w:t>
      </w:r>
    </w:p>
    <w:p w14:paraId="0FE965C3" w14:textId="77777777" w:rsidR="00DA7618" w:rsidRPr="00670FF0" w:rsidRDefault="00DA7618" w:rsidP="00DA7618">
      <w:pPr>
        <w:pStyle w:val="Heading4"/>
      </w:pPr>
      <w:bookmarkStart w:id="117" w:name="_Toc510688934"/>
      <w:r>
        <w:lastRenderedPageBreak/>
        <w:t>J</w:t>
      </w:r>
      <w:r w:rsidRPr="00E7691A">
        <w:t>ustification for the absence of dose ranging studies</w:t>
      </w:r>
      <w:bookmarkEnd w:id="117"/>
    </w:p>
    <w:p w14:paraId="07F1B093" w14:textId="77777777" w:rsidR="00DA7618" w:rsidRDefault="00DA7618" w:rsidP="00DA7618">
      <w:pPr>
        <w:ind w:left="113"/>
        <w:rPr>
          <w:lang w:eastAsia="ja-JP"/>
        </w:rPr>
      </w:pPr>
      <w:r>
        <w:rPr>
          <w:lang w:eastAsia="ja-JP"/>
        </w:rPr>
        <w:t>The sponsor provided the following justification for the absence of dose-ranging studies:</w:t>
      </w:r>
    </w:p>
    <w:p w14:paraId="5E0FBCDC" w14:textId="77777777" w:rsidR="00DA7618" w:rsidRPr="008115E2" w:rsidRDefault="00DA7618" w:rsidP="00DA7618">
      <w:pPr>
        <w:pStyle w:val="ListBullet"/>
      </w:pPr>
      <w:r w:rsidRPr="008115E2">
        <w:t xml:space="preserve">In the Santhera Phase </w:t>
      </w:r>
      <w:r>
        <w:t>I</w:t>
      </w:r>
      <w:r w:rsidRPr="008115E2">
        <w:t xml:space="preserve"> program, it was observed that idebenone is subject to a large first </w:t>
      </w:r>
      <w:r w:rsidRPr="00647943">
        <w:t xml:space="preserve">pass metabolism which converts </w:t>
      </w:r>
      <w:r w:rsidR="003173BB">
        <w:t xml:space="preserve">&gt; </w:t>
      </w:r>
      <w:r w:rsidRPr="00647943">
        <w:t>99% of idebenone to inactive metabolites.</w:t>
      </w:r>
      <w:r w:rsidR="00DB3203">
        <w:t xml:space="preserve"> </w:t>
      </w:r>
      <w:r w:rsidRPr="00647943">
        <w:t>Below dose levels of 360 mg/day idebenone, very little idebenone is detectable in</w:t>
      </w:r>
      <w:r w:rsidRPr="008115E2">
        <w:t xml:space="preserve"> plasma samples.</w:t>
      </w:r>
      <w:r w:rsidR="00DB3203">
        <w:t xml:space="preserve"> </w:t>
      </w:r>
      <w:r w:rsidRPr="008115E2">
        <w:t xml:space="preserve">Nanogram levels of idebenone can only be detected at dose levels of 450 mg/day </w:t>
      </w:r>
      <w:r>
        <w:t>or more.</w:t>
      </w:r>
    </w:p>
    <w:p w14:paraId="1CCD2C60" w14:textId="77777777" w:rsidR="00DA7618" w:rsidRDefault="00DA7618" w:rsidP="00DA7618">
      <w:pPr>
        <w:pStyle w:val="ListBullet"/>
      </w:pPr>
      <w:r>
        <w:t xml:space="preserve">In FRDA, a dose of </w:t>
      </w:r>
      <w:r w:rsidRPr="00E7691A">
        <w:t xml:space="preserve">900 mg/day for patients </w:t>
      </w:r>
      <w:r w:rsidR="003173BB">
        <w:t xml:space="preserve">&gt; </w:t>
      </w:r>
      <w:r w:rsidRPr="00E7691A">
        <w:t>45 kg was</w:t>
      </w:r>
      <w:r>
        <w:t xml:space="preserve"> determined</w:t>
      </w:r>
      <w:r w:rsidRPr="00E7691A">
        <w:t xml:space="preserve"> the optimal dose</w:t>
      </w:r>
      <w:r>
        <w:t xml:space="preserve"> for efficacy after considering 3 w</w:t>
      </w:r>
      <w:r w:rsidR="0061481A">
        <w:t>eight-adjusted dose levels (60 to</w:t>
      </w:r>
      <w:r>
        <w:t xml:space="preserve"> 120 mg </w:t>
      </w:r>
      <w:r w:rsidR="00ED6165">
        <w:t>TDS</w:t>
      </w:r>
      <w:r w:rsidR="0061481A">
        <w:t>, 150 to</w:t>
      </w:r>
      <w:r>
        <w:t xml:space="preserve"> 300 mg </w:t>
      </w:r>
      <w:r w:rsidR="00ED6165">
        <w:t>TDS</w:t>
      </w:r>
      <w:r>
        <w:t xml:space="preserve">, and 450 to 750 mg </w:t>
      </w:r>
      <w:r w:rsidR="00ED6165">
        <w:t>TDS</w:t>
      </w:r>
      <w:r>
        <w:t xml:space="preserve"> for patients 30 to </w:t>
      </w:r>
      <w:r w:rsidR="0053065A">
        <w:t xml:space="preserve">≤ </w:t>
      </w:r>
      <w:r>
        <w:t xml:space="preserve">45 kg and </w:t>
      </w:r>
      <w:r w:rsidR="003173BB">
        <w:t xml:space="preserve">&gt; </w:t>
      </w:r>
      <w:r>
        <w:t>45 to 80 kg, respectively).</w:t>
      </w:r>
      <w:r w:rsidR="00DB3203">
        <w:t xml:space="preserve"> </w:t>
      </w:r>
      <w:r w:rsidRPr="00647943">
        <w:t>Lower doses were less efficacious whilst a higher dose (2</w:t>
      </w:r>
      <w:r>
        <w:t>,</w:t>
      </w:r>
      <w:r w:rsidRPr="00647943">
        <w:t>250 mg/day) did not</w:t>
      </w:r>
      <w:r>
        <w:t xml:space="preserve"> </w:t>
      </w:r>
      <w:r w:rsidRPr="00647943">
        <w:t>markedly augment the clinical effect.</w:t>
      </w:r>
    </w:p>
    <w:p w14:paraId="062C1A4C" w14:textId="77777777" w:rsidR="00DA7618" w:rsidRDefault="00DA7618" w:rsidP="00DA7618">
      <w:pPr>
        <w:pStyle w:val="ListBullet"/>
      </w:pPr>
      <w:r>
        <w:t>The safety profile of idebenone was similar between FRDA patients on high doses and patients with DMD receiving 900 mg/day and in healthy subjects receiving placebo.</w:t>
      </w:r>
      <w:r w:rsidR="00DB3203">
        <w:t xml:space="preserve"> </w:t>
      </w:r>
      <w:r>
        <w:t xml:space="preserve">The most commonly reported </w:t>
      </w:r>
      <w:r w:rsidR="00DB3203">
        <w:t>adverse events (</w:t>
      </w:r>
      <w:r>
        <w:t>AEs</w:t>
      </w:r>
      <w:r w:rsidR="00DB3203">
        <w:t>)</w:t>
      </w:r>
      <w:r>
        <w:t xml:space="preserve"> were diarrhoea, nasopharyngitis and headache.</w:t>
      </w:r>
      <w:r w:rsidR="00DB3203">
        <w:t xml:space="preserve"> </w:t>
      </w:r>
      <w:r>
        <w:t xml:space="preserve">These AEs </w:t>
      </w:r>
      <w:r w:rsidRPr="00E7691A">
        <w:t>were generally mild and short-lived, and did</w:t>
      </w:r>
      <w:r>
        <w:t xml:space="preserve"> </w:t>
      </w:r>
      <w:r w:rsidRPr="00E7691A">
        <w:t>not lead to discontinuation of study medication</w:t>
      </w:r>
      <w:r>
        <w:t>.</w:t>
      </w:r>
    </w:p>
    <w:p w14:paraId="64F98AA8" w14:textId="77777777" w:rsidR="00DA7618" w:rsidRDefault="00DA7618" w:rsidP="00DA7618">
      <w:pPr>
        <w:pStyle w:val="ListBullet"/>
      </w:pPr>
      <w:r>
        <w:t>No new safety signals have emerged from the DMD population.</w:t>
      </w:r>
    </w:p>
    <w:p w14:paraId="54493FF3" w14:textId="60F502F4" w:rsidR="00DA7618" w:rsidRDefault="00DA7618" w:rsidP="00DA7618">
      <w:pPr>
        <w:rPr>
          <w:lang w:eastAsia="ja-JP"/>
        </w:rPr>
      </w:pPr>
      <w:r>
        <w:rPr>
          <w:lang w:eastAsia="ja-JP"/>
        </w:rPr>
        <w:t xml:space="preserve">Despite differences in the pathophysiology of DMD and FRDA, they both involve mitochondrial dysfunction and it is not unreasonable to expect a similar dose-response for the two conditions. </w:t>
      </w:r>
      <w:r w:rsidR="0061481A">
        <w:rPr>
          <w:lang w:eastAsia="ja-JP"/>
        </w:rPr>
        <w:t>Therefore,</w:t>
      </w:r>
      <w:r>
        <w:rPr>
          <w:lang w:eastAsia="ja-JP"/>
        </w:rPr>
        <w:t xml:space="preserve"> the justification is considered acceptable</w:t>
      </w:r>
      <w:r w:rsidR="006302E9">
        <w:rPr>
          <w:lang w:eastAsia="ja-JP"/>
        </w:rPr>
        <w:t>.</w:t>
      </w:r>
    </w:p>
    <w:p w14:paraId="19271CDB" w14:textId="77777777" w:rsidR="00DA7618" w:rsidRPr="00DA7618" w:rsidRDefault="00DA7618" w:rsidP="00DA7618">
      <w:pPr>
        <w:rPr>
          <w:lang w:eastAsia="ja-JP"/>
        </w:rPr>
      </w:pPr>
      <w:r w:rsidRPr="009F1452">
        <w:rPr>
          <w:lang w:eastAsia="ja-JP"/>
        </w:rPr>
        <w:t>The sponsor’s justification for the absence of dose ranging studies is considered acceptable.</w:t>
      </w:r>
    </w:p>
    <w:p w14:paraId="0C8AAD4B" w14:textId="77777777" w:rsidR="008E7846" w:rsidRPr="00254787" w:rsidRDefault="008E7846" w:rsidP="008E7846">
      <w:pPr>
        <w:pStyle w:val="Heading3"/>
      </w:pPr>
      <w:bookmarkStart w:id="118" w:name="_Toc163441372"/>
      <w:bookmarkStart w:id="119" w:name="_Toc196046485"/>
      <w:bookmarkStart w:id="120" w:name="_Toc247691521"/>
      <w:bookmarkStart w:id="121" w:name="_Toc314842504"/>
      <w:bookmarkStart w:id="122" w:name="_Toc32828536"/>
      <w:r w:rsidRPr="00254787">
        <w:t>Efficacy</w:t>
      </w:r>
      <w:bookmarkEnd w:id="118"/>
      <w:bookmarkEnd w:id="119"/>
      <w:bookmarkEnd w:id="120"/>
      <w:bookmarkEnd w:id="121"/>
      <w:bookmarkEnd w:id="122"/>
    </w:p>
    <w:p w14:paraId="3F26BE68" w14:textId="77777777" w:rsidR="00605AD4" w:rsidRDefault="00605AD4" w:rsidP="00605AD4">
      <w:pPr>
        <w:pStyle w:val="Heading4"/>
      </w:pPr>
      <w:bookmarkStart w:id="123" w:name="_Toc184439992"/>
      <w:bookmarkStart w:id="124" w:name="_Toc184440279"/>
      <w:bookmarkStart w:id="125" w:name="_Toc184444657"/>
      <w:bookmarkStart w:id="126" w:name="_Toc196046487"/>
      <w:r>
        <w:t>Studies providing efficacy data</w:t>
      </w:r>
    </w:p>
    <w:p w14:paraId="4C638368" w14:textId="3D911B4B" w:rsidR="00DA7618" w:rsidRDefault="00DA7618" w:rsidP="00DA7618">
      <w:pPr>
        <w:rPr>
          <w:lang w:eastAsia="ja-JP"/>
        </w:rPr>
      </w:pPr>
      <w:r>
        <w:rPr>
          <w:lang w:eastAsia="ja-JP"/>
        </w:rPr>
        <w:t>Efficacy studies conducted in DMD</w:t>
      </w:r>
      <w:r w:rsidRPr="007546E7">
        <w:rPr>
          <w:lang w:eastAsia="ja-JP"/>
        </w:rPr>
        <w:t xml:space="preserve"> included </w:t>
      </w:r>
      <w:r>
        <w:rPr>
          <w:lang w:eastAsia="ja-JP"/>
        </w:rPr>
        <w:t xml:space="preserve">a single pivotal Phase III </w:t>
      </w:r>
      <w:r w:rsidR="00D41706">
        <w:rPr>
          <w:lang w:eastAsia="ja-JP"/>
        </w:rPr>
        <w:t xml:space="preserve">study (the </w:t>
      </w:r>
      <w:r w:rsidR="003173BB">
        <w:rPr>
          <w:lang w:eastAsia="ja-JP"/>
        </w:rPr>
        <w:t>DELOS</w:t>
      </w:r>
      <w:r w:rsidR="00D41706">
        <w:rPr>
          <w:lang w:eastAsia="ja-JP"/>
        </w:rPr>
        <w:t xml:space="preserve"> study)</w:t>
      </w:r>
      <w:r w:rsidR="003173BB">
        <w:rPr>
          <w:lang w:eastAsia="ja-JP"/>
        </w:rPr>
        <w:t xml:space="preserve"> and a supportive Phase II </w:t>
      </w:r>
      <w:r w:rsidR="00D41706">
        <w:rPr>
          <w:lang w:eastAsia="ja-JP"/>
        </w:rPr>
        <w:t>s</w:t>
      </w:r>
      <w:r w:rsidR="003173BB">
        <w:rPr>
          <w:lang w:eastAsia="ja-JP"/>
        </w:rPr>
        <w:t xml:space="preserve">tudy </w:t>
      </w:r>
      <w:r w:rsidR="00D41706">
        <w:rPr>
          <w:lang w:eastAsia="ja-JP"/>
        </w:rPr>
        <w:t xml:space="preserve">(the </w:t>
      </w:r>
      <w:r w:rsidR="003173BB">
        <w:rPr>
          <w:lang w:eastAsia="ja-JP"/>
        </w:rPr>
        <w:t>DELPHI</w:t>
      </w:r>
      <w:r>
        <w:rPr>
          <w:lang w:eastAsia="ja-JP"/>
        </w:rPr>
        <w:t xml:space="preserve"> </w:t>
      </w:r>
      <w:r w:rsidR="00D41706">
        <w:rPr>
          <w:lang w:eastAsia="ja-JP"/>
        </w:rPr>
        <w:t xml:space="preserve">study) </w:t>
      </w:r>
      <w:r>
        <w:rPr>
          <w:lang w:eastAsia="ja-JP"/>
        </w:rPr>
        <w:t>and its open-label extension (</w:t>
      </w:r>
      <w:r w:rsidR="00D41706">
        <w:rPr>
          <w:lang w:eastAsia="ja-JP"/>
        </w:rPr>
        <w:t xml:space="preserve">the </w:t>
      </w:r>
      <w:r w:rsidRPr="007546E7">
        <w:rPr>
          <w:lang w:eastAsia="ja-JP"/>
        </w:rPr>
        <w:t>DELPHI</w:t>
      </w:r>
      <w:r>
        <w:rPr>
          <w:lang w:eastAsia="ja-JP"/>
        </w:rPr>
        <w:t>-E</w:t>
      </w:r>
      <w:r w:rsidR="00D41706">
        <w:rPr>
          <w:lang w:eastAsia="ja-JP"/>
        </w:rPr>
        <w:t xml:space="preserve"> study</w:t>
      </w:r>
      <w:r>
        <w:rPr>
          <w:lang w:eastAsia="ja-JP"/>
        </w:rPr>
        <w:t xml:space="preserve">). </w:t>
      </w:r>
      <w:r w:rsidRPr="000B3E6E">
        <w:rPr>
          <w:lang w:eastAsia="ja-JP"/>
        </w:rPr>
        <w:t xml:space="preserve">In </w:t>
      </w:r>
      <w:r w:rsidR="003173BB" w:rsidRPr="000B3E6E">
        <w:rPr>
          <w:lang w:eastAsia="ja-JP"/>
        </w:rPr>
        <w:t>addition,</w:t>
      </w:r>
      <w:r w:rsidRPr="000B3E6E">
        <w:rPr>
          <w:lang w:eastAsia="ja-JP"/>
        </w:rPr>
        <w:t xml:space="preserve"> there were 4 further </w:t>
      </w:r>
      <w:r w:rsidRPr="000B3E6E">
        <w:rPr>
          <w:i/>
          <w:lang w:eastAsia="ja-JP"/>
        </w:rPr>
        <w:t>post-hoc</w:t>
      </w:r>
      <w:r w:rsidRPr="000B3E6E">
        <w:rPr>
          <w:lang w:eastAsia="ja-JP"/>
        </w:rPr>
        <w:t xml:space="preserve"> </w:t>
      </w:r>
      <w:r>
        <w:rPr>
          <w:lang w:eastAsia="ja-JP"/>
        </w:rPr>
        <w:t xml:space="preserve">or corrective </w:t>
      </w:r>
      <w:r w:rsidRPr="000B3E6E">
        <w:rPr>
          <w:lang w:eastAsia="ja-JP"/>
        </w:rPr>
        <w:t>analyses in the DELPHI (</w:t>
      </w:r>
      <w:r w:rsidR="00D41706">
        <w:rPr>
          <w:lang w:eastAsia="ja-JP"/>
        </w:rPr>
        <w:t xml:space="preserve">Study </w:t>
      </w:r>
      <w:r w:rsidRPr="000B3E6E">
        <w:rPr>
          <w:lang w:eastAsia="ja-JP"/>
        </w:rPr>
        <w:t xml:space="preserve">SNT-IR-011) and DELOS </w:t>
      </w:r>
      <w:r w:rsidR="00D41706">
        <w:rPr>
          <w:lang w:eastAsia="ja-JP"/>
        </w:rPr>
        <w:t xml:space="preserve">studies </w:t>
      </w:r>
      <w:r w:rsidRPr="000B3E6E">
        <w:rPr>
          <w:lang w:eastAsia="ja-JP"/>
        </w:rPr>
        <w:t>(</w:t>
      </w:r>
      <w:r w:rsidR="00D41706">
        <w:rPr>
          <w:lang w:eastAsia="ja-JP"/>
        </w:rPr>
        <w:t xml:space="preserve">Studies </w:t>
      </w:r>
      <w:r w:rsidRPr="000B3E6E">
        <w:rPr>
          <w:lang w:eastAsia="ja-JP"/>
        </w:rPr>
        <w:t>SNT-IR-009, SNT</w:t>
      </w:r>
      <w:r w:rsidR="00D41706">
        <w:rPr>
          <w:lang w:eastAsia="ja-JP"/>
        </w:rPr>
        <w:noBreakHyphen/>
      </w:r>
      <w:r w:rsidRPr="000B3E6E">
        <w:rPr>
          <w:lang w:eastAsia="ja-JP"/>
        </w:rPr>
        <w:t>IR-010</w:t>
      </w:r>
      <w:r w:rsidR="00D41706">
        <w:rPr>
          <w:lang w:eastAsia="ja-JP"/>
        </w:rPr>
        <w:t xml:space="preserve"> and</w:t>
      </w:r>
      <w:r w:rsidRPr="000B3E6E">
        <w:rPr>
          <w:lang w:eastAsia="ja-JP"/>
        </w:rPr>
        <w:t xml:space="preserve"> SNT-IR-012).</w:t>
      </w:r>
      <w:r w:rsidR="00DB3203">
        <w:rPr>
          <w:lang w:eastAsia="ja-JP"/>
        </w:rPr>
        <w:t xml:space="preserve"> </w:t>
      </w:r>
      <w:r>
        <w:rPr>
          <w:lang w:eastAsia="ja-JP"/>
        </w:rPr>
        <w:t>The results of these analyses will be discussed following those of the original analyses.</w:t>
      </w:r>
    </w:p>
    <w:p w14:paraId="20B50EA4" w14:textId="37A63FE9" w:rsidR="00500337" w:rsidRPr="00500337" w:rsidRDefault="00DA7618" w:rsidP="00DA7618">
      <w:r>
        <w:rPr>
          <w:lang w:eastAsia="ja-JP"/>
        </w:rPr>
        <w:t>The evaluation was made more difficult by the lack of transparency behind the reasons for conducting the additional analyses.</w:t>
      </w:r>
      <w:r w:rsidR="00DB3203">
        <w:rPr>
          <w:lang w:eastAsia="ja-JP"/>
        </w:rPr>
        <w:t xml:space="preserve"> </w:t>
      </w:r>
      <w:r>
        <w:rPr>
          <w:lang w:eastAsia="ja-JP"/>
        </w:rPr>
        <w:t xml:space="preserve">It was only in response to a query from the TGA about </w:t>
      </w:r>
      <w:r w:rsidRPr="00BB27FB">
        <w:rPr>
          <w:lang w:eastAsia="ja-JP"/>
        </w:rPr>
        <w:t xml:space="preserve">the international status of </w:t>
      </w:r>
      <w:r>
        <w:rPr>
          <w:lang w:eastAsia="ja-JP"/>
        </w:rPr>
        <w:t xml:space="preserve">Raxone on 20 October 2017 that it became apparent that several of these additional analyses </w:t>
      </w:r>
      <w:r w:rsidRPr="006E6113">
        <w:rPr>
          <w:lang w:eastAsia="ja-JP"/>
        </w:rPr>
        <w:t xml:space="preserve">were </w:t>
      </w:r>
      <w:r>
        <w:rPr>
          <w:lang w:eastAsia="ja-JP"/>
        </w:rPr>
        <w:t>conducted</w:t>
      </w:r>
      <w:r w:rsidRPr="006E6113">
        <w:rPr>
          <w:lang w:eastAsia="ja-JP"/>
        </w:rPr>
        <w:t xml:space="preserve"> in response to issues raised by either the CHMP or FD</w:t>
      </w:r>
      <w:r>
        <w:rPr>
          <w:lang w:eastAsia="ja-JP"/>
        </w:rPr>
        <w:t>A</w:t>
      </w:r>
      <w:r w:rsidR="00640C58">
        <w:rPr>
          <w:lang w:eastAsia="ja-JP"/>
        </w:rPr>
        <w:t>.</w:t>
      </w:r>
    </w:p>
    <w:p w14:paraId="5CFF6598" w14:textId="77777777" w:rsidR="008E7846" w:rsidRDefault="00605AD4" w:rsidP="00605AD4">
      <w:pPr>
        <w:pStyle w:val="Heading4"/>
      </w:pPr>
      <w:r>
        <w:t>Evaluator’s conclusions on efficacy</w:t>
      </w:r>
    </w:p>
    <w:p w14:paraId="4CE96504" w14:textId="77777777" w:rsidR="00DA7618" w:rsidRPr="008A4DB0" w:rsidRDefault="00DA7618" w:rsidP="00DA7618">
      <w:pPr>
        <w:rPr>
          <w:lang w:eastAsia="ja-JP"/>
        </w:rPr>
      </w:pPr>
      <w:r w:rsidRPr="008A4DB0">
        <w:rPr>
          <w:lang w:eastAsia="ja-JP"/>
        </w:rPr>
        <w:t xml:space="preserve">There </w:t>
      </w:r>
      <w:r>
        <w:rPr>
          <w:lang w:eastAsia="ja-JP"/>
        </w:rPr>
        <w:t>was</w:t>
      </w:r>
      <w:r w:rsidRPr="008A4DB0">
        <w:rPr>
          <w:lang w:eastAsia="ja-JP"/>
        </w:rPr>
        <w:t xml:space="preserve"> one Phase II</w:t>
      </w:r>
      <w:r>
        <w:rPr>
          <w:lang w:eastAsia="ja-JP"/>
        </w:rPr>
        <w:t xml:space="preserve"> plus extension study</w:t>
      </w:r>
      <w:r w:rsidRPr="008A4DB0">
        <w:rPr>
          <w:lang w:eastAsia="ja-JP"/>
        </w:rPr>
        <w:t xml:space="preserve"> and one Phase III</w:t>
      </w:r>
      <w:r>
        <w:rPr>
          <w:lang w:eastAsia="ja-JP"/>
        </w:rPr>
        <w:t xml:space="preserve"> study</w:t>
      </w:r>
      <w:r w:rsidRPr="008A4DB0">
        <w:rPr>
          <w:lang w:eastAsia="ja-JP"/>
        </w:rPr>
        <w:t xml:space="preserve"> providing efficacy data for idebenone in patients with DMD.</w:t>
      </w:r>
    </w:p>
    <w:p w14:paraId="30D51A67" w14:textId="34158F4C" w:rsidR="00DA7618" w:rsidRDefault="00DA7618" w:rsidP="00DA7618">
      <w:pPr>
        <w:rPr>
          <w:lang w:eastAsia="ja-JP"/>
        </w:rPr>
      </w:pPr>
      <w:r>
        <w:rPr>
          <w:lang w:eastAsia="ja-JP"/>
        </w:rPr>
        <w:t xml:space="preserve">The Phase II DELPHI </w:t>
      </w:r>
      <w:r w:rsidR="00D41706">
        <w:rPr>
          <w:lang w:eastAsia="ja-JP"/>
        </w:rPr>
        <w:t>s</w:t>
      </w:r>
      <w:r w:rsidR="003173BB">
        <w:rPr>
          <w:lang w:eastAsia="ja-JP"/>
        </w:rPr>
        <w:t>tudy</w:t>
      </w:r>
      <w:r>
        <w:rPr>
          <w:lang w:eastAsia="ja-JP"/>
        </w:rPr>
        <w:t xml:space="preserve"> was powered to </w:t>
      </w:r>
      <w:r w:rsidRPr="008A4DB0">
        <w:rPr>
          <w:lang w:eastAsia="ja-JP"/>
        </w:rPr>
        <w:t xml:space="preserve">determine whether treatment with idebenone improves or delays the decline in cardiac function (peak systolic radial strain of the </w:t>
      </w:r>
      <w:r w:rsidR="0061481A">
        <w:rPr>
          <w:lang w:eastAsia="ja-JP"/>
        </w:rPr>
        <w:t>left ventricular (</w:t>
      </w:r>
      <w:r w:rsidRPr="008A4DB0">
        <w:rPr>
          <w:lang w:eastAsia="ja-JP"/>
        </w:rPr>
        <w:t>LV</w:t>
      </w:r>
      <w:r w:rsidR="0061481A">
        <w:rPr>
          <w:lang w:eastAsia="ja-JP"/>
        </w:rPr>
        <w:t>)</w:t>
      </w:r>
      <w:r w:rsidRPr="008A4DB0">
        <w:rPr>
          <w:lang w:eastAsia="ja-JP"/>
        </w:rPr>
        <w:t xml:space="preserve"> inferolateral wall</w:t>
      </w:r>
      <w:r>
        <w:rPr>
          <w:lang w:eastAsia="ja-JP"/>
        </w:rPr>
        <w:t>.</w:t>
      </w:r>
      <w:r w:rsidR="00DB3203">
        <w:rPr>
          <w:lang w:eastAsia="ja-JP"/>
        </w:rPr>
        <w:t xml:space="preserve"> </w:t>
      </w:r>
      <w:r>
        <w:rPr>
          <w:lang w:eastAsia="ja-JP"/>
        </w:rPr>
        <w:t xml:space="preserve">It failed to meet this objective, perhaps because there was an imbalance </w:t>
      </w:r>
      <w:r w:rsidRPr="0010650E">
        <w:rPr>
          <w:lang w:eastAsia="ja-JP"/>
        </w:rPr>
        <w:t xml:space="preserve">at baseline </w:t>
      </w:r>
      <w:r>
        <w:rPr>
          <w:lang w:eastAsia="ja-JP"/>
        </w:rPr>
        <w:t xml:space="preserve">in age and </w:t>
      </w:r>
      <w:r w:rsidRPr="008A4DB0">
        <w:rPr>
          <w:lang w:eastAsia="ja-JP"/>
        </w:rPr>
        <w:t>peak systolic radial strain of the LV inferolateral wall</w:t>
      </w:r>
      <w:r>
        <w:rPr>
          <w:lang w:eastAsia="ja-JP"/>
        </w:rPr>
        <w:t>.</w:t>
      </w:r>
      <w:r w:rsidR="00DB3203">
        <w:rPr>
          <w:lang w:eastAsia="ja-JP"/>
        </w:rPr>
        <w:t xml:space="preserve"> </w:t>
      </w:r>
      <w:r>
        <w:rPr>
          <w:lang w:eastAsia="ja-JP"/>
        </w:rPr>
        <w:t xml:space="preserve">While treatment with idebenone was shown to be beneficial on both </w:t>
      </w:r>
      <w:r w:rsidR="00252C48">
        <w:t xml:space="preserve">peak expiratory </w:t>
      </w:r>
      <w:r w:rsidR="00252C48">
        <w:lastRenderedPageBreak/>
        <w:t>flow</w:t>
      </w:r>
      <w:r w:rsidR="00252C48">
        <w:rPr>
          <w:lang w:eastAsia="ja-JP"/>
        </w:rPr>
        <w:t xml:space="preserve"> (</w:t>
      </w:r>
      <w:r>
        <w:rPr>
          <w:lang w:eastAsia="ja-JP"/>
        </w:rPr>
        <w:t>PEF</w:t>
      </w:r>
      <w:r w:rsidR="00252C48">
        <w:rPr>
          <w:lang w:eastAsia="ja-JP"/>
        </w:rPr>
        <w:t>)</w:t>
      </w:r>
      <w:r>
        <w:rPr>
          <w:lang w:eastAsia="ja-JP"/>
        </w:rPr>
        <w:t xml:space="preserve"> and PEF%p (with p values </w:t>
      </w:r>
      <w:r w:rsidR="003173BB">
        <w:rPr>
          <w:lang w:eastAsia="ja-JP"/>
        </w:rPr>
        <w:t xml:space="preserve">&lt; </w:t>
      </w:r>
      <w:r>
        <w:rPr>
          <w:lang w:eastAsia="ja-JP"/>
        </w:rPr>
        <w:t>0.05)</w:t>
      </w:r>
      <w:r w:rsidR="00D41706">
        <w:rPr>
          <w:lang w:eastAsia="ja-JP"/>
        </w:rPr>
        <w:t>;</w:t>
      </w:r>
      <w:r>
        <w:rPr>
          <w:lang w:eastAsia="ja-JP"/>
        </w:rPr>
        <w:t>these were secondary endpoints and multiple other cardiac, skeletal muscle, respiratory and other endpoints were also investigated.</w:t>
      </w:r>
      <w:r w:rsidR="00DB3203">
        <w:rPr>
          <w:lang w:eastAsia="ja-JP"/>
        </w:rPr>
        <w:t xml:space="preserve"> </w:t>
      </w:r>
      <w:r>
        <w:rPr>
          <w:lang w:eastAsia="ja-JP"/>
        </w:rPr>
        <w:t>This increases the risk of Type I errors, and that the finding of statistical significance was in fact a chance finding.</w:t>
      </w:r>
      <w:r w:rsidR="00DB3203">
        <w:rPr>
          <w:lang w:eastAsia="ja-JP"/>
        </w:rPr>
        <w:t xml:space="preserve"> </w:t>
      </w:r>
      <w:r w:rsidR="00252C48">
        <w:rPr>
          <w:lang w:eastAsia="ja-JP"/>
        </w:rPr>
        <w:t>However,</w:t>
      </w:r>
      <w:r>
        <w:rPr>
          <w:lang w:eastAsia="ja-JP"/>
        </w:rPr>
        <w:t xml:space="preserve"> the magnitude of the effect was clinically relevant, and PEF%p was selected as the primary </w:t>
      </w:r>
      <w:r w:rsidR="0061481A">
        <w:rPr>
          <w:lang w:eastAsia="ja-JP"/>
        </w:rPr>
        <w:t>efficacy variable for the Phase </w:t>
      </w:r>
      <w:r>
        <w:rPr>
          <w:lang w:eastAsia="ja-JP"/>
        </w:rPr>
        <w:t xml:space="preserve">III DELOS </w:t>
      </w:r>
      <w:r w:rsidR="00D41706">
        <w:rPr>
          <w:lang w:eastAsia="ja-JP"/>
        </w:rPr>
        <w:t>s</w:t>
      </w:r>
      <w:r w:rsidR="003173BB">
        <w:rPr>
          <w:lang w:eastAsia="ja-JP"/>
        </w:rPr>
        <w:t>tudy</w:t>
      </w:r>
      <w:r>
        <w:rPr>
          <w:lang w:eastAsia="ja-JP"/>
        </w:rPr>
        <w:t>.</w:t>
      </w:r>
      <w:r w:rsidR="00DB3203">
        <w:rPr>
          <w:lang w:eastAsia="ja-JP"/>
        </w:rPr>
        <w:t xml:space="preserve"> </w:t>
      </w:r>
      <w:r w:rsidR="00D41706">
        <w:rPr>
          <w:lang w:eastAsia="ja-JP"/>
        </w:rPr>
        <w:t xml:space="preserve">The </w:t>
      </w:r>
      <w:r>
        <w:rPr>
          <w:lang w:eastAsia="ja-JP"/>
        </w:rPr>
        <w:t xml:space="preserve">DELPHI-E </w:t>
      </w:r>
      <w:r w:rsidR="00D41706">
        <w:rPr>
          <w:lang w:eastAsia="ja-JP"/>
        </w:rPr>
        <w:t xml:space="preserve">(extension) study </w:t>
      </w:r>
      <w:r>
        <w:rPr>
          <w:lang w:eastAsia="ja-JP"/>
        </w:rPr>
        <w:t>suffered from similar limitations, with additional variation in the dose of idebenone administered and the lack of a control group on which to compare the longer term results.</w:t>
      </w:r>
    </w:p>
    <w:p w14:paraId="7A62B3FC" w14:textId="77777777" w:rsidR="00DA7618" w:rsidRDefault="00DA7618" w:rsidP="00DA7618">
      <w:pPr>
        <w:rPr>
          <w:lang w:eastAsia="ja-JP"/>
        </w:rPr>
      </w:pPr>
      <w:r w:rsidRPr="009D33D6">
        <w:rPr>
          <w:lang w:eastAsia="ja-JP"/>
        </w:rPr>
        <w:t xml:space="preserve">The pivotal DELOS </w:t>
      </w:r>
      <w:r w:rsidR="003173BB">
        <w:rPr>
          <w:lang w:eastAsia="ja-JP"/>
        </w:rPr>
        <w:t>Study</w:t>
      </w:r>
      <w:r w:rsidRPr="009D33D6">
        <w:rPr>
          <w:lang w:eastAsia="ja-JP"/>
        </w:rPr>
        <w:t xml:space="preserve"> was an interventional study of idebenone 300 mg </w:t>
      </w:r>
      <w:r w:rsidR="00ED6165">
        <w:rPr>
          <w:lang w:eastAsia="ja-JP"/>
        </w:rPr>
        <w:t>TDS</w:t>
      </w:r>
      <w:r w:rsidRPr="009D33D6">
        <w:rPr>
          <w:lang w:eastAsia="ja-JP"/>
        </w:rPr>
        <w:t xml:space="preserve"> </w:t>
      </w:r>
      <w:r w:rsidR="0061481A" w:rsidRPr="0061481A">
        <w:rPr>
          <w:lang w:eastAsia="ja-JP"/>
        </w:rPr>
        <w:t>versus</w:t>
      </w:r>
      <w:r w:rsidRPr="009D33D6">
        <w:rPr>
          <w:lang w:eastAsia="ja-JP"/>
        </w:rPr>
        <w:t xml:space="preserve"> placebo in 66 patients with DMD </w:t>
      </w:r>
      <w:r>
        <w:rPr>
          <w:lang w:eastAsia="ja-JP"/>
        </w:rPr>
        <w:t xml:space="preserve">aged 10 to 18 years </w:t>
      </w:r>
      <w:r w:rsidRPr="009D33D6">
        <w:rPr>
          <w:lang w:eastAsia="ja-JP"/>
        </w:rPr>
        <w:t xml:space="preserve">who had established respiratory function decline at Baseline (PEF%p </w:t>
      </w:r>
      <w:r w:rsidR="0053065A">
        <w:rPr>
          <w:lang w:eastAsia="ja-JP"/>
        </w:rPr>
        <w:t xml:space="preserve">≤ </w:t>
      </w:r>
      <w:r w:rsidRPr="009D33D6">
        <w:rPr>
          <w:lang w:eastAsia="ja-JP"/>
        </w:rPr>
        <w:t>80%)</w:t>
      </w:r>
      <w:r>
        <w:rPr>
          <w:lang w:eastAsia="ja-JP"/>
        </w:rPr>
        <w:t xml:space="preserve"> and who were not using concomitant glucocorticoids</w:t>
      </w:r>
      <w:r w:rsidRPr="009D33D6">
        <w:rPr>
          <w:lang w:eastAsia="ja-JP"/>
        </w:rPr>
        <w:t>.</w:t>
      </w:r>
      <w:r w:rsidR="00DB3203">
        <w:rPr>
          <w:lang w:eastAsia="ja-JP"/>
        </w:rPr>
        <w:t xml:space="preserve"> </w:t>
      </w:r>
      <w:r>
        <w:rPr>
          <w:lang w:eastAsia="ja-JP"/>
        </w:rPr>
        <w:t>The a</w:t>
      </w:r>
      <w:r w:rsidRPr="00500FE0">
        <w:rPr>
          <w:lang w:eastAsia="ja-JP"/>
        </w:rPr>
        <w:t xml:space="preserve">ge range enrolled </w:t>
      </w:r>
      <w:r>
        <w:rPr>
          <w:lang w:eastAsia="ja-JP"/>
        </w:rPr>
        <w:t>is</w:t>
      </w:r>
      <w:r w:rsidRPr="00500FE0">
        <w:rPr>
          <w:lang w:eastAsia="ja-JP"/>
        </w:rPr>
        <w:t xml:space="preserve"> a</w:t>
      </w:r>
      <w:r>
        <w:rPr>
          <w:lang w:eastAsia="ja-JP"/>
        </w:rPr>
        <w:t>ppropriate given the age at which</w:t>
      </w:r>
      <w:r w:rsidRPr="00500FE0">
        <w:rPr>
          <w:lang w:eastAsia="ja-JP"/>
        </w:rPr>
        <w:t xml:space="preserve"> respiratory function appears to decline in the natural history population</w:t>
      </w:r>
      <w:r>
        <w:rPr>
          <w:lang w:eastAsia="ja-JP"/>
        </w:rPr>
        <w:t xml:space="preserve"> </w:t>
      </w:r>
      <w:r w:rsidRPr="00694C4A">
        <w:rPr>
          <w:lang w:eastAsia="ja-JP"/>
        </w:rPr>
        <w:t xml:space="preserve">(age </w:t>
      </w:r>
      <w:r w:rsidR="003173BB" w:rsidRPr="00694C4A">
        <w:rPr>
          <w:lang w:eastAsia="ja-JP"/>
        </w:rPr>
        <w:t xml:space="preserve">approximately </w:t>
      </w:r>
      <w:r w:rsidRPr="00694C4A">
        <w:rPr>
          <w:lang w:eastAsia="ja-JP"/>
        </w:rPr>
        <w:t>10 to 11 years, see</w:t>
      </w:r>
      <w:r w:rsidR="0030092C">
        <w:rPr>
          <w:lang w:eastAsia="ja-JP"/>
        </w:rPr>
        <w:t xml:space="preserve"> Figure 3</w:t>
      </w:r>
      <w:r w:rsidRPr="00694C4A">
        <w:rPr>
          <w:lang w:eastAsia="ja-JP"/>
        </w:rPr>
        <w:t>).</w:t>
      </w:r>
    </w:p>
    <w:p w14:paraId="379FD132" w14:textId="77777777" w:rsidR="00694C4A" w:rsidRDefault="0030092C" w:rsidP="00694C4A">
      <w:pPr>
        <w:pStyle w:val="FigureTitle"/>
      </w:pPr>
      <w:r>
        <w:rPr>
          <w:lang w:eastAsia="ja-JP"/>
        </w:rPr>
        <w:t>Figure 3:</w:t>
      </w:r>
      <w:r w:rsidR="00694C4A">
        <w:rPr>
          <w:lang w:eastAsia="ja-JP"/>
        </w:rPr>
        <w:t xml:space="preserve"> </w:t>
      </w:r>
      <w:r w:rsidR="00694C4A" w:rsidRPr="008A6B04">
        <w:t>PEF%p and FVC%</w:t>
      </w:r>
      <w:r w:rsidR="00694C4A" w:rsidRPr="0030092C">
        <w:t xml:space="preserve">p </w:t>
      </w:r>
      <w:r w:rsidRPr="0030092C">
        <w:t>versus</w:t>
      </w:r>
      <w:r>
        <w:t xml:space="preserve"> Age;</w:t>
      </w:r>
      <w:r w:rsidR="00694C4A" w:rsidRPr="008A6B04">
        <w:t xml:space="preserve"> </w:t>
      </w:r>
      <w:r>
        <w:t>p</w:t>
      </w:r>
      <w:r w:rsidR="00694C4A" w:rsidRPr="008A6B04">
        <w:t xml:space="preserve">atients with PFT </w:t>
      </w:r>
      <w:r w:rsidRPr="008A6B04">
        <w:t>data excluding patients</w:t>
      </w:r>
      <w:r>
        <w:t xml:space="preserve"> from I</w:t>
      </w:r>
      <w:r w:rsidRPr="008A6B04">
        <w:t>ndian site</w:t>
      </w:r>
      <w:r w:rsidR="00694C4A" w:rsidRPr="008A6B04">
        <w:t>s (N</w:t>
      </w:r>
      <w:r>
        <w:t xml:space="preserve"> </w:t>
      </w:r>
      <w:r w:rsidR="00694C4A" w:rsidRPr="008A6B04">
        <w:t>=</w:t>
      </w:r>
      <w:r>
        <w:t xml:space="preserve"> </w:t>
      </w:r>
      <w:r w:rsidR="00694C4A" w:rsidRPr="008A6B04">
        <w:t>334)</w:t>
      </w:r>
    </w:p>
    <w:p w14:paraId="09292E61" w14:textId="77777777" w:rsidR="00694C4A" w:rsidRDefault="00694C4A" w:rsidP="00694C4A">
      <w:pPr>
        <w:rPr>
          <w:lang w:eastAsia="ja-JP"/>
        </w:rPr>
      </w:pPr>
      <w:r>
        <w:rPr>
          <w:noProof/>
          <w:lang w:eastAsia="en-AU"/>
        </w:rPr>
        <w:drawing>
          <wp:inline distT="0" distB="0" distL="0" distR="0" wp14:anchorId="3DD8D10B" wp14:editId="41D85B74">
            <wp:extent cx="5400040" cy="3763010"/>
            <wp:effectExtent l="0" t="0" r="0" b="8890"/>
            <wp:docPr id="26" name="Picture 26" descr="PEF%p and FVC%p versus Age; patients with PFT data excluding patients from Indian sites (N =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763010"/>
                    </a:xfrm>
                    <a:prstGeom prst="rect">
                      <a:avLst/>
                    </a:prstGeom>
                  </pic:spPr>
                </pic:pic>
              </a:graphicData>
            </a:graphic>
          </wp:inline>
        </w:drawing>
      </w:r>
    </w:p>
    <w:p w14:paraId="72689629" w14:textId="4CBB3962" w:rsidR="00FE173F" w:rsidRPr="00500FE0" w:rsidRDefault="00FE173F" w:rsidP="00FA166A">
      <w:pPr>
        <w:pStyle w:val="FigureDescription"/>
        <w:rPr>
          <w:lang w:eastAsia="ja-JP"/>
        </w:rPr>
      </w:pPr>
      <w:r w:rsidRPr="00FE173F">
        <w:rPr>
          <w:lang w:eastAsia="ja-JP"/>
        </w:rPr>
        <w:t xml:space="preserve">PEF%p </w:t>
      </w:r>
      <w:r>
        <w:rPr>
          <w:lang w:eastAsia="ja-JP"/>
        </w:rPr>
        <w:t xml:space="preserve">= percent predicted forced expiratory volume; </w:t>
      </w:r>
      <w:r w:rsidRPr="00FE173F">
        <w:rPr>
          <w:lang w:eastAsia="ja-JP"/>
        </w:rPr>
        <w:t>FVC%p</w:t>
      </w:r>
      <w:r>
        <w:rPr>
          <w:lang w:eastAsia="ja-JP"/>
        </w:rPr>
        <w:t xml:space="preserve"> = percent predicted forced vital capacity; PFT = </w:t>
      </w:r>
      <w:r w:rsidR="00FA166A">
        <w:rPr>
          <w:lang w:eastAsia="ja-JP"/>
        </w:rPr>
        <w:t>p</w:t>
      </w:r>
      <w:r>
        <w:rPr>
          <w:lang w:eastAsia="ja-JP"/>
        </w:rPr>
        <w:t>ulmonary function testing.</w:t>
      </w:r>
    </w:p>
    <w:p w14:paraId="0BE4F018" w14:textId="27FEF5C4" w:rsidR="00DA7618" w:rsidRDefault="00DA7618" w:rsidP="00DA7618">
      <w:pPr>
        <w:rPr>
          <w:lang w:eastAsia="ja-JP"/>
        </w:rPr>
      </w:pPr>
      <w:r w:rsidRPr="009D33D6">
        <w:rPr>
          <w:lang w:eastAsia="ja-JP"/>
        </w:rPr>
        <w:t>It was conducted to assess the efficacy of idebenone, compared to placebo, in improving respiratory function or delaying the loss of respiratory function, in particular the change from Baseline to Week 52 in PEF%p.</w:t>
      </w:r>
      <w:r w:rsidR="00DB3203">
        <w:rPr>
          <w:lang w:eastAsia="ja-JP"/>
        </w:rPr>
        <w:t xml:space="preserve"> </w:t>
      </w:r>
      <w:r w:rsidRPr="008A4DB0">
        <w:rPr>
          <w:lang w:eastAsia="ja-JP"/>
        </w:rPr>
        <w:t xml:space="preserve">Although only a limited number of patients were enrolled in </w:t>
      </w:r>
      <w:r>
        <w:rPr>
          <w:lang w:eastAsia="ja-JP"/>
        </w:rPr>
        <w:t>the</w:t>
      </w:r>
      <w:r w:rsidRPr="008A4DB0">
        <w:rPr>
          <w:lang w:eastAsia="ja-JP"/>
        </w:rPr>
        <w:t xml:space="preserve"> study, this is an acknowledged constraint of conducting studies in rare diseases such as DMD</w:t>
      </w:r>
      <w:r w:rsidR="00FE173F">
        <w:rPr>
          <w:lang w:eastAsia="ja-JP"/>
        </w:rPr>
        <w:t>.</w:t>
      </w:r>
      <w:r w:rsidRPr="008A4DB0">
        <w:rPr>
          <w:rStyle w:val="FootnoteReference"/>
          <w:lang w:eastAsia="ja-JP"/>
        </w:rPr>
        <w:footnoteReference w:id="32"/>
      </w:r>
      <w:r w:rsidR="00DB3203">
        <w:rPr>
          <w:lang w:eastAsia="ja-JP"/>
        </w:rPr>
        <w:t xml:space="preserve"> </w:t>
      </w:r>
      <w:r w:rsidRPr="008A4DB0">
        <w:rPr>
          <w:lang w:eastAsia="ja-JP"/>
        </w:rPr>
        <w:t xml:space="preserve">Despite this, the DELOS </w:t>
      </w:r>
      <w:r w:rsidR="00FE173F">
        <w:rPr>
          <w:lang w:eastAsia="ja-JP"/>
        </w:rPr>
        <w:t>study</w:t>
      </w:r>
      <w:r w:rsidR="00FE173F" w:rsidRPr="008A4DB0">
        <w:rPr>
          <w:lang w:eastAsia="ja-JP"/>
        </w:rPr>
        <w:t xml:space="preserve"> </w:t>
      </w:r>
      <w:r w:rsidRPr="008A4DB0">
        <w:rPr>
          <w:lang w:eastAsia="ja-JP"/>
        </w:rPr>
        <w:t>was adequately powered to detect a clinically meaningful difference in PEF%p between the idebenone</w:t>
      </w:r>
      <w:r>
        <w:rPr>
          <w:lang w:eastAsia="ja-JP"/>
        </w:rPr>
        <w:t xml:space="preserve"> and placebo treatment groups.</w:t>
      </w:r>
    </w:p>
    <w:p w14:paraId="68DB8CAD" w14:textId="733F3FEB" w:rsidR="00DA7618" w:rsidRDefault="00DA7618" w:rsidP="00DA7618">
      <w:pPr>
        <w:rPr>
          <w:rFonts w:asciiTheme="minorHAnsi" w:hAnsiTheme="minorHAnsi"/>
          <w:bCs/>
          <w:lang w:val="en" w:eastAsia="ja-JP"/>
        </w:rPr>
      </w:pPr>
      <w:r w:rsidRPr="00582E1B">
        <w:rPr>
          <w:rFonts w:asciiTheme="minorHAnsi" w:hAnsiTheme="minorHAnsi"/>
          <w:bCs/>
          <w:lang w:val="en-US" w:eastAsia="ja-JP"/>
        </w:rPr>
        <w:lastRenderedPageBreak/>
        <w:t>There is some reservation about the choice of PEF%p as the primary efficacy endpoint.</w:t>
      </w:r>
      <w:r w:rsidR="00DB3203">
        <w:rPr>
          <w:rFonts w:asciiTheme="minorHAnsi" w:hAnsiTheme="minorHAnsi"/>
          <w:bCs/>
          <w:lang w:eastAsia="ja-JP"/>
        </w:rPr>
        <w:t xml:space="preserve"> </w:t>
      </w:r>
      <w:r w:rsidRPr="00582E1B">
        <w:rPr>
          <w:rFonts w:asciiTheme="minorHAnsi" w:hAnsiTheme="minorHAnsi"/>
          <w:bCs/>
          <w:lang w:val="en-US" w:eastAsia="ja-JP"/>
        </w:rPr>
        <w:t xml:space="preserve">While PEF%p can be considered clinically meaningful and patient relevant, the </w:t>
      </w:r>
      <w:r w:rsidRPr="00582E1B">
        <w:rPr>
          <w:rFonts w:asciiTheme="minorHAnsi" w:hAnsiTheme="minorHAnsi"/>
          <w:bCs/>
          <w:lang w:val="en" w:eastAsia="ja-JP"/>
        </w:rPr>
        <w:t>Guideline</w:t>
      </w:r>
      <w:r w:rsidR="00694C4A">
        <w:rPr>
          <w:rFonts w:asciiTheme="minorHAnsi" w:hAnsiTheme="minorHAnsi"/>
          <w:bCs/>
          <w:lang w:val="en" w:eastAsia="ja-JP"/>
        </w:rPr>
        <w:t>;</w:t>
      </w:r>
      <w:bookmarkStart w:id="127" w:name="_Ref25760234"/>
      <w:r w:rsidR="00694C4A">
        <w:rPr>
          <w:rStyle w:val="FootnoteReference"/>
          <w:rFonts w:asciiTheme="minorHAnsi" w:hAnsiTheme="minorHAnsi"/>
          <w:bCs/>
          <w:lang w:val="en" w:eastAsia="ja-JP"/>
        </w:rPr>
        <w:footnoteReference w:id="33"/>
      </w:r>
      <w:bookmarkEnd w:id="127"/>
      <w:r w:rsidRPr="00582E1B">
        <w:rPr>
          <w:rFonts w:asciiTheme="minorHAnsi" w:hAnsiTheme="minorHAnsi"/>
          <w:bCs/>
          <w:lang w:val="en" w:eastAsia="ja-JP"/>
        </w:rPr>
        <w:t xml:space="preserve"> appears to prefer FVC</w:t>
      </w:r>
      <w:r w:rsidR="00FE173F">
        <w:rPr>
          <w:rFonts w:asciiTheme="minorHAnsi" w:hAnsiTheme="minorHAnsi"/>
          <w:bCs/>
          <w:lang w:val="en" w:eastAsia="ja-JP"/>
        </w:rPr>
        <w:t xml:space="preserve"> </w:t>
      </w:r>
      <w:r w:rsidRPr="00582E1B">
        <w:rPr>
          <w:rFonts w:asciiTheme="minorHAnsi" w:hAnsiTheme="minorHAnsi"/>
          <w:bCs/>
          <w:lang w:val="en" w:eastAsia="ja-JP"/>
        </w:rPr>
        <w:t>/ FVC%p</w:t>
      </w:r>
      <w:r w:rsidR="00FE173F">
        <w:rPr>
          <w:rFonts w:asciiTheme="minorHAnsi" w:hAnsiTheme="minorHAnsi"/>
          <w:bCs/>
          <w:lang w:val="en" w:eastAsia="ja-JP"/>
        </w:rPr>
        <w:t>;</w:t>
      </w:r>
      <w:r w:rsidR="0002337A">
        <w:rPr>
          <w:rStyle w:val="FootnoteReference"/>
          <w:rFonts w:asciiTheme="minorHAnsi" w:hAnsiTheme="minorHAnsi"/>
          <w:bCs/>
          <w:lang w:val="en" w:eastAsia="ja-JP"/>
        </w:rPr>
        <w:footnoteReference w:id="34"/>
      </w:r>
      <w:r w:rsidRPr="00582E1B">
        <w:rPr>
          <w:rFonts w:asciiTheme="minorHAnsi" w:hAnsiTheme="minorHAnsi"/>
          <w:bCs/>
          <w:lang w:eastAsia="ja-JP"/>
        </w:rPr>
        <w:t xml:space="preserve"> to measure loss of lung volume in DMD</w:t>
      </w:r>
      <w:r w:rsidRPr="00582E1B">
        <w:rPr>
          <w:rFonts w:asciiTheme="minorHAnsi" w:hAnsiTheme="minorHAnsi"/>
          <w:bCs/>
          <w:lang w:val="en" w:eastAsia="ja-JP"/>
        </w:rPr>
        <w:t>, with PEF%p potentially being better in younger patients</w:t>
      </w:r>
      <w:r>
        <w:rPr>
          <w:rFonts w:asciiTheme="minorHAnsi" w:hAnsiTheme="minorHAnsi"/>
          <w:bCs/>
          <w:lang w:val="en" w:eastAsia="ja-JP"/>
        </w:rPr>
        <w:t>.</w:t>
      </w:r>
    </w:p>
    <w:p w14:paraId="49B0BF62" w14:textId="77777777" w:rsidR="00DA7618" w:rsidRPr="00D03616" w:rsidRDefault="00DA7618" w:rsidP="00694C4A">
      <w:pPr>
        <w:rPr>
          <w:lang w:eastAsia="ja-JP"/>
        </w:rPr>
      </w:pPr>
      <w:r w:rsidRPr="00D03616">
        <w:rPr>
          <w:lang w:eastAsia="ja-JP"/>
        </w:rPr>
        <w:t xml:space="preserve">Minor imbalances in baseline demographics were observed (higher age at baseline and longer time since last GC use in placebo patients), but these were explored in additional analyses and found not to </w:t>
      </w:r>
      <w:r>
        <w:rPr>
          <w:lang w:eastAsia="ja-JP"/>
        </w:rPr>
        <w:t>impact</w:t>
      </w:r>
      <w:r w:rsidRPr="00D03616">
        <w:rPr>
          <w:lang w:eastAsia="ja-JP"/>
        </w:rPr>
        <w:t xml:space="preserve"> the study results.</w:t>
      </w:r>
    </w:p>
    <w:p w14:paraId="1CAAFA14" w14:textId="5C841A7F" w:rsidR="00DA7618" w:rsidRPr="00D03616" w:rsidRDefault="00DA7618" w:rsidP="00DA7618">
      <w:pPr>
        <w:rPr>
          <w:lang w:eastAsia="ja-JP"/>
        </w:rPr>
      </w:pPr>
      <w:r w:rsidRPr="00D03616">
        <w:rPr>
          <w:lang w:eastAsia="ja-JP"/>
        </w:rPr>
        <w:t xml:space="preserve">The DELOS </w:t>
      </w:r>
      <w:r w:rsidR="003173BB">
        <w:rPr>
          <w:lang w:eastAsia="ja-JP"/>
        </w:rPr>
        <w:t>Study</w:t>
      </w:r>
      <w:r w:rsidRPr="00D03616">
        <w:rPr>
          <w:lang w:eastAsia="ja-JP"/>
        </w:rPr>
        <w:t xml:space="preserve"> met its primary objective.</w:t>
      </w:r>
      <w:r w:rsidR="00DB3203">
        <w:rPr>
          <w:lang w:eastAsia="ja-JP"/>
        </w:rPr>
        <w:t xml:space="preserve"> </w:t>
      </w:r>
      <w:r w:rsidRPr="00D03616">
        <w:rPr>
          <w:lang w:eastAsia="ja-JP"/>
        </w:rPr>
        <w:t xml:space="preserve">Patients who received idebenone had a decline in PEF%p of 3.05% at Week 52, compared with a decline of 9.01% for patients on placebo (estimated difference 5.96%; 95% </w:t>
      </w:r>
      <w:r w:rsidR="0002337A">
        <w:t>confidence interval</w:t>
      </w:r>
      <w:r w:rsidR="0002337A" w:rsidRPr="00D03616">
        <w:rPr>
          <w:lang w:eastAsia="ja-JP"/>
        </w:rPr>
        <w:t xml:space="preserve"> </w:t>
      </w:r>
      <w:r w:rsidR="0002337A">
        <w:rPr>
          <w:lang w:eastAsia="ja-JP"/>
        </w:rPr>
        <w:t>(</w:t>
      </w:r>
      <w:r w:rsidRPr="00D03616">
        <w:rPr>
          <w:lang w:eastAsia="ja-JP"/>
        </w:rPr>
        <w:t>CI</w:t>
      </w:r>
      <w:r w:rsidR="0002337A">
        <w:rPr>
          <w:lang w:eastAsia="ja-JP"/>
        </w:rPr>
        <w:t>)</w:t>
      </w:r>
      <w:r w:rsidRPr="00D03616">
        <w:rPr>
          <w:lang w:eastAsia="ja-JP"/>
        </w:rPr>
        <w:t xml:space="preserve">: 0.16, 11.76; </w:t>
      </w:r>
      <w:r w:rsidR="0002337A">
        <w:rPr>
          <w:lang w:eastAsia="ja-JP"/>
        </w:rPr>
        <w:t>p</w:t>
      </w:r>
      <w:r w:rsidR="0061481A">
        <w:rPr>
          <w:lang w:eastAsia="ja-JP"/>
        </w:rPr>
        <w:t xml:space="preserve"> = </w:t>
      </w:r>
      <w:r w:rsidRPr="00D03616">
        <w:rPr>
          <w:lang w:eastAsia="ja-JP"/>
        </w:rPr>
        <w:t>0.0443</w:t>
      </w:r>
      <w:r>
        <w:rPr>
          <w:lang w:eastAsia="ja-JP"/>
        </w:rPr>
        <w:t xml:space="preserve"> in the </w:t>
      </w:r>
      <w:r w:rsidR="0002337A">
        <w:t>modified intent-to-treat</w:t>
      </w:r>
      <w:r w:rsidR="0002337A">
        <w:rPr>
          <w:lang w:eastAsia="ja-JP"/>
        </w:rPr>
        <w:t xml:space="preserve"> (</w:t>
      </w:r>
      <w:r>
        <w:rPr>
          <w:lang w:eastAsia="ja-JP"/>
        </w:rPr>
        <w:t>mITT</w:t>
      </w:r>
      <w:r w:rsidR="0002337A">
        <w:rPr>
          <w:lang w:eastAsia="ja-JP"/>
        </w:rPr>
        <w:t>)</w:t>
      </w:r>
      <w:r>
        <w:rPr>
          <w:lang w:eastAsia="ja-JP"/>
        </w:rPr>
        <w:t xml:space="preserve"> population</w:t>
      </w:r>
      <w:r w:rsidRPr="00D03616">
        <w:rPr>
          <w:lang w:eastAsia="ja-JP"/>
        </w:rPr>
        <w:t>).</w:t>
      </w:r>
      <w:r w:rsidR="00DB3203">
        <w:rPr>
          <w:lang w:eastAsia="ja-JP"/>
        </w:rPr>
        <w:t xml:space="preserve"> </w:t>
      </w:r>
      <w:r w:rsidRPr="00D03616">
        <w:rPr>
          <w:lang w:eastAsia="ja-JP"/>
        </w:rPr>
        <w:t xml:space="preserve">A difference favouring idebenone was also found in the </w:t>
      </w:r>
      <w:r w:rsidR="0002337A">
        <w:t>intent-to-treat</w:t>
      </w:r>
      <w:r w:rsidR="0002337A" w:rsidRPr="00D03616">
        <w:rPr>
          <w:lang w:eastAsia="ja-JP"/>
        </w:rPr>
        <w:t xml:space="preserve"> </w:t>
      </w:r>
      <w:r w:rsidR="0002337A">
        <w:rPr>
          <w:lang w:eastAsia="ja-JP"/>
        </w:rPr>
        <w:t>(</w:t>
      </w:r>
      <w:r w:rsidRPr="00D03616">
        <w:rPr>
          <w:lang w:eastAsia="ja-JP"/>
        </w:rPr>
        <w:t>ITT</w:t>
      </w:r>
      <w:r w:rsidR="0002337A">
        <w:rPr>
          <w:lang w:eastAsia="ja-JP"/>
        </w:rPr>
        <w:t>)</w:t>
      </w:r>
      <w:r w:rsidRPr="00D03616">
        <w:rPr>
          <w:lang w:eastAsia="ja-JP"/>
        </w:rPr>
        <w:t xml:space="preserve"> </w:t>
      </w:r>
      <w:r>
        <w:rPr>
          <w:lang w:eastAsia="ja-JP"/>
        </w:rPr>
        <w:t xml:space="preserve">(estimated </w:t>
      </w:r>
      <w:r w:rsidRPr="001658FC">
        <w:rPr>
          <w:lang w:eastAsia="ja-JP"/>
        </w:rPr>
        <w:t>difference 6.27%, 95% CI: 0.61, 11.93; p</w:t>
      </w:r>
      <w:r w:rsidR="00694C4A">
        <w:rPr>
          <w:lang w:eastAsia="ja-JP"/>
        </w:rPr>
        <w:t> </w:t>
      </w:r>
      <w:r w:rsidR="0061481A">
        <w:rPr>
          <w:lang w:eastAsia="ja-JP"/>
        </w:rPr>
        <w:t xml:space="preserve">= </w:t>
      </w:r>
      <w:r w:rsidRPr="001658FC">
        <w:rPr>
          <w:lang w:eastAsia="ja-JP"/>
        </w:rPr>
        <w:t>0.0306</w:t>
      </w:r>
      <w:r>
        <w:rPr>
          <w:lang w:eastAsia="ja-JP"/>
        </w:rPr>
        <w:t xml:space="preserve">) </w:t>
      </w:r>
      <w:r w:rsidRPr="00D03616">
        <w:rPr>
          <w:lang w:eastAsia="ja-JP"/>
        </w:rPr>
        <w:t>and PP populations, and in a number of sensitivity analyses suggesting that the result was robust.</w:t>
      </w:r>
      <w:r w:rsidR="00DB3203">
        <w:rPr>
          <w:lang w:eastAsia="ja-JP"/>
        </w:rPr>
        <w:t xml:space="preserve"> </w:t>
      </w:r>
      <w:r>
        <w:rPr>
          <w:lang w:eastAsia="ja-JP"/>
        </w:rPr>
        <w:t>This result appears to be clinically relevant as well as statistically significant.</w:t>
      </w:r>
      <w:r w:rsidR="00DB3203">
        <w:rPr>
          <w:lang w:eastAsia="ja-JP"/>
        </w:rPr>
        <w:t xml:space="preserve"> </w:t>
      </w:r>
      <w:r>
        <w:rPr>
          <w:lang w:eastAsia="ja-JP"/>
        </w:rPr>
        <w:t>However, the 95% CI is relatively wide with a lower limit approaching zero.</w:t>
      </w:r>
      <w:r w:rsidR="00DB3203">
        <w:rPr>
          <w:lang w:eastAsia="ja-JP"/>
        </w:rPr>
        <w:t xml:space="preserve"> </w:t>
      </w:r>
      <w:r>
        <w:rPr>
          <w:lang w:eastAsia="ja-JP"/>
        </w:rPr>
        <w:t>While this could at least partly be the result of the rarity of DMD (particularly GC non</w:t>
      </w:r>
      <w:r w:rsidR="00FE173F">
        <w:rPr>
          <w:lang w:eastAsia="ja-JP"/>
        </w:rPr>
        <w:noBreakHyphen/>
      </w:r>
      <w:r>
        <w:rPr>
          <w:lang w:eastAsia="ja-JP"/>
        </w:rPr>
        <w:t>users) which limited the number of patients that could be enrolled in the study, it does raise concerns about the potential clinical relevance of this result.</w:t>
      </w:r>
    </w:p>
    <w:p w14:paraId="6648A52F" w14:textId="52F96B5A" w:rsidR="00DA7618" w:rsidRPr="00D03616" w:rsidRDefault="00DA7618" w:rsidP="00DA7618">
      <w:pPr>
        <w:rPr>
          <w:lang w:eastAsia="ja-JP"/>
        </w:rPr>
      </w:pPr>
      <w:r w:rsidRPr="00D03616">
        <w:rPr>
          <w:lang w:eastAsia="ja-JP"/>
        </w:rPr>
        <w:t>Selected secondary endpoints were ranked and analysed in a hierarchical manner.</w:t>
      </w:r>
      <w:r w:rsidR="00DB3203">
        <w:rPr>
          <w:lang w:eastAsia="ja-JP"/>
        </w:rPr>
        <w:t xml:space="preserve"> </w:t>
      </w:r>
      <w:r w:rsidRPr="00D03616">
        <w:rPr>
          <w:lang w:eastAsia="ja-JP"/>
        </w:rPr>
        <w:t>The first of these endpoints (the annual rate of change in PEF%p using ASMA-1 device data</w:t>
      </w:r>
      <w:r w:rsidR="00FE173F">
        <w:rPr>
          <w:lang w:eastAsia="ja-JP"/>
        </w:rPr>
        <w:t>;</w:t>
      </w:r>
      <w:r w:rsidR="00FE173F">
        <w:rPr>
          <w:rStyle w:val="FootnoteReference"/>
          <w:lang w:eastAsia="ja-JP"/>
        </w:rPr>
        <w:footnoteReference w:id="35"/>
      </w:r>
      <w:r w:rsidRPr="00D03616">
        <w:rPr>
          <w:lang w:eastAsia="ja-JP"/>
        </w:rPr>
        <w:t xml:space="preserve"> calculated by linear regression analysis) also favoured treatment with idebenone (-2.48 </w:t>
      </w:r>
      <w:r w:rsidR="0061481A">
        <w:rPr>
          <w:lang w:eastAsia="ja-JP"/>
        </w:rPr>
        <w:t>versus</w:t>
      </w:r>
      <w:r w:rsidRPr="00D03616">
        <w:rPr>
          <w:lang w:eastAsia="ja-JP"/>
        </w:rPr>
        <w:t xml:space="preserve"> -9.32% for idebenone and placebo, respectiv</w:t>
      </w:r>
      <w:r>
        <w:rPr>
          <w:lang w:eastAsia="ja-JP"/>
        </w:rPr>
        <w:t>ely; estimated difference 6.84%,</w:t>
      </w:r>
      <w:r w:rsidRPr="00D03616">
        <w:rPr>
          <w:lang w:eastAsia="ja-JP"/>
        </w:rPr>
        <w:t xml:space="preserve"> 95% CI: -0.15, 13.83).</w:t>
      </w:r>
      <w:r w:rsidR="00DB3203">
        <w:rPr>
          <w:lang w:eastAsia="ja-JP"/>
        </w:rPr>
        <w:t xml:space="preserve"> </w:t>
      </w:r>
      <w:r w:rsidR="00694C4A" w:rsidRPr="00D03616">
        <w:rPr>
          <w:lang w:eastAsia="ja-JP"/>
        </w:rPr>
        <w:t>However,</w:t>
      </w:r>
      <w:r w:rsidRPr="00D03616">
        <w:rPr>
          <w:lang w:eastAsia="ja-JP"/>
        </w:rPr>
        <w:t xml:space="preserve"> this result was not statistically significant (</w:t>
      </w:r>
      <w:r w:rsidR="0002337A">
        <w:rPr>
          <w:lang w:eastAsia="ja-JP"/>
        </w:rPr>
        <w:t>p</w:t>
      </w:r>
      <w:r w:rsidR="0061481A">
        <w:rPr>
          <w:lang w:eastAsia="ja-JP"/>
        </w:rPr>
        <w:t xml:space="preserve"> = </w:t>
      </w:r>
      <w:r w:rsidRPr="00D03616">
        <w:rPr>
          <w:lang w:eastAsia="ja-JP"/>
        </w:rPr>
        <w:t>0.0548</w:t>
      </w:r>
      <w:r w:rsidRPr="00D82A95">
        <w:rPr>
          <w:lang w:eastAsia="ja-JP"/>
        </w:rPr>
        <w:t>), and therefore the results for the remaining respiratory and non-respiratory endpoints can only be considered exploratory.</w:t>
      </w:r>
      <w:r w:rsidR="00DB3203">
        <w:rPr>
          <w:lang w:eastAsia="ja-JP"/>
        </w:rPr>
        <w:t xml:space="preserve"> </w:t>
      </w:r>
      <w:r w:rsidRPr="00D03616">
        <w:rPr>
          <w:lang w:eastAsia="ja-JP"/>
        </w:rPr>
        <w:t xml:space="preserve">Despite this limitation, many of the other </w:t>
      </w:r>
      <w:r w:rsidRPr="00215E53">
        <w:rPr>
          <w:bCs/>
          <w:lang w:eastAsia="ja-JP"/>
        </w:rPr>
        <w:t xml:space="preserve">pre-specified secondary and tertiary </w:t>
      </w:r>
      <w:r w:rsidRPr="00D03616">
        <w:rPr>
          <w:lang w:eastAsia="ja-JP"/>
        </w:rPr>
        <w:t xml:space="preserve">respiratory endpoints also suggested a treatment benefit with idebenone, including change in </w:t>
      </w:r>
      <w:r w:rsidR="00252C48">
        <w:t>peak cough flow</w:t>
      </w:r>
      <w:r w:rsidR="00252C48" w:rsidRPr="00D03616">
        <w:rPr>
          <w:lang w:eastAsia="ja-JP"/>
        </w:rPr>
        <w:t xml:space="preserve"> </w:t>
      </w:r>
      <w:r w:rsidR="00252C48">
        <w:rPr>
          <w:lang w:eastAsia="ja-JP"/>
        </w:rPr>
        <w:t>(</w:t>
      </w:r>
      <w:r w:rsidRPr="00D03616">
        <w:rPr>
          <w:lang w:eastAsia="ja-JP"/>
        </w:rPr>
        <w:t>PCF</w:t>
      </w:r>
      <w:r w:rsidR="00252C48">
        <w:rPr>
          <w:lang w:eastAsia="ja-JP"/>
        </w:rPr>
        <w:t>)</w:t>
      </w:r>
      <w:r w:rsidRPr="00D03616">
        <w:rPr>
          <w:lang w:eastAsia="ja-JP"/>
        </w:rPr>
        <w:t xml:space="preserve"> and FVC%p.</w:t>
      </w:r>
      <w:r w:rsidR="00DB3203">
        <w:rPr>
          <w:lang w:eastAsia="ja-JP"/>
        </w:rPr>
        <w:t xml:space="preserve"> </w:t>
      </w:r>
      <w:r w:rsidRPr="00D03616">
        <w:rPr>
          <w:lang w:eastAsia="ja-JP"/>
        </w:rPr>
        <w:t xml:space="preserve">Further supportive evidence of the beneficial effect of idebenone on respiratory function was provided by the </w:t>
      </w:r>
      <w:r>
        <w:rPr>
          <w:lang w:eastAsia="ja-JP"/>
        </w:rPr>
        <w:t xml:space="preserve">pre-specified </w:t>
      </w:r>
      <w:r w:rsidRPr="00D03616">
        <w:rPr>
          <w:lang w:eastAsia="ja-JP"/>
        </w:rPr>
        <w:t>responder analyses, which demonstrated that fewer patients on idebenone deteriorated from baseline, and fewer had their PCF drop below 160 L/min at any time point during the study.</w:t>
      </w:r>
      <w:r w:rsidR="00DB3203">
        <w:rPr>
          <w:lang w:eastAsia="ja-JP"/>
        </w:rPr>
        <w:t xml:space="preserve"> </w:t>
      </w:r>
      <w:r w:rsidRPr="00D03616">
        <w:rPr>
          <w:lang w:eastAsia="ja-JP"/>
        </w:rPr>
        <w:t>This outcome is of importance as a PCF ≥ 160 L/min is considered necessary to clear airway debris and thereby potentially decrease the risk for respiratory infection and other respiratory morbidity.</w:t>
      </w:r>
      <w:r w:rsidRPr="00D03616">
        <w:rPr>
          <w:rStyle w:val="FootnoteReference"/>
          <w:lang w:eastAsia="ja-JP"/>
        </w:rPr>
        <w:footnoteReference w:id="36"/>
      </w:r>
    </w:p>
    <w:p w14:paraId="0BF5E6B3" w14:textId="0B0BFFAB" w:rsidR="00DA7618" w:rsidRDefault="00DA7618" w:rsidP="00DA7618">
      <w:pPr>
        <w:rPr>
          <w:lang w:eastAsia="ja-JP"/>
        </w:rPr>
      </w:pPr>
      <w:r w:rsidRPr="00D03616">
        <w:rPr>
          <w:lang w:eastAsia="ja-JP"/>
        </w:rPr>
        <w:t xml:space="preserve">Additional evidence of the robustness of the DELOS </w:t>
      </w:r>
      <w:r w:rsidR="00FE173F">
        <w:rPr>
          <w:lang w:eastAsia="ja-JP"/>
        </w:rPr>
        <w:t xml:space="preserve">study </w:t>
      </w:r>
      <w:r w:rsidRPr="00D03616">
        <w:rPr>
          <w:lang w:eastAsia="ja-JP"/>
        </w:rPr>
        <w:t xml:space="preserve">results was provided by the </w:t>
      </w:r>
      <w:r w:rsidR="00252C48">
        <w:t>prospectively planned matching</w:t>
      </w:r>
      <w:r w:rsidR="00252C48" w:rsidRPr="00D03616">
        <w:rPr>
          <w:lang w:eastAsia="ja-JP"/>
        </w:rPr>
        <w:t xml:space="preserve"> </w:t>
      </w:r>
      <w:r w:rsidR="00252C48">
        <w:rPr>
          <w:lang w:eastAsia="ja-JP"/>
        </w:rPr>
        <w:t>(</w:t>
      </w:r>
      <w:r w:rsidRPr="00D03616">
        <w:rPr>
          <w:lang w:eastAsia="ja-JP"/>
        </w:rPr>
        <w:t>PPM</w:t>
      </w:r>
      <w:r w:rsidR="00252C48">
        <w:rPr>
          <w:lang w:eastAsia="ja-JP"/>
        </w:rPr>
        <w:t>)</w:t>
      </w:r>
      <w:r w:rsidRPr="00D03616">
        <w:rPr>
          <w:lang w:eastAsia="ja-JP"/>
        </w:rPr>
        <w:t xml:space="preserve"> study, which demonstrated that the rate of decline in PEF%p in the DELOS </w:t>
      </w:r>
      <w:r w:rsidR="00FE173F">
        <w:rPr>
          <w:lang w:eastAsia="ja-JP"/>
        </w:rPr>
        <w:t>s</w:t>
      </w:r>
      <w:r w:rsidR="003173BB">
        <w:rPr>
          <w:lang w:eastAsia="ja-JP"/>
        </w:rPr>
        <w:t>tudy</w:t>
      </w:r>
      <w:r w:rsidRPr="00D03616">
        <w:rPr>
          <w:lang w:eastAsia="ja-JP"/>
        </w:rPr>
        <w:t xml:space="preserve"> placebo group was comparable to the rate of decline of a matched-to-DELOS placebo cohort from the CINRG DNHS, while the rate of decline in the DELOS </w:t>
      </w:r>
      <w:r w:rsidR="00FE173F">
        <w:rPr>
          <w:lang w:eastAsia="ja-JP"/>
        </w:rPr>
        <w:t>s</w:t>
      </w:r>
      <w:r w:rsidR="003173BB">
        <w:rPr>
          <w:lang w:eastAsia="ja-JP"/>
        </w:rPr>
        <w:t>tudy</w:t>
      </w:r>
      <w:r w:rsidRPr="00D03616">
        <w:rPr>
          <w:lang w:eastAsia="ja-JP"/>
        </w:rPr>
        <w:t xml:space="preserve"> idebenone group was slower than both the matched-to-DELOS </w:t>
      </w:r>
      <w:r w:rsidR="00FE173F">
        <w:rPr>
          <w:lang w:eastAsia="ja-JP"/>
        </w:rPr>
        <w:t xml:space="preserve">study </w:t>
      </w:r>
      <w:r w:rsidRPr="00D03616">
        <w:rPr>
          <w:lang w:eastAsia="ja-JP"/>
        </w:rPr>
        <w:t>placebo and matched-to-DELOS</w:t>
      </w:r>
      <w:r w:rsidR="00FE173F">
        <w:rPr>
          <w:lang w:eastAsia="ja-JP"/>
        </w:rPr>
        <w:t xml:space="preserve"> study</w:t>
      </w:r>
      <w:r w:rsidRPr="00D03616">
        <w:rPr>
          <w:lang w:eastAsia="ja-JP"/>
        </w:rPr>
        <w:t xml:space="preserve"> idebenone cohorts from the CINRG DNHS.</w:t>
      </w:r>
    </w:p>
    <w:p w14:paraId="73A026B5" w14:textId="774C0F52" w:rsidR="00DA7618" w:rsidRPr="001658FC" w:rsidRDefault="00DA7618" w:rsidP="00DA7618">
      <w:pPr>
        <w:rPr>
          <w:bCs/>
          <w:lang w:val="en" w:eastAsia="ja-JP"/>
        </w:rPr>
      </w:pPr>
      <w:r>
        <w:rPr>
          <w:lang w:eastAsia="ja-JP"/>
        </w:rPr>
        <w:t xml:space="preserve">Because only a single </w:t>
      </w:r>
      <w:r w:rsidR="003173BB">
        <w:rPr>
          <w:lang w:eastAsia="ja-JP"/>
        </w:rPr>
        <w:t>Phase</w:t>
      </w:r>
      <w:r>
        <w:rPr>
          <w:lang w:eastAsia="ja-JP"/>
        </w:rPr>
        <w:t xml:space="preserve"> III study for the DMD indication has been submitted, t</w:t>
      </w:r>
      <w:r w:rsidRPr="001658FC">
        <w:rPr>
          <w:lang w:eastAsia="ja-JP"/>
        </w:rPr>
        <w:t>he EMA document</w:t>
      </w:r>
      <w:r w:rsidR="00C2297C">
        <w:rPr>
          <w:lang w:eastAsia="ja-JP"/>
        </w:rPr>
        <w:t>;</w:t>
      </w:r>
      <w:bookmarkStart w:id="128" w:name="_Ref25760375"/>
      <w:r w:rsidR="00C2297C">
        <w:rPr>
          <w:rStyle w:val="FootnoteReference"/>
          <w:lang w:eastAsia="ja-JP"/>
        </w:rPr>
        <w:footnoteReference w:id="37"/>
      </w:r>
      <w:bookmarkEnd w:id="128"/>
      <w:r w:rsidRPr="001658FC">
        <w:rPr>
          <w:bCs/>
          <w:lang w:val="en" w:eastAsia="ja-JP"/>
        </w:rPr>
        <w:t xml:space="preserve"> </w:t>
      </w:r>
      <w:r>
        <w:rPr>
          <w:bCs/>
          <w:lang w:val="en" w:eastAsia="ja-JP"/>
        </w:rPr>
        <w:t>is applicable.</w:t>
      </w:r>
      <w:r w:rsidR="00DB3203">
        <w:rPr>
          <w:bCs/>
          <w:lang w:val="en" w:eastAsia="ja-JP"/>
        </w:rPr>
        <w:t xml:space="preserve"> </w:t>
      </w:r>
      <w:r>
        <w:rPr>
          <w:bCs/>
          <w:lang w:val="en" w:eastAsia="ja-JP"/>
        </w:rPr>
        <w:t xml:space="preserve">This document </w:t>
      </w:r>
      <w:r w:rsidRPr="001658FC">
        <w:rPr>
          <w:bCs/>
          <w:lang w:val="en" w:eastAsia="ja-JP"/>
        </w:rPr>
        <w:t xml:space="preserve">states that </w:t>
      </w:r>
      <w:r w:rsidR="00685A72">
        <w:rPr>
          <w:bCs/>
          <w:lang w:val="en" w:eastAsia="ja-JP"/>
        </w:rPr>
        <w:t>‘</w:t>
      </w:r>
      <w:r w:rsidRPr="001658FC">
        <w:rPr>
          <w:bCs/>
          <w:i/>
          <w:lang w:eastAsia="ja-JP"/>
        </w:rPr>
        <w:t>where the confirmatory evidence is provided by one pivotal study only, this study will have to be exceptionally compelling</w:t>
      </w:r>
      <w:r w:rsidR="00685A72">
        <w:rPr>
          <w:bCs/>
          <w:lang w:eastAsia="ja-JP"/>
        </w:rPr>
        <w:t>’</w:t>
      </w:r>
      <w:r w:rsidRPr="001658FC">
        <w:rPr>
          <w:bCs/>
          <w:lang w:eastAsia="ja-JP"/>
        </w:rPr>
        <w:t>.</w:t>
      </w:r>
      <w:r w:rsidR="00DB3203">
        <w:rPr>
          <w:bCs/>
          <w:lang w:eastAsia="ja-JP"/>
        </w:rPr>
        <w:t xml:space="preserve"> </w:t>
      </w:r>
      <w:r w:rsidRPr="001658FC">
        <w:rPr>
          <w:bCs/>
          <w:lang w:eastAsia="ja-JP"/>
        </w:rPr>
        <w:t xml:space="preserve">In particular, the estimated size of the treatment benefit </w:t>
      </w:r>
      <w:r w:rsidR="00685A72">
        <w:rPr>
          <w:bCs/>
          <w:lang w:eastAsia="ja-JP"/>
        </w:rPr>
        <w:t>‘</w:t>
      </w:r>
      <w:r w:rsidRPr="001658FC">
        <w:rPr>
          <w:bCs/>
          <w:i/>
          <w:lang w:eastAsia="ja-JP"/>
        </w:rPr>
        <w:t>must be large enough to be clinically valuable</w:t>
      </w:r>
      <w:r w:rsidR="00685A72">
        <w:rPr>
          <w:bCs/>
          <w:i/>
          <w:lang w:eastAsia="ja-JP"/>
        </w:rPr>
        <w:t>’</w:t>
      </w:r>
      <w:r w:rsidRPr="001658FC">
        <w:rPr>
          <w:bCs/>
          <w:i/>
          <w:lang w:eastAsia="ja-JP"/>
        </w:rPr>
        <w:t xml:space="preserve"> </w:t>
      </w:r>
      <w:r w:rsidRPr="001658FC">
        <w:rPr>
          <w:bCs/>
          <w:lang w:eastAsia="ja-JP"/>
        </w:rPr>
        <w:t xml:space="preserve">and the degree of statistical significance is usually required to be </w:t>
      </w:r>
      <w:r w:rsidR="00685A72">
        <w:rPr>
          <w:bCs/>
          <w:lang w:eastAsia="ja-JP"/>
        </w:rPr>
        <w:t>‘</w:t>
      </w:r>
      <w:r w:rsidRPr="001658FC">
        <w:rPr>
          <w:bCs/>
          <w:i/>
          <w:lang w:eastAsia="ja-JP"/>
        </w:rPr>
        <w:t>considerably stronger than p</w:t>
      </w:r>
      <w:r w:rsidR="00C2297C">
        <w:rPr>
          <w:bCs/>
          <w:i/>
          <w:lang w:eastAsia="ja-JP"/>
        </w:rPr>
        <w:t xml:space="preserve"> </w:t>
      </w:r>
      <w:r w:rsidR="003173BB">
        <w:rPr>
          <w:bCs/>
          <w:i/>
          <w:lang w:eastAsia="ja-JP"/>
        </w:rPr>
        <w:t xml:space="preserve">&lt; </w:t>
      </w:r>
      <w:r w:rsidRPr="001658FC">
        <w:rPr>
          <w:bCs/>
          <w:i/>
          <w:lang w:eastAsia="ja-JP"/>
        </w:rPr>
        <w:t>0.05</w:t>
      </w:r>
      <w:r w:rsidR="00685A72">
        <w:rPr>
          <w:bCs/>
          <w:lang w:eastAsia="ja-JP"/>
        </w:rPr>
        <w:t>’</w:t>
      </w:r>
      <w:r w:rsidRPr="001658FC">
        <w:rPr>
          <w:bCs/>
          <w:lang w:eastAsia="ja-JP"/>
        </w:rPr>
        <w:t>.</w:t>
      </w:r>
      <w:r w:rsidR="00DB3203">
        <w:rPr>
          <w:bCs/>
          <w:lang w:eastAsia="ja-JP"/>
        </w:rPr>
        <w:t xml:space="preserve"> </w:t>
      </w:r>
      <w:r w:rsidRPr="001658FC">
        <w:rPr>
          <w:bCs/>
          <w:lang w:eastAsia="ja-JP"/>
        </w:rPr>
        <w:t xml:space="preserve">It </w:t>
      </w:r>
      <w:r>
        <w:rPr>
          <w:bCs/>
          <w:lang w:eastAsia="ja-JP"/>
        </w:rPr>
        <w:t>could be argued</w:t>
      </w:r>
      <w:r w:rsidRPr="001658FC">
        <w:rPr>
          <w:bCs/>
          <w:lang w:eastAsia="ja-JP"/>
        </w:rPr>
        <w:t xml:space="preserve"> that DELOS</w:t>
      </w:r>
      <w:r w:rsidR="00FE173F">
        <w:rPr>
          <w:bCs/>
          <w:lang w:eastAsia="ja-JP"/>
        </w:rPr>
        <w:t xml:space="preserve"> study</w:t>
      </w:r>
      <w:r w:rsidRPr="001658FC">
        <w:rPr>
          <w:bCs/>
          <w:lang w:eastAsia="ja-JP"/>
        </w:rPr>
        <w:t xml:space="preserve"> </w:t>
      </w:r>
      <w:r>
        <w:rPr>
          <w:bCs/>
          <w:lang w:eastAsia="ja-JP"/>
        </w:rPr>
        <w:t xml:space="preserve">does not </w:t>
      </w:r>
      <w:r w:rsidRPr="001658FC">
        <w:rPr>
          <w:bCs/>
          <w:lang w:eastAsia="ja-JP"/>
        </w:rPr>
        <w:t xml:space="preserve">meet these </w:t>
      </w:r>
      <w:r w:rsidRPr="001658FC">
        <w:rPr>
          <w:bCs/>
          <w:lang w:eastAsia="ja-JP"/>
        </w:rPr>
        <w:lastRenderedPageBreak/>
        <w:t>requirements.</w:t>
      </w:r>
      <w:r w:rsidR="00DB3203">
        <w:rPr>
          <w:bCs/>
          <w:lang w:eastAsia="ja-JP"/>
        </w:rPr>
        <w:t xml:space="preserve"> </w:t>
      </w:r>
      <w:r>
        <w:rPr>
          <w:bCs/>
          <w:lang w:eastAsia="ja-JP"/>
        </w:rPr>
        <w:t xml:space="preserve">This document also </w:t>
      </w:r>
      <w:r w:rsidRPr="001658FC">
        <w:rPr>
          <w:bCs/>
          <w:lang w:val="en" w:eastAsia="ja-JP"/>
        </w:rPr>
        <w:t>suggests replication of scientific results in a number of circumstances</w:t>
      </w:r>
      <w:r>
        <w:rPr>
          <w:bCs/>
          <w:lang w:val="en" w:eastAsia="ja-JP"/>
        </w:rPr>
        <w:t xml:space="preserve"> including where</w:t>
      </w:r>
      <w:r w:rsidRPr="001658FC">
        <w:rPr>
          <w:bCs/>
          <w:lang w:val="en" w:eastAsia="ja-JP"/>
        </w:rPr>
        <w:t>:</w:t>
      </w:r>
    </w:p>
    <w:p w14:paraId="61F9EB1B" w14:textId="77777777" w:rsidR="00DA7618" w:rsidRPr="001658FC" w:rsidRDefault="00DA7618" w:rsidP="00DA7618">
      <w:pPr>
        <w:pStyle w:val="ListBullet"/>
        <w:rPr>
          <w:lang w:eastAsia="ja-JP"/>
        </w:rPr>
      </w:pPr>
      <w:r w:rsidRPr="001658FC">
        <w:rPr>
          <w:lang w:val="en" w:eastAsia="ja-JP"/>
        </w:rPr>
        <w:t>Phase II data are limited or unconvincing.</w:t>
      </w:r>
    </w:p>
    <w:p w14:paraId="4BBD66AA" w14:textId="77777777" w:rsidR="00DA7618" w:rsidRPr="001658FC" w:rsidRDefault="00DA7618" w:rsidP="00DA7618">
      <w:pPr>
        <w:pStyle w:val="ListBullet"/>
        <w:rPr>
          <w:lang w:eastAsia="ja-JP"/>
        </w:rPr>
      </w:pPr>
      <w:r w:rsidRPr="001658FC">
        <w:rPr>
          <w:lang w:eastAsia="ja-JP"/>
        </w:rPr>
        <w:t>A need to demonstrate efficacy and/or tolerability in different sub-populations.</w:t>
      </w:r>
    </w:p>
    <w:p w14:paraId="3C186B43" w14:textId="77777777" w:rsidR="00DA7618" w:rsidRPr="001658FC" w:rsidRDefault="00DA7618" w:rsidP="00DA7618">
      <w:pPr>
        <w:pStyle w:val="ListBullet"/>
        <w:rPr>
          <w:lang w:eastAsia="ja-JP"/>
        </w:rPr>
      </w:pPr>
      <w:r w:rsidRPr="001658FC">
        <w:rPr>
          <w:lang w:eastAsia="ja-JP"/>
        </w:rPr>
        <w:t xml:space="preserve">Any other needs to address additional questions in the </w:t>
      </w:r>
      <w:r w:rsidR="003173BB">
        <w:rPr>
          <w:lang w:eastAsia="ja-JP"/>
        </w:rPr>
        <w:t>Phase</w:t>
      </w:r>
      <w:r w:rsidRPr="001658FC">
        <w:rPr>
          <w:lang w:eastAsia="ja-JP"/>
        </w:rPr>
        <w:t xml:space="preserve"> III program.</w:t>
      </w:r>
    </w:p>
    <w:p w14:paraId="4D96B822" w14:textId="7C6A4805" w:rsidR="00C13493" w:rsidRDefault="00C13493" w:rsidP="00FA166A">
      <w:pPr>
        <w:rPr>
          <w:lang w:eastAsia="ja-JP"/>
        </w:rPr>
      </w:pPr>
      <w:r>
        <w:rPr>
          <w:lang w:eastAsia="ja-JP"/>
        </w:rPr>
        <w:t xml:space="preserve">The limitations of the Phase II data from </w:t>
      </w:r>
      <w:r w:rsidR="00FE173F">
        <w:rPr>
          <w:lang w:eastAsia="ja-JP"/>
        </w:rPr>
        <w:t xml:space="preserve">the </w:t>
      </w:r>
      <w:r>
        <w:rPr>
          <w:lang w:eastAsia="ja-JP"/>
        </w:rPr>
        <w:t>DELPHI</w:t>
      </w:r>
      <w:r w:rsidR="00FE173F">
        <w:rPr>
          <w:lang w:eastAsia="ja-JP"/>
        </w:rPr>
        <w:t xml:space="preserve"> study </w:t>
      </w:r>
      <w:r w:rsidRPr="00FF5766">
        <w:rPr>
          <w:lang w:eastAsia="ja-JP"/>
        </w:rPr>
        <w:t xml:space="preserve">, the lack of </w:t>
      </w:r>
      <w:r>
        <w:rPr>
          <w:lang w:eastAsia="ja-JP"/>
        </w:rPr>
        <w:t xml:space="preserve">Phase III </w:t>
      </w:r>
      <w:r w:rsidRPr="00FF5766">
        <w:rPr>
          <w:lang w:eastAsia="ja-JP"/>
        </w:rPr>
        <w:t>data in DMD patients using glucocorticoids,</w:t>
      </w:r>
      <w:r>
        <w:rPr>
          <w:lang w:eastAsia="ja-JP"/>
        </w:rPr>
        <w:t xml:space="preserve"> the preference for FVC%p to be used as the primary efficacy endpoint, and the wide 95% confidence intervals for PEF%p in </w:t>
      </w:r>
      <w:r w:rsidR="00FE173F">
        <w:rPr>
          <w:lang w:eastAsia="ja-JP"/>
        </w:rPr>
        <w:t xml:space="preserve">the </w:t>
      </w:r>
      <w:r>
        <w:rPr>
          <w:lang w:eastAsia="ja-JP"/>
        </w:rPr>
        <w:t>DELOS</w:t>
      </w:r>
      <w:r w:rsidR="00FE173F">
        <w:rPr>
          <w:lang w:eastAsia="ja-JP"/>
        </w:rPr>
        <w:t xml:space="preserve"> study</w:t>
      </w:r>
      <w:r>
        <w:rPr>
          <w:lang w:eastAsia="ja-JP"/>
        </w:rPr>
        <w:t xml:space="preserve"> all </w:t>
      </w:r>
      <w:r w:rsidRPr="007A7D64">
        <w:rPr>
          <w:lang w:eastAsia="ja-JP"/>
        </w:rPr>
        <w:t>suggest that it would be prudent to wait for the SIDEROS study results before considering registration of Raxone</w:t>
      </w:r>
      <w:r>
        <w:rPr>
          <w:lang w:eastAsia="ja-JP"/>
        </w:rPr>
        <w:t>.</w:t>
      </w:r>
    </w:p>
    <w:p w14:paraId="64A97EE5" w14:textId="77777777" w:rsidR="008E7846" w:rsidRPr="00C2297C" w:rsidRDefault="008E7846" w:rsidP="00C2297C">
      <w:pPr>
        <w:pStyle w:val="Heading3"/>
      </w:pPr>
      <w:bookmarkStart w:id="129" w:name="_Toc163441378"/>
      <w:bookmarkStart w:id="130" w:name="_Toc196046495"/>
      <w:bookmarkStart w:id="131" w:name="_Toc247691522"/>
      <w:bookmarkStart w:id="132" w:name="_Toc314842505"/>
      <w:bookmarkStart w:id="133" w:name="_Toc32828537"/>
      <w:bookmarkEnd w:id="123"/>
      <w:bookmarkEnd w:id="124"/>
      <w:bookmarkEnd w:id="125"/>
      <w:bookmarkEnd w:id="126"/>
      <w:r w:rsidRPr="00C2297C">
        <w:t>Safety</w:t>
      </w:r>
      <w:bookmarkEnd w:id="129"/>
      <w:bookmarkEnd w:id="130"/>
      <w:bookmarkEnd w:id="131"/>
      <w:bookmarkEnd w:id="132"/>
      <w:bookmarkEnd w:id="133"/>
    </w:p>
    <w:p w14:paraId="557615BF" w14:textId="77777777" w:rsidR="00605AD4" w:rsidRPr="00C2297C" w:rsidRDefault="00605AD4" w:rsidP="00C2297C">
      <w:pPr>
        <w:pStyle w:val="Heading4"/>
      </w:pPr>
      <w:bookmarkStart w:id="134" w:name="_Toc247691524"/>
      <w:bookmarkStart w:id="135" w:name="_Toc314842508"/>
      <w:bookmarkStart w:id="136" w:name="_Toc196046504"/>
      <w:bookmarkStart w:id="137" w:name="_Toc163441390"/>
      <w:r w:rsidRPr="00C2297C">
        <w:t>Studies providing safety data</w:t>
      </w:r>
    </w:p>
    <w:p w14:paraId="2E2D1236" w14:textId="77777777" w:rsidR="00DA7618" w:rsidRDefault="00DA7618" w:rsidP="00DA7618">
      <w:pPr>
        <w:pStyle w:val="Heading5"/>
      </w:pPr>
      <w:bookmarkStart w:id="138" w:name="_Toc421005275"/>
      <w:bookmarkStart w:id="139" w:name="_Toc432079157"/>
      <w:bookmarkStart w:id="140" w:name="_Toc432080730"/>
      <w:r>
        <w:t>P</w:t>
      </w:r>
      <w:r w:rsidRPr="00C3572A">
        <w:t>ivotal studies that assessed safety as the sole primary outcome</w:t>
      </w:r>
      <w:bookmarkEnd w:id="138"/>
      <w:bookmarkEnd w:id="139"/>
      <w:bookmarkEnd w:id="140"/>
    </w:p>
    <w:p w14:paraId="12206295" w14:textId="77777777" w:rsidR="00DA7618" w:rsidRDefault="00DA7618" w:rsidP="00DA7618">
      <w:pPr>
        <w:rPr>
          <w:lang w:eastAsia="ja-JP"/>
        </w:rPr>
      </w:pPr>
      <w:bookmarkStart w:id="141" w:name="_Ref268776745"/>
      <w:bookmarkStart w:id="142" w:name="_Toc421005276"/>
      <w:bookmarkStart w:id="143" w:name="_Toc432079158"/>
      <w:bookmarkStart w:id="144" w:name="_Toc432080731"/>
      <w:r>
        <w:rPr>
          <w:lang w:eastAsia="ja-JP"/>
        </w:rPr>
        <w:t>Not applicable.</w:t>
      </w:r>
    </w:p>
    <w:p w14:paraId="7F72B41C" w14:textId="77777777" w:rsidR="00DA7618" w:rsidRPr="00545B14" w:rsidRDefault="00DA7618" w:rsidP="00DA7618">
      <w:pPr>
        <w:pStyle w:val="Heading5"/>
      </w:pPr>
      <w:r w:rsidRPr="00545B14">
        <w:t xml:space="preserve">Pivotal </w:t>
      </w:r>
      <w:r>
        <w:t xml:space="preserve">and/or main </w:t>
      </w:r>
      <w:r w:rsidRPr="00545B14">
        <w:t>efficacy studies</w:t>
      </w:r>
      <w:bookmarkEnd w:id="141"/>
      <w:bookmarkEnd w:id="142"/>
      <w:bookmarkEnd w:id="143"/>
      <w:bookmarkEnd w:id="144"/>
      <w:r>
        <w:t xml:space="preserve"> in DMD</w:t>
      </w:r>
    </w:p>
    <w:p w14:paraId="6E748909" w14:textId="4826C2F9" w:rsidR="00500337" w:rsidRPr="00C2297C" w:rsidRDefault="00FE173F" w:rsidP="00DA7618">
      <w:pPr>
        <w:rPr>
          <w:lang w:eastAsia="ja-JP"/>
        </w:rPr>
      </w:pPr>
      <w:r>
        <w:rPr>
          <w:lang w:eastAsia="ja-JP"/>
        </w:rPr>
        <w:t xml:space="preserve">Study </w:t>
      </w:r>
      <w:r w:rsidR="00DA7618" w:rsidRPr="00C2297C">
        <w:rPr>
          <w:lang w:eastAsia="ja-JP"/>
        </w:rPr>
        <w:t>SNT-III-003 (</w:t>
      </w:r>
      <w:r>
        <w:rPr>
          <w:lang w:eastAsia="ja-JP"/>
        </w:rPr>
        <w:t xml:space="preserve">the </w:t>
      </w:r>
      <w:r w:rsidR="00DA7618" w:rsidRPr="00C2297C">
        <w:rPr>
          <w:lang w:eastAsia="ja-JP"/>
        </w:rPr>
        <w:t>DELOS</w:t>
      </w:r>
      <w:r>
        <w:rPr>
          <w:lang w:eastAsia="ja-JP"/>
        </w:rPr>
        <w:t xml:space="preserve"> study</w:t>
      </w:r>
      <w:r w:rsidR="00DA7618" w:rsidRPr="00C2297C">
        <w:rPr>
          <w:lang w:eastAsia="ja-JP"/>
        </w:rPr>
        <w:t>)</w:t>
      </w:r>
    </w:p>
    <w:p w14:paraId="07BA09A5" w14:textId="77777777" w:rsidR="00DA7618" w:rsidRDefault="00DA7618" w:rsidP="00DA7618">
      <w:pPr>
        <w:pStyle w:val="Heading5"/>
      </w:pPr>
      <w:r w:rsidRPr="00073FEC">
        <w:t>Other efficacy studies</w:t>
      </w:r>
      <w:r>
        <w:t xml:space="preserve"> in DMD</w:t>
      </w:r>
    </w:p>
    <w:p w14:paraId="0710BDA9" w14:textId="0B4139CE" w:rsidR="00DA7618" w:rsidRPr="00DA7618" w:rsidRDefault="00FE173F" w:rsidP="00C2297C">
      <w:pPr>
        <w:pStyle w:val="ListBullet"/>
      </w:pPr>
      <w:r>
        <w:rPr>
          <w:lang w:eastAsia="ja-JP"/>
        </w:rPr>
        <w:t xml:space="preserve">Study </w:t>
      </w:r>
      <w:r w:rsidR="00C2297C">
        <w:rPr>
          <w:lang w:eastAsia="ja-JP"/>
        </w:rPr>
        <w:t>SNT-II-001 (</w:t>
      </w:r>
      <w:r>
        <w:rPr>
          <w:lang w:eastAsia="ja-JP"/>
        </w:rPr>
        <w:t xml:space="preserve">the </w:t>
      </w:r>
      <w:r w:rsidR="00C2297C">
        <w:rPr>
          <w:lang w:eastAsia="ja-JP"/>
        </w:rPr>
        <w:t>DELPHI</w:t>
      </w:r>
      <w:r>
        <w:rPr>
          <w:lang w:eastAsia="ja-JP"/>
        </w:rPr>
        <w:t xml:space="preserve"> study</w:t>
      </w:r>
      <w:r w:rsidR="00C2297C">
        <w:rPr>
          <w:lang w:eastAsia="ja-JP"/>
        </w:rPr>
        <w:t>)</w:t>
      </w:r>
    </w:p>
    <w:p w14:paraId="2848B125" w14:textId="738DB4A2" w:rsidR="00DA7618" w:rsidRPr="004D2354" w:rsidRDefault="00FE173F" w:rsidP="00C2297C">
      <w:pPr>
        <w:pStyle w:val="ListBullet"/>
        <w:rPr>
          <w:bCs/>
          <w:lang w:val="de-CH" w:eastAsia="ja-JP"/>
        </w:rPr>
      </w:pPr>
      <w:r>
        <w:rPr>
          <w:bCs/>
          <w:lang w:val="de-CH" w:eastAsia="ja-JP"/>
        </w:rPr>
        <w:t xml:space="preserve">Study </w:t>
      </w:r>
      <w:r w:rsidR="00DA7618" w:rsidRPr="004D2354">
        <w:rPr>
          <w:bCs/>
          <w:lang w:val="de-CH" w:eastAsia="ja-JP"/>
        </w:rPr>
        <w:t>SNT-II-001-E</w:t>
      </w:r>
      <w:r w:rsidR="008B2FAC" w:rsidRPr="004D2354">
        <w:rPr>
          <w:bCs/>
          <w:lang w:val="de-CH" w:eastAsia="ja-JP"/>
        </w:rPr>
        <w:t xml:space="preserve"> (</w:t>
      </w:r>
      <w:r>
        <w:rPr>
          <w:bCs/>
          <w:lang w:val="de-CH" w:eastAsia="ja-JP"/>
        </w:rPr>
        <w:t xml:space="preserve">the </w:t>
      </w:r>
      <w:r w:rsidR="008B2FAC" w:rsidRPr="004D2354">
        <w:rPr>
          <w:bCs/>
          <w:lang w:val="de-CH" w:eastAsia="ja-JP"/>
        </w:rPr>
        <w:t>DELPHI-E</w:t>
      </w:r>
      <w:r>
        <w:rPr>
          <w:bCs/>
          <w:lang w:val="de-CH" w:eastAsia="ja-JP"/>
        </w:rPr>
        <w:t xml:space="preserve"> study (extension)</w:t>
      </w:r>
      <w:r w:rsidR="008B2FAC" w:rsidRPr="004D2354">
        <w:rPr>
          <w:bCs/>
          <w:lang w:val="de-CH" w:eastAsia="ja-JP"/>
        </w:rPr>
        <w:t>)</w:t>
      </w:r>
    </w:p>
    <w:p w14:paraId="07C0AD7D" w14:textId="77777777" w:rsidR="00DA7618" w:rsidRPr="00073FEC" w:rsidRDefault="00DA7618" w:rsidP="00DA7618">
      <w:pPr>
        <w:pStyle w:val="Heading5"/>
      </w:pPr>
      <w:r w:rsidRPr="00073FEC">
        <w:t>Studies with evaluable safety data: dose finding and pharm</w:t>
      </w:r>
      <w:r>
        <w:t>acology</w:t>
      </w:r>
    </w:p>
    <w:p w14:paraId="05CC4E1C" w14:textId="5DC9BACB" w:rsidR="00DA7618" w:rsidRDefault="00FE173F" w:rsidP="00C2297C">
      <w:pPr>
        <w:pStyle w:val="ListBullet"/>
        <w:rPr>
          <w:lang w:eastAsia="ja-JP"/>
        </w:rPr>
      </w:pPr>
      <w:r>
        <w:rPr>
          <w:lang w:eastAsia="ja-JP"/>
        </w:rPr>
        <w:t xml:space="preserve">Study </w:t>
      </w:r>
      <w:r w:rsidR="00DA7618">
        <w:rPr>
          <w:lang w:eastAsia="ja-JP"/>
        </w:rPr>
        <w:t>SNT-I-001</w:t>
      </w:r>
    </w:p>
    <w:p w14:paraId="09DD3668" w14:textId="1F0FF14A" w:rsidR="00DA7618" w:rsidRDefault="00FE173F" w:rsidP="00C2297C">
      <w:pPr>
        <w:pStyle w:val="ListBullet"/>
        <w:rPr>
          <w:lang w:eastAsia="ja-JP"/>
        </w:rPr>
      </w:pPr>
      <w:r>
        <w:rPr>
          <w:lang w:eastAsia="ja-JP"/>
        </w:rPr>
        <w:t xml:space="preserve">Study </w:t>
      </w:r>
      <w:r w:rsidR="00DA7618">
        <w:rPr>
          <w:lang w:eastAsia="ja-JP"/>
        </w:rPr>
        <w:t>SNT-I-002</w:t>
      </w:r>
    </w:p>
    <w:p w14:paraId="067CEA08" w14:textId="41A85ACE" w:rsidR="00DA7618" w:rsidRDefault="00FE173F" w:rsidP="00C2297C">
      <w:pPr>
        <w:pStyle w:val="ListBullet"/>
        <w:rPr>
          <w:lang w:eastAsia="ja-JP"/>
        </w:rPr>
      </w:pPr>
      <w:r>
        <w:rPr>
          <w:lang w:eastAsia="ja-JP"/>
        </w:rPr>
        <w:t xml:space="preserve">Study </w:t>
      </w:r>
      <w:r w:rsidR="00DA7618">
        <w:rPr>
          <w:lang w:eastAsia="ja-JP"/>
        </w:rPr>
        <w:t>SNT-I-003</w:t>
      </w:r>
    </w:p>
    <w:p w14:paraId="012AFBDE" w14:textId="72B07024" w:rsidR="00DA7618" w:rsidRDefault="00FE173F" w:rsidP="00C2297C">
      <w:pPr>
        <w:pStyle w:val="ListBullet"/>
        <w:rPr>
          <w:lang w:eastAsia="ja-JP"/>
        </w:rPr>
      </w:pPr>
      <w:r>
        <w:rPr>
          <w:lang w:eastAsia="ja-JP"/>
        </w:rPr>
        <w:t xml:space="preserve">Study </w:t>
      </w:r>
      <w:r w:rsidR="00DA7618">
        <w:rPr>
          <w:lang w:eastAsia="ja-JP"/>
        </w:rPr>
        <w:t>SNT-I-004</w:t>
      </w:r>
    </w:p>
    <w:p w14:paraId="690D27A6" w14:textId="77777777" w:rsidR="00DA7618" w:rsidRDefault="00DA7618" w:rsidP="00DA7618">
      <w:pPr>
        <w:rPr>
          <w:lang w:eastAsia="ja-JP"/>
        </w:rPr>
      </w:pPr>
      <w:r>
        <w:rPr>
          <w:lang w:eastAsia="ja-JP"/>
        </w:rPr>
        <w:t xml:space="preserve">In all these studies, safety was assessed by evaluation of </w:t>
      </w:r>
      <w:r w:rsidRPr="003C528C">
        <w:rPr>
          <w:lang w:eastAsia="ja-JP"/>
        </w:rPr>
        <w:t xml:space="preserve">AEs, </w:t>
      </w:r>
      <w:r w:rsidR="00ED6165">
        <w:t>serious adverse events</w:t>
      </w:r>
      <w:r w:rsidR="00ED6165">
        <w:rPr>
          <w:lang w:eastAsia="ja-JP"/>
        </w:rPr>
        <w:t> (</w:t>
      </w:r>
      <w:r w:rsidRPr="003C528C">
        <w:rPr>
          <w:lang w:eastAsia="ja-JP"/>
        </w:rPr>
        <w:t>SAEs</w:t>
      </w:r>
      <w:r w:rsidR="00ED6165">
        <w:rPr>
          <w:lang w:eastAsia="ja-JP"/>
        </w:rPr>
        <w:t>)</w:t>
      </w:r>
      <w:r w:rsidRPr="003C528C">
        <w:rPr>
          <w:lang w:eastAsia="ja-JP"/>
        </w:rPr>
        <w:t>, physical examination, vital signs, ECG, and clinical laboratory evaluations (haematology, biochemistry, and urinalysis).</w:t>
      </w:r>
      <w:r w:rsidR="00DB3203">
        <w:rPr>
          <w:lang w:eastAsia="ja-JP"/>
        </w:rPr>
        <w:t xml:space="preserve"> </w:t>
      </w:r>
      <w:r>
        <w:rPr>
          <w:lang w:eastAsia="ja-JP"/>
        </w:rPr>
        <w:t>These studies were conducted in a small number of healthy volunteers for a short duration (maximum 2 weeks) and will not be further discussed in this section.</w:t>
      </w:r>
    </w:p>
    <w:p w14:paraId="38B6E765" w14:textId="77777777" w:rsidR="008B2FAC" w:rsidRDefault="008B2FAC" w:rsidP="008B2FAC">
      <w:pPr>
        <w:pStyle w:val="Heading5"/>
      </w:pPr>
      <w:r w:rsidRPr="00073FEC">
        <w:t>Studies evaluable for safety only</w:t>
      </w:r>
    </w:p>
    <w:p w14:paraId="5BD7D5B2" w14:textId="77777777" w:rsidR="008B2FAC" w:rsidRDefault="008B2FAC" w:rsidP="008B2FAC">
      <w:pPr>
        <w:rPr>
          <w:lang w:eastAsia="ja-JP"/>
        </w:rPr>
      </w:pPr>
      <w:r w:rsidRPr="006837E6">
        <w:rPr>
          <w:lang w:eastAsia="ja-JP"/>
        </w:rPr>
        <w:t>The following studies are evaluable for safety only as they were not performed in the proposed indication of DMD.</w:t>
      </w:r>
    </w:p>
    <w:p w14:paraId="022DFCDD" w14:textId="77777777" w:rsidR="008B2FAC" w:rsidRPr="00C82CEA" w:rsidRDefault="00C2297C" w:rsidP="00C2297C">
      <w:pPr>
        <w:pStyle w:val="ListBullet"/>
        <w:rPr>
          <w:lang w:eastAsia="ja-JP"/>
        </w:rPr>
      </w:pPr>
      <w:r w:rsidRPr="00C82CEA">
        <w:rPr>
          <w:lang w:eastAsia="ja-JP"/>
        </w:rPr>
        <w:t>Leber’s hereditary optic neuropathy</w:t>
      </w:r>
      <w:r w:rsidR="008B2FAC" w:rsidRPr="00C82CEA">
        <w:rPr>
          <w:lang w:eastAsia="ja-JP"/>
        </w:rPr>
        <w:t xml:space="preserve"> (LHON)</w:t>
      </w:r>
    </w:p>
    <w:p w14:paraId="394A4CAE" w14:textId="1663C76C" w:rsidR="00DA7618" w:rsidRDefault="00FE173F" w:rsidP="00C2297C">
      <w:pPr>
        <w:pStyle w:val="ListBullet2"/>
        <w:rPr>
          <w:lang w:eastAsia="ja-JP"/>
        </w:rPr>
      </w:pPr>
      <w:r>
        <w:rPr>
          <w:lang w:eastAsia="ja-JP"/>
        </w:rPr>
        <w:t xml:space="preserve">The </w:t>
      </w:r>
      <w:r w:rsidR="008B2FAC" w:rsidRPr="004B5017">
        <w:rPr>
          <w:lang w:eastAsia="ja-JP"/>
        </w:rPr>
        <w:t>RHODOS</w:t>
      </w:r>
      <w:r>
        <w:rPr>
          <w:lang w:eastAsia="ja-JP"/>
        </w:rPr>
        <w:t xml:space="preserve"> study</w:t>
      </w:r>
      <w:r w:rsidR="008B2FAC" w:rsidRPr="004B5017">
        <w:rPr>
          <w:lang w:eastAsia="ja-JP"/>
        </w:rPr>
        <w:t xml:space="preserve"> (</w:t>
      </w:r>
      <w:r>
        <w:rPr>
          <w:lang w:eastAsia="ja-JP"/>
        </w:rPr>
        <w:t xml:space="preserve">Study </w:t>
      </w:r>
      <w:r w:rsidR="008B2FAC" w:rsidRPr="004B5017">
        <w:rPr>
          <w:lang w:eastAsia="ja-JP"/>
        </w:rPr>
        <w:t>SNT-II-003)</w:t>
      </w:r>
    </w:p>
    <w:p w14:paraId="726C70FF" w14:textId="2C981496" w:rsidR="008B2FAC" w:rsidRDefault="00FE173F" w:rsidP="00C2297C">
      <w:pPr>
        <w:pStyle w:val="ListBullet2"/>
        <w:rPr>
          <w:lang w:eastAsia="ja-JP"/>
        </w:rPr>
      </w:pPr>
      <w:r>
        <w:rPr>
          <w:lang w:eastAsia="ja-JP"/>
        </w:rPr>
        <w:t xml:space="preserve">The </w:t>
      </w:r>
      <w:r w:rsidR="008B2FAC" w:rsidRPr="004B5017">
        <w:rPr>
          <w:lang w:eastAsia="ja-JP"/>
        </w:rPr>
        <w:t xml:space="preserve">RHODOS </w:t>
      </w:r>
      <w:r>
        <w:rPr>
          <w:lang w:eastAsia="ja-JP"/>
        </w:rPr>
        <w:t xml:space="preserve">study </w:t>
      </w:r>
      <w:r w:rsidR="008B2FAC" w:rsidRPr="004B5017">
        <w:rPr>
          <w:lang w:eastAsia="ja-JP"/>
        </w:rPr>
        <w:t>(</w:t>
      </w:r>
      <w:r>
        <w:rPr>
          <w:lang w:eastAsia="ja-JP"/>
        </w:rPr>
        <w:t xml:space="preserve">Study </w:t>
      </w:r>
      <w:r w:rsidR="008B2FAC" w:rsidRPr="004B5017">
        <w:rPr>
          <w:lang w:eastAsia="ja-JP"/>
        </w:rPr>
        <w:t>SNT</w:t>
      </w:r>
      <w:r w:rsidR="008B2FAC">
        <w:rPr>
          <w:lang w:eastAsia="ja-JP"/>
        </w:rPr>
        <w:t>-</w:t>
      </w:r>
      <w:r w:rsidR="008B2FAC" w:rsidRPr="004B5017">
        <w:rPr>
          <w:lang w:eastAsia="ja-JP"/>
        </w:rPr>
        <w:t>II-003 OFU)</w:t>
      </w:r>
    </w:p>
    <w:p w14:paraId="4537E9E9" w14:textId="77777777" w:rsidR="008B2FAC" w:rsidRPr="00C2297C" w:rsidRDefault="008B2FAC" w:rsidP="00C2297C">
      <w:pPr>
        <w:pStyle w:val="ListBullet"/>
        <w:rPr>
          <w:lang w:eastAsia="ja-JP"/>
        </w:rPr>
      </w:pPr>
      <w:r w:rsidRPr="00C2297C">
        <w:rPr>
          <w:lang w:eastAsia="ja-JP"/>
        </w:rPr>
        <w:t>F</w:t>
      </w:r>
      <w:r w:rsidR="00C2297C" w:rsidRPr="00C2297C">
        <w:rPr>
          <w:lang w:eastAsia="ja-JP"/>
        </w:rPr>
        <w:t>riedreich’s ataxia</w:t>
      </w:r>
      <w:r w:rsidRPr="00C2297C">
        <w:rPr>
          <w:lang w:eastAsia="ja-JP"/>
        </w:rPr>
        <w:t xml:space="preserve"> (FRDA)</w:t>
      </w:r>
    </w:p>
    <w:p w14:paraId="0D15727A" w14:textId="35FD9284" w:rsidR="008B2FAC" w:rsidRPr="00C2297C" w:rsidRDefault="00FE173F" w:rsidP="00C2297C">
      <w:pPr>
        <w:pStyle w:val="ListBullet2"/>
        <w:rPr>
          <w:lang w:eastAsia="ja-JP"/>
        </w:rPr>
      </w:pPr>
      <w:r>
        <w:rPr>
          <w:lang w:eastAsia="ja-JP"/>
        </w:rPr>
        <w:t xml:space="preserve">The </w:t>
      </w:r>
      <w:r w:rsidR="008B2FAC" w:rsidRPr="00C2297C">
        <w:rPr>
          <w:lang w:eastAsia="ja-JP"/>
        </w:rPr>
        <w:t xml:space="preserve">NICOSIA </w:t>
      </w:r>
      <w:r>
        <w:rPr>
          <w:lang w:eastAsia="ja-JP"/>
        </w:rPr>
        <w:t xml:space="preserve">study </w:t>
      </w:r>
      <w:r w:rsidR="008B2FAC" w:rsidRPr="00C2297C">
        <w:rPr>
          <w:lang w:eastAsia="ja-JP"/>
        </w:rPr>
        <w:t>(</w:t>
      </w:r>
      <w:r>
        <w:rPr>
          <w:lang w:eastAsia="ja-JP"/>
        </w:rPr>
        <w:t xml:space="preserve">Study </w:t>
      </w:r>
      <w:r w:rsidR="008B2FAC" w:rsidRPr="00C2297C">
        <w:rPr>
          <w:lang w:eastAsia="ja-JP"/>
        </w:rPr>
        <w:t>SNT-II-002):</w:t>
      </w:r>
    </w:p>
    <w:p w14:paraId="0AD57C34" w14:textId="443344E6" w:rsidR="008B2FAC" w:rsidRPr="00C2297C" w:rsidRDefault="00FE173F" w:rsidP="00C2297C">
      <w:pPr>
        <w:pStyle w:val="ListBullet2"/>
        <w:rPr>
          <w:lang w:eastAsia="ja-JP"/>
        </w:rPr>
      </w:pPr>
      <w:r>
        <w:rPr>
          <w:lang w:eastAsia="ja-JP"/>
        </w:rPr>
        <w:t xml:space="preserve">The </w:t>
      </w:r>
      <w:r w:rsidR="008B2FAC" w:rsidRPr="00C2297C">
        <w:rPr>
          <w:lang w:eastAsia="ja-JP"/>
        </w:rPr>
        <w:t xml:space="preserve">IONIA </w:t>
      </w:r>
      <w:r>
        <w:rPr>
          <w:lang w:eastAsia="ja-JP"/>
        </w:rPr>
        <w:t xml:space="preserve">study </w:t>
      </w:r>
      <w:r w:rsidR="008B2FAC" w:rsidRPr="00C2297C">
        <w:rPr>
          <w:lang w:eastAsia="ja-JP"/>
        </w:rPr>
        <w:t>(</w:t>
      </w:r>
      <w:r>
        <w:rPr>
          <w:lang w:eastAsia="ja-JP"/>
        </w:rPr>
        <w:t xml:space="preserve">Study </w:t>
      </w:r>
      <w:r w:rsidR="008B2FAC" w:rsidRPr="00C2297C">
        <w:rPr>
          <w:lang w:eastAsia="ja-JP"/>
        </w:rPr>
        <w:t>SNT-III-002)</w:t>
      </w:r>
    </w:p>
    <w:p w14:paraId="3B0A8E1D" w14:textId="4781017B" w:rsidR="008B2FAC" w:rsidRPr="00C2297C" w:rsidRDefault="00FE173F" w:rsidP="00C2297C">
      <w:pPr>
        <w:pStyle w:val="ListBullet2"/>
        <w:rPr>
          <w:lang w:eastAsia="ja-JP"/>
        </w:rPr>
      </w:pPr>
      <w:r>
        <w:rPr>
          <w:lang w:eastAsia="ja-JP"/>
        </w:rPr>
        <w:t xml:space="preserve">The </w:t>
      </w:r>
      <w:r w:rsidR="008B2FAC" w:rsidRPr="00C2297C">
        <w:rPr>
          <w:lang w:eastAsia="ja-JP"/>
        </w:rPr>
        <w:t xml:space="preserve">IONIA </w:t>
      </w:r>
      <w:r>
        <w:rPr>
          <w:lang w:eastAsia="ja-JP"/>
        </w:rPr>
        <w:t>e</w:t>
      </w:r>
      <w:r w:rsidR="008B2FAC" w:rsidRPr="00C2297C">
        <w:rPr>
          <w:lang w:eastAsia="ja-JP"/>
        </w:rPr>
        <w:t xml:space="preserve">xtension </w:t>
      </w:r>
      <w:r>
        <w:rPr>
          <w:lang w:eastAsia="ja-JP"/>
        </w:rPr>
        <w:t>s</w:t>
      </w:r>
      <w:r w:rsidR="008B2FAC" w:rsidRPr="00C2297C">
        <w:rPr>
          <w:lang w:eastAsia="ja-JP"/>
        </w:rPr>
        <w:t xml:space="preserve">tudy </w:t>
      </w:r>
      <w:r>
        <w:rPr>
          <w:lang w:eastAsia="ja-JP"/>
        </w:rPr>
        <w:t xml:space="preserve">(Study </w:t>
      </w:r>
      <w:r w:rsidR="008B2FAC" w:rsidRPr="00C2297C">
        <w:rPr>
          <w:lang w:eastAsia="ja-JP"/>
        </w:rPr>
        <w:t>SNT-III-002-E</w:t>
      </w:r>
      <w:r>
        <w:rPr>
          <w:lang w:eastAsia="ja-JP"/>
        </w:rPr>
        <w:t>)</w:t>
      </w:r>
    </w:p>
    <w:p w14:paraId="1EFAC35B" w14:textId="4FAFE4B0" w:rsidR="008B2FAC" w:rsidRPr="00C2297C" w:rsidRDefault="00FE173F" w:rsidP="00C2297C">
      <w:pPr>
        <w:pStyle w:val="ListBullet2"/>
        <w:rPr>
          <w:lang w:eastAsia="ja-JP"/>
        </w:rPr>
      </w:pPr>
      <w:r>
        <w:rPr>
          <w:lang w:eastAsia="ja-JP"/>
        </w:rPr>
        <w:lastRenderedPageBreak/>
        <w:t xml:space="preserve">The </w:t>
      </w:r>
      <w:r w:rsidR="008B2FAC" w:rsidRPr="00C2297C">
        <w:rPr>
          <w:lang w:eastAsia="ja-JP"/>
        </w:rPr>
        <w:t xml:space="preserve">MICONOS </w:t>
      </w:r>
      <w:r>
        <w:rPr>
          <w:lang w:eastAsia="ja-JP"/>
        </w:rPr>
        <w:t xml:space="preserve">study </w:t>
      </w:r>
      <w:r w:rsidR="008B2FAC" w:rsidRPr="00C2297C">
        <w:rPr>
          <w:lang w:eastAsia="ja-JP"/>
        </w:rPr>
        <w:t>(</w:t>
      </w:r>
      <w:r>
        <w:rPr>
          <w:lang w:eastAsia="ja-JP"/>
        </w:rPr>
        <w:t xml:space="preserve">Study </w:t>
      </w:r>
      <w:r w:rsidR="008B2FAC" w:rsidRPr="00C2297C">
        <w:rPr>
          <w:lang w:eastAsia="ja-JP"/>
        </w:rPr>
        <w:t>SNT-III-001)</w:t>
      </w:r>
    </w:p>
    <w:p w14:paraId="15254537" w14:textId="46EDBD42" w:rsidR="008B2FAC" w:rsidRPr="00C2297C" w:rsidRDefault="00FE173F" w:rsidP="00C2297C">
      <w:pPr>
        <w:pStyle w:val="ListBullet2"/>
      </w:pPr>
      <w:r>
        <w:rPr>
          <w:lang w:eastAsia="ja-JP"/>
        </w:rPr>
        <w:t xml:space="preserve">The </w:t>
      </w:r>
      <w:r w:rsidR="008B2FAC" w:rsidRPr="00C2297C">
        <w:rPr>
          <w:lang w:eastAsia="ja-JP"/>
        </w:rPr>
        <w:t xml:space="preserve">MICONOS </w:t>
      </w:r>
      <w:r>
        <w:rPr>
          <w:lang w:eastAsia="ja-JP"/>
        </w:rPr>
        <w:t>e</w:t>
      </w:r>
      <w:r w:rsidR="008B2FAC" w:rsidRPr="00C2297C">
        <w:rPr>
          <w:lang w:eastAsia="ja-JP"/>
        </w:rPr>
        <w:t xml:space="preserve">xtension </w:t>
      </w:r>
      <w:r>
        <w:rPr>
          <w:lang w:eastAsia="ja-JP"/>
        </w:rPr>
        <w:t>s</w:t>
      </w:r>
      <w:r w:rsidR="008B2FAC" w:rsidRPr="00C2297C">
        <w:rPr>
          <w:lang w:eastAsia="ja-JP"/>
        </w:rPr>
        <w:t xml:space="preserve">tudy </w:t>
      </w:r>
      <w:r>
        <w:rPr>
          <w:lang w:eastAsia="ja-JP"/>
        </w:rPr>
        <w:t xml:space="preserve">(Study </w:t>
      </w:r>
      <w:r w:rsidR="008B2FAC" w:rsidRPr="00C2297C">
        <w:rPr>
          <w:lang w:eastAsia="ja-JP"/>
        </w:rPr>
        <w:t>SNT-III-001-E</w:t>
      </w:r>
      <w:r>
        <w:rPr>
          <w:lang w:eastAsia="ja-JP"/>
        </w:rPr>
        <w:t>)</w:t>
      </w:r>
      <w:r w:rsidR="006302E9">
        <w:rPr>
          <w:lang w:eastAsia="ja-JP"/>
        </w:rPr>
        <w:t>.</w:t>
      </w:r>
    </w:p>
    <w:p w14:paraId="51DD0993" w14:textId="77777777" w:rsidR="00605AD4" w:rsidRDefault="00605AD4" w:rsidP="00605AD4">
      <w:pPr>
        <w:pStyle w:val="Heading4"/>
      </w:pPr>
      <w:r w:rsidRPr="00605AD4">
        <w:t>Patient exposure</w:t>
      </w:r>
    </w:p>
    <w:p w14:paraId="27C527E4" w14:textId="77777777" w:rsidR="00500337" w:rsidRPr="0030092C" w:rsidRDefault="00C2297C" w:rsidP="00500337">
      <w:r>
        <w:t>An i</w:t>
      </w:r>
      <w:r w:rsidR="008B2FAC" w:rsidRPr="00C95E31">
        <w:t>ntegrated analysis was performed of the full safety population, which included all subjects who participated in Phase II and Phase III studies of idebenone who received at least 1 dose of trial medication and for whom a safety assessment was available.</w:t>
      </w:r>
      <w:r w:rsidR="00DB3203">
        <w:t xml:space="preserve"> </w:t>
      </w:r>
      <w:r w:rsidR="008B2FAC" w:rsidRPr="00C95E31">
        <w:t xml:space="preserve">The number of subjects in the total safety population </w:t>
      </w:r>
      <w:r w:rsidR="008B2FAC">
        <w:t>(</w:t>
      </w:r>
      <w:r w:rsidR="008B2FAC" w:rsidRPr="00C95E31">
        <w:t xml:space="preserve">including </w:t>
      </w:r>
      <w:r w:rsidR="008B2FAC">
        <w:t xml:space="preserve">patients with </w:t>
      </w:r>
      <w:r w:rsidR="008B2FAC" w:rsidRPr="00C95E31">
        <w:t>DMD, LHON and FRDA</w:t>
      </w:r>
      <w:r w:rsidR="008B2FAC">
        <w:t>)</w:t>
      </w:r>
      <w:r w:rsidR="008B2FAC" w:rsidRPr="00C95E31">
        <w:t xml:space="preserve"> is summarised </w:t>
      </w:r>
      <w:r w:rsidR="008B2FAC" w:rsidRPr="0030092C">
        <w:t xml:space="preserve">in </w:t>
      </w:r>
      <w:r w:rsidR="0030092C" w:rsidRPr="0030092C">
        <w:t>Table 9.</w:t>
      </w:r>
    </w:p>
    <w:p w14:paraId="51982759" w14:textId="731A82FA" w:rsidR="008B2FAC" w:rsidRPr="00EC48B8" w:rsidRDefault="008B2FAC" w:rsidP="008B2FAC">
      <w:pPr>
        <w:pStyle w:val="TableTitle"/>
      </w:pPr>
      <w:bookmarkStart w:id="145" w:name="_Ref490658860"/>
      <w:bookmarkStart w:id="146" w:name="_Toc510689012"/>
      <w:r w:rsidRPr="00EC48B8">
        <w:t>Table</w:t>
      </w:r>
      <w:bookmarkEnd w:id="145"/>
      <w:r w:rsidR="0030092C">
        <w:t xml:space="preserve"> 9</w:t>
      </w:r>
      <w:r w:rsidRPr="00EC48B8">
        <w:t>:</w:t>
      </w:r>
      <w:r w:rsidR="00DB3203">
        <w:t xml:space="preserve"> </w:t>
      </w:r>
      <w:r w:rsidR="0030092C">
        <w:t>Exposure to i</w:t>
      </w:r>
      <w:r w:rsidRPr="00EC48B8">
        <w:t xml:space="preserve">debenone in Phase II/III </w:t>
      </w:r>
      <w:r w:rsidR="00FE173F">
        <w:t>s</w:t>
      </w:r>
      <w:r w:rsidRPr="00EC48B8">
        <w:t>tudies; population treated by idebenone in double-blind and extension studies, by dose</w:t>
      </w:r>
      <w:bookmarkEnd w:id="146"/>
    </w:p>
    <w:p w14:paraId="552A7326" w14:textId="77777777" w:rsidR="008B2FAC" w:rsidRDefault="008B2FAC" w:rsidP="00500337">
      <w:r>
        <w:rPr>
          <w:noProof/>
          <w:lang w:eastAsia="en-AU"/>
        </w:rPr>
        <w:drawing>
          <wp:inline distT="0" distB="0" distL="0" distR="0" wp14:anchorId="24393D6B" wp14:editId="42F60843">
            <wp:extent cx="5400040" cy="1969770"/>
            <wp:effectExtent l="0" t="0" r="0" b="0"/>
            <wp:docPr id="15" name="Picture 15" descr="Exposure to idebenone in Phase II/III Studies; population treated by idebenone in double-blind and extension studies, b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969770"/>
                    </a:xfrm>
                    <a:prstGeom prst="rect">
                      <a:avLst/>
                    </a:prstGeom>
                  </pic:spPr>
                </pic:pic>
              </a:graphicData>
            </a:graphic>
          </wp:inline>
        </w:drawing>
      </w:r>
    </w:p>
    <w:p w14:paraId="58904F45" w14:textId="038A7960" w:rsidR="00775149" w:rsidRDefault="00775149" w:rsidP="00775149">
      <w:r>
        <w:t>Duration of idebenone exposure in the DMD studies is summarised in</w:t>
      </w:r>
      <w:r w:rsidR="0030092C">
        <w:t xml:space="preserve"> Table 10</w:t>
      </w:r>
      <w:r>
        <w:t>, below.</w:t>
      </w:r>
      <w:r w:rsidR="00DB3203">
        <w:t xml:space="preserve"> </w:t>
      </w:r>
      <w:r>
        <w:t xml:space="preserve">In </w:t>
      </w:r>
      <w:r w:rsidR="00FE173F">
        <w:t xml:space="preserve">the </w:t>
      </w:r>
      <w:r>
        <w:t>DELOS</w:t>
      </w:r>
      <w:r w:rsidR="00FE173F">
        <w:t xml:space="preserve"> study</w:t>
      </w:r>
      <w:r>
        <w:t>, t</w:t>
      </w:r>
      <w:r w:rsidRPr="00997749">
        <w:t xml:space="preserve">he median duration </w:t>
      </w:r>
      <w:r w:rsidR="00DB3203">
        <w:t>(</w:t>
      </w:r>
      <w:r w:rsidRPr="00997749">
        <w:t>range</w:t>
      </w:r>
      <w:r w:rsidR="00DB3203">
        <w:t>)</w:t>
      </w:r>
      <w:r w:rsidRPr="00997749">
        <w:t xml:space="preserve"> of treatment was similar in both the idebenone and</w:t>
      </w:r>
      <w:r>
        <w:t xml:space="preserve"> placebo groups (362.5 </w:t>
      </w:r>
      <w:r w:rsidR="00DB3203">
        <w:t>(</w:t>
      </w:r>
      <w:r w:rsidRPr="00997749">
        <w:t>91 to 394</w:t>
      </w:r>
      <w:r w:rsidR="00DB3203">
        <w:t>)</w:t>
      </w:r>
      <w:r>
        <w:t xml:space="preserve"> and</w:t>
      </w:r>
      <w:r w:rsidRPr="00997749">
        <w:t xml:space="preserve"> 363.5 </w:t>
      </w:r>
      <w:r w:rsidR="00DB3203">
        <w:t>(</w:t>
      </w:r>
      <w:r w:rsidRPr="00997749">
        <w:t>96 to 393</w:t>
      </w:r>
      <w:r w:rsidR="00DB3203">
        <w:t>)</w:t>
      </w:r>
      <w:r w:rsidRPr="00997749">
        <w:t xml:space="preserve"> days</w:t>
      </w:r>
      <w:r>
        <w:t>, respectively).</w:t>
      </w:r>
      <w:r w:rsidR="00DB3203">
        <w:t xml:space="preserve"> </w:t>
      </w:r>
      <w:r>
        <w:t xml:space="preserve">In </w:t>
      </w:r>
      <w:r w:rsidR="00FE173F">
        <w:t xml:space="preserve">the </w:t>
      </w:r>
      <w:r>
        <w:t>DELPHI-E</w:t>
      </w:r>
      <w:r w:rsidR="00FE173F">
        <w:t xml:space="preserve"> study</w:t>
      </w:r>
      <w:r>
        <w:t xml:space="preserve">, </w:t>
      </w:r>
      <w:r w:rsidRPr="00997749">
        <w:t xml:space="preserve">the median duration </w:t>
      </w:r>
      <w:r w:rsidR="00DB3203">
        <w:t>(</w:t>
      </w:r>
      <w:r w:rsidRPr="00997749">
        <w:t>range</w:t>
      </w:r>
      <w:r w:rsidR="00DB3203">
        <w:t>)</w:t>
      </w:r>
      <w:r w:rsidRPr="00997749">
        <w:t xml:space="preserve"> of treatment was similar in both the idebenone </w:t>
      </w:r>
      <w:r>
        <w:t>900 mg/day and 450 mg/day</w:t>
      </w:r>
      <w:r w:rsidRPr="00997749">
        <w:t xml:space="preserve"> groups (</w:t>
      </w:r>
      <w:r>
        <w:t>729.0</w:t>
      </w:r>
      <w:r w:rsidRPr="00997749">
        <w:t xml:space="preserve"> </w:t>
      </w:r>
      <w:r w:rsidR="00DB3203">
        <w:t>(</w:t>
      </w:r>
      <w:r>
        <w:t>182</w:t>
      </w:r>
      <w:r w:rsidRPr="00997749">
        <w:t xml:space="preserve"> to </w:t>
      </w:r>
      <w:r>
        <w:t>739</w:t>
      </w:r>
      <w:r w:rsidR="00DB3203">
        <w:t>)</w:t>
      </w:r>
      <w:r w:rsidRPr="00997749">
        <w:t xml:space="preserve"> and 716.0 </w:t>
      </w:r>
      <w:r w:rsidR="00DB3203">
        <w:t>(</w:t>
      </w:r>
      <w:r w:rsidRPr="00997749">
        <w:t>162 to 729</w:t>
      </w:r>
      <w:r w:rsidR="00DB3203">
        <w:t>)</w:t>
      </w:r>
      <w:r w:rsidRPr="00997749">
        <w:t xml:space="preserve"> days, respectively).</w:t>
      </w:r>
    </w:p>
    <w:p w14:paraId="333DFB6F" w14:textId="77777777" w:rsidR="00775149" w:rsidRPr="00795D23" w:rsidRDefault="00775149" w:rsidP="00775149">
      <w:pPr>
        <w:pStyle w:val="TableTitle"/>
        <w:rPr>
          <w:bCs/>
        </w:rPr>
      </w:pPr>
      <w:bookmarkStart w:id="147" w:name="_Ref490812434"/>
      <w:bookmarkStart w:id="148" w:name="_Toc510689013"/>
      <w:r>
        <w:t>Table</w:t>
      </w:r>
      <w:bookmarkEnd w:id="147"/>
      <w:r w:rsidR="0030092C">
        <w:t xml:space="preserve"> 10</w:t>
      </w:r>
      <w:r>
        <w:t>:</w:t>
      </w:r>
      <w:r w:rsidR="00DB3203">
        <w:t xml:space="preserve"> </w:t>
      </w:r>
      <w:r>
        <w:t xml:space="preserve">Duration of </w:t>
      </w:r>
      <w:r w:rsidRPr="00795D23">
        <w:rPr>
          <w:bCs/>
        </w:rPr>
        <w:t>exposure</w:t>
      </w:r>
      <w:r>
        <w:rPr>
          <w:bCs/>
        </w:rPr>
        <w:t xml:space="preserve"> in DMD studies</w:t>
      </w:r>
      <w:bookmarkEnd w:id="148"/>
    </w:p>
    <w:p w14:paraId="6BE3A458" w14:textId="77777777" w:rsidR="00775149" w:rsidRDefault="00775149" w:rsidP="00500337">
      <w:r>
        <w:rPr>
          <w:noProof/>
          <w:lang w:eastAsia="en-AU"/>
        </w:rPr>
        <w:drawing>
          <wp:inline distT="0" distB="0" distL="0" distR="0" wp14:anchorId="73A7DCBC" wp14:editId="09CC15CE">
            <wp:extent cx="5400040" cy="1986915"/>
            <wp:effectExtent l="0" t="0" r="0" b="0"/>
            <wp:docPr id="16" name="Picture 16" descr="Duration of exposure in DM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986915"/>
                    </a:xfrm>
                    <a:prstGeom prst="rect">
                      <a:avLst/>
                    </a:prstGeom>
                  </pic:spPr>
                </pic:pic>
              </a:graphicData>
            </a:graphic>
          </wp:inline>
        </w:drawing>
      </w:r>
    </w:p>
    <w:p w14:paraId="1724A7B3" w14:textId="77777777" w:rsidR="00775149" w:rsidRDefault="00775149" w:rsidP="00775149">
      <w:r w:rsidRPr="002A6DAE">
        <w:t xml:space="preserve">In the integrated analysis, the mean </w:t>
      </w:r>
      <w:r>
        <w:t>(</w:t>
      </w:r>
      <w:r w:rsidR="00ED6165">
        <w:t>standard deviation (</w:t>
      </w:r>
      <w:r>
        <w:t>SD</w:t>
      </w:r>
      <w:r w:rsidR="00ED6165">
        <w:t>)</w:t>
      </w:r>
      <w:r>
        <w:t xml:space="preserve">) </w:t>
      </w:r>
      <w:r w:rsidRPr="002A6DAE">
        <w:t>exposure to idebenone was</w:t>
      </w:r>
      <w:r>
        <w:t>:</w:t>
      </w:r>
    </w:p>
    <w:p w14:paraId="74424EDF" w14:textId="77777777" w:rsidR="00775149" w:rsidRDefault="00775149" w:rsidP="00775149">
      <w:pPr>
        <w:pStyle w:val="ListBullet"/>
      </w:pPr>
      <w:r w:rsidRPr="002A6DAE">
        <w:t xml:space="preserve">340.3 </w:t>
      </w:r>
      <w:r>
        <w:t xml:space="preserve">(61.4) </w:t>
      </w:r>
      <w:r w:rsidRPr="002A6DAE">
        <w:t>days in the DMD population enrol</w:t>
      </w:r>
      <w:r>
        <w:t>led in the double-blind studies</w:t>
      </w:r>
    </w:p>
    <w:p w14:paraId="2ED8C0D7" w14:textId="77777777" w:rsidR="00775149" w:rsidRDefault="00775149" w:rsidP="00775149">
      <w:pPr>
        <w:pStyle w:val="ListBullet"/>
      </w:pPr>
      <w:r w:rsidRPr="002A6DAE">
        <w:t xml:space="preserve">549.0 </w:t>
      </w:r>
      <w:r>
        <w:t xml:space="preserve">(315.5) </w:t>
      </w:r>
      <w:r w:rsidRPr="002A6DAE">
        <w:t>days in the total DMD population enrolled in the dou</w:t>
      </w:r>
      <w:r>
        <w:t>ble-blind and extension studies</w:t>
      </w:r>
    </w:p>
    <w:p w14:paraId="4C6ACD73" w14:textId="77777777" w:rsidR="00775149" w:rsidRDefault="00775149" w:rsidP="00775149">
      <w:pPr>
        <w:pStyle w:val="ListBullet"/>
      </w:pPr>
      <w:r>
        <w:t>164.0</w:t>
      </w:r>
      <w:r w:rsidRPr="003E3F95">
        <w:t xml:space="preserve"> </w:t>
      </w:r>
      <w:r>
        <w:t xml:space="preserve">(26.3) </w:t>
      </w:r>
      <w:r w:rsidRPr="003E3F95">
        <w:t xml:space="preserve">days in the </w:t>
      </w:r>
      <w:r>
        <w:t>LHON</w:t>
      </w:r>
      <w:r w:rsidRPr="003E3F95">
        <w:t xml:space="preserve"> population</w:t>
      </w:r>
    </w:p>
    <w:p w14:paraId="38588A59" w14:textId="77777777" w:rsidR="00775149" w:rsidRDefault="00775149" w:rsidP="00775149">
      <w:pPr>
        <w:pStyle w:val="ListBullet"/>
      </w:pPr>
      <w:r w:rsidRPr="003E3F95">
        <w:t xml:space="preserve">297.4 </w:t>
      </w:r>
      <w:r>
        <w:t xml:space="preserve">(94.4) </w:t>
      </w:r>
      <w:r w:rsidRPr="003E3F95">
        <w:t>days in</w:t>
      </w:r>
      <w:r>
        <w:t xml:space="preserve"> </w:t>
      </w:r>
      <w:r w:rsidRPr="003E3F95">
        <w:t xml:space="preserve">the FRDA population enrolled </w:t>
      </w:r>
      <w:r>
        <w:t>in the double-blind studies</w:t>
      </w:r>
    </w:p>
    <w:p w14:paraId="37C03C71" w14:textId="77777777" w:rsidR="00775149" w:rsidRDefault="00775149" w:rsidP="00775149">
      <w:pPr>
        <w:pStyle w:val="ListBullet"/>
      </w:pPr>
      <w:r w:rsidRPr="003E3F95">
        <w:lastRenderedPageBreak/>
        <w:t xml:space="preserve">681.1 </w:t>
      </w:r>
      <w:r>
        <w:t xml:space="preserve">(346.4) </w:t>
      </w:r>
      <w:r w:rsidRPr="003E3F95">
        <w:t>days in the total</w:t>
      </w:r>
      <w:r>
        <w:t xml:space="preserve"> </w:t>
      </w:r>
      <w:r w:rsidRPr="003E3F95">
        <w:t>FRDA population enrolled in the double-blind and extension studies</w:t>
      </w:r>
    </w:p>
    <w:p w14:paraId="64DB9929" w14:textId="77777777" w:rsidR="00775149" w:rsidRDefault="00775149" w:rsidP="00775149">
      <w:pPr>
        <w:pStyle w:val="ListBullet"/>
      </w:pPr>
      <w:r w:rsidRPr="002A6DAE">
        <w:t>282.2</w:t>
      </w:r>
      <w:r>
        <w:t xml:space="preserve"> (98.7) </w:t>
      </w:r>
      <w:r w:rsidRPr="002A6DAE">
        <w:t>days in</w:t>
      </w:r>
      <w:r>
        <w:t xml:space="preserve"> </w:t>
      </w:r>
      <w:r w:rsidRPr="002A6DAE">
        <w:t>the full safety population enrolled in the double-blind studies</w:t>
      </w:r>
    </w:p>
    <w:p w14:paraId="578F9921" w14:textId="1291BE6A" w:rsidR="00775149" w:rsidRPr="008C7847" w:rsidRDefault="00775149" w:rsidP="00775149">
      <w:pPr>
        <w:pStyle w:val="ListBullet"/>
      </w:pPr>
      <w:r w:rsidRPr="002A6DAE">
        <w:t xml:space="preserve">600.3 </w:t>
      </w:r>
      <w:r>
        <w:t xml:space="preserve">(362.5) </w:t>
      </w:r>
      <w:r w:rsidRPr="002A6DAE">
        <w:t>days in the full</w:t>
      </w:r>
      <w:r>
        <w:t xml:space="preserve"> </w:t>
      </w:r>
      <w:r w:rsidRPr="002A6DAE">
        <w:t>safety population enrolled in the double-blind and extension studies</w:t>
      </w:r>
      <w:r w:rsidR="00640C58">
        <w:t>.</w:t>
      </w:r>
    </w:p>
    <w:p w14:paraId="3AF25BA8" w14:textId="77777777" w:rsidR="00605AD4" w:rsidRDefault="00605AD4" w:rsidP="00605AD4">
      <w:pPr>
        <w:pStyle w:val="Heading4"/>
      </w:pPr>
      <w:r w:rsidRPr="00605AD4">
        <w:t>Safety issues with the potential for major regulatory impact</w:t>
      </w:r>
    </w:p>
    <w:p w14:paraId="7EB31F9C" w14:textId="77777777" w:rsidR="00AB3932" w:rsidRPr="00545B14" w:rsidRDefault="00AB3932" w:rsidP="00AB3932">
      <w:pPr>
        <w:pStyle w:val="Heading5"/>
      </w:pPr>
      <w:bookmarkStart w:id="149" w:name="_Toc272414669"/>
      <w:bookmarkStart w:id="150" w:name="_Toc290888533"/>
      <w:bookmarkStart w:id="151" w:name="_Toc416353749"/>
      <w:bookmarkStart w:id="152" w:name="_Toc421005292"/>
      <w:bookmarkStart w:id="153" w:name="_Toc432079169"/>
      <w:bookmarkStart w:id="154" w:name="_Toc432080742"/>
      <w:r w:rsidRPr="00545B14">
        <w:t>Liver function</w:t>
      </w:r>
      <w:bookmarkEnd w:id="149"/>
      <w:bookmarkEnd w:id="150"/>
      <w:bookmarkEnd w:id="151"/>
      <w:bookmarkEnd w:id="152"/>
      <w:r>
        <w:t xml:space="preserve"> and liver toxicity</w:t>
      </w:r>
      <w:bookmarkEnd w:id="153"/>
      <w:bookmarkEnd w:id="154"/>
    </w:p>
    <w:p w14:paraId="38D08CDF" w14:textId="41F01CA1" w:rsidR="00AB3932" w:rsidRDefault="00FE173F" w:rsidP="00AB3932">
      <w:pPr>
        <w:pStyle w:val="Heading6"/>
      </w:pPr>
      <w:r>
        <w:t xml:space="preserve">The </w:t>
      </w:r>
      <w:r w:rsidR="00AB3932">
        <w:t>DELOS</w:t>
      </w:r>
      <w:r>
        <w:t xml:space="preserve"> study</w:t>
      </w:r>
    </w:p>
    <w:p w14:paraId="33B921C0" w14:textId="77777777" w:rsidR="00AB3932" w:rsidRPr="004261D4" w:rsidRDefault="00AB3932" w:rsidP="00AB3932">
      <w:r>
        <w:t xml:space="preserve">Patients with </w:t>
      </w:r>
      <w:r w:rsidRPr="00993690">
        <w:t>moderate or severe hepatic impairment were excluded.</w:t>
      </w:r>
      <w:r w:rsidR="00DB3203">
        <w:t xml:space="preserve"> </w:t>
      </w:r>
      <w:r w:rsidRPr="009A75E1">
        <w:t>No hepatobiliary AEs were reported.</w:t>
      </w:r>
      <w:r w:rsidR="00DB3203">
        <w:t xml:space="preserve"> </w:t>
      </w:r>
      <w:r w:rsidRPr="00773076">
        <w:t xml:space="preserve">High values for </w:t>
      </w:r>
      <w:r w:rsidR="000D51AD">
        <w:rPr>
          <w:shd w:val="clear" w:color="auto" w:fill="FFFFFF"/>
        </w:rPr>
        <w:t>aspartate aminotransferase</w:t>
      </w:r>
      <w:r w:rsidR="000D51AD" w:rsidRPr="00773076">
        <w:t xml:space="preserve"> </w:t>
      </w:r>
      <w:r w:rsidR="000D51AD">
        <w:t>(</w:t>
      </w:r>
      <w:r w:rsidRPr="00773076">
        <w:t>AST</w:t>
      </w:r>
      <w:r w:rsidR="000D51AD">
        <w:t>)</w:t>
      </w:r>
      <w:r w:rsidRPr="00773076">
        <w:t xml:space="preserve"> and </w:t>
      </w:r>
      <w:r w:rsidR="000D51AD">
        <w:rPr>
          <w:shd w:val="clear" w:color="auto" w:fill="FFFFFF"/>
        </w:rPr>
        <w:t>alanine aminotransferase</w:t>
      </w:r>
      <w:r w:rsidR="000D51AD" w:rsidRPr="00773076">
        <w:t xml:space="preserve"> </w:t>
      </w:r>
      <w:r w:rsidR="000D51AD">
        <w:t>(</w:t>
      </w:r>
      <w:r w:rsidRPr="00773076">
        <w:t>ALT</w:t>
      </w:r>
      <w:r w:rsidR="000D51AD">
        <w:t>)</w:t>
      </w:r>
      <w:r w:rsidRPr="00773076">
        <w:t xml:space="preserve"> were observed</w:t>
      </w:r>
      <w:r>
        <w:t xml:space="preserve"> both</w:t>
      </w:r>
      <w:r w:rsidRPr="00773076">
        <w:t xml:space="preserve"> at Screening as well as on treatment</w:t>
      </w:r>
      <w:r>
        <w:t>,</w:t>
      </w:r>
      <w:r w:rsidRPr="00773076">
        <w:t xml:space="preserve"> and</w:t>
      </w:r>
      <w:r>
        <w:t xml:space="preserve"> </w:t>
      </w:r>
      <w:r w:rsidRPr="00773076">
        <w:t xml:space="preserve">were seen in both </w:t>
      </w:r>
      <w:r>
        <w:t>the idebenone and placebo treatment groups.</w:t>
      </w:r>
    </w:p>
    <w:p w14:paraId="60509B50" w14:textId="60E7CC6E" w:rsidR="00AB3932" w:rsidRDefault="00FE173F" w:rsidP="00AB3932">
      <w:pPr>
        <w:pStyle w:val="Heading6"/>
      </w:pPr>
      <w:r>
        <w:t xml:space="preserve">The </w:t>
      </w:r>
      <w:r w:rsidR="00AB3932" w:rsidRPr="004261D4">
        <w:t>DELPHI / DELPHI-E</w:t>
      </w:r>
      <w:r>
        <w:t xml:space="preserve"> studies</w:t>
      </w:r>
    </w:p>
    <w:p w14:paraId="0F6340BB" w14:textId="0E032CDE" w:rsidR="00AB3932" w:rsidRDefault="00AB3932" w:rsidP="00AB3932">
      <w:r w:rsidRPr="00993690">
        <w:t xml:space="preserve">Patients with </w:t>
      </w:r>
      <w:r>
        <w:t xml:space="preserve">significant impairment of hepatic function (serum </w:t>
      </w:r>
      <w:r w:rsidR="000D51AD">
        <w:rPr>
          <w:color w:val="000000" w:themeColor="text1"/>
          <w:szCs w:val="21"/>
        </w:rPr>
        <w:t>gamma glutamyltransferase</w:t>
      </w:r>
      <w:r w:rsidR="000D51AD">
        <w:t xml:space="preserve"> (</w:t>
      </w:r>
      <w:r>
        <w:t>GGT</w:t>
      </w:r>
      <w:r w:rsidR="000D51AD">
        <w:t>)</w:t>
      </w:r>
      <w:r>
        <w:t xml:space="preserve"> </w:t>
      </w:r>
      <w:r w:rsidR="003173BB">
        <w:t xml:space="preserve">&gt; </w:t>
      </w:r>
      <w:r>
        <w:t>1.5 x the upper limit for the patient’s age and gender) were excluded.</w:t>
      </w:r>
      <w:r w:rsidR="00DB3203">
        <w:t xml:space="preserve"> </w:t>
      </w:r>
      <w:r w:rsidRPr="009A75E1">
        <w:t>No hepatobiliary AEs were reported.</w:t>
      </w:r>
      <w:r w:rsidR="00DB3203">
        <w:t xml:space="preserve"> </w:t>
      </w:r>
      <w:r>
        <w:t xml:space="preserve">In </w:t>
      </w:r>
      <w:r w:rsidR="00FE173F">
        <w:t xml:space="preserve">the </w:t>
      </w:r>
      <w:r>
        <w:t>DELPHI</w:t>
      </w:r>
      <w:r w:rsidR="00FE173F">
        <w:t xml:space="preserve"> study</w:t>
      </w:r>
      <w:r>
        <w:t>, h</w:t>
      </w:r>
      <w:r w:rsidRPr="00BB4AAA">
        <w:t>igh values for AST and ALT were observed in the majority of patients in both the idebenone and placebo treatment groups both at Screening as well as on treatment.</w:t>
      </w:r>
      <w:r w:rsidR="00DB3203">
        <w:t xml:space="preserve"> </w:t>
      </w:r>
      <w:r>
        <w:t xml:space="preserve">In </w:t>
      </w:r>
      <w:r w:rsidR="00FE173F">
        <w:t xml:space="preserve">the </w:t>
      </w:r>
      <w:r>
        <w:t>DELPHI-E</w:t>
      </w:r>
      <w:r w:rsidR="00FE173F">
        <w:t xml:space="preserve"> study</w:t>
      </w:r>
      <w:r>
        <w:t>, a</w:t>
      </w:r>
      <w:r w:rsidRPr="00BB4AAA">
        <w:t xml:space="preserve"> high proportion of</w:t>
      </w:r>
      <w:r>
        <w:t xml:space="preserve"> </w:t>
      </w:r>
      <w:r w:rsidRPr="00BB4AAA">
        <w:t>patients had abnormalities in AST and ALT values, both at Baseline and all time points on</w:t>
      </w:r>
      <w:r>
        <w:t xml:space="preserve"> </w:t>
      </w:r>
      <w:r w:rsidRPr="00BB4AAA">
        <w:t>treatment.</w:t>
      </w:r>
    </w:p>
    <w:p w14:paraId="6DB6F24A" w14:textId="77777777" w:rsidR="00500337" w:rsidRDefault="00AB3932" w:rsidP="00AB3932">
      <w:r>
        <w:t>E</w:t>
      </w:r>
      <w:r w:rsidRPr="002932C7">
        <w:t>levated values of ALT and AST were seen in many DMD patients in both treatment groups at screening and throughout the studies.</w:t>
      </w:r>
      <w:r w:rsidR="00DB3203">
        <w:t xml:space="preserve"> </w:t>
      </w:r>
      <w:r w:rsidRPr="002932C7">
        <w:t>As these parameters are known to be elevated in patients with DMD, they were not considered clinically significant</w:t>
      </w:r>
      <w:r>
        <w:t>.</w:t>
      </w:r>
    </w:p>
    <w:p w14:paraId="1E79EF1B" w14:textId="77777777" w:rsidR="00AB3932" w:rsidRPr="002B7B05" w:rsidRDefault="00AB3932" w:rsidP="00AB3932">
      <w:pPr>
        <w:pStyle w:val="Heading6"/>
      </w:pPr>
      <w:r>
        <w:t>I</w:t>
      </w:r>
      <w:r w:rsidRPr="002B7B05">
        <w:t>ntegrated safety analyses</w:t>
      </w:r>
    </w:p>
    <w:p w14:paraId="46D699C7" w14:textId="154F3F8F" w:rsidR="00AB3932" w:rsidRDefault="00AB3932" w:rsidP="00AB3932">
      <w:pPr>
        <w:rPr>
          <w:lang w:eastAsia="ja-JP"/>
        </w:rPr>
      </w:pPr>
      <w:r w:rsidRPr="006E4803">
        <w:rPr>
          <w:lang w:eastAsia="ja-JP"/>
        </w:rPr>
        <w:t>One subject with LHON in the</w:t>
      </w:r>
      <w:r w:rsidR="00FE173F">
        <w:rPr>
          <w:lang w:eastAsia="ja-JP"/>
        </w:rPr>
        <w:t xml:space="preserve"> </w:t>
      </w:r>
      <w:r w:rsidRPr="006E4803">
        <w:rPr>
          <w:lang w:eastAsia="ja-JP"/>
        </w:rPr>
        <w:t xml:space="preserve">RHODOS </w:t>
      </w:r>
      <w:r w:rsidR="00FE173F">
        <w:rPr>
          <w:lang w:eastAsia="ja-JP"/>
        </w:rPr>
        <w:t>s</w:t>
      </w:r>
      <w:r w:rsidR="003173BB">
        <w:rPr>
          <w:lang w:eastAsia="ja-JP"/>
        </w:rPr>
        <w:t>tudy</w:t>
      </w:r>
      <w:r w:rsidRPr="006E4803">
        <w:rPr>
          <w:lang w:eastAsia="ja-JP"/>
        </w:rPr>
        <w:t xml:space="preserve"> withdrew due to severe abnormal liver function test results that occurred after 35 days of treatment with idebenone 900 mg/day.</w:t>
      </w:r>
      <w:r w:rsidR="00DB3203">
        <w:rPr>
          <w:lang w:eastAsia="ja-JP"/>
        </w:rPr>
        <w:t xml:space="preserve"> </w:t>
      </w:r>
      <w:r w:rsidRPr="006E4803">
        <w:rPr>
          <w:lang w:eastAsia="ja-JP"/>
        </w:rPr>
        <w:t>The event was considered possibly related to treatment, but occurred in the context of elevated AST and GGT levels prior to treatment and concomitant citalopram, oxazepam, carbamazepine, and omeprazole.</w:t>
      </w:r>
    </w:p>
    <w:p w14:paraId="31D63F43" w14:textId="77777777" w:rsidR="00AB3932" w:rsidRDefault="00AB3932" w:rsidP="00AB3932">
      <w:pPr>
        <w:rPr>
          <w:lang w:eastAsia="ja-JP"/>
        </w:rPr>
      </w:pPr>
      <w:bookmarkStart w:id="155" w:name="_Toc272414670"/>
      <w:bookmarkStart w:id="156" w:name="_Toc290888534"/>
      <w:bookmarkStart w:id="157" w:name="_Toc416353750"/>
      <w:bookmarkStart w:id="158" w:name="_Toc421005293"/>
      <w:bookmarkStart w:id="159" w:name="_Toc432079170"/>
      <w:bookmarkStart w:id="160" w:name="_Toc432080743"/>
      <w:r>
        <w:rPr>
          <w:lang w:eastAsia="ja-JP"/>
        </w:rPr>
        <w:t>Abnormally high values of AST, ALT and/or bilirubin were reported in a number of patients across the indications, but were often high at baseline and occurred in patients on both idebenone and placebo.</w:t>
      </w:r>
    </w:p>
    <w:bookmarkEnd w:id="155"/>
    <w:bookmarkEnd w:id="156"/>
    <w:bookmarkEnd w:id="157"/>
    <w:bookmarkEnd w:id="158"/>
    <w:bookmarkEnd w:id="159"/>
    <w:bookmarkEnd w:id="160"/>
    <w:p w14:paraId="0345AA43" w14:textId="77777777" w:rsidR="00AB3932" w:rsidRPr="009367AE" w:rsidRDefault="00AB3932" w:rsidP="00AB3932">
      <w:pPr>
        <w:pStyle w:val="Heading5"/>
      </w:pPr>
      <w:r w:rsidRPr="009367AE">
        <w:t>Renal function and renal toxicity</w:t>
      </w:r>
    </w:p>
    <w:p w14:paraId="22A1734E" w14:textId="16CC8A00" w:rsidR="00AB3932" w:rsidRDefault="00FE173F" w:rsidP="00AB3932">
      <w:pPr>
        <w:pStyle w:val="Heading6"/>
      </w:pPr>
      <w:r>
        <w:t xml:space="preserve">The </w:t>
      </w:r>
      <w:r w:rsidR="00AB3932">
        <w:t>DELOS</w:t>
      </w:r>
      <w:r>
        <w:t xml:space="preserve"> study</w:t>
      </w:r>
    </w:p>
    <w:p w14:paraId="26D13C33" w14:textId="77777777" w:rsidR="00AB3932" w:rsidRDefault="00AB3932" w:rsidP="00AB3932">
      <w:r>
        <w:t>Patients with severe renal impairment were excluded from this study.</w:t>
      </w:r>
      <w:r w:rsidR="00DB3203">
        <w:t xml:space="preserve"> </w:t>
      </w:r>
      <w:r>
        <w:t>No AE related to creatinine or urea was reported.</w:t>
      </w:r>
      <w:r w:rsidR="00DB3203">
        <w:t xml:space="preserve"> </w:t>
      </w:r>
      <w:r>
        <w:t>Three patients on idebenone had chromaturia reported.</w:t>
      </w:r>
    </w:p>
    <w:p w14:paraId="43FF383C" w14:textId="2F4A00AF" w:rsidR="00AB3932" w:rsidRDefault="00FE173F" w:rsidP="00AB3932">
      <w:pPr>
        <w:pStyle w:val="Heading6"/>
      </w:pPr>
      <w:r>
        <w:t xml:space="preserve">The </w:t>
      </w:r>
      <w:r w:rsidR="00AB3932" w:rsidRPr="004261D4">
        <w:t>DELPHI / DELPHI-E</w:t>
      </w:r>
      <w:r>
        <w:t xml:space="preserve"> studies</w:t>
      </w:r>
    </w:p>
    <w:p w14:paraId="311D291E" w14:textId="00179828" w:rsidR="00AB3932" w:rsidRPr="00993690" w:rsidRDefault="00AB3932" w:rsidP="00AB3932">
      <w:r w:rsidRPr="00993690">
        <w:t xml:space="preserve">Patients with significant impairment of renal function (serum creatinine </w:t>
      </w:r>
      <w:r w:rsidR="003173BB">
        <w:t xml:space="preserve">&gt; </w:t>
      </w:r>
      <w:r w:rsidRPr="00993690">
        <w:t>1.5 x the upper limit for the patient’s age and gender)</w:t>
      </w:r>
      <w:r>
        <w:t xml:space="preserve"> </w:t>
      </w:r>
      <w:r w:rsidRPr="00993690">
        <w:t>were excluded.</w:t>
      </w:r>
      <w:r w:rsidR="00DB3203">
        <w:t xml:space="preserve"> </w:t>
      </w:r>
      <w:r>
        <w:t xml:space="preserve">One patient </w:t>
      </w:r>
      <w:r w:rsidR="00FE173F">
        <w:t>in the</w:t>
      </w:r>
      <w:r>
        <w:t xml:space="preserve"> DELPHI</w:t>
      </w:r>
      <w:r w:rsidR="00FE173F">
        <w:t xml:space="preserve"> study</w:t>
      </w:r>
      <w:r>
        <w:t xml:space="preserve"> on idebenone had haematuria reported.</w:t>
      </w:r>
    </w:p>
    <w:p w14:paraId="46BF3D23" w14:textId="77777777" w:rsidR="00AB3932" w:rsidRPr="002B7B05" w:rsidRDefault="00AB3932" w:rsidP="00AB3932">
      <w:pPr>
        <w:pStyle w:val="Heading6"/>
      </w:pPr>
      <w:r>
        <w:t>I</w:t>
      </w:r>
      <w:r w:rsidRPr="002B7B05">
        <w:t>ntegrated safety analyses</w:t>
      </w:r>
    </w:p>
    <w:p w14:paraId="31994E5E" w14:textId="02F9A2A1" w:rsidR="00AB3932" w:rsidRDefault="00AB3932" w:rsidP="00AB3932">
      <w:pPr>
        <w:rPr>
          <w:lang w:eastAsia="ja-JP"/>
        </w:rPr>
      </w:pPr>
      <w:r w:rsidRPr="0097128C">
        <w:rPr>
          <w:lang w:eastAsia="ja-JP"/>
        </w:rPr>
        <w:t xml:space="preserve">One AE of renal failure and one of renal tubular necrosis was reported in a patient with FRDA receiving idebenone in the </w:t>
      </w:r>
      <w:r w:rsidR="00FE173F">
        <w:rPr>
          <w:lang w:eastAsia="ja-JP"/>
        </w:rPr>
        <w:t xml:space="preserve">the </w:t>
      </w:r>
      <w:r w:rsidRPr="0097128C">
        <w:rPr>
          <w:lang w:eastAsia="ja-JP"/>
        </w:rPr>
        <w:t xml:space="preserve">MICONOS </w:t>
      </w:r>
      <w:r w:rsidR="00FE173F">
        <w:rPr>
          <w:lang w:eastAsia="ja-JP"/>
        </w:rPr>
        <w:t>s</w:t>
      </w:r>
      <w:r w:rsidR="003173BB">
        <w:rPr>
          <w:lang w:eastAsia="ja-JP"/>
        </w:rPr>
        <w:t>tudy</w:t>
      </w:r>
      <w:r w:rsidRPr="0097128C">
        <w:rPr>
          <w:lang w:eastAsia="ja-JP"/>
        </w:rPr>
        <w:t>.</w:t>
      </w:r>
      <w:r w:rsidR="00DB3203">
        <w:rPr>
          <w:lang w:eastAsia="ja-JP"/>
        </w:rPr>
        <w:t xml:space="preserve"> </w:t>
      </w:r>
      <w:r w:rsidRPr="0097128C">
        <w:rPr>
          <w:lang w:eastAsia="ja-JP"/>
        </w:rPr>
        <w:t xml:space="preserve">Three patients in </w:t>
      </w:r>
      <w:r w:rsidR="00FE173F">
        <w:rPr>
          <w:lang w:eastAsia="ja-JP"/>
        </w:rPr>
        <w:t xml:space="preserve">the </w:t>
      </w:r>
      <w:r w:rsidRPr="0097128C">
        <w:rPr>
          <w:lang w:eastAsia="ja-JP"/>
        </w:rPr>
        <w:t xml:space="preserve">MICONOS </w:t>
      </w:r>
      <w:r w:rsidR="00FE173F">
        <w:rPr>
          <w:lang w:eastAsia="ja-JP"/>
        </w:rPr>
        <w:t xml:space="preserve">study </w:t>
      </w:r>
      <w:r w:rsidRPr="0097128C">
        <w:rPr>
          <w:lang w:eastAsia="ja-JP"/>
        </w:rPr>
        <w:t>on idebenone had haematuria reported.</w:t>
      </w:r>
    </w:p>
    <w:p w14:paraId="61604024" w14:textId="77777777" w:rsidR="00AB3932" w:rsidRDefault="00AB3932" w:rsidP="00AB3932">
      <w:pPr>
        <w:pStyle w:val="Heading5"/>
      </w:pPr>
      <w:bookmarkStart w:id="161" w:name="_Toc272414671"/>
      <w:bookmarkStart w:id="162" w:name="_Toc290888535"/>
      <w:bookmarkStart w:id="163" w:name="_Toc416353751"/>
      <w:bookmarkStart w:id="164" w:name="_Toc421005294"/>
      <w:bookmarkStart w:id="165" w:name="_Toc432079171"/>
      <w:bookmarkStart w:id="166" w:name="_Toc432080744"/>
      <w:r w:rsidRPr="00545B14">
        <w:lastRenderedPageBreak/>
        <w:t>Other clinical chemistry</w:t>
      </w:r>
      <w:bookmarkEnd w:id="161"/>
      <w:bookmarkEnd w:id="162"/>
      <w:bookmarkEnd w:id="163"/>
      <w:bookmarkEnd w:id="164"/>
      <w:bookmarkEnd w:id="165"/>
      <w:bookmarkEnd w:id="166"/>
    </w:p>
    <w:p w14:paraId="448996AB" w14:textId="5A5BFF59" w:rsidR="00AB3932" w:rsidRDefault="00FE173F" w:rsidP="00AB3932">
      <w:pPr>
        <w:pStyle w:val="Heading6"/>
      </w:pPr>
      <w:r>
        <w:t xml:space="preserve">The </w:t>
      </w:r>
      <w:r w:rsidR="00AB3932">
        <w:t>DELOS</w:t>
      </w:r>
      <w:r>
        <w:t xml:space="preserve"> study</w:t>
      </w:r>
    </w:p>
    <w:p w14:paraId="6D66060B" w14:textId="77777777" w:rsidR="00AB3932" w:rsidRPr="00BD030A" w:rsidRDefault="00AB3932" w:rsidP="00AB3932">
      <w:r>
        <w:t xml:space="preserve">No </w:t>
      </w:r>
      <w:r w:rsidRPr="007F007E">
        <w:t xml:space="preserve">clinically relevant </w:t>
      </w:r>
      <w:r>
        <w:t xml:space="preserve">changes in </w:t>
      </w:r>
      <w:r w:rsidRPr="007F007E">
        <w:t>clinical</w:t>
      </w:r>
      <w:r>
        <w:t xml:space="preserve"> </w:t>
      </w:r>
      <w:r w:rsidRPr="007F007E">
        <w:t xml:space="preserve">chemistry </w:t>
      </w:r>
      <w:r>
        <w:t>were noted</w:t>
      </w:r>
      <w:r w:rsidRPr="007F007E">
        <w:t>.</w:t>
      </w:r>
      <w:r w:rsidR="00DB3203">
        <w:t xml:space="preserve"> </w:t>
      </w:r>
      <w:r>
        <w:t>While a</w:t>
      </w:r>
      <w:r w:rsidRPr="00AA3DCE">
        <w:t xml:space="preserve">ll patients </w:t>
      </w:r>
      <w:r>
        <w:t>had</w:t>
      </w:r>
      <w:r w:rsidRPr="00AA3DCE">
        <w:t xml:space="preserve"> high values of creatine</w:t>
      </w:r>
      <w:r>
        <w:t xml:space="preserve"> </w:t>
      </w:r>
      <w:r w:rsidRPr="00AA3DCE">
        <w:t xml:space="preserve">kinase </w:t>
      </w:r>
      <w:r>
        <w:t xml:space="preserve">(CK) </w:t>
      </w:r>
      <w:r w:rsidRPr="00AA3DCE">
        <w:t>throughout the study</w:t>
      </w:r>
      <w:r>
        <w:t>,</w:t>
      </w:r>
      <w:r w:rsidRPr="00AA3DCE">
        <w:t xml:space="preserve"> </w:t>
      </w:r>
      <w:r>
        <w:t xml:space="preserve">this is a known marker for DMD and </w:t>
      </w:r>
      <w:r w:rsidRPr="00AA3DCE">
        <w:t xml:space="preserve">was </w:t>
      </w:r>
      <w:r>
        <w:t xml:space="preserve">therefore </w:t>
      </w:r>
      <w:r w:rsidRPr="00AA3DCE">
        <w:t>not</w:t>
      </w:r>
      <w:r>
        <w:t xml:space="preserve"> </w:t>
      </w:r>
      <w:r w:rsidRPr="00AA3DCE">
        <w:t>considered clinically significant.</w:t>
      </w:r>
    </w:p>
    <w:p w14:paraId="7E02D1B9" w14:textId="785FAC2F" w:rsidR="00AB3932" w:rsidRDefault="00FE173F" w:rsidP="00AB3932">
      <w:pPr>
        <w:pStyle w:val="Heading6"/>
      </w:pPr>
      <w:r>
        <w:t xml:space="preserve">The </w:t>
      </w:r>
      <w:r w:rsidR="00AB3932" w:rsidRPr="00BD030A">
        <w:t>DELPHI / DELPHI-E</w:t>
      </w:r>
      <w:r>
        <w:t xml:space="preserve"> studies</w:t>
      </w:r>
    </w:p>
    <w:p w14:paraId="4D349E9E" w14:textId="77777777" w:rsidR="00AB3932" w:rsidRPr="007F007E" w:rsidRDefault="00AB3932" w:rsidP="00AB3932">
      <w:r>
        <w:t>With the exception of CK (as above), n</w:t>
      </w:r>
      <w:r w:rsidRPr="007F007E">
        <w:t>o clinically relevant changes in clinical chemistry were noted.</w:t>
      </w:r>
    </w:p>
    <w:p w14:paraId="76B5E957" w14:textId="77777777" w:rsidR="00AB3932" w:rsidRPr="00BD030A" w:rsidRDefault="00AB3932" w:rsidP="00AB3932">
      <w:pPr>
        <w:pStyle w:val="Heading6"/>
      </w:pPr>
      <w:r w:rsidRPr="00BD030A">
        <w:t>Integrated safety analyses</w:t>
      </w:r>
    </w:p>
    <w:p w14:paraId="3BC5958F" w14:textId="3DE0AE57" w:rsidR="00AB3932" w:rsidRDefault="00AB3932" w:rsidP="00AB3932">
      <w:pPr>
        <w:rPr>
          <w:lang w:eastAsia="ja-JP"/>
        </w:rPr>
      </w:pPr>
      <w:bookmarkStart w:id="167" w:name="_Toc272414672"/>
      <w:bookmarkStart w:id="168" w:name="_Toc290888536"/>
      <w:bookmarkStart w:id="169" w:name="_Toc416353752"/>
      <w:bookmarkStart w:id="170" w:name="_Toc421005295"/>
      <w:bookmarkStart w:id="171" w:name="_Toc432079172"/>
      <w:bookmarkStart w:id="172" w:name="_Toc432080745"/>
      <w:r>
        <w:rPr>
          <w:lang w:eastAsia="ja-JP"/>
        </w:rPr>
        <w:t xml:space="preserve">In the full safety population, with the exception of rare outliers there were only small mean changes from Baseline in the clinical chemistry values, which were generally similar in the idebenone and placebo groups in </w:t>
      </w:r>
      <w:r w:rsidR="00FE173F">
        <w:rPr>
          <w:lang w:eastAsia="ja-JP"/>
        </w:rPr>
        <w:t>double blind</w:t>
      </w:r>
      <w:r>
        <w:rPr>
          <w:lang w:eastAsia="ja-JP"/>
        </w:rPr>
        <w:t xml:space="preserve"> studies and in extension study patients.</w:t>
      </w:r>
    </w:p>
    <w:p w14:paraId="2607589B" w14:textId="77777777" w:rsidR="00AB3932" w:rsidRPr="00545B14" w:rsidRDefault="00AB3932" w:rsidP="00AB3932">
      <w:pPr>
        <w:pStyle w:val="Heading5"/>
      </w:pPr>
      <w:r w:rsidRPr="00545B14">
        <w:t>Haematology</w:t>
      </w:r>
      <w:bookmarkEnd w:id="167"/>
      <w:bookmarkEnd w:id="168"/>
      <w:bookmarkEnd w:id="169"/>
      <w:bookmarkEnd w:id="170"/>
      <w:r>
        <w:t xml:space="preserve"> and haematological toxicity</w:t>
      </w:r>
      <w:bookmarkEnd w:id="171"/>
      <w:bookmarkEnd w:id="172"/>
    </w:p>
    <w:p w14:paraId="02DEFAFE" w14:textId="55FAE23F" w:rsidR="00AB3932" w:rsidRDefault="00FE173F" w:rsidP="00AB3932">
      <w:pPr>
        <w:pStyle w:val="Heading6"/>
      </w:pPr>
      <w:bookmarkStart w:id="173" w:name="_Toc272414674"/>
      <w:bookmarkStart w:id="174" w:name="_Toc290888538"/>
      <w:bookmarkStart w:id="175" w:name="_Toc416353753"/>
      <w:bookmarkStart w:id="176" w:name="_Toc421005296"/>
      <w:bookmarkStart w:id="177" w:name="_Toc432079173"/>
      <w:bookmarkStart w:id="178" w:name="_Toc432080746"/>
      <w:r>
        <w:t xml:space="preserve">The </w:t>
      </w:r>
      <w:r w:rsidR="00AB3932">
        <w:t>DELOS</w:t>
      </w:r>
      <w:r>
        <w:t xml:space="preserve"> study</w:t>
      </w:r>
    </w:p>
    <w:p w14:paraId="3F4F9D18" w14:textId="77777777" w:rsidR="00AB3932" w:rsidRPr="00BD030A" w:rsidRDefault="00AB3932" w:rsidP="00AB3932">
      <w:r w:rsidRPr="00A33E70">
        <w:t>No clinically relevant changes in any haematological parameter were noted.</w:t>
      </w:r>
      <w:r w:rsidR="00DB3203">
        <w:t xml:space="preserve"> </w:t>
      </w:r>
      <w:r w:rsidRPr="00A33E70">
        <w:t>Results for the</w:t>
      </w:r>
      <w:r>
        <w:t xml:space="preserve"> idebenone and placebo groups were generally similar.</w:t>
      </w:r>
    </w:p>
    <w:p w14:paraId="6C4A6BBF" w14:textId="19DC67B4" w:rsidR="00AB3932" w:rsidRDefault="00FE173F" w:rsidP="00AB3932">
      <w:pPr>
        <w:pStyle w:val="Heading6"/>
      </w:pPr>
      <w:r>
        <w:t xml:space="preserve">The </w:t>
      </w:r>
      <w:r w:rsidR="00AB3932" w:rsidRPr="00BD030A">
        <w:t>DELPHI / DELPHI-E</w:t>
      </w:r>
      <w:r>
        <w:t xml:space="preserve"> studies</w:t>
      </w:r>
    </w:p>
    <w:p w14:paraId="7E1480E9" w14:textId="77777777" w:rsidR="00AB3932" w:rsidRPr="007F007E" w:rsidRDefault="00AB3932" w:rsidP="00AB3932">
      <w:r w:rsidRPr="00ED5F47">
        <w:t>No clinically relevant changes in any haematological parameter were noted during the DELPHI and DELPHI-E studies.</w:t>
      </w:r>
    </w:p>
    <w:p w14:paraId="73A254AA" w14:textId="77777777" w:rsidR="00AB3932" w:rsidRPr="00BD030A" w:rsidRDefault="00AB3932" w:rsidP="00AB3932">
      <w:pPr>
        <w:pStyle w:val="Heading6"/>
      </w:pPr>
      <w:r w:rsidRPr="00BD030A">
        <w:t>Integrated safety analyses</w:t>
      </w:r>
    </w:p>
    <w:p w14:paraId="3596FEDC" w14:textId="7927BB47" w:rsidR="00AB3932" w:rsidRDefault="00AB3932" w:rsidP="00AB3932">
      <w:pPr>
        <w:rPr>
          <w:lang w:eastAsia="ja-JP"/>
        </w:rPr>
      </w:pPr>
      <w:r w:rsidRPr="00D23E73">
        <w:rPr>
          <w:lang w:eastAsia="ja-JP"/>
        </w:rPr>
        <w:t>In the full safety population</w:t>
      </w:r>
      <w:r>
        <w:rPr>
          <w:lang w:eastAsia="ja-JP"/>
        </w:rPr>
        <w:t xml:space="preserve"> few haematological abnormalities were noted, and these were observed in both the idebenone and placebo groups.</w:t>
      </w:r>
      <w:r w:rsidR="00DB3203">
        <w:rPr>
          <w:lang w:eastAsia="ja-JP"/>
        </w:rPr>
        <w:t xml:space="preserve"> </w:t>
      </w:r>
      <w:r>
        <w:rPr>
          <w:lang w:eastAsia="ja-JP"/>
        </w:rPr>
        <w:t xml:space="preserve">A few cases of low </w:t>
      </w:r>
      <w:r w:rsidR="00ED6165">
        <w:t>white blood cell (</w:t>
      </w:r>
      <w:r>
        <w:rPr>
          <w:lang w:eastAsia="ja-JP"/>
        </w:rPr>
        <w:t>WBC</w:t>
      </w:r>
      <w:r w:rsidR="00ED6165">
        <w:rPr>
          <w:lang w:eastAsia="ja-JP"/>
        </w:rPr>
        <w:t>)</w:t>
      </w:r>
      <w:r>
        <w:rPr>
          <w:lang w:eastAsia="ja-JP"/>
        </w:rPr>
        <w:t xml:space="preserve"> counts occurred during the NICOSIA </w:t>
      </w:r>
      <w:r w:rsidR="005159E4">
        <w:rPr>
          <w:lang w:eastAsia="ja-JP"/>
        </w:rPr>
        <w:t>s</w:t>
      </w:r>
      <w:r w:rsidR="003173BB">
        <w:rPr>
          <w:lang w:eastAsia="ja-JP"/>
        </w:rPr>
        <w:t>tudy</w:t>
      </w:r>
      <w:r w:rsidRPr="00D23E73">
        <w:rPr>
          <w:rFonts w:ascii="Times New Roman" w:eastAsiaTheme="minorHAnsi" w:hAnsi="Times New Roman"/>
          <w:sz w:val="24"/>
          <w:szCs w:val="24"/>
        </w:rPr>
        <w:t xml:space="preserve"> </w:t>
      </w:r>
      <w:r w:rsidRPr="00D23E73">
        <w:rPr>
          <w:lang w:eastAsia="ja-JP"/>
        </w:rPr>
        <w:t>but these were evenly</w:t>
      </w:r>
      <w:r>
        <w:rPr>
          <w:lang w:eastAsia="ja-JP"/>
        </w:rPr>
        <w:t xml:space="preserve"> </w:t>
      </w:r>
      <w:r w:rsidRPr="00D23E73">
        <w:rPr>
          <w:lang w:eastAsia="ja-JP"/>
        </w:rPr>
        <w:t>distributed between the placebo and idebenone groups, and in all but one case</w:t>
      </w:r>
      <w:r>
        <w:rPr>
          <w:lang w:eastAsia="ja-JP"/>
        </w:rPr>
        <w:t xml:space="preserve"> </w:t>
      </w:r>
      <w:r w:rsidRPr="00D23E73">
        <w:rPr>
          <w:lang w:eastAsia="ja-JP"/>
        </w:rPr>
        <w:t>were</w:t>
      </w:r>
      <w:r>
        <w:rPr>
          <w:lang w:eastAsia="ja-JP"/>
        </w:rPr>
        <w:t xml:space="preserve"> </w:t>
      </w:r>
      <w:r w:rsidRPr="00D23E73">
        <w:rPr>
          <w:lang w:eastAsia="ja-JP"/>
        </w:rPr>
        <w:t>normal on rechecking at a local laboratory.</w:t>
      </w:r>
    </w:p>
    <w:p w14:paraId="7CBC168F" w14:textId="77777777" w:rsidR="00AB3932" w:rsidRPr="00545B14" w:rsidRDefault="00AB3932" w:rsidP="00AB3932">
      <w:pPr>
        <w:pStyle w:val="Heading5"/>
      </w:pPr>
      <w:bookmarkStart w:id="179" w:name="_Toc272414675"/>
      <w:bookmarkStart w:id="180" w:name="_Toc290888539"/>
      <w:bookmarkStart w:id="181" w:name="_Toc416353754"/>
      <w:bookmarkStart w:id="182" w:name="_Toc421005297"/>
      <w:bookmarkStart w:id="183" w:name="_Toc432079174"/>
      <w:bookmarkStart w:id="184" w:name="_Toc432080747"/>
      <w:bookmarkEnd w:id="173"/>
      <w:bookmarkEnd w:id="174"/>
      <w:bookmarkEnd w:id="175"/>
      <w:bookmarkEnd w:id="176"/>
      <w:bookmarkEnd w:id="177"/>
      <w:bookmarkEnd w:id="178"/>
      <w:r w:rsidRPr="00545B14">
        <w:t>Electrocardiograph</w:t>
      </w:r>
      <w:bookmarkEnd w:id="179"/>
      <w:bookmarkEnd w:id="180"/>
      <w:bookmarkEnd w:id="181"/>
      <w:bookmarkEnd w:id="182"/>
      <w:r>
        <w:t xml:space="preserve"> findings and cardiovascular safety</w:t>
      </w:r>
      <w:bookmarkEnd w:id="183"/>
      <w:bookmarkEnd w:id="184"/>
    </w:p>
    <w:p w14:paraId="56BA6794" w14:textId="6B10A42E" w:rsidR="00AB3932" w:rsidRDefault="005159E4" w:rsidP="00AB3932">
      <w:pPr>
        <w:pStyle w:val="Heading6"/>
      </w:pPr>
      <w:r>
        <w:t xml:space="preserve">The </w:t>
      </w:r>
      <w:r w:rsidR="00AB3932" w:rsidRPr="002F1D39">
        <w:t>DELOS</w:t>
      </w:r>
      <w:r>
        <w:t xml:space="preserve"> study</w:t>
      </w:r>
    </w:p>
    <w:p w14:paraId="48248DE1" w14:textId="77777777" w:rsidR="00AB3932" w:rsidRPr="002F1D39" w:rsidRDefault="00AB3932" w:rsidP="00AB3932">
      <w:r w:rsidRPr="002F1D39">
        <w:t>Only small mean changes from Baseline in ECG</w:t>
      </w:r>
      <w:r>
        <w:t xml:space="preserve"> and</w:t>
      </w:r>
      <w:r w:rsidRPr="002F1D39">
        <w:t xml:space="preserve"> transthoracic echocardiology parameters were</w:t>
      </w:r>
      <w:r>
        <w:t xml:space="preserve"> </w:t>
      </w:r>
      <w:r w:rsidRPr="002F1D39">
        <w:t>observed in each treatment group.</w:t>
      </w:r>
      <w:r w:rsidR="00DB3203">
        <w:t xml:space="preserve"> </w:t>
      </w:r>
      <w:r>
        <w:t>A small number of patients on both idebenone and placebo had clinically significant abnormalities in transthoracic echocardiography at baseline and at study completion.</w:t>
      </w:r>
    </w:p>
    <w:p w14:paraId="3D63C6E8" w14:textId="1705419C" w:rsidR="00AB3932" w:rsidRDefault="005159E4" w:rsidP="00AB3932">
      <w:pPr>
        <w:pStyle w:val="Heading6"/>
      </w:pPr>
      <w:r>
        <w:t xml:space="preserve">The </w:t>
      </w:r>
      <w:r w:rsidR="00AB3932" w:rsidRPr="002F1D39">
        <w:t>DELPHI / DELPHI-E</w:t>
      </w:r>
      <w:r>
        <w:t xml:space="preserve"> studies</w:t>
      </w:r>
    </w:p>
    <w:p w14:paraId="37D287C6" w14:textId="77777777" w:rsidR="00AB3932" w:rsidRPr="002F1D39" w:rsidRDefault="00AB3932" w:rsidP="00AB3932">
      <w:r w:rsidRPr="002F1D39">
        <w:t>No clinical</w:t>
      </w:r>
      <w:r>
        <w:t>ly</w:t>
      </w:r>
      <w:r w:rsidRPr="002F1D39">
        <w:t xml:space="preserve"> significant changes in ECG measurements</w:t>
      </w:r>
      <w:r>
        <w:t xml:space="preserve"> were observed.</w:t>
      </w:r>
      <w:r w:rsidR="00DB3203">
        <w:t xml:space="preserve"> </w:t>
      </w:r>
      <w:r>
        <w:t xml:space="preserve">The </w:t>
      </w:r>
      <w:r w:rsidRPr="00735165">
        <w:t>mean QT, QTcB and QTcF</w:t>
      </w:r>
      <w:r w:rsidR="00273610">
        <w:t>;</w:t>
      </w:r>
      <w:r w:rsidR="00273610">
        <w:rPr>
          <w:rStyle w:val="FootnoteReference"/>
        </w:rPr>
        <w:footnoteReference w:id="38"/>
      </w:r>
      <w:r w:rsidRPr="00735165">
        <w:t xml:space="preserve"> </w:t>
      </w:r>
      <w:r>
        <w:t xml:space="preserve">increased slightly </w:t>
      </w:r>
      <w:r w:rsidRPr="00735165">
        <w:t>during the study</w:t>
      </w:r>
      <w:r>
        <w:t>.</w:t>
      </w:r>
      <w:r w:rsidR="00DB3203">
        <w:t xml:space="preserve"> </w:t>
      </w:r>
      <w:r>
        <w:t>The increase</w:t>
      </w:r>
      <w:r w:rsidRPr="00735165">
        <w:t xml:space="preserve"> was greatest</w:t>
      </w:r>
      <w:r>
        <w:t xml:space="preserve"> at Month 18 (</w:t>
      </w:r>
      <w:r w:rsidR="000D51AD">
        <w:t>+</w:t>
      </w:r>
      <w:r>
        <w:t xml:space="preserve">30.1, </w:t>
      </w:r>
      <w:r w:rsidR="000D51AD">
        <w:t>+</w:t>
      </w:r>
      <w:r>
        <w:t xml:space="preserve">30.8, </w:t>
      </w:r>
      <w:r w:rsidR="00ED6165">
        <w:t>and</w:t>
      </w:r>
      <w:r>
        <w:t xml:space="preserve"> </w:t>
      </w:r>
      <w:r w:rsidR="000D51AD">
        <w:t>+</w:t>
      </w:r>
      <w:r>
        <w:t xml:space="preserve">30.3 </w:t>
      </w:r>
      <w:r w:rsidR="00ED6165">
        <w:t>ms</w:t>
      </w:r>
      <w:r>
        <w:t xml:space="preserve">, respectively) but values subsequently returned to near baseline values in the 3 patients with a QT, QTcB and/ or QTcF value above 500 </w:t>
      </w:r>
      <w:r w:rsidR="00ED6165">
        <w:t>ms</w:t>
      </w:r>
      <w:r>
        <w:t xml:space="preserve"> at Month 18.</w:t>
      </w:r>
    </w:p>
    <w:p w14:paraId="22AF9A70" w14:textId="77777777" w:rsidR="00AB3932" w:rsidRDefault="00AB3932" w:rsidP="00AB3932">
      <w:pPr>
        <w:pStyle w:val="Heading6"/>
      </w:pPr>
      <w:r>
        <w:t>I</w:t>
      </w:r>
      <w:r w:rsidRPr="002B7B05">
        <w:t>ntegrated safety analyses</w:t>
      </w:r>
    </w:p>
    <w:p w14:paraId="45C4768E" w14:textId="471FFB02" w:rsidR="00AB3932" w:rsidRDefault="00AB3932" w:rsidP="00AB3932">
      <w:r w:rsidRPr="00E63A9F">
        <w:t>No clinically significant changes in ECG measurements were observed.</w:t>
      </w:r>
      <w:r w:rsidR="00DB3203">
        <w:t xml:space="preserve"> </w:t>
      </w:r>
      <w:r>
        <w:t>Separate analyses of QT/QTc data were performed for patients with LHON (</w:t>
      </w:r>
      <w:r w:rsidR="005159E4">
        <w:t xml:space="preserve">Study </w:t>
      </w:r>
      <w:r>
        <w:t xml:space="preserve">SNT-IR-004) and FRDA </w:t>
      </w:r>
      <w:r w:rsidRPr="00930E6E">
        <w:t>(</w:t>
      </w:r>
      <w:r w:rsidR="005159E4">
        <w:t xml:space="preserve">Study </w:t>
      </w:r>
      <w:r w:rsidRPr="00930E6E">
        <w:t>SNT-IR-00</w:t>
      </w:r>
      <w:r>
        <w:t>1</w:t>
      </w:r>
      <w:r w:rsidRPr="00930E6E">
        <w:t>)</w:t>
      </w:r>
      <w:r>
        <w:t>.</w:t>
      </w:r>
      <w:r w:rsidR="00DB3203">
        <w:t xml:space="preserve"> </w:t>
      </w:r>
      <w:r>
        <w:t xml:space="preserve">No difference in </w:t>
      </w:r>
      <w:r w:rsidRPr="008D3D78">
        <w:t xml:space="preserve">QT, QTcB or QTcF interval </w:t>
      </w:r>
      <w:r>
        <w:t xml:space="preserve">or any other ECG </w:t>
      </w:r>
      <w:r>
        <w:lastRenderedPageBreak/>
        <w:t xml:space="preserve">parameter was detected between the idebenone and placebo groups </w:t>
      </w:r>
      <w:r w:rsidRPr="008D3D78">
        <w:t xml:space="preserve">in LHON </w:t>
      </w:r>
      <w:r>
        <w:t>or</w:t>
      </w:r>
      <w:r w:rsidRPr="008D3D78">
        <w:t xml:space="preserve"> FRDA patients after a 6-month</w:t>
      </w:r>
      <w:r>
        <w:t xml:space="preserve"> </w:t>
      </w:r>
      <w:r w:rsidRPr="008D3D78">
        <w:t>treatment period.</w:t>
      </w:r>
    </w:p>
    <w:p w14:paraId="1D050473" w14:textId="77777777" w:rsidR="00AB3932" w:rsidRDefault="00AB3932" w:rsidP="00AB3932">
      <w:r>
        <w:t>An integrated analysis of QTcF values was also performed (</w:t>
      </w:r>
      <w:r w:rsidR="0030092C">
        <w:t>Table 11</w:t>
      </w:r>
      <w:r>
        <w:t>, below).</w:t>
      </w:r>
      <w:r w:rsidR="00DB3203">
        <w:t xml:space="preserve"> </w:t>
      </w:r>
      <w:r w:rsidRPr="00E04FE9">
        <w:t>QTcF</w:t>
      </w:r>
      <w:r>
        <w:t xml:space="preserve"> </w:t>
      </w:r>
      <w:r w:rsidRPr="00E04FE9">
        <w:t xml:space="preserve">prolongation was generally lower in idebenone than in placebo patients in </w:t>
      </w:r>
      <w:r>
        <w:t xml:space="preserve">the </w:t>
      </w:r>
      <w:r w:rsidRPr="00E04FE9">
        <w:t>DMD</w:t>
      </w:r>
      <w:r>
        <w:t xml:space="preserve"> population</w:t>
      </w:r>
      <w:r w:rsidRPr="00E04FE9">
        <w:t>.</w:t>
      </w:r>
      <w:r w:rsidR="00DB3203">
        <w:t xml:space="preserve"> </w:t>
      </w:r>
      <w:r w:rsidRPr="00E04FE9">
        <w:t>These results did not raise any</w:t>
      </w:r>
      <w:r>
        <w:t xml:space="preserve"> </w:t>
      </w:r>
      <w:r w:rsidRPr="00E04FE9">
        <w:t xml:space="preserve">new safety concerns, compared to </w:t>
      </w:r>
      <w:r>
        <w:t xml:space="preserve">the </w:t>
      </w:r>
      <w:r w:rsidRPr="00E04FE9">
        <w:t>FRDA population.</w:t>
      </w:r>
    </w:p>
    <w:p w14:paraId="6488619A" w14:textId="77777777" w:rsidR="00AB3932" w:rsidRDefault="00AB3932" w:rsidP="00AB3932">
      <w:pPr>
        <w:pStyle w:val="TableTitle"/>
      </w:pPr>
      <w:bookmarkStart w:id="185" w:name="_Ref492647224"/>
      <w:bookmarkStart w:id="186" w:name="_Toc510689019"/>
      <w:r>
        <w:t>Table</w:t>
      </w:r>
      <w:bookmarkEnd w:id="185"/>
      <w:r w:rsidR="0030092C">
        <w:t xml:space="preserve"> 11</w:t>
      </w:r>
      <w:r>
        <w:t>:</w:t>
      </w:r>
      <w:r w:rsidR="00DB3203">
        <w:t xml:space="preserve"> </w:t>
      </w:r>
      <w:r w:rsidRPr="000971DE">
        <w:t xml:space="preserve">QTcF </w:t>
      </w:r>
      <w:r w:rsidR="000D51AD" w:rsidRPr="000971DE">
        <w:t>results over time by disease population</w:t>
      </w:r>
      <w:bookmarkEnd w:id="186"/>
    </w:p>
    <w:p w14:paraId="5F154921" w14:textId="77777777" w:rsidR="00AB3932" w:rsidRDefault="00AB3932" w:rsidP="00AB3932">
      <w:r>
        <w:rPr>
          <w:noProof/>
          <w:lang w:eastAsia="en-AU"/>
        </w:rPr>
        <w:drawing>
          <wp:inline distT="0" distB="0" distL="0" distR="0" wp14:anchorId="756D3CE6" wp14:editId="7AC6452D">
            <wp:extent cx="5400040" cy="2782570"/>
            <wp:effectExtent l="0" t="0" r="0" b="0"/>
            <wp:docPr id="17" name="Picture 17" descr="QTcF results over time by diseas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782570"/>
                    </a:xfrm>
                    <a:prstGeom prst="rect">
                      <a:avLst/>
                    </a:prstGeom>
                  </pic:spPr>
                </pic:pic>
              </a:graphicData>
            </a:graphic>
          </wp:inline>
        </w:drawing>
      </w:r>
    </w:p>
    <w:p w14:paraId="4EA35E50" w14:textId="77777777" w:rsidR="00AB3932" w:rsidRPr="00545B14" w:rsidRDefault="00AB3932" w:rsidP="00AB3932">
      <w:pPr>
        <w:pStyle w:val="Heading5"/>
      </w:pPr>
      <w:r w:rsidRPr="00545B14">
        <w:t>Vital signs</w:t>
      </w:r>
      <w:r>
        <w:t xml:space="preserve"> and clinical examination findings</w:t>
      </w:r>
    </w:p>
    <w:p w14:paraId="6C660F68" w14:textId="1CDE6301" w:rsidR="00AB3932" w:rsidRDefault="005159E4" w:rsidP="00AB3932">
      <w:pPr>
        <w:pStyle w:val="Heading6"/>
      </w:pPr>
      <w:r>
        <w:t xml:space="preserve">The </w:t>
      </w:r>
      <w:r w:rsidR="00AB3932">
        <w:t>DELOS</w:t>
      </w:r>
      <w:r>
        <w:t xml:space="preserve"> study</w:t>
      </w:r>
    </w:p>
    <w:p w14:paraId="2269FBA6" w14:textId="77777777" w:rsidR="00AB3932" w:rsidRPr="00517212" w:rsidRDefault="00AB3932" w:rsidP="00AB3932">
      <w:r w:rsidRPr="00517212">
        <w:t>Only small mean</w:t>
      </w:r>
      <w:r>
        <w:t xml:space="preserve"> </w:t>
      </w:r>
      <w:r w:rsidRPr="00517212">
        <w:t xml:space="preserve">changes from Baseline values were observed </w:t>
      </w:r>
      <w:r>
        <w:t xml:space="preserve">for </w:t>
      </w:r>
      <w:r w:rsidRPr="007403E7">
        <w:t xml:space="preserve">systolic and diastolic </w:t>
      </w:r>
      <w:r w:rsidR="000D51AD">
        <w:t>blood pressure (BP)</w:t>
      </w:r>
      <w:r w:rsidRPr="007403E7">
        <w:t>, heart rate, and respiratory rate</w:t>
      </w:r>
      <w:r>
        <w:t xml:space="preserve">, and </w:t>
      </w:r>
      <w:r w:rsidRPr="00517212">
        <w:t>were generally similar for the idebenone and placebo groups.</w:t>
      </w:r>
      <w:r w:rsidR="00DB3203">
        <w:t xml:space="preserve"> </w:t>
      </w:r>
      <w:r>
        <w:t xml:space="preserve">Mean height increase over 52 weeks was less in the idebenone group (2.6 cm) than in the placebo group (7.0 cm), while the opposite was true for increase in weight (3.3 kg </w:t>
      </w:r>
      <w:r w:rsidR="0061481A" w:rsidRPr="0061481A">
        <w:t>versus</w:t>
      </w:r>
      <w:r>
        <w:t xml:space="preserve"> 1.8 kg, respectively).</w:t>
      </w:r>
    </w:p>
    <w:p w14:paraId="56E7D450" w14:textId="10053FA8" w:rsidR="00AB3932" w:rsidRDefault="005159E4" w:rsidP="00AB3932">
      <w:pPr>
        <w:pStyle w:val="Heading6"/>
      </w:pPr>
      <w:r>
        <w:t xml:space="preserve">The </w:t>
      </w:r>
      <w:r w:rsidR="00AB3932">
        <w:t>DELPHI / DELPHI-E</w:t>
      </w:r>
      <w:r>
        <w:t xml:space="preserve"> studies</w:t>
      </w:r>
    </w:p>
    <w:p w14:paraId="16C8E612" w14:textId="1135FB27" w:rsidR="00AB3932" w:rsidRDefault="00AB3932" w:rsidP="00AB3932">
      <w:r>
        <w:t xml:space="preserve">Mean </w:t>
      </w:r>
      <w:r w:rsidRPr="007403E7">
        <w:t>height and weight increased more in the</w:t>
      </w:r>
      <w:r>
        <w:t xml:space="preserve"> </w:t>
      </w:r>
      <w:r w:rsidRPr="007403E7">
        <w:t>placebo group</w:t>
      </w:r>
      <w:r>
        <w:t xml:space="preserve"> (4.6 cm, 5.06 kg) than in the idebenone group (3.4 cm, 1.62 kg) over 52 weeks in </w:t>
      </w:r>
      <w:r w:rsidR="005159E4">
        <w:t xml:space="preserve">the </w:t>
      </w:r>
      <w:r>
        <w:t>DELPHI</w:t>
      </w:r>
      <w:r w:rsidR="005159E4">
        <w:t xml:space="preserve"> study</w:t>
      </w:r>
      <w:r>
        <w:t>.</w:t>
      </w:r>
      <w:r w:rsidR="00DB3203">
        <w:t xml:space="preserve"> </w:t>
      </w:r>
      <w:r>
        <w:t>None of the differences between the treatment groups was considered medically significant.</w:t>
      </w:r>
      <w:r w:rsidR="00DB3203">
        <w:t xml:space="preserve"> </w:t>
      </w:r>
      <w:r>
        <w:t xml:space="preserve">There were only small mean changes from Baseline in vital sign values during </w:t>
      </w:r>
      <w:r w:rsidR="005159E4">
        <w:t xml:space="preserve">the </w:t>
      </w:r>
      <w:r>
        <w:t>DELPHI-E</w:t>
      </w:r>
      <w:r w:rsidR="005159E4">
        <w:t xml:space="preserve"> study</w:t>
      </w:r>
      <w:r>
        <w:t>.</w:t>
      </w:r>
    </w:p>
    <w:p w14:paraId="342EEE52" w14:textId="23D84DB1" w:rsidR="00AB3932" w:rsidRDefault="00AB3932" w:rsidP="00AB3932">
      <w:r>
        <w:rPr>
          <w:lang w:eastAsia="ja-JP"/>
        </w:rPr>
        <w:t>T</w:t>
      </w:r>
      <w:r w:rsidRPr="00F509A1">
        <w:rPr>
          <w:lang w:eastAsia="ja-JP"/>
        </w:rPr>
        <w:t xml:space="preserve">he difference in height and weight changes is likely to be related to the fact that patients receiving idebenone were significantly older than patients receiving placebo at enrolment </w:t>
      </w:r>
      <w:r>
        <w:rPr>
          <w:lang w:eastAsia="ja-JP"/>
        </w:rPr>
        <w:t xml:space="preserve">in </w:t>
      </w:r>
      <w:r w:rsidR="005159E4">
        <w:rPr>
          <w:lang w:eastAsia="ja-JP"/>
        </w:rPr>
        <w:t xml:space="preserve">the </w:t>
      </w:r>
      <w:r>
        <w:rPr>
          <w:lang w:eastAsia="ja-JP"/>
        </w:rPr>
        <w:t>DELPHI</w:t>
      </w:r>
      <w:r w:rsidR="005159E4">
        <w:rPr>
          <w:lang w:eastAsia="ja-JP"/>
        </w:rPr>
        <w:t xml:space="preserve"> study</w:t>
      </w:r>
      <w:r>
        <w:rPr>
          <w:lang w:eastAsia="ja-JP"/>
        </w:rPr>
        <w:t xml:space="preserve"> </w:t>
      </w:r>
      <w:r w:rsidRPr="00F509A1">
        <w:rPr>
          <w:lang w:eastAsia="ja-JP"/>
        </w:rPr>
        <w:t xml:space="preserve">(13.4 </w:t>
      </w:r>
      <w:r w:rsidR="000D51AD">
        <w:rPr>
          <w:lang w:eastAsia="ja-JP"/>
        </w:rPr>
        <w:t>±</w:t>
      </w:r>
      <w:r w:rsidRPr="00F509A1">
        <w:rPr>
          <w:lang w:eastAsia="ja-JP"/>
        </w:rPr>
        <w:t xml:space="preserve"> 2.1 years </w:t>
      </w:r>
      <w:r w:rsidR="0061481A" w:rsidRPr="0061481A">
        <w:rPr>
          <w:lang w:eastAsia="ja-JP"/>
        </w:rPr>
        <w:t>versus</w:t>
      </w:r>
      <w:r w:rsidRPr="00F509A1">
        <w:rPr>
          <w:lang w:eastAsia="ja-JP"/>
        </w:rPr>
        <w:t xml:space="preserve"> 10.8 </w:t>
      </w:r>
      <w:r w:rsidR="000D51AD">
        <w:rPr>
          <w:lang w:eastAsia="ja-JP"/>
        </w:rPr>
        <w:t>±</w:t>
      </w:r>
      <w:r w:rsidRPr="00F509A1">
        <w:rPr>
          <w:lang w:eastAsia="ja-JP"/>
        </w:rPr>
        <w:t xml:space="preserve"> 1.9 years, respectively).</w:t>
      </w:r>
      <w:r w:rsidR="00DB3203">
        <w:rPr>
          <w:lang w:eastAsia="ja-JP"/>
        </w:rPr>
        <w:t xml:space="preserve"> </w:t>
      </w:r>
      <w:r>
        <w:rPr>
          <w:lang w:eastAsia="ja-JP"/>
        </w:rPr>
        <w:t xml:space="preserve">In </w:t>
      </w:r>
      <w:r w:rsidR="005159E4">
        <w:rPr>
          <w:lang w:eastAsia="ja-JP"/>
        </w:rPr>
        <w:t xml:space="preserve">the </w:t>
      </w:r>
      <w:r>
        <w:rPr>
          <w:lang w:eastAsia="ja-JP"/>
        </w:rPr>
        <w:t xml:space="preserve">DELOS </w:t>
      </w:r>
      <w:r w:rsidR="005159E4">
        <w:rPr>
          <w:lang w:eastAsia="ja-JP"/>
        </w:rPr>
        <w:t xml:space="preserve">study </w:t>
      </w:r>
      <w:r>
        <w:rPr>
          <w:lang w:eastAsia="ja-JP"/>
        </w:rPr>
        <w:t>increase in height was less in the idebenone group despite these patients being younger than those on placebo.</w:t>
      </w:r>
      <w:r w:rsidR="00DB3203">
        <w:rPr>
          <w:lang w:eastAsia="ja-JP"/>
        </w:rPr>
        <w:t xml:space="preserve"> </w:t>
      </w:r>
      <w:r>
        <w:rPr>
          <w:lang w:eastAsia="ja-JP"/>
        </w:rPr>
        <w:t xml:space="preserve">However, the range of height change was large in both groups (0 to 11 cm </w:t>
      </w:r>
      <w:r w:rsidR="0061481A" w:rsidRPr="0061481A">
        <w:rPr>
          <w:lang w:eastAsia="ja-JP"/>
        </w:rPr>
        <w:t>versus</w:t>
      </w:r>
      <w:r>
        <w:rPr>
          <w:lang w:eastAsia="ja-JP"/>
        </w:rPr>
        <w:t xml:space="preserve"> 0 to 15 cm, respectively) and may just be due to chance</w:t>
      </w:r>
    </w:p>
    <w:p w14:paraId="077998F5" w14:textId="77777777" w:rsidR="00AB3932" w:rsidRPr="002B7B05" w:rsidRDefault="00AB3932" w:rsidP="00AB3932">
      <w:pPr>
        <w:pStyle w:val="Heading6"/>
      </w:pPr>
      <w:r>
        <w:t>I</w:t>
      </w:r>
      <w:r w:rsidRPr="002B7B05">
        <w:t>ntegrated safety analyses</w:t>
      </w:r>
    </w:p>
    <w:p w14:paraId="5EEDA853" w14:textId="77777777" w:rsidR="00AB3932" w:rsidRDefault="00AB3932" w:rsidP="00AB3932">
      <w:pPr>
        <w:rPr>
          <w:lang w:eastAsia="ja-JP"/>
        </w:rPr>
      </w:pPr>
      <w:r>
        <w:rPr>
          <w:lang w:eastAsia="ja-JP"/>
        </w:rPr>
        <w:t xml:space="preserve">Most </w:t>
      </w:r>
      <w:r w:rsidRPr="001D6A04">
        <w:rPr>
          <w:lang w:eastAsia="ja-JP"/>
        </w:rPr>
        <w:t xml:space="preserve">systolic and diastolic </w:t>
      </w:r>
      <w:r>
        <w:rPr>
          <w:lang w:eastAsia="ja-JP"/>
        </w:rPr>
        <w:t>BP, heart rate and respiratory rate findings were normal.</w:t>
      </w:r>
      <w:r w:rsidR="00DB3203">
        <w:rPr>
          <w:lang w:eastAsia="ja-JP"/>
        </w:rPr>
        <w:t xml:space="preserve"> </w:t>
      </w:r>
      <w:r>
        <w:rPr>
          <w:lang w:eastAsia="ja-JP"/>
        </w:rPr>
        <w:t>With the exception of rare outliers, mean BP, heart rate and respiratory rate values and mean changes from Baseline were comparable in double-blind and extension study patients.</w:t>
      </w:r>
      <w:r w:rsidR="00DB3203">
        <w:rPr>
          <w:lang w:eastAsia="ja-JP"/>
        </w:rPr>
        <w:t xml:space="preserve"> </w:t>
      </w:r>
      <w:r w:rsidRPr="001D6A04">
        <w:rPr>
          <w:lang w:eastAsia="ja-JP"/>
        </w:rPr>
        <w:t xml:space="preserve">Overall, an increase of </w:t>
      </w:r>
      <w:r w:rsidR="000D51AD">
        <w:rPr>
          <w:lang w:eastAsia="ja-JP"/>
        </w:rPr>
        <w:t>≥</w:t>
      </w:r>
      <w:r w:rsidRPr="001D6A04">
        <w:rPr>
          <w:lang w:eastAsia="ja-JP"/>
        </w:rPr>
        <w:t xml:space="preserve"> 7% in weight over time is noted; </w:t>
      </w:r>
      <w:r>
        <w:rPr>
          <w:lang w:eastAsia="ja-JP"/>
        </w:rPr>
        <w:t xml:space="preserve">consistent with </w:t>
      </w:r>
      <w:r w:rsidRPr="001D6A04">
        <w:rPr>
          <w:lang w:eastAsia="ja-JP"/>
        </w:rPr>
        <w:t>the growth of children enrolled in the studies.</w:t>
      </w:r>
      <w:r w:rsidR="00DB3203">
        <w:rPr>
          <w:lang w:eastAsia="ja-JP"/>
        </w:rPr>
        <w:t xml:space="preserve"> </w:t>
      </w:r>
      <w:r w:rsidRPr="001D6A04">
        <w:rPr>
          <w:lang w:eastAsia="ja-JP"/>
        </w:rPr>
        <w:t>With the exception of rare</w:t>
      </w:r>
      <w:r>
        <w:rPr>
          <w:lang w:eastAsia="ja-JP"/>
        </w:rPr>
        <w:t xml:space="preserve"> </w:t>
      </w:r>
      <w:r w:rsidRPr="001D6A04">
        <w:rPr>
          <w:lang w:eastAsia="ja-JP"/>
        </w:rPr>
        <w:t xml:space="preserve">outliers, the percentages of </w:t>
      </w:r>
      <w:r w:rsidRPr="001D6A04">
        <w:rPr>
          <w:lang w:eastAsia="ja-JP"/>
        </w:rPr>
        <w:lastRenderedPageBreak/>
        <w:t>patients with weight changes were comparable in idebenone</w:t>
      </w:r>
      <w:r>
        <w:rPr>
          <w:lang w:eastAsia="ja-JP"/>
        </w:rPr>
        <w:t xml:space="preserve"> </w:t>
      </w:r>
      <w:r w:rsidRPr="001D6A04">
        <w:rPr>
          <w:lang w:eastAsia="ja-JP"/>
        </w:rPr>
        <w:t xml:space="preserve">and placebo patients in </w:t>
      </w:r>
      <w:r>
        <w:rPr>
          <w:lang w:eastAsia="ja-JP"/>
        </w:rPr>
        <w:t>DB</w:t>
      </w:r>
      <w:r w:rsidRPr="001D6A04">
        <w:rPr>
          <w:lang w:eastAsia="ja-JP"/>
        </w:rPr>
        <w:t xml:space="preserve"> studies and comparable in extension study</w:t>
      </w:r>
      <w:r>
        <w:rPr>
          <w:lang w:eastAsia="ja-JP"/>
        </w:rPr>
        <w:t xml:space="preserve"> </w:t>
      </w:r>
      <w:r w:rsidRPr="001D6A04">
        <w:rPr>
          <w:lang w:eastAsia="ja-JP"/>
        </w:rPr>
        <w:t>patients.</w:t>
      </w:r>
      <w:bookmarkStart w:id="187" w:name="_Toc432079176"/>
      <w:bookmarkStart w:id="188" w:name="_Toc432080749"/>
    </w:p>
    <w:p w14:paraId="5E5F5044" w14:textId="77777777" w:rsidR="00AB3932" w:rsidRDefault="00AB3932" w:rsidP="00AB3932">
      <w:pPr>
        <w:pStyle w:val="Heading5"/>
      </w:pPr>
      <w:r>
        <w:t>Immunogenicity and immunological events</w:t>
      </w:r>
      <w:bookmarkEnd w:id="187"/>
      <w:bookmarkEnd w:id="188"/>
    </w:p>
    <w:p w14:paraId="099731EC" w14:textId="16063184" w:rsidR="00AB3932" w:rsidRDefault="005159E4" w:rsidP="00AB3932">
      <w:pPr>
        <w:pStyle w:val="Heading6"/>
      </w:pPr>
      <w:r>
        <w:t xml:space="preserve">The </w:t>
      </w:r>
      <w:r w:rsidR="00AB3932">
        <w:t>DELOS</w:t>
      </w:r>
      <w:r>
        <w:t xml:space="preserve"> study</w:t>
      </w:r>
    </w:p>
    <w:p w14:paraId="0862EFD2" w14:textId="072C0BEA" w:rsidR="00AB3932" w:rsidRPr="00F53431" w:rsidRDefault="00AB3932" w:rsidP="00AB3932">
      <w:r>
        <w:t>N</w:t>
      </w:r>
      <w:r w:rsidRPr="00F53431">
        <w:t xml:space="preserve">o </w:t>
      </w:r>
      <w:r>
        <w:t xml:space="preserve">AEs in the immune system </w:t>
      </w:r>
      <w:r w:rsidR="00ED6165">
        <w:t xml:space="preserve">disorders </w:t>
      </w:r>
      <w:r w:rsidR="005159E4">
        <w:rPr>
          <w:bCs/>
        </w:rPr>
        <w:t>System O</w:t>
      </w:r>
      <w:r w:rsidR="00ED6165">
        <w:rPr>
          <w:bCs/>
        </w:rPr>
        <w:t xml:space="preserve">rgan </w:t>
      </w:r>
      <w:r w:rsidR="005159E4">
        <w:rPr>
          <w:bCs/>
        </w:rPr>
        <w:t>C</w:t>
      </w:r>
      <w:r w:rsidR="00ED6165">
        <w:rPr>
          <w:bCs/>
        </w:rPr>
        <w:t>lass</w:t>
      </w:r>
      <w:r w:rsidR="00ED6165">
        <w:t xml:space="preserve"> (</w:t>
      </w:r>
      <w:r>
        <w:t>SOC</w:t>
      </w:r>
      <w:r w:rsidR="00ED6165">
        <w:t>)</w:t>
      </w:r>
      <w:r w:rsidRPr="00F53431">
        <w:t xml:space="preserve"> were reported in either the </w:t>
      </w:r>
      <w:r>
        <w:t>idebenone</w:t>
      </w:r>
      <w:r w:rsidRPr="00F53431">
        <w:t xml:space="preserve"> or the placebo group.</w:t>
      </w:r>
    </w:p>
    <w:p w14:paraId="569710E5" w14:textId="1326BBDE" w:rsidR="00AB3932" w:rsidRDefault="005159E4" w:rsidP="00AB3932">
      <w:pPr>
        <w:pStyle w:val="Heading6"/>
      </w:pPr>
      <w:r>
        <w:t xml:space="preserve">The </w:t>
      </w:r>
      <w:r w:rsidR="00AB3932">
        <w:t>DELPHI / DELPHI-E</w:t>
      </w:r>
      <w:r>
        <w:t xml:space="preserve"> studies</w:t>
      </w:r>
    </w:p>
    <w:p w14:paraId="7C701793" w14:textId="3FD1CD13" w:rsidR="00AB3932" w:rsidRPr="00F53431" w:rsidRDefault="00AB3932" w:rsidP="00AB3932">
      <w:r w:rsidRPr="00F53431">
        <w:t>No AEs in the immune system disorders SOC were reported in either the</w:t>
      </w:r>
      <w:r>
        <w:t xml:space="preserve"> idebenone or the placebo group during</w:t>
      </w:r>
      <w:r w:rsidR="005159E4">
        <w:t xml:space="preserve"> the</w:t>
      </w:r>
      <w:r>
        <w:t xml:space="preserve"> DELPHI</w:t>
      </w:r>
      <w:r w:rsidR="005159E4">
        <w:t xml:space="preserve"> study</w:t>
      </w:r>
      <w:r>
        <w:t xml:space="preserve">, </w:t>
      </w:r>
      <w:r w:rsidR="005159E4">
        <w:t>n</w:t>
      </w:r>
      <w:r>
        <w:t xml:space="preserve">or for patients on idebenone during </w:t>
      </w:r>
      <w:r w:rsidR="005159E4">
        <w:t xml:space="preserve">the </w:t>
      </w:r>
      <w:r>
        <w:t>DELPHI</w:t>
      </w:r>
      <w:r w:rsidR="005159E4">
        <w:noBreakHyphen/>
      </w:r>
      <w:r>
        <w:t>E</w:t>
      </w:r>
      <w:r w:rsidR="005159E4">
        <w:t xml:space="preserve"> study</w:t>
      </w:r>
      <w:r>
        <w:t>.</w:t>
      </w:r>
    </w:p>
    <w:p w14:paraId="7345624D" w14:textId="77777777" w:rsidR="00AB3932" w:rsidRPr="002B7B05" w:rsidRDefault="00AB3932" w:rsidP="00AB3932">
      <w:pPr>
        <w:pStyle w:val="Heading6"/>
      </w:pPr>
      <w:r>
        <w:t>I</w:t>
      </w:r>
      <w:r w:rsidRPr="002B7B05">
        <w:t>ntegrated safety analyses</w:t>
      </w:r>
    </w:p>
    <w:p w14:paraId="47D92693" w14:textId="6EB52D2A" w:rsidR="00AB3932" w:rsidRDefault="00AB3932" w:rsidP="00AB3932">
      <w:pPr>
        <w:rPr>
          <w:lang w:eastAsia="ja-JP"/>
        </w:rPr>
      </w:pPr>
      <w:r>
        <w:rPr>
          <w:lang w:eastAsia="ja-JP"/>
        </w:rPr>
        <w:t xml:space="preserve">The only patient group reporting AEs in the immune system disorders SOC was the FRDA group, </w:t>
      </w:r>
      <w:r w:rsidRPr="00C82B80">
        <w:rPr>
          <w:lang w:eastAsia="ja-JP"/>
        </w:rPr>
        <w:t>with 6 (2.3%) of patients on idebenone and 5 (5.3%) of patients on placebo reporting AEs in the</w:t>
      </w:r>
      <w:r>
        <w:rPr>
          <w:lang w:eastAsia="ja-JP"/>
        </w:rPr>
        <w:t xml:space="preserve"> </w:t>
      </w:r>
      <w:r w:rsidR="005159E4">
        <w:rPr>
          <w:lang w:eastAsia="ja-JP"/>
        </w:rPr>
        <w:t xml:space="preserve">double blind </w:t>
      </w:r>
      <w:r>
        <w:rPr>
          <w:lang w:eastAsia="ja-JP"/>
        </w:rPr>
        <w:t>studies.</w:t>
      </w:r>
      <w:r w:rsidR="00DB3203">
        <w:rPr>
          <w:lang w:eastAsia="ja-JP"/>
        </w:rPr>
        <w:t xml:space="preserve"> </w:t>
      </w:r>
      <w:r>
        <w:rPr>
          <w:lang w:eastAsia="ja-JP"/>
        </w:rPr>
        <w:t>A further 2 patients (2.9%) in</w:t>
      </w:r>
      <w:r w:rsidR="005159E4">
        <w:rPr>
          <w:lang w:eastAsia="ja-JP"/>
        </w:rPr>
        <w:t xml:space="preserve"> the</w:t>
      </w:r>
      <w:r>
        <w:rPr>
          <w:lang w:eastAsia="ja-JP"/>
        </w:rPr>
        <w:t xml:space="preserve"> IONIA-E </w:t>
      </w:r>
      <w:r w:rsidR="005159E4">
        <w:rPr>
          <w:lang w:eastAsia="ja-JP"/>
        </w:rPr>
        <w:t>study</w:t>
      </w:r>
      <w:r>
        <w:rPr>
          <w:lang w:eastAsia="ja-JP"/>
        </w:rPr>
        <w:t xml:space="preserve">and 3 patients (1.5%) in </w:t>
      </w:r>
      <w:r w:rsidR="005159E4">
        <w:rPr>
          <w:lang w:eastAsia="ja-JP"/>
        </w:rPr>
        <w:t xml:space="preserve">the </w:t>
      </w:r>
      <w:r>
        <w:rPr>
          <w:lang w:eastAsia="ja-JP"/>
        </w:rPr>
        <w:t>MICONOS-E</w:t>
      </w:r>
      <w:r w:rsidR="005159E4">
        <w:rPr>
          <w:lang w:eastAsia="ja-JP"/>
        </w:rPr>
        <w:t xml:space="preserve"> study</w:t>
      </w:r>
      <w:r>
        <w:rPr>
          <w:lang w:eastAsia="ja-JP"/>
        </w:rPr>
        <w:t xml:space="preserve"> also had immune system AEs.</w:t>
      </w:r>
      <w:r w:rsidR="00DB3203">
        <w:rPr>
          <w:lang w:eastAsia="ja-JP"/>
        </w:rPr>
        <w:t xml:space="preserve"> </w:t>
      </w:r>
      <w:r>
        <w:rPr>
          <w:lang w:eastAsia="ja-JP"/>
        </w:rPr>
        <w:t>The AEs on idebenone included hypersensitivity (n</w:t>
      </w:r>
      <w:r w:rsidR="0061481A">
        <w:rPr>
          <w:lang w:eastAsia="ja-JP"/>
        </w:rPr>
        <w:t xml:space="preserve"> = </w:t>
      </w:r>
      <w:r>
        <w:rPr>
          <w:lang w:eastAsia="ja-JP"/>
        </w:rPr>
        <w:t>4), allergic oedema, and seasonal allergy (n</w:t>
      </w:r>
      <w:r w:rsidR="0061481A">
        <w:rPr>
          <w:lang w:eastAsia="ja-JP"/>
        </w:rPr>
        <w:t xml:space="preserve"> = </w:t>
      </w:r>
      <w:r>
        <w:rPr>
          <w:lang w:eastAsia="ja-JP"/>
        </w:rPr>
        <w:t>1 each).</w:t>
      </w:r>
      <w:r w:rsidR="00DB3203">
        <w:rPr>
          <w:lang w:eastAsia="ja-JP"/>
        </w:rPr>
        <w:t xml:space="preserve"> </w:t>
      </w:r>
      <w:r>
        <w:rPr>
          <w:lang w:eastAsia="ja-JP"/>
        </w:rPr>
        <w:t>All but one episode of hypersensitivity were mild in severity.</w:t>
      </w:r>
    </w:p>
    <w:p w14:paraId="70A99FF4" w14:textId="77777777" w:rsidR="00AB3932" w:rsidRPr="00E7113A" w:rsidRDefault="00AB3932" w:rsidP="00AB3932">
      <w:pPr>
        <w:pStyle w:val="Heading5"/>
      </w:pPr>
      <w:bookmarkStart w:id="189" w:name="_Toc432079177"/>
      <w:bookmarkStart w:id="190" w:name="_Toc432080750"/>
      <w:r w:rsidRPr="00E7113A">
        <w:t>Serious skin reactions</w:t>
      </w:r>
      <w:bookmarkEnd w:id="189"/>
      <w:bookmarkEnd w:id="190"/>
    </w:p>
    <w:p w14:paraId="366A4994" w14:textId="3051D152" w:rsidR="00AB3932" w:rsidRPr="001C48C5" w:rsidRDefault="005159E4" w:rsidP="00AB3932">
      <w:pPr>
        <w:pStyle w:val="Heading6"/>
      </w:pPr>
      <w:r>
        <w:t xml:space="preserve">The </w:t>
      </w:r>
      <w:r w:rsidR="00AB3932" w:rsidRPr="001C48C5">
        <w:t>DELOS</w:t>
      </w:r>
      <w:r>
        <w:t xml:space="preserve"> study</w:t>
      </w:r>
    </w:p>
    <w:p w14:paraId="26958903" w14:textId="77777777" w:rsidR="00AB3932" w:rsidRPr="001C48C5" w:rsidRDefault="00AB3932" w:rsidP="00AB3932">
      <w:r>
        <w:t xml:space="preserve">No </w:t>
      </w:r>
      <w:r w:rsidRPr="001C48C5">
        <w:t xml:space="preserve">cases of photosensitivity, erythema multiforme, Stevens Johnson syndrome, drug reaction with eosinophilia and systemic symptoms (DRESS) or toxic epidermal necrolysis </w:t>
      </w:r>
      <w:r>
        <w:t xml:space="preserve">were </w:t>
      </w:r>
      <w:r w:rsidRPr="001C48C5">
        <w:t>reported</w:t>
      </w:r>
      <w:r>
        <w:t>.</w:t>
      </w:r>
    </w:p>
    <w:p w14:paraId="51B5EE30" w14:textId="70AD3414" w:rsidR="00AB3932" w:rsidRDefault="005159E4" w:rsidP="00AB3932">
      <w:pPr>
        <w:pStyle w:val="Heading6"/>
      </w:pPr>
      <w:r>
        <w:t xml:space="preserve">The </w:t>
      </w:r>
      <w:r w:rsidR="00AB3932" w:rsidRPr="001C48C5">
        <w:t>DELPHI / DELPHI-E</w:t>
      </w:r>
      <w:r>
        <w:t xml:space="preserve"> studies</w:t>
      </w:r>
    </w:p>
    <w:p w14:paraId="4B7F86D2" w14:textId="77777777" w:rsidR="00AB3932" w:rsidRPr="001C48C5" w:rsidRDefault="00AB3932" w:rsidP="00AB3932">
      <w:r>
        <w:t xml:space="preserve">No </w:t>
      </w:r>
      <w:r w:rsidRPr="001C48C5">
        <w:t xml:space="preserve">cases of photosensitivity, erythema multiforme, Stevens Johnson syndrome, DRESS or toxic epidermal necrolysis </w:t>
      </w:r>
      <w:r>
        <w:t xml:space="preserve">were </w:t>
      </w:r>
      <w:r w:rsidRPr="001C48C5">
        <w:t>reported</w:t>
      </w:r>
      <w:r>
        <w:t>.</w:t>
      </w:r>
    </w:p>
    <w:p w14:paraId="766408E4" w14:textId="77777777" w:rsidR="00AB3932" w:rsidRPr="0044289B" w:rsidRDefault="00AB3932" w:rsidP="00AB3932">
      <w:pPr>
        <w:pStyle w:val="Heading6"/>
      </w:pPr>
      <w:r w:rsidRPr="0044289B">
        <w:t>Integrated safety analyses</w:t>
      </w:r>
    </w:p>
    <w:p w14:paraId="76B61487" w14:textId="77777777" w:rsidR="00AB3932" w:rsidRDefault="00AB3932" w:rsidP="00AB3932">
      <w:pPr>
        <w:rPr>
          <w:lang w:eastAsia="ja-JP"/>
        </w:rPr>
      </w:pPr>
      <w:r>
        <w:rPr>
          <w:lang w:eastAsia="ja-JP"/>
        </w:rPr>
        <w:t xml:space="preserve">No </w:t>
      </w:r>
      <w:r w:rsidRPr="001C48C5">
        <w:rPr>
          <w:lang w:eastAsia="ja-JP"/>
        </w:rPr>
        <w:t xml:space="preserve">cases of photosensitivity, erythema multiforme, Stevens Johnson syndrome, </w:t>
      </w:r>
      <w:r w:rsidR="000D51AD">
        <w:rPr>
          <w:lang w:eastAsia="ja-JP"/>
        </w:rPr>
        <w:t>DRESS</w:t>
      </w:r>
      <w:r w:rsidRPr="001C48C5">
        <w:rPr>
          <w:lang w:eastAsia="ja-JP"/>
        </w:rPr>
        <w:t xml:space="preserve"> or toxic epidermal necrolysis </w:t>
      </w:r>
      <w:r>
        <w:rPr>
          <w:lang w:eastAsia="ja-JP"/>
        </w:rPr>
        <w:t xml:space="preserve">were </w:t>
      </w:r>
      <w:r w:rsidRPr="001C48C5">
        <w:rPr>
          <w:lang w:eastAsia="ja-JP"/>
        </w:rPr>
        <w:t>reported</w:t>
      </w:r>
      <w:r>
        <w:rPr>
          <w:lang w:eastAsia="ja-JP"/>
        </w:rPr>
        <w:t>.</w:t>
      </w:r>
    </w:p>
    <w:p w14:paraId="423E6911" w14:textId="77777777" w:rsidR="00AB3932" w:rsidRDefault="00AB3932" w:rsidP="00AB3932">
      <w:pPr>
        <w:pStyle w:val="Heading5"/>
      </w:pPr>
      <w:bookmarkStart w:id="191" w:name="_Toc272414678"/>
      <w:bookmarkStart w:id="192" w:name="_Toc290888542"/>
      <w:bookmarkStart w:id="193" w:name="_Toc416353757"/>
      <w:bookmarkStart w:id="194" w:name="_Toc421005300"/>
      <w:bookmarkStart w:id="195" w:name="_Toc432079178"/>
      <w:bookmarkStart w:id="196" w:name="_Toc432080751"/>
      <w:r w:rsidRPr="00545B14">
        <w:t>Other safety parameter</w:t>
      </w:r>
      <w:bookmarkEnd w:id="191"/>
      <w:bookmarkEnd w:id="192"/>
      <w:bookmarkEnd w:id="193"/>
      <w:bookmarkEnd w:id="194"/>
      <w:bookmarkEnd w:id="195"/>
      <w:bookmarkEnd w:id="196"/>
      <w:r>
        <w:t>s</w:t>
      </w:r>
    </w:p>
    <w:p w14:paraId="6F518BE9" w14:textId="77777777" w:rsidR="00AB3932" w:rsidRPr="00523F13" w:rsidRDefault="00AB3932" w:rsidP="00AB3932">
      <w:pPr>
        <w:pStyle w:val="Heading6"/>
      </w:pPr>
      <w:r w:rsidRPr="00523F13">
        <w:t>Results for post-hoc analysis SNT-IR-010</w:t>
      </w:r>
    </w:p>
    <w:p w14:paraId="26716893" w14:textId="7005688D" w:rsidR="00AB3932" w:rsidRDefault="00AB3932" w:rsidP="00AB3932">
      <w:pPr>
        <w:rPr>
          <w:lang w:eastAsia="ja-JP"/>
        </w:rPr>
      </w:pPr>
      <w:r>
        <w:rPr>
          <w:lang w:eastAsia="ja-JP"/>
        </w:rPr>
        <w:t>Because r</w:t>
      </w:r>
      <w:r w:rsidRPr="00523F13">
        <w:rPr>
          <w:lang w:eastAsia="ja-JP"/>
        </w:rPr>
        <w:t>espiratory complications are the primary cause of morbidity and mortality</w:t>
      </w:r>
      <w:r>
        <w:rPr>
          <w:lang w:eastAsia="ja-JP"/>
        </w:rPr>
        <w:t xml:space="preserve"> in DMD, </w:t>
      </w:r>
      <w:r w:rsidRPr="00BC6D46">
        <w:rPr>
          <w:lang w:eastAsia="ja-JP"/>
        </w:rPr>
        <w:t xml:space="preserve">a post-hoc analysis of the </w:t>
      </w:r>
      <w:r w:rsidR="005159E4">
        <w:rPr>
          <w:lang w:eastAsia="ja-JP"/>
        </w:rPr>
        <w:t xml:space="preserve">Study </w:t>
      </w:r>
      <w:r w:rsidRPr="00BC6D46">
        <w:rPr>
          <w:lang w:eastAsia="ja-JP"/>
        </w:rPr>
        <w:t>SNT-III-003 (DELOS</w:t>
      </w:r>
      <w:r w:rsidR="005159E4">
        <w:rPr>
          <w:lang w:eastAsia="ja-JP"/>
        </w:rPr>
        <w:t xml:space="preserve"> study</w:t>
      </w:r>
      <w:r w:rsidRPr="00BC6D46">
        <w:rPr>
          <w:lang w:eastAsia="ja-JP"/>
        </w:rPr>
        <w:t>) clinical trial</w:t>
      </w:r>
      <w:r>
        <w:rPr>
          <w:lang w:eastAsia="ja-JP"/>
        </w:rPr>
        <w:t xml:space="preserve"> was conducted </w:t>
      </w:r>
      <w:r w:rsidRPr="00BC6D46">
        <w:rPr>
          <w:lang w:eastAsia="ja-JP"/>
        </w:rPr>
        <w:t xml:space="preserve">to further assess the effect of idebenone </w:t>
      </w:r>
      <w:r w:rsidR="0061481A" w:rsidRPr="0061481A">
        <w:rPr>
          <w:lang w:eastAsia="ja-JP"/>
        </w:rPr>
        <w:t>versus</w:t>
      </w:r>
      <w:r w:rsidRPr="00BC6D46">
        <w:rPr>
          <w:lang w:eastAsia="ja-JP"/>
        </w:rPr>
        <w:t xml:space="preserve"> placebo in reducing</w:t>
      </w:r>
      <w:r>
        <w:rPr>
          <w:lang w:eastAsia="ja-JP"/>
        </w:rPr>
        <w:t xml:space="preserve"> </w:t>
      </w:r>
      <w:r w:rsidRPr="00BC6D46">
        <w:rPr>
          <w:lang w:eastAsia="ja-JP"/>
        </w:rPr>
        <w:t>the risk of bronchopulmonary adverse events (BAEs) and to determine the use of</w:t>
      </w:r>
      <w:r>
        <w:rPr>
          <w:lang w:eastAsia="ja-JP"/>
        </w:rPr>
        <w:t xml:space="preserve"> </w:t>
      </w:r>
      <w:r w:rsidRPr="00BC6D46">
        <w:rPr>
          <w:lang w:eastAsia="ja-JP"/>
        </w:rPr>
        <w:t>antibiotics for the treatment of such BAEs/airway infections.</w:t>
      </w:r>
    </w:p>
    <w:p w14:paraId="67C59DDA" w14:textId="75450B4C" w:rsidR="00AB3932" w:rsidRDefault="00AB3932" w:rsidP="00AB3932">
      <w:pPr>
        <w:rPr>
          <w:lang w:eastAsia="ja-JP"/>
        </w:rPr>
      </w:pPr>
      <w:r w:rsidRPr="00BC6D46">
        <w:rPr>
          <w:lang w:eastAsia="ja-JP"/>
        </w:rPr>
        <w:t xml:space="preserve">A study-independent </w:t>
      </w:r>
      <w:r w:rsidRPr="00CE3E49">
        <w:rPr>
          <w:lang w:eastAsia="ja-JP"/>
        </w:rPr>
        <w:t xml:space="preserve">physician </w:t>
      </w:r>
      <w:r>
        <w:rPr>
          <w:lang w:eastAsia="ja-JP"/>
        </w:rPr>
        <w:t xml:space="preserve">who was blinded to patient treatment group </w:t>
      </w:r>
      <w:r w:rsidRPr="00CE3E49">
        <w:rPr>
          <w:lang w:eastAsia="ja-JP"/>
        </w:rPr>
        <w:t xml:space="preserve">reviewed </w:t>
      </w:r>
      <w:r>
        <w:rPr>
          <w:lang w:eastAsia="ja-JP"/>
        </w:rPr>
        <w:t xml:space="preserve">and assessed </w:t>
      </w:r>
      <w:r w:rsidR="00ED6165">
        <w:t>treatment emergent adverse events</w:t>
      </w:r>
      <w:r w:rsidR="00ED6165" w:rsidRPr="00CE3E49">
        <w:rPr>
          <w:lang w:eastAsia="ja-JP"/>
        </w:rPr>
        <w:t xml:space="preserve"> </w:t>
      </w:r>
      <w:r w:rsidR="00ED6165">
        <w:rPr>
          <w:lang w:eastAsia="ja-JP"/>
        </w:rPr>
        <w:t>(</w:t>
      </w:r>
      <w:r w:rsidRPr="00CE3E49">
        <w:rPr>
          <w:lang w:eastAsia="ja-JP"/>
        </w:rPr>
        <w:t>TEAEs</w:t>
      </w:r>
      <w:r w:rsidR="00ED6165">
        <w:rPr>
          <w:lang w:eastAsia="ja-JP"/>
        </w:rPr>
        <w:t>)</w:t>
      </w:r>
      <w:r w:rsidRPr="00CE3E49">
        <w:rPr>
          <w:lang w:eastAsia="ja-JP"/>
        </w:rPr>
        <w:t xml:space="preserve"> recorded in </w:t>
      </w:r>
      <w:r w:rsidR="005159E4">
        <w:rPr>
          <w:lang w:eastAsia="ja-JP"/>
        </w:rPr>
        <w:t>the Study</w:t>
      </w:r>
      <w:r w:rsidR="00FA166A">
        <w:rPr>
          <w:lang w:eastAsia="ja-JP"/>
        </w:rPr>
        <w:t xml:space="preserve"> </w:t>
      </w:r>
      <w:r w:rsidRPr="00CE3E49">
        <w:rPr>
          <w:lang w:eastAsia="ja-JP"/>
        </w:rPr>
        <w:t>SNT-III-003 (DELOS</w:t>
      </w:r>
      <w:r w:rsidR="005159E4">
        <w:rPr>
          <w:lang w:eastAsia="ja-JP"/>
        </w:rPr>
        <w:t xml:space="preserve"> study</w:t>
      </w:r>
      <w:r w:rsidRPr="00CE3E49">
        <w:rPr>
          <w:lang w:eastAsia="ja-JP"/>
        </w:rPr>
        <w:t>) safety database.</w:t>
      </w:r>
      <w:r w:rsidR="00DB3203">
        <w:rPr>
          <w:lang w:eastAsia="ja-JP"/>
        </w:rPr>
        <w:t xml:space="preserve"> </w:t>
      </w:r>
      <w:r>
        <w:rPr>
          <w:lang w:eastAsia="ja-JP"/>
        </w:rPr>
        <w:t>Those TEAEs</w:t>
      </w:r>
      <w:r w:rsidRPr="00CE3E49">
        <w:rPr>
          <w:lang w:eastAsia="ja-JP"/>
        </w:rPr>
        <w:t xml:space="preserve"> considered likely to have involved the larynx, trachea, bronchi, smaller airways or lung they were categori</w:t>
      </w:r>
      <w:r>
        <w:rPr>
          <w:lang w:eastAsia="ja-JP"/>
        </w:rPr>
        <w:t>s</w:t>
      </w:r>
      <w:r w:rsidRPr="00CE3E49">
        <w:rPr>
          <w:lang w:eastAsia="ja-JP"/>
        </w:rPr>
        <w:t>ed as BAEs.</w:t>
      </w:r>
      <w:r w:rsidR="00DB3203">
        <w:rPr>
          <w:lang w:eastAsia="ja-JP"/>
        </w:rPr>
        <w:t xml:space="preserve"> </w:t>
      </w:r>
      <w:r w:rsidRPr="00CE3E49">
        <w:rPr>
          <w:lang w:eastAsia="ja-JP"/>
        </w:rPr>
        <w:t>TEAEs were not considered BAEs if they were less precise and/or involved primarily</w:t>
      </w:r>
      <w:r>
        <w:rPr>
          <w:lang w:eastAsia="ja-JP"/>
        </w:rPr>
        <w:t xml:space="preserve"> the nose, sinuses, or throat.</w:t>
      </w:r>
    </w:p>
    <w:p w14:paraId="234594DB" w14:textId="77777777" w:rsidR="00AB3932" w:rsidRPr="00523F13" w:rsidRDefault="00AB3932" w:rsidP="00AB3932">
      <w:pPr>
        <w:rPr>
          <w:lang w:eastAsia="ja-JP"/>
        </w:rPr>
      </w:pPr>
      <w:r w:rsidRPr="00523F13">
        <w:rPr>
          <w:lang w:eastAsia="ja-JP"/>
        </w:rPr>
        <w:t>The following TEAEs (preferred terms) were identified as clinically relevant BAEs:</w:t>
      </w:r>
    </w:p>
    <w:p w14:paraId="3F6C552C" w14:textId="77777777" w:rsidR="00AB3932" w:rsidRDefault="00AB3932" w:rsidP="00AB3932">
      <w:pPr>
        <w:pStyle w:val="ListBullet"/>
      </w:pPr>
      <w:r w:rsidRPr="00523F13">
        <w:rPr>
          <w:lang w:eastAsia="ja-JP"/>
        </w:rPr>
        <w:t>bronchitis</w:t>
      </w:r>
    </w:p>
    <w:p w14:paraId="3A0C5AFE" w14:textId="77777777" w:rsidR="00AB3932" w:rsidRDefault="00AB3932" w:rsidP="00AB3932">
      <w:pPr>
        <w:pStyle w:val="ListBullet"/>
        <w:rPr>
          <w:lang w:eastAsia="ja-JP"/>
        </w:rPr>
      </w:pPr>
      <w:r>
        <w:rPr>
          <w:lang w:eastAsia="ja-JP"/>
        </w:rPr>
        <w:t>l</w:t>
      </w:r>
      <w:r w:rsidRPr="00523F13">
        <w:rPr>
          <w:lang w:eastAsia="ja-JP"/>
        </w:rPr>
        <w:t>aryngitis</w:t>
      </w:r>
    </w:p>
    <w:p w14:paraId="070B8C3B" w14:textId="77777777" w:rsidR="00AB3932" w:rsidRDefault="00AB3932" w:rsidP="00AB3932">
      <w:pPr>
        <w:pStyle w:val="ListBullet"/>
        <w:rPr>
          <w:lang w:eastAsia="ja-JP"/>
        </w:rPr>
      </w:pPr>
      <w:r w:rsidRPr="00523F13">
        <w:rPr>
          <w:lang w:eastAsia="ja-JP"/>
        </w:rPr>
        <w:lastRenderedPageBreak/>
        <w:t>upper respiratory tract infection</w:t>
      </w:r>
    </w:p>
    <w:p w14:paraId="610F719F" w14:textId="77777777" w:rsidR="00AB3932" w:rsidRDefault="00AB3932" w:rsidP="00AB3932">
      <w:pPr>
        <w:pStyle w:val="ListBullet"/>
        <w:rPr>
          <w:lang w:eastAsia="ja-JP"/>
        </w:rPr>
      </w:pPr>
      <w:r w:rsidRPr="00523F13">
        <w:rPr>
          <w:lang w:eastAsia="ja-JP"/>
        </w:rPr>
        <w:t>respiratory failure</w:t>
      </w:r>
    </w:p>
    <w:p w14:paraId="2886D7D3" w14:textId="77777777" w:rsidR="00AB3932" w:rsidRDefault="00AB3932" w:rsidP="00AB3932">
      <w:pPr>
        <w:pStyle w:val="ListBullet"/>
        <w:rPr>
          <w:lang w:eastAsia="ja-JP"/>
        </w:rPr>
      </w:pPr>
      <w:r w:rsidRPr="00523F13">
        <w:rPr>
          <w:lang w:eastAsia="ja-JP"/>
        </w:rPr>
        <w:t>cough</w:t>
      </w:r>
    </w:p>
    <w:p w14:paraId="5812852E" w14:textId="77777777" w:rsidR="00AB3932" w:rsidRDefault="00AB3932" w:rsidP="00AB3932">
      <w:pPr>
        <w:pStyle w:val="ListBullet"/>
        <w:rPr>
          <w:lang w:eastAsia="ja-JP"/>
        </w:rPr>
      </w:pPr>
      <w:r w:rsidRPr="00523F13">
        <w:rPr>
          <w:lang w:eastAsia="ja-JP"/>
        </w:rPr>
        <w:t>influenza</w:t>
      </w:r>
    </w:p>
    <w:p w14:paraId="598C1325" w14:textId="77777777" w:rsidR="00AB3932" w:rsidRDefault="00AB3932" w:rsidP="00AB3932">
      <w:pPr>
        <w:pStyle w:val="ListBullet"/>
        <w:rPr>
          <w:lang w:eastAsia="ja-JP"/>
        </w:rPr>
      </w:pPr>
      <w:r w:rsidRPr="00523F13">
        <w:rPr>
          <w:lang w:eastAsia="ja-JP"/>
        </w:rPr>
        <w:t>pneumonia</w:t>
      </w:r>
    </w:p>
    <w:p w14:paraId="6DC75FAF" w14:textId="77777777" w:rsidR="00AB3932" w:rsidRDefault="00AB3932" w:rsidP="00AB3932">
      <w:pPr>
        <w:pStyle w:val="ListBullet"/>
        <w:rPr>
          <w:lang w:eastAsia="ja-JP"/>
        </w:rPr>
      </w:pPr>
      <w:r w:rsidRPr="00523F13">
        <w:rPr>
          <w:lang w:eastAsia="ja-JP"/>
        </w:rPr>
        <w:t>viral infection</w:t>
      </w:r>
    </w:p>
    <w:p w14:paraId="14AEB656" w14:textId="33114B78" w:rsidR="00AB3932" w:rsidRDefault="00AB3932" w:rsidP="00AB3932">
      <w:pPr>
        <w:pStyle w:val="ListBullet"/>
        <w:rPr>
          <w:lang w:eastAsia="ja-JP"/>
        </w:rPr>
      </w:pPr>
      <w:r w:rsidRPr="00523F13">
        <w:rPr>
          <w:lang w:eastAsia="ja-JP"/>
        </w:rPr>
        <w:t>acute respiratory failure</w:t>
      </w:r>
    </w:p>
    <w:p w14:paraId="0D95BB2A" w14:textId="0ABB92A3" w:rsidR="00AB3932" w:rsidRDefault="00AB3932" w:rsidP="00AB3932">
      <w:pPr>
        <w:pStyle w:val="ListBullet"/>
        <w:rPr>
          <w:lang w:eastAsia="ja-JP"/>
        </w:rPr>
      </w:pPr>
      <w:r w:rsidRPr="00523F13">
        <w:rPr>
          <w:lang w:eastAsia="ja-JP"/>
        </w:rPr>
        <w:t>dyspnea</w:t>
      </w:r>
      <w:r w:rsidR="00640C58">
        <w:rPr>
          <w:lang w:eastAsia="ja-JP"/>
        </w:rPr>
        <w:t>.</w:t>
      </w:r>
    </w:p>
    <w:p w14:paraId="4439FD65" w14:textId="77777777" w:rsidR="00AB3932" w:rsidRDefault="00AB3932" w:rsidP="00AB3932">
      <w:pPr>
        <w:rPr>
          <w:lang w:eastAsia="ja-JP"/>
        </w:rPr>
      </w:pPr>
      <w:r w:rsidRPr="005C7EF2">
        <w:rPr>
          <w:lang w:eastAsia="ja-JP"/>
        </w:rPr>
        <w:t xml:space="preserve">The number and type of treatment-emergent BAEs </w:t>
      </w:r>
      <w:r>
        <w:rPr>
          <w:lang w:eastAsia="ja-JP"/>
        </w:rPr>
        <w:t>are summaris</w:t>
      </w:r>
      <w:r w:rsidRPr="005C7EF2">
        <w:rPr>
          <w:lang w:eastAsia="ja-JP"/>
        </w:rPr>
        <w:t>ed in</w:t>
      </w:r>
      <w:r w:rsidR="0030092C">
        <w:rPr>
          <w:lang w:eastAsia="ja-JP"/>
        </w:rPr>
        <w:t xml:space="preserve"> Table 12</w:t>
      </w:r>
      <w:r>
        <w:rPr>
          <w:lang w:eastAsia="ja-JP"/>
        </w:rPr>
        <w:t>, below.</w:t>
      </w:r>
    </w:p>
    <w:p w14:paraId="7FBADBF0" w14:textId="77777777" w:rsidR="00AB3932" w:rsidRDefault="00AB3932" w:rsidP="00AB3932">
      <w:pPr>
        <w:pStyle w:val="TableTitle"/>
        <w:rPr>
          <w:lang w:eastAsia="ja-JP"/>
        </w:rPr>
      </w:pPr>
      <w:bookmarkStart w:id="197" w:name="_Ref493066172"/>
      <w:bookmarkStart w:id="198" w:name="_Toc510689020"/>
      <w:r>
        <w:t>Table</w:t>
      </w:r>
      <w:bookmarkEnd w:id="197"/>
      <w:r w:rsidR="0030092C">
        <w:t xml:space="preserve"> 12</w:t>
      </w:r>
      <w:r>
        <w:t>:</w:t>
      </w:r>
      <w:r w:rsidR="00DB3203">
        <w:t xml:space="preserve"> </w:t>
      </w:r>
      <w:r w:rsidRPr="005C7EF2">
        <w:t xml:space="preserve">Analysis of </w:t>
      </w:r>
      <w:r w:rsidR="0030092C" w:rsidRPr="005C7EF2">
        <w:t xml:space="preserve">treatment-emergent </w:t>
      </w:r>
      <w:r>
        <w:t>BAEs</w:t>
      </w:r>
      <w:r w:rsidRPr="005C7EF2">
        <w:t xml:space="preserve"> (ITT</w:t>
      </w:r>
      <w:r>
        <w:t xml:space="preserve"> </w:t>
      </w:r>
      <w:r w:rsidRPr="005C7EF2">
        <w:t>Population)</w:t>
      </w:r>
      <w:bookmarkEnd w:id="198"/>
    </w:p>
    <w:p w14:paraId="3E9474A2" w14:textId="77777777" w:rsidR="00AB3932" w:rsidRDefault="00AB3932" w:rsidP="00AB3932">
      <w:pPr>
        <w:rPr>
          <w:lang w:eastAsia="ja-JP"/>
        </w:rPr>
      </w:pPr>
      <w:r>
        <w:rPr>
          <w:noProof/>
          <w:lang w:eastAsia="en-AU"/>
        </w:rPr>
        <w:drawing>
          <wp:inline distT="0" distB="0" distL="0" distR="0" wp14:anchorId="2358D8D8" wp14:editId="228395EF">
            <wp:extent cx="5400040" cy="3611245"/>
            <wp:effectExtent l="0" t="0" r="0" b="8255"/>
            <wp:docPr id="18" name="Picture 18" descr="Analysis of treatment-emergent BA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611245"/>
                    </a:xfrm>
                    <a:prstGeom prst="rect">
                      <a:avLst/>
                    </a:prstGeom>
                  </pic:spPr>
                </pic:pic>
              </a:graphicData>
            </a:graphic>
          </wp:inline>
        </w:drawing>
      </w:r>
    </w:p>
    <w:p w14:paraId="604B3ACC" w14:textId="77777777" w:rsidR="00AB3932" w:rsidRDefault="00AB3932" w:rsidP="00AB3932">
      <w:pPr>
        <w:rPr>
          <w:lang w:eastAsia="ja-JP"/>
        </w:rPr>
      </w:pPr>
      <w:r w:rsidRPr="009F7D58">
        <w:rPr>
          <w:lang w:eastAsia="ja-JP"/>
        </w:rPr>
        <w:t xml:space="preserve">BAEs </w:t>
      </w:r>
      <w:r>
        <w:rPr>
          <w:lang w:eastAsia="ja-JP"/>
        </w:rPr>
        <w:t>were reported in m</w:t>
      </w:r>
      <w:r w:rsidRPr="005C7EF2">
        <w:rPr>
          <w:lang w:eastAsia="ja-JP"/>
        </w:rPr>
        <w:t>ore patients in the</w:t>
      </w:r>
      <w:r>
        <w:rPr>
          <w:lang w:eastAsia="ja-JP"/>
        </w:rPr>
        <w:t xml:space="preserve"> </w:t>
      </w:r>
      <w:r w:rsidRPr="005C7EF2">
        <w:rPr>
          <w:lang w:eastAsia="ja-JP"/>
        </w:rPr>
        <w:t xml:space="preserve">placebo group </w:t>
      </w:r>
      <w:r>
        <w:rPr>
          <w:lang w:eastAsia="ja-JP"/>
        </w:rPr>
        <w:t>(n</w:t>
      </w:r>
      <w:r w:rsidR="0061481A">
        <w:rPr>
          <w:lang w:eastAsia="ja-JP"/>
        </w:rPr>
        <w:t xml:space="preserve"> = </w:t>
      </w:r>
      <w:r>
        <w:rPr>
          <w:lang w:eastAsia="ja-JP"/>
        </w:rPr>
        <w:t xml:space="preserve">17 </w:t>
      </w:r>
      <w:r w:rsidR="00DB3203">
        <w:rPr>
          <w:lang w:eastAsia="ja-JP"/>
        </w:rPr>
        <w:t>(</w:t>
      </w:r>
      <w:r>
        <w:rPr>
          <w:lang w:eastAsia="ja-JP"/>
        </w:rPr>
        <w:t>51.5%</w:t>
      </w:r>
      <w:r w:rsidR="00DB3203">
        <w:rPr>
          <w:lang w:eastAsia="ja-JP"/>
        </w:rPr>
        <w:t>)</w:t>
      </w:r>
      <w:r>
        <w:rPr>
          <w:lang w:eastAsia="ja-JP"/>
        </w:rPr>
        <w:t xml:space="preserve">) </w:t>
      </w:r>
      <w:r w:rsidRPr="005C7EF2">
        <w:rPr>
          <w:lang w:eastAsia="ja-JP"/>
        </w:rPr>
        <w:t xml:space="preserve">than in the idebenone group </w:t>
      </w:r>
      <w:r>
        <w:rPr>
          <w:lang w:eastAsia="ja-JP"/>
        </w:rPr>
        <w:t>(n</w:t>
      </w:r>
      <w:r w:rsidR="0061481A">
        <w:rPr>
          <w:lang w:eastAsia="ja-JP"/>
        </w:rPr>
        <w:t xml:space="preserve"> = </w:t>
      </w:r>
      <w:r>
        <w:rPr>
          <w:lang w:eastAsia="ja-JP"/>
        </w:rPr>
        <w:t xml:space="preserve">6 </w:t>
      </w:r>
      <w:r w:rsidR="00DB3203">
        <w:rPr>
          <w:lang w:eastAsia="ja-JP"/>
        </w:rPr>
        <w:t>(</w:t>
      </w:r>
      <w:r>
        <w:rPr>
          <w:lang w:eastAsia="ja-JP"/>
        </w:rPr>
        <w:t>19.4%</w:t>
      </w:r>
      <w:r w:rsidR="00DB3203">
        <w:rPr>
          <w:lang w:eastAsia="ja-JP"/>
        </w:rPr>
        <w:t>)</w:t>
      </w:r>
      <w:r>
        <w:rPr>
          <w:lang w:eastAsia="ja-JP"/>
        </w:rPr>
        <w:t>)</w:t>
      </w:r>
      <w:r w:rsidRPr="005C7EF2">
        <w:rPr>
          <w:lang w:eastAsia="ja-JP"/>
        </w:rPr>
        <w:t>.</w:t>
      </w:r>
      <w:r w:rsidR="00DB3203">
        <w:rPr>
          <w:lang w:eastAsia="ja-JP"/>
        </w:rPr>
        <w:t xml:space="preserve"> </w:t>
      </w:r>
      <w:r>
        <w:rPr>
          <w:lang w:eastAsia="ja-JP"/>
        </w:rPr>
        <w:t xml:space="preserve">In addition, the </w:t>
      </w:r>
      <w:r w:rsidRPr="009F7D58">
        <w:rPr>
          <w:lang w:eastAsia="ja-JP"/>
        </w:rPr>
        <w:t xml:space="preserve">overall duration of BAEs was </w:t>
      </w:r>
      <w:r>
        <w:rPr>
          <w:lang w:eastAsia="ja-JP"/>
        </w:rPr>
        <w:t>longer in the placebo group (222 days</w:t>
      </w:r>
      <w:r w:rsidRPr="009F7D58">
        <w:rPr>
          <w:lang w:eastAsia="ja-JP"/>
        </w:rPr>
        <w:t>)</w:t>
      </w:r>
      <w:r>
        <w:rPr>
          <w:lang w:eastAsia="ja-JP"/>
        </w:rPr>
        <w:t xml:space="preserve"> than in the </w:t>
      </w:r>
      <w:r w:rsidRPr="009F7D58">
        <w:rPr>
          <w:lang w:eastAsia="ja-JP"/>
        </w:rPr>
        <w:t xml:space="preserve">idebenone </w:t>
      </w:r>
      <w:r>
        <w:rPr>
          <w:lang w:eastAsia="ja-JP"/>
        </w:rPr>
        <w:t>group</w:t>
      </w:r>
      <w:r w:rsidRPr="009F7D58">
        <w:rPr>
          <w:lang w:eastAsia="ja-JP"/>
        </w:rPr>
        <w:t xml:space="preserve"> </w:t>
      </w:r>
      <w:r>
        <w:rPr>
          <w:lang w:eastAsia="ja-JP"/>
        </w:rPr>
        <w:t>(</w:t>
      </w:r>
      <w:r w:rsidRPr="009F7D58">
        <w:rPr>
          <w:lang w:eastAsia="ja-JP"/>
        </w:rPr>
        <w:t>82 days)</w:t>
      </w:r>
      <w:r>
        <w:rPr>
          <w:lang w:eastAsia="ja-JP"/>
        </w:rPr>
        <w:t>, and there was increased use and duration of systemic antibiotics in the placebo group compared with the idebenone group (</w:t>
      </w:r>
      <w:r w:rsidRPr="009F7D58">
        <w:rPr>
          <w:lang w:eastAsia="ja-JP"/>
        </w:rPr>
        <w:t>13</w:t>
      </w:r>
      <w:r>
        <w:rPr>
          <w:lang w:eastAsia="ja-JP"/>
        </w:rPr>
        <w:t xml:space="preserve"> patients </w:t>
      </w:r>
      <w:r w:rsidR="00DB3203">
        <w:rPr>
          <w:lang w:eastAsia="ja-JP"/>
        </w:rPr>
        <w:t>(</w:t>
      </w:r>
      <w:r w:rsidRPr="009F7D58">
        <w:rPr>
          <w:lang w:eastAsia="ja-JP"/>
        </w:rPr>
        <w:t>39.4%</w:t>
      </w:r>
      <w:r w:rsidR="00DB3203">
        <w:rPr>
          <w:lang w:eastAsia="ja-JP"/>
        </w:rPr>
        <w:t>)</w:t>
      </w:r>
      <w:r>
        <w:rPr>
          <w:lang w:eastAsia="ja-JP"/>
        </w:rPr>
        <w:t xml:space="preserve"> </w:t>
      </w:r>
      <w:r w:rsidR="00ED6165">
        <w:rPr>
          <w:lang w:eastAsia="ja-JP"/>
        </w:rPr>
        <w:t>and</w:t>
      </w:r>
      <w:r w:rsidRPr="009F7D58">
        <w:rPr>
          <w:lang w:eastAsia="ja-JP"/>
        </w:rPr>
        <w:t xml:space="preserve"> 17 periods </w:t>
      </w:r>
      <w:r w:rsidR="00DB3203">
        <w:rPr>
          <w:lang w:eastAsia="ja-JP"/>
        </w:rPr>
        <w:t>(</w:t>
      </w:r>
      <w:r>
        <w:rPr>
          <w:lang w:eastAsia="ja-JP"/>
        </w:rPr>
        <w:t>105 days</w:t>
      </w:r>
      <w:r w:rsidR="00DB3203">
        <w:rPr>
          <w:lang w:eastAsia="ja-JP"/>
        </w:rPr>
        <w:t>)</w:t>
      </w:r>
      <w:r>
        <w:rPr>
          <w:lang w:eastAsia="ja-JP"/>
        </w:rPr>
        <w:t xml:space="preserve"> </w:t>
      </w:r>
      <w:r w:rsidRPr="009F7D58">
        <w:rPr>
          <w:lang w:eastAsia="ja-JP"/>
        </w:rPr>
        <w:t xml:space="preserve">of antibiotic use </w:t>
      </w:r>
      <w:r w:rsidR="0061481A" w:rsidRPr="0061481A">
        <w:rPr>
          <w:lang w:eastAsia="ja-JP"/>
        </w:rPr>
        <w:t>versus</w:t>
      </w:r>
      <w:r w:rsidRPr="009F7D58">
        <w:rPr>
          <w:lang w:eastAsia="ja-JP"/>
        </w:rPr>
        <w:t xml:space="preserve"> </w:t>
      </w:r>
      <w:r>
        <w:rPr>
          <w:lang w:eastAsia="ja-JP"/>
        </w:rPr>
        <w:t>7</w:t>
      </w:r>
      <w:r w:rsidRPr="009F7D58">
        <w:rPr>
          <w:lang w:eastAsia="ja-JP"/>
        </w:rPr>
        <w:t xml:space="preserve"> patients</w:t>
      </w:r>
      <w:r>
        <w:rPr>
          <w:lang w:eastAsia="ja-JP"/>
        </w:rPr>
        <w:t xml:space="preserve"> </w:t>
      </w:r>
      <w:r w:rsidR="00DB3203">
        <w:rPr>
          <w:lang w:eastAsia="ja-JP"/>
        </w:rPr>
        <w:t>(</w:t>
      </w:r>
      <w:r>
        <w:rPr>
          <w:lang w:eastAsia="ja-JP"/>
        </w:rPr>
        <w:t>22.6%</w:t>
      </w:r>
      <w:r w:rsidR="00DB3203">
        <w:rPr>
          <w:lang w:eastAsia="ja-JP"/>
        </w:rPr>
        <w:t>)</w:t>
      </w:r>
      <w:r w:rsidRPr="009F7D58">
        <w:rPr>
          <w:lang w:eastAsia="ja-JP"/>
        </w:rPr>
        <w:t xml:space="preserve"> </w:t>
      </w:r>
      <w:r w:rsidR="00ED6165">
        <w:rPr>
          <w:lang w:eastAsia="ja-JP"/>
        </w:rPr>
        <w:t>and</w:t>
      </w:r>
      <w:r>
        <w:rPr>
          <w:lang w:eastAsia="ja-JP"/>
        </w:rPr>
        <w:t xml:space="preserve"> 8</w:t>
      </w:r>
      <w:r w:rsidRPr="009F7D58">
        <w:rPr>
          <w:lang w:eastAsia="ja-JP"/>
        </w:rPr>
        <w:t xml:space="preserve"> periods</w:t>
      </w:r>
      <w:r>
        <w:rPr>
          <w:lang w:eastAsia="ja-JP"/>
        </w:rPr>
        <w:t xml:space="preserve"> </w:t>
      </w:r>
      <w:r w:rsidR="00DB3203">
        <w:rPr>
          <w:lang w:eastAsia="ja-JP"/>
        </w:rPr>
        <w:t>(</w:t>
      </w:r>
      <w:r>
        <w:rPr>
          <w:lang w:eastAsia="ja-JP"/>
        </w:rPr>
        <w:t>65 days</w:t>
      </w:r>
      <w:r w:rsidR="00DB3203">
        <w:rPr>
          <w:lang w:eastAsia="ja-JP"/>
        </w:rPr>
        <w:t>)</w:t>
      </w:r>
      <w:r>
        <w:rPr>
          <w:lang w:eastAsia="ja-JP"/>
        </w:rPr>
        <w:t>).</w:t>
      </w:r>
    </w:p>
    <w:p w14:paraId="411B9D0B" w14:textId="77777777" w:rsidR="00F877B0" w:rsidRPr="00545B14" w:rsidRDefault="00F877B0" w:rsidP="00F877B0">
      <w:pPr>
        <w:pStyle w:val="Heading4"/>
      </w:pPr>
      <w:bookmarkStart w:id="199" w:name="_Toc272414686"/>
      <w:bookmarkStart w:id="200" w:name="_Ref273005527"/>
      <w:bookmarkStart w:id="201" w:name="_Toc290888550"/>
      <w:bookmarkStart w:id="202" w:name="_Toc416353765"/>
      <w:bookmarkStart w:id="203" w:name="_Toc421005308"/>
      <w:bookmarkStart w:id="204" w:name="_Toc432079179"/>
      <w:bookmarkStart w:id="205" w:name="_Toc432080752"/>
      <w:bookmarkStart w:id="206" w:name="_Toc510688948"/>
      <w:r w:rsidRPr="00545B14">
        <w:t>Other safety issues</w:t>
      </w:r>
      <w:bookmarkEnd w:id="199"/>
      <w:bookmarkEnd w:id="200"/>
      <w:bookmarkEnd w:id="201"/>
      <w:bookmarkEnd w:id="202"/>
      <w:bookmarkEnd w:id="203"/>
      <w:bookmarkEnd w:id="204"/>
      <w:bookmarkEnd w:id="205"/>
      <w:bookmarkEnd w:id="206"/>
    </w:p>
    <w:p w14:paraId="5B648F47" w14:textId="77777777" w:rsidR="00F877B0" w:rsidRPr="00545B14" w:rsidRDefault="00F877B0" w:rsidP="00F877B0">
      <w:pPr>
        <w:pStyle w:val="Heading5"/>
      </w:pPr>
      <w:bookmarkStart w:id="207" w:name="_Toc241374322"/>
      <w:bookmarkStart w:id="208" w:name="_Ref272331212"/>
      <w:bookmarkStart w:id="209" w:name="_Toc272414687"/>
      <w:bookmarkStart w:id="210" w:name="_Toc290888551"/>
      <w:bookmarkStart w:id="211" w:name="_Toc416353766"/>
      <w:bookmarkStart w:id="212" w:name="_Toc421005309"/>
      <w:bookmarkStart w:id="213" w:name="_Toc432079180"/>
      <w:bookmarkStart w:id="214" w:name="_Toc432080753"/>
      <w:r w:rsidRPr="00545B14">
        <w:t>Safety in special populations</w:t>
      </w:r>
      <w:bookmarkEnd w:id="207"/>
      <w:bookmarkEnd w:id="208"/>
      <w:bookmarkEnd w:id="209"/>
      <w:bookmarkEnd w:id="210"/>
      <w:bookmarkEnd w:id="211"/>
      <w:bookmarkEnd w:id="212"/>
      <w:bookmarkEnd w:id="213"/>
      <w:bookmarkEnd w:id="214"/>
    </w:p>
    <w:p w14:paraId="3BD9804B" w14:textId="77777777" w:rsidR="00F877B0" w:rsidRDefault="00F877B0" w:rsidP="00F877B0">
      <w:pPr>
        <w:pStyle w:val="Heading6"/>
      </w:pPr>
      <w:r w:rsidRPr="00B5757D">
        <w:t>Gender</w:t>
      </w:r>
    </w:p>
    <w:p w14:paraId="221B8D7F" w14:textId="375D86C0" w:rsidR="00F877B0" w:rsidRPr="00F877B0" w:rsidRDefault="00F613BA" w:rsidP="00F877B0">
      <w:pPr>
        <w:pStyle w:val="Heading7"/>
        <w:rPr>
          <w:sz w:val="22"/>
        </w:rPr>
      </w:pPr>
      <w:r>
        <w:rPr>
          <w:sz w:val="22"/>
        </w:rPr>
        <w:t xml:space="preserve">The </w:t>
      </w:r>
      <w:r w:rsidR="00F877B0" w:rsidRPr="00F877B0">
        <w:rPr>
          <w:sz w:val="22"/>
        </w:rPr>
        <w:t>DELOS</w:t>
      </w:r>
      <w:r w:rsidR="00F877B0" w:rsidRPr="00F877B0">
        <w:rPr>
          <w:rFonts w:eastAsia="Cambria"/>
          <w:i/>
          <w:sz w:val="22"/>
          <w:szCs w:val="22"/>
        </w:rPr>
        <w:t xml:space="preserve"> / </w:t>
      </w:r>
      <w:r w:rsidR="00F877B0" w:rsidRPr="00F877B0">
        <w:rPr>
          <w:sz w:val="22"/>
        </w:rPr>
        <w:t>DELPHI / DELPHI-E</w:t>
      </w:r>
      <w:r>
        <w:rPr>
          <w:sz w:val="22"/>
        </w:rPr>
        <w:t xml:space="preserve"> studies</w:t>
      </w:r>
    </w:p>
    <w:p w14:paraId="16100938" w14:textId="23C091C4" w:rsidR="00F877B0" w:rsidRPr="00B5757D" w:rsidRDefault="00F877B0" w:rsidP="00F877B0">
      <w:pPr>
        <w:rPr>
          <w:bCs/>
        </w:rPr>
      </w:pPr>
      <w:r w:rsidRPr="00B5757D">
        <w:t xml:space="preserve">DMD </w:t>
      </w:r>
      <w:r w:rsidRPr="00B5757D">
        <w:rPr>
          <w:bCs/>
        </w:rPr>
        <w:t>primarily affects young males</w:t>
      </w:r>
      <w:r>
        <w:rPr>
          <w:bCs/>
        </w:rPr>
        <w:t>;</w:t>
      </w:r>
      <w:r w:rsidRPr="00B5757D">
        <w:rPr>
          <w:bCs/>
        </w:rPr>
        <w:t xml:space="preserve"> </w:t>
      </w:r>
      <w:r>
        <w:rPr>
          <w:bCs/>
        </w:rPr>
        <w:t>n</w:t>
      </w:r>
      <w:r w:rsidRPr="00B5757D">
        <w:rPr>
          <w:bCs/>
        </w:rPr>
        <w:t>o females were enrolled</w:t>
      </w:r>
      <w:r w:rsidR="000D51AD">
        <w:rPr>
          <w:bCs/>
        </w:rPr>
        <w:t xml:space="preserve"> in either the DELOS or DELPHI </w:t>
      </w:r>
      <w:r w:rsidR="00F613BA">
        <w:rPr>
          <w:bCs/>
        </w:rPr>
        <w:t>s</w:t>
      </w:r>
      <w:r w:rsidRPr="00B5757D">
        <w:rPr>
          <w:bCs/>
        </w:rPr>
        <w:t>tudies.</w:t>
      </w:r>
    </w:p>
    <w:p w14:paraId="003E7926" w14:textId="77777777" w:rsidR="00F877B0" w:rsidRPr="00F877B0" w:rsidRDefault="00F877B0" w:rsidP="00F877B0">
      <w:pPr>
        <w:pStyle w:val="Heading7"/>
        <w:rPr>
          <w:sz w:val="22"/>
        </w:rPr>
      </w:pPr>
      <w:r w:rsidRPr="00F877B0">
        <w:rPr>
          <w:sz w:val="22"/>
        </w:rPr>
        <w:lastRenderedPageBreak/>
        <w:t>Integrated safety analyses</w:t>
      </w:r>
    </w:p>
    <w:p w14:paraId="77BA4513" w14:textId="77777777" w:rsidR="00F877B0" w:rsidRDefault="00F877B0" w:rsidP="00F877B0">
      <w:pPr>
        <w:rPr>
          <w:bCs/>
          <w:lang w:eastAsia="ja-JP"/>
        </w:rPr>
      </w:pPr>
      <w:r w:rsidRPr="00422C55">
        <w:rPr>
          <w:bCs/>
          <w:lang w:eastAsia="ja-JP"/>
        </w:rPr>
        <w:t xml:space="preserve">The incidence of AEs </w:t>
      </w:r>
      <w:r>
        <w:rPr>
          <w:bCs/>
          <w:lang w:eastAsia="ja-JP"/>
        </w:rPr>
        <w:t xml:space="preserve">and SAEs </w:t>
      </w:r>
      <w:r w:rsidRPr="00422C55">
        <w:rPr>
          <w:bCs/>
          <w:lang w:eastAsia="ja-JP"/>
        </w:rPr>
        <w:t xml:space="preserve">was generally similar for </w:t>
      </w:r>
      <w:r>
        <w:rPr>
          <w:bCs/>
          <w:lang w:eastAsia="ja-JP"/>
        </w:rPr>
        <w:t>male and female patients in LHON and FRDA.</w:t>
      </w:r>
      <w:r w:rsidR="00DB3203">
        <w:rPr>
          <w:bCs/>
          <w:lang w:eastAsia="ja-JP"/>
        </w:rPr>
        <w:t xml:space="preserve"> </w:t>
      </w:r>
      <w:r>
        <w:rPr>
          <w:bCs/>
          <w:lang w:eastAsia="ja-JP"/>
        </w:rPr>
        <w:t>T</w:t>
      </w:r>
      <w:r w:rsidRPr="00422C55">
        <w:rPr>
          <w:bCs/>
          <w:lang w:eastAsia="ja-JP"/>
        </w:rPr>
        <w:t>reatment-related AEs</w:t>
      </w:r>
      <w:r>
        <w:rPr>
          <w:bCs/>
          <w:lang w:eastAsia="ja-JP"/>
        </w:rPr>
        <w:t xml:space="preserve"> appeared to be more common in female patients, but this was seen for both idebenone (male, 36.1% </w:t>
      </w:r>
      <w:r w:rsidR="0061481A" w:rsidRPr="0061481A">
        <w:rPr>
          <w:bCs/>
          <w:lang w:eastAsia="ja-JP"/>
        </w:rPr>
        <w:t>versus</w:t>
      </w:r>
      <w:r>
        <w:rPr>
          <w:bCs/>
          <w:lang w:eastAsia="ja-JP"/>
        </w:rPr>
        <w:t xml:space="preserve"> female, 61.8%) and placebo patients (male, 29.4% </w:t>
      </w:r>
      <w:r w:rsidR="0061481A" w:rsidRPr="0061481A">
        <w:rPr>
          <w:bCs/>
          <w:lang w:eastAsia="ja-JP"/>
        </w:rPr>
        <w:t>versus</w:t>
      </w:r>
      <w:r>
        <w:rPr>
          <w:bCs/>
          <w:lang w:eastAsia="ja-JP"/>
        </w:rPr>
        <w:t xml:space="preserve"> female, 59.6%).</w:t>
      </w:r>
    </w:p>
    <w:p w14:paraId="3FF8D26E" w14:textId="77777777" w:rsidR="00F877B0" w:rsidRPr="00B5757D" w:rsidRDefault="00F877B0" w:rsidP="00F877B0">
      <w:pPr>
        <w:pStyle w:val="Heading6"/>
      </w:pPr>
      <w:r w:rsidRPr="00B5757D">
        <w:t>Age</w:t>
      </w:r>
    </w:p>
    <w:p w14:paraId="47AD96CF" w14:textId="35F743D2" w:rsidR="00F877B0" w:rsidRPr="00F877B0" w:rsidRDefault="00FE3B3E" w:rsidP="00F877B0">
      <w:pPr>
        <w:pStyle w:val="Heading7"/>
        <w:rPr>
          <w:sz w:val="22"/>
        </w:rPr>
      </w:pPr>
      <w:r>
        <w:rPr>
          <w:sz w:val="22"/>
        </w:rPr>
        <w:t xml:space="preserve">The </w:t>
      </w:r>
      <w:r w:rsidR="00F877B0" w:rsidRPr="00F877B0">
        <w:rPr>
          <w:sz w:val="22"/>
        </w:rPr>
        <w:t>DELOS / DELPHI / DELPHI-E</w:t>
      </w:r>
      <w:r>
        <w:rPr>
          <w:sz w:val="22"/>
        </w:rPr>
        <w:t xml:space="preserve"> studies</w:t>
      </w:r>
    </w:p>
    <w:p w14:paraId="697F5CA9" w14:textId="77777777" w:rsidR="00F877B0" w:rsidRPr="00B5757D" w:rsidRDefault="00F877B0" w:rsidP="00F877B0">
      <w:pPr>
        <w:rPr>
          <w:bCs/>
          <w:lang w:eastAsia="ja-JP"/>
        </w:rPr>
      </w:pPr>
      <w:r>
        <w:rPr>
          <w:bCs/>
          <w:lang w:eastAsia="ja-JP"/>
        </w:rPr>
        <w:t xml:space="preserve">Patients in </w:t>
      </w:r>
      <w:r w:rsidRPr="003A4F65">
        <w:rPr>
          <w:bCs/>
          <w:lang w:eastAsia="ja-JP"/>
        </w:rPr>
        <w:t xml:space="preserve">the DMD studies </w:t>
      </w:r>
      <w:r>
        <w:rPr>
          <w:bCs/>
          <w:lang w:eastAsia="ja-JP"/>
        </w:rPr>
        <w:t xml:space="preserve">had a mean age of 9.4 to 19.0 years; </w:t>
      </w:r>
      <w:r w:rsidRPr="00B5757D">
        <w:rPr>
          <w:bCs/>
          <w:lang w:eastAsia="ja-JP"/>
        </w:rPr>
        <w:t>AEs were not stratified by age in the</w:t>
      </w:r>
      <w:r>
        <w:rPr>
          <w:bCs/>
          <w:lang w:eastAsia="ja-JP"/>
        </w:rPr>
        <w:t>se</w:t>
      </w:r>
      <w:r w:rsidRPr="00B5757D">
        <w:rPr>
          <w:bCs/>
          <w:lang w:eastAsia="ja-JP"/>
        </w:rPr>
        <w:t xml:space="preserve"> studies</w:t>
      </w:r>
      <w:r>
        <w:rPr>
          <w:bCs/>
          <w:lang w:eastAsia="ja-JP"/>
        </w:rPr>
        <w:t>.</w:t>
      </w:r>
    </w:p>
    <w:p w14:paraId="5612BAF3" w14:textId="77777777" w:rsidR="00F877B0" w:rsidRPr="00F877B0" w:rsidRDefault="00F877B0" w:rsidP="00F877B0">
      <w:pPr>
        <w:pStyle w:val="Heading7"/>
        <w:rPr>
          <w:sz w:val="22"/>
        </w:rPr>
      </w:pPr>
      <w:r w:rsidRPr="00F877B0">
        <w:rPr>
          <w:sz w:val="22"/>
        </w:rPr>
        <w:t>Integrated safety analyses</w:t>
      </w:r>
    </w:p>
    <w:p w14:paraId="279AEA46" w14:textId="77777777" w:rsidR="00F877B0" w:rsidRDefault="00F877B0" w:rsidP="00F877B0">
      <w:r w:rsidRPr="00422C55">
        <w:t xml:space="preserve">The incidence of </w:t>
      </w:r>
      <w:r>
        <w:t xml:space="preserve">AEs, and </w:t>
      </w:r>
      <w:r w:rsidRPr="00422C55">
        <w:t xml:space="preserve">treatment-related AEs </w:t>
      </w:r>
      <w:r>
        <w:t>was generally similar for</w:t>
      </w:r>
      <w:r w:rsidRPr="00422C55">
        <w:t xml:space="preserve"> subjects </w:t>
      </w:r>
      <w:r>
        <w:t>aged</w:t>
      </w:r>
      <w:r w:rsidRPr="00422C55">
        <w:t xml:space="preserve"> </w:t>
      </w:r>
      <w:r w:rsidR="000D51AD">
        <w:t>&lt; </w:t>
      </w:r>
      <w:r w:rsidRPr="000D51AD">
        <w:t xml:space="preserve">12, </w:t>
      </w:r>
      <w:r w:rsidR="000D51AD">
        <w:t xml:space="preserve">≥ </w:t>
      </w:r>
      <w:r w:rsidRPr="000D51AD">
        <w:t>12</w:t>
      </w:r>
      <w:r w:rsidRPr="00422C55">
        <w:t xml:space="preserve"> to </w:t>
      </w:r>
      <w:r w:rsidR="003173BB">
        <w:t xml:space="preserve">&lt; </w:t>
      </w:r>
      <w:r w:rsidRPr="00422C55">
        <w:t xml:space="preserve">18 and </w:t>
      </w:r>
      <w:r w:rsidR="000D51AD">
        <w:t xml:space="preserve">≥ </w:t>
      </w:r>
      <w:r w:rsidRPr="00422C55">
        <w:t>18 years.</w:t>
      </w:r>
      <w:r w:rsidR="00DB3203">
        <w:t xml:space="preserve"> </w:t>
      </w:r>
      <w:r>
        <w:t xml:space="preserve">The number of </w:t>
      </w:r>
      <w:r w:rsidRPr="00422C55">
        <w:t>SAEs or treatment-related SAEs</w:t>
      </w:r>
      <w:r>
        <w:t xml:space="preserve"> was small, which precludes meaningful comparison.</w:t>
      </w:r>
    </w:p>
    <w:p w14:paraId="7D1A4BC7" w14:textId="6BF53210" w:rsidR="00F877B0" w:rsidRDefault="00F877B0" w:rsidP="00F877B0">
      <w:pPr>
        <w:pStyle w:val="Heading6"/>
      </w:pPr>
      <w:r>
        <w:t xml:space="preserve">Renal </w:t>
      </w:r>
      <w:r w:rsidR="00AC6A7F">
        <w:t>i</w:t>
      </w:r>
      <w:r>
        <w:t>mpairment</w:t>
      </w:r>
    </w:p>
    <w:p w14:paraId="74DA1504" w14:textId="77777777" w:rsidR="00F877B0" w:rsidRPr="00696C4A" w:rsidRDefault="00F877B0" w:rsidP="00F877B0">
      <w:pPr>
        <w:rPr>
          <w:rFonts w:asciiTheme="minorHAnsi" w:eastAsiaTheme="minorHAnsi" w:hAnsiTheme="minorHAnsi"/>
          <w:color w:val="000000"/>
        </w:rPr>
      </w:pPr>
      <w:r w:rsidRPr="00696C4A">
        <w:rPr>
          <w:rFonts w:asciiTheme="minorHAnsi" w:eastAsiaTheme="minorHAnsi" w:hAnsiTheme="minorHAnsi"/>
          <w:color w:val="000000"/>
        </w:rPr>
        <w:t>There was a single PK study in patients with moderate or severe renal</w:t>
      </w:r>
      <w:r w:rsidR="000D51AD">
        <w:rPr>
          <w:rFonts w:asciiTheme="minorHAnsi" w:eastAsiaTheme="minorHAnsi" w:hAnsiTheme="minorHAnsi"/>
          <w:color w:val="000000"/>
        </w:rPr>
        <w:t xml:space="preserve"> impairment</w:t>
      </w:r>
      <w:r>
        <w:rPr>
          <w:rFonts w:asciiTheme="minorHAnsi" w:eastAsiaTheme="minorHAnsi" w:hAnsiTheme="minorHAnsi"/>
          <w:color w:val="000000"/>
        </w:rPr>
        <w:t xml:space="preserve"> using a 120 mg dose of idebenone.</w:t>
      </w:r>
      <w:r w:rsidR="00DB3203">
        <w:rPr>
          <w:rFonts w:asciiTheme="minorHAnsi" w:eastAsiaTheme="minorHAnsi" w:hAnsiTheme="minorHAnsi"/>
          <w:color w:val="000000"/>
        </w:rPr>
        <w:t xml:space="preserve"> </w:t>
      </w:r>
      <w:r>
        <w:rPr>
          <w:rFonts w:asciiTheme="minorHAnsi" w:eastAsiaTheme="minorHAnsi" w:hAnsiTheme="minorHAnsi"/>
          <w:color w:val="000000"/>
        </w:rPr>
        <w:t>Two AEs were reported: one SAE (cerebral bleeding) and one non-serious (headache).</w:t>
      </w:r>
      <w:r w:rsidR="00DB3203">
        <w:rPr>
          <w:rFonts w:asciiTheme="minorHAnsi" w:eastAsiaTheme="minorHAnsi" w:hAnsiTheme="minorHAnsi"/>
          <w:color w:val="000000"/>
        </w:rPr>
        <w:t xml:space="preserve"> </w:t>
      </w:r>
      <w:r w:rsidRPr="009D6F91">
        <w:rPr>
          <w:rFonts w:asciiTheme="minorHAnsi" w:eastAsiaTheme="minorHAnsi" w:hAnsiTheme="minorHAnsi"/>
          <w:color w:val="000000"/>
        </w:rPr>
        <w:t>The investigator did not consider either AE was related to study drug.</w:t>
      </w:r>
    </w:p>
    <w:p w14:paraId="6D6520E1" w14:textId="4692EFE4" w:rsidR="00F877B0" w:rsidRDefault="00F877B0" w:rsidP="00F877B0">
      <w:pPr>
        <w:pStyle w:val="Heading6"/>
      </w:pPr>
      <w:r>
        <w:t xml:space="preserve">Hepatic </w:t>
      </w:r>
      <w:r w:rsidR="00AC6A7F">
        <w:t>i</w:t>
      </w:r>
      <w:r>
        <w:t>mpairment</w:t>
      </w:r>
    </w:p>
    <w:p w14:paraId="5BAB3D44" w14:textId="77777777" w:rsidR="00F877B0" w:rsidRDefault="00F877B0" w:rsidP="00F877B0">
      <w:pPr>
        <w:rPr>
          <w:highlight w:val="yellow"/>
          <w:lang w:eastAsia="ja-JP"/>
        </w:rPr>
      </w:pPr>
      <w:r w:rsidRPr="00A54EF7">
        <w:rPr>
          <w:lang w:eastAsia="ja-JP"/>
        </w:rPr>
        <w:t xml:space="preserve">There was a single PK study in patients with moderate </w:t>
      </w:r>
      <w:r>
        <w:rPr>
          <w:lang w:eastAsia="ja-JP"/>
        </w:rPr>
        <w:t>hepatic</w:t>
      </w:r>
      <w:r w:rsidRPr="00A54EF7">
        <w:rPr>
          <w:lang w:eastAsia="ja-JP"/>
        </w:rPr>
        <w:t xml:space="preserve"> impairment </w:t>
      </w:r>
      <w:r w:rsidRPr="00A54EF7">
        <w:rPr>
          <w:bCs/>
          <w:lang w:eastAsia="ja-JP"/>
        </w:rPr>
        <w:t xml:space="preserve">(Child-Pugh-Classification A or B) </w:t>
      </w:r>
      <w:r w:rsidRPr="00A54EF7">
        <w:rPr>
          <w:lang w:eastAsia="ja-JP"/>
        </w:rPr>
        <w:t>using a 120 mg dose of idebenone.</w:t>
      </w:r>
      <w:r w:rsidR="00DB3203">
        <w:rPr>
          <w:lang w:eastAsia="ja-JP"/>
        </w:rPr>
        <w:t xml:space="preserve"> </w:t>
      </w:r>
      <w:r w:rsidRPr="00A54EF7">
        <w:rPr>
          <w:lang w:eastAsia="ja-JP"/>
        </w:rPr>
        <w:t xml:space="preserve">Only a single SAE was reported (acute episode of pancreatitis </w:t>
      </w:r>
      <w:r w:rsidR="00DB3203">
        <w:rPr>
          <w:lang w:eastAsia="ja-JP"/>
        </w:rPr>
        <w:t>(</w:t>
      </w:r>
      <w:r w:rsidRPr="00A54EF7">
        <w:rPr>
          <w:lang w:eastAsia="ja-JP"/>
        </w:rPr>
        <w:t>pseudocyst</w:t>
      </w:r>
      <w:r w:rsidR="00DB3203">
        <w:rPr>
          <w:lang w:eastAsia="ja-JP"/>
        </w:rPr>
        <w:t>)</w:t>
      </w:r>
      <w:r w:rsidRPr="00A54EF7">
        <w:rPr>
          <w:lang w:eastAsia="ja-JP"/>
        </w:rPr>
        <w:t>) 7 days following idebenone adm</w:t>
      </w:r>
      <w:r>
        <w:rPr>
          <w:lang w:eastAsia="ja-JP"/>
        </w:rPr>
        <w:t>inistration</w:t>
      </w:r>
      <w:r w:rsidRPr="00A54EF7">
        <w:rPr>
          <w:lang w:eastAsia="ja-JP"/>
        </w:rPr>
        <w:t>.</w:t>
      </w:r>
      <w:r w:rsidR="00DB3203">
        <w:rPr>
          <w:lang w:eastAsia="ja-JP"/>
        </w:rPr>
        <w:t xml:space="preserve"> </w:t>
      </w:r>
      <w:r w:rsidRPr="00A54EF7">
        <w:rPr>
          <w:lang w:eastAsia="ja-JP"/>
        </w:rPr>
        <w:t>Despite surgery the patient died.</w:t>
      </w:r>
      <w:r w:rsidR="00DB3203">
        <w:rPr>
          <w:lang w:eastAsia="ja-JP"/>
        </w:rPr>
        <w:t xml:space="preserve"> </w:t>
      </w:r>
      <w:r w:rsidRPr="00A54EF7">
        <w:rPr>
          <w:lang w:eastAsia="ja-JP"/>
        </w:rPr>
        <w:t xml:space="preserve">The investigator did not consider </w:t>
      </w:r>
      <w:r>
        <w:rPr>
          <w:lang w:eastAsia="ja-JP"/>
        </w:rPr>
        <w:t>the</w:t>
      </w:r>
      <w:r w:rsidRPr="00A54EF7">
        <w:rPr>
          <w:lang w:eastAsia="ja-JP"/>
        </w:rPr>
        <w:t xml:space="preserve"> </w:t>
      </w:r>
      <w:r>
        <w:rPr>
          <w:lang w:eastAsia="ja-JP"/>
        </w:rPr>
        <w:t>S</w:t>
      </w:r>
      <w:r w:rsidRPr="00A54EF7">
        <w:rPr>
          <w:lang w:eastAsia="ja-JP"/>
        </w:rPr>
        <w:t>AE was related to study drug.</w:t>
      </w:r>
    </w:p>
    <w:p w14:paraId="535A3856" w14:textId="77777777" w:rsidR="00AB3932" w:rsidRDefault="00F877B0" w:rsidP="00F877B0">
      <w:pPr>
        <w:rPr>
          <w:lang w:eastAsia="ja-JP"/>
        </w:rPr>
      </w:pPr>
      <w:r>
        <w:t>F</w:t>
      </w:r>
      <w:r w:rsidRPr="002932C7">
        <w:t xml:space="preserve">urther data on patients below 8 years of age and those with renal and/or hepatic impairment is considered Missing Information, and use of idebenone in these populations will be assessed via the Post-Authorisation </w:t>
      </w:r>
      <w:r w:rsidR="000D51AD" w:rsidRPr="002932C7">
        <w:t>Safety</w:t>
      </w:r>
      <w:r w:rsidRPr="002932C7">
        <w:t xml:space="preserve"> Study for DMD if they become available, as proposed in the EU Risk Management Plan.</w:t>
      </w:r>
    </w:p>
    <w:p w14:paraId="473024E4" w14:textId="77777777" w:rsidR="00F877B0" w:rsidRPr="00F877B0" w:rsidRDefault="00F877B0" w:rsidP="00F877B0">
      <w:pPr>
        <w:pStyle w:val="Heading5"/>
      </w:pPr>
      <w:r w:rsidRPr="00F877B0">
        <w:t>Safety related to drug-drug interactions and other interactions</w:t>
      </w:r>
    </w:p>
    <w:p w14:paraId="1D041D04" w14:textId="77777777" w:rsidR="00F877B0" w:rsidRDefault="00F877B0" w:rsidP="00F877B0">
      <w:pPr>
        <w:rPr>
          <w:lang w:eastAsia="ja-JP"/>
        </w:rPr>
      </w:pPr>
      <w:r w:rsidRPr="003F21E3">
        <w:rPr>
          <w:lang w:eastAsia="ja-JP"/>
        </w:rPr>
        <w:t>No clinical drug-drug interaction studies have been performed with the 150 mg film-coated tablet formulation of idebenone proposed for registration.</w:t>
      </w:r>
    </w:p>
    <w:p w14:paraId="41D9E24B" w14:textId="77777777" w:rsidR="00F877B0" w:rsidRDefault="00F877B0" w:rsidP="00F877B0">
      <w:pPr>
        <w:rPr>
          <w:lang w:eastAsia="ja-JP"/>
        </w:rPr>
      </w:pPr>
      <w:r>
        <w:rPr>
          <w:lang w:eastAsia="ja-JP"/>
        </w:rPr>
        <w:t xml:space="preserve">Four PK interaction studies were conducted in healthy adult volunteers in the 1990s with 120 mg or 120 mg </w:t>
      </w:r>
      <w:r w:rsidR="00ED6165">
        <w:rPr>
          <w:lang w:eastAsia="ja-JP"/>
        </w:rPr>
        <w:t>TDS</w:t>
      </w:r>
      <w:r>
        <w:rPr>
          <w:lang w:eastAsia="ja-JP"/>
        </w:rPr>
        <w:t xml:space="preserve"> doses of idebenone.</w:t>
      </w:r>
      <w:r w:rsidR="00DB3203">
        <w:rPr>
          <w:lang w:eastAsia="ja-JP"/>
        </w:rPr>
        <w:t xml:space="preserve"> </w:t>
      </w:r>
      <w:r>
        <w:rPr>
          <w:lang w:eastAsia="ja-JP"/>
        </w:rPr>
        <w:t xml:space="preserve">The drugs investigated </w:t>
      </w:r>
      <w:r w:rsidRPr="00FE6DF0">
        <w:rPr>
          <w:lang w:eastAsia="ja-JP"/>
        </w:rPr>
        <w:t>(lithium, amitriptyline, fluvoxamine, and donepezil)</w:t>
      </w:r>
      <w:r>
        <w:rPr>
          <w:lang w:eastAsia="ja-JP"/>
        </w:rPr>
        <w:t xml:space="preserve"> were those likely to be used in adults with dementing diseases</w:t>
      </w:r>
      <w:r w:rsidRPr="00FE6DF0">
        <w:rPr>
          <w:lang w:eastAsia="ja-JP"/>
        </w:rPr>
        <w:t>.</w:t>
      </w:r>
      <w:r w:rsidR="00DB3203">
        <w:rPr>
          <w:lang w:eastAsia="ja-JP"/>
        </w:rPr>
        <w:t xml:space="preserve"> </w:t>
      </w:r>
      <w:r w:rsidRPr="00FE6DF0">
        <w:rPr>
          <w:lang w:eastAsia="ja-JP"/>
        </w:rPr>
        <w:t>The most common AEs reported were headache, dizziness, and tire</w:t>
      </w:r>
      <w:r>
        <w:rPr>
          <w:lang w:eastAsia="ja-JP"/>
        </w:rPr>
        <w:t>d</w:t>
      </w:r>
      <w:r w:rsidRPr="00FE6DF0">
        <w:rPr>
          <w:lang w:eastAsia="ja-JP"/>
        </w:rPr>
        <w:t>ness</w:t>
      </w:r>
      <w:r>
        <w:rPr>
          <w:lang w:eastAsia="ja-JP"/>
        </w:rPr>
        <w:t>.</w:t>
      </w:r>
      <w:r w:rsidR="00DB3203">
        <w:rPr>
          <w:lang w:eastAsia="ja-JP"/>
        </w:rPr>
        <w:t xml:space="preserve"> </w:t>
      </w:r>
      <w:r w:rsidRPr="00FE6DF0">
        <w:rPr>
          <w:lang w:eastAsia="ja-JP"/>
        </w:rPr>
        <w:t>Most were mild or moderate in intensity</w:t>
      </w:r>
      <w:r>
        <w:rPr>
          <w:lang w:eastAsia="ja-JP"/>
        </w:rPr>
        <w:t>,</w:t>
      </w:r>
      <w:r w:rsidRPr="00FE6DF0">
        <w:rPr>
          <w:lang w:eastAsia="ja-JP"/>
        </w:rPr>
        <w:t xml:space="preserve"> and resolved.</w:t>
      </w:r>
    </w:p>
    <w:p w14:paraId="5ECB27CB" w14:textId="7D932E18" w:rsidR="00F877B0" w:rsidRDefault="00F877B0" w:rsidP="00F877B0">
      <w:pPr>
        <w:rPr>
          <w:lang w:eastAsia="ja-JP"/>
        </w:rPr>
      </w:pPr>
      <w:r w:rsidRPr="00FE6DF0">
        <w:rPr>
          <w:lang w:eastAsia="ja-JP"/>
        </w:rPr>
        <w:t>It is noted by the sponsor that in the Raxone EU</w:t>
      </w:r>
      <w:r w:rsidR="00F613BA">
        <w:rPr>
          <w:lang w:eastAsia="ja-JP"/>
        </w:rPr>
        <w:t xml:space="preserve">-RMP </w:t>
      </w:r>
      <w:r w:rsidRPr="00FE6DF0">
        <w:rPr>
          <w:lang w:eastAsia="ja-JP"/>
        </w:rPr>
        <w:t xml:space="preserve">for LHON that an </w:t>
      </w:r>
      <w:r w:rsidRPr="00FE6DF0">
        <w:rPr>
          <w:i/>
          <w:lang w:eastAsia="ja-JP"/>
        </w:rPr>
        <w:t>in vivo</w:t>
      </w:r>
      <w:r w:rsidRPr="00FE6DF0">
        <w:rPr>
          <w:lang w:eastAsia="ja-JP"/>
        </w:rPr>
        <w:t xml:space="preserve"> </w:t>
      </w:r>
      <w:r>
        <w:rPr>
          <w:lang w:eastAsia="ja-JP"/>
        </w:rPr>
        <w:t xml:space="preserve">Phase I </w:t>
      </w:r>
      <w:r w:rsidRPr="00FE6DF0">
        <w:rPr>
          <w:lang w:eastAsia="ja-JP"/>
        </w:rPr>
        <w:t>study to assess the potential pharmacokinetic interaction of Raxone with midazolam in healthy male volunteers would be conducted as a post-authorisation measure.</w:t>
      </w:r>
      <w:r w:rsidR="00DB3203">
        <w:rPr>
          <w:lang w:eastAsia="ja-JP"/>
        </w:rPr>
        <w:t xml:space="preserve"> </w:t>
      </w:r>
      <w:r w:rsidRPr="00FE6DF0">
        <w:rPr>
          <w:lang w:eastAsia="ja-JP"/>
        </w:rPr>
        <w:t xml:space="preserve">This drug-drug interaction study </w:t>
      </w:r>
      <w:r>
        <w:rPr>
          <w:lang w:eastAsia="ja-JP"/>
        </w:rPr>
        <w:t>addresses the p</w:t>
      </w:r>
      <w:r w:rsidRPr="0023698D">
        <w:rPr>
          <w:bCs/>
          <w:lang w:eastAsia="ja-JP"/>
        </w:rPr>
        <w:t>otential for pre-systemic inhibition of CYP3A4</w:t>
      </w:r>
      <w:r>
        <w:rPr>
          <w:bCs/>
          <w:lang w:eastAsia="ja-JP"/>
        </w:rPr>
        <w:t xml:space="preserve"> and</w:t>
      </w:r>
      <w:r>
        <w:rPr>
          <w:lang w:eastAsia="ja-JP"/>
        </w:rPr>
        <w:t xml:space="preserve"> </w:t>
      </w:r>
      <w:r w:rsidRPr="00FE6DF0">
        <w:rPr>
          <w:lang w:eastAsia="ja-JP"/>
        </w:rPr>
        <w:t>is currently on-going.</w:t>
      </w:r>
    </w:p>
    <w:p w14:paraId="32C27AB4" w14:textId="77777777" w:rsidR="00F877B0" w:rsidRDefault="00F877B0" w:rsidP="00F877B0">
      <w:pPr>
        <w:pStyle w:val="Heading5"/>
      </w:pPr>
      <w:r w:rsidRPr="00545B14">
        <w:t xml:space="preserve">Safety </w:t>
      </w:r>
      <w:r w:rsidRPr="009C7D13">
        <w:t>data that takes into account</w:t>
      </w:r>
      <w:r>
        <w:t xml:space="preserve"> </w:t>
      </w:r>
      <w:r w:rsidRPr="009C7D13">
        <w:t>information on stopping the drug</w:t>
      </w:r>
    </w:p>
    <w:p w14:paraId="69EA0AB4" w14:textId="77777777" w:rsidR="00F877B0" w:rsidRPr="009C7D13" w:rsidRDefault="00F877B0" w:rsidP="00F877B0">
      <w:pPr>
        <w:rPr>
          <w:bCs/>
          <w:lang w:eastAsia="ja-JP"/>
        </w:rPr>
      </w:pPr>
      <w:r w:rsidRPr="009C7D13">
        <w:rPr>
          <w:lang w:eastAsia="ja-JP"/>
        </w:rPr>
        <w:t xml:space="preserve">The sponsor provided a justification </w:t>
      </w:r>
      <w:r w:rsidRPr="009C7D13">
        <w:rPr>
          <w:bCs/>
          <w:lang w:eastAsia="ja-JP"/>
        </w:rPr>
        <w:t>for the absence of safety data that takes into account information on stopping the drug with reference to the following TGA-adopted EMA guidelines:</w:t>
      </w:r>
    </w:p>
    <w:p w14:paraId="52A987E3" w14:textId="77777777" w:rsidR="00F877B0" w:rsidRDefault="00F877B0" w:rsidP="000D51AD">
      <w:pPr>
        <w:ind w:left="720"/>
        <w:rPr>
          <w:bCs/>
          <w:lang w:eastAsia="ja-JP"/>
        </w:rPr>
      </w:pPr>
      <w:r w:rsidRPr="009C7D13">
        <w:rPr>
          <w:bCs/>
          <w:lang w:eastAsia="ja-JP"/>
        </w:rPr>
        <w:lastRenderedPageBreak/>
        <w:t>Clinical Investigation of Medicinal Products for Long-Term Use.</w:t>
      </w:r>
      <w:r w:rsidR="00DB3203">
        <w:rPr>
          <w:bCs/>
          <w:lang w:eastAsia="ja-JP"/>
        </w:rPr>
        <w:t xml:space="preserve"> </w:t>
      </w:r>
      <w:r w:rsidRPr="009C7D13">
        <w:rPr>
          <w:bCs/>
          <w:lang w:eastAsia="ja-JP"/>
        </w:rPr>
        <w:t>Legislative basis Directive 75/318/EEC as amended</w:t>
      </w:r>
    </w:p>
    <w:p w14:paraId="4CCEE9E7" w14:textId="77777777" w:rsidR="00F877B0" w:rsidRDefault="00F877B0" w:rsidP="00F877B0">
      <w:pPr>
        <w:rPr>
          <w:lang w:eastAsia="ja-JP"/>
        </w:rPr>
      </w:pPr>
      <w:r>
        <w:rPr>
          <w:lang w:eastAsia="ja-JP"/>
        </w:rPr>
        <w:t>In summary the justification stated the following:</w:t>
      </w:r>
    </w:p>
    <w:p w14:paraId="38F025F9" w14:textId="77777777" w:rsidR="00F877B0" w:rsidRDefault="00F877B0" w:rsidP="00F877B0">
      <w:pPr>
        <w:pStyle w:val="ListBullet"/>
      </w:pPr>
      <w:r>
        <w:t>specific studies on stopping the drug are not considered necessary to support the proposed dosing regimen for idebenone since long term treatment is anticipated.</w:t>
      </w:r>
    </w:p>
    <w:p w14:paraId="6FEDA03D" w14:textId="77777777" w:rsidR="00F877B0" w:rsidRDefault="00F877B0" w:rsidP="00F877B0">
      <w:pPr>
        <w:pStyle w:val="ListBullet"/>
      </w:pPr>
      <w:r>
        <w:t xml:space="preserve">In DELOS </w:t>
      </w:r>
      <w:r w:rsidR="003173BB">
        <w:t>Study</w:t>
      </w:r>
      <w:r>
        <w:t xml:space="preserve">, all patients attended </w:t>
      </w:r>
      <w:r w:rsidR="000D51AD">
        <w:t xml:space="preserve">a final follow-up 4 to </w:t>
      </w:r>
      <w:r>
        <w:t>5 weeks after study medication withdrawal to perform a safety assessment where no safety alerts arose.</w:t>
      </w:r>
    </w:p>
    <w:p w14:paraId="0A293BC0" w14:textId="77777777" w:rsidR="00AB3932" w:rsidRDefault="00F877B0" w:rsidP="00F877B0">
      <w:pPr>
        <w:pStyle w:val="ListBullet"/>
        <w:rPr>
          <w:lang w:eastAsia="ja-JP"/>
        </w:rPr>
      </w:pPr>
      <w:r>
        <w:rPr>
          <w:lang w:eastAsia="ja-JP"/>
        </w:rPr>
        <w:t xml:space="preserve">the clinical experience with DMD patients demonstrated a safety profile that was consistent with that seen in previous studies in other indications, and reported in the </w:t>
      </w:r>
      <w:r w:rsidR="00252C48">
        <w:t>Periodic Safety Update Reports</w:t>
      </w:r>
      <w:r w:rsidR="00252C48">
        <w:rPr>
          <w:lang w:eastAsia="ja-JP"/>
        </w:rPr>
        <w:t xml:space="preserve"> (</w:t>
      </w:r>
      <w:r>
        <w:rPr>
          <w:lang w:eastAsia="ja-JP"/>
        </w:rPr>
        <w:t>PSURs</w:t>
      </w:r>
      <w:r w:rsidR="00252C48">
        <w:rPr>
          <w:lang w:eastAsia="ja-JP"/>
        </w:rPr>
        <w:t>).</w:t>
      </w:r>
    </w:p>
    <w:p w14:paraId="6AE5E454" w14:textId="2F985F81" w:rsidR="00AB3932" w:rsidRDefault="00F877B0" w:rsidP="00F877B0">
      <w:pPr>
        <w:rPr>
          <w:lang w:eastAsia="ja-JP"/>
        </w:rPr>
      </w:pPr>
      <w:r>
        <w:rPr>
          <w:lang w:eastAsia="ja-JP"/>
        </w:rPr>
        <w:t>This justification is considered acceptable</w:t>
      </w:r>
      <w:r w:rsidR="00F613BA">
        <w:rPr>
          <w:lang w:eastAsia="ja-JP"/>
        </w:rPr>
        <w:t>.</w:t>
      </w:r>
    </w:p>
    <w:p w14:paraId="10755178" w14:textId="77777777" w:rsidR="00F877B0" w:rsidRDefault="00F877B0" w:rsidP="00F877B0">
      <w:pPr>
        <w:pStyle w:val="Heading4"/>
      </w:pPr>
      <w:r w:rsidRPr="00605AD4">
        <w:t>Post</w:t>
      </w:r>
      <w:r>
        <w:t xml:space="preserve"> </w:t>
      </w:r>
      <w:r w:rsidRPr="00605AD4">
        <w:t>marketing data</w:t>
      </w:r>
    </w:p>
    <w:p w14:paraId="7FC3323F" w14:textId="12934CD0" w:rsidR="00F877B0" w:rsidRDefault="00F877B0" w:rsidP="00F877B0">
      <w:pPr>
        <w:rPr>
          <w:lang w:eastAsia="ja-JP"/>
        </w:rPr>
      </w:pPr>
      <w:r>
        <w:rPr>
          <w:lang w:eastAsia="ja-JP"/>
        </w:rPr>
        <w:t xml:space="preserve">Two </w:t>
      </w:r>
      <w:r w:rsidR="00F613BA">
        <w:rPr>
          <w:lang w:eastAsia="ja-JP"/>
        </w:rPr>
        <w:t xml:space="preserve">periodic safety update reports </w:t>
      </w:r>
      <w:r>
        <w:rPr>
          <w:lang w:eastAsia="ja-JP"/>
        </w:rPr>
        <w:t>(PSURs) were provided:</w:t>
      </w:r>
      <w:r w:rsidR="00DB3203">
        <w:rPr>
          <w:lang w:eastAsia="ja-JP"/>
        </w:rPr>
        <w:t xml:space="preserve"> </w:t>
      </w:r>
      <w:r>
        <w:rPr>
          <w:lang w:eastAsia="ja-JP"/>
        </w:rPr>
        <w:t>one for Mnesis</w:t>
      </w:r>
      <w:r w:rsidR="00F613BA">
        <w:rPr>
          <w:lang w:eastAsia="ja-JP"/>
        </w:rPr>
        <w:t>;</w:t>
      </w:r>
      <w:r>
        <w:rPr>
          <w:rStyle w:val="FootnoteReference"/>
          <w:lang w:eastAsia="ja-JP"/>
        </w:rPr>
        <w:footnoteReference w:id="39"/>
      </w:r>
      <w:r>
        <w:rPr>
          <w:lang w:eastAsia="ja-JP"/>
        </w:rPr>
        <w:t xml:space="preserve"> (idebenone 30 mg and 45 mg sugar-coated tablets</w:t>
      </w:r>
      <w:r w:rsidRPr="00553A5A">
        <w:rPr>
          <w:rFonts w:ascii="Times New Roman" w:eastAsiaTheme="minorHAnsi" w:hAnsi="Times New Roman"/>
          <w:sz w:val="24"/>
          <w:szCs w:val="24"/>
        </w:rPr>
        <w:t xml:space="preserve"> </w:t>
      </w:r>
      <w:r w:rsidRPr="00553A5A">
        <w:rPr>
          <w:lang w:eastAsia="ja-JP"/>
        </w:rPr>
        <w:t>and 150 mg film-coated tablets</w:t>
      </w:r>
      <w:r w:rsidR="000D51AD">
        <w:rPr>
          <w:lang w:eastAsia="ja-JP"/>
        </w:rPr>
        <w:t xml:space="preserve">) covering the period </w:t>
      </w:r>
      <w:r>
        <w:rPr>
          <w:lang w:eastAsia="ja-JP"/>
        </w:rPr>
        <w:t xml:space="preserve">1 October 2011 to 30 September 2014, and </w:t>
      </w:r>
      <w:r w:rsidRPr="00453971">
        <w:rPr>
          <w:lang w:eastAsia="ja-JP"/>
        </w:rPr>
        <w:t xml:space="preserve">one for </w:t>
      </w:r>
      <w:r>
        <w:rPr>
          <w:lang w:eastAsia="ja-JP"/>
        </w:rPr>
        <w:t>Raxone</w:t>
      </w:r>
      <w:r w:rsidRPr="00453971">
        <w:rPr>
          <w:lang w:eastAsia="ja-JP"/>
        </w:rPr>
        <w:t xml:space="preserve"> </w:t>
      </w:r>
      <w:r>
        <w:rPr>
          <w:lang w:eastAsia="ja-JP"/>
        </w:rPr>
        <w:t>(</w:t>
      </w:r>
      <w:r w:rsidRPr="00553A5A">
        <w:rPr>
          <w:lang w:eastAsia="ja-JP"/>
        </w:rPr>
        <w:t>150 mg film-coated tablets</w:t>
      </w:r>
      <w:r>
        <w:rPr>
          <w:lang w:eastAsia="ja-JP"/>
        </w:rPr>
        <w:t>)</w:t>
      </w:r>
      <w:r w:rsidRPr="00553A5A">
        <w:rPr>
          <w:lang w:eastAsia="ja-JP"/>
        </w:rPr>
        <w:t xml:space="preserve"> </w:t>
      </w:r>
      <w:r w:rsidRPr="00453971">
        <w:rPr>
          <w:lang w:eastAsia="ja-JP"/>
        </w:rPr>
        <w:t xml:space="preserve">covering the period </w:t>
      </w:r>
      <w:r>
        <w:rPr>
          <w:lang w:eastAsia="ja-JP"/>
        </w:rPr>
        <w:t>8</w:t>
      </w:r>
      <w:r w:rsidRPr="00453971">
        <w:rPr>
          <w:lang w:eastAsia="ja-JP"/>
        </w:rPr>
        <w:t xml:space="preserve"> </w:t>
      </w:r>
      <w:r>
        <w:rPr>
          <w:lang w:eastAsia="ja-JP"/>
        </w:rPr>
        <w:t>September</w:t>
      </w:r>
      <w:r w:rsidRPr="00453971">
        <w:rPr>
          <w:lang w:eastAsia="ja-JP"/>
        </w:rPr>
        <w:t xml:space="preserve"> 201</w:t>
      </w:r>
      <w:r>
        <w:rPr>
          <w:lang w:eastAsia="ja-JP"/>
        </w:rPr>
        <w:t>5</w:t>
      </w:r>
      <w:r w:rsidRPr="00453971">
        <w:rPr>
          <w:lang w:eastAsia="ja-JP"/>
        </w:rPr>
        <w:t xml:space="preserve"> to </w:t>
      </w:r>
      <w:r>
        <w:rPr>
          <w:lang w:eastAsia="ja-JP"/>
        </w:rPr>
        <w:t>8</w:t>
      </w:r>
      <w:r w:rsidRPr="00453971">
        <w:rPr>
          <w:lang w:eastAsia="ja-JP"/>
        </w:rPr>
        <w:t xml:space="preserve"> September 201</w:t>
      </w:r>
      <w:r>
        <w:rPr>
          <w:lang w:eastAsia="ja-JP"/>
        </w:rPr>
        <w:t>6.</w:t>
      </w:r>
    </w:p>
    <w:p w14:paraId="7E6B89ED" w14:textId="259B1829" w:rsidR="00F877B0" w:rsidRPr="00DE6FDE" w:rsidRDefault="00F877B0" w:rsidP="00F877B0">
      <w:pPr>
        <w:pStyle w:val="Heading5"/>
        <w:rPr>
          <w:lang w:eastAsia="ja-JP"/>
        </w:rPr>
      </w:pPr>
      <w:r w:rsidRPr="00DE6FDE">
        <w:rPr>
          <w:lang w:eastAsia="ja-JP"/>
        </w:rPr>
        <w:t>PSUR 1 October 2011 to 30 September 2014</w:t>
      </w:r>
    </w:p>
    <w:p w14:paraId="7E9750CA" w14:textId="37F68707" w:rsidR="00F877B0" w:rsidRDefault="00F877B0" w:rsidP="00F877B0">
      <w:pPr>
        <w:rPr>
          <w:bCs/>
          <w:lang w:eastAsia="ja-JP"/>
        </w:rPr>
      </w:pPr>
      <w:r w:rsidRPr="00DE6FDE">
        <w:rPr>
          <w:bCs/>
          <w:lang w:eastAsia="ja-JP"/>
        </w:rPr>
        <w:t xml:space="preserve">Since the </w:t>
      </w:r>
      <w:r>
        <w:rPr>
          <w:bCs/>
          <w:lang w:eastAsia="ja-JP"/>
        </w:rPr>
        <w:t>Mnesis (Takeda</w:t>
      </w:r>
      <w:r w:rsidR="00F613BA">
        <w:rPr>
          <w:bCs/>
          <w:lang w:eastAsia="ja-JP"/>
        </w:rPr>
        <w:t xml:space="preserve"> Pharmaceuticals</w:t>
      </w:r>
      <w:r>
        <w:rPr>
          <w:bCs/>
          <w:lang w:eastAsia="ja-JP"/>
        </w:rPr>
        <w:t xml:space="preserve">) </w:t>
      </w:r>
      <w:r w:rsidRPr="00DE6FDE">
        <w:rPr>
          <w:bCs/>
          <w:lang w:eastAsia="ja-JP"/>
        </w:rPr>
        <w:t>international birth date (</w:t>
      </w:r>
      <w:r>
        <w:rPr>
          <w:bCs/>
          <w:lang w:eastAsia="ja-JP"/>
        </w:rPr>
        <w:t>IBD; 30</w:t>
      </w:r>
      <w:r w:rsidRPr="00DE6FDE">
        <w:rPr>
          <w:bCs/>
          <w:lang w:eastAsia="ja-JP"/>
        </w:rPr>
        <w:t xml:space="preserve"> </w:t>
      </w:r>
      <w:r>
        <w:rPr>
          <w:bCs/>
          <w:lang w:eastAsia="ja-JP"/>
        </w:rPr>
        <w:t>September</w:t>
      </w:r>
      <w:r w:rsidRPr="00DE6FDE">
        <w:rPr>
          <w:bCs/>
          <w:lang w:eastAsia="ja-JP"/>
        </w:rPr>
        <w:t xml:space="preserve"> </w:t>
      </w:r>
      <w:r>
        <w:rPr>
          <w:bCs/>
          <w:lang w:eastAsia="ja-JP"/>
        </w:rPr>
        <w:t>1986; Japan</w:t>
      </w:r>
      <w:r w:rsidR="000D51AD">
        <w:rPr>
          <w:bCs/>
          <w:lang w:eastAsia="ja-JP"/>
        </w:rPr>
        <w:t>) to 30 </w:t>
      </w:r>
      <w:r w:rsidRPr="00DE6FDE">
        <w:rPr>
          <w:bCs/>
          <w:lang w:eastAsia="ja-JP"/>
        </w:rPr>
        <w:t xml:space="preserve">September 2014 the estimated cumulative market exposure to </w:t>
      </w:r>
      <w:r>
        <w:rPr>
          <w:bCs/>
          <w:lang w:eastAsia="ja-JP"/>
        </w:rPr>
        <w:t xml:space="preserve">idebenone (assuming an average daily dose </w:t>
      </w:r>
      <w:r w:rsidR="00DB3203">
        <w:rPr>
          <w:bCs/>
          <w:lang w:eastAsia="ja-JP"/>
        </w:rPr>
        <w:t>(</w:t>
      </w:r>
      <w:r>
        <w:rPr>
          <w:bCs/>
          <w:lang w:eastAsia="ja-JP"/>
        </w:rPr>
        <w:t>ADD</w:t>
      </w:r>
      <w:r w:rsidR="00DB3203">
        <w:rPr>
          <w:bCs/>
          <w:lang w:eastAsia="ja-JP"/>
        </w:rPr>
        <w:t>)</w:t>
      </w:r>
      <w:r>
        <w:rPr>
          <w:bCs/>
          <w:lang w:eastAsia="ja-JP"/>
        </w:rPr>
        <w:t xml:space="preserve"> of 135 mg)</w:t>
      </w:r>
      <w:r w:rsidRPr="00DE6FDE">
        <w:rPr>
          <w:bCs/>
          <w:lang w:eastAsia="ja-JP"/>
        </w:rPr>
        <w:t xml:space="preserve"> is 1.46 billion ADDs </w:t>
      </w:r>
      <w:r>
        <w:rPr>
          <w:bCs/>
          <w:lang w:eastAsia="ja-JP"/>
        </w:rPr>
        <w:t xml:space="preserve">corresponding to </w:t>
      </w:r>
      <w:r w:rsidR="003173BB">
        <w:rPr>
          <w:bCs/>
          <w:lang w:eastAsia="ja-JP"/>
        </w:rPr>
        <w:t xml:space="preserve">approximately </w:t>
      </w:r>
      <w:r w:rsidRPr="00DE6FDE">
        <w:rPr>
          <w:bCs/>
          <w:lang w:eastAsia="ja-JP"/>
        </w:rPr>
        <w:t>4,001,179 patient-years of treatment.</w:t>
      </w:r>
      <w:r w:rsidR="00DB3203">
        <w:rPr>
          <w:bCs/>
          <w:lang w:eastAsia="ja-JP"/>
        </w:rPr>
        <w:t xml:space="preserve"> </w:t>
      </w:r>
      <w:r>
        <w:rPr>
          <w:bCs/>
          <w:lang w:eastAsia="ja-JP"/>
        </w:rPr>
        <w:t xml:space="preserve">The patient exposure during the period covered by this report is 11.5 million </w:t>
      </w:r>
      <w:r w:rsidRPr="00DE6FDE">
        <w:rPr>
          <w:bCs/>
          <w:lang w:eastAsia="ja-JP"/>
        </w:rPr>
        <w:t xml:space="preserve">ADDs corresponding to </w:t>
      </w:r>
      <w:r w:rsidR="003173BB">
        <w:rPr>
          <w:bCs/>
          <w:lang w:eastAsia="ja-JP"/>
        </w:rPr>
        <w:t xml:space="preserve">approximately </w:t>
      </w:r>
      <w:r w:rsidRPr="00DE6FDE">
        <w:rPr>
          <w:bCs/>
          <w:lang w:eastAsia="ja-JP"/>
        </w:rPr>
        <w:t>31,480</w:t>
      </w:r>
      <w:r>
        <w:rPr>
          <w:bCs/>
          <w:lang w:eastAsia="ja-JP"/>
        </w:rPr>
        <w:t xml:space="preserve"> </w:t>
      </w:r>
      <w:r w:rsidRPr="00DE6FDE">
        <w:rPr>
          <w:bCs/>
          <w:lang w:eastAsia="ja-JP"/>
        </w:rPr>
        <w:t>patient-years of treatment.</w:t>
      </w:r>
      <w:r w:rsidR="00DB3203">
        <w:rPr>
          <w:bCs/>
          <w:lang w:eastAsia="ja-JP"/>
        </w:rPr>
        <w:t xml:space="preserve"> </w:t>
      </w:r>
      <w:r w:rsidRPr="00DE6FDE">
        <w:rPr>
          <w:bCs/>
          <w:lang w:eastAsia="ja-JP"/>
        </w:rPr>
        <w:t xml:space="preserve">A further </w:t>
      </w:r>
      <w:r>
        <w:rPr>
          <w:bCs/>
          <w:lang w:eastAsia="ja-JP"/>
        </w:rPr>
        <w:t>1,422</w:t>
      </w:r>
      <w:r w:rsidRPr="00DE6FDE">
        <w:rPr>
          <w:bCs/>
          <w:lang w:eastAsia="ja-JP"/>
        </w:rPr>
        <w:t xml:space="preserve"> patients received </w:t>
      </w:r>
      <w:r>
        <w:rPr>
          <w:bCs/>
          <w:lang w:eastAsia="ja-JP"/>
        </w:rPr>
        <w:t>idebenone</w:t>
      </w:r>
      <w:r w:rsidRPr="00DE6FDE">
        <w:rPr>
          <w:bCs/>
          <w:lang w:eastAsia="ja-JP"/>
        </w:rPr>
        <w:t xml:space="preserve"> while participating in clinical trials (</w:t>
      </w:r>
      <w:r>
        <w:rPr>
          <w:bCs/>
          <w:lang w:eastAsia="ja-JP"/>
        </w:rPr>
        <w:t>744 in Japan</w:t>
      </w:r>
      <w:r w:rsidRPr="00E63E58">
        <w:rPr>
          <w:rFonts w:ascii="Times New Roman" w:eastAsiaTheme="minorHAnsi" w:hAnsi="Times New Roman"/>
          <w:sz w:val="24"/>
          <w:szCs w:val="24"/>
        </w:rPr>
        <w:t xml:space="preserve"> </w:t>
      </w:r>
      <w:r w:rsidRPr="00E63E58">
        <w:rPr>
          <w:bCs/>
          <w:lang w:eastAsia="ja-JP"/>
        </w:rPr>
        <w:t xml:space="preserve">for the treatment of late effects of cerebral infarction </w:t>
      </w:r>
      <w:r>
        <w:rPr>
          <w:bCs/>
          <w:lang w:eastAsia="ja-JP"/>
        </w:rPr>
        <w:t>/</w:t>
      </w:r>
      <w:r w:rsidRPr="00E63E58">
        <w:rPr>
          <w:bCs/>
          <w:lang w:eastAsia="ja-JP"/>
        </w:rPr>
        <w:t xml:space="preserve"> cerebral</w:t>
      </w:r>
      <w:r>
        <w:rPr>
          <w:bCs/>
          <w:lang w:eastAsia="ja-JP"/>
        </w:rPr>
        <w:t xml:space="preserve"> </w:t>
      </w:r>
      <w:r w:rsidRPr="00E63E58">
        <w:rPr>
          <w:bCs/>
          <w:lang w:eastAsia="ja-JP"/>
        </w:rPr>
        <w:t>haemorrhage</w:t>
      </w:r>
      <w:r>
        <w:rPr>
          <w:bCs/>
          <w:lang w:eastAsia="ja-JP"/>
        </w:rPr>
        <w:t>, 70 in Phase I studies, and 608 in Phase II/III trials for the treatment of FRDA or DMD</w:t>
      </w:r>
      <w:r w:rsidRPr="00DE6FDE">
        <w:rPr>
          <w:bCs/>
          <w:lang w:eastAsia="ja-JP"/>
        </w:rPr>
        <w:t>).</w:t>
      </w:r>
    </w:p>
    <w:p w14:paraId="0E0353CA" w14:textId="77777777" w:rsidR="00F877B0" w:rsidRDefault="00F877B0" w:rsidP="00F877B0">
      <w:pPr>
        <w:rPr>
          <w:bCs/>
          <w:lang w:eastAsia="ja-JP"/>
        </w:rPr>
      </w:pPr>
      <w:r w:rsidRPr="00C50534">
        <w:rPr>
          <w:bCs/>
          <w:lang w:eastAsia="ja-JP"/>
        </w:rPr>
        <w:t>During the reporting period, there were no safety actions taken by Takeda related to either investigational uses or marketing experience</w:t>
      </w:r>
      <w:r>
        <w:rPr>
          <w:bCs/>
          <w:lang w:eastAsia="ja-JP"/>
        </w:rPr>
        <w:t xml:space="preserve">, and </w:t>
      </w:r>
      <w:r w:rsidRPr="00C50534">
        <w:rPr>
          <w:bCs/>
          <w:lang w:eastAsia="ja-JP"/>
        </w:rPr>
        <w:t>there were no safety related changes to the Company Core Safety Information</w:t>
      </w:r>
      <w:r>
        <w:rPr>
          <w:bCs/>
          <w:lang w:eastAsia="ja-JP"/>
        </w:rPr>
        <w:t xml:space="preserve"> (</w:t>
      </w:r>
      <w:r w:rsidRPr="00C50534">
        <w:rPr>
          <w:bCs/>
          <w:lang w:eastAsia="ja-JP"/>
        </w:rPr>
        <w:t>CCSI</w:t>
      </w:r>
      <w:r>
        <w:rPr>
          <w:bCs/>
          <w:lang w:eastAsia="ja-JP"/>
        </w:rPr>
        <w:t xml:space="preserve">) </w:t>
      </w:r>
      <w:r w:rsidRPr="00C50534">
        <w:rPr>
          <w:bCs/>
          <w:lang w:eastAsia="ja-JP"/>
        </w:rPr>
        <w:t>during the reporting period.</w:t>
      </w:r>
    </w:p>
    <w:p w14:paraId="30B23058" w14:textId="77777777" w:rsidR="00F877B0" w:rsidRPr="00DE6FDE" w:rsidRDefault="00F877B0" w:rsidP="00F877B0">
      <w:pPr>
        <w:rPr>
          <w:bCs/>
          <w:lang w:eastAsia="ja-JP"/>
        </w:rPr>
      </w:pPr>
      <w:r w:rsidRPr="00553A5A">
        <w:rPr>
          <w:bCs/>
          <w:lang w:eastAsia="ja-JP"/>
        </w:rPr>
        <w:t xml:space="preserve">Since the IBD, 719 SAEs have been reported from clinical trials with idebenone, and 586 </w:t>
      </w:r>
      <w:r w:rsidR="00DB3203">
        <w:t>adverse drug reactions (</w:t>
      </w:r>
      <w:r w:rsidRPr="00553A5A">
        <w:rPr>
          <w:bCs/>
          <w:lang w:eastAsia="ja-JP"/>
        </w:rPr>
        <w:t>ADRs</w:t>
      </w:r>
      <w:r w:rsidR="00DB3203">
        <w:rPr>
          <w:bCs/>
          <w:lang w:eastAsia="ja-JP"/>
        </w:rPr>
        <w:t>)</w:t>
      </w:r>
      <w:r w:rsidRPr="00553A5A">
        <w:rPr>
          <w:bCs/>
          <w:lang w:eastAsia="ja-JP"/>
        </w:rPr>
        <w:t xml:space="preserve"> (241 serious) have been received through spontaneous reporting sources including reports from regulatory authorities, and literature sources.</w:t>
      </w:r>
      <w:r w:rsidR="00DB3203">
        <w:rPr>
          <w:bCs/>
          <w:lang w:eastAsia="ja-JP"/>
        </w:rPr>
        <w:t xml:space="preserve"> </w:t>
      </w:r>
      <w:r w:rsidRPr="00553A5A">
        <w:rPr>
          <w:bCs/>
          <w:lang w:eastAsia="ja-JP"/>
        </w:rPr>
        <w:t>Of the ADRs, only 9 serious and 5 non-</w:t>
      </w:r>
      <w:r>
        <w:rPr>
          <w:bCs/>
          <w:lang w:eastAsia="ja-JP"/>
        </w:rPr>
        <w:t xml:space="preserve">serious were reported during the current PSUR period, with a further 3 from </w:t>
      </w:r>
      <w:r w:rsidRPr="00A71214">
        <w:rPr>
          <w:bCs/>
          <w:lang w:eastAsia="ja-JP"/>
        </w:rPr>
        <w:t>post-marketing surveys</w:t>
      </w:r>
      <w:r>
        <w:rPr>
          <w:bCs/>
          <w:lang w:eastAsia="ja-JP"/>
        </w:rPr>
        <w:t>.</w:t>
      </w:r>
      <w:r w:rsidR="00DB3203">
        <w:rPr>
          <w:bCs/>
          <w:lang w:eastAsia="ja-JP"/>
        </w:rPr>
        <w:t xml:space="preserve"> </w:t>
      </w:r>
      <w:r w:rsidRPr="00A71214">
        <w:rPr>
          <w:bCs/>
          <w:lang w:eastAsia="ja-JP"/>
        </w:rPr>
        <w:t xml:space="preserve">No new </w:t>
      </w:r>
      <w:r>
        <w:rPr>
          <w:bCs/>
          <w:lang w:eastAsia="ja-JP"/>
        </w:rPr>
        <w:t xml:space="preserve">safety </w:t>
      </w:r>
      <w:r w:rsidRPr="00A71214">
        <w:rPr>
          <w:bCs/>
          <w:lang w:eastAsia="ja-JP"/>
        </w:rPr>
        <w:t xml:space="preserve">signals </w:t>
      </w:r>
      <w:r>
        <w:rPr>
          <w:bCs/>
          <w:lang w:eastAsia="ja-JP"/>
        </w:rPr>
        <w:t xml:space="preserve">were </w:t>
      </w:r>
      <w:r w:rsidRPr="00A71214">
        <w:rPr>
          <w:bCs/>
          <w:lang w:eastAsia="ja-JP"/>
        </w:rPr>
        <w:t>identified during the current reporting period</w:t>
      </w:r>
      <w:r>
        <w:rPr>
          <w:bCs/>
          <w:lang w:eastAsia="ja-JP"/>
        </w:rPr>
        <w:t>.</w:t>
      </w:r>
      <w:r w:rsidR="00DB3203">
        <w:rPr>
          <w:bCs/>
          <w:lang w:eastAsia="ja-JP"/>
        </w:rPr>
        <w:t xml:space="preserve"> </w:t>
      </w:r>
      <w:r>
        <w:rPr>
          <w:bCs/>
          <w:lang w:eastAsia="ja-JP"/>
        </w:rPr>
        <w:t>The 9 serious ADRs were: n</w:t>
      </w:r>
      <w:r w:rsidRPr="00D91109">
        <w:rPr>
          <w:bCs/>
          <w:lang w:eastAsia="ja-JP"/>
        </w:rPr>
        <w:t>eurological decompensation</w:t>
      </w:r>
      <w:r>
        <w:rPr>
          <w:bCs/>
          <w:lang w:eastAsia="ja-JP"/>
        </w:rPr>
        <w:t xml:space="preserve"> (x</w:t>
      </w:r>
      <w:r w:rsidR="000D51AD">
        <w:rPr>
          <w:bCs/>
          <w:lang w:eastAsia="ja-JP"/>
        </w:rPr>
        <w:t xml:space="preserve"> </w:t>
      </w:r>
      <w:r>
        <w:rPr>
          <w:bCs/>
          <w:lang w:eastAsia="ja-JP"/>
        </w:rPr>
        <w:t>2), optic atrophy, sudden hearing loss (x</w:t>
      </w:r>
      <w:r w:rsidR="000D51AD">
        <w:rPr>
          <w:bCs/>
          <w:lang w:eastAsia="ja-JP"/>
        </w:rPr>
        <w:t xml:space="preserve"> </w:t>
      </w:r>
      <w:r>
        <w:rPr>
          <w:bCs/>
          <w:lang w:eastAsia="ja-JP"/>
        </w:rPr>
        <w:t>2), hepatitis, spontaneous abortion, c</w:t>
      </w:r>
      <w:r w:rsidRPr="00D91109">
        <w:rPr>
          <w:bCs/>
          <w:lang w:eastAsia="ja-JP"/>
        </w:rPr>
        <w:t>ondition aggravated</w:t>
      </w:r>
      <w:r>
        <w:rPr>
          <w:bCs/>
          <w:lang w:eastAsia="ja-JP"/>
        </w:rPr>
        <w:t>, and exposure during pregnancy.</w:t>
      </w:r>
      <w:r w:rsidR="00DB3203">
        <w:rPr>
          <w:bCs/>
          <w:lang w:eastAsia="ja-JP"/>
        </w:rPr>
        <w:t xml:space="preserve"> </w:t>
      </w:r>
      <w:r w:rsidRPr="00D91109">
        <w:rPr>
          <w:bCs/>
          <w:lang w:eastAsia="ja-JP"/>
        </w:rPr>
        <w:t xml:space="preserve">The </w:t>
      </w:r>
      <w:r>
        <w:rPr>
          <w:bCs/>
          <w:lang w:eastAsia="ja-JP"/>
        </w:rPr>
        <w:t xml:space="preserve">sponsor </w:t>
      </w:r>
      <w:r w:rsidRPr="004F1041">
        <w:rPr>
          <w:bCs/>
          <w:lang w:eastAsia="ja-JP"/>
        </w:rPr>
        <w:t xml:space="preserve">stated </w:t>
      </w:r>
      <w:r>
        <w:rPr>
          <w:bCs/>
          <w:lang w:eastAsia="ja-JP"/>
        </w:rPr>
        <w:t xml:space="preserve">that the </w:t>
      </w:r>
      <w:r w:rsidRPr="00D91109">
        <w:rPr>
          <w:bCs/>
          <w:lang w:eastAsia="ja-JP"/>
        </w:rPr>
        <w:t>nature and frequency of the ADRs</w:t>
      </w:r>
      <w:r>
        <w:rPr>
          <w:bCs/>
          <w:lang w:eastAsia="ja-JP"/>
        </w:rPr>
        <w:t xml:space="preserve"> </w:t>
      </w:r>
      <w:r w:rsidRPr="00D91109">
        <w:rPr>
          <w:bCs/>
          <w:lang w:eastAsia="ja-JP"/>
        </w:rPr>
        <w:t xml:space="preserve">received from spontaneous and clinical trials sources </w:t>
      </w:r>
      <w:r>
        <w:rPr>
          <w:bCs/>
          <w:lang w:eastAsia="ja-JP"/>
        </w:rPr>
        <w:t>was consistent with</w:t>
      </w:r>
      <w:r w:rsidRPr="00D91109">
        <w:rPr>
          <w:bCs/>
          <w:lang w:eastAsia="ja-JP"/>
        </w:rPr>
        <w:t xml:space="preserve"> those</w:t>
      </w:r>
      <w:r>
        <w:rPr>
          <w:bCs/>
          <w:lang w:eastAsia="ja-JP"/>
        </w:rPr>
        <w:t xml:space="preserve"> </w:t>
      </w:r>
      <w:r w:rsidRPr="00D91109">
        <w:rPr>
          <w:bCs/>
          <w:lang w:eastAsia="ja-JP"/>
        </w:rPr>
        <w:t>described in previous PSURs.</w:t>
      </w:r>
    </w:p>
    <w:p w14:paraId="3EF57024" w14:textId="50C18AF4" w:rsidR="00F877B0" w:rsidRPr="009F1468" w:rsidRDefault="00F877B0" w:rsidP="00F877B0">
      <w:pPr>
        <w:pStyle w:val="Heading5"/>
        <w:rPr>
          <w:lang w:eastAsia="ja-JP"/>
        </w:rPr>
      </w:pPr>
      <w:r w:rsidRPr="009F1468">
        <w:rPr>
          <w:lang w:eastAsia="ja-JP"/>
        </w:rPr>
        <w:t>PSUR 8 September 2015 to 8 September 2016</w:t>
      </w:r>
    </w:p>
    <w:p w14:paraId="68DBFC8D" w14:textId="15E1F71D" w:rsidR="00F877B0" w:rsidRPr="00DE6FDE" w:rsidRDefault="00F877B0" w:rsidP="00F877B0">
      <w:pPr>
        <w:rPr>
          <w:bCs/>
          <w:lang w:eastAsia="ja-JP"/>
        </w:rPr>
      </w:pPr>
      <w:r w:rsidRPr="00861088">
        <w:rPr>
          <w:bCs/>
          <w:lang w:eastAsia="ja-JP"/>
        </w:rPr>
        <w:t xml:space="preserve">The </w:t>
      </w:r>
      <w:r>
        <w:rPr>
          <w:bCs/>
          <w:lang w:eastAsia="ja-JP"/>
        </w:rPr>
        <w:t>commercial supply of Raxone</w:t>
      </w:r>
      <w:r w:rsidRPr="00861088">
        <w:rPr>
          <w:bCs/>
          <w:lang w:eastAsia="ja-JP"/>
        </w:rPr>
        <w:t xml:space="preserve"> during the period covered by this report is 566,100</w:t>
      </w:r>
      <w:r w:rsidR="00F613BA">
        <w:rPr>
          <w:bCs/>
          <w:lang w:eastAsia="ja-JP"/>
        </w:rPr>
        <w:t> </w:t>
      </w:r>
      <w:r w:rsidRPr="00861088">
        <w:rPr>
          <w:bCs/>
          <w:lang w:eastAsia="ja-JP"/>
        </w:rPr>
        <w:t xml:space="preserve">tablets corresponding to </w:t>
      </w:r>
      <w:r w:rsidR="003173BB">
        <w:rPr>
          <w:bCs/>
          <w:lang w:eastAsia="ja-JP"/>
        </w:rPr>
        <w:t xml:space="preserve">approximately </w:t>
      </w:r>
      <w:r>
        <w:rPr>
          <w:bCs/>
          <w:lang w:eastAsia="ja-JP"/>
        </w:rPr>
        <w:t>258</w:t>
      </w:r>
      <w:r w:rsidRPr="00861088">
        <w:rPr>
          <w:bCs/>
          <w:lang w:eastAsia="ja-JP"/>
        </w:rPr>
        <w:t xml:space="preserve"> patients</w:t>
      </w:r>
      <w:r>
        <w:rPr>
          <w:bCs/>
          <w:lang w:eastAsia="ja-JP"/>
        </w:rPr>
        <w:t xml:space="preserve"> (assuming 6 x 150</w:t>
      </w:r>
      <w:r w:rsidR="001601AD">
        <w:rPr>
          <w:bCs/>
          <w:lang w:eastAsia="ja-JP"/>
        </w:rPr>
        <w:t xml:space="preserve"> mg</w:t>
      </w:r>
      <w:r>
        <w:rPr>
          <w:bCs/>
          <w:lang w:eastAsia="ja-JP"/>
        </w:rPr>
        <w:t xml:space="preserve"> tablets/day</w:t>
      </w:r>
      <w:r w:rsidR="00640C58">
        <w:rPr>
          <w:bCs/>
          <w:lang w:eastAsia="ja-JP"/>
        </w:rPr>
        <w:t>*</w:t>
      </w:r>
      <w:r>
        <w:rPr>
          <w:bCs/>
          <w:lang w:eastAsia="ja-JP"/>
        </w:rPr>
        <w:t>365 days treatment)</w:t>
      </w:r>
      <w:r w:rsidRPr="00861088">
        <w:rPr>
          <w:bCs/>
          <w:lang w:eastAsia="ja-JP"/>
        </w:rPr>
        <w:t>.</w:t>
      </w:r>
      <w:r w:rsidR="00DB3203">
        <w:rPr>
          <w:bCs/>
          <w:lang w:eastAsia="ja-JP"/>
        </w:rPr>
        <w:t xml:space="preserve"> </w:t>
      </w:r>
      <w:r>
        <w:rPr>
          <w:bCs/>
          <w:lang w:eastAsia="ja-JP"/>
        </w:rPr>
        <w:t xml:space="preserve">Cumulatively since 2008, an additional 137 patients </w:t>
      </w:r>
      <w:r>
        <w:rPr>
          <w:bCs/>
          <w:lang w:eastAsia="ja-JP"/>
        </w:rPr>
        <w:lastRenderedPageBreak/>
        <w:t>received commercial supply of Catena</w:t>
      </w:r>
      <w:r>
        <w:rPr>
          <w:rStyle w:val="FootnoteReference"/>
          <w:bCs/>
          <w:lang w:eastAsia="ja-JP"/>
        </w:rPr>
        <w:footnoteReference w:id="40"/>
      </w:r>
      <w:r>
        <w:rPr>
          <w:bCs/>
          <w:lang w:eastAsia="ja-JP"/>
        </w:rPr>
        <w:t xml:space="preserve">, 487 received idebenone in the Santhera clinical development program (DMD 53, LHON 60, FRDA 294, and </w:t>
      </w:r>
      <w:r w:rsidR="00685A72">
        <w:rPr>
          <w:bCs/>
          <w:lang w:eastAsia="ja-JP"/>
        </w:rPr>
        <w:t>‘</w:t>
      </w:r>
      <w:r>
        <w:rPr>
          <w:bCs/>
          <w:lang w:eastAsia="ja-JP"/>
        </w:rPr>
        <w:t>other</w:t>
      </w:r>
      <w:r w:rsidR="00685A72">
        <w:rPr>
          <w:bCs/>
          <w:lang w:eastAsia="ja-JP"/>
        </w:rPr>
        <w:t>’</w:t>
      </w:r>
      <w:r>
        <w:rPr>
          <w:bCs/>
          <w:lang w:eastAsia="ja-JP"/>
        </w:rPr>
        <w:t xml:space="preserve"> 80 patients) and 435 patients were supplied with idebenone via </w:t>
      </w:r>
      <w:r w:rsidRPr="004F5702">
        <w:rPr>
          <w:bCs/>
          <w:lang w:eastAsia="ja-JP"/>
        </w:rPr>
        <w:t>Early Access Programs (EAPs)</w:t>
      </w:r>
      <w:r>
        <w:rPr>
          <w:bCs/>
          <w:lang w:eastAsia="ja-JP"/>
        </w:rPr>
        <w:t xml:space="preserve"> </w:t>
      </w:r>
      <w:r w:rsidRPr="004F5702">
        <w:rPr>
          <w:bCs/>
          <w:lang w:eastAsia="ja-JP"/>
        </w:rPr>
        <w:t>and Named</w:t>
      </w:r>
      <w:r>
        <w:rPr>
          <w:bCs/>
          <w:lang w:eastAsia="ja-JP"/>
        </w:rPr>
        <w:t xml:space="preserve"> </w:t>
      </w:r>
      <w:r w:rsidRPr="004F5702">
        <w:rPr>
          <w:bCs/>
          <w:lang w:eastAsia="ja-JP"/>
        </w:rPr>
        <w:t>Patient Supply.</w:t>
      </w:r>
    </w:p>
    <w:p w14:paraId="5A74A781" w14:textId="77777777" w:rsidR="00F877B0" w:rsidRPr="00C71B5C" w:rsidRDefault="00F877B0" w:rsidP="00F877B0">
      <w:pPr>
        <w:rPr>
          <w:bCs/>
          <w:lang w:eastAsia="ja-JP"/>
        </w:rPr>
      </w:pPr>
      <w:r w:rsidRPr="00C71B5C">
        <w:rPr>
          <w:bCs/>
          <w:lang w:eastAsia="ja-JP"/>
        </w:rPr>
        <w:t>During the reporting period, there were no safety actions taken related to either investigational uses or marketing experience, and there were no safety related changes to the Reference Safety Information (RSI) during the reporting period.</w:t>
      </w:r>
    </w:p>
    <w:p w14:paraId="484AEA7C" w14:textId="77777777" w:rsidR="00F877B0" w:rsidRPr="00DE6FDE" w:rsidRDefault="00F877B0" w:rsidP="00F877B0">
      <w:pPr>
        <w:rPr>
          <w:bCs/>
          <w:lang w:eastAsia="ja-JP"/>
        </w:rPr>
      </w:pPr>
      <w:r w:rsidRPr="00292634">
        <w:rPr>
          <w:bCs/>
          <w:lang w:eastAsia="ja-JP"/>
        </w:rPr>
        <w:t>Twenty-seven (27) cases (6 serious and 21 non-serious) were received during the reporting period.</w:t>
      </w:r>
      <w:r w:rsidR="00DB3203">
        <w:rPr>
          <w:bCs/>
          <w:lang w:eastAsia="ja-JP"/>
        </w:rPr>
        <w:t xml:space="preserve"> </w:t>
      </w:r>
      <w:r w:rsidRPr="00292634">
        <w:rPr>
          <w:bCs/>
          <w:lang w:eastAsia="ja-JP"/>
        </w:rPr>
        <w:t>There were no cases with a fatal outcome and none of the events was life threatening.</w:t>
      </w:r>
      <w:r w:rsidR="00DB3203">
        <w:rPr>
          <w:bCs/>
          <w:lang w:eastAsia="ja-JP"/>
        </w:rPr>
        <w:t xml:space="preserve"> </w:t>
      </w:r>
      <w:r>
        <w:rPr>
          <w:bCs/>
          <w:lang w:eastAsia="ja-JP"/>
        </w:rPr>
        <w:t>The 4 serious spontaneous AEs were: vomiting / pregnancy /</w:t>
      </w:r>
      <w:r w:rsidRPr="00017DF0">
        <w:rPr>
          <w:bCs/>
          <w:lang w:eastAsia="ja-JP"/>
        </w:rPr>
        <w:t>abortion</w:t>
      </w:r>
      <w:r>
        <w:rPr>
          <w:bCs/>
          <w:lang w:eastAsia="ja-JP"/>
        </w:rPr>
        <w:t>;</w:t>
      </w:r>
      <w:r w:rsidRPr="00017DF0">
        <w:rPr>
          <w:bCs/>
          <w:lang w:eastAsia="ja-JP"/>
        </w:rPr>
        <w:t xml:space="preserve"> </w:t>
      </w:r>
      <w:r>
        <w:rPr>
          <w:bCs/>
          <w:lang w:eastAsia="ja-JP"/>
        </w:rPr>
        <w:t>hepatitis; ALT / AST increased; and epistaxis.</w:t>
      </w:r>
      <w:r w:rsidR="00DB3203">
        <w:rPr>
          <w:bCs/>
          <w:lang w:eastAsia="ja-JP"/>
        </w:rPr>
        <w:t xml:space="preserve"> </w:t>
      </w:r>
      <w:r>
        <w:rPr>
          <w:bCs/>
          <w:lang w:eastAsia="ja-JP"/>
        </w:rPr>
        <w:t>The 3 serious solicited cases were: cataract surgery; pulmonary infection with signs of dehydration; and pneumonia.</w:t>
      </w:r>
    </w:p>
    <w:p w14:paraId="7D128317" w14:textId="77777777" w:rsidR="00F877B0" w:rsidRPr="00DE6FDE" w:rsidRDefault="00F877B0" w:rsidP="00F877B0">
      <w:pPr>
        <w:rPr>
          <w:bCs/>
          <w:lang w:eastAsia="ja-JP"/>
        </w:rPr>
      </w:pPr>
      <w:r>
        <w:rPr>
          <w:bCs/>
          <w:lang w:eastAsia="ja-JP"/>
        </w:rPr>
        <w:t xml:space="preserve">It was stated that this PSUR </w:t>
      </w:r>
      <w:r w:rsidR="00685A72" w:rsidRPr="000D51AD">
        <w:rPr>
          <w:bCs/>
          <w:lang w:eastAsia="ja-JP"/>
        </w:rPr>
        <w:t>‘</w:t>
      </w:r>
      <w:r w:rsidRPr="000D51AD">
        <w:rPr>
          <w:bCs/>
          <w:lang w:eastAsia="ja-JP"/>
        </w:rPr>
        <w:t>revealed no new safety concerns.</w:t>
      </w:r>
      <w:r w:rsidR="00685A72" w:rsidRPr="000D51AD">
        <w:rPr>
          <w:bCs/>
          <w:lang w:eastAsia="ja-JP"/>
        </w:rPr>
        <w:t>’</w:t>
      </w:r>
    </w:p>
    <w:p w14:paraId="4A3C06B6" w14:textId="77777777" w:rsidR="00605AD4" w:rsidRPr="00605AD4" w:rsidRDefault="00605AD4" w:rsidP="00605AD4">
      <w:pPr>
        <w:pStyle w:val="Heading4"/>
      </w:pPr>
      <w:r w:rsidRPr="00605AD4">
        <w:t>Evaluator’s conclusions on safety</w:t>
      </w:r>
    </w:p>
    <w:p w14:paraId="7BDA499B" w14:textId="77777777" w:rsidR="00F877B0" w:rsidRDefault="00F877B0" w:rsidP="00F877B0">
      <w:pPr>
        <w:rPr>
          <w:bCs/>
          <w:lang w:eastAsia="ja-JP"/>
        </w:rPr>
      </w:pPr>
      <w:r w:rsidRPr="00BD4215">
        <w:rPr>
          <w:lang w:eastAsia="ja-JP"/>
        </w:rPr>
        <w:t xml:space="preserve">The safety of idebenone </w:t>
      </w:r>
      <w:r>
        <w:rPr>
          <w:lang w:eastAsia="ja-JP"/>
        </w:rPr>
        <w:t>in patients with DMD is limited because of rarity of the disease.</w:t>
      </w:r>
      <w:r w:rsidR="00DB3203">
        <w:rPr>
          <w:lang w:eastAsia="ja-JP"/>
        </w:rPr>
        <w:t xml:space="preserve"> </w:t>
      </w:r>
      <w:r>
        <w:rPr>
          <w:lang w:eastAsia="ja-JP"/>
        </w:rPr>
        <w:t>In the DELPHI, DELPHI-E and DELOS studies a total of 53 patients have been exposed to idebenone 450 / 900 mg/day for a mean (SD) of 549.0 (315.5) days.</w:t>
      </w:r>
      <w:r w:rsidR="00DB3203">
        <w:rPr>
          <w:lang w:eastAsia="ja-JP"/>
        </w:rPr>
        <w:t xml:space="preserve"> </w:t>
      </w:r>
      <w:r>
        <w:rPr>
          <w:lang w:eastAsia="ja-JP"/>
        </w:rPr>
        <w:t>These safety data are supplemented by the use of idebenone in other therapeutic areas (LHON and FRDA) such that in the full safety analysis population (DMD, LHON, and FRDA), 439 patients have received idebenone (180 to 2,250 mg/day) for a mean (SD) of 600.3 (362.5) days.</w:t>
      </w:r>
      <w:r w:rsidR="00DB3203">
        <w:rPr>
          <w:lang w:eastAsia="ja-JP"/>
        </w:rPr>
        <w:t xml:space="preserve"> </w:t>
      </w:r>
      <w:r>
        <w:rPr>
          <w:lang w:eastAsia="ja-JP"/>
        </w:rPr>
        <w:t>In addition, i</w:t>
      </w:r>
      <w:r w:rsidRPr="00E8416B">
        <w:rPr>
          <w:lang w:eastAsia="ja-JP"/>
        </w:rPr>
        <w:t xml:space="preserve">debenone </w:t>
      </w:r>
      <w:r>
        <w:rPr>
          <w:lang w:eastAsia="ja-JP"/>
        </w:rPr>
        <w:t xml:space="preserve">45 mg </w:t>
      </w:r>
      <w:r w:rsidRPr="00E8416B">
        <w:rPr>
          <w:lang w:eastAsia="ja-JP"/>
        </w:rPr>
        <w:t>(Mnesis) was initially developed by Takeda Pharmaceuticals Co Ltd for the treatment of cognitive disorders.</w:t>
      </w:r>
      <w:r w:rsidR="00DB3203">
        <w:rPr>
          <w:lang w:eastAsia="ja-JP"/>
        </w:rPr>
        <w:t xml:space="preserve"> </w:t>
      </w:r>
      <w:r>
        <w:rPr>
          <w:lang w:eastAsia="ja-JP"/>
        </w:rPr>
        <w:t xml:space="preserve">Since the IBD of 30 September 1986 </w:t>
      </w:r>
      <w:r w:rsidRPr="00E8416B">
        <w:rPr>
          <w:bCs/>
          <w:lang w:eastAsia="ja-JP"/>
        </w:rPr>
        <w:t xml:space="preserve">the estimated cumulative market exposure to idebenone </w:t>
      </w:r>
      <w:r>
        <w:rPr>
          <w:bCs/>
          <w:lang w:eastAsia="ja-JP"/>
        </w:rPr>
        <w:t>is</w:t>
      </w:r>
      <w:r w:rsidRPr="00E8416B">
        <w:rPr>
          <w:bCs/>
          <w:lang w:eastAsia="ja-JP"/>
        </w:rPr>
        <w:t xml:space="preserve"> </w:t>
      </w:r>
      <w:r w:rsidR="003173BB">
        <w:rPr>
          <w:bCs/>
          <w:lang w:eastAsia="ja-JP"/>
        </w:rPr>
        <w:t xml:space="preserve">approximately </w:t>
      </w:r>
      <w:r w:rsidRPr="00E8416B">
        <w:rPr>
          <w:bCs/>
          <w:lang w:eastAsia="ja-JP"/>
        </w:rPr>
        <w:t>4,001,179 patient-years of treatment.</w:t>
      </w:r>
      <w:r w:rsidR="00DB3203">
        <w:rPr>
          <w:bCs/>
          <w:lang w:eastAsia="ja-JP"/>
        </w:rPr>
        <w:t xml:space="preserve"> </w:t>
      </w:r>
      <w:r w:rsidR="000D51AD">
        <w:rPr>
          <w:bCs/>
          <w:lang w:eastAsia="ja-JP"/>
        </w:rPr>
        <w:t>Therefore,</w:t>
      </w:r>
      <w:r>
        <w:rPr>
          <w:bCs/>
          <w:lang w:eastAsia="ja-JP"/>
        </w:rPr>
        <w:t xml:space="preserve"> the number of overall patients treated and the duration of exposure to a variety of idebenone doses is considered adequate to allow characterisation of the safety profile of idebenone.</w:t>
      </w:r>
    </w:p>
    <w:p w14:paraId="0046C92E" w14:textId="77777777" w:rsidR="00F877B0" w:rsidRPr="002373D8" w:rsidRDefault="00F877B0" w:rsidP="00F877B0">
      <w:pPr>
        <w:pStyle w:val="Heading5"/>
        <w:rPr>
          <w:lang w:eastAsia="ja-JP"/>
        </w:rPr>
      </w:pPr>
      <w:r w:rsidRPr="002373D8">
        <w:rPr>
          <w:lang w:eastAsia="ja-JP"/>
        </w:rPr>
        <w:t xml:space="preserve">Duchenne </w:t>
      </w:r>
      <w:r w:rsidR="000D51AD" w:rsidRPr="002373D8">
        <w:rPr>
          <w:lang w:eastAsia="ja-JP"/>
        </w:rPr>
        <w:t>muscular dystrophy</w:t>
      </w:r>
    </w:p>
    <w:p w14:paraId="36A0A594" w14:textId="77777777" w:rsidR="00F877B0" w:rsidRDefault="00F877B0" w:rsidP="00F877B0">
      <w:pPr>
        <w:rPr>
          <w:lang w:eastAsia="ja-JP"/>
        </w:rPr>
      </w:pPr>
      <w:r>
        <w:rPr>
          <w:lang w:eastAsia="ja-JP"/>
        </w:rPr>
        <w:t>In DMD, the majority of patients experienced AEs but at a similar percentage in the idebenone (93.3%) and placebo (95.2%) treatment groups.</w:t>
      </w:r>
      <w:r w:rsidR="00DB3203">
        <w:rPr>
          <w:lang w:eastAsia="ja-JP"/>
        </w:rPr>
        <w:t xml:space="preserve"> </w:t>
      </w:r>
      <w:r>
        <w:rPr>
          <w:lang w:eastAsia="ja-JP"/>
        </w:rPr>
        <w:t>Treatment related AEs and SAEs were reported in fewer patients on idebenone (24.4% and 6.7%) than on placebo (33.3% and 14.3%).</w:t>
      </w:r>
      <w:r w:rsidR="00DB3203">
        <w:rPr>
          <w:lang w:eastAsia="ja-JP"/>
        </w:rPr>
        <w:t xml:space="preserve"> </w:t>
      </w:r>
      <w:r w:rsidRPr="0005593C">
        <w:rPr>
          <w:lang w:eastAsia="ja-JP"/>
        </w:rPr>
        <w:t>AEs reported in ≥ 10% of subjects in either treatment group (</w:t>
      </w:r>
      <w:r>
        <w:rPr>
          <w:lang w:eastAsia="ja-JP"/>
        </w:rPr>
        <w:t>idebenone</w:t>
      </w:r>
      <w:r w:rsidRPr="0005593C">
        <w:rPr>
          <w:lang w:eastAsia="ja-JP"/>
        </w:rPr>
        <w:t xml:space="preserve"> </w:t>
      </w:r>
      <w:r w:rsidR="0061481A" w:rsidRPr="0061481A">
        <w:rPr>
          <w:lang w:eastAsia="ja-JP"/>
        </w:rPr>
        <w:t>versus</w:t>
      </w:r>
      <w:r w:rsidRPr="0005593C">
        <w:rPr>
          <w:lang w:eastAsia="ja-JP"/>
        </w:rPr>
        <w:t xml:space="preserve"> placebo) </w:t>
      </w:r>
      <w:r>
        <w:rPr>
          <w:lang w:eastAsia="ja-JP"/>
        </w:rPr>
        <w:t xml:space="preserve">and higher on idebenone </w:t>
      </w:r>
      <w:r w:rsidRPr="0005593C">
        <w:rPr>
          <w:lang w:eastAsia="ja-JP"/>
        </w:rPr>
        <w:t xml:space="preserve">were diarrhoea (20.0% vs 14.3%), headache (17.8% </w:t>
      </w:r>
      <w:r w:rsidR="0061481A" w:rsidRPr="0061481A">
        <w:rPr>
          <w:lang w:eastAsia="ja-JP"/>
        </w:rPr>
        <w:t>versus</w:t>
      </w:r>
      <w:r w:rsidRPr="0005593C">
        <w:rPr>
          <w:lang w:eastAsia="ja-JP"/>
        </w:rPr>
        <w:t xml:space="preserve"> 16.7%)</w:t>
      </w:r>
      <w:r>
        <w:rPr>
          <w:lang w:eastAsia="ja-JP"/>
        </w:rPr>
        <w:t xml:space="preserve">, </w:t>
      </w:r>
      <w:r w:rsidRPr="0005593C">
        <w:rPr>
          <w:lang w:eastAsia="ja-JP"/>
        </w:rPr>
        <w:t xml:space="preserve">pyrexia (13.3% </w:t>
      </w:r>
      <w:r w:rsidR="0061481A" w:rsidRPr="0061481A">
        <w:rPr>
          <w:lang w:eastAsia="ja-JP"/>
        </w:rPr>
        <w:t>versus</w:t>
      </w:r>
      <w:r w:rsidRPr="0005593C">
        <w:rPr>
          <w:lang w:eastAsia="ja-JP"/>
        </w:rPr>
        <w:t xml:space="preserve"> 7.1%), </w:t>
      </w:r>
      <w:r w:rsidRPr="00F731FD">
        <w:rPr>
          <w:lang w:eastAsia="ja-JP"/>
        </w:rPr>
        <w:t xml:space="preserve">gastroenteritis (13.3% </w:t>
      </w:r>
      <w:r w:rsidR="0061481A" w:rsidRPr="0061481A">
        <w:rPr>
          <w:lang w:eastAsia="ja-JP"/>
        </w:rPr>
        <w:t>versus</w:t>
      </w:r>
      <w:r w:rsidRPr="00F731FD">
        <w:rPr>
          <w:lang w:eastAsia="ja-JP"/>
        </w:rPr>
        <w:t xml:space="preserve"> 2.4%), </w:t>
      </w:r>
      <w:r>
        <w:rPr>
          <w:lang w:eastAsia="ja-JP"/>
        </w:rPr>
        <w:t>and abdominal pain</w:t>
      </w:r>
      <w:r w:rsidRPr="0005593C">
        <w:rPr>
          <w:lang w:eastAsia="ja-JP"/>
        </w:rPr>
        <w:t xml:space="preserve"> (</w:t>
      </w:r>
      <w:r>
        <w:rPr>
          <w:lang w:eastAsia="ja-JP"/>
        </w:rPr>
        <w:t>11.1</w:t>
      </w:r>
      <w:r w:rsidRPr="0005593C">
        <w:rPr>
          <w:lang w:eastAsia="ja-JP"/>
        </w:rPr>
        <w:t xml:space="preserve">% </w:t>
      </w:r>
      <w:r w:rsidR="0061481A" w:rsidRPr="0061481A">
        <w:rPr>
          <w:lang w:eastAsia="ja-JP"/>
        </w:rPr>
        <w:t>versus</w:t>
      </w:r>
      <w:r w:rsidRPr="0005593C">
        <w:rPr>
          <w:lang w:eastAsia="ja-JP"/>
        </w:rPr>
        <w:t xml:space="preserve"> </w:t>
      </w:r>
      <w:r>
        <w:rPr>
          <w:lang w:eastAsia="ja-JP"/>
        </w:rPr>
        <w:t>7.1%).</w:t>
      </w:r>
      <w:r w:rsidR="00DB3203">
        <w:rPr>
          <w:lang w:eastAsia="ja-JP"/>
        </w:rPr>
        <w:t xml:space="preserve"> </w:t>
      </w:r>
      <w:r>
        <w:rPr>
          <w:lang w:eastAsia="ja-JP"/>
        </w:rPr>
        <w:t xml:space="preserve">The remaining </w:t>
      </w:r>
      <w:r w:rsidR="000D51AD">
        <w:rPr>
          <w:lang w:eastAsia="ja-JP"/>
        </w:rPr>
        <w:t>AEs reported in ≥ </w:t>
      </w:r>
      <w:r w:rsidRPr="008D3C4E">
        <w:rPr>
          <w:lang w:eastAsia="ja-JP"/>
        </w:rPr>
        <w:t xml:space="preserve">10% of subjects in either </w:t>
      </w:r>
      <w:r>
        <w:rPr>
          <w:lang w:eastAsia="ja-JP"/>
        </w:rPr>
        <w:t xml:space="preserve">DB </w:t>
      </w:r>
      <w:r w:rsidRPr="008D3C4E">
        <w:rPr>
          <w:lang w:eastAsia="ja-JP"/>
        </w:rPr>
        <w:t xml:space="preserve">treatment group </w:t>
      </w:r>
      <w:r>
        <w:rPr>
          <w:lang w:eastAsia="ja-JP"/>
        </w:rPr>
        <w:t xml:space="preserve">were </w:t>
      </w:r>
      <w:r w:rsidRPr="008D3C4E">
        <w:rPr>
          <w:lang w:eastAsia="ja-JP"/>
        </w:rPr>
        <w:t xml:space="preserve">nasopharyngitis (17.8% </w:t>
      </w:r>
      <w:r w:rsidR="0061481A">
        <w:rPr>
          <w:lang w:eastAsia="ja-JP"/>
        </w:rPr>
        <w:t>versus</w:t>
      </w:r>
      <w:r w:rsidRPr="008D3C4E">
        <w:rPr>
          <w:lang w:eastAsia="ja-JP"/>
        </w:rPr>
        <w:t xml:space="preserve"> 23.8%),</w:t>
      </w:r>
      <w:r>
        <w:rPr>
          <w:lang w:eastAsia="ja-JP"/>
        </w:rPr>
        <w:t xml:space="preserve"> </w:t>
      </w:r>
      <w:r w:rsidRPr="008D3C4E">
        <w:rPr>
          <w:lang w:eastAsia="ja-JP"/>
        </w:rPr>
        <w:t xml:space="preserve">URTI (13.3% </w:t>
      </w:r>
      <w:r w:rsidR="0061481A" w:rsidRPr="0061481A">
        <w:rPr>
          <w:lang w:eastAsia="ja-JP"/>
        </w:rPr>
        <w:t>versus</w:t>
      </w:r>
      <w:r w:rsidRPr="008D3C4E">
        <w:rPr>
          <w:lang w:eastAsia="ja-JP"/>
        </w:rPr>
        <w:t xml:space="preserve"> 19.0%),</w:t>
      </w:r>
      <w:r>
        <w:rPr>
          <w:lang w:eastAsia="ja-JP"/>
        </w:rPr>
        <w:t xml:space="preserve"> </w:t>
      </w:r>
      <w:r w:rsidRPr="008D3C4E">
        <w:rPr>
          <w:lang w:eastAsia="ja-JP"/>
        </w:rPr>
        <w:t xml:space="preserve">bronchitis (11.1% </w:t>
      </w:r>
      <w:r w:rsidR="0061481A" w:rsidRPr="0061481A">
        <w:rPr>
          <w:lang w:eastAsia="ja-JP"/>
        </w:rPr>
        <w:t>versus</w:t>
      </w:r>
      <w:r w:rsidRPr="008D3C4E">
        <w:rPr>
          <w:lang w:eastAsia="ja-JP"/>
        </w:rPr>
        <w:t xml:space="preserve"> 16.7%), constipation (6.7% </w:t>
      </w:r>
      <w:r w:rsidR="0061481A" w:rsidRPr="0061481A">
        <w:rPr>
          <w:lang w:eastAsia="ja-JP"/>
        </w:rPr>
        <w:t>versus</w:t>
      </w:r>
      <w:r w:rsidRPr="008D3C4E">
        <w:rPr>
          <w:lang w:eastAsia="ja-JP"/>
        </w:rPr>
        <w:t xml:space="preserve"> 16.7%), and rhinitis (6.7% </w:t>
      </w:r>
      <w:r w:rsidR="0061481A" w:rsidRPr="0061481A">
        <w:rPr>
          <w:lang w:eastAsia="ja-JP"/>
        </w:rPr>
        <w:t>versus</w:t>
      </w:r>
      <w:r w:rsidRPr="008D3C4E">
        <w:rPr>
          <w:lang w:eastAsia="ja-JP"/>
        </w:rPr>
        <w:t xml:space="preserve"> 16.7%).</w:t>
      </w:r>
      <w:r w:rsidR="00DB3203">
        <w:rPr>
          <w:lang w:eastAsia="ja-JP"/>
        </w:rPr>
        <w:t xml:space="preserve"> </w:t>
      </w:r>
      <w:r>
        <w:rPr>
          <w:lang w:eastAsia="ja-JP"/>
        </w:rPr>
        <w:t>There were relatively few treatment-related AEs, with only diarrhoea and chromaturia being reported by 2 or more patients on idebenone.</w:t>
      </w:r>
      <w:r w:rsidR="00DB3203">
        <w:rPr>
          <w:lang w:eastAsia="ja-JP"/>
        </w:rPr>
        <w:t xml:space="preserve"> </w:t>
      </w:r>
      <w:r>
        <w:rPr>
          <w:lang w:eastAsia="ja-JP"/>
        </w:rPr>
        <w:t>The majority of AEs and treatment-related AEs were mild to moderate in severity.</w:t>
      </w:r>
    </w:p>
    <w:p w14:paraId="4BFCFDA0" w14:textId="77777777" w:rsidR="00F877B0" w:rsidRDefault="00F877B0" w:rsidP="00F877B0">
      <w:pPr>
        <w:rPr>
          <w:lang w:eastAsia="ja-JP"/>
        </w:rPr>
      </w:pPr>
      <w:r>
        <w:rPr>
          <w:lang w:eastAsia="ja-JP"/>
        </w:rPr>
        <w:t xml:space="preserve">There were no deaths during the DMD studies, and none of the SAEs or discontinuations due to AEs were considered </w:t>
      </w:r>
      <w:r w:rsidRPr="007E7E0A">
        <w:rPr>
          <w:lang w:eastAsia="ja-JP"/>
        </w:rPr>
        <w:t>by the investigator to be treatment-related.</w:t>
      </w:r>
      <w:r w:rsidR="00DB3203">
        <w:rPr>
          <w:lang w:eastAsia="ja-JP"/>
        </w:rPr>
        <w:t xml:space="preserve"> </w:t>
      </w:r>
      <w:r>
        <w:rPr>
          <w:lang w:eastAsia="ja-JP"/>
        </w:rPr>
        <w:t xml:space="preserve">In </w:t>
      </w:r>
      <w:r w:rsidR="000D51AD">
        <w:rPr>
          <w:lang w:eastAsia="ja-JP"/>
        </w:rPr>
        <w:t>addition,</w:t>
      </w:r>
      <w:r>
        <w:rPr>
          <w:lang w:eastAsia="ja-JP"/>
        </w:rPr>
        <w:t xml:space="preserve"> there were no safety issues identified with possible regulatory impact.</w:t>
      </w:r>
    </w:p>
    <w:p w14:paraId="439AC9B4" w14:textId="76D662E6" w:rsidR="00F877B0" w:rsidRDefault="00F877B0" w:rsidP="00F877B0">
      <w:pPr>
        <w:rPr>
          <w:lang w:eastAsia="ja-JP"/>
        </w:rPr>
      </w:pPr>
      <w:r>
        <w:rPr>
          <w:lang w:eastAsia="ja-JP"/>
        </w:rPr>
        <w:t>In a post-hoc analysis of the DELOS</w:t>
      </w:r>
      <w:r w:rsidR="00F613BA">
        <w:rPr>
          <w:lang w:eastAsia="ja-JP"/>
        </w:rPr>
        <w:t xml:space="preserve"> study</w:t>
      </w:r>
      <w:r>
        <w:rPr>
          <w:lang w:eastAsia="ja-JP"/>
        </w:rPr>
        <w:t xml:space="preserve"> data, clinically relevant bronchopulmonary AEs were identified by a study-independent physician and compared between the idebenone and placebo treatment groups.</w:t>
      </w:r>
      <w:r w:rsidR="00DB3203">
        <w:rPr>
          <w:lang w:eastAsia="ja-JP"/>
        </w:rPr>
        <w:t xml:space="preserve"> </w:t>
      </w:r>
      <w:r>
        <w:rPr>
          <w:lang w:eastAsia="ja-JP"/>
        </w:rPr>
        <w:t xml:space="preserve">Fewer patients on idebenone (19.4%) had BAEs than those </w:t>
      </w:r>
      <w:r>
        <w:rPr>
          <w:lang w:eastAsia="ja-JP"/>
        </w:rPr>
        <w:lastRenderedPageBreak/>
        <w:t>on placebo (51.5%), and the duration of BAEs and systemic antibiotic use was shorter in the idebenone group.</w:t>
      </w:r>
    </w:p>
    <w:p w14:paraId="2438CB6B" w14:textId="77777777" w:rsidR="00F877B0" w:rsidRDefault="00F877B0" w:rsidP="00F877B0">
      <w:pPr>
        <w:rPr>
          <w:lang w:eastAsia="ja-JP"/>
        </w:rPr>
      </w:pPr>
      <w:r>
        <w:rPr>
          <w:lang w:eastAsia="ja-JP"/>
        </w:rPr>
        <w:t>Overall, the safety profile of idebenone in DMD appears relatively benign.</w:t>
      </w:r>
    </w:p>
    <w:p w14:paraId="31E09739" w14:textId="64474181" w:rsidR="00F877B0" w:rsidRPr="002373D8" w:rsidRDefault="00F877B0" w:rsidP="00F877B0">
      <w:pPr>
        <w:pStyle w:val="Heading5"/>
        <w:rPr>
          <w:lang w:eastAsia="ja-JP"/>
        </w:rPr>
      </w:pPr>
      <w:r w:rsidRPr="002373D8">
        <w:rPr>
          <w:lang w:eastAsia="ja-JP"/>
        </w:rPr>
        <w:t xml:space="preserve">Integrated </w:t>
      </w:r>
      <w:r w:rsidR="00640C58" w:rsidRPr="002373D8">
        <w:rPr>
          <w:lang w:eastAsia="ja-JP"/>
        </w:rPr>
        <w:t>safety analysis population</w:t>
      </w:r>
    </w:p>
    <w:p w14:paraId="101626E6" w14:textId="5521BEA5" w:rsidR="00F877B0" w:rsidRDefault="00F877B0" w:rsidP="00F877B0">
      <w:pPr>
        <w:rPr>
          <w:lang w:eastAsia="ja-JP"/>
        </w:rPr>
      </w:pPr>
      <w:r>
        <w:rPr>
          <w:lang w:eastAsia="ja-JP"/>
        </w:rPr>
        <w:t>In the integrated safety analysis</w:t>
      </w:r>
      <w:r w:rsidR="000D51AD">
        <w:rPr>
          <w:lang w:eastAsia="ja-JP"/>
        </w:rPr>
        <w:t>,</w:t>
      </w:r>
      <w:r>
        <w:rPr>
          <w:lang w:eastAsia="ja-JP"/>
        </w:rPr>
        <w:t xml:space="preserve"> t</w:t>
      </w:r>
      <w:r w:rsidRPr="007E7E0A">
        <w:rPr>
          <w:lang w:eastAsia="ja-JP"/>
        </w:rPr>
        <w:t>he percentage of subjects on idebenone (all doses combined) in each indication who reported at least 1 AE ranged from 89.1% (LHON) to 97.3% (FRDA)</w:t>
      </w:r>
      <w:r>
        <w:rPr>
          <w:lang w:eastAsia="ja-JP"/>
        </w:rPr>
        <w:t>, and was similar in the idebenone and placebo DB treatment groups.</w:t>
      </w:r>
      <w:r w:rsidR="00DB3203">
        <w:rPr>
          <w:lang w:eastAsia="ja-JP"/>
        </w:rPr>
        <w:t xml:space="preserve"> </w:t>
      </w:r>
      <w:r w:rsidRPr="007E7E0A">
        <w:rPr>
          <w:lang w:eastAsia="ja-JP"/>
        </w:rPr>
        <w:t xml:space="preserve">AEs reported in </w:t>
      </w:r>
      <w:r w:rsidR="000D51AD">
        <w:rPr>
          <w:lang w:eastAsia="ja-JP"/>
        </w:rPr>
        <w:t>≥</w:t>
      </w:r>
      <w:r w:rsidRPr="007E7E0A">
        <w:rPr>
          <w:lang w:eastAsia="ja-JP"/>
        </w:rPr>
        <w:t xml:space="preserve"> 10% of subjects in either treatment group (idebenone </w:t>
      </w:r>
      <w:r w:rsidR="0061481A" w:rsidRPr="0061481A">
        <w:rPr>
          <w:lang w:eastAsia="ja-JP"/>
        </w:rPr>
        <w:t>versus</w:t>
      </w:r>
      <w:r w:rsidRPr="007E7E0A">
        <w:rPr>
          <w:lang w:eastAsia="ja-JP"/>
        </w:rPr>
        <w:t xml:space="preserve"> placebo) and higher on idebenone were </w:t>
      </w:r>
      <w:r w:rsidRPr="00502258">
        <w:rPr>
          <w:lang w:eastAsia="ja-JP"/>
        </w:rPr>
        <w:t xml:space="preserve">headache (29.8% </w:t>
      </w:r>
      <w:r w:rsidR="0061481A" w:rsidRPr="0061481A">
        <w:rPr>
          <w:lang w:eastAsia="ja-JP"/>
        </w:rPr>
        <w:t>versus</w:t>
      </w:r>
      <w:r w:rsidRPr="00502258">
        <w:rPr>
          <w:lang w:eastAsia="ja-JP"/>
        </w:rPr>
        <w:t xml:space="preserve"> 29.5%), nasopharyngitis (</w:t>
      </w:r>
      <w:r>
        <w:rPr>
          <w:lang w:eastAsia="ja-JP"/>
        </w:rPr>
        <w:t>26.7</w:t>
      </w:r>
      <w:r w:rsidRPr="00502258">
        <w:rPr>
          <w:lang w:eastAsia="ja-JP"/>
        </w:rPr>
        <w:t xml:space="preserve">% </w:t>
      </w:r>
      <w:r w:rsidR="0061481A">
        <w:rPr>
          <w:lang w:eastAsia="ja-JP"/>
        </w:rPr>
        <w:t>versus</w:t>
      </w:r>
      <w:r w:rsidRPr="00502258">
        <w:rPr>
          <w:lang w:eastAsia="ja-JP"/>
        </w:rPr>
        <w:t xml:space="preserve"> </w:t>
      </w:r>
      <w:r>
        <w:rPr>
          <w:lang w:eastAsia="ja-JP"/>
        </w:rPr>
        <w:t>21.7</w:t>
      </w:r>
      <w:r w:rsidRPr="00502258">
        <w:rPr>
          <w:lang w:eastAsia="ja-JP"/>
        </w:rPr>
        <w:t>%)</w:t>
      </w:r>
      <w:r>
        <w:rPr>
          <w:lang w:eastAsia="ja-JP"/>
        </w:rPr>
        <w:t xml:space="preserve">, </w:t>
      </w:r>
      <w:r w:rsidRPr="007E7E0A">
        <w:rPr>
          <w:lang w:eastAsia="ja-JP"/>
        </w:rPr>
        <w:t>diarrhoea (</w:t>
      </w:r>
      <w:r>
        <w:rPr>
          <w:lang w:eastAsia="ja-JP"/>
        </w:rPr>
        <w:t>17.1</w:t>
      </w:r>
      <w:r w:rsidRPr="007E7E0A">
        <w:rPr>
          <w:lang w:eastAsia="ja-JP"/>
        </w:rPr>
        <w:t xml:space="preserve">% </w:t>
      </w:r>
      <w:r w:rsidR="0061481A" w:rsidRPr="0061481A">
        <w:rPr>
          <w:lang w:eastAsia="ja-JP"/>
        </w:rPr>
        <w:t>versus</w:t>
      </w:r>
      <w:r w:rsidRPr="007E7E0A">
        <w:rPr>
          <w:lang w:eastAsia="ja-JP"/>
        </w:rPr>
        <w:t xml:space="preserve"> </w:t>
      </w:r>
      <w:r>
        <w:rPr>
          <w:lang w:eastAsia="ja-JP"/>
        </w:rPr>
        <w:t>11.4</w:t>
      </w:r>
      <w:r w:rsidRPr="007E7E0A">
        <w:rPr>
          <w:lang w:eastAsia="ja-JP"/>
        </w:rPr>
        <w:t xml:space="preserve">%), </w:t>
      </w:r>
      <w:r>
        <w:rPr>
          <w:lang w:eastAsia="ja-JP"/>
        </w:rPr>
        <w:t>and nausea</w:t>
      </w:r>
      <w:r w:rsidRPr="007E7E0A">
        <w:rPr>
          <w:lang w:eastAsia="ja-JP"/>
        </w:rPr>
        <w:t xml:space="preserve"> (</w:t>
      </w:r>
      <w:r>
        <w:rPr>
          <w:lang w:eastAsia="ja-JP"/>
        </w:rPr>
        <w:t>12.1</w:t>
      </w:r>
      <w:r w:rsidRPr="007E7E0A">
        <w:rPr>
          <w:lang w:eastAsia="ja-JP"/>
        </w:rPr>
        <w:t xml:space="preserve">% </w:t>
      </w:r>
      <w:r w:rsidR="0061481A" w:rsidRPr="0061481A">
        <w:rPr>
          <w:lang w:eastAsia="ja-JP"/>
        </w:rPr>
        <w:t>versus</w:t>
      </w:r>
      <w:r w:rsidRPr="007E7E0A">
        <w:rPr>
          <w:lang w:eastAsia="ja-JP"/>
        </w:rPr>
        <w:t xml:space="preserve"> </w:t>
      </w:r>
      <w:r>
        <w:rPr>
          <w:lang w:eastAsia="ja-JP"/>
        </w:rPr>
        <w:t>10.2%)</w:t>
      </w:r>
      <w:r w:rsidRPr="007E7E0A">
        <w:rPr>
          <w:lang w:eastAsia="ja-JP"/>
        </w:rPr>
        <w:t>.</w:t>
      </w:r>
      <w:r w:rsidR="00DB3203">
        <w:rPr>
          <w:lang w:eastAsia="ja-JP"/>
        </w:rPr>
        <w:t xml:space="preserve"> </w:t>
      </w:r>
      <w:r w:rsidRPr="007E7E0A">
        <w:rPr>
          <w:lang w:eastAsia="ja-JP"/>
        </w:rPr>
        <w:t xml:space="preserve">The remaining AE reported in </w:t>
      </w:r>
      <w:r w:rsidR="000D51AD">
        <w:rPr>
          <w:lang w:eastAsia="ja-JP"/>
        </w:rPr>
        <w:t>≥</w:t>
      </w:r>
      <w:r w:rsidRPr="007E7E0A">
        <w:rPr>
          <w:lang w:eastAsia="ja-JP"/>
        </w:rPr>
        <w:t xml:space="preserve"> 10% of subjects in either </w:t>
      </w:r>
      <w:r>
        <w:rPr>
          <w:lang w:eastAsia="ja-JP"/>
        </w:rPr>
        <w:t xml:space="preserve">DB </w:t>
      </w:r>
      <w:r w:rsidRPr="007E7E0A">
        <w:rPr>
          <w:lang w:eastAsia="ja-JP"/>
        </w:rPr>
        <w:t xml:space="preserve">treatment group </w:t>
      </w:r>
      <w:r>
        <w:rPr>
          <w:lang w:eastAsia="ja-JP"/>
        </w:rPr>
        <w:t>was</w:t>
      </w:r>
      <w:r w:rsidRPr="007E7E0A">
        <w:rPr>
          <w:lang w:eastAsia="ja-JP"/>
        </w:rPr>
        <w:t xml:space="preserve"> URTI (</w:t>
      </w:r>
      <w:r>
        <w:rPr>
          <w:lang w:eastAsia="ja-JP"/>
        </w:rPr>
        <w:t>10.4</w:t>
      </w:r>
      <w:r w:rsidRPr="007E7E0A">
        <w:rPr>
          <w:lang w:eastAsia="ja-JP"/>
        </w:rPr>
        <w:t xml:space="preserve">% </w:t>
      </w:r>
      <w:r w:rsidR="0061481A" w:rsidRPr="0061481A">
        <w:rPr>
          <w:lang w:eastAsia="ja-JP"/>
        </w:rPr>
        <w:t>versus</w:t>
      </w:r>
      <w:r w:rsidRPr="007E7E0A">
        <w:rPr>
          <w:lang w:eastAsia="ja-JP"/>
        </w:rPr>
        <w:t xml:space="preserve"> </w:t>
      </w:r>
      <w:r>
        <w:rPr>
          <w:lang w:eastAsia="ja-JP"/>
        </w:rPr>
        <w:t>13.9</w:t>
      </w:r>
      <w:r w:rsidRPr="007E7E0A">
        <w:rPr>
          <w:lang w:eastAsia="ja-JP"/>
        </w:rPr>
        <w:t>%).</w:t>
      </w:r>
      <w:r w:rsidR="00DB3203">
        <w:rPr>
          <w:lang w:eastAsia="ja-JP"/>
        </w:rPr>
        <w:t xml:space="preserve"> </w:t>
      </w:r>
      <w:r>
        <w:rPr>
          <w:lang w:eastAsia="ja-JP"/>
        </w:rPr>
        <w:t xml:space="preserve">The highest proportion of treatment-related AEs occurred in the FRDA population (65.0%), but in the combined SAS </w:t>
      </w:r>
      <w:r w:rsidRPr="00B732F4">
        <w:rPr>
          <w:lang w:eastAsia="ja-JP"/>
        </w:rPr>
        <w:t xml:space="preserve">was similar in idebenone (all doses combined) and placebo </w:t>
      </w:r>
      <w:r w:rsidR="00F613BA">
        <w:rPr>
          <w:lang w:eastAsia="ja-JP"/>
        </w:rPr>
        <w:t>double blind</w:t>
      </w:r>
      <w:r w:rsidR="00F613BA" w:rsidRPr="00B732F4">
        <w:rPr>
          <w:lang w:eastAsia="ja-JP"/>
        </w:rPr>
        <w:t xml:space="preserve"> </w:t>
      </w:r>
      <w:r w:rsidRPr="00B732F4">
        <w:rPr>
          <w:lang w:eastAsia="ja-JP"/>
        </w:rPr>
        <w:t xml:space="preserve">treatment groups (idebenone 44.9% </w:t>
      </w:r>
      <w:r w:rsidR="0061481A" w:rsidRPr="0061481A">
        <w:rPr>
          <w:lang w:eastAsia="ja-JP"/>
        </w:rPr>
        <w:t>versus</w:t>
      </w:r>
      <w:r w:rsidRPr="00B732F4">
        <w:rPr>
          <w:lang w:eastAsia="ja-JP"/>
        </w:rPr>
        <w:t xml:space="preserve"> placebo 39.8%).</w:t>
      </w:r>
      <w:r w:rsidR="00DB3203">
        <w:rPr>
          <w:lang w:eastAsia="ja-JP"/>
        </w:rPr>
        <w:t xml:space="preserve"> </w:t>
      </w:r>
      <w:r w:rsidRPr="00B732F4">
        <w:rPr>
          <w:lang w:eastAsia="ja-JP"/>
        </w:rPr>
        <w:t>The most common treatment related AE</w:t>
      </w:r>
      <w:r>
        <w:rPr>
          <w:lang w:eastAsia="ja-JP"/>
        </w:rPr>
        <w:t>s</w:t>
      </w:r>
      <w:r w:rsidRPr="00B732F4">
        <w:rPr>
          <w:lang w:eastAsia="ja-JP"/>
        </w:rPr>
        <w:t xml:space="preserve"> reported in ≥ </w:t>
      </w:r>
      <w:r>
        <w:rPr>
          <w:lang w:eastAsia="ja-JP"/>
        </w:rPr>
        <w:t>5</w:t>
      </w:r>
      <w:r w:rsidRPr="00B732F4">
        <w:rPr>
          <w:lang w:eastAsia="ja-JP"/>
        </w:rPr>
        <w:t xml:space="preserve">% of subjects in either treatment group (idebenone </w:t>
      </w:r>
      <w:r w:rsidR="0061481A" w:rsidRPr="0061481A">
        <w:rPr>
          <w:lang w:eastAsia="ja-JP"/>
        </w:rPr>
        <w:t>versus</w:t>
      </w:r>
      <w:r w:rsidRPr="00B732F4">
        <w:rPr>
          <w:lang w:eastAsia="ja-JP"/>
        </w:rPr>
        <w:t xml:space="preserve"> placebo) </w:t>
      </w:r>
      <w:r>
        <w:rPr>
          <w:lang w:eastAsia="ja-JP"/>
        </w:rPr>
        <w:t>were</w:t>
      </w:r>
      <w:r w:rsidRPr="00B732F4">
        <w:rPr>
          <w:lang w:eastAsia="ja-JP"/>
        </w:rPr>
        <w:t xml:space="preserve"> headache </w:t>
      </w:r>
      <w:r>
        <w:rPr>
          <w:lang w:eastAsia="ja-JP"/>
        </w:rPr>
        <w:t>(</w:t>
      </w:r>
      <w:r w:rsidRPr="00B732F4">
        <w:rPr>
          <w:lang w:eastAsia="ja-JP"/>
        </w:rPr>
        <w:t xml:space="preserve">12.6% </w:t>
      </w:r>
      <w:r w:rsidR="0061481A" w:rsidRPr="0061481A">
        <w:rPr>
          <w:lang w:eastAsia="ja-JP"/>
        </w:rPr>
        <w:t>versus</w:t>
      </w:r>
      <w:r w:rsidRPr="00B732F4">
        <w:rPr>
          <w:lang w:eastAsia="ja-JP"/>
        </w:rPr>
        <w:t xml:space="preserve"> 13.0%</w:t>
      </w:r>
      <w:r>
        <w:rPr>
          <w:lang w:eastAsia="ja-JP"/>
        </w:rPr>
        <w:t>),</w:t>
      </w:r>
      <w:r w:rsidRPr="00B732F4">
        <w:rPr>
          <w:lang w:eastAsia="ja-JP"/>
        </w:rPr>
        <w:t xml:space="preserve"> diarrhoea (9.6% </w:t>
      </w:r>
      <w:r w:rsidR="0061481A" w:rsidRPr="0061481A">
        <w:rPr>
          <w:lang w:eastAsia="ja-JP"/>
        </w:rPr>
        <w:t>versus</w:t>
      </w:r>
      <w:r w:rsidRPr="00B732F4">
        <w:rPr>
          <w:lang w:eastAsia="ja-JP"/>
        </w:rPr>
        <w:t xml:space="preserve"> 5.4%) and nausea (9.3% </w:t>
      </w:r>
      <w:r w:rsidR="0061481A">
        <w:rPr>
          <w:lang w:eastAsia="ja-JP"/>
        </w:rPr>
        <w:t>versus</w:t>
      </w:r>
      <w:r w:rsidRPr="00B732F4">
        <w:rPr>
          <w:lang w:eastAsia="ja-JP"/>
        </w:rPr>
        <w:t xml:space="preserve"> 8.4%).</w:t>
      </w:r>
      <w:r w:rsidR="00DB3203">
        <w:rPr>
          <w:lang w:eastAsia="ja-JP"/>
        </w:rPr>
        <w:t xml:space="preserve"> </w:t>
      </w:r>
      <w:r w:rsidRPr="001C6461">
        <w:rPr>
          <w:lang w:eastAsia="ja-JP"/>
        </w:rPr>
        <w:t xml:space="preserve">While there was some variability in </w:t>
      </w:r>
      <w:r>
        <w:rPr>
          <w:lang w:eastAsia="ja-JP"/>
        </w:rPr>
        <w:t xml:space="preserve">the incidence of individual AEs </w:t>
      </w:r>
      <w:r w:rsidRPr="001C6461">
        <w:rPr>
          <w:lang w:eastAsia="ja-JP"/>
        </w:rPr>
        <w:t xml:space="preserve">across the indications (no treatment-related AEs were reported in </w:t>
      </w:r>
      <w:r w:rsidR="000D51AD">
        <w:rPr>
          <w:lang w:eastAsia="ja-JP"/>
        </w:rPr>
        <w:t>≥</w:t>
      </w:r>
      <w:r>
        <w:rPr>
          <w:rFonts w:eastAsia="MS Mincho" w:hint="eastAsia"/>
          <w:lang w:eastAsia="ja-JP"/>
        </w:rPr>
        <w:t xml:space="preserve"> </w:t>
      </w:r>
      <w:r w:rsidRPr="001C6461">
        <w:rPr>
          <w:lang w:eastAsia="ja-JP"/>
        </w:rPr>
        <w:t>5% of LHON subjects), overall the safety profiles were similar.</w:t>
      </w:r>
    </w:p>
    <w:p w14:paraId="3CDEFA14" w14:textId="24BC6908" w:rsidR="00F877B0" w:rsidRPr="00B036D5" w:rsidRDefault="00F877B0" w:rsidP="00F877B0">
      <w:pPr>
        <w:rPr>
          <w:lang w:eastAsia="ja-JP"/>
        </w:rPr>
      </w:pPr>
      <w:r w:rsidRPr="00B036D5">
        <w:rPr>
          <w:lang w:eastAsia="ja-JP"/>
        </w:rPr>
        <w:t xml:space="preserve">Only a single death occurred in the SAS: one </w:t>
      </w:r>
      <w:r>
        <w:rPr>
          <w:lang w:eastAsia="ja-JP"/>
        </w:rPr>
        <w:t xml:space="preserve">FRDA </w:t>
      </w:r>
      <w:r w:rsidRPr="00B036D5">
        <w:rPr>
          <w:lang w:eastAsia="ja-JP"/>
        </w:rPr>
        <w:t xml:space="preserve">patient died of myocardial infarction during the MICONOS-extension </w:t>
      </w:r>
      <w:r w:rsidR="00F613BA">
        <w:rPr>
          <w:lang w:eastAsia="ja-JP"/>
        </w:rPr>
        <w:t>s</w:t>
      </w:r>
      <w:r w:rsidR="003173BB">
        <w:rPr>
          <w:lang w:eastAsia="ja-JP"/>
        </w:rPr>
        <w:t>tudy</w:t>
      </w:r>
      <w:r w:rsidRPr="00B036D5">
        <w:rPr>
          <w:lang w:eastAsia="ja-JP"/>
        </w:rPr>
        <w:t>.</w:t>
      </w:r>
      <w:r w:rsidR="00DB3203">
        <w:rPr>
          <w:lang w:eastAsia="ja-JP"/>
        </w:rPr>
        <w:t xml:space="preserve"> </w:t>
      </w:r>
      <w:r w:rsidRPr="00B036D5">
        <w:rPr>
          <w:lang w:eastAsia="ja-JP"/>
        </w:rPr>
        <w:t>The investigator assessed the death as unrelated to the study drug and attributed the event to the patient's underlying disease/pre-existing condition.</w:t>
      </w:r>
    </w:p>
    <w:p w14:paraId="512CB7C4" w14:textId="77777777" w:rsidR="00F877B0" w:rsidRDefault="00F877B0" w:rsidP="00F877B0">
      <w:pPr>
        <w:rPr>
          <w:lang w:eastAsia="ja-JP"/>
        </w:rPr>
      </w:pPr>
      <w:r w:rsidRPr="00B036D5">
        <w:rPr>
          <w:lang w:eastAsia="ja-JP"/>
        </w:rPr>
        <w:t>The incidences of SAEs in the overall SAS</w:t>
      </w:r>
      <w:r>
        <w:rPr>
          <w:lang w:eastAsia="ja-JP"/>
        </w:rPr>
        <w:t xml:space="preserve"> </w:t>
      </w:r>
      <w:r w:rsidRPr="00B036D5">
        <w:rPr>
          <w:lang w:eastAsia="ja-JP"/>
        </w:rPr>
        <w:t xml:space="preserve">was similar in idebenone (all doses combined) and placebo DB treatment groups (idebenone 7.0% </w:t>
      </w:r>
      <w:r w:rsidR="0061481A" w:rsidRPr="0061481A">
        <w:rPr>
          <w:lang w:eastAsia="ja-JP"/>
        </w:rPr>
        <w:t>versus</w:t>
      </w:r>
      <w:r w:rsidRPr="00B036D5">
        <w:rPr>
          <w:lang w:eastAsia="ja-JP"/>
        </w:rPr>
        <w:t xml:space="preserve"> placebo 8.4</w:t>
      </w:r>
      <w:r>
        <w:rPr>
          <w:lang w:eastAsia="ja-JP"/>
        </w:rPr>
        <w:t>%), but was highest in the FRDA population (21.1%).</w:t>
      </w:r>
      <w:r w:rsidR="00DB3203">
        <w:rPr>
          <w:lang w:eastAsia="ja-JP"/>
        </w:rPr>
        <w:t xml:space="preserve"> </w:t>
      </w:r>
      <w:r>
        <w:rPr>
          <w:lang w:eastAsia="ja-JP"/>
        </w:rPr>
        <w:t xml:space="preserve">Treatment-related AEs occurred also occurred in a similar proportion of patients </w:t>
      </w:r>
      <w:r w:rsidRPr="0051757A">
        <w:rPr>
          <w:lang w:eastAsia="ja-JP"/>
        </w:rPr>
        <w:t xml:space="preserve">(idebenone </w:t>
      </w:r>
      <w:r>
        <w:rPr>
          <w:lang w:eastAsia="ja-JP"/>
        </w:rPr>
        <w:t>1.4</w:t>
      </w:r>
      <w:r w:rsidRPr="0051757A">
        <w:rPr>
          <w:lang w:eastAsia="ja-JP"/>
        </w:rPr>
        <w:t xml:space="preserve">% </w:t>
      </w:r>
      <w:r w:rsidR="0061481A" w:rsidRPr="0061481A">
        <w:rPr>
          <w:lang w:eastAsia="ja-JP"/>
        </w:rPr>
        <w:t>versus</w:t>
      </w:r>
      <w:r w:rsidRPr="0051757A">
        <w:rPr>
          <w:lang w:eastAsia="ja-JP"/>
        </w:rPr>
        <w:t xml:space="preserve"> placebo </w:t>
      </w:r>
      <w:r>
        <w:rPr>
          <w:lang w:eastAsia="ja-JP"/>
        </w:rPr>
        <w:t>1.2</w:t>
      </w:r>
      <w:r w:rsidRPr="0051757A">
        <w:rPr>
          <w:lang w:eastAsia="ja-JP"/>
        </w:rPr>
        <w:t>%)</w:t>
      </w:r>
      <w:r>
        <w:rPr>
          <w:lang w:eastAsia="ja-JP"/>
        </w:rPr>
        <w:t>.</w:t>
      </w:r>
      <w:r w:rsidR="00DB3203">
        <w:rPr>
          <w:lang w:eastAsia="ja-JP"/>
        </w:rPr>
        <w:t xml:space="preserve"> </w:t>
      </w:r>
      <w:r w:rsidRPr="0051757A">
        <w:rPr>
          <w:lang w:eastAsia="ja-JP"/>
        </w:rPr>
        <w:t>The incidence of study discontinuations due to AEs was low and similar in idebenone (all doses combined) and placebo DB treatment groups (idebenone 2.0% v</w:t>
      </w:r>
      <w:r w:rsidR="000D51AD">
        <w:rPr>
          <w:lang w:eastAsia="ja-JP"/>
        </w:rPr>
        <w:t>ersus</w:t>
      </w:r>
      <w:r w:rsidRPr="0051757A">
        <w:rPr>
          <w:lang w:eastAsia="ja-JP"/>
        </w:rPr>
        <w:t xml:space="preserve"> placebo 3.0%)</w:t>
      </w:r>
      <w:r>
        <w:rPr>
          <w:lang w:eastAsia="ja-JP"/>
        </w:rPr>
        <w:t>.</w:t>
      </w:r>
    </w:p>
    <w:p w14:paraId="3B92C6A0" w14:textId="77777777" w:rsidR="00F877B0" w:rsidRPr="00F731FD" w:rsidRDefault="00F877B0" w:rsidP="00F877B0">
      <w:pPr>
        <w:rPr>
          <w:lang w:eastAsia="ja-JP"/>
        </w:rPr>
      </w:pPr>
      <w:r w:rsidRPr="001266B6">
        <w:rPr>
          <w:lang w:eastAsia="ja-JP"/>
        </w:rPr>
        <w:t>While there was some variability in the incidence of individual AEs</w:t>
      </w:r>
      <w:r>
        <w:rPr>
          <w:lang w:eastAsia="ja-JP"/>
        </w:rPr>
        <w:t xml:space="preserve"> / SAEs</w:t>
      </w:r>
      <w:r w:rsidRPr="001266B6">
        <w:rPr>
          <w:lang w:eastAsia="ja-JP"/>
        </w:rPr>
        <w:t xml:space="preserve"> across the indications, overall the safety profiles were similar</w:t>
      </w:r>
      <w:r>
        <w:rPr>
          <w:lang w:eastAsia="ja-JP"/>
        </w:rPr>
        <w:t xml:space="preserve"> in the DMD and integrated safety analysis populations.</w:t>
      </w:r>
    </w:p>
    <w:p w14:paraId="08DABB99" w14:textId="77777777" w:rsidR="00F877B0" w:rsidRDefault="00F877B0" w:rsidP="00F877B0">
      <w:pPr>
        <w:rPr>
          <w:lang w:eastAsia="ja-JP"/>
        </w:rPr>
      </w:pPr>
      <w:r>
        <w:rPr>
          <w:lang w:eastAsia="ja-JP"/>
        </w:rPr>
        <w:t>While information on the safety of idebenone in DMD is limited, there is a long history of idebenone use in other indications.</w:t>
      </w:r>
      <w:r w:rsidR="00DB3203">
        <w:rPr>
          <w:lang w:eastAsia="ja-JP"/>
        </w:rPr>
        <w:t xml:space="preserve"> </w:t>
      </w:r>
      <w:r>
        <w:rPr>
          <w:lang w:eastAsia="ja-JP"/>
        </w:rPr>
        <w:t>Admittedly much of this information is for idebenone use at a lower dose than is proposed for DMD and in adults rather than children, however the types and severity of AEs experienced are generally fairly benign and readily managed.</w:t>
      </w:r>
      <w:r w:rsidR="00DB3203">
        <w:rPr>
          <w:lang w:eastAsia="ja-JP"/>
        </w:rPr>
        <w:t xml:space="preserve"> </w:t>
      </w:r>
      <w:r>
        <w:rPr>
          <w:lang w:eastAsia="ja-JP"/>
        </w:rPr>
        <w:t>No new safety signals were identified in the submitted PSURs.</w:t>
      </w:r>
    </w:p>
    <w:p w14:paraId="4A5B9D65" w14:textId="77777777" w:rsidR="00605AD4" w:rsidRPr="00605AD4" w:rsidRDefault="00605AD4" w:rsidP="00605AD4">
      <w:pPr>
        <w:pStyle w:val="Heading3"/>
        <w:rPr>
          <w:rFonts w:eastAsia="Cambria"/>
        </w:rPr>
      </w:pPr>
      <w:bookmarkStart w:id="215" w:name="_Toc32828538"/>
      <w:r w:rsidRPr="00605AD4">
        <w:rPr>
          <w:rFonts w:eastAsia="Cambria"/>
        </w:rPr>
        <w:lastRenderedPageBreak/>
        <w:t xml:space="preserve">First </w:t>
      </w:r>
      <w:r w:rsidR="00F877B0" w:rsidRPr="00605AD4">
        <w:rPr>
          <w:rFonts w:eastAsia="Cambria"/>
        </w:rPr>
        <w:t>round benefit-risk assessment</w:t>
      </w:r>
      <w:bookmarkEnd w:id="215"/>
    </w:p>
    <w:p w14:paraId="37B20A1A" w14:textId="77777777" w:rsidR="00605AD4" w:rsidRDefault="00605AD4" w:rsidP="00605AD4">
      <w:pPr>
        <w:pStyle w:val="Heading4"/>
      </w:pPr>
      <w:r w:rsidRPr="00605AD4">
        <w:t>First round assessment of benefits</w:t>
      </w:r>
    </w:p>
    <w:p w14:paraId="443A5C30" w14:textId="77777777" w:rsidR="00500337" w:rsidRDefault="0030092C" w:rsidP="00F877B0">
      <w:pPr>
        <w:pStyle w:val="TableTitle"/>
      </w:pPr>
      <w:r>
        <w:t>Table 13</w:t>
      </w:r>
      <w:r w:rsidR="000D51AD">
        <w:t>:</w:t>
      </w:r>
      <w:r w:rsidR="00F877B0">
        <w:t xml:space="preserve"> </w:t>
      </w:r>
      <w:r w:rsidR="00F877B0" w:rsidRPr="00605AD4">
        <w:t>First round assessment of benefits</w:t>
      </w:r>
    </w:p>
    <w:tbl>
      <w:tblPr>
        <w:tblStyle w:val="TableGrid"/>
        <w:tblW w:w="0" w:type="auto"/>
        <w:tblInd w:w="108" w:type="dxa"/>
        <w:tblLook w:val="04A0" w:firstRow="1" w:lastRow="0" w:firstColumn="1" w:lastColumn="0" w:noHBand="0" w:noVBand="1"/>
      </w:tblPr>
      <w:tblGrid>
        <w:gridCol w:w="2610"/>
        <w:gridCol w:w="5776"/>
      </w:tblGrid>
      <w:tr w:rsidR="00F877B0" w:rsidRPr="00C37A1D" w14:paraId="3940B3A0" w14:textId="77777777" w:rsidTr="00DB3203">
        <w:trPr>
          <w:tblHeader/>
        </w:trPr>
        <w:tc>
          <w:tcPr>
            <w:tcW w:w="8789" w:type="dxa"/>
            <w:gridSpan w:val="2"/>
            <w:shd w:val="clear" w:color="auto" w:fill="006DA7" w:themeFill="accent3"/>
          </w:tcPr>
          <w:p w14:paraId="0DEF87FD" w14:textId="77777777" w:rsidR="00F877B0" w:rsidRPr="0013182D" w:rsidRDefault="00F877B0" w:rsidP="00DB3203">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r>
              <w:rPr>
                <w:rFonts w:asciiTheme="minorHAnsi" w:hAnsiTheme="minorHAnsi"/>
                <w:b/>
                <w:color w:val="FFFFFF" w:themeColor="background1"/>
                <w:sz w:val="22"/>
                <w:szCs w:val="22"/>
              </w:rPr>
              <w:t xml:space="preserve">: </w:t>
            </w:r>
            <w:r w:rsidRPr="0062394E">
              <w:rPr>
                <w:rFonts w:asciiTheme="minorHAnsi" w:hAnsiTheme="minorHAnsi"/>
                <w:b/>
                <w:color w:val="FFFFFF" w:themeColor="background1"/>
                <w:sz w:val="22"/>
                <w:szCs w:val="22"/>
              </w:rPr>
              <w:t>treatment of patients with DMD in whom respiratory function has started to decline and who are currently not taking concomitant glucocorticoids.</w:t>
            </w:r>
          </w:p>
        </w:tc>
      </w:tr>
      <w:tr w:rsidR="00F877B0" w:rsidRPr="00C37A1D" w14:paraId="544DDBF3" w14:textId="77777777" w:rsidTr="00DB3203">
        <w:trPr>
          <w:tblHeader/>
        </w:trPr>
        <w:tc>
          <w:tcPr>
            <w:tcW w:w="2694" w:type="dxa"/>
            <w:shd w:val="clear" w:color="auto" w:fill="00517D" w:themeFill="accent3" w:themeFillShade="BF"/>
          </w:tcPr>
          <w:p w14:paraId="0237DC3E" w14:textId="77777777" w:rsidR="00F877B0" w:rsidRPr="0013182D" w:rsidRDefault="00F877B0" w:rsidP="00DB3203">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6095" w:type="dxa"/>
            <w:shd w:val="clear" w:color="auto" w:fill="00517D" w:themeFill="accent3" w:themeFillShade="BF"/>
          </w:tcPr>
          <w:p w14:paraId="3408E534" w14:textId="30EBB1D4" w:rsidR="00F877B0" w:rsidRPr="0013182D" w:rsidRDefault="00F877B0" w:rsidP="00640C58">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 xml:space="preserve">Strengths and </w:t>
            </w:r>
            <w:r w:rsidR="00640C58">
              <w:rPr>
                <w:rFonts w:asciiTheme="minorHAnsi" w:hAnsiTheme="minorHAnsi"/>
                <w:b/>
                <w:color w:val="FFFFFF" w:themeColor="background1"/>
                <w:sz w:val="22"/>
                <w:szCs w:val="22"/>
              </w:rPr>
              <w:t>u</w:t>
            </w:r>
            <w:r w:rsidR="00640C58" w:rsidRPr="0013182D">
              <w:rPr>
                <w:rFonts w:asciiTheme="minorHAnsi" w:hAnsiTheme="minorHAnsi"/>
                <w:b/>
                <w:color w:val="FFFFFF" w:themeColor="background1"/>
                <w:sz w:val="22"/>
                <w:szCs w:val="22"/>
              </w:rPr>
              <w:t>ncertainties</w:t>
            </w:r>
          </w:p>
        </w:tc>
      </w:tr>
      <w:tr w:rsidR="00F877B0" w:rsidRPr="00C37A1D" w14:paraId="7C41D7CA" w14:textId="77777777" w:rsidTr="00DB3203">
        <w:tc>
          <w:tcPr>
            <w:tcW w:w="2694" w:type="dxa"/>
          </w:tcPr>
          <w:p w14:paraId="49FBE4E0" w14:textId="77777777" w:rsidR="00F877B0" w:rsidRPr="00F877B0" w:rsidRDefault="00F877B0" w:rsidP="00DB3203">
            <w:pPr>
              <w:rPr>
                <w:rFonts w:asciiTheme="minorHAnsi" w:hAnsiTheme="minorHAnsi" w:cstheme="minorHAnsi"/>
                <w:sz w:val="20"/>
                <w:szCs w:val="20"/>
              </w:rPr>
            </w:pPr>
            <w:r w:rsidRPr="00F877B0">
              <w:rPr>
                <w:rFonts w:asciiTheme="minorHAnsi" w:hAnsiTheme="minorHAnsi" w:cstheme="minorHAnsi"/>
                <w:sz w:val="20"/>
                <w:szCs w:val="20"/>
              </w:rPr>
              <w:t xml:space="preserve">Patients who received idebenone had less decline in PEF%p at Week 52 compared with patients on placebo (-2.57% </w:t>
            </w:r>
            <w:r w:rsidR="0061481A">
              <w:rPr>
                <w:rFonts w:asciiTheme="minorHAnsi" w:hAnsiTheme="minorHAnsi" w:cstheme="minorHAnsi"/>
                <w:sz w:val="20"/>
                <w:szCs w:val="20"/>
              </w:rPr>
              <w:t>versus</w:t>
            </w:r>
            <w:r w:rsidR="000D51AD">
              <w:rPr>
                <w:rFonts w:asciiTheme="minorHAnsi" w:hAnsiTheme="minorHAnsi" w:cstheme="minorHAnsi"/>
                <w:sz w:val="20"/>
                <w:szCs w:val="20"/>
              </w:rPr>
              <w:t xml:space="preserve"> </w:t>
            </w:r>
            <w:r w:rsidR="000D51AD">
              <w:rPr>
                <w:rFonts w:asciiTheme="minorHAnsi" w:hAnsiTheme="minorHAnsi" w:cstheme="minorHAnsi"/>
                <w:sz w:val="20"/>
                <w:szCs w:val="20"/>
              </w:rPr>
              <w:noBreakHyphen/>
            </w:r>
            <w:r w:rsidRPr="00F877B0">
              <w:rPr>
                <w:rFonts w:asciiTheme="minorHAnsi" w:hAnsiTheme="minorHAnsi" w:cstheme="minorHAnsi"/>
                <w:sz w:val="20"/>
                <w:szCs w:val="20"/>
              </w:rPr>
              <w:t xml:space="preserve">8.84%; estimated difference 6.27%; 95% CI: 0.61, 11.93; </w:t>
            </w:r>
            <w:r w:rsidR="0002337A">
              <w:rPr>
                <w:rFonts w:asciiTheme="minorHAnsi" w:hAnsiTheme="minorHAnsi" w:cstheme="minorHAnsi"/>
                <w:sz w:val="20"/>
                <w:szCs w:val="20"/>
              </w:rPr>
              <w:t>p</w:t>
            </w:r>
            <w:r w:rsidR="0061481A">
              <w:rPr>
                <w:rFonts w:asciiTheme="minorHAnsi" w:hAnsiTheme="minorHAnsi" w:cstheme="minorHAnsi"/>
                <w:sz w:val="20"/>
                <w:szCs w:val="20"/>
              </w:rPr>
              <w:t xml:space="preserve"> = </w:t>
            </w:r>
            <w:r w:rsidRPr="00F877B0">
              <w:rPr>
                <w:rFonts w:asciiTheme="minorHAnsi" w:hAnsiTheme="minorHAnsi" w:cstheme="minorHAnsi"/>
                <w:sz w:val="20"/>
                <w:szCs w:val="20"/>
              </w:rPr>
              <w:t>0.0306).</w:t>
            </w:r>
          </w:p>
        </w:tc>
        <w:tc>
          <w:tcPr>
            <w:tcW w:w="6095" w:type="dxa"/>
          </w:tcPr>
          <w:p w14:paraId="5F8838EB" w14:textId="77777777" w:rsidR="00F877B0" w:rsidRPr="00F877B0" w:rsidRDefault="00F877B0"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F877B0">
              <w:rPr>
                <w:rFonts w:asciiTheme="minorHAnsi" w:hAnsiTheme="minorHAnsi" w:cstheme="minorHAnsi"/>
                <w:sz w:val="20"/>
                <w:szCs w:val="20"/>
              </w:rPr>
              <w:t>The efficacy of idebenone relies primarily on a single, small (n</w:t>
            </w:r>
            <w:r w:rsidR="0061481A">
              <w:rPr>
                <w:rFonts w:asciiTheme="minorHAnsi" w:hAnsiTheme="minorHAnsi" w:cstheme="minorHAnsi"/>
                <w:sz w:val="20"/>
                <w:szCs w:val="20"/>
              </w:rPr>
              <w:t xml:space="preserve"> = </w:t>
            </w:r>
            <w:r w:rsidRPr="00F877B0">
              <w:rPr>
                <w:rFonts w:asciiTheme="minorHAnsi" w:hAnsiTheme="minorHAnsi" w:cstheme="minorHAnsi"/>
                <w:sz w:val="20"/>
                <w:szCs w:val="20"/>
              </w:rPr>
              <w:t xml:space="preserve">64 in ITT population) Phase III </w:t>
            </w:r>
            <w:r w:rsidR="003173BB">
              <w:rPr>
                <w:rFonts w:asciiTheme="minorHAnsi" w:hAnsiTheme="minorHAnsi" w:cstheme="minorHAnsi"/>
                <w:sz w:val="20"/>
                <w:szCs w:val="20"/>
              </w:rPr>
              <w:t>Study</w:t>
            </w:r>
            <w:r w:rsidRPr="00F877B0">
              <w:rPr>
                <w:rFonts w:asciiTheme="minorHAnsi" w:hAnsiTheme="minorHAnsi" w:cstheme="minorHAnsi"/>
                <w:sz w:val="20"/>
                <w:szCs w:val="20"/>
                <w:lang w:eastAsia="en-US"/>
              </w:rPr>
              <w:t xml:space="preserve"> (</w:t>
            </w:r>
            <w:r w:rsidRPr="00F877B0">
              <w:rPr>
                <w:rFonts w:asciiTheme="minorHAnsi" w:hAnsiTheme="minorHAnsi" w:cstheme="minorHAnsi"/>
                <w:sz w:val="20"/>
                <w:szCs w:val="20"/>
              </w:rPr>
              <w:t>DELOS).</w:t>
            </w:r>
          </w:p>
          <w:p w14:paraId="07FC7D85" w14:textId="77777777" w:rsidR="00F877B0" w:rsidRPr="00F877B0" w:rsidRDefault="00F877B0"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bCs/>
                <w:sz w:val="20"/>
                <w:szCs w:val="20"/>
                <w:lang w:val="en"/>
              </w:rPr>
            </w:pPr>
            <w:r w:rsidRPr="00F877B0">
              <w:rPr>
                <w:rFonts w:asciiTheme="minorHAnsi" w:hAnsiTheme="minorHAnsi" w:cstheme="minorHAnsi"/>
                <w:bCs/>
                <w:sz w:val="20"/>
                <w:szCs w:val="20"/>
                <w:lang w:val="en-US"/>
              </w:rPr>
              <w:t>There is some reservation about the choice of PEF%p as the primary efficacy endpoint.</w:t>
            </w:r>
            <w:r w:rsidR="00DB3203">
              <w:rPr>
                <w:rFonts w:asciiTheme="minorHAnsi" w:hAnsiTheme="minorHAnsi" w:cstheme="minorHAnsi"/>
                <w:bCs/>
                <w:sz w:val="20"/>
                <w:szCs w:val="20"/>
                <w:lang w:val="en-US"/>
              </w:rPr>
              <w:t xml:space="preserve"> </w:t>
            </w:r>
            <w:r w:rsidRPr="00F877B0">
              <w:rPr>
                <w:rFonts w:asciiTheme="minorHAnsi" w:hAnsiTheme="minorHAnsi" w:cstheme="minorHAnsi"/>
                <w:bCs/>
                <w:sz w:val="20"/>
                <w:szCs w:val="20"/>
                <w:lang w:val="en-US"/>
              </w:rPr>
              <w:t>While PEF%p can be considered clinically meaningful,</w:t>
            </w:r>
            <w:r w:rsidRPr="00F877B0">
              <w:rPr>
                <w:rFonts w:asciiTheme="minorHAnsi" w:hAnsiTheme="minorHAnsi" w:cstheme="minorHAnsi"/>
                <w:sz w:val="20"/>
                <w:szCs w:val="20"/>
              </w:rPr>
              <w:t xml:space="preserve"> it was selected on the basis of the results of </w:t>
            </w:r>
            <w:r w:rsidRPr="00F877B0">
              <w:rPr>
                <w:rFonts w:asciiTheme="minorHAnsi" w:hAnsiTheme="minorHAnsi" w:cstheme="minorHAnsi"/>
                <w:bCs/>
                <w:sz w:val="20"/>
                <w:szCs w:val="20"/>
              </w:rPr>
              <w:t xml:space="preserve">the Phase II DELPHI </w:t>
            </w:r>
            <w:r w:rsidR="003173BB">
              <w:rPr>
                <w:rFonts w:asciiTheme="minorHAnsi" w:hAnsiTheme="minorHAnsi" w:cstheme="minorHAnsi"/>
                <w:bCs/>
                <w:sz w:val="20"/>
                <w:szCs w:val="20"/>
              </w:rPr>
              <w:t>Study</w:t>
            </w:r>
            <w:r w:rsidRPr="00F877B0">
              <w:rPr>
                <w:rFonts w:asciiTheme="minorHAnsi" w:hAnsiTheme="minorHAnsi" w:cstheme="minorHAnsi"/>
                <w:bCs/>
                <w:sz w:val="20"/>
                <w:szCs w:val="20"/>
              </w:rPr>
              <w:t xml:space="preserve"> in which it was only a secondary endpoint.</w:t>
            </w:r>
            <w:r w:rsidR="00DB3203">
              <w:rPr>
                <w:rFonts w:asciiTheme="minorHAnsi" w:hAnsiTheme="minorHAnsi" w:cstheme="minorHAnsi"/>
                <w:bCs/>
                <w:sz w:val="20"/>
                <w:szCs w:val="20"/>
              </w:rPr>
              <w:t xml:space="preserve"> </w:t>
            </w:r>
            <w:r w:rsidRPr="00F877B0">
              <w:rPr>
                <w:rFonts w:asciiTheme="minorHAnsi" w:hAnsiTheme="minorHAnsi" w:cstheme="minorHAnsi"/>
                <w:bCs/>
                <w:sz w:val="20"/>
                <w:szCs w:val="20"/>
              </w:rPr>
              <w:t xml:space="preserve">As the DELPHI </w:t>
            </w:r>
            <w:r w:rsidR="003173BB">
              <w:rPr>
                <w:rFonts w:asciiTheme="minorHAnsi" w:hAnsiTheme="minorHAnsi" w:cstheme="minorHAnsi"/>
                <w:bCs/>
                <w:sz w:val="20"/>
                <w:szCs w:val="20"/>
              </w:rPr>
              <w:t>Study</w:t>
            </w:r>
            <w:r w:rsidRPr="00F877B0">
              <w:rPr>
                <w:rFonts w:asciiTheme="minorHAnsi" w:hAnsiTheme="minorHAnsi" w:cstheme="minorHAnsi"/>
                <w:bCs/>
                <w:sz w:val="20"/>
                <w:szCs w:val="20"/>
              </w:rPr>
              <w:t xml:space="preserve"> failed to meet its primary cardiac endpoint, the PEF%p result is not entirely convincing.</w:t>
            </w:r>
            <w:r w:rsidR="00DB3203">
              <w:rPr>
                <w:rFonts w:asciiTheme="minorHAnsi" w:hAnsiTheme="minorHAnsi" w:cstheme="minorHAnsi"/>
                <w:bCs/>
                <w:sz w:val="20"/>
                <w:szCs w:val="20"/>
              </w:rPr>
              <w:t xml:space="preserve"> </w:t>
            </w:r>
            <w:r w:rsidRPr="00F877B0">
              <w:rPr>
                <w:rFonts w:asciiTheme="minorHAnsi" w:hAnsiTheme="minorHAnsi" w:cstheme="minorHAnsi"/>
                <w:bCs/>
                <w:sz w:val="20"/>
                <w:szCs w:val="20"/>
              </w:rPr>
              <w:t>In addition, while choice of PEF%p is consistent with the Guideline</w:t>
            </w:r>
            <w:r w:rsidRPr="00F877B0">
              <w:rPr>
                <w:rFonts w:asciiTheme="minorHAnsi" w:hAnsiTheme="minorHAnsi" w:cstheme="minorHAnsi"/>
                <w:bCs/>
                <w:sz w:val="20"/>
                <w:szCs w:val="20"/>
                <w:lang w:val="en" w:eastAsia="en-US"/>
              </w:rPr>
              <w:t xml:space="preserve"> </w:t>
            </w:r>
            <w:r w:rsidRPr="00F877B0">
              <w:rPr>
                <w:rFonts w:asciiTheme="minorHAnsi" w:hAnsiTheme="minorHAnsi" w:cstheme="minorHAnsi"/>
                <w:bCs/>
                <w:sz w:val="20"/>
                <w:szCs w:val="20"/>
                <w:lang w:val="en"/>
              </w:rPr>
              <w:t>on the clinical investigation of medicinal products for the treatment of Duchenne and Becker muscular dystrophy</w:t>
            </w:r>
            <w:r w:rsidR="000D51AD">
              <w:rPr>
                <w:rFonts w:asciiTheme="minorHAnsi" w:hAnsiTheme="minorHAnsi" w:cstheme="minorHAnsi"/>
                <w:bCs/>
                <w:sz w:val="20"/>
                <w:szCs w:val="20"/>
                <w:lang w:val="en"/>
              </w:rPr>
              <w:t>;</w:t>
            </w:r>
            <w:r w:rsidR="000D51AD" w:rsidRPr="000D51AD">
              <w:rPr>
                <w:rFonts w:asciiTheme="minorHAnsi" w:hAnsiTheme="minorHAnsi" w:cstheme="minorHAnsi"/>
                <w:bCs/>
                <w:sz w:val="20"/>
                <w:szCs w:val="20"/>
                <w:vertAlign w:val="superscript"/>
                <w:lang w:val="en"/>
              </w:rPr>
              <w:fldChar w:fldCharType="begin"/>
            </w:r>
            <w:r w:rsidR="000D51AD" w:rsidRPr="000D51AD">
              <w:rPr>
                <w:rFonts w:asciiTheme="minorHAnsi" w:hAnsiTheme="minorHAnsi" w:cstheme="minorHAnsi"/>
                <w:bCs/>
                <w:sz w:val="20"/>
                <w:szCs w:val="20"/>
                <w:vertAlign w:val="superscript"/>
                <w:lang w:val="en"/>
              </w:rPr>
              <w:instrText xml:space="preserve"> NOTEREF _Ref25760234 \h </w:instrText>
            </w:r>
            <w:r w:rsidR="000D51AD">
              <w:rPr>
                <w:rFonts w:asciiTheme="minorHAnsi" w:hAnsiTheme="minorHAnsi" w:cstheme="minorHAnsi"/>
                <w:bCs/>
                <w:sz w:val="20"/>
                <w:szCs w:val="20"/>
                <w:vertAlign w:val="superscript"/>
                <w:lang w:val="en"/>
              </w:rPr>
              <w:instrText xml:space="preserve"> \* MERGEFORMAT </w:instrText>
            </w:r>
            <w:r w:rsidR="000D51AD" w:rsidRPr="000D51AD">
              <w:rPr>
                <w:rFonts w:asciiTheme="minorHAnsi" w:hAnsiTheme="minorHAnsi" w:cstheme="minorHAnsi"/>
                <w:bCs/>
                <w:sz w:val="20"/>
                <w:szCs w:val="20"/>
                <w:vertAlign w:val="superscript"/>
                <w:lang w:val="en"/>
              </w:rPr>
            </w:r>
            <w:r w:rsidR="000D51AD" w:rsidRPr="000D51AD">
              <w:rPr>
                <w:rFonts w:asciiTheme="minorHAnsi" w:hAnsiTheme="minorHAnsi" w:cstheme="minorHAnsi"/>
                <w:bCs/>
                <w:sz w:val="20"/>
                <w:szCs w:val="20"/>
                <w:vertAlign w:val="superscript"/>
                <w:lang w:val="en"/>
              </w:rPr>
              <w:fldChar w:fldCharType="separate"/>
            </w:r>
            <w:r w:rsidR="000D51AD" w:rsidRPr="000D51AD">
              <w:rPr>
                <w:rFonts w:asciiTheme="minorHAnsi" w:hAnsiTheme="minorHAnsi" w:cstheme="minorHAnsi"/>
                <w:bCs/>
                <w:sz w:val="20"/>
                <w:szCs w:val="20"/>
                <w:vertAlign w:val="superscript"/>
                <w:lang w:val="en"/>
              </w:rPr>
              <w:t>26</w:t>
            </w:r>
            <w:r w:rsidR="000D51AD" w:rsidRPr="000D51AD">
              <w:rPr>
                <w:rFonts w:asciiTheme="minorHAnsi" w:hAnsiTheme="minorHAnsi" w:cstheme="minorHAnsi"/>
                <w:bCs/>
                <w:sz w:val="20"/>
                <w:szCs w:val="20"/>
                <w:vertAlign w:val="superscript"/>
                <w:lang w:val="en"/>
              </w:rPr>
              <w:fldChar w:fldCharType="end"/>
            </w:r>
            <w:r w:rsidR="000D51AD">
              <w:rPr>
                <w:rFonts w:asciiTheme="minorHAnsi" w:hAnsiTheme="minorHAnsi" w:cstheme="minorHAnsi"/>
                <w:bCs/>
                <w:sz w:val="20"/>
                <w:szCs w:val="20"/>
                <w:lang w:val="en"/>
              </w:rPr>
              <w:t xml:space="preserve"> </w:t>
            </w:r>
            <w:r w:rsidRPr="00F877B0">
              <w:rPr>
                <w:rFonts w:asciiTheme="minorHAnsi" w:hAnsiTheme="minorHAnsi" w:cstheme="minorHAnsi"/>
                <w:bCs/>
                <w:sz w:val="20"/>
                <w:szCs w:val="20"/>
                <w:lang w:val="en"/>
              </w:rPr>
              <w:t>for younger patients</w:t>
            </w:r>
            <w:r w:rsidRPr="00F877B0">
              <w:rPr>
                <w:rFonts w:asciiTheme="minorHAnsi" w:hAnsiTheme="minorHAnsi" w:cstheme="minorHAnsi"/>
                <w:bCs/>
                <w:sz w:val="20"/>
                <w:szCs w:val="20"/>
              </w:rPr>
              <w:t>, FVC%p appears to be the preferred respiratory function test to measure loss of lung volume in DMD</w:t>
            </w:r>
            <w:r w:rsidRPr="00F877B0">
              <w:rPr>
                <w:rFonts w:asciiTheme="minorHAnsi" w:hAnsiTheme="minorHAnsi" w:cstheme="minorHAnsi"/>
                <w:bCs/>
                <w:sz w:val="20"/>
                <w:szCs w:val="20"/>
                <w:lang w:val="en"/>
              </w:rPr>
              <w:t>.</w:t>
            </w:r>
          </w:p>
          <w:p w14:paraId="7C680B3D" w14:textId="77777777" w:rsidR="00F877B0" w:rsidRPr="00F877B0" w:rsidRDefault="00F877B0"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bCs/>
                <w:sz w:val="20"/>
                <w:szCs w:val="20"/>
              </w:rPr>
            </w:pPr>
            <w:r w:rsidRPr="00F877B0">
              <w:rPr>
                <w:rFonts w:asciiTheme="minorHAnsi" w:hAnsiTheme="minorHAnsi" w:cstheme="minorHAnsi"/>
                <w:bCs/>
                <w:sz w:val="20"/>
                <w:szCs w:val="20"/>
                <w:lang w:val="en"/>
              </w:rPr>
              <w:t xml:space="preserve">While there was some supportive evidence </w:t>
            </w:r>
            <w:r w:rsidRPr="00F877B0">
              <w:rPr>
                <w:rFonts w:asciiTheme="minorHAnsi" w:hAnsiTheme="minorHAnsi" w:cstheme="minorHAnsi"/>
                <w:bCs/>
                <w:sz w:val="20"/>
                <w:szCs w:val="20"/>
              </w:rPr>
              <w:t>of the efficacy of idebenone provided by secondary and tertiary respiratory endpoints in DELOS, the multiplicity of these endpoints and the post-hoc nature of some of the analyses introduce uncertainty in interpreting the results.</w:t>
            </w:r>
            <w:r w:rsidR="00DB3203">
              <w:rPr>
                <w:rFonts w:asciiTheme="minorHAnsi" w:hAnsiTheme="minorHAnsi" w:cstheme="minorHAnsi"/>
                <w:bCs/>
                <w:sz w:val="20"/>
                <w:szCs w:val="20"/>
              </w:rPr>
              <w:t xml:space="preserve"> </w:t>
            </w:r>
            <w:r w:rsidRPr="00F877B0">
              <w:rPr>
                <w:rFonts w:asciiTheme="minorHAnsi" w:hAnsiTheme="minorHAnsi" w:cstheme="minorHAnsi"/>
                <w:bCs/>
                <w:sz w:val="20"/>
                <w:szCs w:val="20"/>
              </w:rPr>
              <w:t>This is further exacerbated by the lack of a consistent effect of idebenone on other, non-respiratory endpoints.</w:t>
            </w:r>
          </w:p>
          <w:p w14:paraId="3E841EA4" w14:textId="77777777" w:rsidR="00F877B0" w:rsidRPr="00F877B0" w:rsidRDefault="00F877B0"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bCs/>
                <w:sz w:val="20"/>
                <w:szCs w:val="20"/>
              </w:rPr>
            </w:pPr>
            <w:r w:rsidRPr="00F877B0">
              <w:rPr>
                <w:rFonts w:asciiTheme="minorHAnsi" w:hAnsiTheme="minorHAnsi" w:cstheme="minorHAnsi"/>
                <w:bCs/>
                <w:sz w:val="20"/>
                <w:szCs w:val="20"/>
              </w:rPr>
              <w:t xml:space="preserve">External validation of the DELOS results was provided by the PPM </w:t>
            </w:r>
            <w:r w:rsidR="003173BB">
              <w:rPr>
                <w:rFonts w:asciiTheme="minorHAnsi" w:hAnsiTheme="minorHAnsi" w:cstheme="minorHAnsi"/>
                <w:bCs/>
                <w:sz w:val="20"/>
                <w:szCs w:val="20"/>
              </w:rPr>
              <w:t>Study</w:t>
            </w:r>
            <w:r w:rsidRPr="00F877B0">
              <w:rPr>
                <w:rFonts w:asciiTheme="minorHAnsi" w:hAnsiTheme="minorHAnsi" w:cstheme="minorHAnsi"/>
                <w:bCs/>
                <w:sz w:val="20"/>
                <w:szCs w:val="20"/>
              </w:rPr>
              <w:t xml:space="preserve"> using matched cohorts of DMD patients from the CINRG DNHS.</w:t>
            </w:r>
            <w:r w:rsidR="00DB3203">
              <w:rPr>
                <w:rFonts w:asciiTheme="minorHAnsi" w:hAnsiTheme="minorHAnsi" w:cstheme="minorHAnsi"/>
                <w:bCs/>
                <w:sz w:val="20"/>
                <w:szCs w:val="20"/>
              </w:rPr>
              <w:t xml:space="preserve"> </w:t>
            </w:r>
            <w:r w:rsidRPr="00F877B0">
              <w:rPr>
                <w:rFonts w:asciiTheme="minorHAnsi" w:hAnsiTheme="minorHAnsi" w:cstheme="minorHAnsi"/>
                <w:bCs/>
                <w:sz w:val="20"/>
                <w:szCs w:val="20"/>
              </w:rPr>
              <w:t xml:space="preserve">This study demonstrated that the rate of decline in PEF%p in the DELOS </w:t>
            </w:r>
            <w:r w:rsidR="003173BB">
              <w:rPr>
                <w:rFonts w:asciiTheme="minorHAnsi" w:hAnsiTheme="minorHAnsi" w:cstheme="minorHAnsi"/>
                <w:bCs/>
                <w:sz w:val="20"/>
                <w:szCs w:val="20"/>
              </w:rPr>
              <w:t>Study</w:t>
            </w:r>
            <w:r w:rsidRPr="00F877B0">
              <w:rPr>
                <w:rFonts w:asciiTheme="minorHAnsi" w:hAnsiTheme="minorHAnsi" w:cstheme="minorHAnsi"/>
                <w:bCs/>
                <w:sz w:val="20"/>
                <w:szCs w:val="20"/>
              </w:rPr>
              <w:t xml:space="preserve"> placebo group was comparable to the rate of decline of a matched-to-DELOS placebo cohort from the CINRG DNHS, while the rate of decline in the DELOS </w:t>
            </w:r>
            <w:r w:rsidR="003173BB">
              <w:rPr>
                <w:rFonts w:asciiTheme="minorHAnsi" w:hAnsiTheme="minorHAnsi" w:cstheme="minorHAnsi"/>
                <w:bCs/>
                <w:sz w:val="20"/>
                <w:szCs w:val="20"/>
              </w:rPr>
              <w:t>Study</w:t>
            </w:r>
            <w:r w:rsidRPr="00F877B0">
              <w:rPr>
                <w:rFonts w:asciiTheme="minorHAnsi" w:hAnsiTheme="minorHAnsi" w:cstheme="minorHAnsi"/>
                <w:bCs/>
                <w:sz w:val="20"/>
                <w:szCs w:val="20"/>
              </w:rPr>
              <w:t xml:space="preserve"> idebenone group was slower than both the matched-to-DELOS placebo and matched-to-DELOS idebenone cohorts from the CINRG DNHS.</w:t>
            </w:r>
          </w:p>
          <w:p w14:paraId="6D98609A" w14:textId="77777777" w:rsidR="00F877B0" w:rsidRPr="00F877B0" w:rsidRDefault="00F877B0"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bCs/>
                <w:sz w:val="20"/>
                <w:szCs w:val="20"/>
              </w:rPr>
            </w:pPr>
            <w:r w:rsidRPr="00F877B0">
              <w:rPr>
                <w:rFonts w:asciiTheme="minorHAnsi" w:hAnsiTheme="minorHAnsi" w:cstheme="minorHAnsi"/>
                <w:bCs/>
                <w:sz w:val="20"/>
                <w:szCs w:val="20"/>
              </w:rPr>
              <w:t xml:space="preserve">There is limited data in patients aged </w:t>
            </w:r>
            <w:r w:rsidR="003173BB">
              <w:rPr>
                <w:rFonts w:asciiTheme="minorHAnsi" w:hAnsiTheme="minorHAnsi" w:cstheme="minorHAnsi"/>
                <w:bCs/>
                <w:sz w:val="20"/>
                <w:szCs w:val="20"/>
              </w:rPr>
              <w:t xml:space="preserve">&lt; </w:t>
            </w:r>
            <w:r w:rsidRPr="00F877B0">
              <w:rPr>
                <w:rFonts w:asciiTheme="minorHAnsi" w:hAnsiTheme="minorHAnsi" w:cstheme="minorHAnsi"/>
                <w:bCs/>
                <w:sz w:val="20"/>
                <w:szCs w:val="20"/>
              </w:rPr>
              <w:t>8 years, patients with renal and/or hepatic impairment, and patients with DMD receiving GCs.</w:t>
            </w:r>
            <w:r w:rsidR="00DB3203">
              <w:rPr>
                <w:rFonts w:asciiTheme="minorHAnsi" w:hAnsiTheme="minorHAnsi" w:cstheme="minorHAnsi"/>
                <w:bCs/>
                <w:sz w:val="20"/>
                <w:szCs w:val="20"/>
              </w:rPr>
              <w:t xml:space="preserve"> </w:t>
            </w:r>
            <w:r w:rsidRPr="00F877B0">
              <w:rPr>
                <w:rFonts w:asciiTheme="minorHAnsi" w:hAnsiTheme="minorHAnsi" w:cstheme="minorHAnsi"/>
                <w:bCs/>
                <w:sz w:val="20"/>
                <w:szCs w:val="20"/>
              </w:rPr>
              <w:t xml:space="preserve">This is acknowledged by the sponsor as missing information in the EU RMP, and will be collected in a Post-Authorisation Safety Study, and (for GC use) in the ongoing SIDEROS </w:t>
            </w:r>
            <w:r w:rsidR="003173BB">
              <w:rPr>
                <w:rFonts w:asciiTheme="minorHAnsi" w:hAnsiTheme="minorHAnsi" w:cstheme="minorHAnsi"/>
                <w:bCs/>
                <w:sz w:val="20"/>
                <w:szCs w:val="20"/>
              </w:rPr>
              <w:t>Study</w:t>
            </w:r>
            <w:r w:rsidRPr="00F877B0">
              <w:rPr>
                <w:rFonts w:asciiTheme="minorHAnsi" w:hAnsiTheme="minorHAnsi" w:cstheme="minorHAnsi"/>
                <w:bCs/>
                <w:sz w:val="20"/>
                <w:szCs w:val="20"/>
              </w:rPr>
              <w:t>.</w:t>
            </w:r>
          </w:p>
          <w:p w14:paraId="09BEEAC9" w14:textId="77777777" w:rsidR="00F877B0" w:rsidRPr="00F877B0" w:rsidRDefault="00F877B0" w:rsidP="000D51A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F877B0">
              <w:rPr>
                <w:rFonts w:asciiTheme="minorHAnsi" w:hAnsiTheme="minorHAnsi" w:cstheme="minorHAnsi"/>
                <w:bCs/>
                <w:sz w:val="20"/>
                <w:szCs w:val="20"/>
              </w:rPr>
              <w:t xml:space="preserve">On the basis of the limited Phase II data, the choice of, and wide confidence interval surrounding, the PEF%p endpoint, limited supportive evidence for other respiratory and non-respiratory endpoints in DELOS, and lack of data in patients receiving glucocorticoids, DELOS is not considered a sufficiently robust study to meet the requirements for a single pivotal study </w:t>
            </w:r>
            <w:r w:rsidR="00DB3203">
              <w:rPr>
                <w:rFonts w:asciiTheme="minorHAnsi" w:hAnsiTheme="minorHAnsi" w:cstheme="minorHAnsi"/>
                <w:bCs/>
                <w:sz w:val="20"/>
                <w:szCs w:val="20"/>
              </w:rPr>
              <w:t>(</w:t>
            </w:r>
            <w:r w:rsidRPr="00F877B0">
              <w:rPr>
                <w:rFonts w:asciiTheme="minorHAnsi" w:hAnsiTheme="minorHAnsi" w:cstheme="minorHAnsi"/>
                <w:bCs/>
                <w:sz w:val="20"/>
                <w:szCs w:val="20"/>
                <w:lang w:val="en"/>
              </w:rPr>
              <w:t>Points to consider on application with 1.meta-analysis 2.one pivotal study</w:t>
            </w:r>
            <w:r w:rsidR="000D51AD" w:rsidRPr="000D51AD">
              <w:rPr>
                <w:rFonts w:asciiTheme="minorHAnsi" w:hAnsiTheme="minorHAnsi" w:cstheme="minorHAnsi"/>
                <w:bCs/>
                <w:sz w:val="20"/>
                <w:szCs w:val="20"/>
                <w:vertAlign w:val="superscript"/>
                <w:lang w:val="en"/>
              </w:rPr>
              <w:fldChar w:fldCharType="begin"/>
            </w:r>
            <w:r w:rsidR="000D51AD" w:rsidRPr="000D51AD">
              <w:rPr>
                <w:rFonts w:asciiTheme="minorHAnsi" w:hAnsiTheme="minorHAnsi" w:cstheme="minorHAnsi"/>
                <w:bCs/>
                <w:sz w:val="20"/>
                <w:szCs w:val="20"/>
                <w:vertAlign w:val="superscript"/>
                <w:lang w:val="en"/>
              </w:rPr>
              <w:instrText xml:space="preserve"> NOTEREF _Ref25760375 \h </w:instrText>
            </w:r>
            <w:r w:rsidR="000D51AD">
              <w:rPr>
                <w:rFonts w:asciiTheme="minorHAnsi" w:hAnsiTheme="minorHAnsi" w:cstheme="minorHAnsi"/>
                <w:bCs/>
                <w:sz w:val="20"/>
                <w:szCs w:val="20"/>
                <w:vertAlign w:val="superscript"/>
                <w:lang w:val="en"/>
              </w:rPr>
              <w:instrText xml:space="preserve"> \* MERGEFORMAT </w:instrText>
            </w:r>
            <w:r w:rsidR="000D51AD" w:rsidRPr="000D51AD">
              <w:rPr>
                <w:rFonts w:asciiTheme="minorHAnsi" w:hAnsiTheme="minorHAnsi" w:cstheme="minorHAnsi"/>
                <w:bCs/>
                <w:sz w:val="20"/>
                <w:szCs w:val="20"/>
                <w:vertAlign w:val="superscript"/>
                <w:lang w:val="en"/>
              </w:rPr>
            </w:r>
            <w:r w:rsidR="000D51AD" w:rsidRPr="000D51AD">
              <w:rPr>
                <w:rFonts w:asciiTheme="minorHAnsi" w:hAnsiTheme="minorHAnsi" w:cstheme="minorHAnsi"/>
                <w:bCs/>
                <w:sz w:val="20"/>
                <w:szCs w:val="20"/>
                <w:vertAlign w:val="superscript"/>
                <w:lang w:val="en"/>
              </w:rPr>
              <w:fldChar w:fldCharType="separate"/>
            </w:r>
            <w:r w:rsidR="000D51AD" w:rsidRPr="000D51AD">
              <w:rPr>
                <w:rFonts w:asciiTheme="minorHAnsi" w:hAnsiTheme="minorHAnsi" w:cstheme="minorHAnsi"/>
                <w:bCs/>
                <w:sz w:val="20"/>
                <w:szCs w:val="20"/>
                <w:vertAlign w:val="superscript"/>
                <w:lang w:val="en"/>
              </w:rPr>
              <w:t>29</w:t>
            </w:r>
            <w:r w:rsidR="000D51AD" w:rsidRPr="000D51AD">
              <w:rPr>
                <w:rFonts w:asciiTheme="minorHAnsi" w:hAnsiTheme="minorHAnsi" w:cstheme="minorHAnsi"/>
                <w:bCs/>
                <w:sz w:val="20"/>
                <w:szCs w:val="20"/>
                <w:vertAlign w:val="superscript"/>
                <w:lang w:val="en"/>
              </w:rPr>
              <w:fldChar w:fldCharType="end"/>
            </w:r>
            <w:r w:rsidR="00DB3203">
              <w:rPr>
                <w:rFonts w:asciiTheme="minorHAnsi" w:hAnsiTheme="minorHAnsi" w:cstheme="minorHAnsi"/>
                <w:bCs/>
                <w:sz w:val="20"/>
                <w:szCs w:val="20"/>
                <w:lang w:val="en"/>
              </w:rPr>
              <w:t>)</w:t>
            </w:r>
            <w:r w:rsidRPr="00F877B0">
              <w:rPr>
                <w:rFonts w:asciiTheme="minorHAnsi" w:hAnsiTheme="minorHAnsi" w:cstheme="minorHAnsi"/>
                <w:bCs/>
                <w:sz w:val="20"/>
                <w:szCs w:val="20"/>
                <w:lang w:val="en"/>
              </w:rPr>
              <w:t>.</w:t>
            </w:r>
          </w:p>
        </w:tc>
      </w:tr>
      <w:tr w:rsidR="00F877B0" w:rsidRPr="00C37A1D" w14:paraId="5B4A22BE" w14:textId="77777777" w:rsidTr="008D68B6">
        <w:trPr>
          <w:cantSplit/>
        </w:trPr>
        <w:tc>
          <w:tcPr>
            <w:tcW w:w="2694" w:type="dxa"/>
          </w:tcPr>
          <w:p w14:paraId="0500581F" w14:textId="77777777" w:rsidR="00F877B0" w:rsidRPr="00F877B0" w:rsidRDefault="00F877B0" w:rsidP="00DB3203">
            <w:pPr>
              <w:rPr>
                <w:rFonts w:asciiTheme="minorHAnsi" w:hAnsiTheme="minorHAnsi" w:cstheme="minorHAnsi"/>
                <w:sz w:val="20"/>
                <w:szCs w:val="20"/>
              </w:rPr>
            </w:pPr>
            <w:r w:rsidRPr="00F877B0">
              <w:rPr>
                <w:rFonts w:asciiTheme="minorHAnsi" w:hAnsiTheme="minorHAnsi" w:cstheme="minorHAnsi"/>
                <w:sz w:val="20"/>
                <w:szCs w:val="20"/>
              </w:rPr>
              <w:lastRenderedPageBreak/>
              <w:t>The safety profile of idebenone is relatively benign, with the commonly occurring AEs generally being mild to moderate in severity and easy to manage.</w:t>
            </w:r>
          </w:p>
        </w:tc>
        <w:tc>
          <w:tcPr>
            <w:tcW w:w="6095" w:type="dxa"/>
          </w:tcPr>
          <w:p w14:paraId="79415AED" w14:textId="77777777" w:rsidR="00F877B0" w:rsidRPr="00F877B0" w:rsidRDefault="00F877B0"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F877B0">
              <w:rPr>
                <w:rFonts w:asciiTheme="minorHAnsi" w:hAnsiTheme="minorHAnsi" w:cstheme="minorHAnsi"/>
                <w:sz w:val="20"/>
                <w:szCs w:val="20"/>
              </w:rPr>
              <w:t>Although the safety profile of idebenone is long established for the lower dose of 45 mg, there is limited long term safety data with the 900 mg dose that is proposed for DMD.</w:t>
            </w:r>
            <w:r w:rsidR="00DB3203">
              <w:rPr>
                <w:rFonts w:asciiTheme="minorHAnsi" w:hAnsiTheme="minorHAnsi" w:cstheme="minorHAnsi"/>
                <w:sz w:val="20"/>
                <w:szCs w:val="20"/>
              </w:rPr>
              <w:t xml:space="preserve"> </w:t>
            </w:r>
            <w:r w:rsidRPr="00F877B0">
              <w:rPr>
                <w:rFonts w:asciiTheme="minorHAnsi" w:hAnsiTheme="minorHAnsi" w:cstheme="minorHAnsi"/>
                <w:sz w:val="20"/>
                <w:szCs w:val="20"/>
              </w:rPr>
              <w:t>However the nature of the AEs and the similarities across the different indications and doses is such that this is not considered a critical issue.</w:t>
            </w:r>
          </w:p>
        </w:tc>
      </w:tr>
    </w:tbl>
    <w:p w14:paraId="63DED29B" w14:textId="77777777" w:rsidR="00605AD4" w:rsidRDefault="00605AD4" w:rsidP="00605AD4">
      <w:pPr>
        <w:pStyle w:val="Heading4"/>
      </w:pPr>
      <w:r w:rsidRPr="00605AD4">
        <w:t>First round assessment of risks</w:t>
      </w:r>
    </w:p>
    <w:p w14:paraId="764281F6" w14:textId="77777777" w:rsidR="00500337" w:rsidRDefault="0030092C" w:rsidP="00F877B0">
      <w:pPr>
        <w:pStyle w:val="TableTitle"/>
      </w:pPr>
      <w:r>
        <w:t>Table 14</w:t>
      </w:r>
      <w:r w:rsidR="000D51AD">
        <w:t>:</w:t>
      </w:r>
      <w:r w:rsidR="00F877B0">
        <w:t xml:space="preserve"> </w:t>
      </w:r>
      <w:r w:rsidR="00F877B0" w:rsidRPr="00605AD4">
        <w:t>First round assessment of risks</w:t>
      </w:r>
    </w:p>
    <w:tbl>
      <w:tblPr>
        <w:tblStyle w:val="TableGrid"/>
        <w:tblW w:w="0" w:type="auto"/>
        <w:tblInd w:w="108" w:type="dxa"/>
        <w:tblLook w:val="04A0" w:firstRow="1" w:lastRow="0" w:firstColumn="1" w:lastColumn="0" w:noHBand="0" w:noVBand="1"/>
      </w:tblPr>
      <w:tblGrid>
        <w:gridCol w:w="3251"/>
        <w:gridCol w:w="5135"/>
      </w:tblGrid>
      <w:tr w:rsidR="00F877B0" w:rsidRPr="00C37A1D" w14:paraId="08D68358" w14:textId="77777777" w:rsidTr="00DB3203">
        <w:trPr>
          <w:tblHeader/>
        </w:trPr>
        <w:tc>
          <w:tcPr>
            <w:tcW w:w="3402" w:type="dxa"/>
            <w:shd w:val="clear" w:color="auto" w:fill="006DA7" w:themeFill="accent3"/>
          </w:tcPr>
          <w:p w14:paraId="7080ABA8" w14:textId="77777777" w:rsidR="00F877B0" w:rsidRPr="0013182D" w:rsidRDefault="00F877B0" w:rsidP="00DB3203">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5387" w:type="dxa"/>
            <w:shd w:val="clear" w:color="auto" w:fill="006DA7" w:themeFill="accent3"/>
          </w:tcPr>
          <w:p w14:paraId="13463E73" w14:textId="0166EE18" w:rsidR="00F877B0" w:rsidRPr="0013182D" w:rsidRDefault="00F877B0" w:rsidP="00640C58">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 xml:space="preserve">Strengths and </w:t>
            </w:r>
            <w:r w:rsidR="00640C58">
              <w:rPr>
                <w:rFonts w:asciiTheme="minorHAnsi" w:hAnsiTheme="minorHAnsi"/>
                <w:b/>
                <w:color w:val="FFFFFF" w:themeColor="background1"/>
                <w:sz w:val="22"/>
                <w:szCs w:val="22"/>
              </w:rPr>
              <w:t>u</w:t>
            </w:r>
            <w:r w:rsidR="00640C58" w:rsidRPr="0013182D">
              <w:rPr>
                <w:rFonts w:asciiTheme="minorHAnsi" w:hAnsiTheme="minorHAnsi"/>
                <w:b/>
                <w:color w:val="FFFFFF" w:themeColor="background1"/>
                <w:sz w:val="22"/>
                <w:szCs w:val="22"/>
              </w:rPr>
              <w:t>ncertainties</w:t>
            </w:r>
          </w:p>
        </w:tc>
      </w:tr>
      <w:tr w:rsidR="00F877B0" w:rsidRPr="00C37A1D" w14:paraId="2A9633FE" w14:textId="77777777" w:rsidTr="00DB3203">
        <w:tc>
          <w:tcPr>
            <w:tcW w:w="3402" w:type="dxa"/>
          </w:tcPr>
          <w:p w14:paraId="287977F9" w14:textId="5927F7AE" w:rsidR="00F877B0" w:rsidRPr="00F877B0" w:rsidRDefault="00F877B0" w:rsidP="00DB3203">
            <w:pPr>
              <w:rPr>
                <w:rFonts w:asciiTheme="minorHAnsi" w:hAnsiTheme="minorHAnsi" w:cstheme="minorHAnsi"/>
                <w:sz w:val="20"/>
                <w:szCs w:val="20"/>
              </w:rPr>
            </w:pPr>
            <w:r w:rsidRPr="00F877B0">
              <w:rPr>
                <w:rFonts w:asciiTheme="minorHAnsi" w:hAnsiTheme="minorHAnsi" w:cstheme="minorHAnsi"/>
                <w:sz w:val="20"/>
                <w:szCs w:val="20"/>
              </w:rPr>
              <w:t xml:space="preserve">As the wording of the proposed indication currently stands, there is potential for idebenone to be used in patients younger than aged 10 and with a PEF%p </w:t>
            </w:r>
            <w:r w:rsidR="003173BB">
              <w:rPr>
                <w:rFonts w:asciiTheme="minorHAnsi" w:hAnsiTheme="minorHAnsi" w:cstheme="minorHAnsi"/>
                <w:sz w:val="20"/>
                <w:szCs w:val="20"/>
              </w:rPr>
              <w:t xml:space="preserve">&gt; </w:t>
            </w:r>
            <w:r w:rsidRPr="00F877B0">
              <w:rPr>
                <w:rFonts w:asciiTheme="minorHAnsi" w:hAnsiTheme="minorHAnsi" w:cstheme="minorHAnsi"/>
                <w:sz w:val="20"/>
                <w:szCs w:val="20"/>
              </w:rPr>
              <w:t>80%</w:t>
            </w:r>
            <w:r w:rsidRPr="00F877B0">
              <w:rPr>
                <w:rFonts w:asciiTheme="minorHAnsi" w:hAnsiTheme="minorHAnsi"/>
                <w:sz w:val="20"/>
                <w:szCs w:val="20"/>
              </w:rPr>
              <w:t xml:space="preserve"> (</w:t>
            </w:r>
            <w:r w:rsidR="001601AD">
              <w:rPr>
                <w:rFonts w:asciiTheme="minorHAnsi" w:hAnsiTheme="minorHAnsi"/>
                <w:sz w:val="20"/>
                <w:szCs w:val="20"/>
              </w:rPr>
              <w:t>that is</w:t>
            </w:r>
            <w:r w:rsidRPr="00F877B0">
              <w:rPr>
                <w:rFonts w:asciiTheme="minorHAnsi" w:hAnsiTheme="minorHAnsi"/>
                <w:sz w:val="20"/>
                <w:szCs w:val="20"/>
              </w:rPr>
              <w:t xml:space="preserve"> not consistent with the DELOS </w:t>
            </w:r>
            <w:r w:rsidR="00F613BA">
              <w:rPr>
                <w:rFonts w:asciiTheme="minorHAnsi" w:hAnsiTheme="minorHAnsi"/>
                <w:sz w:val="20"/>
                <w:szCs w:val="20"/>
              </w:rPr>
              <w:t xml:space="preserve">study </w:t>
            </w:r>
            <w:r w:rsidRPr="00F877B0">
              <w:rPr>
                <w:rFonts w:asciiTheme="minorHAnsi" w:hAnsiTheme="minorHAnsi"/>
                <w:sz w:val="20"/>
                <w:szCs w:val="20"/>
              </w:rPr>
              <w:t>patients).</w:t>
            </w:r>
          </w:p>
        </w:tc>
        <w:tc>
          <w:tcPr>
            <w:tcW w:w="5387" w:type="dxa"/>
          </w:tcPr>
          <w:p w14:paraId="56FC5D5A" w14:textId="0C26ECFE" w:rsidR="00F877B0" w:rsidRPr="00F877B0" w:rsidRDefault="00F877B0" w:rsidP="00DB3203">
            <w:pPr>
              <w:rPr>
                <w:rFonts w:cstheme="minorHAnsi"/>
                <w:sz w:val="20"/>
                <w:szCs w:val="20"/>
                <w:u w:val="single"/>
              </w:rPr>
            </w:pPr>
            <w:r w:rsidRPr="00F877B0">
              <w:rPr>
                <w:rFonts w:asciiTheme="minorHAnsi" w:hAnsiTheme="minorHAnsi" w:cstheme="minorHAnsi"/>
                <w:sz w:val="20"/>
                <w:szCs w:val="20"/>
              </w:rPr>
              <w:t>It is possible that treating clinicians could prescribe idebenone to younger patients (</w:t>
            </w:r>
            <w:r w:rsidR="003173BB">
              <w:rPr>
                <w:rFonts w:asciiTheme="minorHAnsi" w:hAnsiTheme="minorHAnsi" w:cstheme="minorHAnsi"/>
                <w:sz w:val="20"/>
                <w:szCs w:val="20"/>
              </w:rPr>
              <w:t xml:space="preserve">&lt; </w:t>
            </w:r>
            <w:r w:rsidRPr="00F877B0">
              <w:rPr>
                <w:rFonts w:asciiTheme="minorHAnsi" w:hAnsiTheme="minorHAnsi" w:cstheme="minorHAnsi"/>
                <w:sz w:val="20"/>
                <w:szCs w:val="20"/>
              </w:rPr>
              <w:t xml:space="preserve">10 years) or to those </w:t>
            </w:r>
            <w:r w:rsidR="00685A72">
              <w:rPr>
                <w:rFonts w:asciiTheme="minorHAnsi" w:hAnsiTheme="minorHAnsi" w:cstheme="minorHAnsi"/>
                <w:sz w:val="20"/>
                <w:szCs w:val="20"/>
              </w:rPr>
              <w:t>‘</w:t>
            </w:r>
            <w:r w:rsidRPr="00F877B0">
              <w:rPr>
                <w:rFonts w:asciiTheme="minorHAnsi" w:hAnsiTheme="minorHAnsi" w:cstheme="minorHAnsi"/>
                <w:sz w:val="20"/>
                <w:szCs w:val="20"/>
              </w:rPr>
              <w:t>in whom respiratory function has started to decline</w:t>
            </w:r>
            <w:r w:rsidR="00685A72">
              <w:rPr>
                <w:rFonts w:asciiTheme="minorHAnsi" w:hAnsiTheme="minorHAnsi" w:cstheme="minorHAnsi"/>
                <w:sz w:val="20"/>
                <w:szCs w:val="20"/>
              </w:rPr>
              <w:t>’</w:t>
            </w:r>
            <w:r w:rsidRPr="00F877B0">
              <w:rPr>
                <w:rFonts w:asciiTheme="minorHAnsi" w:hAnsiTheme="minorHAnsi" w:cstheme="minorHAnsi"/>
                <w:sz w:val="20"/>
                <w:szCs w:val="20"/>
              </w:rPr>
              <w:t xml:space="preserve"> but who have not yet reached a PEF%p </w:t>
            </w:r>
            <w:r w:rsidR="003173BB">
              <w:rPr>
                <w:rFonts w:asciiTheme="minorHAnsi" w:hAnsiTheme="minorHAnsi" w:cstheme="minorHAnsi"/>
                <w:sz w:val="20"/>
                <w:szCs w:val="20"/>
              </w:rPr>
              <w:t xml:space="preserve">&lt; </w:t>
            </w:r>
            <w:r w:rsidRPr="00F877B0">
              <w:rPr>
                <w:rFonts w:asciiTheme="minorHAnsi" w:hAnsiTheme="minorHAnsi" w:cstheme="minorHAnsi"/>
                <w:sz w:val="20"/>
                <w:szCs w:val="20"/>
              </w:rPr>
              <w:t>80%.</w:t>
            </w:r>
            <w:r w:rsidR="00DB3203">
              <w:rPr>
                <w:rFonts w:asciiTheme="minorHAnsi" w:hAnsiTheme="minorHAnsi" w:cstheme="minorHAnsi"/>
                <w:sz w:val="20"/>
                <w:szCs w:val="20"/>
              </w:rPr>
              <w:t xml:space="preserve"> </w:t>
            </w:r>
            <w:r w:rsidRPr="00F877B0">
              <w:rPr>
                <w:rFonts w:asciiTheme="minorHAnsi" w:hAnsiTheme="minorHAnsi" w:cstheme="minorHAnsi"/>
                <w:sz w:val="20"/>
                <w:szCs w:val="20"/>
              </w:rPr>
              <w:t xml:space="preserve">This could be addressed by modifying the wording of the indication to more closely reflect the entry criteria for the DELOS </w:t>
            </w:r>
            <w:r w:rsidR="00F613BA">
              <w:rPr>
                <w:rFonts w:asciiTheme="minorHAnsi" w:hAnsiTheme="minorHAnsi" w:cstheme="minorHAnsi"/>
                <w:sz w:val="20"/>
                <w:szCs w:val="20"/>
              </w:rPr>
              <w:t>s</w:t>
            </w:r>
            <w:r w:rsidR="003173BB">
              <w:rPr>
                <w:rFonts w:asciiTheme="minorHAnsi" w:hAnsiTheme="minorHAnsi" w:cstheme="minorHAnsi"/>
                <w:sz w:val="20"/>
                <w:szCs w:val="20"/>
              </w:rPr>
              <w:t>tudy</w:t>
            </w:r>
            <w:r w:rsidRPr="00F877B0">
              <w:rPr>
                <w:rFonts w:asciiTheme="minorHAnsi" w:hAnsiTheme="minorHAnsi" w:cstheme="minorHAnsi"/>
                <w:sz w:val="20"/>
                <w:szCs w:val="20"/>
              </w:rPr>
              <w:t>.</w:t>
            </w:r>
          </w:p>
        </w:tc>
      </w:tr>
      <w:tr w:rsidR="00F877B0" w:rsidRPr="00C37A1D" w14:paraId="620B68A1" w14:textId="77777777" w:rsidTr="00DB3203">
        <w:tc>
          <w:tcPr>
            <w:tcW w:w="3402" w:type="dxa"/>
          </w:tcPr>
          <w:p w14:paraId="5F555922" w14:textId="77777777" w:rsidR="00F877B0" w:rsidRPr="00F877B0" w:rsidRDefault="00F877B0" w:rsidP="00DB3203">
            <w:pPr>
              <w:rPr>
                <w:rFonts w:asciiTheme="minorHAnsi" w:hAnsiTheme="minorHAnsi"/>
                <w:sz w:val="20"/>
                <w:szCs w:val="20"/>
              </w:rPr>
            </w:pPr>
            <w:r w:rsidRPr="00F877B0">
              <w:rPr>
                <w:rFonts w:asciiTheme="minorHAnsi" w:hAnsiTheme="minorHAnsi"/>
                <w:sz w:val="20"/>
                <w:szCs w:val="20"/>
              </w:rPr>
              <w:t>Limited long-term safety data for the 900 mg dose of idebenone.</w:t>
            </w:r>
          </w:p>
        </w:tc>
        <w:tc>
          <w:tcPr>
            <w:tcW w:w="5387" w:type="dxa"/>
          </w:tcPr>
          <w:p w14:paraId="68496097" w14:textId="77777777" w:rsidR="00F877B0" w:rsidRPr="00F877B0" w:rsidRDefault="00F877B0" w:rsidP="00DB3203">
            <w:pPr>
              <w:rPr>
                <w:rFonts w:asciiTheme="minorHAnsi" w:hAnsiTheme="minorHAnsi" w:cstheme="minorHAnsi"/>
                <w:sz w:val="20"/>
                <w:szCs w:val="20"/>
              </w:rPr>
            </w:pPr>
            <w:r w:rsidRPr="00F877B0">
              <w:rPr>
                <w:rFonts w:asciiTheme="minorHAnsi" w:hAnsiTheme="minorHAnsi" w:cstheme="minorHAnsi"/>
                <w:sz w:val="20"/>
                <w:szCs w:val="20"/>
              </w:rPr>
              <w:t>As stated in the assessment of benefits, there is a long established safety profile for the 45 mg dose of idebenone.</w:t>
            </w:r>
            <w:r w:rsidR="00DB3203">
              <w:rPr>
                <w:rFonts w:asciiTheme="minorHAnsi" w:hAnsiTheme="minorHAnsi" w:cstheme="minorHAnsi"/>
                <w:sz w:val="20"/>
                <w:szCs w:val="20"/>
              </w:rPr>
              <w:t xml:space="preserve"> </w:t>
            </w:r>
            <w:r w:rsidRPr="00F877B0">
              <w:rPr>
                <w:rFonts w:asciiTheme="minorHAnsi" w:hAnsiTheme="minorHAnsi" w:cstheme="minorHAnsi"/>
                <w:sz w:val="20"/>
                <w:szCs w:val="20"/>
              </w:rPr>
              <w:t>In addition, the nature of the AEs and the similarities across the different indications and doses is such that this is not considered a critical issue.</w:t>
            </w:r>
          </w:p>
        </w:tc>
      </w:tr>
      <w:tr w:rsidR="00F877B0" w:rsidRPr="00C37A1D" w14:paraId="1D6956CB" w14:textId="77777777" w:rsidTr="00DB3203">
        <w:tc>
          <w:tcPr>
            <w:tcW w:w="3402" w:type="dxa"/>
          </w:tcPr>
          <w:p w14:paraId="6AB9D847" w14:textId="77777777" w:rsidR="00F877B0" w:rsidRPr="00F877B0" w:rsidRDefault="00F877B0" w:rsidP="00DB3203">
            <w:pPr>
              <w:rPr>
                <w:rFonts w:asciiTheme="minorHAnsi" w:hAnsiTheme="minorHAnsi" w:cstheme="minorHAnsi"/>
                <w:sz w:val="20"/>
                <w:szCs w:val="20"/>
              </w:rPr>
            </w:pPr>
            <w:r w:rsidRPr="00F877B0">
              <w:rPr>
                <w:rFonts w:asciiTheme="minorHAnsi" w:hAnsiTheme="minorHAnsi"/>
                <w:sz w:val="20"/>
                <w:szCs w:val="20"/>
              </w:rPr>
              <w:t>In vitro data can’t exclude the p</w:t>
            </w:r>
            <w:r w:rsidRPr="00F877B0">
              <w:rPr>
                <w:rFonts w:asciiTheme="minorHAnsi" w:hAnsiTheme="minorHAnsi"/>
                <w:bCs/>
                <w:sz w:val="20"/>
                <w:szCs w:val="20"/>
              </w:rPr>
              <w:t>otential for pre-systemic inhibition of CYP3A4.</w:t>
            </w:r>
          </w:p>
        </w:tc>
        <w:tc>
          <w:tcPr>
            <w:tcW w:w="5387" w:type="dxa"/>
          </w:tcPr>
          <w:p w14:paraId="76AB1C4B" w14:textId="77777777" w:rsidR="00F877B0" w:rsidRPr="00F877B0" w:rsidRDefault="00F877B0" w:rsidP="00DB3203">
            <w:pPr>
              <w:rPr>
                <w:rFonts w:asciiTheme="minorHAnsi" w:hAnsiTheme="minorHAnsi" w:cstheme="minorHAnsi"/>
                <w:sz w:val="20"/>
                <w:szCs w:val="20"/>
              </w:rPr>
            </w:pPr>
            <w:r w:rsidRPr="00F877B0">
              <w:rPr>
                <w:rFonts w:asciiTheme="minorHAnsi" w:hAnsiTheme="minorHAnsi" w:cstheme="minorHAnsi"/>
                <w:sz w:val="20"/>
                <w:szCs w:val="20"/>
              </w:rPr>
              <w:t>A Phase I open label study of the potential pharmacokinetic interaction of idebenone (150 mg film-coated tablet) with midazolam in healthy male volunteers is being conducted.</w:t>
            </w:r>
          </w:p>
        </w:tc>
      </w:tr>
    </w:tbl>
    <w:p w14:paraId="69C80021" w14:textId="77777777" w:rsidR="00605AD4" w:rsidRPr="00605AD4" w:rsidRDefault="00605AD4" w:rsidP="00605AD4">
      <w:pPr>
        <w:pStyle w:val="Heading4"/>
      </w:pPr>
      <w:r w:rsidRPr="00605AD4">
        <w:t>First round assessment of benefit-risk balance</w:t>
      </w:r>
    </w:p>
    <w:p w14:paraId="38B9F44A" w14:textId="02E5CC07" w:rsidR="00605AD4" w:rsidRPr="00605AD4" w:rsidRDefault="00F877B0" w:rsidP="00605AD4">
      <w:pPr>
        <w:rPr>
          <w:lang w:eastAsia="ja-JP"/>
        </w:rPr>
      </w:pPr>
      <w:r>
        <w:rPr>
          <w:lang w:eastAsia="ja-JP"/>
        </w:rPr>
        <w:t xml:space="preserve">While the DELOS </w:t>
      </w:r>
      <w:r w:rsidR="00F613BA">
        <w:rPr>
          <w:lang w:eastAsia="ja-JP"/>
        </w:rPr>
        <w:t>s</w:t>
      </w:r>
      <w:r w:rsidR="003173BB">
        <w:rPr>
          <w:lang w:eastAsia="ja-JP"/>
        </w:rPr>
        <w:t>tudy</w:t>
      </w:r>
      <w:r>
        <w:rPr>
          <w:lang w:eastAsia="ja-JP"/>
        </w:rPr>
        <w:t xml:space="preserve"> showed a reduction in the deterioration of PEF%p with idebenone in comparison to placebo, uncertainty remains regarding the validity and clinical relevance of this outcome.</w:t>
      </w:r>
      <w:r w:rsidR="00DB3203">
        <w:rPr>
          <w:lang w:eastAsia="ja-JP"/>
        </w:rPr>
        <w:t xml:space="preserve"> </w:t>
      </w:r>
      <w:r>
        <w:rPr>
          <w:lang w:eastAsia="ja-JP"/>
        </w:rPr>
        <w:t xml:space="preserve">As such, confirmatory </w:t>
      </w:r>
      <w:r w:rsidR="003173BB">
        <w:rPr>
          <w:lang w:eastAsia="ja-JP"/>
        </w:rPr>
        <w:t>Phase</w:t>
      </w:r>
      <w:r>
        <w:rPr>
          <w:lang w:eastAsia="ja-JP"/>
        </w:rPr>
        <w:t xml:space="preserve"> III data are considered desirable.</w:t>
      </w:r>
      <w:r w:rsidR="00DB3203">
        <w:rPr>
          <w:lang w:eastAsia="ja-JP"/>
        </w:rPr>
        <w:t xml:space="preserve"> </w:t>
      </w:r>
      <w:r>
        <w:rPr>
          <w:lang w:eastAsia="ja-JP"/>
        </w:rPr>
        <w:t>While idebenone has an acceptable safety profile, t</w:t>
      </w:r>
      <w:r w:rsidRPr="00384083">
        <w:rPr>
          <w:lang w:eastAsia="ja-JP"/>
        </w:rPr>
        <w:t xml:space="preserve">he benefit-risk balance of </w:t>
      </w:r>
      <w:r>
        <w:rPr>
          <w:lang w:eastAsia="ja-JP"/>
        </w:rPr>
        <w:t>idebenone</w:t>
      </w:r>
      <w:r w:rsidRPr="00384083">
        <w:rPr>
          <w:lang w:eastAsia="ja-JP"/>
        </w:rPr>
        <w:t xml:space="preserve"> for the </w:t>
      </w:r>
      <w:r>
        <w:rPr>
          <w:lang w:eastAsia="ja-JP"/>
        </w:rPr>
        <w:t>treatment of DMD</w:t>
      </w:r>
      <w:r w:rsidRPr="00384083">
        <w:rPr>
          <w:lang w:eastAsia="ja-JP"/>
        </w:rPr>
        <w:t xml:space="preserve"> is</w:t>
      </w:r>
      <w:r>
        <w:rPr>
          <w:lang w:eastAsia="ja-JP"/>
        </w:rPr>
        <w:t xml:space="preserve"> considered un</w:t>
      </w:r>
      <w:r w:rsidRPr="00384083">
        <w:rPr>
          <w:lang w:eastAsia="ja-JP"/>
        </w:rPr>
        <w:t>favourable</w:t>
      </w:r>
      <w:r>
        <w:rPr>
          <w:lang w:eastAsia="ja-JP"/>
        </w:rPr>
        <w:t>.</w:t>
      </w:r>
    </w:p>
    <w:p w14:paraId="50DD8FDA" w14:textId="77777777" w:rsidR="00605AD4" w:rsidRPr="00605AD4" w:rsidRDefault="00605AD4" w:rsidP="00605AD4">
      <w:pPr>
        <w:pStyle w:val="Heading3"/>
        <w:rPr>
          <w:rFonts w:eastAsia="Cambria"/>
        </w:rPr>
      </w:pPr>
      <w:bookmarkStart w:id="216" w:name="_Toc32828539"/>
      <w:r w:rsidRPr="00605AD4">
        <w:rPr>
          <w:rFonts w:eastAsia="Cambria"/>
        </w:rPr>
        <w:t xml:space="preserve">First </w:t>
      </w:r>
      <w:r w:rsidR="00F877B0" w:rsidRPr="00605AD4">
        <w:rPr>
          <w:rFonts w:eastAsia="Cambria"/>
        </w:rPr>
        <w:t>round recommendation regarding authorisation</w:t>
      </w:r>
      <w:bookmarkEnd w:id="216"/>
    </w:p>
    <w:p w14:paraId="5EE47749" w14:textId="30BAB431" w:rsidR="009C51C7" w:rsidRDefault="00F877B0" w:rsidP="00F877B0">
      <w:pPr>
        <w:rPr>
          <w:lang w:eastAsia="ja-JP"/>
        </w:rPr>
      </w:pPr>
      <w:r w:rsidRPr="00503F4D">
        <w:rPr>
          <w:lang w:eastAsia="ja-JP"/>
        </w:rPr>
        <w:t xml:space="preserve">The </w:t>
      </w:r>
      <w:r w:rsidR="00F613BA">
        <w:rPr>
          <w:lang w:eastAsia="ja-JP"/>
        </w:rPr>
        <w:t>e</w:t>
      </w:r>
      <w:r w:rsidRPr="00503F4D">
        <w:rPr>
          <w:lang w:eastAsia="ja-JP"/>
        </w:rPr>
        <w:t xml:space="preserve">valuator is not able to recommend approval of </w:t>
      </w:r>
      <w:r>
        <w:rPr>
          <w:lang w:eastAsia="ja-JP"/>
        </w:rPr>
        <w:t>idebenone</w:t>
      </w:r>
      <w:r w:rsidRPr="00BF30F1">
        <w:rPr>
          <w:lang w:eastAsia="ja-JP"/>
        </w:rPr>
        <w:t xml:space="preserve"> for</w:t>
      </w:r>
      <w:r w:rsidR="009C51C7">
        <w:rPr>
          <w:lang w:eastAsia="ja-JP"/>
        </w:rPr>
        <w:t>:</w:t>
      </w:r>
    </w:p>
    <w:p w14:paraId="7DC1043B" w14:textId="77777777" w:rsidR="009C51C7" w:rsidRDefault="00F877B0" w:rsidP="009C51C7">
      <w:pPr>
        <w:ind w:left="720"/>
        <w:rPr>
          <w:i/>
          <w:lang w:eastAsia="ja-JP"/>
        </w:rPr>
      </w:pPr>
      <w:r w:rsidRPr="00203A4B">
        <w:rPr>
          <w:i/>
          <w:lang w:eastAsia="ja-JP"/>
        </w:rPr>
        <w:t>the treatment of patients with Duchenne Muscular Dystrophy (DMD) in whom respiratory function has started to decline and who are currently not taking concomitant glucocorticoids.</w:t>
      </w:r>
      <w:r w:rsidR="00DB3203">
        <w:rPr>
          <w:i/>
          <w:lang w:eastAsia="ja-JP"/>
        </w:rPr>
        <w:t xml:space="preserve"> </w:t>
      </w:r>
      <w:r w:rsidRPr="00203A4B">
        <w:rPr>
          <w:i/>
          <w:lang w:eastAsia="ja-JP"/>
        </w:rPr>
        <w:t xml:space="preserve">Raxone can be used in patients previously treated with glucocorticoids or in patients in whom glucocorticoid treatment is not desired, not </w:t>
      </w:r>
      <w:r>
        <w:rPr>
          <w:i/>
          <w:lang w:eastAsia="ja-JP"/>
        </w:rPr>
        <w:t xml:space="preserve">tolerated or is contraindicated </w:t>
      </w:r>
    </w:p>
    <w:p w14:paraId="70CC4E08" w14:textId="77777777" w:rsidR="00F877B0" w:rsidRPr="00503F4D" w:rsidRDefault="00F877B0" w:rsidP="00F877B0">
      <w:pPr>
        <w:rPr>
          <w:lang w:eastAsia="ja-JP"/>
        </w:rPr>
      </w:pPr>
      <w:r>
        <w:rPr>
          <w:lang w:eastAsia="ja-JP"/>
        </w:rPr>
        <w:lastRenderedPageBreak/>
        <w:t>at this time for the following reasons:</w:t>
      </w:r>
    </w:p>
    <w:p w14:paraId="68DA79D2" w14:textId="5BE2EF90" w:rsidR="00F877B0" w:rsidRDefault="00F877B0" w:rsidP="009C51C7">
      <w:pPr>
        <w:pStyle w:val="Numberbullet0"/>
      </w:pPr>
      <w:r>
        <w:t xml:space="preserve">while the PEF%p result in the DELOS </w:t>
      </w:r>
      <w:r w:rsidR="00F613BA">
        <w:t>s</w:t>
      </w:r>
      <w:r w:rsidR="003173BB">
        <w:t>tudy</w:t>
      </w:r>
      <w:r>
        <w:t xml:space="preserve"> was statistically significant, the 95% CI was wide and therefore the clinical relevance of the result is uncertain.</w:t>
      </w:r>
    </w:p>
    <w:p w14:paraId="2080634E" w14:textId="2C0D4A4B" w:rsidR="00F877B0" w:rsidRPr="001A37A8" w:rsidRDefault="00F877B0" w:rsidP="009C51C7">
      <w:pPr>
        <w:pStyle w:val="Numberbullet0"/>
      </w:pPr>
      <w:r w:rsidRPr="001A37A8">
        <w:rPr>
          <w:bCs/>
        </w:rPr>
        <w:t>FVC%p appears to be the preferred respiratory function test to measure loss of lung</w:t>
      </w:r>
      <w:r w:rsidR="00F613BA">
        <w:rPr>
          <w:bCs/>
        </w:rPr>
        <w:t> </w:t>
      </w:r>
      <w:r w:rsidRPr="001A37A8">
        <w:rPr>
          <w:bCs/>
        </w:rPr>
        <w:t>volume in DMD</w:t>
      </w:r>
      <w:r w:rsidRPr="001A37A8">
        <w:rPr>
          <w:bCs/>
          <w:lang w:val="en"/>
        </w:rPr>
        <w:t>.</w:t>
      </w:r>
    </w:p>
    <w:p w14:paraId="786E5E08" w14:textId="22DCFD8F" w:rsidR="00F877B0" w:rsidRDefault="00F877B0" w:rsidP="009C51C7">
      <w:pPr>
        <w:pStyle w:val="Numberbullet0"/>
      </w:pPr>
      <w:r>
        <w:t>there was a lack of consistent supportive evidence from other respiratory and non-respiratory endpoints in the pre-specified analyses of</w:t>
      </w:r>
      <w:r w:rsidR="00F613BA">
        <w:t xml:space="preserve"> the</w:t>
      </w:r>
      <w:r>
        <w:t xml:space="preserve"> DELOS</w:t>
      </w:r>
      <w:r w:rsidR="00F613BA">
        <w:t xml:space="preserve"> study</w:t>
      </w:r>
      <w:r>
        <w:t>.</w:t>
      </w:r>
    </w:p>
    <w:p w14:paraId="3D1A49AD" w14:textId="14E7F711" w:rsidR="00F877B0" w:rsidRDefault="00F877B0" w:rsidP="009C51C7">
      <w:pPr>
        <w:pStyle w:val="Numberbullet0"/>
      </w:pPr>
      <w:r>
        <w:t xml:space="preserve">while it is acknowledged that restricting the DELOS </w:t>
      </w:r>
      <w:r w:rsidR="00F613BA">
        <w:t>s</w:t>
      </w:r>
      <w:r w:rsidR="003173BB">
        <w:t>tudy</w:t>
      </w:r>
      <w:r>
        <w:t xml:space="preserve"> to DMD patients not receiving GCs was the result of a planned futility analysis, it has subsequently been determined that it is not GC use </w:t>
      </w:r>
      <w:r w:rsidRPr="00F51B8A">
        <w:rPr>
          <w:i/>
        </w:rPr>
        <w:t>per se</w:t>
      </w:r>
      <w:r>
        <w:t xml:space="preserve"> that influences response to idebenone but the stage of respiratory decline.</w:t>
      </w:r>
      <w:r w:rsidR="00DB3203">
        <w:t xml:space="preserve"> </w:t>
      </w:r>
      <w:r w:rsidR="009C51C7">
        <w:t>Therefore,</w:t>
      </w:r>
      <w:r>
        <w:t xml:space="preserve"> there is a substantial sub-group of patients with DMD in whom the efficacy of idebenone has not been demonstrated.</w:t>
      </w:r>
    </w:p>
    <w:p w14:paraId="34893390" w14:textId="21FDF628" w:rsidR="00605AD4" w:rsidRDefault="009C51C7" w:rsidP="00605AD4">
      <w:pPr>
        <w:pStyle w:val="Numberbullet0"/>
      </w:pPr>
      <w:r>
        <w:t xml:space="preserve">the DELOS </w:t>
      </w:r>
      <w:r w:rsidR="00F613BA">
        <w:t>s</w:t>
      </w:r>
      <w:r w:rsidR="003173BB">
        <w:t>tudy</w:t>
      </w:r>
      <w:r>
        <w:t xml:space="preserve"> does not provide </w:t>
      </w:r>
      <w:r w:rsidR="00685A72">
        <w:t>‘</w:t>
      </w:r>
      <w:r w:rsidRPr="00F51B8A">
        <w:rPr>
          <w:i/>
        </w:rPr>
        <w:t>statistically compelling and clinically relevant results</w:t>
      </w:r>
      <w:r w:rsidR="00685A72">
        <w:t>’</w:t>
      </w:r>
      <w:r>
        <w:t xml:space="preserve"> as per the </w:t>
      </w:r>
      <w:r w:rsidRPr="00F51B8A">
        <w:t xml:space="preserve">EMA document </w:t>
      </w:r>
      <w:r w:rsidR="00685A72">
        <w:t>‘</w:t>
      </w:r>
      <w:r w:rsidRPr="00F51B8A">
        <w:rPr>
          <w:bCs/>
          <w:lang w:val="en"/>
        </w:rPr>
        <w:t>Points to consider on application with 1.</w:t>
      </w:r>
      <w:r>
        <w:rPr>
          <w:bCs/>
          <w:lang w:val="en"/>
        </w:rPr>
        <w:t xml:space="preserve"> </w:t>
      </w:r>
      <w:r w:rsidRPr="00F51B8A">
        <w:rPr>
          <w:bCs/>
          <w:lang w:val="en"/>
        </w:rPr>
        <w:t>meta-analysis 2.</w:t>
      </w:r>
      <w:r>
        <w:rPr>
          <w:bCs/>
          <w:lang w:val="en"/>
        </w:rPr>
        <w:t xml:space="preserve"> </w:t>
      </w:r>
      <w:r w:rsidRPr="00F51B8A">
        <w:rPr>
          <w:bCs/>
          <w:lang w:val="en"/>
        </w:rPr>
        <w:t>one pivotal study (CHMP/EWP/2330/99)</w:t>
      </w:r>
      <w:r w:rsidR="00685A72">
        <w:rPr>
          <w:bCs/>
          <w:lang w:val="en"/>
        </w:rPr>
        <w:t>’</w:t>
      </w:r>
      <w:r>
        <w:rPr>
          <w:bCs/>
          <w:lang w:val="en"/>
        </w:rPr>
        <w:t>.</w:t>
      </w:r>
    </w:p>
    <w:p w14:paraId="0E8BDA41" w14:textId="77777777" w:rsidR="00605AD4" w:rsidRPr="00605AD4" w:rsidRDefault="002F5122" w:rsidP="00605AD4">
      <w:pPr>
        <w:pStyle w:val="Heading3"/>
        <w:rPr>
          <w:rFonts w:eastAsia="Cambria"/>
        </w:rPr>
      </w:pPr>
      <w:bookmarkStart w:id="217" w:name="_Toc32828540"/>
      <w:r w:rsidRPr="002F5122">
        <w:t xml:space="preserve">Clinical </w:t>
      </w:r>
      <w:r w:rsidR="00F877B0" w:rsidRPr="002F5122">
        <w:t>questions</w:t>
      </w:r>
      <w:r w:rsidR="00F877B0">
        <w:t xml:space="preserve"> and </w:t>
      </w:r>
      <w:r w:rsidR="00F877B0" w:rsidRPr="00605AD4">
        <w:rPr>
          <w:rFonts w:eastAsia="Cambria"/>
        </w:rPr>
        <w:t>second round evaluation</w:t>
      </w:r>
      <w:bookmarkEnd w:id="217"/>
    </w:p>
    <w:p w14:paraId="2640B945" w14:textId="77777777" w:rsidR="009C51C7" w:rsidRDefault="009C51C7" w:rsidP="009C51C7">
      <w:pPr>
        <w:pStyle w:val="Heading4"/>
        <w:numPr>
          <w:ilvl w:val="2"/>
          <w:numId w:val="0"/>
        </w:numPr>
        <w:tabs>
          <w:tab w:val="num" w:pos="1134"/>
        </w:tabs>
        <w:adjustRightInd w:val="0"/>
        <w:snapToGrid w:val="0"/>
        <w:spacing w:before="120" w:after="120"/>
        <w:ind w:left="1134" w:hanging="964"/>
      </w:pPr>
      <w:bookmarkStart w:id="218" w:name="_Toc272414702"/>
      <w:bookmarkStart w:id="219" w:name="_Toc290888568"/>
      <w:bookmarkStart w:id="220" w:name="_Toc416353784"/>
      <w:bookmarkStart w:id="221" w:name="_Toc421005324"/>
      <w:bookmarkStart w:id="222" w:name="_Toc432079195"/>
      <w:bookmarkStart w:id="223" w:name="_Toc432080768"/>
      <w:r w:rsidRPr="00E01445">
        <w:t>Pharmacokinetics</w:t>
      </w:r>
      <w:bookmarkEnd w:id="218"/>
      <w:bookmarkEnd w:id="219"/>
      <w:bookmarkEnd w:id="220"/>
      <w:bookmarkEnd w:id="221"/>
      <w:bookmarkEnd w:id="222"/>
      <w:bookmarkEnd w:id="223"/>
    </w:p>
    <w:p w14:paraId="1C1054C0" w14:textId="77777777" w:rsidR="009C51C7" w:rsidRPr="009C51C7" w:rsidRDefault="009C51C7" w:rsidP="009C51C7">
      <w:pPr>
        <w:pStyle w:val="Heading5"/>
      </w:pPr>
      <w:r>
        <w:t>Question 1</w:t>
      </w:r>
    </w:p>
    <w:p w14:paraId="39900492" w14:textId="77777777" w:rsidR="009C51C7" w:rsidRPr="009C51C7" w:rsidRDefault="009C51C7" w:rsidP="009C51C7">
      <w:pPr>
        <w:rPr>
          <w:b/>
          <w:i/>
        </w:rPr>
      </w:pPr>
      <w:bookmarkStart w:id="224" w:name="_Toc272414703"/>
      <w:bookmarkStart w:id="225" w:name="_Toc290888569"/>
      <w:bookmarkStart w:id="226" w:name="_Toc416353785"/>
      <w:bookmarkStart w:id="227" w:name="_Toc421005325"/>
      <w:bookmarkStart w:id="228" w:name="_Toc432079196"/>
      <w:bookmarkStart w:id="229" w:name="_Toc432080769"/>
      <w:r w:rsidRPr="009C51C7">
        <w:rPr>
          <w:b/>
          <w:i/>
        </w:rPr>
        <w:t>In Study SNT-I-003 (Section 11.4.5.5), it was reported that renal clearance of 9247 to 12822 mL/hour is higher than the GFR (7500 mL/minute).</w:t>
      </w:r>
      <w:r w:rsidR="00DB3203">
        <w:rPr>
          <w:b/>
          <w:i/>
        </w:rPr>
        <w:t xml:space="preserve"> </w:t>
      </w:r>
      <w:r w:rsidRPr="009C51C7">
        <w:rPr>
          <w:b/>
          <w:i/>
        </w:rPr>
        <w:t>Please clarify these numbers / units.</w:t>
      </w:r>
    </w:p>
    <w:p w14:paraId="650C1F11" w14:textId="77777777" w:rsidR="009C51C7" w:rsidRDefault="009C51C7" w:rsidP="009C51C7">
      <w:pPr>
        <w:pStyle w:val="Heading6"/>
      </w:pPr>
      <w:r w:rsidRPr="009C51C7">
        <w:t>Sponsor response</w:t>
      </w:r>
    </w:p>
    <w:p w14:paraId="1D10BAB3" w14:textId="77777777" w:rsidR="009C51C7" w:rsidRDefault="009C51C7" w:rsidP="009C51C7">
      <w:r w:rsidRPr="00D94A6C">
        <w:t xml:space="preserve">The </w:t>
      </w:r>
      <w:r w:rsidR="0032280D">
        <w:t>sponsor</w:t>
      </w:r>
      <w:r w:rsidRPr="00D94A6C">
        <w:t xml:space="preserve"> </w:t>
      </w:r>
      <w:r>
        <w:t>clarified there was a typographical error in the report such that the GFR should have read 7500 mL/hour.</w:t>
      </w:r>
    </w:p>
    <w:p w14:paraId="25D7319B" w14:textId="77777777" w:rsidR="009C51C7" w:rsidRDefault="009C51C7" w:rsidP="009C51C7">
      <w:pPr>
        <w:pStyle w:val="Heading6"/>
      </w:pPr>
      <w:r>
        <w:t>Evaluation of response</w:t>
      </w:r>
    </w:p>
    <w:p w14:paraId="4B96D336" w14:textId="77777777" w:rsidR="009C51C7" w:rsidRDefault="00770AA0" w:rsidP="000D51AD">
      <w:r>
        <w:t>The response is acceptable.</w:t>
      </w:r>
    </w:p>
    <w:p w14:paraId="74319887" w14:textId="77777777" w:rsidR="00770AA0" w:rsidRPr="009C51C7" w:rsidRDefault="00770AA0" w:rsidP="00770AA0">
      <w:pPr>
        <w:pStyle w:val="Heading5"/>
      </w:pPr>
      <w:r>
        <w:t>Question 2</w:t>
      </w:r>
    </w:p>
    <w:p w14:paraId="2DB5720C" w14:textId="77777777" w:rsidR="009C51C7" w:rsidRDefault="009C51C7" w:rsidP="00770AA0">
      <w:pPr>
        <w:rPr>
          <w:b/>
          <w:i/>
        </w:rPr>
      </w:pPr>
      <w:r w:rsidRPr="00770AA0">
        <w:rPr>
          <w:b/>
          <w:i/>
        </w:rPr>
        <w:t xml:space="preserve">In the non-clinical overview binding to human plasma proteins for idebenone was reported as 98.5% and 98.8% for </w:t>
      </w:r>
      <w:r w:rsidR="0061481A">
        <w:rPr>
          <w:b/>
          <w:i/>
        </w:rPr>
        <w:t>idebenone</w:t>
      </w:r>
      <w:r w:rsidRPr="00770AA0">
        <w:rPr>
          <w:b/>
          <w:i/>
        </w:rPr>
        <w:t xml:space="preserve"> (compound SNT-MC 17) and QS10 (compound SNT201343), respectively (on the basis of Study Number 862614).</w:t>
      </w:r>
      <w:r w:rsidR="00DB3203">
        <w:rPr>
          <w:b/>
          <w:i/>
        </w:rPr>
        <w:t xml:space="preserve"> </w:t>
      </w:r>
      <w:r w:rsidRPr="00770AA0">
        <w:rPr>
          <w:b/>
          <w:i/>
        </w:rPr>
        <w:t>Please clarify whether compound SNT-MC 17 is the same formulation of idebenone as was used in the clinical trials.</w:t>
      </w:r>
    </w:p>
    <w:p w14:paraId="24E50BB4" w14:textId="77777777" w:rsidR="00770AA0" w:rsidRDefault="00770AA0" w:rsidP="00770AA0">
      <w:pPr>
        <w:pStyle w:val="Heading6"/>
      </w:pPr>
      <w:r>
        <w:t>Sponsor response</w:t>
      </w:r>
    </w:p>
    <w:p w14:paraId="01FECDF6" w14:textId="77777777" w:rsidR="00770AA0" w:rsidRDefault="00770AA0" w:rsidP="00770AA0">
      <w:r w:rsidRPr="00D94A6C">
        <w:t xml:space="preserve">The </w:t>
      </w:r>
      <w:r w:rsidR="0032280D">
        <w:t>sponsor</w:t>
      </w:r>
      <w:r w:rsidRPr="00D94A6C">
        <w:t xml:space="preserve"> </w:t>
      </w:r>
      <w:r>
        <w:t xml:space="preserve">confirmed that </w:t>
      </w:r>
      <w:r w:rsidRPr="0062342B">
        <w:t>the compound code SNT-MC 17 used in the non-clinical study</w:t>
      </w:r>
      <w:r>
        <w:t xml:space="preserve"> </w:t>
      </w:r>
      <w:r w:rsidRPr="0062342B">
        <w:t>Nr 862614 refers to idebenone</w:t>
      </w:r>
      <w:r>
        <w:t>.</w:t>
      </w:r>
      <w:r w:rsidR="00DB3203">
        <w:t xml:space="preserve"> </w:t>
      </w:r>
      <w:r>
        <w:t>Amendment to the PI is proposed.</w:t>
      </w:r>
    </w:p>
    <w:p w14:paraId="27301A7B" w14:textId="77777777" w:rsidR="00770AA0" w:rsidRDefault="00770AA0" w:rsidP="00770AA0">
      <w:pPr>
        <w:pStyle w:val="Heading6"/>
      </w:pPr>
      <w:r>
        <w:t>Evaluation of response</w:t>
      </w:r>
    </w:p>
    <w:p w14:paraId="7B74986E" w14:textId="77777777" w:rsidR="00770AA0" w:rsidRDefault="00770AA0" w:rsidP="00770AA0">
      <w:r>
        <w:t>The response and addition to PI are acceptable.</w:t>
      </w:r>
    </w:p>
    <w:p w14:paraId="4308AA33" w14:textId="77777777" w:rsidR="009C51C7" w:rsidRDefault="009C51C7" w:rsidP="009C51C7">
      <w:pPr>
        <w:pStyle w:val="Heading4"/>
        <w:numPr>
          <w:ilvl w:val="2"/>
          <w:numId w:val="0"/>
        </w:numPr>
        <w:tabs>
          <w:tab w:val="num" w:pos="1134"/>
        </w:tabs>
        <w:adjustRightInd w:val="0"/>
        <w:snapToGrid w:val="0"/>
        <w:spacing w:before="120" w:after="120"/>
        <w:ind w:left="1134" w:hanging="964"/>
      </w:pPr>
      <w:bookmarkStart w:id="230" w:name="_Toc272414704"/>
      <w:bookmarkStart w:id="231" w:name="_Toc290888570"/>
      <w:bookmarkStart w:id="232" w:name="_Toc416353786"/>
      <w:bookmarkStart w:id="233" w:name="_Toc421005326"/>
      <w:bookmarkStart w:id="234" w:name="_Toc432079197"/>
      <w:bookmarkStart w:id="235" w:name="_Toc432080770"/>
      <w:bookmarkEnd w:id="224"/>
      <w:bookmarkEnd w:id="225"/>
      <w:bookmarkEnd w:id="226"/>
      <w:bookmarkEnd w:id="227"/>
      <w:bookmarkEnd w:id="228"/>
      <w:bookmarkEnd w:id="229"/>
      <w:r w:rsidRPr="00E01445">
        <w:t>Efficacy</w:t>
      </w:r>
      <w:bookmarkEnd w:id="230"/>
      <w:bookmarkEnd w:id="231"/>
      <w:bookmarkEnd w:id="232"/>
      <w:bookmarkEnd w:id="233"/>
      <w:bookmarkEnd w:id="234"/>
      <w:bookmarkEnd w:id="235"/>
    </w:p>
    <w:p w14:paraId="3E763248" w14:textId="77777777" w:rsidR="00BA5D09" w:rsidRPr="00BA5D09" w:rsidRDefault="00BA5D09" w:rsidP="00BA5D09">
      <w:pPr>
        <w:pStyle w:val="Heading5"/>
      </w:pPr>
      <w:r>
        <w:t>Question 3</w:t>
      </w:r>
    </w:p>
    <w:p w14:paraId="5773C022" w14:textId="77777777" w:rsidR="009C51C7" w:rsidRDefault="009C51C7" w:rsidP="00BA5D09">
      <w:pPr>
        <w:rPr>
          <w:b/>
          <w:i/>
        </w:rPr>
      </w:pPr>
      <w:r w:rsidRPr="00BA5D09">
        <w:rPr>
          <w:b/>
          <w:i/>
        </w:rPr>
        <w:t>Please comment on the change in the expected effect size in patients not using GCs between the original protocol (15%) and protocol amendment 3 (10.3%).</w:t>
      </w:r>
    </w:p>
    <w:p w14:paraId="0E9EB93D" w14:textId="77777777" w:rsidR="00BA5D09" w:rsidRDefault="00BA5D09" w:rsidP="00BA5D09">
      <w:pPr>
        <w:pStyle w:val="Heading6"/>
      </w:pPr>
      <w:r>
        <w:lastRenderedPageBreak/>
        <w:t>Sponsor response</w:t>
      </w:r>
    </w:p>
    <w:p w14:paraId="7A350750" w14:textId="77777777" w:rsidR="00BA5D09" w:rsidRDefault="00BA5D09" w:rsidP="00BA5D09">
      <w:r w:rsidRPr="00D94A6C">
        <w:t xml:space="preserve">The </w:t>
      </w:r>
      <w:r w:rsidR="0032280D">
        <w:t>sponsor</w:t>
      </w:r>
      <w:r w:rsidRPr="00D94A6C">
        <w:t xml:space="preserve"> </w:t>
      </w:r>
      <w:r>
        <w:t>explained that due to the lack of natural history data</w:t>
      </w:r>
      <w:r w:rsidRPr="004A1525">
        <w:rPr>
          <w:rFonts w:ascii="Times New Roman" w:eastAsiaTheme="minorHAnsi" w:hAnsi="Times New Roman"/>
          <w:sz w:val="24"/>
          <w:szCs w:val="24"/>
        </w:rPr>
        <w:t xml:space="preserve"> </w:t>
      </w:r>
      <w:r w:rsidRPr="004A1525">
        <w:t>at the time of the planning of DELOS</w:t>
      </w:r>
      <w:r>
        <w:t xml:space="preserve">, the original effect size was based on the DELPHI </w:t>
      </w:r>
      <w:r w:rsidR="003173BB">
        <w:t>Study</w:t>
      </w:r>
      <w:r>
        <w:t>.</w:t>
      </w:r>
      <w:r w:rsidR="00DB3203">
        <w:t xml:space="preserve"> </w:t>
      </w:r>
      <w:r>
        <w:t xml:space="preserve">Subsequent natural history studies indicated that the </w:t>
      </w:r>
      <w:r w:rsidRPr="004A1525">
        <w:t>expected annual rate of decline in PEF%p is approximately 5-6% between the age of 10</w:t>
      </w:r>
      <w:r>
        <w:t xml:space="preserve"> and 20 years, and that therefore</w:t>
      </w:r>
      <w:r w:rsidRPr="004A1525">
        <w:t xml:space="preserve"> the original assumptions for the sample size</w:t>
      </w:r>
      <w:r>
        <w:t xml:space="preserve"> </w:t>
      </w:r>
      <w:r w:rsidRPr="004A1525">
        <w:t>calculation of DELOS were not correct</w:t>
      </w:r>
      <w:r>
        <w:t>.</w:t>
      </w:r>
    </w:p>
    <w:p w14:paraId="5F668411" w14:textId="77777777" w:rsidR="00BA5D09" w:rsidRPr="000D51AD" w:rsidRDefault="00685A72" w:rsidP="000D51AD">
      <w:pPr>
        <w:ind w:left="720"/>
        <w:rPr>
          <w:lang w:eastAsia="ja-JP"/>
        </w:rPr>
      </w:pPr>
      <w:r w:rsidRPr="000D51AD">
        <w:t>‘</w:t>
      </w:r>
      <w:r w:rsidR="00BA5D09" w:rsidRPr="000D51AD">
        <w:t xml:space="preserve">The sample size calculation was not changed during the DELOS </w:t>
      </w:r>
      <w:r w:rsidR="003173BB" w:rsidRPr="000D51AD">
        <w:t>Study</w:t>
      </w:r>
      <w:r w:rsidR="00BA5D09" w:rsidRPr="000D51AD">
        <w:t xml:space="preserve"> conduct. However, as the final number of randomized patients (GC non-users) was somewhat higher than originally planned, the </w:t>
      </w:r>
      <w:r w:rsidR="0032280D" w:rsidRPr="000D51AD">
        <w:t>sponsor</w:t>
      </w:r>
      <w:r w:rsidR="00BA5D09" w:rsidRPr="000D51AD">
        <w:t xml:space="preserve"> documented in Protocol Amendment 5 that with the final sample size, the study would have 80% power to detect a difference of 10.3% in PEF%p between the groups. In agreement with the language in Amendment 5, the number 10.3 was not an expected effect size but rather an estimate of what kind of difference the study was powered to detect with the final sample size.</w:t>
      </w:r>
      <w:r w:rsidRPr="000D51AD">
        <w:t>’</w:t>
      </w:r>
    </w:p>
    <w:p w14:paraId="7AE571B0" w14:textId="77777777" w:rsidR="00BA5D09" w:rsidRDefault="00BA5D09" w:rsidP="00BA5D09">
      <w:pPr>
        <w:pStyle w:val="Heading6"/>
      </w:pPr>
      <w:r>
        <w:t>Evaluation of response</w:t>
      </w:r>
    </w:p>
    <w:p w14:paraId="4F477442" w14:textId="77777777" w:rsidR="00BA5D09" w:rsidRDefault="00BA5D09" w:rsidP="00BA5D09">
      <w:r>
        <w:t>The response is acceptable.</w:t>
      </w:r>
      <w:r w:rsidR="00DB3203">
        <w:t xml:space="preserve"> </w:t>
      </w:r>
      <w:r>
        <w:t>This does not affect interpretation of the results</w:t>
      </w:r>
      <w:r w:rsidR="000D51AD">
        <w:t>.</w:t>
      </w:r>
    </w:p>
    <w:p w14:paraId="0343E39E" w14:textId="77777777" w:rsidR="00BA5D09" w:rsidRPr="00BA5D09" w:rsidRDefault="00BA5D09" w:rsidP="00BA5D09">
      <w:pPr>
        <w:pStyle w:val="Heading5"/>
      </w:pPr>
      <w:r>
        <w:t>Question 4</w:t>
      </w:r>
    </w:p>
    <w:p w14:paraId="5E7FDD7E" w14:textId="7443FEC4" w:rsidR="009C51C7" w:rsidRPr="00BA5D09" w:rsidRDefault="009C51C7" w:rsidP="00BA5D09">
      <w:pPr>
        <w:pStyle w:val="Numberbullet0"/>
        <w:numPr>
          <w:ilvl w:val="0"/>
          <w:numId w:val="0"/>
        </w:numPr>
        <w:ind w:left="425" w:hanging="425"/>
        <w:rPr>
          <w:b/>
          <w:i/>
        </w:rPr>
      </w:pPr>
      <w:r w:rsidRPr="00BA5D09">
        <w:rPr>
          <w:b/>
          <w:i/>
        </w:rPr>
        <w:t xml:space="preserve">In the </w:t>
      </w:r>
      <w:r w:rsidR="008D68B6">
        <w:rPr>
          <w:b/>
          <w:i/>
        </w:rPr>
        <w:t>d</w:t>
      </w:r>
      <w:r w:rsidRPr="00BA5D09">
        <w:rPr>
          <w:b/>
          <w:i/>
        </w:rPr>
        <w:t xml:space="preserve">iscussion and </w:t>
      </w:r>
      <w:r w:rsidR="008D68B6">
        <w:rPr>
          <w:b/>
          <w:i/>
        </w:rPr>
        <w:t>c</w:t>
      </w:r>
      <w:r w:rsidRPr="00BA5D09">
        <w:rPr>
          <w:b/>
          <w:i/>
        </w:rPr>
        <w:t>onclusion section of Report SNT-IR-011 it is stated that:</w:t>
      </w:r>
    </w:p>
    <w:p w14:paraId="6A611459" w14:textId="77777777" w:rsidR="009C51C7" w:rsidRPr="00CF2E43" w:rsidRDefault="00685A72" w:rsidP="009C51C7">
      <w:pPr>
        <w:ind w:left="720"/>
        <w:rPr>
          <w:lang w:eastAsia="ja-JP"/>
        </w:rPr>
      </w:pPr>
      <w:r>
        <w:rPr>
          <w:lang w:eastAsia="ja-JP"/>
        </w:rPr>
        <w:t>‘</w:t>
      </w:r>
      <w:r w:rsidR="009C51C7" w:rsidRPr="00CF2E43">
        <w:rPr>
          <w:i/>
          <w:lang w:eastAsia="ja-JP"/>
        </w:rPr>
        <w:t>This re-analysis of the DELPHI and DELPHI-E data in the sub-group of patients in the decline phase of their disease (</w:t>
      </w:r>
      <w:r w:rsidR="001601AD">
        <w:rPr>
          <w:i/>
          <w:lang w:eastAsia="ja-JP"/>
        </w:rPr>
        <w:t>that is</w:t>
      </w:r>
      <w:r w:rsidR="009C51C7" w:rsidRPr="00CF2E43">
        <w:rPr>
          <w:i/>
          <w:lang w:eastAsia="ja-JP"/>
        </w:rPr>
        <w:t xml:space="preserve"> at </w:t>
      </w:r>
      <w:r w:rsidR="0053065A">
        <w:rPr>
          <w:rFonts w:hint="eastAsia"/>
          <w:i/>
          <w:lang w:eastAsia="ja-JP"/>
        </w:rPr>
        <w:t xml:space="preserve">≤ </w:t>
      </w:r>
      <w:r w:rsidR="009C51C7" w:rsidRPr="00CF2E43">
        <w:rPr>
          <w:i/>
          <w:lang w:eastAsia="ja-JP"/>
        </w:rPr>
        <w:t>80% PEF%p), now suggests that the treatment effect of idebenone is similar in GC-users and non-users with no significant interaction of GC on the effect of idebenone.</w:t>
      </w:r>
      <w:r w:rsidR="00DB3203">
        <w:rPr>
          <w:i/>
          <w:lang w:eastAsia="ja-JP"/>
        </w:rPr>
        <w:t xml:space="preserve"> </w:t>
      </w:r>
      <w:r w:rsidR="009C51C7" w:rsidRPr="00CF2E43">
        <w:rPr>
          <w:i/>
          <w:lang w:eastAsia="ja-JP"/>
        </w:rPr>
        <w:t xml:space="preserve">The difference between GC users and non-users reported in the original </w:t>
      </w:r>
      <w:r w:rsidR="009C51C7" w:rsidRPr="0002337A">
        <w:rPr>
          <w:i/>
          <w:lang w:eastAsia="ja-JP"/>
        </w:rPr>
        <w:t xml:space="preserve">DELPHI </w:t>
      </w:r>
      <w:r w:rsidR="0002337A" w:rsidRPr="0002337A">
        <w:rPr>
          <w:i/>
        </w:rPr>
        <w:t>Clinical Study Report</w:t>
      </w:r>
      <w:r w:rsidR="0002337A" w:rsidRPr="00CF2E43">
        <w:rPr>
          <w:i/>
          <w:lang w:eastAsia="ja-JP"/>
        </w:rPr>
        <w:t xml:space="preserve"> </w:t>
      </w:r>
      <w:r w:rsidR="0002337A">
        <w:rPr>
          <w:i/>
          <w:lang w:eastAsia="ja-JP"/>
        </w:rPr>
        <w:t>(</w:t>
      </w:r>
      <w:r w:rsidR="009C51C7" w:rsidRPr="00CF2E43">
        <w:rPr>
          <w:i/>
          <w:lang w:eastAsia="ja-JP"/>
        </w:rPr>
        <w:t>CSR</w:t>
      </w:r>
      <w:r w:rsidR="0002337A">
        <w:rPr>
          <w:i/>
          <w:lang w:eastAsia="ja-JP"/>
        </w:rPr>
        <w:t>)</w:t>
      </w:r>
      <w:r w:rsidR="009C51C7" w:rsidRPr="00CF2E43">
        <w:rPr>
          <w:i/>
          <w:lang w:eastAsia="ja-JP"/>
        </w:rPr>
        <w:t xml:space="preserve"> is now considered to have been an artefact of the effect of GC on delaying the onset of respiratory function decline rather than some interaction between idebenone and GC which affected the outcome in the GC-using patients. Whilst the GC non-using patients in DELPHI (n</w:t>
      </w:r>
      <w:r w:rsidR="0061481A">
        <w:rPr>
          <w:i/>
          <w:lang w:eastAsia="ja-JP"/>
        </w:rPr>
        <w:t xml:space="preserve"> = </w:t>
      </w:r>
      <w:r w:rsidR="009C51C7" w:rsidRPr="00CF2E43">
        <w:rPr>
          <w:i/>
          <w:lang w:eastAsia="ja-JP"/>
        </w:rPr>
        <w:t>8) were all in the decline phase (</w:t>
      </w:r>
      <w:r w:rsidR="001601AD">
        <w:rPr>
          <w:i/>
          <w:lang w:eastAsia="ja-JP"/>
        </w:rPr>
        <w:t>that is</w:t>
      </w:r>
      <w:r w:rsidR="009C51C7" w:rsidRPr="00CF2E43">
        <w:rPr>
          <w:i/>
          <w:lang w:eastAsia="ja-JP"/>
        </w:rPr>
        <w:t xml:space="preserve">, PEF%p was </w:t>
      </w:r>
      <w:r w:rsidR="000D51AD">
        <w:rPr>
          <w:i/>
          <w:lang w:eastAsia="ja-JP"/>
        </w:rPr>
        <w:t>≤</w:t>
      </w:r>
      <w:r w:rsidR="0053065A">
        <w:rPr>
          <w:rFonts w:hint="eastAsia"/>
          <w:i/>
          <w:lang w:eastAsia="ja-JP"/>
        </w:rPr>
        <w:t xml:space="preserve"> </w:t>
      </w:r>
      <w:r w:rsidR="009C51C7" w:rsidRPr="00CF2E43">
        <w:rPr>
          <w:i/>
          <w:lang w:eastAsia="ja-JP"/>
        </w:rPr>
        <w:t xml:space="preserve">80%) at Baseline the majority of the GC-using patients (9/13 </w:t>
      </w:r>
      <w:r w:rsidR="00DB3203">
        <w:rPr>
          <w:i/>
          <w:lang w:eastAsia="ja-JP"/>
        </w:rPr>
        <w:t>(</w:t>
      </w:r>
      <w:r w:rsidR="009C51C7" w:rsidRPr="00CF2E43">
        <w:rPr>
          <w:i/>
          <w:lang w:eastAsia="ja-JP"/>
        </w:rPr>
        <w:t>69%</w:t>
      </w:r>
      <w:r w:rsidR="00DB3203">
        <w:rPr>
          <w:i/>
          <w:lang w:eastAsia="ja-JP"/>
        </w:rPr>
        <w:t>)</w:t>
      </w:r>
      <w:r w:rsidR="009C51C7" w:rsidRPr="00CF2E43">
        <w:rPr>
          <w:i/>
          <w:lang w:eastAsia="ja-JP"/>
        </w:rPr>
        <w:t>) were not in the decline phase of their disease at Baseline</w:t>
      </w:r>
      <w:r w:rsidR="009C51C7" w:rsidRPr="00CF2E43">
        <w:rPr>
          <w:lang w:eastAsia="ja-JP"/>
        </w:rPr>
        <w:t>.</w:t>
      </w:r>
      <w:r>
        <w:rPr>
          <w:lang w:eastAsia="ja-JP"/>
        </w:rPr>
        <w:t>’</w:t>
      </w:r>
    </w:p>
    <w:p w14:paraId="2956888E" w14:textId="77777777" w:rsidR="009C51C7" w:rsidRDefault="009C51C7" w:rsidP="009C51C7">
      <w:pPr>
        <w:ind w:left="170"/>
        <w:rPr>
          <w:b/>
          <w:bCs/>
          <w:i/>
          <w:lang w:eastAsia="ja-JP"/>
        </w:rPr>
      </w:pPr>
      <w:r w:rsidRPr="00BA5D09">
        <w:rPr>
          <w:b/>
          <w:i/>
          <w:lang w:eastAsia="ja-JP"/>
        </w:rPr>
        <w:t xml:space="preserve">While the evaluator accepts the lack of interaction demonstrated between GC use and the treatment effect of idebenone, it would be useful to see the data for those patients with PEF%p </w:t>
      </w:r>
      <w:r w:rsidR="003173BB">
        <w:rPr>
          <w:b/>
          <w:i/>
          <w:lang w:eastAsia="ja-JP"/>
        </w:rPr>
        <w:t xml:space="preserve">&gt; </w:t>
      </w:r>
      <w:r w:rsidRPr="00BA5D09">
        <w:rPr>
          <w:b/>
          <w:i/>
          <w:lang w:eastAsia="ja-JP"/>
        </w:rPr>
        <w:t xml:space="preserve">80% presented as per </w:t>
      </w:r>
      <w:r w:rsidRPr="00BA5D09">
        <w:rPr>
          <w:b/>
          <w:bCs/>
          <w:i/>
          <w:lang w:eastAsia="ja-JP"/>
        </w:rPr>
        <w:t xml:space="preserve">the analysis of PEF%p for the subgroup with baseline PEF%p </w:t>
      </w:r>
      <w:r w:rsidR="000D51AD">
        <w:rPr>
          <w:b/>
          <w:bCs/>
          <w:i/>
          <w:lang w:eastAsia="ja-JP"/>
        </w:rPr>
        <w:t>≤</w:t>
      </w:r>
      <w:r w:rsidR="000D51AD">
        <w:rPr>
          <w:rFonts w:eastAsia="MS Mincho" w:hint="eastAsia"/>
          <w:b/>
          <w:bCs/>
          <w:i/>
          <w:lang w:eastAsia="ja-JP"/>
        </w:rPr>
        <w:t xml:space="preserve"> </w:t>
      </w:r>
      <w:r w:rsidRPr="00BA5D09">
        <w:rPr>
          <w:b/>
          <w:bCs/>
          <w:i/>
          <w:lang w:eastAsia="ja-JP"/>
        </w:rPr>
        <w:t>80% in Table 9 of the SNT-IR-011 Report.</w:t>
      </w:r>
    </w:p>
    <w:p w14:paraId="77C16A7A" w14:textId="77777777" w:rsidR="00BA5D09" w:rsidRDefault="00BA5D09" w:rsidP="00BA5D09">
      <w:pPr>
        <w:pStyle w:val="Heading6"/>
      </w:pPr>
      <w:r>
        <w:t>Sponsor response</w:t>
      </w:r>
    </w:p>
    <w:p w14:paraId="521EC1AE" w14:textId="77777777" w:rsidR="00BA5D09" w:rsidRDefault="00BA5D09" w:rsidP="00BA5D09">
      <w:r w:rsidRPr="00D94A6C">
        <w:t xml:space="preserve">The </w:t>
      </w:r>
      <w:r w:rsidR="0032280D">
        <w:t>sponsor</w:t>
      </w:r>
      <w:r w:rsidRPr="00D94A6C">
        <w:t xml:space="preserve"> </w:t>
      </w:r>
      <w:r>
        <w:t>presented the data as requested (see below).</w:t>
      </w:r>
      <w:r w:rsidR="00DB3203">
        <w:t xml:space="preserve"> </w:t>
      </w:r>
      <w:r>
        <w:t>It demonstrates that even in patients not in the decline phase (</w:t>
      </w:r>
      <w:r w:rsidRPr="00316BF3">
        <w:t xml:space="preserve">PEF%p </w:t>
      </w:r>
      <w:r w:rsidR="003173BB">
        <w:t xml:space="preserve">&gt; </w:t>
      </w:r>
      <w:r w:rsidRPr="00316BF3">
        <w:t>80%</w:t>
      </w:r>
      <w:r>
        <w:t>) there is an estimated mean treatment difference favouring idebenone at month 12 of 5.1%, although this is much smaller than that seen in patients in the decline phase (18.6%), and not statistically significant.</w:t>
      </w:r>
    </w:p>
    <w:p w14:paraId="00F917B1" w14:textId="77777777" w:rsidR="000D51AD" w:rsidRDefault="0030092C" w:rsidP="000D51AD">
      <w:pPr>
        <w:pStyle w:val="TableTitle"/>
      </w:pPr>
      <w:r>
        <w:lastRenderedPageBreak/>
        <w:t>Table 15:</w:t>
      </w:r>
      <w:r w:rsidR="000D51AD">
        <w:t xml:space="preserve"> </w:t>
      </w:r>
      <w:r>
        <w:rPr>
          <w:lang w:eastAsia="ja-JP"/>
        </w:rPr>
        <w:t>D</w:t>
      </w:r>
      <w:r w:rsidR="000D51AD" w:rsidRPr="00BA5D09">
        <w:rPr>
          <w:lang w:eastAsia="ja-JP"/>
        </w:rPr>
        <w:t xml:space="preserve">ata for those patients with PEF%p </w:t>
      </w:r>
      <w:r w:rsidR="000D51AD">
        <w:rPr>
          <w:lang w:eastAsia="ja-JP"/>
        </w:rPr>
        <w:t xml:space="preserve">&gt; </w:t>
      </w:r>
      <w:r w:rsidR="000D51AD" w:rsidRPr="00BA5D09">
        <w:rPr>
          <w:lang w:eastAsia="ja-JP"/>
        </w:rPr>
        <w:t>80%</w:t>
      </w:r>
    </w:p>
    <w:p w14:paraId="6F0E8EDB" w14:textId="77777777" w:rsidR="00BA5D09" w:rsidRDefault="00BA5D09" w:rsidP="009C51C7">
      <w:pPr>
        <w:ind w:left="170"/>
        <w:rPr>
          <w:b/>
          <w:bCs/>
          <w:i/>
          <w:lang w:eastAsia="ja-JP"/>
        </w:rPr>
      </w:pPr>
      <w:r>
        <w:rPr>
          <w:noProof/>
          <w:lang w:eastAsia="en-AU"/>
        </w:rPr>
        <w:drawing>
          <wp:inline distT="0" distB="0" distL="0" distR="0" wp14:anchorId="2D1BC5E5" wp14:editId="1D83B464">
            <wp:extent cx="5400040" cy="6232525"/>
            <wp:effectExtent l="0" t="0" r="0" b="0"/>
            <wp:docPr id="19" name="Picture 19" descr="Data for those patients with PEF%p &g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6232525"/>
                    </a:xfrm>
                    <a:prstGeom prst="rect">
                      <a:avLst/>
                    </a:prstGeom>
                  </pic:spPr>
                </pic:pic>
              </a:graphicData>
            </a:graphic>
          </wp:inline>
        </w:drawing>
      </w:r>
    </w:p>
    <w:p w14:paraId="1C8B522F" w14:textId="77777777" w:rsidR="00BA5D09" w:rsidRDefault="00BA5D09" w:rsidP="00BA5D09">
      <w:pPr>
        <w:pStyle w:val="Heading6"/>
      </w:pPr>
      <w:r>
        <w:t>Evaluation of response</w:t>
      </w:r>
    </w:p>
    <w:p w14:paraId="27DCA660" w14:textId="77777777" w:rsidR="00BA5D09" w:rsidRDefault="00BA5D09" w:rsidP="00BA5D09">
      <w:r>
        <w:t>The response is acceptable.</w:t>
      </w:r>
    </w:p>
    <w:p w14:paraId="56E7676C" w14:textId="77777777" w:rsidR="00BA5D09" w:rsidRPr="00BA5D09" w:rsidRDefault="00BA5D09" w:rsidP="00BA5D09">
      <w:pPr>
        <w:pStyle w:val="Heading5"/>
        <w:rPr>
          <w:lang w:eastAsia="ja-JP"/>
        </w:rPr>
      </w:pPr>
      <w:r>
        <w:t>Question 5</w:t>
      </w:r>
    </w:p>
    <w:p w14:paraId="06777D12" w14:textId="77777777" w:rsidR="009C51C7" w:rsidRDefault="009C51C7" w:rsidP="00BA5D09">
      <w:pPr>
        <w:rPr>
          <w:b/>
          <w:i/>
        </w:rPr>
      </w:pPr>
      <w:r w:rsidRPr="00BA5D09">
        <w:rPr>
          <w:b/>
          <w:i/>
        </w:rPr>
        <w:t>Please provide plots of the individual PEF%p (change from baseline and progression of mean values during the study) as presented in Figure 2 of the DELOS CSR.</w:t>
      </w:r>
      <w:r w:rsidR="00DB3203">
        <w:rPr>
          <w:b/>
          <w:i/>
        </w:rPr>
        <w:t xml:space="preserve"> </w:t>
      </w:r>
      <w:r w:rsidRPr="00BA5D09">
        <w:rPr>
          <w:b/>
          <w:i/>
        </w:rPr>
        <w:t>This may help to determine variation in the timing of when patients respond, and whether lack of an early response should result in cessation of treatment.</w:t>
      </w:r>
    </w:p>
    <w:p w14:paraId="3105BF0E" w14:textId="77777777" w:rsidR="00BA5D09" w:rsidRDefault="00BA5D09" w:rsidP="00BA5D09">
      <w:pPr>
        <w:pStyle w:val="Heading6"/>
      </w:pPr>
      <w:r>
        <w:t>Sponsor response</w:t>
      </w:r>
    </w:p>
    <w:p w14:paraId="447F59AC" w14:textId="1BB40360" w:rsidR="00BA5D09" w:rsidRDefault="00BA5D09" w:rsidP="00BA5D09">
      <w:r w:rsidRPr="00D94A6C">
        <w:t xml:space="preserve">The </w:t>
      </w:r>
      <w:r w:rsidR="0032280D">
        <w:t>sponsor</w:t>
      </w:r>
      <w:r w:rsidRPr="00D94A6C">
        <w:t xml:space="preserve"> </w:t>
      </w:r>
      <w:r>
        <w:t>provided the requested plots.</w:t>
      </w:r>
      <w:r w:rsidR="00DB3203">
        <w:t xml:space="preserve"> </w:t>
      </w:r>
      <w:r>
        <w:t xml:space="preserve">The </w:t>
      </w:r>
      <w:r w:rsidR="0032280D">
        <w:t>sponsor</w:t>
      </w:r>
      <w:r>
        <w:t xml:space="preserve"> concluded that</w:t>
      </w:r>
      <w:r w:rsidRPr="00BA5D09">
        <w:t xml:space="preserve">: </w:t>
      </w:r>
      <w:r w:rsidR="00685A72">
        <w:t>‘</w:t>
      </w:r>
      <w:r w:rsidRPr="00BA5D09">
        <w:t xml:space="preserve">it is difficult to assess the time of response to the treatment by viewing individual trajectories for change in PEF%p from baseline. </w:t>
      </w:r>
      <w:r w:rsidR="000D51AD" w:rsidRPr="00BA5D09">
        <w:t>Typically,</w:t>
      </w:r>
      <w:r w:rsidRPr="00BA5D09">
        <w:t xml:space="preserve"> it is challenging to draw conclusions from individual patient data on the overall outcome of a clinical trial.</w:t>
      </w:r>
      <w:r w:rsidR="00685A72">
        <w:t>’</w:t>
      </w:r>
    </w:p>
    <w:p w14:paraId="3B09BB5E" w14:textId="77777777" w:rsidR="00BA5D09" w:rsidRDefault="00BA5D09" w:rsidP="00BA5D09">
      <w:pPr>
        <w:pStyle w:val="Heading6"/>
      </w:pPr>
      <w:r>
        <w:lastRenderedPageBreak/>
        <w:t>Evaluation of response</w:t>
      </w:r>
    </w:p>
    <w:p w14:paraId="7F65E0A2" w14:textId="77777777" w:rsidR="00BA5D09" w:rsidRDefault="00BA5D09" w:rsidP="001F104F">
      <w:r>
        <w:t>The response is acceptable.</w:t>
      </w:r>
      <w:r w:rsidR="00DB3203">
        <w:t xml:space="preserve"> </w:t>
      </w:r>
      <w:r>
        <w:t>The pattern of response is quite variable, and some patients on idebenone deteriorated for a variable period of time before stabilising or improving.</w:t>
      </w:r>
      <w:r w:rsidR="00DB3203">
        <w:t xml:space="preserve"> </w:t>
      </w:r>
      <w:r w:rsidR="000D51AD">
        <w:t>Therefore,</w:t>
      </w:r>
      <w:r>
        <w:t xml:space="preserve"> it would be difficult to cease treatment purely on the basis of a </w:t>
      </w:r>
      <w:r w:rsidRPr="00E23E80">
        <w:t>lack of an early response</w:t>
      </w:r>
      <w:r>
        <w:t>.</w:t>
      </w:r>
    </w:p>
    <w:p w14:paraId="02679EBE" w14:textId="77777777" w:rsidR="001F104F" w:rsidRPr="00BA5D09" w:rsidRDefault="001F104F" w:rsidP="001F104F">
      <w:pPr>
        <w:pStyle w:val="Heading5"/>
      </w:pPr>
      <w:r>
        <w:t>Question 6</w:t>
      </w:r>
    </w:p>
    <w:p w14:paraId="5C41841D" w14:textId="3D2C8385" w:rsidR="009C51C7" w:rsidRPr="001F104F" w:rsidRDefault="009C51C7" w:rsidP="001F104F">
      <w:pPr>
        <w:rPr>
          <w:b/>
          <w:i/>
        </w:rPr>
      </w:pPr>
      <w:r w:rsidRPr="001F104F">
        <w:rPr>
          <w:b/>
          <w:i/>
        </w:rPr>
        <w:t xml:space="preserve">In Q1-Table 3 of the EMA responses </w:t>
      </w:r>
      <w:r w:rsidR="00F613BA">
        <w:rPr>
          <w:b/>
          <w:i/>
        </w:rPr>
        <w:t>third</w:t>
      </w:r>
      <w:r w:rsidR="00525EE2">
        <w:rPr>
          <w:b/>
          <w:i/>
        </w:rPr>
        <w:t xml:space="preserve"> </w:t>
      </w:r>
      <w:r w:rsidRPr="001F104F">
        <w:rPr>
          <w:b/>
          <w:i/>
        </w:rPr>
        <w:t>RSI document, the Cohen’s d statistic was calculated for respiratory function outcomes of the DELOS trial.</w:t>
      </w:r>
      <w:r w:rsidR="00DB3203">
        <w:rPr>
          <w:b/>
          <w:i/>
        </w:rPr>
        <w:t xml:space="preserve"> </w:t>
      </w:r>
      <w:r w:rsidRPr="001F104F">
        <w:rPr>
          <w:b/>
          <w:i/>
        </w:rPr>
        <w:t>As the Cohen’s d statistic tends to over-inflate results for smaller sample sizes (N</w:t>
      </w:r>
      <w:r w:rsidR="000D51AD">
        <w:rPr>
          <w:b/>
          <w:i/>
        </w:rPr>
        <w:t xml:space="preserve"> </w:t>
      </w:r>
      <w:r w:rsidR="003173BB">
        <w:rPr>
          <w:b/>
          <w:i/>
        </w:rPr>
        <w:t xml:space="preserve">&lt; </w:t>
      </w:r>
      <w:r w:rsidRPr="001F104F">
        <w:rPr>
          <w:b/>
          <w:i/>
        </w:rPr>
        <w:t>50), please confirm whether you used a correction factor in these calculations, and if not, please provide the results with and without correction.</w:t>
      </w:r>
    </w:p>
    <w:p w14:paraId="58762301" w14:textId="77777777" w:rsidR="001F104F" w:rsidRDefault="001F104F" w:rsidP="001F104F">
      <w:pPr>
        <w:pStyle w:val="Heading6"/>
      </w:pPr>
      <w:r>
        <w:t>Sponsor response</w:t>
      </w:r>
    </w:p>
    <w:p w14:paraId="4729BF5F" w14:textId="77777777" w:rsidR="006136D7" w:rsidRDefault="001F104F" w:rsidP="006136D7">
      <w:r w:rsidRPr="00D94A6C">
        <w:t xml:space="preserve">The </w:t>
      </w:r>
      <w:r w:rsidR="0032280D">
        <w:t>sponsor</w:t>
      </w:r>
      <w:r w:rsidRPr="00D94A6C">
        <w:t xml:space="preserve"> </w:t>
      </w:r>
      <w:r>
        <w:t>stated that the effect sizes were calculated without correction.</w:t>
      </w:r>
      <w:r w:rsidR="00DB3203">
        <w:t xml:space="preserve"> </w:t>
      </w:r>
      <w:r>
        <w:t>They provided a comparative overview of the treatment effect using the Cohen’s statistic and with a Hedges g correction.</w:t>
      </w:r>
      <w:r w:rsidR="00DB3203">
        <w:t xml:space="preserve"> </w:t>
      </w:r>
      <w:r>
        <w:t>This demonstrated very little difference in the effect size and hence did not alter the conclusions (see below)</w:t>
      </w:r>
    </w:p>
    <w:p w14:paraId="279F6978" w14:textId="529FAD6D" w:rsidR="009C51C7" w:rsidRDefault="00CC66F4" w:rsidP="001F104F">
      <w:pPr>
        <w:pStyle w:val="FigureTitle"/>
      </w:pPr>
      <w:r>
        <w:t>Figure 4</w:t>
      </w:r>
      <w:r w:rsidR="00C420B0">
        <w:t>:</w:t>
      </w:r>
      <w:r w:rsidR="001F104F">
        <w:t xml:space="preserve"> Interpretation of the observed treatment effect from the DELOS </w:t>
      </w:r>
      <w:r w:rsidR="003173BB">
        <w:t>Study</w:t>
      </w:r>
      <w:r w:rsidR="001F104F">
        <w:t xml:space="preserve"> by Cohen’s d and Hedges’ g methodology</w:t>
      </w:r>
    </w:p>
    <w:p w14:paraId="299DDEC9" w14:textId="77777777" w:rsidR="001F104F" w:rsidRDefault="001F104F" w:rsidP="006136D7">
      <w:r>
        <w:rPr>
          <w:noProof/>
          <w:lang w:eastAsia="en-AU"/>
        </w:rPr>
        <w:drawing>
          <wp:inline distT="0" distB="0" distL="0" distR="0" wp14:anchorId="5ED63313" wp14:editId="5A723997">
            <wp:extent cx="5400040" cy="3195955"/>
            <wp:effectExtent l="0" t="0" r="0" b="4445"/>
            <wp:docPr id="23" name="Picture 23" descr="Interpretation of the observed treatment effect from the DELOS Study by Cohen’s d and Hedges’ g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195955"/>
                    </a:xfrm>
                    <a:prstGeom prst="rect">
                      <a:avLst/>
                    </a:prstGeom>
                  </pic:spPr>
                </pic:pic>
              </a:graphicData>
            </a:graphic>
          </wp:inline>
        </w:drawing>
      </w:r>
    </w:p>
    <w:p w14:paraId="287895B8" w14:textId="77777777" w:rsidR="001F104F" w:rsidRDefault="001F104F" w:rsidP="001F104F">
      <w:pPr>
        <w:pStyle w:val="Heading6"/>
      </w:pPr>
      <w:r>
        <w:t>Evaluation of response</w:t>
      </w:r>
    </w:p>
    <w:p w14:paraId="35147F5F" w14:textId="77777777" w:rsidR="009C51C7" w:rsidRDefault="001F104F" w:rsidP="001F104F">
      <w:r>
        <w:t>The response is acceptable.</w:t>
      </w:r>
    </w:p>
    <w:p w14:paraId="6E673CF2" w14:textId="77777777" w:rsidR="009C51C7" w:rsidRDefault="001F104F" w:rsidP="001F104F">
      <w:pPr>
        <w:pStyle w:val="Heading5"/>
      </w:pPr>
      <w:r>
        <w:t>Question 7</w:t>
      </w:r>
    </w:p>
    <w:p w14:paraId="0999FD2A" w14:textId="77777777" w:rsidR="001F104F" w:rsidRPr="001F104F" w:rsidRDefault="001F104F" w:rsidP="001F104F">
      <w:pPr>
        <w:rPr>
          <w:b/>
          <w:i/>
        </w:rPr>
      </w:pPr>
      <w:r w:rsidRPr="001F104F">
        <w:rPr>
          <w:b/>
          <w:i/>
        </w:rPr>
        <w:t>Can the sponsor please indicate if there was discussion on the wording of the EAMS (unlicensed) indication and the reason for the EAMS choice?</w:t>
      </w:r>
    </w:p>
    <w:p w14:paraId="7391E170" w14:textId="77777777" w:rsidR="001F104F" w:rsidRDefault="001F104F" w:rsidP="001F104F">
      <w:pPr>
        <w:pStyle w:val="Heading6"/>
      </w:pPr>
      <w:r>
        <w:t>Sponsor response</w:t>
      </w:r>
    </w:p>
    <w:p w14:paraId="3E8273D5" w14:textId="77777777" w:rsidR="001F104F" w:rsidRDefault="001F104F" w:rsidP="001F104F">
      <w:r w:rsidRPr="00D94A6C">
        <w:t xml:space="preserve">The </w:t>
      </w:r>
      <w:r w:rsidR="0032280D">
        <w:t>sponsor</w:t>
      </w:r>
      <w:r w:rsidRPr="00D94A6C">
        <w:t xml:space="preserve"> </w:t>
      </w:r>
      <w:r>
        <w:t xml:space="preserve">provided a history of the discussion </w:t>
      </w:r>
      <w:r w:rsidRPr="005B6D17">
        <w:t>which occurred during the EAMS</w:t>
      </w:r>
      <w:r>
        <w:t xml:space="preserve"> </w:t>
      </w:r>
      <w:r w:rsidRPr="005B6D17">
        <w:t>assessment to reach the final wording of the therapeutic indication.</w:t>
      </w:r>
      <w:r w:rsidR="00DB3203">
        <w:t xml:space="preserve"> </w:t>
      </w:r>
      <w:r>
        <w:t>The initial indication proposed was:</w:t>
      </w:r>
    </w:p>
    <w:p w14:paraId="2DA28CD2" w14:textId="77777777" w:rsidR="001F104F" w:rsidRDefault="00685A72" w:rsidP="001F104F">
      <w:pPr>
        <w:ind w:left="720"/>
        <w:rPr>
          <w:i/>
          <w:iCs/>
          <w:lang w:eastAsia="ja-JP"/>
        </w:rPr>
      </w:pPr>
      <w:r>
        <w:rPr>
          <w:i/>
          <w:iCs/>
          <w:lang w:eastAsia="ja-JP"/>
        </w:rPr>
        <w:lastRenderedPageBreak/>
        <w:t>‘</w:t>
      </w:r>
      <w:r w:rsidR="001F104F" w:rsidRPr="005B6D17">
        <w:rPr>
          <w:i/>
          <w:iCs/>
          <w:lang w:eastAsia="ja-JP"/>
        </w:rPr>
        <w:t>for the treatment of patients with Duchenne muscular dystrophy (DMD) in whom</w:t>
      </w:r>
      <w:r w:rsidR="001F104F">
        <w:rPr>
          <w:i/>
          <w:iCs/>
          <w:lang w:eastAsia="ja-JP"/>
        </w:rPr>
        <w:t xml:space="preserve"> </w:t>
      </w:r>
      <w:r w:rsidR="001F104F" w:rsidRPr="005B6D17">
        <w:rPr>
          <w:i/>
          <w:iCs/>
          <w:lang w:eastAsia="ja-JP"/>
        </w:rPr>
        <w:t>respiratory function has started to decline and who are currently not taking</w:t>
      </w:r>
      <w:r w:rsidR="001F104F">
        <w:rPr>
          <w:i/>
          <w:iCs/>
          <w:lang w:eastAsia="ja-JP"/>
        </w:rPr>
        <w:t xml:space="preserve"> </w:t>
      </w:r>
      <w:r w:rsidR="001F104F" w:rsidRPr="005B6D17">
        <w:rPr>
          <w:i/>
          <w:iCs/>
          <w:lang w:eastAsia="ja-JP"/>
        </w:rPr>
        <w:t>concomitant glucocorticoids. Raxone can be used in patients previously treated with</w:t>
      </w:r>
      <w:r w:rsidR="001F104F">
        <w:rPr>
          <w:i/>
          <w:iCs/>
          <w:lang w:eastAsia="ja-JP"/>
        </w:rPr>
        <w:t xml:space="preserve"> </w:t>
      </w:r>
      <w:r w:rsidR="001F104F" w:rsidRPr="005B6D17">
        <w:rPr>
          <w:i/>
          <w:iCs/>
          <w:lang w:eastAsia="ja-JP"/>
        </w:rPr>
        <w:t>glucocorticoids or in patients in whom glucocorticoid treatment is not desired, not</w:t>
      </w:r>
      <w:r w:rsidR="001F104F">
        <w:rPr>
          <w:i/>
          <w:iCs/>
          <w:lang w:eastAsia="ja-JP"/>
        </w:rPr>
        <w:t xml:space="preserve"> </w:t>
      </w:r>
      <w:r w:rsidR="001F104F" w:rsidRPr="005B6D17">
        <w:rPr>
          <w:i/>
          <w:iCs/>
          <w:lang w:eastAsia="ja-JP"/>
        </w:rPr>
        <w:t>tolerated or is contraindicated</w:t>
      </w:r>
      <w:r>
        <w:rPr>
          <w:i/>
          <w:iCs/>
          <w:lang w:eastAsia="ja-JP"/>
        </w:rPr>
        <w:t>’</w:t>
      </w:r>
      <w:r w:rsidR="001F104F" w:rsidRPr="005B6D17">
        <w:rPr>
          <w:i/>
          <w:iCs/>
          <w:lang w:eastAsia="ja-JP"/>
        </w:rPr>
        <w:t>.</w:t>
      </w:r>
    </w:p>
    <w:p w14:paraId="500110FB" w14:textId="77777777" w:rsidR="001F104F" w:rsidRDefault="001F104F" w:rsidP="001F104F">
      <w:pPr>
        <w:rPr>
          <w:iCs/>
          <w:lang w:eastAsia="ja-JP"/>
        </w:rPr>
      </w:pPr>
      <w:r>
        <w:rPr>
          <w:iCs/>
          <w:lang w:eastAsia="ja-JP"/>
        </w:rPr>
        <w:t>The final wording approved was:</w:t>
      </w:r>
    </w:p>
    <w:p w14:paraId="53F54BF8" w14:textId="77777777" w:rsidR="001F104F" w:rsidRPr="00B41DE8" w:rsidRDefault="00685A72" w:rsidP="001F104F">
      <w:pPr>
        <w:ind w:left="720"/>
        <w:rPr>
          <w:i/>
          <w:iCs/>
          <w:lang w:eastAsia="ja-JP"/>
        </w:rPr>
      </w:pPr>
      <w:r>
        <w:rPr>
          <w:i/>
          <w:iCs/>
          <w:lang w:eastAsia="ja-JP"/>
        </w:rPr>
        <w:t>‘</w:t>
      </w:r>
      <w:r w:rsidR="001F104F" w:rsidRPr="00B41DE8">
        <w:rPr>
          <w:i/>
          <w:iCs/>
          <w:lang w:eastAsia="ja-JP"/>
        </w:rPr>
        <w:t>for slowing the decline of respiratory function in patients with Duchenne Muscular Dystrophy (DMD) from the age of 10 years who are currently not taking glucocorticoids. The decline of respiratory function must be confirmed by repeated measurements of pulmonary function prior to initiation of treatment. Raxone can be used in patients previously treated with glucocorticoids or in patients in whom glucocorticoid treatment is not tolerated or is considered inadvisable.</w:t>
      </w:r>
      <w:r>
        <w:rPr>
          <w:i/>
          <w:iCs/>
          <w:lang w:eastAsia="ja-JP"/>
        </w:rPr>
        <w:t>’</w:t>
      </w:r>
    </w:p>
    <w:p w14:paraId="04703A52" w14:textId="45BEBDA6" w:rsidR="001F104F" w:rsidRPr="005B6D17" w:rsidRDefault="001F104F" w:rsidP="001F104F">
      <w:pPr>
        <w:rPr>
          <w:lang w:eastAsia="ja-JP"/>
        </w:rPr>
      </w:pPr>
      <w:r>
        <w:rPr>
          <w:lang w:eastAsia="ja-JP"/>
        </w:rPr>
        <w:t xml:space="preserve">Changes occurred over time based on the ongoing CHMP review of the proposed wording of the </w:t>
      </w:r>
      <w:r w:rsidR="00ED6165">
        <w:t>summary of product characteristics</w:t>
      </w:r>
      <w:r w:rsidR="00ED6165">
        <w:rPr>
          <w:lang w:eastAsia="ja-JP"/>
        </w:rPr>
        <w:t xml:space="preserve"> (</w:t>
      </w:r>
      <w:r>
        <w:rPr>
          <w:lang w:eastAsia="ja-JP"/>
        </w:rPr>
        <w:t>SmPC</w:t>
      </w:r>
      <w:r w:rsidR="00ED6165">
        <w:rPr>
          <w:lang w:eastAsia="ja-JP"/>
        </w:rPr>
        <w:t>)</w:t>
      </w:r>
      <w:r>
        <w:rPr>
          <w:lang w:eastAsia="ja-JP"/>
        </w:rPr>
        <w:t xml:space="preserve"> and amendments suggested by the E</w:t>
      </w:r>
      <w:r w:rsidR="00525EE2">
        <w:rPr>
          <w:lang w:eastAsia="ja-JP"/>
        </w:rPr>
        <w:t>MA</w:t>
      </w:r>
      <w:r>
        <w:rPr>
          <w:lang w:eastAsia="ja-JP"/>
        </w:rPr>
        <w:t>’</w:t>
      </w:r>
      <w:r w:rsidR="00F613BA">
        <w:rPr>
          <w:lang w:eastAsia="ja-JP"/>
        </w:rPr>
        <w:t>s</w:t>
      </w:r>
      <w:r>
        <w:rPr>
          <w:lang w:eastAsia="ja-JP"/>
        </w:rPr>
        <w:t xml:space="preserve"> </w:t>
      </w:r>
      <w:r w:rsidR="00F613BA">
        <w:rPr>
          <w:lang w:eastAsia="ja-JP"/>
        </w:rPr>
        <w:t>a</w:t>
      </w:r>
      <w:r>
        <w:rPr>
          <w:lang w:eastAsia="ja-JP"/>
        </w:rPr>
        <w:t>ssessors.</w:t>
      </w:r>
      <w:r w:rsidR="00DB3203">
        <w:rPr>
          <w:lang w:eastAsia="ja-JP"/>
        </w:rPr>
        <w:t xml:space="preserve"> </w:t>
      </w:r>
      <w:r>
        <w:rPr>
          <w:lang w:eastAsia="ja-JP"/>
        </w:rPr>
        <w:t>They were generally fairly minor in nature and reflected aspects of the data available from the DMD idebenone studies (</w:t>
      </w:r>
      <w:r w:rsidR="0061481A">
        <w:rPr>
          <w:lang w:eastAsia="ja-JP"/>
        </w:rPr>
        <w:t>for example</w:t>
      </w:r>
      <w:r>
        <w:rPr>
          <w:lang w:eastAsia="ja-JP"/>
        </w:rPr>
        <w:t xml:space="preserve"> </w:t>
      </w:r>
      <w:r w:rsidRPr="000A7D04">
        <w:rPr>
          <w:lang w:eastAsia="ja-JP"/>
        </w:rPr>
        <w:t>absence of data in patients under the age of 10 years</w:t>
      </w:r>
      <w:r>
        <w:rPr>
          <w:lang w:eastAsia="ja-JP"/>
        </w:rPr>
        <w:t>).</w:t>
      </w:r>
    </w:p>
    <w:p w14:paraId="607A0B5E" w14:textId="77777777" w:rsidR="00DE78D8" w:rsidRDefault="00DE78D8" w:rsidP="00DE78D8">
      <w:pPr>
        <w:pStyle w:val="Heading6"/>
      </w:pPr>
      <w:r>
        <w:t>Evaluation of response</w:t>
      </w:r>
    </w:p>
    <w:p w14:paraId="4512FC1A" w14:textId="77777777" w:rsidR="009C51C7" w:rsidRDefault="00DE78D8" w:rsidP="00DE78D8">
      <w:r>
        <w:t>The response is acceptable.</w:t>
      </w:r>
    </w:p>
    <w:p w14:paraId="045E3AF4" w14:textId="77777777" w:rsidR="009C51C7" w:rsidRDefault="00DE78D8" w:rsidP="00DE78D8">
      <w:pPr>
        <w:pStyle w:val="Heading5"/>
      </w:pPr>
      <w:r>
        <w:t>Question 8</w:t>
      </w:r>
    </w:p>
    <w:p w14:paraId="2E085D63" w14:textId="435278B7" w:rsidR="00DE78D8" w:rsidRPr="00DE78D8" w:rsidRDefault="00DE78D8" w:rsidP="00DE78D8">
      <w:pPr>
        <w:rPr>
          <w:b/>
          <w:i/>
        </w:rPr>
      </w:pPr>
      <w:r w:rsidRPr="00DE78D8">
        <w:rPr>
          <w:b/>
          <w:i/>
        </w:rPr>
        <w:t>Only diarrhoea is listed as a common side effect, whereas there were numerous other AEs reported in the DELOS</w:t>
      </w:r>
      <w:r w:rsidR="00F613BA">
        <w:rPr>
          <w:b/>
          <w:i/>
        </w:rPr>
        <w:t xml:space="preserve"> s</w:t>
      </w:r>
      <w:r w:rsidR="003173BB">
        <w:rPr>
          <w:b/>
          <w:i/>
        </w:rPr>
        <w:t>tudy</w:t>
      </w:r>
      <w:r w:rsidRPr="00DE78D8">
        <w:rPr>
          <w:b/>
          <w:i/>
        </w:rPr>
        <w:t xml:space="preserve"> with a percentage </w:t>
      </w:r>
      <w:r w:rsidR="003173BB">
        <w:rPr>
          <w:b/>
          <w:i/>
        </w:rPr>
        <w:t xml:space="preserve">&gt; </w:t>
      </w:r>
      <w:r w:rsidRPr="00DE78D8">
        <w:rPr>
          <w:b/>
          <w:i/>
        </w:rPr>
        <w:t xml:space="preserve">10% (very common); </w:t>
      </w:r>
      <w:r w:rsidR="0061481A">
        <w:rPr>
          <w:b/>
          <w:i/>
        </w:rPr>
        <w:t>for example</w:t>
      </w:r>
      <w:r w:rsidR="000D51AD">
        <w:rPr>
          <w:b/>
          <w:i/>
        </w:rPr>
        <w:t>,</w:t>
      </w:r>
      <w:r w:rsidRPr="00DE78D8">
        <w:rPr>
          <w:b/>
          <w:i/>
        </w:rPr>
        <w:t xml:space="preserve"> nasopharyngitis, pyrexia, abdominal pain, bronchitis, </w:t>
      </w:r>
      <w:r w:rsidR="000D51AD">
        <w:rPr>
          <w:b/>
          <w:i/>
        </w:rPr>
        <w:t>etcetera</w:t>
      </w:r>
      <w:r w:rsidRPr="00DE78D8">
        <w:rPr>
          <w:b/>
          <w:i/>
        </w:rPr>
        <w:t>.</w:t>
      </w:r>
      <w:r w:rsidR="00DB3203">
        <w:rPr>
          <w:b/>
          <w:i/>
        </w:rPr>
        <w:t xml:space="preserve"> </w:t>
      </w:r>
      <w:r w:rsidRPr="00DE78D8">
        <w:rPr>
          <w:b/>
          <w:i/>
        </w:rPr>
        <w:t>Please explain the basis for only including diarrhoea as a common side effect in the CMI.</w:t>
      </w:r>
    </w:p>
    <w:p w14:paraId="11F36207" w14:textId="77777777" w:rsidR="00DE78D8" w:rsidRDefault="00DE78D8" w:rsidP="00DE78D8">
      <w:pPr>
        <w:pStyle w:val="Heading6"/>
      </w:pPr>
      <w:r>
        <w:t>Sponsor response</w:t>
      </w:r>
    </w:p>
    <w:p w14:paraId="41046FD3" w14:textId="77777777" w:rsidR="009C51C7" w:rsidRDefault="00DE78D8" w:rsidP="006136D7">
      <w:r w:rsidRPr="00D94A6C">
        <w:t xml:space="preserve">The </w:t>
      </w:r>
      <w:r w:rsidR="0032280D">
        <w:t>sponsor</w:t>
      </w:r>
      <w:r w:rsidRPr="00D94A6C">
        <w:t xml:space="preserve"> </w:t>
      </w:r>
      <w:r>
        <w:t>considers that CMI side effects are different from AEs reported in clinical trials and post marketing experience.</w:t>
      </w:r>
      <w:r w:rsidR="00DB3203">
        <w:t xml:space="preserve"> </w:t>
      </w:r>
      <w:r>
        <w:t xml:space="preserve">In particular, whether </w:t>
      </w:r>
      <w:r w:rsidRPr="00693DEA">
        <w:t>there is sufficient data available to conclude a reasonable</w:t>
      </w:r>
      <w:r>
        <w:t xml:space="preserve"> </w:t>
      </w:r>
      <w:r w:rsidRPr="00693DEA">
        <w:t>possibility for a causal relationship to Raxone</w:t>
      </w:r>
      <w:r>
        <w:t>.</w:t>
      </w:r>
      <w:r w:rsidR="00DB3203">
        <w:t xml:space="preserve"> </w:t>
      </w:r>
      <w:r>
        <w:t xml:space="preserve">Only diarrhoea was both a common event and had </w:t>
      </w:r>
      <w:r w:rsidRPr="001712A2">
        <w:t>at least a reasonable possibility</w:t>
      </w:r>
      <w:r>
        <w:t xml:space="preserve"> </w:t>
      </w:r>
      <w:r w:rsidRPr="001712A2">
        <w:t>for a plausible c</w:t>
      </w:r>
      <w:r>
        <w:t>ausal relationship to Raxone</w:t>
      </w:r>
      <w:r w:rsidRPr="001712A2">
        <w:t>.</w:t>
      </w:r>
    </w:p>
    <w:p w14:paraId="6242BDDA" w14:textId="77777777" w:rsidR="00DE78D8" w:rsidRDefault="00DE78D8" w:rsidP="00DE78D8">
      <w:pPr>
        <w:pStyle w:val="Heading6"/>
      </w:pPr>
      <w:r>
        <w:t>Evaluation of response</w:t>
      </w:r>
    </w:p>
    <w:p w14:paraId="357A49FC" w14:textId="77777777" w:rsidR="009C51C7" w:rsidRDefault="00DE78D8" w:rsidP="00DE78D8">
      <w:r>
        <w:t xml:space="preserve">The response is </w:t>
      </w:r>
      <w:r w:rsidRPr="006C2054">
        <w:t>acceptable</w:t>
      </w:r>
      <w:r>
        <w:t>.</w:t>
      </w:r>
    </w:p>
    <w:p w14:paraId="2F7510B4" w14:textId="77777777" w:rsidR="009C51C7" w:rsidRDefault="00DE78D8" w:rsidP="00DE78D8">
      <w:pPr>
        <w:pStyle w:val="Heading5"/>
      </w:pPr>
      <w:r>
        <w:t>Question 9</w:t>
      </w:r>
    </w:p>
    <w:p w14:paraId="390EA029" w14:textId="582F1DC8" w:rsidR="00DE78D8" w:rsidRPr="00DE78D8" w:rsidRDefault="00DE78D8" w:rsidP="00DE78D8">
      <w:pPr>
        <w:rPr>
          <w:b/>
          <w:i/>
        </w:rPr>
      </w:pPr>
      <w:r w:rsidRPr="00DE78D8">
        <w:rPr>
          <w:b/>
          <w:i/>
        </w:rPr>
        <w:t xml:space="preserve">Can the sponsor please clarify whether any additional issues were raised in the </w:t>
      </w:r>
      <w:r w:rsidR="00F613BA">
        <w:rPr>
          <w:b/>
          <w:i/>
        </w:rPr>
        <w:t xml:space="preserve">first </w:t>
      </w:r>
      <w:r w:rsidRPr="00DE78D8">
        <w:rPr>
          <w:b/>
          <w:i/>
        </w:rPr>
        <w:t xml:space="preserve">or </w:t>
      </w:r>
      <w:r w:rsidR="00F613BA">
        <w:rPr>
          <w:b/>
          <w:i/>
        </w:rPr>
        <w:t>second</w:t>
      </w:r>
      <w:r w:rsidR="00F613BA" w:rsidRPr="00DE78D8">
        <w:rPr>
          <w:b/>
          <w:i/>
        </w:rPr>
        <w:t xml:space="preserve"> </w:t>
      </w:r>
      <w:r w:rsidRPr="00DE78D8">
        <w:rPr>
          <w:b/>
          <w:i/>
        </w:rPr>
        <w:t xml:space="preserve">RSI from the EMA that have not subsequently been raised in the </w:t>
      </w:r>
      <w:r w:rsidR="00F613BA">
        <w:rPr>
          <w:b/>
          <w:i/>
        </w:rPr>
        <w:t>third</w:t>
      </w:r>
      <w:r w:rsidR="00F613BA" w:rsidRPr="00DE78D8">
        <w:rPr>
          <w:b/>
          <w:i/>
        </w:rPr>
        <w:t xml:space="preserve"> </w:t>
      </w:r>
      <w:r w:rsidRPr="00DE78D8">
        <w:rPr>
          <w:b/>
          <w:i/>
        </w:rPr>
        <w:t>RSI?</w:t>
      </w:r>
      <w:r w:rsidR="00DB3203">
        <w:rPr>
          <w:b/>
          <w:i/>
        </w:rPr>
        <w:t xml:space="preserve"> </w:t>
      </w:r>
      <w:r w:rsidRPr="00DE78D8">
        <w:rPr>
          <w:b/>
          <w:i/>
        </w:rPr>
        <w:t>Please provide a timeline for the major interactions with the EMA.</w:t>
      </w:r>
    </w:p>
    <w:p w14:paraId="01230569" w14:textId="77777777" w:rsidR="00DE78D8" w:rsidRDefault="00DE78D8" w:rsidP="00DE78D8">
      <w:pPr>
        <w:pStyle w:val="Heading6"/>
      </w:pPr>
      <w:r>
        <w:t>Sponsor response</w:t>
      </w:r>
    </w:p>
    <w:p w14:paraId="37934FAF" w14:textId="20DDD427" w:rsidR="00DE78D8" w:rsidRDefault="00DE78D8" w:rsidP="00DE78D8">
      <w:r w:rsidRPr="00D94A6C">
        <w:t xml:space="preserve">The </w:t>
      </w:r>
      <w:r w:rsidR="0032280D">
        <w:t>sponsor</w:t>
      </w:r>
      <w:r w:rsidRPr="00D94A6C">
        <w:t xml:space="preserve"> </w:t>
      </w:r>
      <w:r>
        <w:t>provided the summary of the timelines.</w:t>
      </w:r>
    </w:p>
    <w:p w14:paraId="46397BAD" w14:textId="77777777" w:rsidR="00DE78D8" w:rsidRDefault="00DE78D8" w:rsidP="00DE78D8">
      <w:pPr>
        <w:rPr>
          <w:lang w:eastAsia="ja-JP"/>
        </w:rPr>
      </w:pPr>
      <w:r w:rsidRPr="00A33293">
        <w:rPr>
          <w:lang w:eastAsia="ja-JP"/>
        </w:rPr>
        <w:t xml:space="preserve">The </w:t>
      </w:r>
      <w:r w:rsidR="0032280D">
        <w:rPr>
          <w:lang w:eastAsia="ja-JP"/>
        </w:rPr>
        <w:t>sponsor</w:t>
      </w:r>
      <w:r>
        <w:rPr>
          <w:lang w:eastAsia="ja-JP"/>
        </w:rPr>
        <w:t xml:space="preserve"> </w:t>
      </w:r>
      <w:r w:rsidRPr="00A33293">
        <w:rPr>
          <w:lang w:eastAsia="ja-JP"/>
        </w:rPr>
        <w:t>confirm</w:t>
      </w:r>
      <w:r>
        <w:rPr>
          <w:lang w:eastAsia="ja-JP"/>
        </w:rPr>
        <w:t>ed that</w:t>
      </w:r>
      <w:r w:rsidRPr="00A33293">
        <w:rPr>
          <w:lang w:eastAsia="ja-JP"/>
        </w:rPr>
        <w:t xml:space="preserve"> there were additional questions raised in the </w:t>
      </w:r>
      <w:r w:rsidR="000D51AD">
        <w:rPr>
          <w:lang w:eastAsia="ja-JP"/>
        </w:rPr>
        <w:t>first</w:t>
      </w:r>
      <w:r w:rsidRPr="00A33293">
        <w:rPr>
          <w:lang w:eastAsia="ja-JP"/>
        </w:rPr>
        <w:t xml:space="preserve"> and </w:t>
      </w:r>
      <w:r w:rsidR="000D51AD">
        <w:rPr>
          <w:lang w:eastAsia="ja-JP"/>
        </w:rPr>
        <w:t>second</w:t>
      </w:r>
      <w:r w:rsidRPr="00A33293">
        <w:rPr>
          <w:lang w:eastAsia="ja-JP"/>
        </w:rPr>
        <w:t xml:space="preserve"> </w:t>
      </w:r>
      <w:r w:rsidR="00ED6165" w:rsidRPr="00A33293">
        <w:rPr>
          <w:lang w:eastAsia="ja-JP"/>
        </w:rPr>
        <w:t xml:space="preserve">round </w:t>
      </w:r>
      <w:r w:rsidR="00ED6165">
        <w:t>request for supplementary information</w:t>
      </w:r>
      <w:r w:rsidR="00ED6165">
        <w:rPr>
          <w:lang w:eastAsia="ja-JP"/>
        </w:rPr>
        <w:t xml:space="preserve"> (</w:t>
      </w:r>
      <w:r>
        <w:rPr>
          <w:lang w:eastAsia="ja-JP"/>
        </w:rPr>
        <w:t>RSI</w:t>
      </w:r>
      <w:r w:rsidR="00ED6165">
        <w:rPr>
          <w:lang w:eastAsia="ja-JP"/>
        </w:rPr>
        <w:t>)</w:t>
      </w:r>
      <w:r>
        <w:rPr>
          <w:lang w:eastAsia="ja-JP"/>
        </w:rPr>
        <w:t xml:space="preserve"> that</w:t>
      </w:r>
      <w:r w:rsidRPr="00A33293">
        <w:rPr>
          <w:lang w:eastAsia="ja-JP"/>
        </w:rPr>
        <w:t xml:space="preserve"> were resolved prior to Round 3</w:t>
      </w:r>
      <w:r>
        <w:rPr>
          <w:lang w:eastAsia="ja-JP"/>
        </w:rPr>
        <w:t>,</w:t>
      </w:r>
      <w:r w:rsidRPr="00A33293">
        <w:rPr>
          <w:lang w:eastAsia="ja-JP"/>
        </w:rPr>
        <w:t xml:space="preserve"> </w:t>
      </w:r>
      <w:r>
        <w:rPr>
          <w:lang w:eastAsia="ja-JP"/>
        </w:rPr>
        <w:t xml:space="preserve">and provided </w:t>
      </w:r>
      <w:r w:rsidRPr="00A33293">
        <w:rPr>
          <w:lang w:eastAsia="ja-JP"/>
        </w:rPr>
        <w:t>the Round 1, Round 2 and Round 3 correspondence</w:t>
      </w:r>
      <w:r w:rsidR="000D51AD">
        <w:rPr>
          <w:lang w:eastAsia="ja-JP"/>
        </w:rPr>
        <w:t xml:space="preserve"> with their response</w:t>
      </w:r>
      <w:r w:rsidRPr="00A33293">
        <w:rPr>
          <w:lang w:eastAsia="ja-JP"/>
        </w:rPr>
        <w:t>.</w:t>
      </w:r>
    </w:p>
    <w:p w14:paraId="264A6BF3" w14:textId="77777777" w:rsidR="00DE78D8" w:rsidRDefault="00DE78D8" w:rsidP="00DE78D8">
      <w:pPr>
        <w:pStyle w:val="Heading6"/>
      </w:pPr>
      <w:r>
        <w:t>Evaluation of response</w:t>
      </w:r>
    </w:p>
    <w:p w14:paraId="101C036D" w14:textId="77777777" w:rsidR="009C51C7" w:rsidRDefault="00DE78D8" w:rsidP="00DE78D8">
      <w:r>
        <w:t>The response is acceptable.</w:t>
      </w:r>
      <w:r w:rsidR="00DB3203">
        <w:t xml:space="preserve"> </w:t>
      </w:r>
      <w:r>
        <w:t xml:space="preserve">The issues identified in the </w:t>
      </w:r>
      <w:r w:rsidR="000D51AD">
        <w:t>first</w:t>
      </w:r>
      <w:r>
        <w:t xml:space="preserve"> and </w:t>
      </w:r>
      <w:r w:rsidR="000D51AD">
        <w:t xml:space="preserve">second </w:t>
      </w:r>
      <w:r>
        <w:t xml:space="preserve">round RSI were reviewed and the evaluator is satisfied that no additional unresolved issues have been identified that were not included in the </w:t>
      </w:r>
      <w:r w:rsidR="000D51AD">
        <w:t>third</w:t>
      </w:r>
      <w:r w:rsidRPr="00FC5007">
        <w:t xml:space="preserve"> RSI</w:t>
      </w:r>
      <w:r>
        <w:t>.</w:t>
      </w:r>
      <w:r w:rsidR="00DB3203">
        <w:t xml:space="preserve"> </w:t>
      </w:r>
      <w:r>
        <w:t xml:space="preserve">It is noted that there were pre-clinical </w:t>
      </w:r>
      <w:r>
        <w:lastRenderedPageBreak/>
        <w:t xml:space="preserve">and </w:t>
      </w:r>
      <w:r w:rsidR="00ED6165">
        <w:t>Risk Management Plan (</w:t>
      </w:r>
      <w:r>
        <w:t>RMP</w:t>
      </w:r>
      <w:r w:rsidR="00ED6165">
        <w:t>)</w:t>
      </w:r>
      <w:r>
        <w:t xml:space="preserve"> issues identified which may require review by the relevant </w:t>
      </w:r>
      <w:r w:rsidRPr="00FC5007">
        <w:t>evaluators</w:t>
      </w:r>
      <w:r>
        <w:t>.</w:t>
      </w:r>
    </w:p>
    <w:p w14:paraId="1DBC1E47" w14:textId="77777777" w:rsidR="009C51C7" w:rsidRDefault="00161104" w:rsidP="00161104">
      <w:pPr>
        <w:pStyle w:val="Heading4"/>
      </w:pPr>
      <w:r>
        <w:t>Additional information provided by the sponsor</w:t>
      </w:r>
    </w:p>
    <w:p w14:paraId="54E24DAD" w14:textId="77777777" w:rsidR="009C51C7" w:rsidRDefault="000D51AD" w:rsidP="00161104">
      <w:r>
        <w:t>The sponsor’s</w:t>
      </w:r>
      <w:r w:rsidR="00161104">
        <w:t xml:space="preserve"> responses to the TGA evaluator recommendations and relevant information from the CHMP re-examination procedure are discussed below in relation to the </w:t>
      </w:r>
      <w:r>
        <w:t>first round</w:t>
      </w:r>
      <w:r w:rsidR="00161104">
        <w:t xml:space="preserve"> recommendation</w:t>
      </w:r>
    </w:p>
    <w:p w14:paraId="08CAD56B" w14:textId="77777777" w:rsidR="00161104" w:rsidRPr="00161104" w:rsidRDefault="00161104" w:rsidP="00161104">
      <w:pPr>
        <w:pStyle w:val="Heading5"/>
        <w:rPr>
          <w:rFonts w:eastAsiaTheme="minorHAnsi"/>
        </w:rPr>
      </w:pPr>
      <w:r>
        <w:rPr>
          <w:rFonts w:eastAsiaTheme="minorHAnsi"/>
        </w:rPr>
        <w:t>Issue 1</w:t>
      </w:r>
    </w:p>
    <w:p w14:paraId="686A2F1A" w14:textId="77777777" w:rsidR="00161104" w:rsidRPr="00161104" w:rsidRDefault="00161104" w:rsidP="00161104">
      <w:pPr>
        <w:rPr>
          <w:b/>
          <w:i/>
        </w:rPr>
      </w:pPr>
      <w:r w:rsidRPr="00161104">
        <w:rPr>
          <w:b/>
          <w:i/>
        </w:rPr>
        <w:t xml:space="preserve">While the PEF%p result in the DELOS </w:t>
      </w:r>
      <w:r w:rsidR="003173BB">
        <w:rPr>
          <w:b/>
          <w:i/>
        </w:rPr>
        <w:t>Study</w:t>
      </w:r>
      <w:r w:rsidRPr="00161104">
        <w:rPr>
          <w:b/>
          <w:i/>
        </w:rPr>
        <w:t xml:space="preserve"> was statistically significant, the 95% CI was wide and therefore the clinical relevance of the result is uncertain.</w:t>
      </w:r>
    </w:p>
    <w:p w14:paraId="4C9DF25A" w14:textId="77777777" w:rsidR="00161104" w:rsidRDefault="00161104" w:rsidP="00161104">
      <w:pPr>
        <w:pStyle w:val="Heading6"/>
      </w:pPr>
      <w:r>
        <w:t>Sponsor response</w:t>
      </w:r>
    </w:p>
    <w:p w14:paraId="626754D7" w14:textId="77777777" w:rsidR="00161104" w:rsidRDefault="00161104" w:rsidP="00161104">
      <w:r w:rsidRPr="00D94A6C">
        <w:t xml:space="preserve">The </w:t>
      </w:r>
      <w:r w:rsidR="0032280D">
        <w:t>sponsor</w:t>
      </w:r>
      <w:r w:rsidRPr="00D94A6C">
        <w:t xml:space="preserve"> </w:t>
      </w:r>
      <w:r w:rsidRPr="002901BB">
        <w:t>made the following points:</w:t>
      </w:r>
    </w:p>
    <w:p w14:paraId="312E9665" w14:textId="77777777" w:rsidR="00161104" w:rsidRPr="00D11F78" w:rsidRDefault="00161104" w:rsidP="00161104">
      <w:pPr>
        <w:pStyle w:val="ListBullet"/>
      </w:pPr>
      <w:r w:rsidRPr="00D11F78">
        <w:t>The primary endpoint of the DELOS trial, change in PEF%p over the 52-week study period, showed a between-group difference of 6.27% in favour of Raxone.</w:t>
      </w:r>
    </w:p>
    <w:p w14:paraId="634C75CF" w14:textId="77777777" w:rsidR="00161104" w:rsidRPr="00D11F78" w:rsidRDefault="00161104" w:rsidP="00161104">
      <w:pPr>
        <w:pStyle w:val="ListBullet"/>
        <w:rPr>
          <w:rFonts w:eastAsiaTheme="minorHAnsi"/>
        </w:rPr>
      </w:pPr>
      <w:r w:rsidRPr="00D11F78">
        <w:rPr>
          <w:rFonts w:eastAsiaTheme="minorHAnsi"/>
        </w:rPr>
        <w:t>Natural history reference data report annual rates of respiratory function decline in PEF%p in the range between 4.1% and 6.78%.</w:t>
      </w:r>
    </w:p>
    <w:p w14:paraId="07506D3B" w14:textId="77777777" w:rsidR="00161104" w:rsidRDefault="00161104" w:rsidP="00161104">
      <w:pPr>
        <w:pStyle w:val="ListBullet"/>
        <w:rPr>
          <w:rFonts w:eastAsiaTheme="minorHAnsi"/>
        </w:rPr>
      </w:pPr>
      <w:r w:rsidRPr="00D11F78">
        <w:rPr>
          <w:rFonts w:eastAsiaTheme="minorHAnsi"/>
        </w:rPr>
        <w:t>The observed treatment difference for the primary endpoint PEF%p in the DELOS trial represents a delay of disease progression by 1 year, which is a clinically relevant treatment effect in DMD.</w:t>
      </w:r>
    </w:p>
    <w:p w14:paraId="337B1A8B" w14:textId="77777777" w:rsidR="00161104" w:rsidRPr="004B2FF7" w:rsidRDefault="00161104" w:rsidP="00161104">
      <w:pPr>
        <w:pStyle w:val="ListBullet"/>
        <w:rPr>
          <w:rFonts w:eastAsiaTheme="minorHAnsi"/>
        </w:rPr>
      </w:pPr>
      <w:r>
        <w:rPr>
          <w:rFonts w:eastAsiaTheme="minorHAnsi"/>
        </w:rPr>
        <w:t>The findings observed for PEF%p</w:t>
      </w:r>
      <w:r w:rsidRPr="004B2FF7">
        <w:rPr>
          <w:rFonts w:eastAsiaTheme="minorHAnsi"/>
        </w:rPr>
        <w:t xml:space="preserve"> from baseline to each of the post-baseline visits were supported by additional pre-specified, post-hoc and imputation analyses.</w:t>
      </w:r>
    </w:p>
    <w:p w14:paraId="14B6237C" w14:textId="509118C6" w:rsidR="00161104" w:rsidRPr="00D11F78" w:rsidRDefault="00161104" w:rsidP="00161104">
      <w:pPr>
        <w:pStyle w:val="ListBullet"/>
        <w:rPr>
          <w:rFonts w:eastAsiaTheme="minorHAnsi"/>
        </w:rPr>
      </w:pPr>
      <w:r w:rsidRPr="00D11F78">
        <w:rPr>
          <w:rFonts w:eastAsiaTheme="minorHAnsi"/>
        </w:rPr>
        <w:t xml:space="preserve">Home-based measurement of PEF was a pre-specified secondary endpoint in the DELOS </w:t>
      </w:r>
      <w:r w:rsidR="00F613BA">
        <w:rPr>
          <w:rFonts w:eastAsiaTheme="minorHAnsi"/>
        </w:rPr>
        <w:t>s</w:t>
      </w:r>
      <w:r w:rsidR="003173BB">
        <w:rPr>
          <w:rFonts w:eastAsiaTheme="minorHAnsi"/>
        </w:rPr>
        <w:t>tudy</w:t>
      </w:r>
      <w:r w:rsidRPr="00D11F78">
        <w:rPr>
          <w:rFonts w:eastAsiaTheme="minorHAnsi"/>
        </w:rPr>
        <w:t>. The treatment difference based on the weekly home-based assessments for PEF%p was consistent with the primary efficacy results using hospital spirometry measures</w:t>
      </w:r>
      <w:r>
        <w:rPr>
          <w:rFonts w:eastAsiaTheme="minorHAnsi"/>
        </w:rPr>
        <w:t xml:space="preserve"> </w:t>
      </w:r>
      <w:r w:rsidRPr="0073340D">
        <w:rPr>
          <w:rFonts w:eastAsiaTheme="minorHAnsi"/>
        </w:rPr>
        <w:t xml:space="preserve">(Estimated difference: 6.84% (95% CI: -0.154, 13.83); </w:t>
      </w:r>
      <w:r w:rsidR="0002337A">
        <w:rPr>
          <w:rFonts w:eastAsiaTheme="minorHAnsi"/>
        </w:rPr>
        <w:t>p</w:t>
      </w:r>
      <w:r w:rsidR="0061481A">
        <w:rPr>
          <w:rFonts w:eastAsiaTheme="minorHAnsi"/>
        </w:rPr>
        <w:t xml:space="preserve"> = </w:t>
      </w:r>
      <w:r w:rsidRPr="0073340D">
        <w:rPr>
          <w:rFonts w:eastAsiaTheme="minorHAnsi"/>
        </w:rPr>
        <w:t>0.0548).</w:t>
      </w:r>
      <w:r w:rsidR="00DB3203">
        <w:rPr>
          <w:rFonts w:eastAsiaTheme="minorHAnsi"/>
        </w:rPr>
        <w:t xml:space="preserve"> </w:t>
      </w:r>
      <w:r w:rsidRPr="0073340D">
        <w:rPr>
          <w:rFonts w:eastAsiaTheme="minorHAnsi"/>
        </w:rPr>
        <w:t>The</w:t>
      </w:r>
      <w:r w:rsidRPr="00D11F78">
        <w:rPr>
          <w:rFonts w:eastAsiaTheme="minorHAnsi"/>
        </w:rPr>
        <w:t xml:space="preserve"> EMA Guideline on medicinal products for the treatment of Duchenne and Becker muscular dystrophy</w:t>
      </w:r>
      <w:r w:rsidRPr="00D11F78">
        <w:rPr>
          <w:rFonts w:eastAsiaTheme="minorHAnsi" w:cs="Verdana"/>
          <w:color w:val="000000"/>
        </w:rPr>
        <w:t xml:space="preserve"> (</w:t>
      </w:r>
      <w:r w:rsidRPr="00D11F78">
        <w:rPr>
          <w:rFonts w:eastAsiaTheme="minorHAnsi"/>
        </w:rPr>
        <w:t>EMA/CHMP/236981/2011, Corr. 1</w:t>
      </w:r>
      <w:r>
        <w:rPr>
          <w:rFonts w:eastAsiaTheme="minorHAnsi"/>
        </w:rPr>
        <w:t>1</w:t>
      </w:r>
      <w:r w:rsidRPr="00D11F78">
        <w:rPr>
          <w:rFonts w:eastAsiaTheme="minorHAnsi"/>
        </w:rPr>
        <w:t>), states that measurement tools from a reliable informant (</w:t>
      </w:r>
      <w:r w:rsidR="0061481A">
        <w:rPr>
          <w:rFonts w:eastAsiaTheme="minorHAnsi"/>
        </w:rPr>
        <w:t>for example</w:t>
      </w:r>
      <w:r w:rsidRPr="00D11F78">
        <w:rPr>
          <w:rFonts w:eastAsiaTheme="minorHAnsi"/>
        </w:rPr>
        <w:t xml:space="preserve"> parent or carer) should be taken into account when assessing parameters for determination of efficacy.</w:t>
      </w:r>
    </w:p>
    <w:p w14:paraId="2A7C0F7C" w14:textId="77777777" w:rsidR="00161104" w:rsidRDefault="00161104" w:rsidP="00161104">
      <w:pPr>
        <w:pStyle w:val="ListBullet"/>
        <w:rPr>
          <w:rFonts w:eastAsiaTheme="minorHAnsi"/>
        </w:rPr>
      </w:pPr>
      <w:r w:rsidRPr="00D11F78">
        <w:rPr>
          <w:rFonts w:eastAsiaTheme="minorHAnsi"/>
        </w:rPr>
        <w:t>The positive effect of Raxone on PEF%p was associated in a reduced number of patients reporting fewer bronchopulmonary adverse events</w:t>
      </w:r>
      <w:r>
        <w:rPr>
          <w:rFonts w:eastAsiaTheme="minorHAnsi"/>
        </w:rPr>
        <w:t>, fewer episodes of systemic antibiotic use,</w:t>
      </w:r>
      <w:r w:rsidRPr="00D11F78">
        <w:rPr>
          <w:rFonts w:eastAsiaTheme="minorHAnsi"/>
        </w:rPr>
        <w:t xml:space="preserve"> and also </w:t>
      </w:r>
      <w:r>
        <w:rPr>
          <w:rFonts w:eastAsiaTheme="minorHAnsi"/>
        </w:rPr>
        <w:t>fewer hospitalis</w:t>
      </w:r>
      <w:r w:rsidRPr="00D11F78">
        <w:rPr>
          <w:rFonts w:eastAsiaTheme="minorHAnsi"/>
        </w:rPr>
        <w:t>ations caused by respiratory complications, which supports the clinical relevance of PEF%p.</w:t>
      </w:r>
    </w:p>
    <w:p w14:paraId="746ACDCD" w14:textId="77777777" w:rsidR="00161104" w:rsidRPr="00BD7E61" w:rsidRDefault="00161104" w:rsidP="00161104">
      <w:pPr>
        <w:pStyle w:val="ListBullet"/>
        <w:rPr>
          <w:rFonts w:eastAsiaTheme="minorHAnsi"/>
        </w:rPr>
      </w:pPr>
      <w:r w:rsidRPr="00BD7E61">
        <w:rPr>
          <w:rFonts w:eastAsiaTheme="minorHAnsi"/>
        </w:rPr>
        <w:t>A post-hoc slope analysis was included in the Information for healthcare professionals from the Early Access to Medicines Scheme</w:t>
      </w:r>
      <w:r>
        <w:rPr>
          <w:rFonts w:eastAsiaTheme="minorHAnsi"/>
        </w:rPr>
        <w:t xml:space="preserve"> (EAMS)</w:t>
      </w:r>
      <w:r w:rsidRPr="00BD7E61">
        <w:rPr>
          <w:rFonts w:eastAsiaTheme="minorHAnsi"/>
        </w:rPr>
        <w:t>.</w:t>
      </w:r>
      <w:r w:rsidR="00DB3203">
        <w:rPr>
          <w:rFonts w:eastAsiaTheme="minorHAnsi"/>
        </w:rPr>
        <w:t xml:space="preserve"> </w:t>
      </w:r>
      <w:r w:rsidRPr="00BD7E61">
        <w:rPr>
          <w:rFonts w:eastAsiaTheme="minorHAnsi"/>
        </w:rPr>
        <w:t>This analysis</w:t>
      </w:r>
      <w:r w:rsidRPr="00BD7E61">
        <w:rPr>
          <w:rFonts w:ascii="Times New Roman" w:eastAsiaTheme="minorHAnsi" w:hAnsi="Times New Roman"/>
          <w:sz w:val="24"/>
          <w:szCs w:val="24"/>
        </w:rPr>
        <w:t xml:space="preserve"> used </w:t>
      </w:r>
      <w:r w:rsidRPr="00BD7E61">
        <w:rPr>
          <w:rFonts w:eastAsiaTheme="minorHAnsi"/>
        </w:rPr>
        <w:t>all available post-baseline data points to determine the 52-week trajectory of change and resulted in a tighter CI for PEF%p</w:t>
      </w:r>
      <w:r w:rsidRPr="00BD7E61">
        <w:rPr>
          <w:rFonts w:ascii="Arial" w:eastAsiaTheme="minorHAnsi" w:hAnsi="Arial" w:cs="Arial"/>
          <w:sz w:val="20"/>
          <w:szCs w:val="20"/>
        </w:rPr>
        <w:t xml:space="preserve"> (</w:t>
      </w:r>
      <w:r w:rsidRPr="00BD7E61">
        <w:rPr>
          <w:rFonts w:eastAsiaTheme="minorHAnsi"/>
        </w:rPr>
        <w:t xml:space="preserve">Estimated difference: 5.81% (95% CI: 1.62, 10.0); </w:t>
      </w:r>
      <w:r w:rsidR="0002337A">
        <w:rPr>
          <w:rFonts w:eastAsiaTheme="minorHAnsi"/>
        </w:rPr>
        <w:t>p</w:t>
      </w:r>
      <w:r w:rsidR="0050416F">
        <w:rPr>
          <w:rFonts w:eastAsiaTheme="minorHAnsi"/>
        </w:rPr>
        <w:t> </w:t>
      </w:r>
      <w:r w:rsidR="0061481A">
        <w:rPr>
          <w:rFonts w:eastAsiaTheme="minorHAnsi"/>
        </w:rPr>
        <w:t>=</w:t>
      </w:r>
      <w:r w:rsidR="0050416F">
        <w:rPr>
          <w:rFonts w:eastAsiaTheme="minorHAnsi"/>
        </w:rPr>
        <w:t> </w:t>
      </w:r>
      <w:r w:rsidRPr="00BD7E61">
        <w:rPr>
          <w:rFonts w:eastAsiaTheme="minorHAnsi"/>
        </w:rPr>
        <w:t>0.0070) as well a</w:t>
      </w:r>
      <w:r w:rsidR="0050416F">
        <w:rPr>
          <w:rFonts w:eastAsiaTheme="minorHAnsi"/>
        </w:rPr>
        <w:t xml:space="preserve">s a statistically significant p </w:t>
      </w:r>
      <w:r w:rsidRPr="00BD7E61">
        <w:rPr>
          <w:rFonts w:eastAsiaTheme="minorHAnsi"/>
        </w:rPr>
        <w:t xml:space="preserve">value for FVC%p </w:t>
      </w:r>
      <w:r>
        <w:rPr>
          <w:rFonts w:eastAsiaTheme="minorHAnsi"/>
        </w:rPr>
        <w:t>(</w:t>
      </w:r>
      <w:r w:rsidR="0050416F">
        <w:rPr>
          <w:rFonts w:eastAsiaTheme="minorHAnsi"/>
        </w:rPr>
        <w:t>e</w:t>
      </w:r>
      <w:r w:rsidRPr="00BD7E61">
        <w:rPr>
          <w:rFonts w:eastAsiaTheme="minorHAnsi"/>
        </w:rPr>
        <w:t>stimated difference: 4.13 (</w:t>
      </w:r>
      <w:r>
        <w:rPr>
          <w:rFonts w:eastAsiaTheme="minorHAnsi"/>
        </w:rPr>
        <w:t xml:space="preserve">95% CI: </w:t>
      </w:r>
      <w:r w:rsidRPr="00BD7E61">
        <w:rPr>
          <w:rFonts w:eastAsiaTheme="minorHAnsi"/>
        </w:rPr>
        <w:t xml:space="preserve">1.72, 6.54); </w:t>
      </w:r>
      <w:r w:rsidR="0002337A">
        <w:rPr>
          <w:rFonts w:eastAsiaTheme="minorHAnsi"/>
        </w:rPr>
        <w:t>p</w:t>
      </w:r>
      <w:r w:rsidR="0061481A">
        <w:rPr>
          <w:rFonts w:eastAsiaTheme="minorHAnsi"/>
        </w:rPr>
        <w:t xml:space="preserve"> = </w:t>
      </w:r>
      <w:r w:rsidRPr="00BD7E61">
        <w:rPr>
          <w:rFonts w:eastAsiaTheme="minorHAnsi"/>
        </w:rPr>
        <w:t>0.0009</w:t>
      </w:r>
      <w:r>
        <w:rPr>
          <w:rFonts w:eastAsiaTheme="minorHAnsi"/>
        </w:rPr>
        <w:t>).</w:t>
      </w:r>
      <w:r w:rsidR="00DB3203">
        <w:rPr>
          <w:rFonts w:eastAsiaTheme="minorHAnsi"/>
        </w:rPr>
        <w:t xml:space="preserve"> </w:t>
      </w:r>
      <w:r>
        <w:rPr>
          <w:rFonts w:eastAsiaTheme="minorHAnsi"/>
        </w:rPr>
        <w:t>This</w:t>
      </w:r>
      <w:r w:rsidRPr="00BD7E61">
        <w:rPr>
          <w:rFonts w:eastAsiaTheme="minorHAnsi"/>
        </w:rPr>
        <w:t xml:space="preserve"> helped to convince the MHRA to conclude on a p</w:t>
      </w:r>
      <w:r>
        <w:rPr>
          <w:rFonts w:eastAsiaTheme="minorHAnsi"/>
        </w:rPr>
        <w:t>ositive benefit risk assessment for EAMS.</w:t>
      </w:r>
    </w:p>
    <w:p w14:paraId="406635CC" w14:textId="121EA901" w:rsidR="00161104" w:rsidRDefault="00161104" w:rsidP="00161104">
      <w:pPr>
        <w:pStyle w:val="ListBullet"/>
        <w:rPr>
          <w:rFonts w:eastAsiaTheme="minorHAnsi"/>
        </w:rPr>
      </w:pPr>
      <w:r>
        <w:rPr>
          <w:rFonts w:eastAsiaTheme="minorHAnsi"/>
        </w:rPr>
        <w:t>Fewer patients on Raxone crossed specific clinically relevant respiratory thresholds based on FVC%p (see</w:t>
      </w:r>
      <w:r w:rsidR="00CC66F4">
        <w:rPr>
          <w:rFonts w:eastAsiaTheme="minorHAnsi"/>
        </w:rPr>
        <w:t xml:space="preserve"> Table 16</w:t>
      </w:r>
      <w:r>
        <w:rPr>
          <w:rFonts w:eastAsiaTheme="minorHAnsi"/>
        </w:rPr>
        <w:t>, below)</w:t>
      </w:r>
    </w:p>
    <w:p w14:paraId="2C2AA48F" w14:textId="7F28E383" w:rsidR="00DE78D8" w:rsidRDefault="00161104" w:rsidP="00161104">
      <w:pPr>
        <w:pStyle w:val="TableTitle"/>
      </w:pPr>
      <w:bookmarkStart w:id="236" w:name="_Ref510608172"/>
      <w:bookmarkStart w:id="237" w:name="_Toc510689022"/>
      <w:r>
        <w:lastRenderedPageBreak/>
        <w:t>Table</w:t>
      </w:r>
      <w:bookmarkEnd w:id="236"/>
      <w:r w:rsidR="00CC66F4">
        <w:t xml:space="preserve"> 16</w:t>
      </w:r>
      <w:r>
        <w:t xml:space="preserve">: </w:t>
      </w:r>
      <w:r w:rsidRPr="00891921">
        <w:t>Proportion of patients in whom FVC%p drops below 50%, 40% or 30% (DELOS, ITT)</w:t>
      </w:r>
      <w:bookmarkEnd w:id="237"/>
    </w:p>
    <w:p w14:paraId="7AF7C66E" w14:textId="77777777" w:rsidR="00DE78D8" w:rsidRDefault="00161104" w:rsidP="006136D7">
      <w:r>
        <w:rPr>
          <w:noProof/>
          <w:lang w:eastAsia="en-AU"/>
        </w:rPr>
        <w:drawing>
          <wp:inline distT="0" distB="0" distL="0" distR="0" wp14:anchorId="50862BFB" wp14:editId="465215F3">
            <wp:extent cx="5400040" cy="2617470"/>
            <wp:effectExtent l="0" t="0" r="0" b="0"/>
            <wp:docPr id="25" name="Picture 25" descr="Proportion of patients in whom FVC%p drops below 50%, 40% or 30% (DELO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617470"/>
                    </a:xfrm>
                    <a:prstGeom prst="rect">
                      <a:avLst/>
                    </a:prstGeom>
                  </pic:spPr>
                </pic:pic>
              </a:graphicData>
            </a:graphic>
          </wp:inline>
        </w:drawing>
      </w:r>
    </w:p>
    <w:p w14:paraId="0E846AEA" w14:textId="77777777" w:rsidR="00161104" w:rsidRPr="00D11F78" w:rsidRDefault="00161104" w:rsidP="00161104">
      <w:pPr>
        <w:pStyle w:val="ListBullet"/>
      </w:pPr>
      <w:r>
        <w:t>The size of the treatment effect in DELOS is comparable to treatment effect sizes for registered products in other respiratory conditions (i</w:t>
      </w:r>
      <w:r w:rsidRPr="004B2FF7">
        <w:t xml:space="preserve">diopathic </w:t>
      </w:r>
      <w:r w:rsidRPr="004B2FF7">
        <w:rPr>
          <w:bCs/>
        </w:rPr>
        <w:t>pulmonary fibrosis</w:t>
      </w:r>
      <w:r>
        <w:t>, cystic fibrosis, and chronic obstructive pulmonary disease).</w:t>
      </w:r>
    </w:p>
    <w:p w14:paraId="09065DB7" w14:textId="77777777" w:rsidR="00161104" w:rsidRPr="00D11F78" w:rsidRDefault="0050416F" w:rsidP="00161104">
      <w:pPr>
        <w:pStyle w:val="ListBullet"/>
      </w:pPr>
      <w:r>
        <w:t>The sponsor</w:t>
      </w:r>
      <w:r w:rsidR="00723BC8">
        <w:t xml:space="preserve"> </w:t>
      </w:r>
      <w:r w:rsidR="00161104" w:rsidRPr="00D11F78">
        <w:t>commits to conduct an externally-controlled long-term study (</w:t>
      </w:r>
      <w:r>
        <w:t>Study SNT</w:t>
      </w:r>
      <w:r>
        <w:noBreakHyphen/>
      </w:r>
      <w:r w:rsidR="00161104" w:rsidRPr="00D11F78">
        <w:t>IV-009) in patients in respiratory decline and not taking GCs to collect long term efficacy data.</w:t>
      </w:r>
      <w:r w:rsidR="00DB3203">
        <w:t xml:space="preserve"> </w:t>
      </w:r>
      <w:r w:rsidR="00161104" w:rsidRPr="00D11F78">
        <w:t>The study objective is to investigate the change in respiratory function and time to clinically relevant milestones, such as falling below clinically relevant thresholds for FVC%p, frequency of hospitalizations and time to assisted ventilation (see SNT-IV-009) Protocol synopsis).</w:t>
      </w:r>
      <w:r w:rsidR="00DB3203">
        <w:t xml:space="preserve"> </w:t>
      </w:r>
      <w:r w:rsidR="00161104" w:rsidRPr="00D11F78">
        <w:t>This study plans to enrol a minimum of 82 patients to be treated with Raxone for a minimum of 3 years.</w:t>
      </w:r>
    </w:p>
    <w:p w14:paraId="5445ECA0" w14:textId="77777777" w:rsidR="00161104" w:rsidRDefault="00161104" w:rsidP="00161104">
      <w:pPr>
        <w:pStyle w:val="Heading6"/>
      </w:pPr>
      <w:r>
        <w:t>Evaluation of response</w:t>
      </w:r>
    </w:p>
    <w:p w14:paraId="1993AA57" w14:textId="77777777" w:rsidR="00161104" w:rsidRDefault="00161104" w:rsidP="00161104">
      <w:r>
        <w:t xml:space="preserve">The response is noted and it is acknowledged that the sponsor did provide additional </w:t>
      </w:r>
      <w:r w:rsidRPr="004A3411">
        <w:t>post</w:t>
      </w:r>
      <w:r>
        <w:t>-hoc analyses of a number of clinically relevant respiratory endpoints to support the PEF%p endpoint.</w:t>
      </w:r>
      <w:r w:rsidR="00DB3203">
        <w:t xml:space="preserve"> </w:t>
      </w:r>
      <w:r w:rsidR="0050416F">
        <w:t>However,</w:t>
      </w:r>
      <w:r>
        <w:t xml:space="preserve"> because the analyses were not part of the original study design (or were based on endpoints that were considered exploratory), with a number of protocol amendments occurring as understanding of the natural history, assessment and treatment of </w:t>
      </w:r>
      <w:r w:rsidRPr="006655BA">
        <w:t xml:space="preserve">DMD </w:t>
      </w:r>
      <w:r>
        <w:t xml:space="preserve">emerged, they </w:t>
      </w:r>
      <w:r w:rsidRPr="006655BA">
        <w:t>cannot fully overcome all the evaluators concerns about</w:t>
      </w:r>
      <w:r>
        <w:t xml:space="preserve"> the validity and clinical relevance of the supportive respiratory efficacy results.</w:t>
      </w:r>
    </w:p>
    <w:p w14:paraId="50FA9AE1" w14:textId="77777777" w:rsidR="0050416F" w:rsidRDefault="00161104" w:rsidP="00161104">
      <w:r>
        <w:t>Of note, the Scientific Advisory Group</w:t>
      </w:r>
      <w:r>
        <w:rPr>
          <w:rStyle w:val="FootnoteReference"/>
          <w:rFonts w:ascii="Calibri" w:hAnsi="Calibri" w:cs="Calibri"/>
        </w:rPr>
        <w:footnoteReference w:id="41"/>
      </w:r>
      <w:r>
        <w:t xml:space="preserve"> (SAG) </w:t>
      </w:r>
      <w:r w:rsidRPr="005F4B0C">
        <w:t>experts agreed</w:t>
      </w:r>
      <w:r w:rsidR="0050416F">
        <w:t>:</w:t>
      </w:r>
    </w:p>
    <w:p w14:paraId="39148A52" w14:textId="77777777" w:rsidR="00161104" w:rsidRPr="0050416F" w:rsidRDefault="00685A72" w:rsidP="0050416F">
      <w:pPr>
        <w:ind w:left="720"/>
      </w:pPr>
      <w:r>
        <w:t>‘</w:t>
      </w:r>
      <w:r w:rsidR="00161104" w:rsidRPr="0050416F">
        <w:t xml:space="preserve">that if reliable data are presented and there are no methodological issues that could influence data integrity, the observed effect could be clinically relevant, provided that it could be assumed that the effect would be maintained over </w:t>
      </w:r>
      <w:r w:rsidR="00161104" w:rsidRPr="0050416F">
        <w:rPr>
          <w:rFonts w:ascii="Calibri" w:hAnsi="Calibri" w:cs="Calibri"/>
        </w:rPr>
        <w:t xml:space="preserve">several </w:t>
      </w:r>
      <w:r w:rsidR="00161104" w:rsidRPr="0050416F">
        <w:t>years. However, the SAG experts highlighted that it would be impossible to conclude on the question whether this effect would be maintained beyond the period of 1 year.</w:t>
      </w:r>
    </w:p>
    <w:p w14:paraId="640B4ACC" w14:textId="77777777" w:rsidR="00161104" w:rsidRPr="0050416F" w:rsidRDefault="00161104" w:rsidP="0050416F">
      <w:pPr>
        <w:ind w:left="720"/>
      </w:pPr>
      <w:r w:rsidRPr="0050416F">
        <w:t xml:space="preserve">Additionally, the SAG experts highlighted that it is difficult to conclude whether the observed effect on the primary endpoint will definitely translate into a clinically meaningful outcome expressed in, for example, a delay of an important milestone in the disease, or improvement in daily functioning. In general, demonstrating an </w:t>
      </w:r>
      <w:r w:rsidRPr="0050416F">
        <w:lastRenderedPageBreak/>
        <w:t>effect of a single parameter of pulmonary functioning in itself should not be considered sufficient to claim clinically relevant benefit, unless in this specific population, there have been data clearly linking this parameter to objective clinically relevant outcomes.</w:t>
      </w:r>
      <w:r w:rsidR="00685A72" w:rsidRPr="0050416F">
        <w:t>’</w:t>
      </w:r>
    </w:p>
    <w:p w14:paraId="20415A3D" w14:textId="77777777" w:rsidR="00161104" w:rsidRDefault="00161104" w:rsidP="00161104">
      <w:r>
        <w:t xml:space="preserve">These concerns of the SAG formed part of the </w:t>
      </w:r>
      <w:r w:rsidRPr="004627A9">
        <w:t>Scientific conclusions</w:t>
      </w:r>
      <w:r>
        <w:t xml:space="preserve"> of the CHMP </w:t>
      </w:r>
      <w:r w:rsidRPr="004627A9">
        <w:t>Final opinion</w:t>
      </w:r>
      <w:r>
        <w:t xml:space="preserve"> document (</w:t>
      </w:r>
      <w:r w:rsidRPr="004627A9">
        <w:t>EMEA/H/C/003834/II/0003</w:t>
      </w:r>
      <w:r>
        <w:t xml:space="preserve">) </w:t>
      </w:r>
      <w:r w:rsidRPr="004B7213">
        <w:t>as follows:</w:t>
      </w:r>
    </w:p>
    <w:p w14:paraId="062F9FBE" w14:textId="77777777" w:rsidR="00161104" w:rsidRPr="0050416F" w:rsidRDefault="00685A72" w:rsidP="00161104">
      <w:r w:rsidRPr="0050416F">
        <w:t>‘</w:t>
      </w:r>
      <w:r w:rsidR="00161104" w:rsidRPr="0050416F">
        <w:t xml:space="preserve">In the pivotal </w:t>
      </w:r>
      <w:r w:rsidR="003173BB" w:rsidRPr="0050416F">
        <w:t>Phase</w:t>
      </w:r>
      <w:r w:rsidR="00161104" w:rsidRPr="0050416F">
        <w:t xml:space="preserve"> III DELOS trial, Raxone had a statistically significant effect on the primary respiratory endpoint PEF%p. However, for this difference to be considered as clinically relevant, the effect needs to be translated into effects that are directly linked to patient wellbeing such as quality of life or time to milestone events like </w:t>
      </w:r>
      <w:r w:rsidR="0061481A" w:rsidRPr="0050416F">
        <w:t>for example</w:t>
      </w:r>
      <w:r w:rsidR="00161104" w:rsidRPr="0050416F">
        <w:t xml:space="preserve"> time to assisted ventilation, and be confirmed that it can be maintained for longer than one year. At present, there is no scientific rationale allowing for the extrapolation of the observed effect on measures of pulmonary functioning beyond the trial duration, or for linking this effect to a clear milestone in the disease progression.</w:t>
      </w:r>
      <w:r w:rsidRPr="0050416F">
        <w:t>’</w:t>
      </w:r>
    </w:p>
    <w:p w14:paraId="6C0FFDBC" w14:textId="77777777" w:rsidR="00161104" w:rsidRDefault="00161104" w:rsidP="00161104">
      <w:r w:rsidRPr="00461BF6">
        <w:t xml:space="preserve">It is </w:t>
      </w:r>
      <w:r>
        <w:t>acknowledged</w:t>
      </w:r>
      <w:r w:rsidRPr="00461BF6">
        <w:t xml:space="preserve"> that the sponsor </w:t>
      </w:r>
      <w:r>
        <w:t>plans to overcome</w:t>
      </w:r>
      <w:r w:rsidRPr="00461BF6">
        <w:t xml:space="preserve"> some of the</w:t>
      </w:r>
      <w:r>
        <w:t>se</w:t>
      </w:r>
      <w:r w:rsidRPr="00461BF6">
        <w:t xml:space="preserve"> concerns</w:t>
      </w:r>
      <w:r>
        <w:t xml:space="preserve"> by collecting long-term efficacy data on </w:t>
      </w:r>
      <w:r w:rsidRPr="00461BF6">
        <w:t>the change in respiratory function and time to clinically relevant milestones</w:t>
      </w:r>
      <w:r>
        <w:t>.</w:t>
      </w:r>
      <w:r w:rsidR="00DB3203">
        <w:t xml:space="preserve"> </w:t>
      </w:r>
      <w:r>
        <w:t>The potential to collect long-term data in the post-approval setting is consistent with the EMA DMD guideline.</w:t>
      </w:r>
    </w:p>
    <w:p w14:paraId="3C85FA9A" w14:textId="2728620A" w:rsidR="00161104" w:rsidRDefault="00161104" w:rsidP="00161104">
      <w:r>
        <w:t xml:space="preserve">It should be noted that there were </w:t>
      </w:r>
      <w:r w:rsidRPr="00272267">
        <w:t xml:space="preserve">members of the CHMP </w:t>
      </w:r>
      <w:r>
        <w:t xml:space="preserve">who </w:t>
      </w:r>
      <w:r w:rsidRPr="00272267">
        <w:t>did not agree with the CHMP's negative opinion recommending</w:t>
      </w:r>
      <w:r>
        <w:t xml:space="preserve"> </w:t>
      </w:r>
      <w:r w:rsidRPr="00272267">
        <w:t>the refusal of the variation of the extension of indication of marketing authorisation of Raxone.</w:t>
      </w:r>
      <w:r w:rsidR="00DB3203">
        <w:t xml:space="preserve"> </w:t>
      </w:r>
      <w:r>
        <w:t>The concluding paragraph of the reasons for the divergent position states:</w:t>
      </w:r>
    </w:p>
    <w:p w14:paraId="7AEBAF99" w14:textId="77777777" w:rsidR="00DE78D8" w:rsidRPr="00161104" w:rsidRDefault="00685A72" w:rsidP="00161104">
      <w:pPr>
        <w:ind w:left="720"/>
        <w:rPr>
          <w:i/>
        </w:rPr>
      </w:pPr>
      <w:r>
        <w:rPr>
          <w:i/>
        </w:rPr>
        <w:t>‘</w:t>
      </w:r>
      <w:r w:rsidR="00161104" w:rsidRPr="00161104">
        <w:rPr>
          <w:i/>
        </w:rPr>
        <w:t xml:space="preserve">During the procedure, the applicant has demonstrated that the DELOS </w:t>
      </w:r>
      <w:r w:rsidR="003173BB">
        <w:rPr>
          <w:i/>
        </w:rPr>
        <w:t>Study</w:t>
      </w:r>
      <w:r w:rsidR="00161104" w:rsidRPr="00161104">
        <w:rPr>
          <w:i/>
        </w:rPr>
        <w:t xml:space="preserve"> met its primary endpoint the results of which were consistently supported by other respiratory function endpoints. Concerns related to the robustness of the data have been resolved through numerous sensitivity analyses carried out as clinically important supportive responder analyses showed that treatment with Raxone resulted in fewer bronchopulmonary adverse events, less antibiotic use and reduced risk of hospitalisations. From a safety point of view, Raxone was safe and generally well tolerated. Taking everything together, including the planned post-authorisation measures, aimed at delivering additional efficacy and safety data in the DMD population, and considering the clear unmet medical need in the absence of any treatment alternative in this patient population, for all the reasons listed above, we consider that the Benefit-Risk ratio for Raxone in the claimed indication is positive.</w:t>
      </w:r>
      <w:r>
        <w:rPr>
          <w:i/>
        </w:rPr>
        <w:t>’</w:t>
      </w:r>
    </w:p>
    <w:p w14:paraId="3EBC6FA0" w14:textId="77777777" w:rsidR="00DE78D8" w:rsidRDefault="00161104" w:rsidP="00161104">
      <w:pPr>
        <w:pStyle w:val="Heading5"/>
      </w:pPr>
      <w:r>
        <w:t>Issue 2</w:t>
      </w:r>
    </w:p>
    <w:p w14:paraId="5E132E75" w14:textId="77777777" w:rsidR="00DE78D8" w:rsidRPr="00161104" w:rsidRDefault="00161104" w:rsidP="00161104">
      <w:pPr>
        <w:rPr>
          <w:b/>
          <w:i/>
        </w:rPr>
      </w:pPr>
      <w:r w:rsidRPr="00161104">
        <w:rPr>
          <w:b/>
          <w:i/>
          <w:lang w:eastAsia="ja-JP"/>
        </w:rPr>
        <w:t>FVC%p appears to be the preferred respiratory function test to measure loss of lung volume in DMD</w:t>
      </w:r>
    </w:p>
    <w:p w14:paraId="20EA1679" w14:textId="77777777" w:rsidR="00161104" w:rsidRDefault="00161104" w:rsidP="00161104">
      <w:pPr>
        <w:pStyle w:val="Heading6"/>
      </w:pPr>
      <w:r>
        <w:t>Sponsor response</w:t>
      </w:r>
    </w:p>
    <w:p w14:paraId="4F6CDCE0" w14:textId="77777777" w:rsidR="00161104" w:rsidRDefault="00161104" w:rsidP="00161104">
      <w:r w:rsidRPr="00D94A6C">
        <w:t xml:space="preserve">The </w:t>
      </w:r>
      <w:r w:rsidR="0032280D">
        <w:t>sponsor</w:t>
      </w:r>
      <w:r w:rsidRPr="00D94A6C">
        <w:t xml:space="preserve"> </w:t>
      </w:r>
      <w:r>
        <w:t>made the following points:</w:t>
      </w:r>
    </w:p>
    <w:p w14:paraId="1E624AB4" w14:textId="77777777" w:rsidR="00161104" w:rsidRDefault="00161104" w:rsidP="00161104">
      <w:pPr>
        <w:pStyle w:val="ListBullet"/>
      </w:pPr>
      <w:r w:rsidRPr="00DB27A2">
        <w:t>It is acknowledged that the Guideline on the clinical investigation of medicinal products for the treatment of Duchenne and Becker muscular dystrophy (EMA/CHMP/236981/2011</w:t>
      </w:r>
      <w:r>
        <w:t>, Corr. 11</w:t>
      </w:r>
      <w:r w:rsidRPr="00DB27A2">
        <w:t>) lists FVC%p to measure loss of lung volume in DMD, with PEF%p potentially being better in younger patients but that this guideline came into effect after the DELOS protocol was finalised.</w:t>
      </w:r>
    </w:p>
    <w:p w14:paraId="3BD8A040" w14:textId="77777777" w:rsidR="00161104" w:rsidRPr="009815BC" w:rsidRDefault="00161104" w:rsidP="00161104">
      <w:pPr>
        <w:pStyle w:val="ListBullet"/>
      </w:pPr>
      <w:r>
        <w:t xml:space="preserve">Choice of PEF%p as the primary endpoint was based on the advice provided by the CHMP </w:t>
      </w:r>
      <w:r w:rsidRPr="009815BC">
        <w:rPr>
          <w:bCs/>
          <w:lang w:val="en"/>
        </w:rPr>
        <w:t>Scientific Advice Working Party</w:t>
      </w:r>
      <w:r>
        <w:rPr>
          <w:bCs/>
          <w:lang w:val="en"/>
        </w:rPr>
        <w:t xml:space="preserve"> during a DELOS Protocol Assistance meeting.</w:t>
      </w:r>
    </w:p>
    <w:p w14:paraId="00888E52" w14:textId="77777777" w:rsidR="00161104" w:rsidRDefault="00161104" w:rsidP="00161104">
      <w:pPr>
        <w:pStyle w:val="ListBullet"/>
      </w:pPr>
      <w:r w:rsidRPr="00DB27A2">
        <w:t>DMD experts state that PEF%p is a reliable</w:t>
      </w:r>
      <w:r>
        <w:t>,</w:t>
      </w:r>
      <w:r w:rsidRPr="00DB27A2">
        <w:t xml:space="preserve"> clinically relevant outcome measure </w:t>
      </w:r>
      <w:r>
        <w:t>and is used in routine clinical practice to monitor disease progression and initiate appropriate interventions.</w:t>
      </w:r>
    </w:p>
    <w:p w14:paraId="11C895D1" w14:textId="77777777" w:rsidR="00161104" w:rsidRPr="00B40F3D" w:rsidRDefault="00161104" w:rsidP="00161104">
      <w:pPr>
        <w:pStyle w:val="ListBullet"/>
      </w:pPr>
      <w:r>
        <w:lastRenderedPageBreak/>
        <w:t>D</w:t>
      </w:r>
      <w:r w:rsidRPr="00B40F3D">
        <w:t>ecline in PEF%p is highly correlated with decline in FVC%p and FEV1%p.</w:t>
      </w:r>
      <w:r w:rsidR="0002337A">
        <w:rPr>
          <w:rStyle w:val="FootnoteReference"/>
        </w:rPr>
        <w:footnoteReference w:id="42"/>
      </w:r>
    </w:p>
    <w:p w14:paraId="572824FA" w14:textId="77777777" w:rsidR="00DE78D8" w:rsidRDefault="00161104" w:rsidP="00161104">
      <w:pPr>
        <w:pStyle w:val="ListBullet"/>
      </w:pPr>
      <w:r w:rsidRPr="00DB27A2">
        <w:t xml:space="preserve">The CHMP concluded that PEF or PEF%p can in principle be accepted as </w:t>
      </w:r>
      <w:r>
        <w:t xml:space="preserve">the </w:t>
      </w:r>
      <w:r w:rsidRPr="00DB27A2">
        <w:t>primary endpoint</w:t>
      </w:r>
    </w:p>
    <w:p w14:paraId="3A1F7D0D" w14:textId="77777777" w:rsidR="00161104" w:rsidRDefault="00161104" w:rsidP="00161104">
      <w:pPr>
        <w:pStyle w:val="Heading6"/>
      </w:pPr>
      <w:r>
        <w:t>Evaluation of response</w:t>
      </w:r>
    </w:p>
    <w:p w14:paraId="650D1F02" w14:textId="77777777" w:rsidR="00161104" w:rsidRDefault="00161104" w:rsidP="00161104">
      <w:r>
        <w:t>The response is acknowledged.</w:t>
      </w:r>
      <w:r w:rsidR="00DB3203">
        <w:t xml:space="preserve"> </w:t>
      </w:r>
      <w:r>
        <w:t>PEF%p is considered an appropriate measure of lung function in patients with DMD.</w:t>
      </w:r>
      <w:r w:rsidR="00DB3203">
        <w:t xml:space="preserve"> </w:t>
      </w:r>
      <w:r w:rsidRPr="006358C9">
        <w:t xml:space="preserve">However, the EMA </w:t>
      </w:r>
      <w:r>
        <w:t xml:space="preserve">DMD </w:t>
      </w:r>
      <w:r w:rsidRPr="006358C9">
        <w:t>guideline</w:t>
      </w:r>
      <w:r>
        <w:t xml:space="preserve"> considers that</w:t>
      </w:r>
      <w:r w:rsidRPr="006358C9">
        <w:t xml:space="preserve"> further data are necessary to establish how this measure correlates with quality of life, time to death and other life-changing events (</w:t>
      </w:r>
      <w:r w:rsidR="0061481A">
        <w:t>for example</w:t>
      </w:r>
      <w:r w:rsidRPr="006358C9">
        <w:t xml:space="preserve"> time to wheelchair).</w:t>
      </w:r>
    </w:p>
    <w:p w14:paraId="436B6DE9" w14:textId="77777777" w:rsidR="00161104" w:rsidRPr="00140A66" w:rsidRDefault="00161104" w:rsidP="00161104">
      <w:r>
        <w:t xml:space="preserve">Of note, the SAG </w:t>
      </w:r>
      <w:r w:rsidRPr="00140A66">
        <w:t>was split on the use of PEF%p a</w:t>
      </w:r>
      <w:r>
        <w:t xml:space="preserve">s the primary efficacy endpoint </w:t>
      </w:r>
      <w:r w:rsidRPr="00140A66">
        <w:t>for</w:t>
      </w:r>
      <w:r>
        <w:t xml:space="preserve"> </w:t>
      </w:r>
      <w:r w:rsidRPr="00140A66">
        <w:t>measuring an effect in this population.</w:t>
      </w:r>
      <w:r w:rsidR="00DB3203">
        <w:t xml:space="preserve"> </w:t>
      </w:r>
      <w:r w:rsidRPr="00F15C93">
        <w:t>Based on the</w:t>
      </w:r>
      <w:r>
        <w:t xml:space="preserve"> </w:t>
      </w:r>
      <w:r w:rsidRPr="00F15C93">
        <w:t xml:space="preserve">hypothesised mechanism of action of idebenone, </w:t>
      </w:r>
      <w:r>
        <w:t xml:space="preserve">some members considered that </w:t>
      </w:r>
      <w:r w:rsidRPr="00F15C93">
        <w:t>endurance tests could have been a better option for</w:t>
      </w:r>
      <w:r>
        <w:t xml:space="preserve"> </w:t>
      </w:r>
      <w:r w:rsidRPr="00F15C93">
        <w:t>measuring an effect in this population.</w:t>
      </w:r>
    </w:p>
    <w:p w14:paraId="0B6469DA" w14:textId="77777777" w:rsidR="00DE78D8" w:rsidRDefault="00161104" w:rsidP="00161104">
      <w:r w:rsidRPr="00140A66">
        <w:t>Other SAG members stated that</w:t>
      </w:r>
      <w:r>
        <w:t>:</w:t>
      </w:r>
      <w:r w:rsidRPr="00140A66">
        <w:t xml:space="preserve"> </w:t>
      </w:r>
      <w:r w:rsidR="00685A72">
        <w:t>‘</w:t>
      </w:r>
      <w:r w:rsidRPr="007D5621">
        <w:t xml:space="preserve">PEF%p is indeed considered as clinically meaningful and relevant to measure effects in the studied population. This position was based on the fact that PEF is currently used in clinical practice to monitor respiratory function, it correlates with other respiratory parameters, and that the fact that the decision to use it in the confirmatory trial was based on a finding from a </w:t>
      </w:r>
      <w:r w:rsidR="003173BB">
        <w:t>Phase</w:t>
      </w:r>
      <w:r w:rsidRPr="007D5621">
        <w:t xml:space="preserve"> II trial, which was not considered as a problem methodologically</w:t>
      </w:r>
      <w:r w:rsidRPr="00140A66">
        <w:t>.</w:t>
      </w:r>
      <w:r w:rsidR="00685A72">
        <w:t>’</w:t>
      </w:r>
    </w:p>
    <w:p w14:paraId="263D7A62" w14:textId="77777777" w:rsidR="00DE78D8" w:rsidRDefault="00161104" w:rsidP="00DE44A7">
      <w:pPr>
        <w:pStyle w:val="Heading5"/>
      </w:pPr>
      <w:r>
        <w:t>Issue 3</w:t>
      </w:r>
    </w:p>
    <w:p w14:paraId="1F8CBF32" w14:textId="77777777" w:rsidR="00DE44A7" w:rsidRPr="0050416F" w:rsidRDefault="00DE44A7" w:rsidP="0050416F">
      <w:pPr>
        <w:rPr>
          <w:b/>
          <w:i/>
        </w:rPr>
      </w:pPr>
      <w:r w:rsidRPr="0050416F">
        <w:rPr>
          <w:b/>
          <w:i/>
        </w:rPr>
        <w:t>There was a lack of consistent supportive evidence from other respiratory and non-respiratory endpoints in the pre-specified analyses of DELOS.</w:t>
      </w:r>
    </w:p>
    <w:p w14:paraId="758FA07A" w14:textId="77777777" w:rsidR="00521072" w:rsidRDefault="00521072" w:rsidP="00521072">
      <w:pPr>
        <w:pStyle w:val="Heading6"/>
      </w:pPr>
      <w:r>
        <w:t>Sponsor response</w:t>
      </w:r>
    </w:p>
    <w:p w14:paraId="220C54D2" w14:textId="77777777" w:rsidR="00521072" w:rsidRPr="00367EAD" w:rsidRDefault="00521072" w:rsidP="00521072">
      <w:r w:rsidRPr="007B5E2A">
        <w:t xml:space="preserve">The </w:t>
      </w:r>
      <w:r w:rsidR="0032280D">
        <w:t>sponsor</w:t>
      </w:r>
      <w:r w:rsidRPr="007B5E2A">
        <w:t xml:space="preserve"> </w:t>
      </w:r>
      <w:r w:rsidRPr="00367EAD">
        <w:t>stated that this issue had been resolved with the CHMP during the SAG meeting as follows:</w:t>
      </w:r>
    </w:p>
    <w:p w14:paraId="4E1EB05D" w14:textId="77777777" w:rsidR="00521072" w:rsidRPr="00367EAD" w:rsidRDefault="00521072" w:rsidP="00521072">
      <w:pPr>
        <w:pStyle w:val="ListBullet"/>
      </w:pPr>
      <w:r w:rsidRPr="00367EAD">
        <w:t>The DELOS trial was not designed to show an effect on non-pulmonary endpoints due to the patients being in a more advanced non-ambulant stage of the disease, and had lost most hand function.</w:t>
      </w:r>
    </w:p>
    <w:p w14:paraId="0A60C2D8" w14:textId="77777777" w:rsidR="00521072" w:rsidRDefault="00521072" w:rsidP="00521072">
      <w:pPr>
        <w:pStyle w:val="ListBullet"/>
      </w:pPr>
      <w:r w:rsidRPr="00367EAD">
        <w:t>FVC, FEV1 and PEF demonstrate consistent results perhaps due to the strong correlation existing among those outcomes in the chosen population.</w:t>
      </w:r>
    </w:p>
    <w:p w14:paraId="3D1F90E4" w14:textId="77777777" w:rsidR="00521072" w:rsidRPr="00367EAD" w:rsidRDefault="00521072" w:rsidP="00521072">
      <w:pPr>
        <w:pStyle w:val="ListBullet"/>
      </w:pPr>
      <w:r w:rsidRPr="006358C9">
        <w:t>The findings observed for PEF%p, FVC%p and FEV1%p from baseline to each of the post</w:t>
      </w:r>
      <w:r>
        <w:t>-</w:t>
      </w:r>
      <w:r w:rsidRPr="006358C9">
        <w:t>baseline</w:t>
      </w:r>
      <w:r>
        <w:t xml:space="preserve"> </w:t>
      </w:r>
      <w:r w:rsidRPr="006358C9">
        <w:t xml:space="preserve">visits were supported by additional </w:t>
      </w:r>
      <w:r>
        <w:t>pre-specified, post-hoc and imputation analyses.</w:t>
      </w:r>
    </w:p>
    <w:p w14:paraId="7F064C0C" w14:textId="77777777" w:rsidR="00521072" w:rsidRPr="00B12541" w:rsidRDefault="00521072" w:rsidP="00521072">
      <w:pPr>
        <w:pStyle w:val="ListBullet"/>
      </w:pPr>
      <w:r>
        <w:rPr>
          <w:rFonts w:eastAsiaTheme="minorHAnsi"/>
        </w:rPr>
        <w:t xml:space="preserve">The </w:t>
      </w:r>
      <w:r w:rsidRPr="00367EAD">
        <w:rPr>
          <w:rFonts w:eastAsiaTheme="minorHAnsi"/>
        </w:rPr>
        <w:t>discrepancy observed with MEP/MIP and PCF</w:t>
      </w:r>
      <w:r w:rsidR="0002337A">
        <w:rPr>
          <w:rStyle w:val="FootnoteReference"/>
          <w:rFonts w:eastAsiaTheme="minorHAnsi"/>
        </w:rPr>
        <w:footnoteReference w:id="43"/>
      </w:r>
      <w:r w:rsidRPr="00367EAD">
        <w:rPr>
          <w:rFonts w:eastAsiaTheme="minorHAnsi"/>
        </w:rPr>
        <w:t xml:space="preserve"> could be explained by the fact that these tests are known to be difficult to perform in this specific DMD population, and unreliable results are to be expected.</w:t>
      </w:r>
    </w:p>
    <w:p w14:paraId="2FA064AB" w14:textId="77777777" w:rsidR="00521072" w:rsidRDefault="00521072" w:rsidP="00521072">
      <w:pPr>
        <w:pStyle w:val="ListBullet"/>
        <w:rPr>
          <w:rFonts w:eastAsiaTheme="minorHAnsi"/>
        </w:rPr>
      </w:pPr>
      <w:r>
        <w:rPr>
          <w:rFonts w:eastAsiaTheme="minorHAnsi"/>
        </w:rPr>
        <w:t xml:space="preserve">The </w:t>
      </w:r>
      <w:r w:rsidR="003173BB">
        <w:rPr>
          <w:rFonts w:eastAsiaTheme="minorHAnsi"/>
        </w:rPr>
        <w:t>Phase</w:t>
      </w:r>
      <w:r w:rsidRPr="005E4C30">
        <w:rPr>
          <w:rFonts w:eastAsiaTheme="minorHAnsi"/>
        </w:rPr>
        <w:t xml:space="preserve"> II data from DELPHI is limited by the small sample size (Raxone: 13, Placebo: 8), BUT provides supportive PEF%p results</w:t>
      </w:r>
      <w:r>
        <w:rPr>
          <w:rFonts w:eastAsiaTheme="minorHAnsi"/>
        </w:rPr>
        <w:t>.</w:t>
      </w:r>
    </w:p>
    <w:p w14:paraId="3742B4C9" w14:textId="77777777" w:rsidR="00521072" w:rsidRDefault="00521072" w:rsidP="00521072">
      <w:pPr>
        <w:pStyle w:val="ListBullet"/>
        <w:rPr>
          <w:rFonts w:eastAsiaTheme="minorHAnsi"/>
        </w:rPr>
      </w:pPr>
      <w:r>
        <w:rPr>
          <w:rFonts w:eastAsiaTheme="minorHAnsi"/>
        </w:rPr>
        <w:t>O</w:t>
      </w:r>
      <w:r w:rsidRPr="005E4C30">
        <w:rPr>
          <w:rFonts w:eastAsiaTheme="minorHAnsi"/>
        </w:rPr>
        <w:t>pen-label DELPHI extension data</w:t>
      </w:r>
      <w:r w:rsidRPr="00BE66D6">
        <w:rPr>
          <w:rFonts w:eastAsiaTheme="minorHAnsi"/>
        </w:rPr>
        <w:t xml:space="preserve"> </w:t>
      </w:r>
      <w:r w:rsidRPr="005E4C30">
        <w:rPr>
          <w:rFonts w:eastAsiaTheme="minorHAnsi"/>
        </w:rPr>
        <w:t>strengthen the plausibility of a long-term treatment effec</w:t>
      </w:r>
      <w:r>
        <w:rPr>
          <w:rFonts w:eastAsiaTheme="minorHAnsi"/>
        </w:rPr>
        <w:t>t of Raxone in this population.</w:t>
      </w:r>
    </w:p>
    <w:p w14:paraId="151E537F" w14:textId="77777777" w:rsidR="00521072" w:rsidRDefault="00521072" w:rsidP="00521072">
      <w:pPr>
        <w:pStyle w:val="Heading6"/>
      </w:pPr>
      <w:r>
        <w:t>Evaluation of response</w:t>
      </w:r>
    </w:p>
    <w:p w14:paraId="4775E5C2" w14:textId="77777777" w:rsidR="00521072" w:rsidRPr="00BE66D6" w:rsidRDefault="00521072" w:rsidP="00521072">
      <w:r w:rsidRPr="00BE66D6">
        <w:t xml:space="preserve">The response is considered acceptable with regard to lack of supportive evidence from </w:t>
      </w:r>
      <w:r>
        <w:t xml:space="preserve">respiratory and </w:t>
      </w:r>
      <w:r w:rsidRPr="00BE66D6">
        <w:t>non-respiratory endpoints.</w:t>
      </w:r>
      <w:r w:rsidR="00DB3203">
        <w:t xml:space="preserve"> </w:t>
      </w:r>
      <w:r w:rsidRPr="00BE66D6">
        <w:t xml:space="preserve">The correlation between FVC, FEV1 and PEF has previously been discussed, and the difficulties with performing the MEP/MIP and PCF </w:t>
      </w:r>
      <w:r w:rsidRPr="00BE66D6">
        <w:lastRenderedPageBreak/>
        <w:t>in DMD patients is noted.</w:t>
      </w:r>
      <w:r w:rsidR="00DB3203">
        <w:t xml:space="preserve"> </w:t>
      </w:r>
      <w:r w:rsidRPr="00BE66D6">
        <w:t>As mentioned in the earlier comments, data on quality of life, time to death and other life-changing events (</w:t>
      </w:r>
      <w:r w:rsidR="0061481A">
        <w:t>for example</w:t>
      </w:r>
      <w:r w:rsidRPr="00BE66D6">
        <w:t xml:space="preserve"> time to wheelchair) are considered necessary by the EMA DMD guideline, and maintenance of the PEF%p response beyond one year is desirable.</w:t>
      </w:r>
    </w:p>
    <w:p w14:paraId="10FC2D47" w14:textId="77777777" w:rsidR="00161104" w:rsidRDefault="00521072" w:rsidP="006136D7">
      <w:r w:rsidRPr="00F85E57">
        <w:t>The</w:t>
      </w:r>
      <w:r>
        <w:t xml:space="preserve"> SAG considered that the inconsistency among the </w:t>
      </w:r>
      <w:r w:rsidRPr="00F85E57">
        <w:t xml:space="preserve">non-pulmonary outcome measures may </w:t>
      </w:r>
      <w:r>
        <w:t xml:space="preserve">be due to the </w:t>
      </w:r>
      <w:r w:rsidRPr="00F85E57">
        <w:t xml:space="preserve">fact that </w:t>
      </w:r>
      <w:r w:rsidR="00685A72">
        <w:t>‘</w:t>
      </w:r>
      <w:r w:rsidRPr="0050416F">
        <w:t>the recruited DMD population was inappropriate for most of them, as muscle strength-based outcomes are difficult to measure in late stage DMD patients. Additionally, some SAG members pointed out that the tools used for assessment were not sensitive enough in this population, due to the large number of non-ambulant patients, with a high Brooke grade, that were included</w:t>
      </w:r>
      <w:r w:rsidR="00685A72" w:rsidRPr="0050416F">
        <w:t>’</w:t>
      </w:r>
      <w:r w:rsidRPr="0050416F">
        <w:t>.</w:t>
      </w:r>
    </w:p>
    <w:p w14:paraId="3561C28D" w14:textId="77777777" w:rsidR="00161104" w:rsidRDefault="00521072" w:rsidP="00521072">
      <w:pPr>
        <w:pStyle w:val="Heading5"/>
      </w:pPr>
      <w:r>
        <w:t>Issue 4</w:t>
      </w:r>
    </w:p>
    <w:p w14:paraId="02717930" w14:textId="77777777" w:rsidR="00521072" w:rsidRPr="00521072" w:rsidRDefault="00521072" w:rsidP="00521072">
      <w:pPr>
        <w:rPr>
          <w:b/>
          <w:i/>
        </w:rPr>
      </w:pPr>
      <w:r w:rsidRPr="00521072">
        <w:rPr>
          <w:b/>
          <w:i/>
        </w:rPr>
        <w:t xml:space="preserve">While it is acknowledged that restricting the DELOS </w:t>
      </w:r>
      <w:r w:rsidR="003173BB">
        <w:rPr>
          <w:b/>
          <w:i/>
        </w:rPr>
        <w:t>Study</w:t>
      </w:r>
      <w:r w:rsidRPr="00521072">
        <w:rPr>
          <w:b/>
          <w:i/>
        </w:rPr>
        <w:t xml:space="preserve"> to DMD patients not receiving GCs was the result of a planned futility analysis, it has subsequently been determined that it is not GC use per se that influences response to idebenone but the stage of respiratory decline.</w:t>
      </w:r>
      <w:r w:rsidR="00DB3203">
        <w:rPr>
          <w:b/>
          <w:i/>
        </w:rPr>
        <w:t xml:space="preserve"> </w:t>
      </w:r>
      <w:r w:rsidR="0050416F" w:rsidRPr="00521072">
        <w:rPr>
          <w:b/>
          <w:i/>
        </w:rPr>
        <w:t>Therefore,</w:t>
      </w:r>
      <w:r w:rsidRPr="00521072">
        <w:rPr>
          <w:b/>
          <w:i/>
        </w:rPr>
        <w:t xml:space="preserve"> there is a substantial sub-group of patients with DMD in whom the efficacy of idebenone has not been demonstrated.</w:t>
      </w:r>
    </w:p>
    <w:p w14:paraId="5642D15F" w14:textId="77777777" w:rsidR="00521072" w:rsidRDefault="00521072" w:rsidP="00521072">
      <w:pPr>
        <w:pStyle w:val="Heading6"/>
      </w:pPr>
      <w:r>
        <w:t>Sponsor response</w:t>
      </w:r>
    </w:p>
    <w:p w14:paraId="5C67066C" w14:textId="77777777" w:rsidR="00521072" w:rsidRDefault="00521072" w:rsidP="00521072">
      <w:r w:rsidRPr="00D94A6C">
        <w:t xml:space="preserve">The </w:t>
      </w:r>
      <w:r w:rsidR="0032280D">
        <w:t>sponsor</w:t>
      </w:r>
      <w:r w:rsidRPr="00D94A6C">
        <w:t xml:space="preserve"> </w:t>
      </w:r>
      <w:r w:rsidRPr="002901BB">
        <w:t>made the following points:</w:t>
      </w:r>
    </w:p>
    <w:p w14:paraId="776E5711" w14:textId="77777777" w:rsidR="00521072" w:rsidRPr="00B4796A" w:rsidRDefault="00521072" w:rsidP="00521072">
      <w:pPr>
        <w:pStyle w:val="ListBullet"/>
      </w:pPr>
      <w:r w:rsidRPr="001473AE">
        <w:t>At the start of the DELOS trial, the effect of GC use on respiratory function outcomes was not sufficiently known and therefore the study was at this point only conducted in patients not using GCs</w:t>
      </w:r>
    </w:p>
    <w:p w14:paraId="5F0F0E5A" w14:textId="77777777" w:rsidR="00521072" w:rsidRDefault="00521072" w:rsidP="00521072">
      <w:pPr>
        <w:pStyle w:val="ListBullet"/>
      </w:pPr>
      <w:r w:rsidRPr="001473AE">
        <w:t>More recently, publications have shown that GCs delay the start of respiratory function decline but not alter the rate of decline. The proposed indication is therefore specifically for patients not using GCs, which is in line with currently available data from the clinical program</w:t>
      </w:r>
    </w:p>
    <w:p w14:paraId="5FA6712E" w14:textId="77777777" w:rsidR="00521072" w:rsidRDefault="00521072" w:rsidP="00521072">
      <w:pPr>
        <w:pStyle w:val="ListBullet"/>
      </w:pPr>
      <w:r w:rsidRPr="002901BB">
        <w:t>The proposed indication</w:t>
      </w:r>
      <w:r>
        <w:t xml:space="preserve"> </w:t>
      </w:r>
      <w:r w:rsidRPr="002901BB">
        <w:t>is therefore specifically for patients not using GCs, which is in line with currently</w:t>
      </w:r>
      <w:r>
        <w:t xml:space="preserve"> </w:t>
      </w:r>
      <w:r w:rsidRPr="002901BB">
        <w:t>available data from the clinical program. This population of patients not using steroids</w:t>
      </w:r>
      <w:r>
        <w:t xml:space="preserve"> </w:t>
      </w:r>
      <w:r w:rsidRPr="002901BB">
        <w:t>does exist in clinical practice as acknowledged by the SAG, and represents about 40%</w:t>
      </w:r>
      <w:r>
        <w:t xml:space="preserve"> </w:t>
      </w:r>
      <w:r w:rsidRPr="002901BB">
        <w:t>of patients in the relevant age group. The question if a similar effect can be obtained in</w:t>
      </w:r>
      <w:r>
        <w:t xml:space="preserve"> </w:t>
      </w:r>
      <w:r w:rsidRPr="002901BB">
        <w:t>patients using GCs is currently investigated in a separate trial (the SIDEROS trial).</w:t>
      </w:r>
    </w:p>
    <w:p w14:paraId="0F50CD6D" w14:textId="77777777" w:rsidR="00521072" w:rsidRDefault="00521072" w:rsidP="00521072">
      <w:pPr>
        <w:pStyle w:val="Heading6"/>
      </w:pPr>
      <w:r>
        <w:t>Evaluation of response</w:t>
      </w:r>
    </w:p>
    <w:p w14:paraId="29E58EAA" w14:textId="77777777" w:rsidR="00521072" w:rsidRDefault="00521072" w:rsidP="00521072">
      <w:r>
        <w:t xml:space="preserve">The response is noted, and the evaluator accepts that the proposed indication (limiting use to patients with DMD in whom respiratory function has started to decline </w:t>
      </w:r>
      <w:r w:rsidR="00DB3203">
        <w:t>(</w:t>
      </w:r>
      <w:r>
        <w:t>PEF%p</w:t>
      </w:r>
      <w:r w:rsidR="0050416F">
        <w:t> &lt; </w:t>
      </w:r>
      <w:r>
        <w:t>80%</w:t>
      </w:r>
      <w:r w:rsidR="00DB3203">
        <w:t>)</w:t>
      </w:r>
      <w:r>
        <w:t>) is in line with the available data.</w:t>
      </w:r>
    </w:p>
    <w:p w14:paraId="669ECED8" w14:textId="77777777" w:rsidR="00161104" w:rsidRDefault="00521072" w:rsidP="00521072">
      <w:pPr>
        <w:pStyle w:val="Heading5"/>
      </w:pPr>
      <w:r>
        <w:t>Issue 5</w:t>
      </w:r>
    </w:p>
    <w:p w14:paraId="7572326C" w14:textId="77777777" w:rsidR="00521072" w:rsidRPr="00521072" w:rsidRDefault="00521072" w:rsidP="00521072">
      <w:pPr>
        <w:rPr>
          <w:b/>
          <w:i/>
        </w:rPr>
      </w:pPr>
      <w:r w:rsidRPr="00521072">
        <w:rPr>
          <w:b/>
          <w:i/>
        </w:rPr>
        <w:t xml:space="preserve">The DELOS </w:t>
      </w:r>
      <w:r w:rsidR="003173BB">
        <w:rPr>
          <w:b/>
          <w:i/>
        </w:rPr>
        <w:t>Study</w:t>
      </w:r>
      <w:r w:rsidRPr="00521072">
        <w:rPr>
          <w:b/>
          <w:i/>
        </w:rPr>
        <w:t xml:space="preserve"> does not provide </w:t>
      </w:r>
      <w:r w:rsidR="00685A72">
        <w:rPr>
          <w:b/>
          <w:i/>
        </w:rPr>
        <w:t>‘</w:t>
      </w:r>
      <w:r w:rsidRPr="00521072">
        <w:rPr>
          <w:b/>
          <w:i/>
        </w:rPr>
        <w:t>statistically compelling and clinically relevant results</w:t>
      </w:r>
      <w:r w:rsidR="00685A72">
        <w:rPr>
          <w:b/>
          <w:i/>
        </w:rPr>
        <w:t>’</w:t>
      </w:r>
      <w:r w:rsidRPr="00521072">
        <w:rPr>
          <w:b/>
          <w:i/>
        </w:rPr>
        <w:t xml:space="preserve"> as per the EMA document </w:t>
      </w:r>
      <w:r w:rsidR="00685A72">
        <w:rPr>
          <w:b/>
          <w:i/>
        </w:rPr>
        <w:t>‘</w:t>
      </w:r>
      <w:r w:rsidRPr="00521072">
        <w:rPr>
          <w:b/>
          <w:bCs/>
          <w:i/>
          <w:lang w:val="en"/>
        </w:rPr>
        <w:t>Points to consider on application with 1. meta-analysis 2. one pivotal study (CHMP/EWP/2330/99)</w:t>
      </w:r>
      <w:r w:rsidR="00685A72">
        <w:rPr>
          <w:b/>
          <w:bCs/>
          <w:i/>
          <w:lang w:val="en"/>
        </w:rPr>
        <w:t>’</w:t>
      </w:r>
      <w:r w:rsidRPr="00521072">
        <w:rPr>
          <w:b/>
          <w:bCs/>
          <w:i/>
          <w:lang w:val="en"/>
        </w:rPr>
        <w:t>.</w:t>
      </w:r>
    </w:p>
    <w:p w14:paraId="39054009" w14:textId="77777777" w:rsidR="00521072" w:rsidRDefault="00521072" w:rsidP="00521072">
      <w:pPr>
        <w:pStyle w:val="Heading6"/>
      </w:pPr>
      <w:r>
        <w:t>Sponsor response</w:t>
      </w:r>
    </w:p>
    <w:p w14:paraId="19767B34" w14:textId="77777777" w:rsidR="00521072" w:rsidRDefault="00521072" w:rsidP="00521072">
      <w:r w:rsidRPr="007B5E2A">
        <w:t xml:space="preserve">The </w:t>
      </w:r>
      <w:r w:rsidR="0032280D">
        <w:t>sponsor</w:t>
      </w:r>
      <w:r w:rsidRPr="007B5E2A">
        <w:t xml:space="preserve"> </w:t>
      </w:r>
      <w:r>
        <w:t>made the following points:</w:t>
      </w:r>
    </w:p>
    <w:p w14:paraId="71613CE0" w14:textId="77777777" w:rsidR="00521072" w:rsidRDefault="00521072" w:rsidP="00521072">
      <w:pPr>
        <w:pStyle w:val="ListBullet"/>
      </w:pPr>
      <w:r>
        <w:t>M</w:t>
      </w:r>
      <w:r w:rsidRPr="002901BB">
        <w:t>any aspects around the clinical science of the</w:t>
      </w:r>
      <w:r>
        <w:t xml:space="preserve"> </w:t>
      </w:r>
      <w:r w:rsidRPr="002901BB">
        <w:t>disease were unknown during the planning phase of this program and scientific</w:t>
      </w:r>
      <w:r>
        <w:t xml:space="preserve"> </w:t>
      </w:r>
      <w:r w:rsidRPr="002901BB">
        <w:t>knowledge only evolved during the conduct of the program, sometimes after the</w:t>
      </w:r>
      <w:r>
        <w:t xml:space="preserve"> </w:t>
      </w:r>
      <w:r w:rsidRPr="002901BB">
        <w:t>analysis of the data.</w:t>
      </w:r>
    </w:p>
    <w:p w14:paraId="3A69460D" w14:textId="77777777" w:rsidR="00521072" w:rsidRDefault="00521072" w:rsidP="00521072">
      <w:pPr>
        <w:pStyle w:val="ListBullet"/>
      </w:pPr>
      <w:r w:rsidRPr="002901BB">
        <w:t>DELOS was of moderate size for a pivotal trial (considering the constraints of</w:t>
      </w:r>
      <w:r>
        <w:t xml:space="preserve"> </w:t>
      </w:r>
      <w:r w:rsidRPr="002901BB">
        <w:t xml:space="preserve">conducting studies in rare diseases); </w:t>
      </w:r>
      <w:r w:rsidR="00491C1E" w:rsidRPr="002901BB">
        <w:t>however,</w:t>
      </w:r>
      <w:r w:rsidRPr="002901BB">
        <w:t xml:space="preserve"> the study was adequately powered to</w:t>
      </w:r>
      <w:r>
        <w:t xml:space="preserve"> </w:t>
      </w:r>
      <w:r w:rsidRPr="002901BB">
        <w:lastRenderedPageBreak/>
        <w:t>detect clinically meaningful treatment differences between the treatment groups as a</w:t>
      </w:r>
      <w:r>
        <w:t xml:space="preserve"> </w:t>
      </w:r>
      <w:r w:rsidRPr="002901BB">
        <w:t xml:space="preserve">stand-alone </w:t>
      </w:r>
      <w:r w:rsidR="00685A72">
        <w:t>Phase III</w:t>
      </w:r>
      <w:r w:rsidRPr="002901BB">
        <w:t xml:space="preserve"> study.</w:t>
      </w:r>
    </w:p>
    <w:p w14:paraId="73B1311E" w14:textId="77777777" w:rsidR="00521072" w:rsidRDefault="00521072" w:rsidP="00521072">
      <w:pPr>
        <w:pStyle w:val="ListBullet"/>
      </w:pPr>
      <w:r w:rsidRPr="00B4796A">
        <w:t xml:space="preserve">It is acknowledged that the DELPHI </w:t>
      </w:r>
      <w:r w:rsidR="003173BB">
        <w:t>Phase</w:t>
      </w:r>
      <w:r w:rsidRPr="00B4796A">
        <w:t xml:space="preserve"> II study proceeding DELOS </w:t>
      </w:r>
      <w:r w:rsidR="003173BB">
        <w:t>Study</w:t>
      </w:r>
      <w:r w:rsidRPr="00B4796A">
        <w:t xml:space="preserve"> was</w:t>
      </w:r>
      <w:r>
        <w:t xml:space="preserve"> </w:t>
      </w:r>
      <w:r w:rsidRPr="00B4796A">
        <w:t>initially designed as a cardiac study (with a positive trend favouring idebenone on the</w:t>
      </w:r>
      <w:r>
        <w:t xml:space="preserve"> </w:t>
      </w:r>
      <w:r w:rsidRPr="00B4796A">
        <w:t xml:space="preserve">primary endpoint). The DELPHI </w:t>
      </w:r>
      <w:r w:rsidR="003173BB">
        <w:t>Study</w:t>
      </w:r>
      <w:r w:rsidR="00491C1E">
        <w:t xml:space="preserve"> did reveal</w:t>
      </w:r>
      <w:r w:rsidRPr="00B4796A">
        <w:t xml:space="preserve"> a (nominally) statistically</w:t>
      </w:r>
      <w:r>
        <w:t xml:space="preserve"> </w:t>
      </w:r>
      <w:r w:rsidRPr="00B4796A">
        <w:t>significant effect on respiratory function, PEF%p.</w:t>
      </w:r>
    </w:p>
    <w:p w14:paraId="6FB64847" w14:textId="77777777" w:rsidR="00521072" w:rsidRDefault="00521072" w:rsidP="00521072">
      <w:pPr>
        <w:pStyle w:val="ListBullet"/>
      </w:pPr>
      <w:r w:rsidRPr="002901BB">
        <w:t>The observed treatment difference for the primary endpoint PEF%p in the</w:t>
      </w:r>
      <w:r>
        <w:t xml:space="preserve"> </w:t>
      </w:r>
      <w:r w:rsidRPr="002901BB">
        <w:t xml:space="preserve">DELOS trial </w:t>
      </w:r>
      <w:r>
        <w:t>(</w:t>
      </w:r>
      <w:r w:rsidRPr="002A26F2">
        <w:t>6.27% in favour of Raxone</w:t>
      </w:r>
      <w:r>
        <w:t xml:space="preserve">) </w:t>
      </w:r>
      <w:r w:rsidRPr="002901BB">
        <w:t>represents a delay of disease progression by 1 year, which is a clinically</w:t>
      </w:r>
      <w:r>
        <w:t xml:space="preserve"> </w:t>
      </w:r>
      <w:r w:rsidRPr="002901BB">
        <w:t>relevant treatment effect in DMD.</w:t>
      </w:r>
    </w:p>
    <w:p w14:paraId="3EFFB9B7" w14:textId="77777777" w:rsidR="00521072" w:rsidRPr="00B4796A" w:rsidRDefault="00521072" w:rsidP="00521072">
      <w:pPr>
        <w:pStyle w:val="ListBullet"/>
      </w:pPr>
      <w:r w:rsidRPr="00B4796A">
        <w:t>Santhera considers the single pivotal study justified considering the long duration (5</w:t>
      </w:r>
      <w:r w:rsidR="00491C1E">
        <w:t> </w:t>
      </w:r>
      <w:r w:rsidRPr="00B4796A">
        <w:t>years) until completion of DELOS and the urgent medical need in DMD patients not</w:t>
      </w:r>
      <w:r>
        <w:t xml:space="preserve"> </w:t>
      </w:r>
      <w:r w:rsidRPr="00B4796A">
        <w:t>using glucocorticoids. Of note, these patients are mostly non-ambulant and in a</w:t>
      </w:r>
      <w:r>
        <w:t xml:space="preserve"> </w:t>
      </w:r>
      <w:r w:rsidRPr="00B4796A">
        <w:t>generally very weak condition and therefore very difficult to enrol, especially in a</w:t>
      </w:r>
      <w:r>
        <w:t xml:space="preserve"> </w:t>
      </w:r>
      <w:r w:rsidRPr="00B4796A">
        <w:t>placebo-controlled trial.</w:t>
      </w:r>
    </w:p>
    <w:p w14:paraId="738466F0" w14:textId="77777777" w:rsidR="00521072" w:rsidRDefault="00521072" w:rsidP="00521072">
      <w:pPr>
        <w:pStyle w:val="ListBullet"/>
      </w:pPr>
      <w:r w:rsidRPr="00B4796A">
        <w:t>DELOS was also the first study to be conducted in patients with DMD who are in</w:t>
      </w:r>
      <w:r>
        <w:t xml:space="preserve"> </w:t>
      </w:r>
      <w:r w:rsidRPr="00B4796A">
        <w:t xml:space="preserve">respiratory function decline. It was based on a clear hypothesis from a </w:t>
      </w:r>
      <w:r w:rsidR="003173BB">
        <w:t>Phase</w:t>
      </w:r>
      <w:r w:rsidRPr="00B4796A">
        <w:t xml:space="preserve"> II phase</w:t>
      </w:r>
      <w:r>
        <w:t xml:space="preserve"> </w:t>
      </w:r>
      <w:r w:rsidRPr="00B4796A">
        <w:t>study and is the first pivotal study in DMD that met its primary endpoint.</w:t>
      </w:r>
    </w:p>
    <w:p w14:paraId="396DEDA3" w14:textId="77777777" w:rsidR="00521072" w:rsidRDefault="00521072" w:rsidP="00521072">
      <w:pPr>
        <w:pStyle w:val="Heading6"/>
      </w:pPr>
      <w:r>
        <w:t>Evaluation of response</w:t>
      </w:r>
    </w:p>
    <w:p w14:paraId="49426825" w14:textId="77777777" w:rsidR="00521072" w:rsidRPr="00605AD4" w:rsidRDefault="00521072" w:rsidP="00491C1E">
      <w:r w:rsidRPr="007B5E2A">
        <w:t>The response is</w:t>
      </w:r>
      <w:r>
        <w:t xml:space="preserve"> noted, and the difficulties involved in conducting research into a rare disease in which scientific knowledge is evolving are </w:t>
      </w:r>
      <w:r w:rsidRPr="00082163">
        <w:t>acknowledged</w:t>
      </w:r>
      <w:r>
        <w:t>.</w:t>
      </w:r>
      <w:r w:rsidR="00DB3203">
        <w:t xml:space="preserve"> </w:t>
      </w:r>
      <w:r>
        <w:t xml:space="preserve">However, there are several prerequisites for one pivotal study applications outlined in the </w:t>
      </w:r>
      <w:r w:rsidRPr="006C37DC">
        <w:t>EMA document</w:t>
      </w:r>
      <w:r w:rsidR="00491C1E">
        <w:t>.</w:t>
      </w:r>
      <w:r w:rsidR="00491C1E" w:rsidRPr="00491C1E">
        <w:rPr>
          <w:vertAlign w:val="superscript"/>
        </w:rPr>
        <w:fldChar w:fldCharType="begin"/>
      </w:r>
      <w:r w:rsidR="00491C1E" w:rsidRPr="00491C1E">
        <w:rPr>
          <w:vertAlign w:val="superscript"/>
        </w:rPr>
        <w:instrText xml:space="preserve"> NOTEREF _Ref25760375 \h </w:instrText>
      </w:r>
      <w:r w:rsidR="00491C1E">
        <w:rPr>
          <w:vertAlign w:val="superscript"/>
        </w:rPr>
        <w:instrText xml:space="preserve"> \* MERGEFORMAT </w:instrText>
      </w:r>
      <w:r w:rsidR="00491C1E" w:rsidRPr="00491C1E">
        <w:rPr>
          <w:vertAlign w:val="superscript"/>
        </w:rPr>
      </w:r>
      <w:r w:rsidR="00491C1E" w:rsidRPr="00491C1E">
        <w:rPr>
          <w:vertAlign w:val="superscript"/>
        </w:rPr>
        <w:fldChar w:fldCharType="separate"/>
      </w:r>
      <w:r w:rsidR="00491C1E" w:rsidRPr="00491C1E">
        <w:rPr>
          <w:vertAlign w:val="superscript"/>
        </w:rPr>
        <w:t>29</w:t>
      </w:r>
      <w:r w:rsidR="00491C1E" w:rsidRPr="00491C1E">
        <w:rPr>
          <w:vertAlign w:val="superscript"/>
        </w:rPr>
        <w:fldChar w:fldCharType="end"/>
      </w:r>
      <w:r w:rsidR="00DB3203">
        <w:rPr>
          <w:bCs/>
          <w:lang w:val="en"/>
        </w:rPr>
        <w:t xml:space="preserve"> </w:t>
      </w:r>
      <w:r>
        <w:rPr>
          <w:bCs/>
          <w:lang w:val="en"/>
        </w:rPr>
        <w:t>While the evaluator is inclined to accept that</w:t>
      </w:r>
      <w:r>
        <w:t xml:space="preserve"> the </w:t>
      </w:r>
      <w:r w:rsidRPr="007609D4">
        <w:t xml:space="preserve">observed </w:t>
      </w:r>
      <w:r>
        <w:t xml:space="preserve">6.27% </w:t>
      </w:r>
      <w:r w:rsidRPr="007609D4">
        <w:t>treatment difference for PEF%p in favour of Raxone</w:t>
      </w:r>
      <w:r>
        <w:t xml:space="preserve"> is clinically relevant, the EMA DMD guideline states that further data are needed to establish how respiratory function testing correlates with</w:t>
      </w:r>
      <w:r w:rsidRPr="007609D4">
        <w:t xml:space="preserve"> quality of life, time to death and other life-changing events</w:t>
      </w:r>
      <w:r>
        <w:t>.</w:t>
      </w:r>
      <w:r w:rsidR="00DB3203">
        <w:t xml:space="preserve"> </w:t>
      </w:r>
      <w:r>
        <w:t>These data are not yet available, in part because longer follow-up than one year would be required.</w:t>
      </w:r>
      <w:r w:rsidR="00DB3203">
        <w:t xml:space="preserve"> </w:t>
      </w:r>
      <w:r>
        <w:t xml:space="preserve">In addition, based on the primary pre-specified analysis of DELOS, </w:t>
      </w:r>
      <w:r w:rsidRPr="00270582">
        <w:rPr>
          <w:bCs/>
        </w:rPr>
        <w:t xml:space="preserve">the degree of statistical significance is </w:t>
      </w:r>
      <w:r>
        <w:rPr>
          <w:bCs/>
        </w:rPr>
        <w:t>not considered</w:t>
      </w:r>
      <w:r w:rsidRPr="00270582">
        <w:rPr>
          <w:bCs/>
        </w:rPr>
        <w:t xml:space="preserve"> to be </w:t>
      </w:r>
      <w:r w:rsidR="00685A72">
        <w:rPr>
          <w:bCs/>
        </w:rPr>
        <w:t>‘</w:t>
      </w:r>
      <w:r w:rsidRPr="00270582">
        <w:rPr>
          <w:bCs/>
          <w:i/>
        </w:rPr>
        <w:t>considerably stronger than p</w:t>
      </w:r>
      <w:r w:rsidR="00491C1E">
        <w:rPr>
          <w:bCs/>
          <w:i/>
        </w:rPr>
        <w:t xml:space="preserve"> </w:t>
      </w:r>
      <w:r w:rsidR="003173BB">
        <w:rPr>
          <w:bCs/>
          <w:i/>
        </w:rPr>
        <w:t xml:space="preserve">&lt; </w:t>
      </w:r>
      <w:r w:rsidRPr="00270582">
        <w:rPr>
          <w:bCs/>
          <w:i/>
        </w:rPr>
        <w:t>0.05</w:t>
      </w:r>
      <w:r w:rsidR="00685A72">
        <w:rPr>
          <w:bCs/>
        </w:rPr>
        <w:t>’</w:t>
      </w:r>
      <w:r>
        <w:rPr>
          <w:bCs/>
        </w:rPr>
        <w:t xml:space="preserve"> nor </w:t>
      </w:r>
      <w:r w:rsidR="00685A72">
        <w:rPr>
          <w:bCs/>
        </w:rPr>
        <w:t>‘</w:t>
      </w:r>
      <w:r w:rsidRPr="00270582">
        <w:rPr>
          <w:bCs/>
          <w:i/>
        </w:rPr>
        <w:t xml:space="preserve">accompanied by precise estimates of treatment effects, </w:t>
      </w:r>
      <w:r w:rsidR="001601AD">
        <w:rPr>
          <w:bCs/>
          <w:i/>
        </w:rPr>
        <w:t>that is</w:t>
      </w:r>
      <w:r w:rsidRPr="00270582">
        <w:rPr>
          <w:bCs/>
          <w:i/>
        </w:rPr>
        <w:t xml:space="preserve"> narrow confidence intervals</w:t>
      </w:r>
      <w:r w:rsidR="00685A72">
        <w:rPr>
          <w:bCs/>
        </w:rPr>
        <w:t>’</w:t>
      </w:r>
      <w:r w:rsidRPr="00270582">
        <w:rPr>
          <w:bCs/>
        </w:rPr>
        <w:t>.</w:t>
      </w:r>
      <w:r w:rsidR="00DB3203">
        <w:rPr>
          <w:bCs/>
        </w:rPr>
        <w:t xml:space="preserve"> </w:t>
      </w:r>
      <w:r>
        <w:rPr>
          <w:bCs/>
        </w:rPr>
        <w:t xml:space="preserve">The </w:t>
      </w:r>
      <w:r w:rsidRPr="00AA2747">
        <w:rPr>
          <w:bCs/>
        </w:rPr>
        <w:t xml:space="preserve">95% </w:t>
      </w:r>
      <w:r>
        <w:rPr>
          <w:bCs/>
        </w:rPr>
        <w:t xml:space="preserve">CI </w:t>
      </w:r>
      <w:r w:rsidRPr="00AA2747">
        <w:rPr>
          <w:bCs/>
        </w:rPr>
        <w:t xml:space="preserve">for PEF%p </w:t>
      </w:r>
      <w:r>
        <w:rPr>
          <w:bCs/>
        </w:rPr>
        <w:t xml:space="preserve">of 0.61 to </w:t>
      </w:r>
      <w:r w:rsidRPr="00AA2747">
        <w:rPr>
          <w:bCs/>
        </w:rPr>
        <w:t>11.93</w:t>
      </w:r>
      <w:r>
        <w:rPr>
          <w:bCs/>
        </w:rPr>
        <w:t xml:space="preserve"> is not considered narrow, and the lower limit of 0.61 indicates that it is possible that idebenone has little beneficial effect compared with placebo.</w:t>
      </w:r>
      <w:r w:rsidR="00DB3203">
        <w:rPr>
          <w:bCs/>
        </w:rPr>
        <w:t xml:space="preserve"> </w:t>
      </w:r>
      <w:r w:rsidR="00491C1E">
        <w:rPr>
          <w:bCs/>
        </w:rPr>
        <w:t>Therefore,</w:t>
      </w:r>
      <w:r>
        <w:rPr>
          <w:bCs/>
        </w:rPr>
        <w:t xml:space="preserve"> the evaluator does not believe this issue has been resolved.</w:t>
      </w:r>
    </w:p>
    <w:p w14:paraId="13A23CCB" w14:textId="77777777" w:rsidR="00605AD4" w:rsidRPr="00605AD4" w:rsidRDefault="00605AD4" w:rsidP="00546154">
      <w:pPr>
        <w:pStyle w:val="Heading3"/>
        <w:rPr>
          <w:rFonts w:eastAsia="Cambria"/>
        </w:rPr>
      </w:pPr>
      <w:bookmarkStart w:id="238" w:name="_Toc32828541"/>
      <w:r w:rsidRPr="00605AD4">
        <w:rPr>
          <w:rFonts w:eastAsia="Cambria"/>
        </w:rPr>
        <w:t xml:space="preserve">Second </w:t>
      </w:r>
      <w:r w:rsidR="00F877B0" w:rsidRPr="00605AD4">
        <w:rPr>
          <w:rFonts w:eastAsia="Cambria"/>
        </w:rPr>
        <w:t>round benefit-risk assessment</w:t>
      </w:r>
      <w:bookmarkEnd w:id="238"/>
    </w:p>
    <w:p w14:paraId="5202FA0F" w14:textId="77777777" w:rsidR="00277329" w:rsidRDefault="00277329" w:rsidP="00277329">
      <w:pPr>
        <w:pStyle w:val="Heading4"/>
      </w:pPr>
      <w:bookmarkStart w:id="239" w:name="_Toc503189311"/>
      <w:bookmarkStart w:id="240" w:name="_Toc510688970"/>
      <w:r>
        <w:t>Second round assessment of benefits</w:t>
      </w:r>
      <w:bookmarkEnd w:id="239"/>
      <w:bookmarkEnd w:id="240"/>
    </w:p>
    <w:p w14:paraId="573FE1C5" w14:textId="77777777" w:rsidR="00277329" w:rsidRDefault="00277329" w:rsidP="00277329">
      <w:pPr>
        <w:rPr>
          <w:lang w:eastAsia="ja-JP"/>
        </w:rPr>
      </w:pPr>
      <w:r>
        <w:rPr>
          <w:lang w:eastAsia="ja-JP"/>
        </w:rPr>
        <w:t xml:space="preserve">After consideration of the responses to the clinical questions, the benefits of Raxone in the </w:t>
      </w:r>
      <w:r w:rsidRPr="0003656A">
        <w:rPr>
          <w:lang w:eastAsia="ja-JP"/>
        </w:rPr>
        <w:t>proposed usage are as follows</w:t>
      </w:r>
      <w:r>
        <w:rPr>
          <w:lang w:eastAsia="ja-JP"/>
        </w:rPr>
        <w:t xml:space="preserve"> </w:t>
      </w:r>
      <w:r w:rsidRPr="0003656A">
        <w:rPr>
          <w:lang w:eastAsia="ja-JP"/>
        </w:rPr>
        <w:t>(see table below).</w:t>
      </w:r>
    </w:p>
    <w:p w14:paraId="48C537FB" w14:textId="47250CCA" w:rsidR="00605AD4" w:rsidRDefault="0030092C" w:rsidP="00277329">
      <w:pPr>
        <w:pStyle w:val="TableTitle"/>
      </w:pPr>
      <w:r>
        <w:lastRenderedPageBreak/>
        <w:t xml:space="preserve">Table </w:t>
      </w:r>
      <w:r w:rsidR="00CC66F4">
        <w:t>17</w:t>
      </w:r>
      <w:r>
        <w:t>: S</w:t>
      </w:r>
      <w:r w:rsidR="00277329">
        <w:t>econd round assessment of benefits</w:t>
      </w:r>
    </w:p>
    <w:tbl>
      <w:tblPr>
        <w:tblStyle w:val="TableGrid"/>
        <w:tblW w:w="0" w:type="auto"/>
        <w:tblInd w:w="108" w:type="dxa"/>
        <w:tblLook w:val="04A0" w:firstRow="1" w:lastRow="0" w:firstColumn="1" w:lastColumn="0" w:noHBand="0" w:noVBand="1"/>
      </w:tblPr>
      <w:tblGrid>
        <w:gridCol w:w="2590"/>
        <w:gridCol w:w="5796"/>
      </w:tblGrid>
      <w:tr w:rsidR="00277329" w:rsidRPr="00C37A1D" w14:paraId="3D60DA4B" w14:textId="77777777" w:rsidTr="00DB3203">
        <w:trPr>
          <w:tblHeader/>
        </w:trPr>
        <w:tc>
          <w:tcPr>
            <w:tcW w:w="8789" w:type="dxa"/>
            <w:gridSpan w:val="2"/>
            <w:shd w:val="clear" w:color="auto" w:fill="006DA7" w:themeFill="accent3"/>
          </w:tcPr>
          <w:p w14:paraId="510163DC" w14:textId="77777777" w:rsidR="00277329" w:rsidRPr="0013182D" w:rsidRDefault="00277329" w:rsidP="00DB3203">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r>
              <w:rPr>
                <w:rFonts w:asciiTheme="minorHAnsi" w:hAnsiTheme="minorHAnsi"/>
                <w:b/>
                <w:color w:val="FFFFFF" w:themeColor="background1"/>
                <w:sz w:val="22"/>
                <w:szCs w:val="22"/>
              </w:rPr>
              <w:t xml:space="preserve">: </w:t>
            </w:r>
            <w:r w:rsidRPr="0062394E">
              <w:rPr>
                <w:rFonts w:asciiTheme="minorHAnsi" w:hAnsiTheme="minorHAnsi"/>
                <w:b/>
                <w:color w:val="FFFFFF" w:themeColor="background1"/>
                <w:sz w:val="22"/>
                <w:szCs w:val="22"/>
              </w:rPr>
              <w:t xml:space="preserve">treatment of patients with DMD in whom respiratory function has started to decline </w:t>
            </w:r>
            <w:r w:rsidRPr="009F45C9">
              <w:rPr>
                <w:rFonts w:asciiTheme="minorHAnsi" w:hAnsiTheme="minorHAnsi"/>
                <w:b/>
                <w:bCs/>
                <w:color w:val="FFFFFF" w:themeColor="background1"/>
                <w:sz w:val="22"/>
                <w:szCs w:val="22"/>
              </w:rPr>
              <w:t>(PEF%p</w:t>
            </w:r>
            <w:r w:rsidR="00491C1E">
              <w:rPr>
                <w:rFonts w:asciiTheme="minorHAnsi" w:hAnsiTheme="minorHAnsi"/>
                <w:b/>
                <w:bCs/>
                <w:color w:val="FFFFFF" w:themeColor="background1"/>
                <w:sz w:val="22"/>
                <w:szCs w:val="22"/>
              </w:rPr>
              <w:t xml:space="preserve"> </w:t>
            </w:r>
            <w:r w:rsidR="003173BB">
              <w:rPr>
                <w:rFonts w:asciiTheme="minorHAnsi" w:hAnsiTheme="minorHAnsi"/>
                <w:b/>
                <w:bCs/>
                <w:color w:val="FFFFFF" w:themeColor="background1"/>
                <w:sz w:val="22"/>
                <w:szCs w:val="22"/>
              </w:rPr>
              <w:t xml:space="preserve">&lt; </w:t>
            </w:r>
            <w:r w:rsidRPr="009F45C9">
              <w:rPr>
                <w:rFonts w:asciiTheme="minorHAnsi" w:hAnsiTheme="minorHAnsi"/>
                <w:b/>
                <w:bCs/>
                <w:color w:val="FFFFFF" w:themeColor="background1"/>
                <w:sz w:val="22"/>
                <w:szCs w:val="22"/>
              </w:rPr>
              <w:t xml:space="preserve">80%) </w:t>
            </w:r>
            <w:r w:rsidRPr="0062394E">
              <w:rPr>
                <w:rFonts w:asciiTheme="minorHAnsi" w:hAnsiTheme="minorHAnsi"/>
                <w:b/>
                <w:color w:val="FFFFFF" w:themeColor="background1"/>
                <w:sz w:val="22"/>
                <w:szCs w:val="22"/>
              </w:rPr>
              <w:t>and who are currently not taking concomitant glucocorticoids.</w:t>
            </w:r>
            <w:r>
              <w:rPr>
                <w:rFonts w:asciiTheme="minorHAnsi" w:hAnsiTheme="minorHAnsi"/>
                <w:b/>
                <w:color w:val="FFFFFF" w:themeColor="background1"/>
                <w:sz w:val="22"/>
                <w:szCs w:val="22"/>
              </w:rPr>
              <w:t xml:space="preserve"> </w:t>
            </w:r>
            <w:r w:rsidRPr="009F45C9">
              <w:rPr>
                <w:rFonts w:asciiTheme="minorHAnsi" w:hAnsiTheme="minorHAnsi"/>
                <w:b/>
                <w:i/>
                <w:color w:val="FFFFFF" w:themeColor="background1"/>
                <w:sz w:val="22"/>
                <w:szCs w:val="22"/>
              </w:rPr>
              <w:t>Raxone can be used in patients previously treated with glucocorticoids or in patients in whom glucocorticoid treatment is not desired, not tolerated or is contraindicated.</w:t>
            </w:r>
          </w:p>
        </w:tc>
      </w:tr>
      <w:tr w:rsidR="00277329" w:rsidRPr="00C37A1D" w14:paraId="4663CEDB" w14:textId="77777777" w:rsidTr="00DB3203">
        <w:trPr>
          <w:tblHeader/>
        </w:trPr>
        <w:tc>
          <w:tcPr>
            <w:tcW w:w="2694" w:type="dxa"/>
            <w:shd w:val="clear" w:color="auto" w:fill="00517D" w:themeFill="accent3" w:themeFillShade="BF"/>
          </w:tcPr>
          <w:p w14:paraId="47A35440" w14:textId="77777777" w:rsidR="00277329" w:rsidRPr="0013182D" w:rsidRDefault="00277329" w:rsidP="00DB3203">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6095" w:type="dxa"/>
            <w:shd w:val="clear" w:color="auto" w:fill="00517D" w:themeFill="accent3" w:themeFillShade="BF"/>
          </w:tcPr>
          <w:p w14:paraId="5FE3EF65" w14:textId="43329E3C" w:rsidR="00277329" w:rsidRPr="0013182D" w:rsidRDefault="00277329" w:rsidP="00DB3203">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 xml:space="preserve">Strengths and </w:t>
            </w:r>
            <w:r w:rsidR="00076E48">
              <w:rPr>
                <w:rFonts w:asciiTheme="minorHAnsi" w:hAnsiTheme="minorHAnsi"/>
                <w:b/>
                <w:color w:val="FFFFFF" w:themeColor="background1"/>
                <w:sz w:val="22"/>
                <w:szCs w:val="22"/>
              </w:rPr>
              <w:t>u</w:t>
            </w:r>
            <w:r w:rsidRPr="0013182D">
              <w:rPr>
                <w:rFonts w:asciiTheme="minorHAnsi" w:hAnsiTheme="minorHAnsi"/>
                <w:b/>
                <w:color w:val="FFFFFF" w:themeColor="background1"/>
                <w:sz w:val="22"/>
                <w:szCs w:val="22"/>
              </w:rPr>
              <w:t>ncertainties</w:t>
            </w:r>
          </w:p>
        </w:tc>
      </w:tr>
      <w:tr w:rsidR="00277329" w:rsidRPr="00C37A1D" w14:paraId="21CDFF13" w14:textId="77777777" w:rsidTr="00DB3203">
        <w:tc>
          <w:tcPr>
            <w:tcW w:w="2694" w:type="dxa"/>
          </w:tcPr>
          <w:p w14:paraId="7E03873D" w14:textId="77777777" w:rsidR="00277329" w:rsidRPr="00277329" w:rsidRDefault="00277329" w:rsidP="00DB3203">
            <w:pPr>
              <w:rPr>
                <w:rFonts w:asciiTheme="minorHAnsi" w:hAnsiTheme="minorHAnsi" w:cstheme="minorHAnsi"/>
                <w:sz w:val="20"/>
                <w:szCs w:val="20"/>
              </w:rPr>
            </w:pPr>
            <w:r w:rsidRPr="00277329">
              <w:rPr>
                <w:rFonts w:asciiTheme="minorHAnsi" w:hAnsiTheme="minorHAnsi" w:cstheme="minorHAnsi"/>
                <w:sz w:val="20"/>
                <w:szCs w:val="20"/>
              </w:rPr>
              <w:t xml:space="preserve">Patients who received idebenone had less decline in PEF%p at Week 52 compared with patients on placebo (-2.57% </w:t>
            </w:r>
            <w:r w:rsidR="0061481A">
              <w:rPr>
                <w:rFonts w:asciiTheme="minorHAnsi" w:hAnsiTheme="minorHAnsi" w:cstheme="minorHAnsi"/>
                <w:sz w:val="20"/>
                <w:szCs w:val="20"/>
              </w:rPr>
              <w:t>versus</w:t>
            </w:r>
            <w:r w:rsidRPr="00277329">
              <w:rPr>
                <w:rFonts w:asciiTheme="minorHAnsi" w:hAnsiTheme="minorHAnsi" w:cstheme="minorHAnsi"/>
                <w:sz w:val="20"/>
                <w:szCs w:val="20"/>
              </w:rPr>
              <w:t xml:space="preserve"> -8.84%; estimated difference 6.27%; 95% CI: 0.61, 11.93; </w:t>
            </w:r>
            <w:r w:rsidR="0002337A">
              <w:rPr>
                <w:rFonts w:asciiTheme="minorHAnsi" w:hAnsiTheme="minorHAnsi" w:cstheme="minorHAnsi"/>
                <w:sz w:val="20"/>
                <w:szCs w:val="20"/>
              </w:rPr>
              <w:t>p</w:t>
            </w:r>
            <w:r w:rsidR="0061481A">
              <w:rPr>
                <w:rFonts w:asciiTheme="minorHAnsi" w:hAnsiTheme="minorHAnsi" w:cstheme="minorHAnsi"/>
                <w:sz w:val="20"/>
                <w:szCs w:val="20"/>
              </w:rPr>
              <w:t xml:space="preserve"> = </w:t>
            </w:r>
            <w:r w:rsidRPr="00277329">
              <w:rPr>
                <w:rFonts w:asciiTheme="minorHAnsi" w:hAnsiTheme="minorHAnsi" w:cstheme="minorHAnsi"/>
                <w:sz w:val="20"/>
                <w:szCs w:val="20"/>
              </w:rPr>
              <w:t>0.0306).</w:t>
            </w:r>
          </w:p>
        </w:tc>
        <w:tc>
          <w:tcPr>
            <w:tcW w:w="6095" w:type="dxa"/>
          </w:tcPr>
          <w:p w14:paraId="68682DA3" w14:textId="77777777" w:rsidR="00277329" w:rsidRPr="00277329" w:rsidRDefault="00277329"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277329">
              <w:rPr>
                <w:rFonts w:asciiTheme="minorHAnsi" w:hAnsiTheme="minorHAnsi" w:cstheme="minorHAnsi"/>
                <w:sz w:val="20"/>
                <w:szCs w:val="20"/>
              </w:rPr>
              <w:t>The efficacy of idebenone relies primarily on a single, small (n</w:t>
            </w:r>
            <w:r w:rsidR="0061481A">
              <w:rPr>
                <w:rFonts w:asciiTheme="minorHAnsi" w:hAnsiTheme="minorHAnsi" w:cstheme="minorHAnsi"/>
                <w:sz w:val="20"/>
                <w:szCs w:val="20"/>
              </w:rPr>
              <w:t xml:space="preserve"> = </w:t>
            </w:r>
            <w:r w:rsidRPr="00277329">
              <w:rPr>
                <w:rFonts w:asciiTheme="minorHAnsi" w:hAnsiTheme="minorHAnsi" w:cstheme="minorHAnsi"/>
                <w:sz w:val="20"/>
                <w:szCs w:val="20"/>
              </w:rPr>
              <w:t>64 in ITT population) Phase III study</w:t>
            </w:r>
            <w:r w:rsidRPr="00277329">
              <w:rPr>
                <w:rFonts w:asciiTheme="minorHAnsi" w:hAnsiTheme="minorHAnsi" w:cstheme="minorHAnsi"/>
                <w:sz w:val="20"/>
                <w:szCs w:val="20"/>
                <w:lang w:eastAsia="en-US"/>
              </w:rPr>
              <w:t xml:space="preserve"> (</w:t>
            </w:r>
            <w:r w:rsidRPr="00277329">
              <w:rPr>
                <w:rFonts w:asciiTheme="minorHAnsi" w:hAnsiTheme="minorHAnsi" w:cstheme="minorHAnsi"/>
                <w:sz w:val="20"/>
                <w:szCs w:val="20"/>
              </w:rPr>
              <w:t>DELOS).</w:t>
            </w:r>
          </w:p>
          <w:p w14:paraId="7FABB76E" w14:textId="77777777" w:rsidR="00277329" w:rsidRPr="00277329" w:rsidRDefault="00277329"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bCs/>
                <w:sz w:val="20"/>
                <w:szCs w:val="20"/>
                <w:lang w:val="en"/>
              </w:rPr>
            </w:pPr>
            <w:r w:rsidRPr="00277329">
              <w:rPr>
                <w:rFonts w:asciiTheme="minorHAnsi" w:hAnsiTheme="minorHAnsi" w:cstheme="minorHAnsi"/>
                <w:bCs/>
                <w:sz w:val="20"/>
                <w:szCs w:val="20"/>
                <w:lang w:val="en-US"/>
              </w:rPr>
              <w:t>The choice of PEF%p as the primary efficacy endpoint is considered acceptable.</w:t>
            </w:r>
            <w:r w:rsidR="00DB3203">
              <w:rPr>
                <w:rFonts w:asciiTheme="minorHAnsi" w:hAnsiTheme="minorHAnsi" w:cstheme="minorHAnsi"/>
                <w:bCs/>
                <w:sz w:val="20"/>
                <w:szCs w:val="20"/>
                <w:lang w:val="en-US"/>
              </w:rPr>
              <w:t xml:space="preserve"> </w:t>
            </w:r>
            <w:r w:rsidRPr="00277329">
              <w:rPr>
                <w:rFonts w:asciiTheme="minorHAnsi" w:hAnsiTheme="minorHAnsi" w:cstheme="minorHAnsi"/>
                <w:bCs/>
                <w:sz w:val="20"/>
                <w:szCs w:val="20"/>
              </w:rPr>
              <w:t>PEF%p is consistent with the Guideline</w:t>
            </w:r>
            <w:r w:rsidR="00491C1E">
              <w:rPr>
                <w:rFonts w:asciiTheme="minorHAnsi" w:hAnsiTheme="minorHAnsi" w:cstheme="minorHAnsi"/>
                <w:bCs/>
                <w:sz w:val="20"/>
                <w:szCs w:val="20"/>
              </w:rPr>
              <w:t>;</w:t>
            </w:r>
            <w:r w:rsidR="00491C1E" w:rsidRPr="00491C1E">
              <w:rPr>
                <w:rFonts w:asciiTheme="minorHAnsi" w:hAnsiTheme="minorHAnsi" w:cstheme="minorHAnsi"/>
                <w:bCs/>
                <w:sz w:val="20"/>
                <w:szCs w:val="20"/>
                <w:vertAlign w:val="superscript"/>
              </w:rPr>
              <w:fldChar w:fldCharType="begin"/>
            </w:r>
            <w:r w:rsidR="00491C1E" w:rsidRPr="00491C1E">
              <w:rPr>
                <w:rFonts w:asciiTheme="minorHAnsi" w:hAnsiTheme="minorHAnsi" w:cstheme="minorHAnsi"/>
                <w:bCs/>
                <w:sz w:val="20"/>
                <w:szCs w:val="20"/>
                <w:vertAlign w:val="superscript"/>
              </w:rPr>
              <w:instrText xml:space="preserve"> NOTEREF _Ref25760234 \h </w:instrText>
            </w:r>
            <w:r w:rsidR="00491C1E">
              <w:rPr>
                <w:rFonts w:asciiTheme="minorHAnsi" w:hAnsiTheme="minorHAnsi" w:cstheme="minorHAnsi"/>
                <w:bCs/>
                <w:sz w:val="20"/>
                <w:szCs w:val="20"/>
                <w:vertAlign w:val="superscript"/>
              </w:rPr>
              <w:instrText xml:space="preserve"> \* MERGEFORMAT </w:instrText>
            </w:r>
            <w:r w:rsidR="00491C1E" w:rsidRPr="00491C1E">
              <w:rPr>
                <w:rFonts w:asciiTheme="minorHAnsi" w:hAnsiTheme="minorHAnsi" w:cstheme="minorHAnsi"/>
                <w:bCs/>
                <w:sz w:val="20"/>
                <w:szCs w:val="20"/>
                <w:vertAlign w:val="superscript"/>
              </w:rPr>
            </w:r>
            <w:r w:rsidR="00491C1E" w:rsidRPr="00491C1E">
              <w:rPr>
                <w:rFonts w:asciiTheme="minorHAnsi" w:hAnsiTheme="minorHAnsi" w:cstheme="minorHAnsi"/>
                <w:bCs/>
                <w:sz w:val="20"/>
                <w:szCs w:val="20"/>
                <w:vertAlign w:val="superscript"/>
              </w:rPr>
              <w:fldChar w:fldCharType="separate"/>
            </w:r>
            <w:r w:rsidR="00491C1E" w:rsidRPr="00491C1E">
              <w:rPr>
                <w:rFonts w:asciiTheme="minorHAnsi" w:hAnsiTheme="minorHAnsi" w:cstheme="minorHAnsi"/>
                <w:bCs/>
                <w:sz w:val="20"/>
                <w:szCs w:val="20"/>
                <w:vertAlign w:val="superscript"/>
              </w:rPr>
              <w:t>26</w:t>
            </w:r>
            <w:r w:rsidR="00491C1E" w:rsidRPr="00491C1E">
              <w:rPr>
                <w:rFonts w:asciiTheme="minorHAnsi" w:hAnsiTheme="minorHAnsi" w:cstheme="minorHAnsi"/>
                <w:bCs/>
                <w:sz w:val="20"/>
                <w:szCs w:val="20"/>
                <w:vertAlign w:val="superscript"/>
              </w:rPr>
              <w:fldChar w:fldCharType="end"/>
            </w:r>
            <w:r w:rsidRPr="00277329">
              <w:rPr>
                <w:rFonts w:asciiTheme="minorHAnsi" w:hAnsiTheme="minorHAnsi" w:cstheme="minorHAnsi"/>
                <w:bCs/>
                <w:sz w:val="20"/>
                <w:szCs w:val="20"/>
                <w:lang w:val="en" w:eastAsia="en-US"/>
              </w:rPr>
              <w:t xml:space="preserve"> </w:t>
            </w:r>
            <w:r w:rsidRPr="00277329">
              <w:rPr>
                <w:rFonts w:asciiTheme="minorHAnsi" w:hAnsiTheme="minorHAnsi" w:cstheme="minorHAnsi"/>
                <w:bCs/>
                <w:sz w:val="20"/>
                <w:szCs w:val="20"/>
                <w:lang w:val="en"/>
              </w:rPr>
              <w:t>for younger patients</w:t>
            </w:r>
            <w:r w:rsidRPr="00277329">
              <w:rPr>
                <w:rFonts w:asciiTheme="minorHAnsi" w:hAnsiTheme="minorHAnsi" w:cstheme="minorHAnsi"/>
                <w:bCs/>
                <w:sz w:val="20"/>
                <w:szCs w:val="20"/>
              </w:rPr>
              <w:t>, although FVC%p appears to be the preferred respiratory function test to measure loss of lung volume in DMD</w:t>
            </w:r>
            <w:r w:rsidRPr="00277329">
              <w:rPr>
                <w:rFonts w:asciiTheme="minorHAnsi" w:hAnsiTheme="minorHAnsi" w:cstheme="minorHAnsi"/>
                <w:bCs/>
                <w:sz w:val="20"/>
                <w:szCs w:val="20"/>
                <w:lang w:val="en"/>
              </w:rPr>
              <w:t xml:space="preserve">. However, </w:t>
            </w:r>
            <w:r w:rsidRPr="00277329">
              <w:rPr>
                <w:rFonts w:asciiTheme="minorHAnsi" w:hAnsiTheme="minorHAnsi" w:cstheme="minorHAnsi"/>
                <w:bCs/>
                <w:sz w:val="20"/>
                <w:szCs w:val="20"/>
              </w:rPr>
              <w:t>the EMA DMD guideline states that further data are needed to establish how respiratory function testing correlates with quality of life, time to death and other life-changing events.</w:t>
            </w:r>
            <w:r w:rsidR="00DB3203">
              <w:rPr>
                <w:rFonts w:asciiTheme="minorHAnsi" w:hAnsiTheme="minorHAnsi" w:cstheme="minorHAnsi"/>
                <w:bCs/>
                <w:sz w:val="20"/>
                <w:szCs w:val="20"/>
              </w:rPr>
              <w:t xml:space="preserve"> </w:t>
            </w:r>
            <w:r w:rsidRPr="00277329">
              <w:rPr>
                <w:rFonts w:asciiTheme="minorHAnsi" w:hAnsiTheme="minorHAnsi" w:cstheme="minorHAnsi"/>
                <w:bCs/>
                <w:sz w:val="20"/>
                <w:szCs w:val="20"/>
              </w:rPr>
              <w:t>It is accepted that this may require longer follow-up and that these data may not be available for inclusion in the initial application for registration.</w:t>
            </w:r>
          </w:p>
          <w:p w14:paraId="79A8E268" w14:textId="77777777" w:rsidR="00277329" w:rsidRPr="00277329" w:rsidRDefault="00277329"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bCs/>
                <w:sz w:val="20"/>
                <w:szCs w:val="20"/>
              </w:rPr>
            </w:pPr>
            <w:r w:rsidRPr="00277329">
              <w:rPr>
                <w:rFonts w:asciiTheme="minorHAnsi" w:hAnsiTheme="minorHAnsi" w:cstheme="minorHAnsi"/>
                <w:bCs/>
                <w:sz w:val="20"/>
                <w:szCs w:val="20"/>
                <w:lang w:val="en"/>
              </w:rPr>
              <w:t xml:space="preserve">While there was some supportive evidence </w:t>
            </w:r>
            <w:r w:rsidRPr="00277329">
              <w:rPr>
                <w:rFonts w:asciiTheme="minorHAnsi" w:hAnsiTheme="minorHAnsi" w:cstheme="minorHAnsi"/>
                <w:bCs/>
                <w:sz w:val="20"/>
                <w:szCs w:val="20"/>
              </w:rPr>
              <w:t>of the efficacy of idebenone provided by secondary and tertiary respiratory endpoints in DELOS, the multiplicity and exploratory nature of some of these endpoints and the post-hoc nature of some of the analyses introduce uncertainty in interpreting the results.</w:t>
            </w:r>
          </w:p>
          <w:p w14:paraId="5F029BE7" w14:textId="668C6066" w:rsidR="00277329" w:rsidRPr="00277329" w:rsidRDefault="00277329"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bCs/>
                <w:sz w:val="20"/>
                <w:szCs w:val="20"/>
              </w:rPr>
            </w:pPr>
            <w:r w:rsidRPr="00277329">
              <w:rPr>
                <w:rFonts w:asciiTheme="minorHAnsi" w:hAnsiTheme="minorHAnsi" w:cstheme="minorHAnsi"/>
                <w:bCs/>
                <w:sz w:val="20"/>
                <w:szCs w:val="20"/>
              </w:rPr>
              <w:t xml:space="preserve">External validation of the DELOS results was provided by the PPM </w:t>
            </w:r>
            <w:r w:rsidR="003173BB">
              <w:rPr>
                <w:rFonts w:asciiTheme="minorHAnsi" w:hAnsiTheme="minorHAnsi" w:cstheme="minorHAnsi"/>
                <w:bCs/>
                <w:sz w:val="20"/>
                <w:szCs w:val="20"/>
              </w:rPr>
              <w:t>Study</w:t>
            </w:r>
            <w:r w:rsidRPr="00277329">
              <w:rPr>
                <w:rFonts w:asciiTheme="minorHAnsi" w:hAnsiTheme="minorHAnsi" w:cstheme="minorHAnsi"/>
                <w:bCs/>
                <w:sz w:val="20"/>
                <w:szCs w:val="20"/>
              </w:rPr>
              <w:t xml:space="preserve"> using matched cohorts of DMD patients from the CINRG DNHS.</w:t>
            </w:r>
            <w:r w:rsidR="00DB3203">
              <w:rPr>
                <w:rFonts w:asciiTheme="minorHAnsi" w:hAnsiTheme="minorHAnsi" w:cstheme="minorHAnsi"/>
                <w:bCs/>
                <w:sz w:val="20"/>
                <w:szCs w:val="20"/>
              </w:rPr>
              <w:t xml:space="preserve"> </w:t>
            </w:r>
            <w:r w:rsidRPr="00277329">
              <w:rPr>
                <w:rFonts w:asciiTheme="minorHAnsi" w:hAnsiTheme="minorHAnsi" w:cstheme="minorHAnsi"/>
                <w:bCs/>
                <w:sz w:val="20"/>
                <w:szCs w:val="20"/>
              </w:rPr>
              <w:t xml:space="preserve">This study demonstrated that the rate of decline in PEF%p in the DELOS </w:t>
            </w:r>
            <w:r w:rsidR="00FE3B3E">
              <w:rPr>
                <w:rFonts w:asciiTheme="minorHAnsi" w:hAnsiTheme="minorHAnsi" w:cstheme="minorHAnsi"/>
                <w:bCs/>
                <w:sz w:val="20"/>
                <w:szCs w:val="20"/>
              </w:rPr>
              <w:t>study</w:t>
            </w:r>
            <w:r w:rsidR="00FE3B3E" w:rsidRPr="00277329">
              <w:rPr>
                <w:rFonts w:asciiTheme="minorHAnsi" w:hAnsiTheme="minorHAnsi" w:cstheme="minorHAnsi"/>
                <w:bCs/>
                <w:sz w:val="20"/>
                <w:szCs w:val="20"/>
              </w:rPr>
              <w:t xml:space="preserve"> </w:t>
            </w:r>
            <w:r w:rsidRPr="00277329">
              <w:rPr>
                <w:rFonts w:asciiTheme="minorHAnsi" w:hAnsiTheme="minorHAnsi" w:cstheme="minorHAnsi"/>
                <w:bCs/>
                <w:sz w:val="20"/>
                <w:szCs w:val="20"/>
              </w:rPr>
              <w:t xml:space="preserve">placebo group was comparable to the rate of decline of a matched-to-DELOS placebo cohort from the CINRG DNHS, while the rate of decline in the DELOS </w:t>
            </w:r>
            <w:r w:rsidR="003173BB">
              <w:rPr>
                <w:rFonts w:asciiTheme="minorHAnsi" w:hAnsiTheme="minorHAnsi" w:cstheme="minorHAnsi"/>
                <w:bCs/>
                <w:sz w:val="20"/>
                <w:szCs w:val="20"/>
              </w:rPr>
              <w:t>Study</w:t>
            </w:r>
            <w:r w:rsidRPr="00277329">
              <w:rPr>
                <w:rFonts w:asciiTheme="minorHAnsi" w:hAnsiTheme="minorHAnsi" w:cstheme="minorHAnsi"/>
                <w:bCs/>
                <w:sz w:val="20"/>
                <w:szCs w:val="20"/>
              </w:rPr>
              <w:t xml:space="preserve"> idebenone group was slower than both the matched-to-DELOS placebo and matched-to-DELOS idebenone cohorts from the CINRG DNHS.</w:t>
            </w:r>
          </w:p>
          <w:p w14:paraId="0223CAF5" w14:textId="77777777" w:rsidR="00277329" w:rsidRPr="00277329" w:rsidRDefault="00277329"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bCs/>
                <w:sz w:val="20"/>
                <w:szCs w:val="20"/>
              </w:rPr>
            </w:pPr>
            <w:r w:rsidRPr="00277329">
              <w:rPr>
                <w:rFonts w:asciiTheme="minorHAnsi" w:hAnsiTheme="minorHAnsi" w:cstheme="minorHAnsi"/>
                <w:bCs/>
                <w:sz w:val="20"/>
                <w:szCs w:val="20"/>
              </w:rPr>
              <w:t xml:space="preserve">There is limited data in patients aged </w:t>
            </w:r>
            <w:r w:rsidR="003173BB">
              <w:rPr>
                <w:rFonts w:asciiTheme="minorHAnsi" w:hAnsiTheme="minorHAnsi" w:cstheme="minorHAnsi"/>
                <w:bCs/>
                <w:sz w:val="20"/>
                <w:szCs w:val="20"/>
              </w:rPr>
              <w:t xml:space="preserve">&lt; </w:t>
            </w:r>
            <w:r w:rsidRPr="00277329">
              <w:rPr>
                <w:rFonts w:asciiTheme="minorHAnsi" w:hAnsiTheme="minorHAnsi" w:cstheme="minorHAnsi"/>
                <w:bCs/>
                <w:sz w:val="20"/>
                <w:szCs w:val="20"/>
              </w:rPr>
              <w:t>8 years, patients with renal and/or hepatic impairment, and patients with DMD receiving GCs.</w:t>
            </w:r>
            <w:r w:rsidR="00DB3203">
              <w:rPr>
                <w:rFonts w:asciiTheme="minorHAnsi" w:hAnsiTheme="minorHAnsi" w:cstheme="minorHAnsi"/>
                <w:bCs/>
                <w:sz w:val="20"/>
                <w:szCs w:val="20"/>
              </w:rPr>
              <w:t xml:space="preserve"> </w:t>
            </w:r>
            <w:r w:rsidRPr="00277329">
              <w:rPr>
                <w:rFonts w:asciiTheme="minorHAnsi" w:hAnsiTheme="minorHAnsi" w:cstheme="minorHAnsi"/>
                <w:bCs/>
                <w:sz w:val="20"/>
                <w:szCs w:val="20"/>
              </w:rPr>
              <w:t xml:space="preserve">This is acknowledged by the sponsor as missing information in the EU RMP, and will be collected in a Post-Authorisation Safety Study, and (for GC use) in the ongoing SIDEROS </w:t>
            </w:r>
            <w:r w:rsidR="003173BB">
              <w:rPr>
                <w:rFonts w:asciiTheme="minorHAnsi" w:hAnsiTheme="minorHAnsi" w:cstheme="minorHAnsi"/>
                <w:bCs/>
                <w:sz w:val="20"/>
                <w:szCs w:val="20"/>
              </w:rPr>
              <w:t>Study</w:t>
            </w:r>
            <w:r w:rsidRPr="00277329">
              <w:rPr>
                <w:rFonts w:asciiTheme="minorHAnsi" w:hAnsiTheme="minorHAnsi" w:cstheme="minorHAnsi"/>
                <w:bCs/>
                <w:sz w:val="20"/>
                <w:szCs w:val="20"/>
              </w:rPr>
              <w:t>.</w:t>
            </w:r>
          </w:p>
          <w:p w14:paraId="322DCAE8" w14:textId="77777777" w:rsidR="00277329" w:rsidRPr="00277329" w:rsidRDefault="00277329" w:rsidP="00491C1E">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277329">
              <w:rPr>
                <w:rFonts w:asciiTheme="minorHAnsi" w:hAnsiTheme="minorHAnsi" w:cstheme="minorHAnsi"/>
                <w:bCs/>
                <w:sz w:val="20"/>
                <w:szCs w:val="20"/>
              </w:rPr>
              <w:t>On the basis of the limited Phase II data and the wide confidence interval surrounding the PEF%p endpoint, DELOS is not considered a sufficiently robust study to meet the requirements for a single pivotal study</w:t>
            </w:r>
            <w:r w:rsidR="00491C1E">
              <w:rPr>
                <w:rFonts w:asciiTheme="minorHAnsi" w:hAnsiTheme="minorHAnsi" w:cstheme="minorHAnsi"/>
                <w:bCs/>
                <w:sz w:val="20"/>
                <w:szCs w:val="20"/>
              </w:rPr>
              <w:t>.</w:t>
            </w:r>
            <w:r w:rsidR="00491C1E" w:rsidRPr="00491C1E">
              <w:rPr>
                <w:rFonts w:asciiTheme="minorHAnsi" w:hAnsiTheme="minorHAnsi" w:cstheme="minorHAnsi"/>
                <w:bCs/>
                <w:sz w:val="20"/>
                <w:szCs w:val="20"/>
                <w:vertAlign w:val="superscript"/>
              </w:rPr>
              <w:fldChar w:fldCharType="begin"/>
            </w:r>
            <w:r w:rsidR="00491C1E" w:rsidRPr="00491C1E">
              <w:rPr>
                <w:rFonts w:asciiTheme="minorHAnsi" w:hAnsiTheme="minorHAnsi" w:cstheme="minorHAnsi"/>
                <w:bCs/>
                <w:sz w:val="20"/>
                <w:szCs w:val="20"/>
                <w:vertAlign w:val="superscript"/>
              </w:rPr>
              <w:instrText xml:space="preserve"> NOTEREF _Ref25760375 \h </w:instrText>
            </w:r>
            <w:r w:rsidR="00491C1E">
              <w:rPr>
                <w:rFonts w:asciiTheme="minorHAnsi" w:hAnsiTheme="minorHAnsi" w:cstheme="minorHAnsi"/>
                <w:bCs/>
                <w:sz w:val="20"/>
                <w:szCs w:val="20"/>
                <w:vertAlign w:val="superscript"/>
              </w:rPr>
              <w:instrText xml:space="preserve"> \* MERGEFORMAT </w:instrText>
            </w:r>
            <w:r w:rsidR="00491C1E" w:rsidRPr="00491C1E">
              <w:rPr>
                <w:rFonts w:asciiTheme="minorHAnsi" w:hAnsiTheme="minorHAnsi" w:cstheme="minorHAnsi"/>
                <w:bCs/>
                <w:sz w:val="20"/>
                <w:szCs w:val="20"/>
                <w:vertAlign w:val="superscript"/>
              </w:rPr>
            </w:r>
            <w:r w:rsidR="00491C1E" w:rsidRPr="00491C1E">
              <w:rPr>
                <w:rFonts w:asciiTheme="minorHAnsi" w:hAnsiTheme="minorHAnsi" w:cstheme="minorHAnsi"/>
                <w:bCs/>
                <w:sz w:val="20"/>
                <w:szCs w:val="20"/>
                <w:vertAlign w:val="superscript"/>
              </w:rPr>
              <w:fldChar w:fldCharType="separate"/>
            </w:r>
            <w:r w:rsidR="00491C1E" w:rsidRPr="00491C1E">
              <w:rPr>
                <w:rFonts w:asciiTheme="minorHAnsi" w:hAnsiTheme="minorHAnsi" w:cstheme="minorHAnsi"/>
                <w:bCs/>
                <w:sz w:val="20"/>
                <w:szCs w:val="20"/>
                <w:vertAlign w:val="superscript"/>
              </w:rPr>
              <w:t>29</w:t>
            </w:r>
            <w:r w:rsidR="00491C1E" w:rsidRPr="00491C1E">
              <w:rPr>
                <w:rFonts w:asciiTheme="minorHAnsi" w:hAnsiTheme="minorHAnsi" w:cstheme="minorHAnsi"/>
                <w:bCs/>
                <w:sz w:val="20"/>
                <w:szCs w:val="20"/>
                <w:vertAlign w:val="superscript"/>
              </w:rPr>
              <w:fldChar w:fldCharType="end"/>
            </w:r>
          </w:p>
        </w:tc>
      </w:tr>
      <w:tr w:rsidR="00277329" w:rsidRPr="00C37A1D" w14:paraId="0D1D0DF4" w14:textId="77777777" w:rsidTr="00DB3203">
        <w:tc>
          <w:tcPr>
            <w:tcW w:w="2694" w:type="dxa"/>
          </w:tcPr>
          <w:p w14:paraId="76BF4FBE" w14:textId="77777777" w:rsidR="00277329" w:rsidRPr="00277329" w:rsidRDefault="00277329" w:rsidP="00DB3203">
            <w:pPr>
              <w:rPr>
                <w:rFonts w:asciiTheme="minorHAnsi" w:hAnsiTheme="minorHAnsi" w:cstheme="minorHAnsi"/>
                <w:sz w:val="20"/>
                <w:szCs w:val="20"/>
              </w:rPr>
            </w:pPr>
            <w:r w:rsidRPr="00277329">
              <w:rPr>
                <w:rFonts w:asciiTheme="minorHAnsi" w:hAnsiTheme="minorHAnsi" w:cstheme="minorHAnsi"/>
                <w:sz w:val="20"/>
                <w:szCs w:val="20"/>
              </w:rPr>
              <w:t>The safety profile of idebenone is relatively benign, with the commonly occurring AEs generally being mild to moderate in severity and easy to manage.</w:t>
            </w:r>
          </w:p>
        </w:tc>
        <w:tc>
          <w:tcPr>
            <w:tcW w:w="6095" w:type="dxa"/>
          </w:tcPr>
          <w:p w14:paraId="2463360B" w14:textId="77777777" w:rsidR="00277329" w:rsidRPr="00277329" w:rsidRDefault="00277329" w:rsidP="00DB3203">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277329">
              <w:rPr>
                <w:rFonts w:asciiTheme="minorHAnsi" w:hAnsiTheme="minorHAnsi" w:cstheme="minorHAnsi"/>
                <w:sz w:val="20"/>
                <w:szCs w:val="20"/>
              </w:rPr>
              <w:t>Although the safety profile of idebenone is long established for the lower dose of 45 mg, there is limited long term safety data with the 900 mg dose that is proposed for DMD.</w:t>
            </w:r>
            <w:r w:rsidR="00DB3203">
              <w:rPr>
                <w:rFonts w:asciiTheme="minorHAnsi" w:hAnsiTheme="minorHAnsi" w:cstheme="minorHAnsi"/>
                <w:sz w:val="20"/>
                <w:szCs w:val="20"/>
              </w:rPr>
              <w:t xml:space="preserve"> </w:t>
            </w:r>
            <w:r w:rsidRPr="00277329">
              <w:rPr>
                <w:rFonts w:asciiTheme="minorHAnsi" w:hAnsiTheme="minorHAnsi" w:cstheme="minorHAnsi"/>
                <w:sz w:val="20"/>
                <w:szCs w:val="20"/>
              </w:rPr>
              <w:t>However the nature of the AEs and the similarities across the different indications and doses is such that this is not considered a critical issue.</w:t>
            </w:r>
          </w:p>
        </w:tc>
      </w:tr>
    </w:tbl>
    <w:p w14:paraId="3F124714" w14:textId="77777777" w:rsidR="00277329" w:rsidRDefault="00277329" w:rsidP="00277329">
      <w:pPr>
        <w:pStyle w:val="Heading4"/>
      </w:pPr>
      <w:bookmarkStart w:id="241" w:name="_Toc503189312"/>
      <w:bookmarkStart w:id="242" w:name="_Toc510688971"/>
      <w:r>
        <w:lastRenderedPageBreak/>
        <w:t>Second round assessment of risks</w:t>
      </w:r>
      <w:bookmarkEnd w:id="241"/>
      <w:bookmarkEnd w:id="242"/>
    </w:p>
    <w:p w14:paraId="3B3D95CB" w14:textId="77777777" w:rsidR="00277329" w:rsidRDefault="00277329" w:rsidP="00277329">
      <w:pPr>
        <w:rPr>
          <w:lang w:eastAsia="ja-JP"/>
        </w:rPr>
      </w:pPr>
      <w:r w:rsidRPr="002B0F77">
        <w:rPr>
          <w:lang w:eastAsia="ja-JP"/>
        </w:rPr>
        <w:t xml:space="preserve">After consideration of the responses to clinical questions, the risks of </w:t>
      </w:r>
      <w:r>
        <w:rPr>
          <w:lang w:eastAsia="ja-JP"/>
        </w:rPr>
        <w:t>Raxone</w:t>
      </w:r>
      <w:r w:rsidRPr="002B0F77">
        <w:rPr>
          <w:lang w:eastAsia="ja-JP"/>
        </w:rPr>
        <w:t xml:space="preserve"> in the proposed usage are </w:t>
      </w:r>
      <w:r>
        <w:rPr>
          <w:lang w:eastAsia="ja-JP"/>
        </w:rPr>
        <w:t>as follows (see table below)</w:t>
      </w:r>
      <w:r w:rsidRPr="002B0F77">
        <w:rPr>
          <w:lang w:eastAsia="ja-JP"/>
        </w:rPr>
        <w:t>.</w:t>
      </w:r>
    </w:p>
    <w:p w14:paraId="44A86A2F" w14:textId="4455C93C" w:rsidR="00277329" w:rsidRDefault="00CC66F4" w:rsidP="00277329">
      <w:pPr>
        <w:pStyle w:val="TableTitle"/>
      </w:pPr>
      <w:r>
        <w:t>Table 18</w:t>
      </w:r>
      <w:r w:rsidR="0030092C">
        <w:t>: S</w:t>
      </w:r>
      <w:r w:rsidR="00277329">
        <w:t>econd round assessment of risks</w:t>
      </w:r>
    </w:p>
    <w:tbl>
      <w:tblPr>
        <w:tblStyle w:val="TableGrid"/>
        <w:tblW w:w="0" w:type="auto"/>
        <w:tblInd w:w="108" w:type="dxa"/>
        <w:tblLook w:val="04A0" w:firstRow="1" w:lastRow="0" w:firstColumn="1" w:lastColumn="0" w:noHBand="0" w:noVBand="1"/>
      </w:tblPr>
      <w:tblGrid>
        <w:gridCol w:w="2592"/>
        <w:gridCol w:w="5794"/>
      </w:tblGrid>
      <w:tr w:rsidR="00277329" w:rsidRPr="00C37A1D" w14:paraId="718D7643" w14:textId="77777777" w:rsidTr="00277329">
        <w:trPr>
          <w:tblHeader/>
        </w:trPr>
        <w:tc>
          <w:tcPr>
            <w:tcW w:w="2649" w:type="dxa"/>
            <w:shd w:val="clear" w:color="auto" w:fill="006DA7" w:themeFill="accent3"/>
          </w:tcPr>
          <w:p w14:paraId="0BFE53F6" w14:textId="77777777" w:rsidR="00277329" w:rsidRPr="0013182D" w:rsidRDefault="00277329" w:rsidP="00DB3203">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5963" w:type="dxa"/>
            <w:shd w:val="clear" w:color="auto" w:fill="006DA7" w:themeFill="accent3"/>
          </w:tcPr>
          <w:p w14:paraId="36E7B166" w14:textId="3E1CEF9F" w:rsidR="00277329" w:rsidRPr="0013182D" w:rsidRDefault="00277329" w:rsidP="00DB3203">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 xml:space="preserve">Strengths and </w:t>
            </w:r>
            <w:r w:rsidR="00076E48">
              <w:rPr>
                <w:rFonts w:asciiTheme="minorHAnsi" w:hAnsiTheme="minorHAnsi"/>
                <w:b/>
                <w:color w:val="FFFFFF" w:themeColor="background1"/>
                <w:sz w:val="22"/>
                <w:szCs w:val="22"/>
              </w:rPr>
              <w:t>u</w:t>
            </w:r>
            <w:r w:rsidRPr="0013182D">
              <w:rPr>
                <w:rFonts w:asciiTheme="minorHAnsi" w:hAnsiTheme="minorHAnsi"/>
                <w:b/>
                <w:color w:val="FFFFFF" w:themeColor="background1"/>
                <w:sz w:val="22"/>
                <w:szCs w:val="22"/>
              </w:rPr>
              <w:t>ncertainties</w:t>
            </w:r>
          </w:p>
        </w:tc>
      </w:tr>
      <w:tr w:rsidR="00277329" w:rsidRPr="00C37A1D" w14:paraId="1B73D42E" w14:textId="77777777" w:rsidTr="00277329">
        <w:tc>
          <w:tcPr>
            <w:tcW w:w="2649" w:type="dxa"/>
          </w:tcPr>
          <w:p w14:paraId="5AFECADF" w14:textId="77777777" w:rsidR="00277329" w:rsidRPr="00277329" w:rsidRDefault="00277329" w:rsidP="00DB3203">
            <w:pPr>
              <w:rPr>
                <w:rFonts w:asciiTheme="minorHAnsi" w:hAnsiTheme="minorHAnsi"/>
                <w:sz w:val="20"/>
                <w:szCs w:val="20"/>
              </w:rPr>
            </w:pPr>
            <w:r w:rsidRPr="00277329">
              <w:rPr>
                <w:rFonts w:asciiTheme="minorHAnsi" w:hAnsiTheme="minorHAnsi"/>
                <w:sz w:val="20"/>
                <w:szCs w:val="20"/>
              </w:rPr>
              <w:t>Limited long-term safety data for the 900 mg dose of idebenone.</w:t>
            </w:r>
          </w:p>
        </w:tc>
        <w:tc>
          <w:tcPr>
            <w:tcW w:w="5963" w:type="dxa"/>
          </w:tcPr>
          <w:p w14:paraId="7BB9A174" w14:textId="77777777" w:rsidR="00277329" w:rsidRPr="00277329" w:rsidRDefault="00277329" w:rsidP="00DB3203">
            <w:pPr>
              <w:rPr>
                <w:rFonts w:asciiTheme="minorHAnsi" w:hAnsiTheme="minorHAnsi" w:cstheme="minorHAnsi"/>
                <w:sz w:val="20"/>
                <w:szCs w:val="20"/>
              </w:rPr>
            </w:pPr>
            <w:r w:rsidRPr="00277329">
              <w:rPr>
                <w:rFonts w:asciiTheme="minorHAnsi" w:hAnsiTheme="minorHAnsi" w:cstheme="minorHAnsi"/>
                <w:sz w:val="20"/>
                <w:szCs w:val="20"/>
              </w:rPr>
              <w:t>As stated in the assessment of benefits, there is a long established safety profile for the 45 mg dose of idebenone.</w:t>
            </w:r>
            <w:r w:rsidR="00DB3203">
              <w:rPr>
                <w:rFonts w:asciiTheme="minorHAnsi" w:hAnsiTheme="minorHAnsi" w:cstheme="minorHAnsi"/>
                <w:sz w:val="20"/>
                <w:szCs w:val="20"/>
              </w:rPr>
              <w:t xml:space="preserve"> </w:t>
            </w:r>
            <w:r w:rsidRPr="00277329">
              <w:rPr>
                <w:rFonts w:asciiTheme="minorHAnsi" w:hAnsiTheme="minorHAnsi" w:cstheme="minorHAnsi"/>
                <w:sz w:val="20"/>
                <w:szCs w:val="20"/>
              </w:rPr>
              <w:t>In addition, the nature of the AEs and the similarities across the different indications and doses is such that this is not considered a critical issue.</w:t>
            </w:r>
          </w:p>
        </w:tc>
      </w:tr>
    </w:tbl>
    <w:p w14:paraId="459FB80F" w14:textId="77777777" w:rsidR="00277329" w:rsidRDefault="00277329" w:rsidP="00277329">
      <w:pPr>
        <w:pStyle w:val="Heading4"/>
      </w:pPr>
      <w:bookmarkStart w:id="243" w:name="_Toc503189313"/>
      <w:bookmarkStart w:id="244" w:name="_Toc510688972"/>
      <w:r>
        <w:t>Second round assessment of benefit-risk balance</w:t>
      </w:r>
      <w:bookmarkEnd w:id="243"/>
      <w:bookmarkEnd w:id="244"/>
    </w:p>
    <w:p w14:paraId="1B64FF01" w14:textId="77777777" w:rsidR="00277329" w:rsidRDefault="00277329" w:rsidP="00277329">
      <w:pPr>
        <w:rPr>
          <w:lang w:eastAsia="ja-JP"/>
        </w:rPr>
      </w:pPr>
      <w:r w:rsidRPr="00565B2D">
        <w:rPr>
          <w:lang w:eastAsia="ja-JP"/>
        </w:rPr>
        <w:t>The benefit-risk balance of Raxone (idebenone) for the p</w:t>
      </w:r>
      <w:r>
        <w:rPr>
          <w:lang w:eastAsia="ja-JP"/>
        </w:rPr>
        <w:t>roposed usage is unfavourable.</w:t>
      </w:r>
    </w:p>
    <w:p w14:paraId="0C977DE4" w14:textId="25E17DA9" w:rsidR="00277329" w:rsidRPr="000F1663" w:rsidRDefault="00277329" w:rsidP="00277329">
      <w:pPr>
        <w:rPr>
          <w:lang w:eastAsia="ja-JP"/>
        </w:rPr>
      </w:pPr>
      <w:r>
        <w:rPr>
          <w:lang w:eastAsia="ja-JP"/>
        </w:rPr>
        <w:t xml:space="preserve">The </w:t>
      </w:r>
      <w:r w:rsidRPr="00565B2D">
        <w:rPr>
          <w:lang w:eastAsia="ja-JP"/>
        </w:rPr>
        <w:t xml:space="preserve">DELOS </w:t>
      </w:r>
      <w:r w:rsidR="00FE3B3E">
        <w:rPr>
          <w:lang w:eastAsia="ja-JP"/>
        </w:rPr>
        <w:t>s</w:t>
      </w:r>
      <w:r w:rsidR="003173BB">
        <w:rPr>
          <w:lang w:eastAsia="ja-JP"/>
        </w:rPr>
        <w:t>tudy</w:t>
      </w:r>
      <w:r w:rsidRPr="00565B2D">
        <w:rPr>
          <w:lang w:eastAsia="ja-JP"/>
        </w:rPr>
        <w:t xml:space="preserve"> showed a </w:t>
      </w:r>
      <w:r>
        <w:rPr>
          <w:lang w:eastAsia="ja-JP"/>
        </w:rPr>
        <w:t>s</w:t>
      </w:r>
      <w:r w:rsidRPr="002E0D3B">
        <w:rPr>
          <w:lang w:eastAsia="ja-JP"/>
        </w:rPr>
        <w:t xml:space="preserve">tatistically significant </w:t>
      </w:r>
      <w:r w:rsidRPr="00565B2D">
        <w:rPr>
          <w:lang w:eastAsia="ja-JP"/>
        </w:rPr>
        <w:t>reduction in the deterioration of PEF%p with idebenone in comparison to placebo</w:t>
      </w:r>
      <w:r>
        <w:rPr>
          <w:lang w:eastAsia="ja-JP"/>
        </w:rPr>
        <w:t xml:space="preserve"> in patients with DMD</w:t>
      </w:r>
      <w:r w:rsidRPr="002E0D3B">
        <w:rPr>
          <w:lang w:eastAsia="ja-JP"/>
        </w:rPr>
        <w:t xml:space="preserve"> who had established r</w:t>
      </w:r>
      <w:r>
        <w:rPr>
          <w:lang w:eastAsia="ja-JP"/>
        </w:rPr>
        <w:t>espiratory function decline at b</w:t>
      </w:r>
      <w:r w:rsidRPr="002E0D3B">
        <w:rPr>
          <w:lang w:eastAsia="ja-JP"/>
        </w:rPr>
        <w:t xml:space="preserve">aseline (PEF%p </w:t>
      </w:r>
      <w:r w:rsidR="00491C1E">
        <w:rPr>
          <w:lang w:eastAsia="ja-JP"/>
        </w:rPr>
        <w:t>≤</w:t>
      </w:r>
      <w:r w:rsidR="0053065A">
        <w:rPr>
          <w:lang w:eastAsia="ja-JP"/>
        </w:rPr>
        <w:t xml:space="preserve"> </w:t>
      </w:r>
      <w:r w:rsidRPr="002E0D3B">
        <w:rPr>
          <w:lang w:eastAsia="ja-JP"/>
        </w:rPr>
        <w:t>80%) and who were not using concomitant glucocorticoids</w:t>
      </w:r>
      <w:r>
        <w:rPr>
          <w:bCs/>
          <w:lang w:eastAsia="ja-JP"/>
        </w:rPr>
        <w:t>, although</w:t>
      </w:r>
      <w:r w:rsidRPr="006B354C">
        <w:rPr>
          <w:bCs/>
          <w:lang w:eastAsia="ja-JP"/>
        </w:rPr>
        <w:t xml:space="preserve"> the confidence interval was wide</w:t>
      </w:r>
      <w:r>
        <w:rPr>
          <w:lang w:eastAsia="ja-JP"/>
        </w:rPr>
        <w:t>.</w:t>
      </w:r>
      <w:r w:rsidR="00DB3203">
        <w:rPr>
          <w:lang w:eastAsia="ja-JP"/>
        </w:rPr>
        <w:t xml:space="preserve"> </w:t>
      </w:r>
      <w:r>
        <w:rPr>
          <w:bCs/>
          <w:lang w:eastAsia="ja-JP"/>
        </w:rPr>
        <w:t xml:space="preserve">However, </w:t>
      </w:r>
      <w:r w:rsidRPr="00565B2D">
        <w:rPr>
          <w:bCs/>
          <w:lang w:eastAsia="ja-JP"/>
        </w:rPr>
        <w:t>the multiplicity and exploratory nature of some of the</w:t>
      </w:r>
      <w:r>
        <w:rPr>
          <w:bCs/>
          <w:lang w:eastAsia="ja-JP"/>
        </w:rPr>
        <w:t xml:space="preserve"> </w:t>
      </w:r>
      <w:r w:rsidRPr="00565B2D">
        <w:rPr>
          <w:bCs/>
          <w:lang w:val="en" w:eastAsia="ja-JP"/>
        </w:rPr>
        <w:t xml:space="preserve">supportive </w:t>
      </w:r>
      <w:r w:rsidRPr="00565B2D">
        <w:rPr>
          <w:bCs/>
          <w:lang w:eastAsia="ja-JP"/>
        </w:rPr>
        <w:t>secondary and tertiary respiratory endpoints in</w:t>
      </w:r>
      <w:r w:rsidR="00FE3B3E">
        <w:rPr>
          <w:bCs/>
          <w:lang w:eastAsia="ja-JP"/>
        </w:rPr>
        <w:t xml:space="preserve"> the</w:t>
      </w:r>
      <w:r w:rsidRPr="00565B2D">
        <w:rPr>
          <w:bCs/>
          <w:lang w:eastAsia="ja-JP"/>
        </w:rPr>
        <w:t xml:space="preserve"> DELOS</w:t>
      </w:r>
      <w:r w:rsidR="00FE3B3E">
        <w:rPr>
          <w:bCs/>
          <w:lang w:eastAsia="ja-JP"/>
        </w:rPr>
        <w:t xml:space="preserve"> study</w:t>
      </w:r>
      <w:r w:rsidRPr="00565B2D">
        <w:rPr>
          <w:bCs/>
          <w:lang w:eastAsia="ja-JP"/>
        </w:rPr>
        <w:t>, and the post-hoc nature of some of the analyses introduce uncertainty in interpreting the</w:t>
      </w:r>
      <w:r>
        <w:rPr>
          <w:bCs/>
          <w:lang w:eastAsia="ja-JP"/>
        </w:rPr>
        <w:t xml:space="preserve">se </w:t>
      </w:r>
      <w:r w:rsidRPr="00565B2D">
        <w:rPr>
          <w:bCs/>
          <w:lang w:eastAsia="ja-JP"/>
        </w:rPr>
        <w:t>results.</w:t>
      </w:r>
      <w:r w:rsidR="00DB3203">
        <w:rPr>
          <w:bCs/>
          <w:lang w:eastAsia="ja-JP"/>
        </w:rPr>
        <w:t xml:space="preserve"> </w:t>
      </w:r>
      <w:r>
        <w:rPr>
          <w:bCs/>
          <w:lang w:eastAsia="ja-JP"/>
        </w:rPr>
        <w:t xml:space="preserve">In addition, the EMA DMD guideline suggests that </w:t>
      </w:r>
      <w:r w:rsidRPr="00565B2D">
        <w:rPr>
          <w:bCs/>
          <w:lang w:eastAsia="ja-JP"/>
        </w:rPr>
        <w:t>further data are needed to establish how respiratory function testing correlates with quality of life, time to death and other life-changing events</w:t>
      </w:r>
      <w:r>
        <w:rPr>
          <w:bCs/>
          <w:lang w:eastAsia="ja-JP"/>
        </w:rPr>
        <w:t>.</w:t>
      </w:r>
      <w:r w:rsidR="00DB3203">
        <w:rPr>
          <w:bCs/>
          <w:lang w:eastAsia="ja-JP"/>
        </w:rPr>
        <w:t xml:space="preserve"> </w:t>
      </w:r>
      <w:r>
        <w:rPr>
          <w:bCs/>
          <w:lang w:eastAsia="ja-JP"/>
        </w:rPr>
        <w:t>An additional concern was the limited</w:t>
      </w:r>
      <w:r w:rsidRPr="00565B2D">
        <w:rPr>
          <w:bCs/>
          <w:lang w:eastAsia="ja-JP"/>
        </w:rPr>
        <w:t xml:space="preserve"> Phase II data</w:t>
      </w:r>
      <w:r>
        <w:rPr>
          <w:bCs/>
          <w:lang w:eastAsia="ja-JP"/>
        </w:rPr>
        <w:t>.</w:t>
      </w:r>
      <w:r w:rsidR="00DB3203">
        <w:rPr>
          <w:bCs/>
          <w:lang w:eastAsia="ja-JP"/>
        </w:rPr>
        <w:t xml:space="preserve"> </w:t>
      </w:r>
      <w:r>
        <w:rPr>
          <w:bCs/>
          <w:lang w:eastAsia="ja-JP"/>
        </w:rPr>
        <w:t xml:space="preserve">Therefore </w:t>
      </w:r>
      <w:r w:rsidR="00FE3B3E">
        <w:rPr>
          <w:bCs/>
          <w:lang w:eastAsia="ja-JP"/>
        </w:rPr>
        <w:t xml:space="preserve">the </w:t>
      </w:r>
      <w:r w:rsidRPr="00565B2D">
        <w:rPr>
          <w:bCs/>
          <w:lang w:eastAsia="ja-JP"/>
        </w:rPr>
        <w:t>DELOS</w:t>
      </w:r>
      <w:r w:rsidR="00FE3B3E">
        <w:rPr>
          <w:bCs/>
          <w:lang w:eastAsia="ja-JP"/>
        </w:rPr>
        <w:t xml:space="preserve"> study</w:t>
      </w:r>
      <w:r w:rsidRPr="00565B2D">
        <w:rPr>
          <w:bCs/>
          <w:lang w:eastAsia="ja-JP"/>
        </w:rPr>
        <w:t xml:space="preserve"> is not considered a sufficiently robust study to meet the requirements for a single pivotal study</w:t>
      </w:r>
      <w:r w:rsidR="00491C1E">
        <w:rPr>
          <w:bCs/>
          <w:lang w:eastAsia="ja-JP"/>
        </w:rPr>
        <w:t>.</w:t>
      </w:r>
      <w:r w:rsidR="00491C1E" w:rsidRPr="00491C1E">
        <w:rPr>
          <w:bCs/>
          <w:vertAlign w:val="superscript"/>
          <w:lang w:eastAsia="ja-JP"/>
        </w:rPr>
        <w:fldChar w:fldCharType="begin"/>
      </w:r>
      <w:r w:rsidR="00491C1E" w:rsidRPr="00491C1E">
        <w:rPr>
          <w:bCs/>
          <w:vertAlign w:val="superscript"/>
          <w:lang w:eastAsia="ja-JP"/>
        </w:rPr>
        <w:instrText xml:space="preserve"> NOTEREF _Ref25760375 \h </w:instrText>
      </w:r>
      <w:r w:rsidR="00491C1E">
        <w:rPr>
          <w:bCs/>
          <w:vertAlign w:val="superscript"/>
          <w:lang w:eastAsia="ja-JP"/>
        </w:rPr>
        <w:instrText xml:space="preserve"> \* MERGEFORMAT </w:instrText>
      </w:r>
      <w:r w:rsidR="00491C1E" w:rsidRPr="00491C1E">
        <w:rPr>
          <w:bCs/>
          <w:vertAlign w:val="superscript"/>
          <w:lang w:eastAsia="ja-JP"/>
        </w:rPr>
      </w:r>
      <w:r w:rsidR="00491C1E" w:rsidRPr="00491C1E">
        <w:rPr>
          <w:bCs/>
          <w:vertAlign w:val="superscript"/>
          <w:lang w:eastAsia="ja-JP"/>
        </w:rPr>
        <w:fldChar w:fldCharType="separate"/>
      </w:r>
      <w:r w:rsidR="00491C1E" w:rsidRPr="00491C1E">
        <w:rPr>
          <w:bCs/>
          <w:vertAlign w:val="superscript"/>
          <w:lang w:eastAsia="ja-JP"/>
        </w:rPr>
        <w:t>29</w:t>
      </w:r>
      <w:r w:rsidR="00491C1E" w:rsidRPr="00491C1E">
        <w:rPr>
          <w:bCs/>
          <w:vertAlign w:val="superscript"/>
          <w:lang w:eastAsia="ja-JP"/>
        </w:rPr>
        <w:fldChar w:fldCharType="end"/>
      </w:r>
    </w:p>
    <w:p w14:paraId="2AC553F8" w14:textId="77777777" w:rsidR="00277329" w:rsidRDefault="00277329" w:rsidP="00277329">
      <w:pPr>
        <w:pStyle w:val="Heading4"/>
      </w:pPr>
      <w:bookmarkStart w:id="245" w:name="_Toc510688973"/>
      <w:r>
        <w:t>Second round recommendation regarding authorisation</w:t>
      </w:r>
      <w:bookmarkEnd w:id="245"/>
    </w:p>
    <w:p w14:paraId="6F331726" w14:textId="299AFE88" w:rsidR="00277329" w:rsidRDefault="00277329" w:rsidP="00277329">
      <w:pPr>
        <w:rPr>
          <w:lang w:eastAsia="ja-JP"/>
        </w:rPr>
      </w:pPr>
      <w:r w:rsidRPr="00503F4D">
        <w:rPr>
          <w:lang w:eastAsia="ja-JP"/>
        </w:rPr>
        <w:t xml:space="preserve">The </w:t>
      </w:r>
      <w:r w:rsidR="00F613BA">
        <w:rPr>
          <w:lang w:eastAsia="ja-JP"/>
        </w:rPr>
        <w:t>e</w:t>
      </w:r>
      <w:r w:rsidRPr="00503F4D">
        <w:rPr>
          <w:lang w:eastAsia="ja-JP"/>
        </w:rPr>
        <w:t xml:space="preserve">valuator is not able to recommend approval of </w:t>
      </w:r>
      <w:r>
        <w:rPr>
          <w:lang w:eastAsia="ja-JP"/>
        </w:rPr>
        <w:t>idebenone</w:t>
      </w:r>
      <w:r w:rsidR="00491C1E">
        <w:rPr>
          <w:lang w:eastAsia="ja-JP"/>
        </w:rPr>
        <w:t xml:space="preserve"> for:</w:t>
      </w:r>
    </w:p>
    <w:p w14:paraId="160C06A4" w14:textId="77777777" w:rsidR="00277329" w:rsidRDefault="00277329" w:rsidP="00277329">
      <w:pPr>
        <w:ind w:left="720"/>
        <w:rPr>
          <w:i/>
          <w:lang w:eastAsia="ja-JP"/>
        </w:rPr>
      </w:pPr>
      <w:r w:rsidRPr="00203A4B">
        <w:rPr>
          <w:i/>
          <w:lang w:eastAsia="ja-JP"/>
        </w:rPr>
        <w:t xml:space="preserve">the treatment of patients with Duchenne Muscular Dystrophy (DMD) in whom respiratory function has started to decline </w:t>
      </w:r>
      <w:r w:rsidRPr="00592FAD">
        <w:rPr>
          <w:bCs/>
          <w:i/>
          <w:lang w:eastAsia="ja-JP"/>
        </w:rPr>
        <w:t>(PEF%p</w:t>
      </w:r>
      <w:r w:rsidR="00491C1E">
        <w:rPr>
          <w:bCs/>
          <w:i/>
          <w:lang w:eastAsia="ja-JP"/>
        </w:rPr>
        <w:t xml:space="preserve"> </w:t>
      </w:r>
      <w:r w:rsidR="003173BB">
        <w:rPr>
          <w:bCs/>
          <w:i/>
          <w:lang w:eastAsia="ja-JP"/>
        </w:rPr>
        <w:t xml:space="preserve">&lt; </w:t>
      </w:r>
      <w:r w:rsidRPr="00592FAD">
        <w:rPr>
          <w:bCs/>
          <w:i/>
          <w:lang w:eastAsia="ja-JP"/>
        </w:rPr>
        <w:t xml:space="preserve">80%) </w:t>
      </w:r>
      <w:r w:rsidRPr="00592FAD">
        <w:rPr>
          <w:i/>
          <w:lang w:eastAsia="ja-JP"/>
        </w:rPr>
        <w:t>and</w:t>
      </w:r>
      <w:r w:rsidRPr="00203A4B">
        <w:rPr>
          <w:i/>
          <w:lang w:eastAsia="ja-JP"/>
        </w:rPr>
        <w:t xml:space="preserve"> who are currently not taking concomitant glucocorticoids.</w:t>
      </w:r>
      <w:r w:rsidR="00DB3203">
        <w:rPr>
          <w:i/>
          <w:lang w:eastAsia="ja-JP"/>
        </w:rPr>
        <w:t xml:space="preserve"> </w:t>
      </w:r>
      <w:r w:rsidRPr="00203A4B">
        <w:rPr>
          <w:i/>
          <w:lang w:eastAsia="ja-JP"/>
        </w:rPr>
        <w:t xml:space="preserve">Raxone can be used in patients previously treated with glucocorticoids or in patients in whom glucocorticoid treatment is not desired, not </w:t>
      </w:r>
      <w:r>
        <w:rPr>
          <w:i/>
          <w:lang w:eastAsia="ja-JP"/>
        </w:rPr>
        <w:t>tolerated or is contraindicated</w:t>
      </w:r>
    </w:p>
    <w:p w14:paraId="6667828A" w14:textId="77777777" w:rsidR="00277329" w:rsidRPr="00503F4D" w:rsidRDefault="00277329" w:rsidP="00277329">
      <w:pPr>
        <w:rPr>
          <w:lang w:eastAsia="ja-JP"/>
        </w:rPr>
      </w:pPr>
      <w:r>
        <w:rPr>
          <w:lang w:eastAsia="ja-JP"/>
        </w:rPr>
        <w:t>for the following reasons:</w:t>
      </w:r>
    </w:p>
    <w:p w14:paraId="2C07D47B" w14:textId="61174431" w:rsidR="00277329" w:rsidRDefault="00277329" w:rsidP="00277329">
      <w:pPr>
        <w:pStyle w:val="Numberbullet0"/>
        <w:numPr>
          <w:ilvl w:val="0"/>
          <w:numId w:val="29"/>
        </w:numPr>
      </w:pPr>
      <w:r w:rsidRPr="0061530A">
        <w:t>While</w:t>
      </w:r>
      <w:r>
        <w:t xml:space="preserve"> the DELOS </w:t>
      </w:r>
      <w:r w:rsidR="00F613BA">
        <w:t xml:space="preserve">study </w:t>
      </w:r>
      <w:r>
        <w:t xml:space="preserve">shows </w:t>
      </w:r>
      <w:r w:rsidRPr="0061530A">
        <w:t xml:space="preserve">a statistically significant reduction in the deterioration of PEF%p with idebenone in comparison to placebo, </w:t>
      </w:r>
      <w:r w:rsidRPr="00277329">
        <w:rPr>
          <w:bCs/>
        </w:rPr>
        <w:t>the confidence interval is wide, and the p-value is not considerably stronger than p</w:t>
      </w:r>
      <w:r w:rsidR="00491C1E">
        <w:rPr>
          <w:bCs/>
        </w:rPr>
        <w:t xml:space="preserve"> </w:t>
      </w:r>
      <w:r w:rsidR="003173BB">
        <w:rPr>
          <w:bCs/>
        </w:rPr>
        <w:t xml:space="preserve">&lt; </w:t>
      </w:r>
      <w:r w:rsidRPr="00277329">
        <w:rPr>
          <w:bCs/>
        </w:rPr>
        <w:t>0.05.</w:t>
      </w:r>
    </w:p>
    <w:p w14:paraId="436F3F2F" w14:textId="77777777" w:rsidR="00277329" w:rsidRPr="0061530A" w:rsidRDefault="00277329" w:rsidP="00277329">
      <w:pPr>
        <w:pStyle w:val="Numberbullet0"/>
        <w:numPr>
          <w:ilvl w:val="0"/>
          <w:numId w:val="29"/>
        </w:numPr>
      </w:pPr>
      <w:r w:rsidRPr="0061530A">
        <w:t xml:space="preserve">The supportive respiratory data </w:t>
      </w:r>
      <w:r>
        <w:t>are</w:t>
      </w:r>
      <w:r w:rsidRPr="0061530A">
        <w:t xml:space="preserve"> difficult to interp</w:t>
      </w:r>
      <w:r>
        <w:t>ret,</w:t>
      </w:r>
      <w:r w:rsidRPr="0061530A">
        <w:t xml:space="preserve"> and </w:t>
      </w:r>
      <w:r w:rsidRPr="00277329">
        <w:rPr>
          <w:bCs/>
        </w:rPr>
        <w:t>data to establish how respiratory function testing correlates with quality of life, time to death and other life-changing events are lacking.</w:t>
      </w:r>
    </w:p>
    <w:p w14:paraId="1DD7D960" w14:textId="77777777" w:rsidR="00277329" w:rsidRPr="002F21B6" w:rsidRDefault="00277329" w:rsidP="00277329">
      <w:pPr>
        <w:pStyle w:val="Numberbullet0"/>
        <w:numPr>
          <w:ilvl w:val="0"/>
          <w:numId w:val="29"/>
        </w:numPr>
      </w:pPr>
      <w:r w:rsidRPr="00277329">
        <w:rPr>
          <w:bCs/>
        </w:rPr>
        <w:t>There are limited Phase II data.</w:t>
      </w:r>
    </w:p>
    <w:p w14:paraId="7CBAEF8B" w14:textId="195B66A9" w:rsidR="00277329" w:rsidRPr="00605AD4" w:rsidRDefault="00491C1E" w:rsidP="00277329">
      <w:pPr>
        <w:rPr>
          <w:lang w:eastAsia="ja-JP"/>
        </w:rPr>
      </w:pPr>
      <w:r w:rsidRPr="002F21B6">
        <w:rPr>
          <w:lang w:eastAsia="ja-JP"/>
        </w:rPr>
        <w:t>Therefore,</w:t>
      </w:r>
      <w:r w:rsidR="00277329" w:rsidRPr="002F21B6">
        <w:rPr>
          <w:lang w:eastAsia="ja-JP"/>
        </w:rPr>
        <w:t xml:space="preserve"> t</w:t>
      </w:r>
      <w:r w:rsidR="00277329" w:rsidRPr="0061530A">
        <w:rPr>
          <w:lang w:eastAsia="ja-JP"/>
        </w:rPr>
        <w:t xml:space="preserve">he DELOS </w:t>
      </w:r>
      <w:r w:rsidR="00F613BA">
        <w:rPr>
          <w:lang w:eastAsia="ja-JP"/>
        </w:rPr>
        <w:t>st</w:t>
      </w:r>
      <w:r w:rsidR="003173BB">
        <w:rPr>
          <w:lang w:eastAsia="ja-JP"/>
        </w:rPr>
        <w:t>udy</w:t>
      </w:r>
      <w:r w:rsidR="00277329" w:rsidRPr="0061530A">
        <w:rPr>
          <w:lang w:eastAsia="ja-JP"/>
        </w:rPr>
        <w:t xml:space="preserve"> </w:t>
      </w:r>
      <w:r w:rsidR="00277329" w:rsidRPr="002F21B6">
        <w:rPr>
          <w:lang w:eastAsia="ja-JP"/>
        </w:rPr>
        <w:t>is not considered a sufficiently robust study.</w:t>
      </w:r>
      <w:r w:rsidR="00DB3203">
        <w:rPr>
          <w:lang w:eastAsia="ja-JP"/>
        </w:rPr>
        <w:t xml:space="preserve"> </w:t>
      </w:r>
      <w:r w:rsidR="00277329" w:rsidRPr="002F21B6">
        <w:rPr>
          <w:lang w:eastAsia="ja-JP"/>
        </w:rPr>
        <w:t xml:space="preserve">This is consistent with EMA document </w:t>
      </w:r>
      <w:r w:rsidR="00DB3203">
        <w:rPr>
          <w:lang w:eastAsia="ja-JP"/>
        </w:rPr>
        <w:t>(</w:t>
      </w:r>
      <w:r w:rsidR="00277329" w:rsidRPr="002F21B6">
        <w:rPr>
          <w:lang w:val="en" w:eastAsia="ja-JP"/>
        </w:rPr>
        <w:t>Points to consider on application with 1.</w:t>
      </w:r>
      <w:r w:rsidR="00676022">
        <w:rPr>
          <w:lang w:val="en" w:eastAsia="ja-JP"/>
        </w:rPr>
        <w:t xml:space="preserve"> </w:t>
      </w:r>
      <w:r w:rsidR="00277329" w:rsidRPr="002F21B6">
        <w:rPr>
          <w:lang w:val="en" w:eastAsia="ja-JP"/>
        </w:rPr>
        <w:t>meta-analysis 2.</w:t>
      </w:r>
      <w:r w:rsidR="00F613BA">
        <w:rPr>
          <w:lang w:val="en" w:eastAsia="ja-JP"/>
        </w:rPr>
        <w:t> </w:t>
      </w:r>
      <w:r w:rsidR="00277329" w:rsidRPr="002F21B6">
        <w:rPr>
          <w:lang w:val="en" w:eastAsia="ja-JP"/>
        </w:rPr>
        <w:t>one pivotal study (CHMP/EWP/2330/99)</w:t>
      </w:r>
      <w:r w:rsidR="00DB3203">
        <w:rPr>
          <w:lang w:val="en" w:eastAsia="ja-JP"/>
        </w:rPr>
        <w:t>)</w:t>
      </w:r>
      <w:r w:rsidR="00277329" w:rsidRPr="002F21B6">
        <w:rPr>
          <w:lang w:val="en" w:eastAsia="ja-JP"/>
        </w:rPr>
        <w:t>.</w:t>
      </w:r>
    </w:p>
    <w:p w14:paraId="2A84A620" w14:textId="77777777" w:rsidR="008E7846" w:rsidRPr="00E41208" w:rsidRDefault="008E7846" w:rsidP="00546154">
      <w:pPr>
        <w:pStyle w:val="Heading2"/>
      </w:pPr>
      <w:bookmarkStart w:id="246" w:name="_Toc32828542"/>
      <w:r w:rsidRPr="00E41208">
        <w:lastRenderedPageBreak/>
        <w:t>V</w:t>
      </w:r>
      <w:r w:rsidR="00500337">
        <w:t>I</w:t>
      </w:r>
      <w:r w:rsidRPr="00E41208">
        <w:t xml:space="preserve">. Pharmacovigilance </w:t>
      </w:r>
      <w:r>
        <w:t>f</w:t>
      </w:r>
      <w:r w:rsidRPr="00E41208">
        <w:t>indings</w:t>
      </w:r>
      <w:bookmarkEnd w:id="134"/>
      <w:bookmarkEnd w:id="135"/>
      <w:bookmarkEnd w:id="246"/>
    </w:p>
    <w:p w14:paraId="3DE5F291" w14:textId="77777777" w:rsidR="008E7846" w:rsidRDefault="00386150" w:rsidP="008E7846">
      <w:pPr>
        <w:pStyle w:val="Heading3"/>
        <w:rPr>
          <w:lang w:eastAsia="en-AU"/>
        </w:rPr>
      </w:pPr>
      <w:bookmarkStart w:id="247" w:name="_Toc247691526"/>
      <w:bookmarkStart w:id="248" w:name="_Toc314842509"/>
      <w:bookmarkStart w:id="249" w:name="_Toc32828543"/>
      <w:r>
        <w:rPr>
          <w:lang w:eastAsia="en-AU"/>
        </w:rPr>
        <w:t>Risk m</w:t>
      </w:r>
      <w:r w:rsidR="008E7846">
        <w:rPr>
          <w:lang w:eastAsia="en-AU"/>
        </w:rPr>
        <w:t xml:space="preserve">anagement </w:t>
      </w:r>
      <w:r>
        <w:rPr>
          <w:lang w:eastAsia="en-AU"/>
        </w:rPr>
        <w:t>p</w:t>
      </w:r>
      <w:r w:rsidR="008E7846">
        <w:rPr>
          <w:lang w:eastAsia="en-AU"/>
        </w:rPr>
        <w:t>lan</w:t>
      </w:r>
      <w:bookmarkEnd w:id="247"/>
      <w:bookmarkEnd w:id="248"/>
      <w:bookmarkEnd w:id="249"/>
    </w:p>
    <w:p w14:paraId="39976F74" w14:textId="77777777" w:rsidR="00456765" w:rsidRDefault="00456765" w:rsidP="00456765">
      <w:pPr>
        <w:pStyle w:val="Heading4"/>
        <w:rPr>
          <w:lang w:eastAsia="en-AU"/>
        </w:rPr>
      </w:pPr>
      <w:bookmarkStart w:id="250" w:name="_Toc247691527"/>
      <w:bookmarkStart w:id="251" w:name="_Toc314842510"/>
      <w:r>
        <w:rPr>
          <w:lang w:eastAsia="en-AU"/>
        </w:rPr>
        <w:t>Summary of RMP evaluation</w:t>
      </w:r>
      <w:r>
        <w:rPr>
          <w:rStyle w:val="FootnoteReference"/>
          <w:lang w:eastAsia="en-AU"/>
        </w:rPr>
        <w:footnoteReference w:id="44"/>
      </w:r>
    </w:p>
    <w:p w14:paraId="019B99A0" w14:textId="4BAADA83" w:rsidR="00685A72" w:rsidRDefault="00491C1E" w:rsidP="00DB3203">
      <w:pPr>
        <w:pStyle w:val="ListBullet"/>
      </w:pPr>
      <w:r>
        <w:t xml:space="preserve">The sponsor </w:t>
      </w:r>
      <w:r w:rsidR="00DB3203" w:rsidRPr="00825A9D">
        <w:t xml:space="preserve">has submitted EU-RMP version 2.1 (date 21 November 2016; </w:t>
      </w:r>
      <w:r w:rsidR="002E3158">
        <w:t xml:space="preserve">data lock point </w:t>
      </w:r>
      <w:r w:rsidR="00DB3203" w:rsidRPr="0032499E">
        <w:t xml:space="preserve">November 2015) and </w:t>
      </w:r>
      <w:r w:rsidR="002E3158">
        <w:t>Australian specific annex (</w:t>
      </w:r>
      <w:r w:rsidR="00DB3203" w:rsidRPr="0032499E">
        <w:t>ASA</w:t>
      </w:r>
      <w:r w:rsidR="002E3158">
        <w:t>)</w:t>
      </w:r>
      <w:r w:rsidR="00DB3203" w:rsidRPr="0032499E">
        <w:t xml:space="preserve"> version 0.0 (date</w:t>
      </w:r>
      <w:r w:rsidR="002E3158">
        <w:t> </w:t>
      </w:r>
      <w:r w:rsidR="00DB3203" w:rsidRPr="0032499E">
        <w:t>11</w:t>
      </w:r>
      <w:r w:rsidR="002E3158">
        <w:t> </w:t>
      </w:r>
      <w:r w:rsidR="00DB3203" w:rsidRPr="0032499E">
        <w:t>April 2017) in support of this application</w:t>
      </w:r>
      <w:r w:rsidR="00685A72">
        <w:t>.</w:t>
      </w:r>
    </w:p>
    <w:p w14:paraId="4961327E" w14:textId="77777777" w:rsidR="00DB3203" w:rsidRPr="0032499E" w:rsidRDefault="00DB3203" w:rsidP="00DB3203">
      <w:pPr>
        <w:pStyle w:val="ListBullet"/>
      </w:pPr>
      <w:r w:rsidRPr="0032499E">
        <w:t xml:space="preserve">With the responses </w:t>
      </w:r>
      <w:r w:rsidR="00491C1E">
        <w:t xml:space="preserve">to questions </w:t>
      </w:r>
      <w:r w:rsidRPr="0032499E">
        <w:t xml:space="preserve">the </w:t>
      </w:r>
      <w:r w:rsidR="0032280D">
        <w:t>sponsor</w:t>
      </w:r>
      <w:r w:rsidRPr="0032499E">
        <w:t xml:space="preserve"> provided an updated ASA version 0.1 (date 16 January 2018).</w:t>
      </w:r>
    </w:p>
    <w:p w14:paraId="30DADB6D" w14:textId="77777777" w:rsidR="00DB3203" w:rsidRDefault="00DB3203" w:rsidP="00DB3203">
      <w:pPr>
        <w:pStyle w:val="ListBullet"/>
      </w:pPr>
      <w:r w:rsidRPr="00846DF0">
        <w:t>The proposed Summary of Safety Concerns and their associated risk monitoring and mitigation strategies</w:t>
      </w:r>
      <w:r>
        <w:t xml:space="preserve"> for the indications of DMD and </w:t>
      </w:r>
      <w:r w:rsidR="00491C1E">
        <w:t>LHON</w:t>
      </w:r>
      <w:r>
        <w:t xml:space="preserve"> (LHON; approved EU indication but not being sought in Australia) </w:t>
      </w:r>
      <w:r w:rsidRPr="00846DF0">
        <w:t>are summarised below:</w:t>
      </w:r>
    </w:p>
    <w:p w14:paraId="5720A6C2" w14:textId="3A025AAC" w:rsidR="00DB3203" w:rsidRDefault="00CC66F4" w:rsidP="00DB3203">
      <w:pPr>
        <w:pStyle w:val="TableTitle"/>
      </w:pPr>
      <w:r>
        <w:t>Table 19</w:t>
      </w:r>
      <w:r w:rsidR="0030092C">
        <w:t>:</w:t>
      </w:r>
      <w:r w:rsidR="00DB3203">
        <w:t xml:space="preserve"> Summary of safety concerns, pharmacovigilance and risk minimisation</w:t>
      </w:r>
    </w:p>
    <w:tbl>
      <w:tblPr>
        <w:tblStyle w:val="TableTGAblue"/>
        <w:tblW w:w="8674" w:type="dxa"/>
        <w:tblLayout w:type="fixed"/>
        <w:tblLook w:val="04A0" w:firstRow="1" w:lastRow="0" w:firstColumn="1" w:lastColumn="0" w:noHBand="0" w:noVBand="1"/>
      </w:tblPr>
      <w:tblGrid>
        <w:gridCol w:w="1526"/>
        <w:gridCol w:w="3803"/>
        <w:gridCol w:w="791"/>
        <w:gridCol w:w="950"/>
        <w:gridCol w:w="765"/>
        <w:gridCol w:w="839"/>
      </w:tblGrid>
      <w:tr w:rsidR="00DB3203" w:rsidRPr="004F1C07" w14:paraId="4624FF88" w14:textId="77777777" w:rsidTr="00491C1E">
        <w:trPr>
          <w:cnfStyle w:val="100000000000" w:firstRow="1" w:lastRow="0" w:firstColumn="0" w:lastColumn="0" w:oddVBand="0" w:evenVBand="0" w:oddHBand="0" w:evenHBand="0" w:firstRowFirstColumn="0" w:firstRowLastColumn="0" w:lastRowFirstColumn="0" w:lastRowLastColumn="0"/>
          <w:trHeight w:val="122"/>
        </w:trPr>
        <w:tc>
          <w:tcPr>
            <w:tcW w:w="5329" w:type="dxa"/>
            <w:gridSpan w:val="2"/>
            <w:vMerge w:val="restart"/>
          </w:tcPr>
          <w:p w14:paraId="1AAA493B" w14:textId="77777777" w:rsidR="00DB3203" w:rsidRPr="004F1C07" w:rsidRDefault="00DB3203" w:rsidP="00491C1E">
            <w:pPr>
              <w:pStyle w:val="Tabletext"/>
              <w:ind w:left="0" w:right="0"/>
              <w:rPr>
                <w:b w:val="0"/>
              </w:rPr>
            </w:pPr>
            <w:r w:rsidRPr="004F1C07">
              <w:rPr>
                <w:b w:val="0"/>
              </w:rPr>
              <w:t>Summary of safety concerns</w:t>
            </w:r>
          </w:p>
        </w:tc>
        <w:tc>
          <w:tcPr>
            <w:tcW w:w="1741" w:type="dxa"/>
            <w:gridSpan w:val="2"/>
          </w:tcPr>
          <w:p w14:paraId="11C80D5D" w14:textId="77777777" w:rsidR="00DB3203" w:rsidRPr="0011726C" w:rsidRDefault="00DB3203" w:rsidP="00491C1E">
            <w:pPr>
              <w:pStyle w:val="Tabletext"/>
              <w:ind w:left="0" w:right="0"/>
              <w:rPr>
                <w:b w:val="0"/>
                <w:sz w:val="18"/>
              </w:rPr>
            </w:pPr>
            <w:r w:rsidRPr="0011726C">
              <w:rPr>
                <w:b w:val="0"/>
                <w:sz w:val="18"/>
              </w:rPr>
              <w:t>Pharmacovigilance</w:t>
            </w:r>
          </w:p>
        </w:tc>
        <w:tc>
          <w:tcPr>
            <w:tcW w:w="1604" w:type="dxa"/>
            <w:gridSpan w:val="2"/>
          </w:tcPr>
          <w:p w14:paraId="42B573B7" w14:textId="77777777" w:rsidR="00DB3203" w:rsidRPr="0011726C" w:rsidRDefault="00DB3203" w:rsidP="00491C1E">
            <w:pPr>
              <w:pStyle w:val="Tabletext"/>
              <w:ind w:left="0" w:right="0"/>
              <w:rPr>
                <w:b w:val="0"/>
                <w:sz w:val="18"/>
              </w:rPr>
            </w:pPr>
            <w:r w:rsidRPr="0011726C">
              <w:rPr>
                <w:b w:val="0"/>
                <w:sz w:val="18"/>
              </w:rPr>
              <w:t>Risk Minimisation</w:t>
            </w:r>
          </w:p>
        </w:tc>
      </w:tr>
      <w:tr w:rsidR="00DB3203" w:rsidRPr="004F1C07" w14:paraId="6CF3D8D5" w14:textId="77777777" w:rsidTr="00491C1E">
        <w:trPr>
          <w:trHeight w:val="139"/>
        </w:trPr>
        <w:tc>
          <w:tcPr>
            <w:tcW w:w="5329" w:type="dxa"/>
            <w:gridSpan w:val="2"/>
            <w:vMerge/>
          </w:tcPr>
          <w:p w14:paraId="146BEC43" w14:textId="77777777" w:rsidR="00DB3203" w:rsidRPr="004F1C07" w:rsidRDefault="00DB3203" w:rsidP="00491C1E">
            <w:pPr>
              <w:pStyle w:val="Tabletext"/>
              <w:ind w:left="0" w:right="0"/>
              <w:rPr>
                <w:b/>
              </w:rPr>
            </w:pPr>
          </w:p>
        </w:tc>
        <w:tc>
          <w:tcPr>
            <w:tcW w:w="791" w:type="dxa"/>
          </w:tcPr>
          <w:p w14:paraId="0B537061" w14:textId="77777777" w:rsidR="00DB3203" w:rsidRPr="0011726C" w:rsidRDefault="00DB3203" w:rsidP="00491C1E">
            <w:pPr>
              <w:pStyle w:val="Tabletext"/>
              <w:ind w:left="0" w:right="0"/>
              <w:rPr>
                <w:sz w:val="18"/>
              </w:rPr>
            </w:pPr>
            <w:r w:rsidRPr="0011726C">
              <w:rPr>
                <w:sz w:val="18"/>
              </w:rPr>
              <w:t>Routine</w:t>
            </w:r>
          </w:p>
        </w:tc>
        <w:tc>
          <w:tcPr>
            <w:tcW w:w="950" w:type="dxa"/>
          </w:tcPr>
          <w:p w14:paraId="1B0AE8E5" w14:textId="77777777" w:rsidR="00DB3203" w:rsidRPr="0011726C" w:rsidRDefault="00DB3203" w:rsidP="00491C1E">
            <w:pPr>
              <w:pStyle w:val="Tabletext"/>
              <w:ind w:left="0" w:right="0"/>
              <w:rPr>
                <w:sz w:val="18"/>
              </w:rPr>
            </w:pPr>
            <w:r w:rsidRPr="0011726C">
              <w:rPr>
                <w:sz w:val="18"/>
              </w:rPr>
              <w:t>Additional</w:t>
            </w:r>
          </w:p>
        </w:tc>
        <w:tc>
          <w:tcPr>
            <w:tcW w:w="765" w:type="dxa"/>
          </w:tcPr>
          <w:p w14:paraId="0C9560C0" w14:textId="77777777" w:rsidR="00DB3203" w:rsidRPr="0011726C" w:rsidRDefault="00DB3203" w:rsidP="00491C1E">
            <w:pPr>
              <w:pStyle w:val="Tabletext"/>
              <w:ind w:left="0" w:right="0"/>
              <w:rPr>
                <w:sz w:val="18"/>
              </w:rPr>
            </w:pPr>
            <w:r w:rsidRPr="0011726C">
              <w:rPr>
                <w:sz w:val="18"/>
              </w:rPr>
              <w:t>Routine</w:t>
            </w:r>
          </w:p>
        </w:tc>
        <w:tc>
          <w:tcPr>
            <w:tcW w:w="839" w:type="dxa"/>
          </w:tcPr>
          <w:p w14:paraId="59AD6B22" w14:textId="77777777" w:rsidR="00DB3203" w:rsidRPr="0011726C" w:rsidRDefault="00DB3203" w:rsidP="00491C1E">
            <w:pPr>
              <w:pStyle w:val="Tabletext"/>
              <w:ind w:left="0" w:right="0"/>
              <w:rPr>
                <w:sz w:val="18"/>
              </w:rPr>
            </w:pPr>
            <w:r w:rsidRPr="0011726C">
              <w:rPr>
                <w:sz w:val="18"/>
              </w:rPr>
              <w:t>Additional</w:t>
            </w:r>
          </w:p>
        </w:tc>
      </w:tr>
      <w:tr w:rsidR="00DB3203" w:rsidRPr="004F1C07" w14:paraId="4F83C579" w14:textId="77777777" w:rsidTr="00491C1E">
        <w:trPr>
          <w:trHeight w:val="127"/>
        </w:trPr>
        <w:tc>
          <w:tcPr>
            <w:tcW w:w="1526" w:type="dxa"/>
          </w:tcPr>
          <w:p w14:paraId="61D24948" w14:textId="77777777" w:rsidR="00DB3203" w:rsidRPr="00680101" w:rsidRDefault="00DB3203" w:rsidP="00491C1E">
            <w:pPr>
              <w:pStyle w:val="Tabletext"/>
              <w:ind w:left="0" w:right="0"/>
              <w:rPr>
                <w:b/>
              </w:rPr>
            </w:pPr>
            <w:r w:rsidRPr="00680101">
              <w:rPr>
                <w:b/>
              </w:rPr>
              <w:t>Important identified risks</w:t>
            </w:r>
          </w:p>
        </w:tc>
        <w:tc>
          <w:tcPr>
            <w:tcW w:w="3803" w:type="dxa"/>
          </w:tcPr>
          <w:p w14:paraId="5B522A31" w14:textId="77777777" w:rsidR="00DB3203" w:rsidRPr="004F1C07" w:rsidRDefault="00DB3203" w:rsidP="00491C1E">
            <w:pPr>
              <w:pStyle w:val="Tabletext"/>
              <w:ind w:left="0" w:right="0"/>
            </w:pPr>
            <w:r>
              <w:t>None</w:t>
            </w:r>
          </w:p>
        </w:tc>
        <w:tc>
          <w:tcPr>
            <w:tcW w:w="791" w:type="dxa"/>
          </w:tcPr>
          <w:p w14:paraId="7A298E3C" w14:textId="77777777" w:rsidR="00DB3203" w:rsidRPr="003545D2" w:rsidRDefault="00DB3203" w:rsidP="00491C1E">
            <w:pPr>
              <w:pStyle w:val="Tabletext"/>
              <w:ind w:left="0" w:right="0"/>
              <w:jc w:val="center"/>
              <w:rPr>
                <w:color w:val="00B050"/>
              </w:rPr>
            </w:pPr>
          </w:p>
        </w:tc>
        <w:tc>
          <w:tcPr>
            <w:tcW w:w="950" w:type="dxa"/>
          </w:tcPr>
          <w:p w14:paraId="27429E57" w14:textId="77777777" w:rsidR="00DB3203" w:rsidRPr="003545D2" w:rsidRDefault="00DB3203" w:rsidP="00491C1E">
            <w:pPr>
              <w:pStyle w:val="Tabletext"/>
              <w:ind w:left="0" w:right="0"/>
              <w:jc w:val="center"/>
              <w:rPr>
                <w:color w:val="00B050"/>
              </w:rPr>
            </w:pPr>
          </w:p>
        </w:tc>
        <w:tc>
          <w:tcPr>
            <w:tcW w:w="765" w:type="dxa"/>
          </w:tcPr>
          <w:p w14:paraId="41C143E6" w14:textId="77777777" w:rsidR="00DB3203" w:rsidRPr="003545D2" w:rsidRDefault="00DB3203" w:rsidP="00491C1E">
            <w:pPr>
              <w:pStyle w:val="Tabletext"/>
              <w:ind w:left="0" w:right="0"/>
              <w:jc w:val="center"/>
              <w:rPr>
                <w:color w:val="00B050"/>
              </w:rPr>
            </w:pPr>
          </w:p>
        </w:tc>
        <w:tc>
          <w:tcPr>
            <w:tcW w:w="839" w:type="dxa"/>
          </w:tcPr>
          <w:p w14:paraId="2E56B5A8" w14:textId="77777777" w:rsidR="00DB3203" w:rsidRPr="003545D2" w:rsidRDefault="00DB3203" w:rsidP="00491C1E">
            <w:pPr>
              <w:pStyle w:val="Tabletext"/>
              <w:ind w:left="0" w:right="0"/>
              <w:jc w:val="center"/>
              <w:rPr>
                <w:color w:val="00B050"/>
              </w:rPr>
            </w:pPr>
          </w:p>
        </w:tc>
      </w:tr>
      <w:tr w:rsidR="00DB3203" w:rsidRPr="004F1C07" w14:paraId="4EF7C629" w14:textId="77777777" w:rsidTr="00491C1E">
        <w:trPr>
          <w:trHeight w:val="317"/>
        </w:trPr>
        <w:tc>
          <w:tcPr>
            <w:tcW w:w="1526" w:type="dxa"/>
            <w:vMerge w:val="restart"/>
          </w:tcPr>
          <w:p w14:paraId="0D3B8BD3" w14:textId="77777777" w:rsidR="00DB3203" w:rsidRPr="00680101" w:rsidRDefault="00DB3203" w:rsidP="00491C1E">
            <w:pPr>
              <w:pStyle w:val="Tabletext"/>
              <w:ind w:left="0" w:right="0"/>
              <w:rPr>
                <w:b/>
              </w:rPr>
            </w:pPr>
            <w:r w:rsidRPr="00680101">
              <w:rPr>
                <w:b/>
              </w:rPr>
              <w:t>Important potential risks</w:t>
            </w:r>
          </w:p>
        </w:tc>
        <w:tc>
          <w:tcPr>
            <w:tcW w:w="3803" w:type="dxa"/>
          </w:tcPr>
          <w:p w14:paraId="406FE176" w14:textId="77777777" w:rsidR="00DB3203" w:rsidRPr="00076E4B" w:rsidRDefault="00DB3203" w:rsidP="00491C1E">
            <w:pPr>
              <w:ind w:left="0" w:right="0"/>
              <w:rPr>
                <w:sz w:val="20"/>
                <w:szCs w:val="20"/>
              </w:rPr>
            </w:pPr>
            <w:r w:rsidRPr="00294690">
              <w:rPr>
                <w:sz w:val="20"/>
                <w:szCs w:val="20"/>
              </w:rPr>
              <w:t>Abnormal liver function test and hepatitis</w:t>
            </w:r>
          </w:p>
        </w:tc>
        <w:tc>
          <w:tcPr>
            <w:tcW w:w="791" w:type="dxa"/>
          </w:tcPr>
          <w:p w14:paraId="1F295478" w14:textId="77777777" w:rsidR="00DB3203" w:rsidRPr="002238A2" w:rsidRDefault="00DB3203" w:rsidP="00491C1E">
            <w:pPr>
              <w:pStyle w:val="Tabletext"/>
              <w:ind w:left="0" w:right="0"/>
              <w:jc w:val="center"/>
            </w:pPr>
            <w:r w:rsidRPr="002238A2">
              <w:sym w:font="Wingdings" w:char="F0FC"/>
            </w:r>
          </w:p>
        </w:tc>
        <w:tc>
          <w:tcPr>
            <w:tcW w:w="950" w:type="dxa"/>
          </w:tcPr>
          <w:p w14:paraId="0F9A48F4" w14:textId="77777777" w:rsidR="00DB3203" w:rsidRPr="00684D58" w:rsidRDefault="00DB3203" w:rsidP="00491C1E">
            <w:pPr>
              <w:pStyle w:val="Tabletext"/>
              <w:ind w:left="0" w:right="0"/>
              <w:jc w:val="center"/>
            </w:pPr>
            <w:r w:rsidRPr="00684D58">
              <w:sym w:font="Wingdings" w:char="F0FC"/>
            </w:r>
          </w:p>
        </w:tc>
        <w:tc>
          <w:tcPr>
            <w:tcW w:w="765" w:type="dxa"/>
          </w:tcPr>
          <w:p w14:paraId="2CED6573" w14:textId="77777777" w:rsidR="00DB3203" w:rsidRPr="002238A2" w:rsidRDefault="00DB3203" w:rsidP="00491C1E">
            <w:pPr>
              <w:pStyle w:val="Tabletext"/>
              <w:ind w:left="0" w:right="0"/>
              <w:jc w:val="center"/>
            </w:pPr>
            <w:r w:rsidRPr="002238A2">
              <w:sym w:font="Wingdings" w:char="F0FC"/>
            </w:r>
          </w:p>
        </w:tc>
        <w:tc>
          <w:tcPr>
            <w:tcW w:w="839" w:type="dxa"/>
          </w:tcPr>
          <w:p w14:paraId="2A59B815" w14:textId="77777777" w:rsidR="00DB3203" w:rsidRPr="00684D58" w:rsidRDefault="00DB3203" w:rsidP="00491C1E">
            <w:pPr>
              <w:pStyle w:val="Tabletext"/>
              <w:ind w:left="0" w:right="0"/>
              <w:jc w:val="center"/>
            </w:pPr>
            <w:r w:rsidRPr="00684D58">
              <w:t>–</w:t>
            </w:r>
          </w:p>
        </w:tc>
      </w:tr>
      <w:tr w:rsidR="00DB3203" w:rsidRPr="004F1C07" w14:paraId="089DD904" w14:textId="77777777" w:rsidTr="00491C1E">
        <w:trPr>
          <w:trHeight w:val="113"/>
        </w:trPr>
        <w:tc>
          <w:tcPr>
            <w:tcW w:w="1526" w:type="dxa"/>
            <w:vMerge/>
          </w:tcPr>
          <w:p w14:paraId="1279E625" w14:textId="77777777" w:rsidR="00DB3203" w:rsidRPr="00680101" w:rsidRDefault="00DB3203" w:rsidP="00491C1E">
            <w:pPr>
              <w:pStyle w:val="Tabletext"/>
              <w:ind w:left="0" w:right="0"/>
              <w:rPr>
                <w:b/>
              </w:rPr>
            </w:pPr>
          </w:p>
        </w:tc>
        <w:tc>
          <w:tcPr>
            <w:tcW w:w="3803" w:type="dxa"/>
          </w:tcPr>
          <w:p w14:paraId="697EC559" w14:textId="77777777" w:rsidR="00DB3203" w:rsidRPr="00076E4B" w:rsidRDefault="00DB3203" w:rsidP="00491C1E">
            <w:pPr>
              <w:ind w:left="0" w:right="0"/>
              <w:rPr>
                <w:sz w:val="20"/>
                <w:szCs w:val="20"/>
              </w:rPr>
            </w:pPr>
            <w:r>
              <w:rPr>
                <w:sz w:val="20"/>
                <w:szCs w:val="20"/>
              </w:rPr>
              <w:t>Blood count abnormalities</w:t>
            </w:r>
          </w:p>
        </w:tc>
        <w:tc>
          <w:tcPr>
            <w:tcW w:w="791" w:type="dxa"/>
          </w:tcPr>
          <w:p w14:paraId="3F65D21B" w14:textId="77777777" w:rsidR="00DB3203" w:rsidRPr="002238A2" w:rsidRDefault="00DB3203" w:rsidP="00491C1E">
            <w:pPr>
              <w:pStyle w:val="Tabletext"/>
              <w:ind w:left="0" w:right="0"/>
              <w:jc w:val="center"/>
            </w:pPr>
            <w:r w:rsidRPr="002238A2">
              <w:sym w:font="Wingdings" w:char="F0FC"/>
            </w:r>
          </w:p>
        </w:tc>
        <w:tc>
          <w:tcPr>
            <w:tcW w:w="950" w:type="dxa"/>
          </w:tcPr>
          <w:p w14:paraId="403A296E" w14:textId="77777777" w:rsidR="00DB3203" w:rsidRPr="00684D58" w:rsidRDefault="00DB3203" w:rsidP="00491C1E">
            <w:pPr>
              <w:pStyle w:val="Tabletext"/>
              <w:ind w:left="0" w:right="0"/>
              <w:jc w:val="center"/>
            </w:pPr>
            <w:r w:rsidRPr="00684D58">
              <w:sym w:font="Wingdings" w:char="F0FC"/>
            </w:r>
          </w:p>
        </w:tc>
        <w:tc>
          <w:tcPr>
            <w:tcW w:w="765" w:type="dxa"/>
          </w:tcPr>
          <w:p w14:paraId="12542FB7" w14:textId="77777777" w:rsidR="00DB3203" w:rsidRPr="002238A2" w:rsidRDefault="00DB3203" w:rsidP="00491C1E">
            <w:pPr>
              <w:pStyle w:val="Tabletext"/>
              <w:ind w:left="0" w:right="0"/>
              <w:jc w:val="center"/>
            </w:pPr>
            <w:r w:rsidRPr="002238A2">
              <w:sym w:font="Wingdings" w:char="F0FC"/>
            </w:r>
          </w:p>
        </w:tc>
        <w:tc>
          <w:tcPr>
            <w:tcW w:w="839" w:type="dxa"/>
          </w:tcPr>
          <w:p w14:paraId="42B72F49" w14:textId="77777777" w:rsidR="00DB3203" w:rsidRPr="00684D58" w:rsidRDefault="00DB3203" w:rsidP="00491C1E">
            <w:pPr>
              <w:pStyle w:val="Tabletext"/>
              <w:ind w:left="0" w:right="0"/>
              <w:jc w:val="center"/>
            </w:pPr>
            <w:r w:rsidRPr="00684D58">
              <w:t>–</w:t>
            </w:r>
          </w:p>
        </w:tc>
      </w:tr>
      <w:tr w:rsidR="00DB3203" w:rsidRPr="004F1C07" w14:paraId="2EA58C6A" w14:textId="77777777" w:rsidTr="00491C1E">
        <w:trPr>
          <w:trHeight w:val="166"/>
        </w:trPr>
        <w:tc>
          <w:tcPr>
            <w:tcW w:w="1526" w:type="dxa"/>
            <w:vMerge w:val="restart"/>
          </w:tcPr>
          <w:p w14:paraId="2A9B2B99" w14:textId="77777777" w:rsidR="00DB3203" w:rsidRPr="00680101" w:rsidRDefault="00DB3203" w:rsidP="00491C1E">
            <w:pPr>
              <w:pStyle w:val="Tabletext"/>
              <w:ind w:left="0" w:right="0"/>
              <w:rPr>
                <w:b/>
              </w:rPr>
            </w:pPr>
            <w:r w:rsidRPr="00680101">
              <w:rPr>
                <w:b/>
              </w:rPr>
              <w:t>Missing information</w:t>
            </w:r>
          </w:p>
        </w:tc>
        <w:tc>
          <w:tcPr>
            <w:tcW w:w="3803" w:type="dxa"/>
          </w:tcPr>
          <w:p w14:paraId="1DE44874" w14:textId="77777777" w:rsidR="00DB3203" w:rsidRPr="00076E4B" w:rsidRDefault="00DB3203" w:rsidP="00491C1E">
            <w:pPr>
              <w:ind w:left="0" w:right="0"/>
              <w:rPr>
                <w:sz w:val="20"/>
                <w:szCs w:val="20"/>
              </w:rPr>
            </w:pPr>
            <w:r w:rsidRPr="00076E4B">
              <w:rPr>
                <w:sz w:val="20"/>
                <w:szCs w:val="20"/>
              </w:rPr>
              <w:t>Use in pregnancy and lactation</w:t>
            </w:r>
          </w:p>
        </w:tc>
        <w:tc>
          <w:tcPr>
            <w:tcW w:w="791" w:type="dxa"/>
          </w:tcPr>
          <w:p w14:paraId="59BC42A3" w14:textId="77777777" w:rsidR="00DB3203" w:rsidRPr="002238A2" w:rsidRDefault="00DB3203" w:rsidP="00491C1E">
            <w:pPr>
              <w:pStyle w:val="Tabletext"/>
              <w:ind w:left="0" w:right="0"/>
              <w:jc w:val="center"/>
            </w:pPr>
            <w:r w:rsidRPr="002238A2">
              <w:sym w:font="Wingdings" w:char="F0FC"/>
            </w:r>
          </w:p>
        </w:tc>
        <w:tc>
          <w:tcPr>
            <w:tcW w:w="950" w:type="dxa"/>
          </w:tcPr>
          <w:p w14:paraId="26553F68" w14:textId="77777777" w:rsidR="00DB3203" w:rsidRPr="00684D58" w:rsidRDefault="00DB3203" w:rsidP="00491C1E">
            <w:pPr>
              <w:pStyle w:val="Tabletext"/>
              <w:ind w:left="0" w:right="0"/>
              <w:jc w:val="center"/>
            </w:pPr>
            <w:r w:rsidRPr="00684D58">
              <w:sym w:font="Wingdings" w:char="F0FC"/>
            </w:r>
          </w:p>
        </w:tc>
        <w:tc>
          <w:tcPr>
            <w:tcW w:w="765" w:type="dxa"/>
          </w:tcPr>
          <w:p w14:paraId="2F6E4A9B" w14:textId="77777777" w:rsidR="00DB3203" w:rsidRPr="002238A2" w:rsidRDefault="00DB3203" w:rsidP="00491C1E">
            <w:pPr>
              <w:pStyle w:val="Tabletext"/>
              <w:ind w:left="0" w:right="0"/>
              <w:jc w:val="center"/>
            </w:pPr>
            <w:r w:rsidRPr="002238A2">
              <w:sym w:font="Wingdings" w:char="F0FC"/>
            </w:r>
          </w:p>
        </w:tc>
        <w:tc>
          <w:tcPr>
            <w:tcW w:w="839" w:type="dxa"/>
          </w:tcPr>
          <w:p w14:paraId="3530DD46" w14:textId="77777777" w:rsidR="00DB3203" w:rsidRPr="00684D58" w:rsidRDefault="00DB3203" w:rsidP="00491C1E">
            <w:pPr>
              <w:pStyle w:val="Tabletext"/>
              <w:ind w:left="0" w:right="0"/>
              <w:jc w:val="center"/>
            </w:pPr>
            <w:r w:rsidRPr="00684D58">
              <w:t>–</w:t>
            </w:r>
          </w:p>
        </w:tc>
      </w:tr>
      <w:tr w:rsidR="00DB3203" w:rsidRPr="004F1C07" w14:paraId="04B299E2" w14:textId="77777777" w:rsidTr="00491C1E">
        <w:trPr>
          <w:trHeight w:val="95"/>
        </w:trPr>
        <w:tc>
          <w:tcPr>
            <w:tcW w:w="1526" w:type="dxa"/>
            <w:vMerge/>
          </w:tcPr>
          <w:p w14:paraId="20088B03" w14:textId="77777777" w:rsidR="00DB3203" w:rsidRPr="004F1C07" w:rsidRDefault="00DB3203" w:rsidP="00491C1E">
            <w:pPr>
              <w:pStyle w:val="Tabletext"/>
              <w:ind w:left="0" w:right="0"/>
            </w:pPr>
          </w:p>
        </w:tc>
        <w:tc>
          <w:tcPr>
            <w:tcW w:w="3803" w:type="dxa"/>
          </w:tcPr>
          <w:p w14:paraId="02C9B707" w14:textId="77777777" w:rsidR="00DB3203" w:rsidRPr="00076E4B" w:rsidRDefault="00DB3203" w:rsidP="00491C1E">
            <w:pPr>
              <w:ind w:left="0" w:right="0"/>
              <w:rPr>
                <w:sz w:val="20"/>
                <w:szCs w:val="20"/>
              </w:rPr>
            </w:pPr>
            <w:r w:rsidRPr="00076E4B">
              <w:rPr>
                <w:sz w:val="20"/>
                <w:szCs w:val="20"/>
              </w:rPr>
              <w:t xml:space="preserve">Use in children with LHON under 14 years of age </w:t>
            </w:r>
          </w:p>
        </w:tc>
        <w:tc>
          <w:tcPr>
            <w:tcW w:w="791" w:type="dxa"/>
          </w:tcPr>
          <w:p w14:paraId="0F7F3F38" w14:textId="77777777" w:rsidR="00DB3203" w:rsidRPr="002238A2" w:rsidRDefault="00DB3203" w:rsidP="00491C1E">
            <w:pPr>
              <w:pStyle w:val="Tabletext"/>
              <w:ind w:left="0" w:right="0"/>
              <w:jc w:val="center"/>
            </w:pPr>
            <w:r w:rsidRPr="002238A2">
              <w:sym w:font="Wingdings" w:char="F0FC"/>
            </w:r>
          </w:p>
        </w:tc>
        <w:tc>
          <w:tcPr>
            <w:tcW w:w="950" w:type="dxa"/>
          </w:tcPr>
          <w:p w14:paraId="1FA8F940" w14:textId="77777777" w:rsidR="00DB3203" w:rsidRPr="00684D58" w:rsidRDefault="00DB3203" w:rsidP="00491C1E">
            <w:pPr>
              <w:pStyle w:val="Tabletext"/>
              <w:ind w:left="0" w:right="0"/>
              <w:jc w:val="center"/>
            </w:pPr>
            <w:r w:rsidRPr="00684D58">
              <w:sym w:font="Wingdings" w:char="F0FC"/>
            </w:r>
          </w:p>
        </w:tc>
        <w:tc>
          <w:tcPr>
            <w:tcW w:w="765" w:type="dxa"/>
          </w:tcPr>
          <w:p w14:paraId="306ED5AE" w14:textId="77777777" w:rsidR="00DB3203" w:rsidRPr="002238A2" w:rsidRDefault="00DB3203" w:rsidP="00491C1E">
            <w:pPr>
              <w:pStyle w:val="Tabletext"/>
              <w:ind w:left="0" w:right="0"/>
              <w:jc w:val="center"/>
            </w:pPr>
            <w:r w:rsidRPr="002238A2">
              <w:sym w:font="Wingdings" w:char="F0FC"/>
            </w:r>
          </w:p>
        </w:tc>
        <w:tc>
          <w:tcPr>
            <w:tcW w:w="839" w:type="dxa"/>
          </w:tcPr>
          <w:p w14:paraId="27084E5A" w14:textId="77777777" w:rsidR="00DB3203" w:rsidRPr="00684D58" w:rsidRDefault="00DB3203" w:rsidP="00491C1E">
            <w:pPr>
              <w:pStyle w:val="Tabletext"/>
              <w:ind w:left="0" w:right="0"/>
              <w:jc w:val="center"/>
            </w:pPr>
            <w:r w:rsidRPr="00684D58">
              <w:t>–</w:t>
            </w:r>
          </w:p>
        </w:tc>
      </w:tr>
      <w:tr w:rsidR="00DB3203" w:rsidRPr="004F1C07" w14:paraId="6FA43D92" w14:textId="77777777" w:rsidTr="00491C1E">
        <w:trPr>
          <w:trHeight w:val="95"/>
        </w:trPr>
        <w:tc>
          <w:tcPr>
            <w:tcW w:w="1526" w:type="dxa"/>
            <w:vMerge/>
          </w:tcPr>
          <w:p w14:paraId="52C615A5" w14:textId="77777777" w:rsidR="00DB3203" w:rsidRPr="004F1C07" w:rsidRDefault="00DB3203" w:rsidP="00491C1E">
            <w:pPr>
              <w:pStyle w:val="Tabletext"/>
              <w:ind w:left="0" w:right="0"/>
            </w:pPr>
          </w:p>
        </w:tc>
        <w:tc>
          <w:tcPr>
            <w:tcW w:w="3803" w:type="dxa"/>
          </w:tcPr>
          <w:p w14:paraId="14392AAB" w14:textId="77777777" w:rsidR="00DB3203" w:rsidRPr="00076E4B" w:rsidRDefault="00DB3203" w:rsidP="00491C1E">
            <w:pPr>
              <w:ind w:left="0" w:right="0"/>
              <w:rPr>
                <w:sz w:val="20"/>
                <w:szCs w:val="20"/>
              </w:rPr>
            </w:pPr>
            <w:r w:rsidRPr="00076E4B">
              <w:rPr>
                <w:sz w:val="20"/>
                <w:szCs w:val="20"/>
              </w:rPr>
              <w:t>Use in children wi</w:t>
            </w:r>
            <w:r>
              <w:rPr>
                <w:sz w:val="20"/>
                <w:szCs w:val="20"/>
              </w:rPr>
              <w:t xml:space="preserve">th DMD under 10 years of age </w:t>
            </w:r>
          </w:p>
        </w:tc>
        <w:tc>
          <w:tcPr>
            <w:tcW w:w="791" w:type="dxa"/>
          </w:tcPr>
          <w:p w14:paraId="70269FC9" w14:textId="77777777" w:rsidR="00DB3203" w:rsidRPr="002238A2" w:rsidRDefault="00DB3203" w:rsidP="00491C1E">
            <w:pPr>
              <w:pStyle w:val="Tabletext"/>
              <w:ind w:left="0" w:right="0"/>
              <w:jc w:val="center"/>
            </w:pPr>
            <w:r w:rsidRPr="002238A2">
              <w:sym w:font="Wingdings" w:char="F0FC"/>
            </w:r>
          </w:p>
        </w:tc>
        <w:tc>
          <w:tcPr>
            <w:tcW w:w="950" w:type="dxa"/>
          </w:tcPr>
          <w:p w14:paraId="14CCCEAB" w14:textId="77777777" w:rsidR="00DB3203" w:rsidRPr="00684D58" w:rsidRDefault="00DB3203" w:rsidP="00491C1E">
            <w:pPr>
              <w:pStyle w:val="Tabletext"/>
              <w:ind w:left="0" w:right="0"/>
              <w:jc w:val="center"/>
            </w:pPr>
            <w:r w:rsidRPr="00684D58">
              <w:sym w:font="Wingdings" w:char="F0FC"/>
            </w:r>
          </w:p>
        </w:tc>
        <w:tc>
          <w:tcPr>
            <w:tcW w:w="765" w:type="dxa"/>
          </w:tcPr>
          <w:p w14:paraId="10213849" w14:textId="77777777" w:rsidR="00DB3203" w:rsidRPr="002238A2" w:rsidRDefault="00DB3203" w:rsidP="00491C1E">
            <w:pPr>
              <w:pStyle w:val="Tabletext"/>
              <w:ind w:left="0" w:right="0"/>
              <w:jc w:val="center"/>
            </w:pPr>
            <w:r w:rsidRPr="002238A2">
              <w:sym w:font="Wingdings" w:char="F0FC"/>
            </w:r>
          </w:p>
        </w:tc>
        <w:tc>
          <w:tcPr>
            <w:tcW w:w="839" w:type="dxa"/>
          </w:tcPr>
          <w:p w14:paraId="65790AE7" w14:textId="77777777" w:rsidR="00DB3203" w:rsidRPr="00684D58" w:rsidRDefault="00DB3203" w:rsidP="00491C1E">
            <w:pPr>
              <w:pStyle w:val="Tabletext"/>
              <w:ind w:left="0" w:right="0"/>
              <w:jc w:val="center"/>
            </w:pPr>
            <w:r w:rsidRPr="00684D58">
              <w:t>–</w:t>
            </w:r>
          </w:p>
        </w:tc>
      </w:tr>
      <w:tr w:rsidR="00DB3203" w:rsidRPr="004F1C07" w14:paraId="409E0990" w14:textId="77777777" w:rsidTr="00491C1E">
        <w:trPr>
          <w:trHeight w:val="95"/>
        </w:trPr>
        <w:tc>
          <w:tcPr>
            <w:tcW w:w="1526" w:type="dxa"/>
            <w:vMerge/>
          </w:tcPr>
          <w:p w14:paraId="0ADAFB56" w14:textId="77777777" w:rsidR="00DB3203" w:rsidRPr="004F1C07" w:rsidRDefault="00DB3203" w:rsidP="00491C1E">
            <w:pPr>
              <w:pStyle w:val="Tabletext"/>
              <w:ind w:left="0" w:right="0"/>
            </w:pPr>
          </w:p>
        </w:tc>
        <w:tc>
          <w:tcPr>
            <w:tcW w:w="3803" w:type="dxa"/>
          </w:tcPr>
          <w:p w14:paraId="0DE8B7EF" w14:textId="77777777" w:rsidR="00DB3203" w:rsidRPr="00076E4B" w:rsidRDefault="00DB3203" w:rsidP="00491C1E">
            <w:pPr>
              <w:ind w:left="0" w:right="0"/>
              <w:rPr>
                <w:sz w:val="20"/>
                <w:szCs w:val="20"/>
              </w:rPr>
            </w:pPr>
            <w:r>
              <w:rPr>
                <w:sz w:val="20"/>
                <w:szCs w:val="20"/>
              </w:rPr>
              <w:t>Use in elderly patients with LHON</w:t>
            </w:r>
          </w:p>
        </w:tc>
        <w:tc>
          <w:tcPr>
            <w:tcW w:w="791" w:type="dxa"/>
          </w:tcPr>
          <w:p w14:paraId="33E50D50" w14:textId="77777777" w:rsidR="00DB3203" w:rsidRPr="002238A2" w:rsidRDefault="00DB3203" w:rsidP="00491C1E">
            <w:pPr>
              <w:pStyle w:val="Tabletext"/>
              <w:ind w:left="0" w:right="0"/>
              <w:jc w:val="center"/>
            </w:pPr>
            <w:r w:rsidRPr="002238A2">
              <w:sym w:font="Wingdings" w:char="F0FC"/>
            </w:r>
          </w:p>
        </w:tc>
        <w:tc>
          <w:tcPr>
            <w:tcW w:w="950" w:type="dxa"/>
          </w:tcPr>
          <w:p w14:paraId="753C8675" w14:textId="77777777" w:rsidR="00DB3203" w:rsidRPr="00684D58" w:rsidRDefault="00DB3203" w:rsidP="00491C1E">
            <w:pPr>
              <w:pStyle w:val="Tabletext"/>
              <w:ind w:left="0" w:right="0"/>
              <w:jc w:val="center"/>
            </w:pPr>
            <w:r w:rsidRPr="00684D58">
              <w:sym w:font="Wingdings" w:char="F0FC"/>
            </w:r>
          </w:p>
        </w:tc>
        <w:tc>
          <w:tcPr>
            <w:tcW w:w="765" w:type="dxa"/>
          </w:tcPr>
          <w:p w14:paraId="2DFF32E3" w14:textId="77777777" w:rsidR="00DB3203" w:rsidRPr="002238A2" w:rsidRDefault="00DB3203" w:rsidP="00491C1E">
            <w:pPr>
              <w:pStyle w:val="Tabletext"/>
              <w:ind w:left="0" w:right="0"/>
              <w:jc w:val="center"/>
            </w:pPr>
            <w:r w:rsidRPr="002238A2">
              <w:sym w:font="Wingdings" w:char="F0FC"/>
            </w:r>
          </w:p>
        </w:tc>
        <w:tc>
          <w:tcPr>
            <w:tcW w:w="839" w:type="dxa"/>
          </w:tcPr>
          <w:p w14:paraId="324FF606" w14:textId="77777777" w:rsidR="00DB3203" w:rsidRPr="00684D58" w:rsidRDefault="00DB3203" w:rsidP="00491C1E">
            <w:pPr>
              <w:pStyle w:val="Tabletext"/>
              <w:ind w:left="0" w:right="0"/>
              <w:jc w:val="center"/>
            </w:pPr>
            <w:r w:rsidRPr="00684D58">
              <w:t>–</w:t>
            </w:r>
          </w:p>
        </w:tc>
      </w:tr>
      <w:tr w:rsidR="00DB3203" w:rsidRPr="004F1C07" w14:paraId="35F4C6CF" w14:textId="77777777" w:rsidTr="00491C1E">
        <w:trPr>
          <w:trHeight w:val="95"/>
        </w:trPr>
        <w:tc>
          <w:tcPr>
            <w:tcW w:w="1526" w:type="dxa"/>
            <w:vMerge/>
          </w:tcPr>
          <w:p w14:paraId="09E1BACC" w14:textId="77777777" w:rsidR="00DB3203" w:rsidRPr="004F1C07" w:rsidRDefault="00DB3203" w:rsidP="00491C1E">
            <w:pPr>
              <w:pStyle w:val="Tabletext"/>
              <w:ind w:left="0" w:right="0"/>
            </w:pPr>
          </w:p>
        </w:tc>
        <w:tc>
          <w:tcPr>
            <w:tcW w:w="3803" w:type="dxa"/>
          </w:tcPr>
          <w:p w14:paraId="33C7E3A6" w14:textId="77777777" w:rsidR="00DB3203" w:rsidRPr="00076E4B" w:rsidRDefault="00DB3203" w:rsidP="00491C1E">
            <w:pPr>
              <w:ind w:left="0" w:right="0"/>
              <w:rPr>
                <w:sz w:val="20"/>
                <w:szCs w:val="20"/>
              </w:rPr>
            </w:pPr>
            <w:r w:rsidRPr="00076E4B">
              <w:rPr>
                <w:sz w:val="20"/>
                <w:szCs w:val="20"/>
              </w:rPr>
              <w:t xml:space="preserve">Use in patients with hepatic impairment </w:t>
            </w:r>
          </w:p>
        </w:tc>
        <w:tc>
          <w:tcPr>
            <w:tcW w:w="791" w:type="dxa"/>
          </w:tcPr>
          <w:p w14:paraId="16753258" w14:textId="77777777" w:rsidR="00DB3203" w:rsidRPr="002238A2" w:rsidRDefault="00DB3203" w:rsidP="00491C1E">
            <w:pPr>
              <w:pStyle w:val="Tabletext"/>
              <w:ind w:left="0" w:right="0"/>
              <w:jc w:val="center"/>
            </w:pPr>
            <w:r w:rsidRPr="002238A2">
              <w:sym w:font="Wingdings" w:char="F0FC"/>
            </w:r>
          </w:p>
        </w:tc>
        <w:tc>
          <w:tcPr>
            <w:tcW w:w="950" w:type="dxa"/>
          </w:tcPr>
          <w:p w14:paraId="2919280C" w14:textId="77777777" w:rsidR="00DB3203" w:rsidRPr="00684D58" w:rsidRDefault="00DB3203" w:rsidP="00491C1E">
            <w:pPr>
              <w:pStyle w:val="Tabletext"/>
              <w:ind w:left="0" w:right="0"/>
              <w:jc w:val="center"/>
            </w:pPr>
            <w:r w:rsidRPr="00684D58">
              <w:sym w:font="Wingdings" w:char="F0FC"/>
            </w:r>
          </w:p>
        </w:tc>
        <w:tc>
          <w:tcPr>
            <w:tcW w:w="765" w:type="dxa"/>
          </w:tcPr>
          <w:p w14:paraId="4522122D" w14:textId="77777777" w:rsidR="00DB3203" w:rsidRPr="002238A2" w:rsidRDefault="00DB3203" w:rsidP="00491C1E">
            <w:pPr>
              <w:pStyle w:val="Tabletext"/>
              <w:ind w:left="0" w:right="0"/>
              <w:jc w:val="center"/>
            </w:pPr>
            <w:r w:rsidRPr="002238A2">
              <w:sym w:font="Wingdings" w:char="F0FC"/>
            </w:r>
          </w:p>
        </w:tc>
        <w:tc>
          <w:tcPr>
            <w:tcW w:w="839" w:type="dxa"/>
          </w:tcPr>
          <w:p w14:paraId="47201C91" w14:textId="77777777" w:rsidR="00DB3203" w:rsidRPr="00684D58" w:rsidRDefault="00DB3203" w:rsidP="00491C1E">
            <w:pPr>
              <w:pStyle w:val="Tabletext"/>
              <w:ind w:left="0" w:right="0"/>
              <w:jc w:val="center"/>
            </w:pPr>
            <w:r w:rsidRPr="00684D58">
              <w:t>–</w:t>
            </w:r>
          </w:p>
        </w:tc>
      </w:tr>
      <w:tr w:rsidR="00DB3203" w:rsidRPr="004F1C07" w14:paraId="559171C6" w14:textId="77777777" w:rsidTr="00491C1E">
        <w:trPr>
          <w:trHeight w:val="95"/>
        </w:trPr>
        <w:tc>
          <w:tcPr>
            <w:tcW w:w="1526" w:type="dxa"/>
            <w:vMerge/>
          </w:tcPr>
          <w:p w14:paraId="0A7BCEC4" w14:textId="77777777" w:rsidR="00DB3203" w:rsidRPr="004F1C07" w:rsidRDefault="00DB3203" w:rsidP="00491C1E">
            <w:pPr>
              <w:pStyle w:val="Tabletext"/>
              <w:ind w:left="0" w:right="0"/>
            </w:pPr>
          </w:p>
        </w:tc>
        <w:tc>
          <w:tcPr>
            <w:tcW w:w="3803" w:type="dxa"/>
          </w:tcPr>
          <w:p w14:paraId="4AB7E754" w14:textId="77777777" w:rsidR="00DB3203" w:rsidRPr="00076E4B" w:rsidRDefault="00DB3203" w:rsidP="00491C1E">
            <w:pPr>
              <w:ind w:left="0" w:right="0"/>
              <w:rPr>
                <w:sz w:val="20"/>
                <w:szCs w:val="20"/>
              </w:rPr>
            </w:pPr>
            <w:r w:rsidRPr="00076E4B">
              <w:rPr>
                <w:sz w:val="20"/>
                <w:szCs w:val="20"/>
              </w:rPr>
              <w:t xml:space="preserve">Use in patients with </w:t>
            </w:r>
            <w:r>
              <w:rPr>
                <w:sz w:val="20"/>
                <w:szCs w:val="20"/>
              </w:rPr>
              <w:t>renal</w:t>
            </w:r>
            <w:r w:rsidRPr="00076E4B">
              <w:rPr>
                <w:sz w:val="20"/>
                <w:szCs w:val="20"/>
              </w:rPr>
              <w:t xml:space="preserve"> impairment </w:t>
            </w:r>
          </w:p>
        </w:tc>
        <w:tc>
          <w:tcPr>
            <w:tcW w:w="791" w:type="dxa"/>
          </w:tcPr>
          <w:p w14:paraId="0C326F37" w14:textId="77777777" w:rsidR="00DB3203" w:rsidRPr="002238A2" w:rsidRDefault="00DB3203" w:rsidP="00491C1E">
            <w:pPr>
              <w:pStyle w:val="Tabletext"/>
              <w:ind w:left="0" w:right="0"/>
              <w:jc w:val="center"/>
            </w:pPr>
            <w:r w:rsidRPr="002238A2">
              <w:sym w:font="Wingdings" w:char="F0FC"/>
            </w:r>
          </w:p>
        </w:tc>
        <w:tc>
          <w:tcPr>
            <w:tcW w:w="950" w:type="dxa"/>
          </w:tcPr>
          <w:p w14:paraId="05E14177" w14:textId="77777777" w:rsidR="00DB3203" w:rsidRPr="00684D58" w:rsidRDefault="00DB3203" w:rsidP="00491C1E">
            <w:pPr>
              <w:pStyle w:val="Tabletext"/>
              <w:ind w:left="0" w:right="0"/>
              <w:jc w:val="center"/>
            </w:pPr>
            <w:r w:rsidRPr="00684D58">
              <w:sym w:font="Wingdings" w:char="F0FC"/>
            </w:r>
          </w:p>
        </w:tc>
        <w:tc>
          <w:tcPr>
            <w:tcW w:w="765" w:type="dxa"/>
          </w:tcPr>
          <w:p w14:paraId="2D99135A" w14:textId="77777777" w:rsidR="00DB3203" w:rsidRPr="002238A2" w:rsidRDefault="00DB3203" w:rsidP="00491C1E">
            <w:pPr>
              <w:pStyle w:val="Tabletext"/>
              <w:ind w:left="0" w:right="0"/>
              <w:jc w:val="center"/>
            </w:pPr>
            <w:r w:rsidRPr="002238A2">
              <w:sym w:font="Wingdings" w:char="F0FC"/>
            </w:r>
          </w:p>
        </w:tc>
        <w:tc>
          <w:tcPr>
            <w:tcW w:w="839" w:type="dxa"/>
          </w:tcPr>
          <w:p w14:paraId="6488221C" w14:textId="77777777" w:rsidR="00DB3203" w:rsidRPr="00684D58" w:rsidRDefault="00DB3203" w:rsidP="00491C1E">
            <w:pPr>
              <w:pStyle w:val="Tabletext"/>
              <w:ind w:left="0" w:right="0"/>
              <w:jc w:val="center"/>
            </w:pPr>
            <w:r w:rsidRPr="00684D58">
              <w:t>–</w:t>
            </w:r>
          </w:p>
        </w:tc>
      </w:tr>
      <w:tr w:rsidR="00DB3203" w:rsidRPr="004F1C07" w14:paraId="42758594" w14:textId="77777777" w:rsidTr="00491C1E">
        <w:trPr>
          <w:trHeight w:val="95"/>
        </w:trPr>
        <w:tc>
          <w:tcPr>
            <w:tcW w:w="1526" w:type="dxa"/>
            <w:vMerge/>
          </w:tcPr>
          <w:p w14:paraId="47C69E75" w14:textId="77777777" w:rsidR="00DB3203" w:rsidRPr="004F1C07" w:rsidRDefault="00DB3203" w:rsidP="00491C1E">
            <w:pPr>
              <w:pStyle w:val="Tabletext"/>
              <w:ind w:left="0" w:right="0"/>
            </w:pPr>
          </w:p>
        </w:tc>
        <w:tc>
          <w:tcPr>
            <w:tcW w:w="3803" w:type="dxa"/>
          </w:tcPr>
          <w:p w14:paraId="29B9CD11" w14:textId="77777777" w:rsidR="00DB3203" w:rsidRPr="00076E4B" w:rsidRDefault="00DB3203" w:rsidP="00491C1E">
            <w:pPr>
              <w:ind w:left="0" w:right="0"/>
              <w:rPr>
                <w:sz w:val="20"/>
                <w:szCs w:val="20"/>
              </w:rPr>
            </w:pPr>
            <w:r>
              <w:rPr>
                <w:sz w:val="20"/>
                <w:szCs w:val="20"/>
              </w:rPr>
              <w:t xml:space="preserve">Use in patients with </w:t>
            </w:r>
            <w:r w:rsidRPr="00076E4B">
              <w:rPr>
                <w:sz w:val="20"/>
                <w:szCs w:val="20"/>
              </w:rPr>
              <w:t xml:space="preserve">DMD receiving GCs </w:t>
            </w:r>
          </w:p>
        </w:tc>
        <w:tc>
          <w:tcPr>
            <w:tcW w:w="791" w:type="dxa"/>
          </w:tcPr>
          <w:p w14:paraId="57FCC17E" w14:textId="77777777" w:rsidR="00DB3203" w:rsidRPr="002238A2" w:rsidRDefault="00DB3203" w:rsidP="00491C1E">
            <w:pPr>
              <w:pStyle w:val="Tabletext"/>
              <w:ind w:left="0" w:right="0"/>
              <w:jc w:val="center"/>
            </w:pPr>
            <w:r w:rsidRPr="002238A2">
              <w:sym w:font="Wingdings" w:char="F0FC"/>
            </w:r>
          </w:p>
        </w:tc>
        <w:tc>
          <w:tcPr>
            <w:tcW w:w="950" w:type="dxa"/>
          </w:tcPr>
          <w:p w14:paraId="1697E115" w14:textId="77777777" w:rsidR="00DB3203" w:rsidRPr="00684D58" w:rsidRDefault="00DB3203" w:rsidP="00491C1E">
            <w:pPr>
              <w:pStyle w:val="Tabletext"/>
              <w:ind w:left="0" w:right="0"/>
              <w:jc w:val="center"/>
            </w:pPr>
            <w:r w:rsidRPr="00684D58">
              <w:sym w:font="Wingdings" w:char="F0FC"/>
            </w:r>
          </w:p>
        </w:tc>
        <w:tc>
          <w:tcPr>
            <w:tcW w:w="765" w:type="dxa"/>
          </w:tcPr>
          <w:p w14:paraId="5BA2A218" w14:textId="77777777" w:rsidR="00DB3203" w:rsidRPr="002238A2" w:rsidRDefault="00DB3203" w:rsidP="00491C1E">
            <w:pPr>
              <w:pStyle w:val="Tabletext"/>
              <w:ind w:left="0" w:right="0"/>
              <w:jc w:val="center"/>
            </w:pPr>
            <w:r w:rsidRPr="002238A2">
              <w:sym w:font="Wingdings" w:char="F0FC"/>
            </w:r>
          </w:p>
        </w:tc>
        <w:tc>
          <w:tcPr>
            <w:tcW w:w="839" w:type="dxa"/>
          </w:tcPr>
          <w:p w14:paraId="093146CB" w14:textId="77777777" w:rsidR="00DB3203" w:rsidRPr="00684D58" w:rsidRDefault="00DB3203" w:rsidP="00491C1E">
            <w:pPr>
              <w:pStyle w:val="Tabletext"/>
              <w:ind w:left="0" w:right="0"/>
              <w:jc w:val="center"/>
            </w:pPr>
            <w:r w:rsidRPr="004257A9">
              <w:sym w:font="Wingdings" w:char="F0FC"/>
            </w:r>
            <w:r w:rsidRPr="004257A9">
              <w:t>*</w:t>
            </w:r>
          </w:p>
        </w:tc>
      </w:tr>
      <w:tr w:rsidR="00DB3203" w:rsidRPr="004F1C07" w14:paraId="696A73EC" w14:textId="77777777" w:rsidTr="00491C1E">
        <w:trPr>
          <w:trHeight w:val="95"/>
        </w:trPr>
        <w:tc>
          <w:tcPr>
            <w:tcW w:w="1526" w:type="dxa"/>
            <w:vMerge/>
          </w:tcPr>
          <w:p w14:paraId="31926292" w14:textId="77777777" w:rsidR="00DB3203" w:rsidRPr="004F1C07" w:rsidRDefault="00DB3203" w:rsidP="00491C1E">
            <w:pPr>
              <w:pStyle w:val="Tabletext"/>
              <w:ind w:left="0" w:right="0"/>
            </w:pPr>
          </w:p>
        </w:tc>
        <w:tc>
          <w:tcPr>
            <w:tcW w:w="3803" w:type="dxa"/>
          </w:tcPr>
          <w:p w14:paraId="57DC52C7" w14:textId="77777777" w:rsidR="00DB3203" w:rsidRDefault="00DB3203" w:rsidP="00491C1E">
            <w:pPr>
              <w:ind w:left="0" w:right="0"/>
              <w:rPr>
                <w:sz w:val="20"/>
                <w:szCs w:val="20"/>
              </w:rPr>
            </w:pPr>
            <w:r w:rsidRPr="00076E4B">
              <w:rPr>
                <w:sz w:val="20"/>
                <w:szCs w:val="20"/>
              </w:rPr>
              <w:t>Safety on long-term use of Raxone</w:t>
            </w:r>
          </w:p>
        </w:tc>
        <w:tc>
          <w:tcPr>
            <w:tcW w:w="791" w:type="dxa"/>
          </w:tcPr>
          <w:p w14:paraId="3A609108" w14:textId="77777777" w:rsidR="00DB3203" w:rsidRPr="002238A2" w:rsidRDefault="00DB3203" w:rsidP="00491C1E">
            <w:pPr>
              <w:pStyle w:val="Tabletext"/>
              <w:ind w:left="0" w:right="0"/>
              <w:jc w:val="center"/>
            </w:pPr>
            <w:r w:rsidRPr="002238A2">
              <w:sym w:font="Wingdings" w:char="F0FC"/>
            </w:r>
          </w:p>
        </w:tc>
        <w:tc>
          <w:tcPr>
            <w:tcW w:w="950" w:type="dxa"/>
          </w:tcPr>
          <w:p w14:paraId="25A8B999" w14:textId="77777777" w:rsidR="00DB3203" w:rsidRPr="00684D58" w:rsidRDefault="00DB3203" w:rsidP="00491C1E">
            <w:pPr>
              <w:pStyle w:val="Tabletext"/>
              <w:ind w:left="0" w:right="0"/>
              <w:jc w:val="center"/>
            </w:pPr>
            <w:r w:rsidRPr="00684D58">
              <w:sym w:font="Wingdings" w:char="F0FC"/>
            </w:r>
          </w:p>
        </w:tc>
        <w:tc>
          <w:tcPr>
            <w:tcW w:w="765" w:type="dxa"/>
          </w:tcPr>
          <w:p w14:paraId="54E4E651" w14:textId="77777777" w:rsidR="00DB3203" w:rsidRPr="002238A2" w:rsidRDefault="00DB3203" w:rsidP="00491C1E">
            <w:pPr>
              <w:pStyle w:val="Tabletext"/>
              <w:ind w:left="0" w:right="0"/>
              <w:jc w:val="center"/>
            </w:pPr>
            <w:r w:rsidRPr="002238A2">
              <w:t>–</w:t>
            </w:r>
          </w:p>
        </w:tc>
        <w:tc>
          <w:tcPr>
            <w:tcW w:w="839" w:type="dxa"/>
          </w:tcPr>
          <w:p w14:paraId="6C64930E" w14:textId="77777777" w:rsidR="00DB3203" w:rsidRPr="00684D58" w:rsidRDefault="00DB3203" w:rsidP="00491C1E">
            <w:pPr>
              <w:pStyle w:val="Tabletext"/>
              <w:ind w:left="0" w:right="0"/>
              <w:jc w:val="center"/>
            </w:pPr>
            <w:r w:rsidRPr="00684D58">
              <w:t>–</w:t>
            </w:r>
          </w:p>
        </w:tc>
      </w:tr>
      <w:tr w:rsidR="00DB3203" w:rsidRPr="004F1C07" w14:paraId="71529578" w14:textId="77777777" w:rsidTr="00491C1E">
        <w:trPr>
          <w:trHeight w:val="95"/>
        </w:trPr>
        <w:tc>
          <w:tcPr>
            <w:tcW w:w="1526" w:type="dxa"/>
            <w:vMerge/>
          </w:tcPr>
          <w:p w14:paraId="33EE1E0B" w14:textId="77777777" w:rsidR="00DB3203" w:rsidRPr="004F1C07" w:rsidRDefault="00DB3203" w:rsidP="00491C1E">
            <w:pPr>
              <w:pStyle w:val="Tabletext"/>
              <w:ind w:left="0" w:right="0"/>
            </w:pPr>
          </w:p>
        </w:tc>
        <w:tc>
          <w:tcPr>
            <w:tcW w:w="3803" w:type="dxa"/>
          </w:tcPr>
          <w:p w14:paraId="510368C2" w14:textId="77777777" w:rsidR="00DB3203" w:rsidRPr="00076E4B" w:rsidRDefault="00DB3203" w:rsidP="00491C1E">
            <w:pPr>
              <w:ind w:left="0" w:right="0"/>
              <w:rPr>
                <w:sz w:val="20"/>
                <w:szCs w:val="20"/>
              </w:rPr>
            </w:pPr>
            <w:r w:rsidRPr="00076E4B">
              <w:rPr>
                <w:sz w:val="20"/>
                <w:szCs w:val="20"/>
              </w:rPr>
              <w:t>Potential for pre-systemic inhibition of CYP3A4</w:t>
            </w:r>
          </w:p>
        </w:tc>
        <w:tc>
          <w:tcPr>
            <w:tcW w:w="791" w:type="dxa"/>
          </w:tcPr>
          <w:p w14:paraId="0AD6AF60" w14:textId="77777777" w:rsidR="00DB3203" w:rsidRPr="002238A2" w:rsidRDefault="00DB3203" w:rsidP="00491C1E">
            <w:pPr>
              <w:pStyle w:val="Tabletext"/>
              <w:ind w:left="0" w:right="0"/>
              <w:jc w:val="center"/>
            </w:pPr>
            <w:r w:rsidRPr="002238A2">
              <w:sym w:font="Wingdings" w:char="F0FC"/>
            </w:r>
          </w:p>
        </w:tc>
        <w:tc>
          <w:tcPr>
            <w:tcW w:w="950" w:type="dxa"/>
          </w:tcPr>
          <w:p w14:paraId="6912A1A2" w14:textId="77777777" w:rsidR="00DB3203" w:rsidRPr="00684D58" w:rsidRDefault="00DB3203" w:rsidP="00491C1E">
            <w:pPr>
              <w:pStyle w:val="Tabletext"/>
              <w:ind w:left="0" w:right="0"/>
              <w:jc w:val="center"/>
            </w:pPr>
            <w:r w:rsidRPr="00684D58">
              <w:sym w:font="Wingdings" w:char="F0FC"/>
            </w:r>
          </w:p>
        </w:tc>
        <w:tc>
          <w:tcPr>
            <w:tcW w:w="765" w:type="dxa"/>
          </w:tcPr>
          <w:p w14:paraId="0ACFA0B1" w14:textId="77777777" w:rsidR="00DB3203" w:rsidRPr="002238A2" w:rsidRDefault="00DB3203" w:rsidP="00491C1E">
            <w:pPr>
              <w:pStyle w:val="Tabletext"/>
              <w:ind w:left="0" w:right="0"/>
              <w:jc w:val="center"/>
            </w:pPr>
            <w:r w:rsidRPr="002238A2">
              <w:sym w:font="Wingdings" w:char="F0FC"/>
            </w:r>
          </w:p>
        </w:tc>
        <w:tc>
          <w:tcPr>
            <w:tcW w:w="839" w:type="dxa"/>
          </w:tcPr>
          <w:p w14:paraId="5A545BCC" w14:textId="77777777" w:rsidR="00DB3203" w:rsidRPr="00684D58" w:rsidRDefault="00DB3203" w:rsidP="00491C1E">
            <w:pPr>
              <w:pStyle w:val="Tabletext"/>
              <w:ind w:left="0" w:right="0"/>
              <w:jc w:val="center"/>
            </w:pPr>
            <w:r w:rsidRPr="00684D58">
              <w:t>–</w:t>
            </w:r>
          </w:p>
        </w:tc>
      </w:tr>
      <w:tr w:rsidR="00DB3203" w:rsidRPr="004F1C07" w14:paraId="49D25F1E" w14:textId="77777777" w:rsidTr="00491C1E">
        <w:trPr>
          <w:trHeight w:val="130"/>
        </w:trPr>
        <w:tc>
          <w:tcPr>
            <w:tcW w:w="1526" w:type="dxa"/>
            <w:vMerge/>
          </w:tcPr>
          <w:p w14:paraId="083D202C" w14:textId="77777777" w:rsidR="00DB3203" w:rsidRPr="004F1C07" w:rsidRDefault="00DB3203" w:rsidP="00491C1E">
            <w:pPr>
              <w:pStyle w:val="Tabletext"/>
              <w:ind w:left="0" w:right="0"/>
            </w:pPr>
          </w:p>
        </w:tc>
        <w:tc>
          <w:tcPr>
            <w:tcW w:w="3803" w:type="dxa"/>
          </w:tcPr>
          <w:p w14:paraId="2C07E9F7" w14:textId="77777777" w:rsidR="00DB3203" w:rsidRPr="00076E4B" w:rsidRDefault="00DB3203" w:rsidP="00491C1E">
            <w:pPr>
              <w:ind w:left="0" w:right="0"/>
              <w:rPr>
                <w:sz w:val="20"/>
                <w:szCs w:val="20"/>
              </w:rPr>
            </w:pPr>
            <w:r w:rsidRPr="00076E4B">
              <w:rPr>
                <w:sz w:val="20"/>
                <w:szCs w:val="20"/>
              </w:rPr>
              <w:t>Potential for inhibition of P-gp</w:t>
            </w:r>
          </w:p>
        </w:tc>
        <w:tc>
          <w:tcPr>
            <w:tcW w:w="791" w:type="dxa"/>
          </w:tcPr>
          <w:p w14:paraId="46A76220" w14:textId="77777777" w:rsidR="00DB3203" w:rsidRPr="002238A2" w:rsidRDefault="00DB3203" w:rsidP="00491C1E">
            <w:pPr>
              <w:pStyle w:val="Tabletext"/>
              <w:ind w:left="0" w:right="0"/>
              <w:jc w:val="center"/>
            </w:pPr>
            <w:r w:rsidRPr="002238A2">
              <w:sym w:font="Wingdings" w:char="F0FC"/>
            </w:r>
          </w:p>
        </w:tc>
        <w:tc>
          <w:tcPr>
            <w:tcW w:w="950" w:type="dxa"/>
          </w:tcPr>
          <w:p w14:paraId="1E6C44B6" w14:textId="77777777" w:rsidR="00DB3203" w:rsidRPr="00684D58" w:rsidRDefault="00DB3203" w:rsidP="00491C1E">
            <w:pPr>
              <w:pStyle w:val="Tabletext"/>
              <w:ind w:left="0" w:right="0"/>
              <w:jc w:val="center"/>
            </w:pPr>
            <w:r w:rsidRPr="00684D58">
              <w:t>–</w:t>
            </w:r>
          </w:p>
        </w:tc>
        <w:tc>
          <w:tcPr>
            <w:tcW w:w="765" w:type="dxa"/>
          </w:tcPr>
          <w:p w14:paraId="3A94C0DA" w14:textId="77777777" w:rsidR="00DB3203" w:rsidRPr="002238A2" w:rsidRDefault="00DB3203" w:rsidP="00491C1E">
            <w:pPr>
              <w:pStyle w:val="Tabletext"/>
              <w:ind w:left="0" w:right="0"/>
              <w:jc w:val="center"/>
            </w:pPr>
            <w:r w:rsidRPr="002238A2">
              <w:sym w:font="Wingdings" w:char="F0FC"/>
            </w:r>
          </w:p>
        </w:tc>
        <w:tc>
          <w:tcPr>
            <w:tcW w:w="839" w:type="dxa"/>
          </w:tcPr>
          <w:p w14:paraId="77B730A7" w14:textId="77777777" w:rsidR="00DB3203" w:rsidRPr="00684D58" w:rsidRDefault="00DB3203" w:rsidP="00491C1E">
            <w:pPr>
              <w:pStyle w:val="Tabletext"/>
              <w:ind w:left="0" w:right="0"/>
              <w:jc w:val="center"/>
            </w:pPr>
            <w:r w:rsidRPr="00684D58">
              <w:t>–</w:t>
            </w:r>
          </w:p>
        </w:tc>
      </w:tr>
    </w:tbl>
    <w:p w14:paraId="2697E3D5" w14:textId="77777777" w:rsidR="00DB3203" w:rsidRPr="00DB3203" w:rsidRDefault="00DB3203" w:rsidP="00DB3203">
      <w:pPr>
        <w:pStyle w:val="TableDescription"/>
      </w:pPr>
      <w:r w:rsidRPr="00E33F1D">
        <w:t>(LHON - Leber hereditary optic neuropathy.</w:t>
      </w:r>
      <w:r>
        <w:t xml:space="preserve"> </w:t>
      </w:r>
      <w:r w:rsidRPr="00E33F1D">
        <w:t>DMD - Duchenne muscular dystrophy. GCs – Glucocorticoids)</w:t>
      </w:r>
      <w:r>
        <w:t xml:space="preserve"> </w:t>
      </w:r>
      <w:r w:rsidRPr="00E33F1D">
        <w:rPr>
          <w:szCs w:val="22"/>
        </w:rPr>
        <w:t>*Providing physician education material is proposed for the EU, but not for Australia</w:t>
      </w:r>
    </w:p>
    <w:p w14:paraId="2C0C255E" w14:textId="6A030D75" w:rsidR="00DB3203" w:rsidRPr="00353593" w:rsidRDefault="00DB3203" w:rsidP="00DB3203">
      <w:pPr>
        <w:pStyle w:val="ListBullet"/>
      </w:pPr>
      <w:r w:rsidRPr="00353593">
        <w:t>Additional pharmacovigilance activities include a Phase III study assessing the efficacy, safety and tolerability of idebenone in patients with DMD receiving glucocorticoid steroids (</w:t>
      </w:r>
      <w:r w:rsidR="002E3158">
        <w:t xml:space="preserve">the </w:t>
      </w:r>
      <w:r w:rsidRPr="00353593">
        <w:t>SIDEROS</w:t>
      </w:r>
      <w:r w:rsidR="002E3158">
        <w:t xml:space="preserve"> study / Study</w:t>
      </w:r>
      <w:r w:rsidRPr="00353593">
        <w:t xml:space="preserve"> SNT-III-012)</w:t>
      </w:r>
      <w:r>
        <w:t xml:space="preserve"> and a </w:t>
      </w:r>
      <w:r w:rsidRPr="00353593">
        <w:t>post-authorisation safety s</w:t>
      </w:r>
      <w:r>
        <w:t>tudy.</w:t>
      </w:r>
    </w:p>
    <w:p w14:paraId="69024975" w14:textId="77777777" w:rsidR="00456765" w:rsidRPr="00DB3203" w:rsidRDefault="00DB3203" w:rsidP="00DB3203">
      <w:pPr>
        <w:pStyle w:val="ListBullet"/>
        <w:rPr>
          <w:szCs w:val="23"/>
        </w:rPr>
      </w:pPr>
      <w:r w:rsidRPr="00353593">
        <w:t xml:space="preserve">Routine risk minimisation activities are proposed for all safety concerns. </w:t>
      </w:r>
      <w:r>
        <w:t>It is proposed to provide</w:t>
      </w:r>
      <w:r w:rsidRPr="00353593">
        <w:t xml:space="preserve"> </w:t>
      </w:r>
      <w:r>
        <w:t>educational material</w:t>
      </w:r>
      <w:r w:rsidRPr="00353593">
        <w:t xml:space="preserve"> </w:t>
      </w:r>
      <w:r>
        <w:t xml:space="preserve">to the physicians in the EU </w:t>
      </w:r>
      <w:r w:rsidRPr="00AB6E2E">
        <w:t>t</w:t>
      </w:r>
      <w:r w:rsidRPr="00AB6E2E">
        <w:rPr>
          <w:szCs w:val="23"/>
        </w:rPr>
        <w:t xml:space="preserve">o prevent off-label prescription </w:t>
      </w:r>
      <w:r>
        <w:rPr>
          <w:szCs w:val="23"/>
        </w:rPr>
        <w:t>of R</w:t>
      </w:r>
      <w:r w:rsidRPr="00AB6E2E">
        <w:rPr>
          <w:szCs w:val="23"/>
        </w:rPr>
        <w:t xml:space="preserve">axone to DMD patients receiving </w:t>
      </w:r>
      <w:r>
        <w:rPr>
          <w:szCs w:val="23"/>
        </w:rPr>
        <w:t>glucocorticoids.</w:t>
      </w:r>
      <w:r w:rsidRPr="00353593">
        <w:rPr>
          <w:szCs w:val="23"/>
        </w:rPr>
        <w:t xml:space="preserve"> </w:t>
      </w:r>
      <w:r w:rsidR="006F7B62" w:rsidRPr="00353593">
        <w:rPr>
          <w:szCs w:val="23"/>
        </w:rPr>
        <w:t>However,</w:t>
      </w:r>
      <w:r w:rsidRPr="00353593">
        <w:rPr>
          <w:szCs w:val="23"/>
        </w:rPr>
        <w:t xml:space="preserve"> no additional risk minimisation measures are proposed for Australia.</w:t>
      </w:r>
      <w:r w:rsidRPr="00353593">
        <w:rPr>
          <w:sz w:val="20"/>
          <w:szCs w:val="20"/>
        </w:rPr>
        <w:t xml:space="preserve"> </w:t>
      </w:r>
      <w:r w:rsidRPr="00A341B2">
        <w:rPr>
          <w:szCs w:val="23"/>
        </w:rPr>
        <w:t xml:space="preserve">Physician education for this missing information is not considered to be a regulatory requirement in Australia, as the proposed </w:t>
      </w:r>
      <w:r w:rsidRPr="000314B0">
        <w:rPr>
          <w:szCs w:val="23"/>
        </w:rPr>
        <w:t>indication excludes use</w:t>
      </w:r>
      <w:r w:rsidRPr="00A341B2">
        <w:rPr>
          <w:szCs w:val="23"/>
        </w:rPr>
        <w:t xml:space="preserve"> in this population.</w:t>
      </w:r>
    </w:p>
    <w:p w14:paraId="17C90431" w14:textId="77777777" w:rsidR="00456765" w:rsidRDefault="00456765" w:rsidP="00456765">
      <w:pPr>
        <w:pStyle w:val="Heading4"/>
      </w:pPr>
      <w:bookmarkStart w:id="252" w:name="_Toc477354123"/>
      <w:r>
        <w:t>New and outstanding recommendations from second round evaluation</w:t>
      </w:r>
      <w:bookmarkEnd w:id="252"/>
    </w:p>
    <w:p w14:paraId="15B29ADA" w14:textId="755D9313" w:rsidR="00DB3203" w:rsidRPr="00A243EF" w:rsidRDefault="00DB3203" w:rsidP="00DB3203">
      <w:r w:rsidRPr="00A243EF">
        <w:t>The recommendations</w:t>
      </w:r>
      <w:r w:rsidR="002E3158">
        <w:t xml:space="preserve"> (recommendations 1 to 8)</w:t>
      </w:r>
      <w:r w:rsidRPr="00A243EF">
        <w:t xml:space="preserve"> made in the </w:t>
      </w:r>
      <w:r w:rsidR="006F7B62">
        <w:t>first round</w:t>
      </w:r>
      <w:r w:rsidRPr="00A243EF">
        <w:t xml:space="preserve"> evaluation, along with consideration of the </w:t>
      </w:r>
      <w:r w:rsidR="0032280D">
        <w:t>sponsor</w:t>
      </w:r>
      <w:r w:rsidRPr="00A243EF">
        <w:t xml:space="preserve"> response, </w:t>
      </w:r>
      <w:r w:rsidR="006F7B62">
        <w:t>were provided</w:t>
      </w:r>
      <w:r w:rsidR="00676022">
        <w:t xml:space="preserve"> </w:t>
      </w:r>
      <w:r w:rsidR="002E3158">
        <w:t>[</w:t>
      </w:r>
      <w:r w:rsidR="006F7B62">
        <w:t>not included in th</w:t>
      </w:r>
      <w:r w:rsidR="002E3158">
        <w:t>is</w:t>
      </w:r>
      <w:r w:rsidR="006F7B62">
        <w:t xml:space="preserve"> AusPAR</w:t>
      </w:r>
      <w:r w:rsidR="002E3158">
        <w:t>].</w:t>
      </w:r>
    </w:p>
    <w:p w14:paraId="7FEB68DF" w14:textId="77777777" w:rsidR="00685A72" w:rsidRDefault="00DB3203" w:rsidP="00DB3203">
      <w:r w:rsidRPr="00A243EF">
        <w:t xml:space="preserve">The </w:t>
      </w:r>
      <w:r w:rsidR="0032280D">
        <w:t>sponsor</w:t>
      </w:r>
      <w:r w:rsidRPr="00A243EF">
        <w:t xml:space="preserve"> has satisfactorily addressed recommendations 1, 3 and 5</w:t>
      </w:r>
      <w:r w:rsidR="00685A72">
        <w:t>.</w:t>
      </w:r>
    </w:p>
    <w:p w14:paraId="05231E63" w14:textId="77777777" w:rsidR="00DB3203" w:rsidRPr="00A243EF" w:rsidRDefault="00DB3203" w:rsidP="00DB3203">
      <w:r w:rsidRPr="00A243EF">
        <w:t xml:space="preserve">With regards to recommendations 4, 6, 7 and 8, the </w:t>
      </w:r>
      <w:r w:rsidR="0032280D">
        <w:t>sponsor</w:t>
      </w:r>
      <w:r w:rsidRPr="00A243EF">
        <w:t xml:space="preserve"> has committed to:</w:t>
      </w:r>
    </w:p>
    <w:p w14:paraId="2F517AAE" w14:textId="2ED44207" w:rsidR="00DB3203" w:rsidRPr="006F7B62" w:rsidRDefault="00DB3203" w:rsidP="00DB3203">
      <w:pPr>
        <w:pStyle w:val="ListBullet"/>
      </w:pPr>
      <w:r w:rsidRPr="006F7B62">
        <w:t>provide the details of the organisation responsible for risk management activities in Australia prior to commercialisation and launch of the product (</w:t>
      </w:r>
      <w:r w:rsidR="002E3158">
        <w:t>r</w:t>
      </w:r>
      <w:r w:rsidRPr="006F7B62">
        <w:t>ecommendation 4);</w:t>
      </w:r>
    </w:p>
    <w:p w14:paraId="63DC4052" w14:textId="1FF5C7E2" w:rsidR="00DB3203" w:rsidRPr="00A243EF" w:rsidRDefault="00DB3203" w:rsidP="00DB3203">
      <w:pPr>
        <w:pStyle w:val="ListBullet"/>
      </w:pPr>
      <w:r w:rsidRPr="00A243EF">
        <w:t>revise the missing information in the summary of safety concerns in the EU RMP to state ‘</w:t>
      </w:r>
      <w:r w:rsidRPr="00A243EF">
        <w:rPr>
          <w:i/>
        </w:rPr>
        <w:t xml:space="preserve">Use in children with DMD </w:t>
      </w:r>
      <w:r w:rsidR="006F7B62">
        <w:rPr>
          <w:i/>
        </w:rPr>
        <w:t>under 10 years of age</w:t>
      </w:r>
      <w:r w:rsidR="00685A72" w:rsidRPr="006F7B62">
        <w:rPr>
          <w:i/>
        </w:rPr>
        <w:t>’</w:t>
      </w:r>
      <w:r w:rsidRPr="006F7B62">
        <w:rPr>
          <w:i/>
        </w:rPr>
        <w:t xml:space="preserve"> instead</w:t>
      </w:r>
      <w:r w:rsidRPr="00A243EF">
        <w:rPr>
          <w:i/>
        </w:rPr>
        <w:t xml:space="preserve"> of</w:t>
      </w:r>
      <w:r>
        <w:rPr>
          <w:i/>
        </w:rPr>
        <w:t xml:space="preserve"> </w:t>
      </w:r>
      <w:r w:rsidRPr="00A243EF">
        <w:rPr>
          <w:i/>
        </w:rPr>
        <w:t xml:space="preserve">‘under 8 years of age’ </w:t>
      </w:r>
      <w:r w:rsidRPr="00D7721B">
        <w:t>(</w:t>
      </w:r>
      <w:r w:rsidR="002E3158">
        <w:t>r</w:t>
      </w:r>
      <w:r w:rsidRPr="00D7721B">
        <w:t>ecommendation 6);</w:t>
      </w:r>
    </w:p>
    <w:p w14:paraId="139C8533" w14:textId="3301EB90" w:rsidR="00DB3203" w:rsidRPr="00A243EF" w:rsidRDefault="00DB3203" w:rsidP="00DB3203">
      <w:pPr>
        <w:pStyle w:val="ListBullet"/>
      </w:pPr>
      <w:r w:rsidRPr="00A243EF">
        <w:t xml:space="preserve">revise the </w:t>
      </w:r>
      <w:r w:rsidR="002E3158">
        <w:t>Consumer Medicines Information (</w:t>
      </w:r>
      <w:r w:rsidRPr="00A243EF">
        <w:t>CMI</w:t>
      </w:r>
      <w:r w:rsidR="002E3158">
        <w:t>)</w:t>
      </w:r>
      <w:r w:rsidRPr="00A243EF">
        <w:t xml:space="preserve"> to clearly describe what Raxone </w:t>
      </w:r>
      <w:r w:rsidR="006F7B62">
        <w:t>is used for (</w:t>
      </w:r>
      <w:r w:rsidR="002E3158">
        <w:t>r</w:t>
      </w:r>
      <w:r w:rsidR="006F7B62">
        <w:t>ecommendation 7);</w:t>
      </w:r>
      <w:r w:rsidR="002E3158">
        <w:t xml:space="preserve"> and</w:t>
      </w:r>
    </w:p>
    <w:p w14:paraId="76AEAF38" w14:textId="6BB6D192" w:rsidR="00DB3203" w:rsidRPr="00A243EF" w:rsidRDefault="00DB3203" w:rsidP="00DB3203">
      <w:pPr>
        <w:pStyle w:val="ListBullet"/>
      </w:pPr>
      <w:r w:rsidRPr="00A243EF">
        <w:t>rectify the inconsistencies between ‘How much to take’ and ‘When to take it’ sections of the CMI</w:t>
      </w:r>
      <w:r>
        <w:t xml:space="preserve"> (</w:t>
      </w:r>
      <w:r w:rsidR="002E3158">
        <w:t>r</w:t>
      </w:r>
      <w:r>
        <w:t>ecommendation 8)</w:t>
      </w:r>
      <w:r w:rsidRPr="00A243EF">
        <w:t>.</w:t>
      </w:r>
    </w:p>
    <w:p w14:paraId="2684F24E" w14:textId="1B24D31F" w:rsidR="00DB3203" w:rsidRPr="006F7B62" w:rsidRDefault="00DB3203" w:rsidP="006F7B62">
      <w:r w:rsidRPr="006F7B62">
        <w:t xml:space="preserve">It is noted that the </w:t>
      </w:r>
      <w:r w:rsidR="0032280D" w:rsidRPr="006F7B62">
        <w:t>sponsor</w:t>
      </w:r>
      <w:r w:rsidRPr="006F7B62">
        <w:t xml:space="preserve"> has committed to provide the updated CMI by 28</w:t>
      </w:r>
      <w:r w:rsidR="002E3158">
        <w:t> </w:t>
      </w:r>
      <w:r w:rsidRPr="006F7B62">
        <w:t>February</w:t>
      </w:r>
      <w:r w:rsidR="002E3158">
        <w:t> </w:t>
      </w:r>
      <w:r w:rsidRPr="006F7B62">
        <w:t>2018.</w:t>
      </w:r>
    </w:p>
    <w:p w14:paraId="555050A8" w14:textId="77777777" w:rsidR="00DB3203" w:rsidRPr="00A243EF" w:rsidRDefault="00DB3203" w:rsidP="00DB3203">
      <w:r w:rsidRPr="00A243EF">
        <w:t>There is one minor outstanding recommendation which can be addressed when the next updated ASA is submitted to the TGA:</w:t>
      </w:r>
    </w:p>
    <w:p w14:paraId="05333153" w14:textId="3EA87E87" w:rsidR="00685A72" w:rsidRPr="002E3158" w:rsidRDefault="00DB3203" w:rsidP="00D7721B">
      <w:pPr>
        <w:ind w:left="720"/>
      </w:pPr>
      <w:r w:rsidRPr="002E3158">
        <w:lastRenderedPageBreak/>
        <w:t>Recommendation 2</w:t>
      </w:r>
      <w:r w:rsidR="002E3158" w:rsidRPr="002E3158">
        <w:t>:</w:t>
      </w:r>
      <w:r w:rsidRPr="002E3158">
        <w:t xml:space="preserve"> During the next update of the ASA, the </w:t>
      </w:r>
      <w:r w:rsidR="0032280D" w:rsidRPr="002E3158">
        <w:t>sponsor</w:t>
      </w:r>
      <w:r w:rsidRPr="002E3158">
        <w:t xml:space="preserve"> should include a section on ‘Summary of the RMP’, with the risk minimisat</w:t>
      </w:r>
      <w:r w:rsidRPr="008C3879">
        <w:t>ion and pharmacovigilance activities summarised in a table</w:t>
      </w:r>
      <w:r w:rsidR="00685A72" w:rsidRPr="002E3158">
        <w:t>.</w:t>
      </w:r>
    </w:p>
    <w:p w14:paraId="17F7ED09" w14:textId="77777777" w:rsidR="00DB3203" w:rsidRPr="002E3158" w:rsidRDefault="00DB3203" w:rsidP="00DB3203">
      <w:r w:rsidRPr="00A243EF">
        <w:t>There is one new recommen</w:t>
      </w:r>
      <w:r w:rsidRPr="002E3158">
        <w:t>dation (See wording for Conditions of Registration):</w:t>
      </w:r>
    </w:p>
    <w:p w14:paraId="1D4D285F" w14:textId="77777777" w:rsidR="00456765" w:rsidRPr="002E3158" w:rsidRDefault="00DB3203" w:rsidP="00D7721B">
      <w:pPr>
        <w:ind w:left="720"/>
      </w:pPr>
      <w:r w:rsidRPr="002E3158">
        <w:t>Recommendation 9: Raxone is a new chemical entity, and as such meets the inclusion criteria for the Black Triangle Scheme. The re</w:t>
      </w:r>
      <w:r w:rsidRPr="008C3879">
        <w:t>levant symbol and statement should be added to the PI and CMI.</w:t>
      </w:r>
    </w:p>
    <w:p w14:paraId="34127D89" w14:textId="77777777" w:rsidR="00456765" w:rsidRPr="002E3158" w:rsidRDefault="00456765" w:rsidP="00456765">
      <w:pPr>
        <w:pStyle w:val="Heading4"/>
      </w:pPr>
      <w:bookmarkStart w:id="253" w:name="_Toc477354124"/>
      <w:r w:rsidRPr="002E3158">
        <w:t>Proposed wording for conditions of registration</w:t>
      </w:r>
      <w:bookmarkEnd w:id="253"/>
    </w:p>
    <w:p w14:paraId="4466AD03" w14:textId="77777777" w:rsidR="00685A72" w:rsidRPr="002E3158" w:rsidRDefault="00DB3203" w:rsidP="00DB3203">
      <w:r w:rsidRPr="002E3158">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685A72" w:rsidRPr="002E3158">
        <w:t>.</w:t>
      </w:r>
    </w:p>
    <w:p w14:paraId="3208276E" w14:textId="77777777" w:rsidR="00DB3203" w:rsidRPr="002E3158" w:rsidRDefault="006F7B62" w:rsidP="00DB3203">
      <w:r w:rsidRPr="002E3158">
        <w:t>The suggested wording is:</w:t>
      </w:r>
    </w:p>
    <w:p w14:paraId="7DDD6A8B" w14:textId="77777777" w:rsidR="00DB3203" w:rsidRPr="002E3158" w:rsidRDefault="00DB3203" w:rsidP="002E3158">
      <w:pPr>
        <w:ind w:left="720"/>
      </w:pPr>
      <w:r w:rsidRPr="002E3158">
        <w:t>The Raxone EU-Risk Management Plan (RMP) (version 2.1 (date 21 November 2016; DLP November 2015), with Australian Specific Annex (version 0.1, dated 16 January 2018), included with submission PM-2017-01423-1-3, and any subsequent revisions, as agreed with the TGA will be implemented in Australia.</w:t>
      </w:r>
    </w:p>
    <w:p w14:paraId="324D508E" w14:textId="77777777" w:rsidR="00DB3203" w:rsidRPr="00D7721B" w:rsidRDefault="00DB3203" w:rsidP="002E3158">
      <w:pPr>
        <w:ind w:left="720"/>
      </w:pPr>
      <w:r w:rsidRPr="00D7721B">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5B182D61" w14:textId="77777777" w:rsidR="00DB3203" w:rsidRPr="00D7721B" w:rsidRDefault="00DB3203" w:rsidP="008C3879">
      <w:pPr>
        <w:ind w:left="720"/>
      </w:pPr>
      <w:r w:rsidRPr="00D7721B">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991BB41" w14:textId="77777777" w:rsidR="00DB3203" w:rsidRPr="00A243EF" w:rsidRDefault="00DB3203" w:rsidP="00DB3203">
      <w:pPr>
        <w:rPr>
          <w:snapToGrid w:val="0"/>
        </w:rPr>
      </w:pPr>
      <w:r w:rsidRPr="00A243EF">
        <w:rPr>
          <w:snapToGrid w:val="0"/>
        </w:rPr>
        <w:t>As Raxone is a new chemical entity it should be included in the Black Triangle Scheme as a condition of registration. The following wording is recommended for</w:t>
      </w:r>
      <w:r w:rsidR="006F7B62">
        <w:rPr>
          <w:snapToGrid w:val="0"/>
        </w:rPr>
        <w:t xml:space="preserve"> the condition of registration:</w:t>
      </w:r>
    </w:p>
    <w:p w14:paraId="76C97E5B" w14:textId="77777777" w:rsidR="00DB3203" w:rsidRPr="00A243EF" w:rsidRDefault="00DB3203" w:rsidP="00DB3203">
      <w:pPr>
        <w:ind w:left="720"/>
        <w:rPr>
          <w:snapToGrid w:val="0"/>
        </w:rPr>
      </w:pPr>
      <w:r w:rsidRPr="00A243EF">
        <w:rPr>
          <w:snapToGrid w:val="0"/>
        </w:rPr>
        <w:t>Raxone (Idebenone) is to be included in the Black Triangle Scheme. The PI and CMI for Raxone must include the black triangle symbol and mandatory accompanying text for five years, which starts from the date that the sponsor notifies the TGA of supply of the product.</w:t>
      </w:r>
    </w:p>
    <w:p w14:paraId="2B016FC8" w14:textId="77777777" w:rsidR="008E7846" w:rsidRPr="00792A32" w:rsidRDefault="008E7846" w:rsidP="008E7846">
      <w:pPr>
        <w:pStyle w:val="Heading2"/>
      </w:pPr>
      <w:bookmarkStart w:id="254" w:name="_Toc32828544"/>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36"/>
      <w:bookmarkEnd w:id="250"/>
      <w:bookmarkEnd w:id="251"/>
      <w:bookmarkEnd w:id="254"/>
    </w:p>
    <w:p w14:paraId="712A15E8" w14:textId="3026C42F" w:rsidR="008E7846" w:rsidRDefault="008E7846" w:rsidP="008E7846">
      <w:bookmarkStart w:id="255" w:name="_Toc247691528"/>
      <w:r>
        <w:t xml:space="preserve">The submission was summarised in the following </w:t>
      </w:r>
      <w:r w:rsidRPr="00EF5C48">
        <w:t xml:space="preserve">Delegate’s </w:t>
      </w:r>
      <w:r>
        <w:t>overview</w:t>
      </w:r>
      <w:r w:rsidRPr="00EF5C48">
        <w:t xml:space="preserve"> and recommendation</w:t>
      </w:r>
      <w:r>
        <w:t>s</w:t>
      </w:r>
      <w:r w:rsidR="002E3158">
        <w:t>.</w:t>
      </w:r>
    </w:p>
    <w:p w14:paraId="769765B5" w14:textId="77777777" w:rsidR="00716507" w:rsidRDefault="00716507" w:rsidP="00716507">
      <w:pPr>
        <w:pStyle w:val="Heading3"/>
      </w:pPr>
      <w:bookmarkStart w:id="256" w:name="_Toc32828545"/>
      <w:r>
        <w:lastRenderedPageBreak/>
        <w:t>Background</w:t>
      </w:r>
      <w:bookmarkEnd w:id="256"/>
    </w:p>
    <w:p w14:paraId="0EFE7D1B" w14:textId="6562F1B0" w:rsidR="002E3158" w:rsidRDefault="00703C39" w:rsidP="009A4844">
      <w:r>
        <w:t>This submission is to register a new chemical entity, idebenone (Raxone) 150</w:t>
      </w:r>
      <w:r w:rsidR="001601AD">
        <w:t xml:space="preserve"> </w:t>
      </w:r>
      <w:r>
        <w:t>mg film</w:t>
      </w:r>
      <w:r w:rsidR="002E3158">
        <w:t> </w:t>
      </w:r>
      <w:r>
        <w:t>coated tablet, for the proposed indication:</w:t>
      </w:r>
    </w:p>
    <w:p w14:paraId="2925B77B" w14:textId="1FDEC86D" w:rsidR="00703C39" w:rsidRPr="00D7721B" w:rsidRDefault="00DB3203" w:rsidP="00D7721B">
      <w:pPr>
        <w:ind w:left="720"/>
        <w:rPr>
          <w:i/>
        </w:rPr>
      </w:pPr>
      <w:r w:rsidRPr="00D7721B">
        <w:rPr>
          <w:i/>
        </w:rPr>
        <w:t>Raxone</w:t>
      </w:r>
      <w:r w:rsidR="00703C39" w:rsidRPr="00D7721B">
        <w:rPr>
          <w:i/>
        </w:rPr>
        <w:t xml:space="preserve"> is indicated for the treatment of patients w</w:t>
      </w:r>
      <w:r w:rsidR="0002337A" w:rsidRPr="00D7721B">
        <w:rPr>
          <w:i/>
        </w:rPr>
        <w:t>ith DMD</w:t>
      </w:r>
      <w:r w:rsidR="00703C39" w:rsidRPr="00D7721B">
        <w:rPr>
          <w:i/>
        </w:rPr>
        <w:t xml:space="preserve"> in whom respiratory function has started to decline (PEF%p</w:t>
      </w:r>
      <w:r w:rsidR="001601AD" w:rsidRPr="00D7721B">
        <w:rPr>
          <w:i/>
        </w:rPr>
        <w:t xml:space="preserve"> </w:t>
      </w:r>
      <w:r w:rsidR="003173BB" w:rsidRPr="00D7721B">
        <w:rPr>
          <w:i/>
        </w:rPr>
        <w:t xml:space="preserve">&lt; </w:t>
      </w:r>
      <w:r w:rsidR="00703C39" w:rsidRPr="00D7721B">
        <w:rPr>
          <w:i/>
        </w:rPr>
        <w:t xml:space="preserve">80%) and who are currently not taking concomitant glucocorticoids. </w:t>
      </w:r>
      <w:r w:rsidRPr="00D7721B">
        <w:rPr>
          <w:i/>
        </w:rPr>
        <w:t>Raxone</w:t>
      </w:r>
      <w:r w:rsidR="00703C39" w:rsidRPr="00D7721B">
        <w:rPr>
          <w:i/>
        </w:rPr>
        <w:t xml:space="preserve"> can be used in patients previously treated with glucocorticoids or in patients in whom glucocorticoid treatment is not desired, not tolerated or is contraindicated.</w:t>
      </w:r>
    </w:p>
    <w:p w14:paraId="26FCC4B9" w14:textId="77777777" w:rsidR="00703C39" w:rsidRDefault="00703C39" w:rsidP="009A4844">
      <w:r>
        <w:t>Idebenone received orphan drug designation in Australia on 27 February 2017.</w:t>
      </w:r>
      <w:r w:rsidR="00DB3203">
        <w:t xml:space="preserve"> </w:t>
      </w:r>
      <w:r>
        <w:t xml:space="preserve">The </w:t>
      </w:r>
      <w:r w:rsidR="001601AD">
        <w:t>incidence of DMD is 1 in 3,600 to</w:t>
      </w:r>
      <w:r>
        <w:t xml:space="preserve"> 6,000 live male births.</w:t>
      </w:r>
      <w:r w:rsidR="00DB3203">
        <w:t xml:space="preserve"> </w:t>
      </w:r>
      <w:r>
        <w:t>There is substantial unmet need for medical treatments for DMD.</w:t>
      </w:r>
    </w:p>
    <w:p w14:paraId="4A13BB48" w14:textId="77777777" w:rsidR="00703C39" w:rsidRPr="001601AD" w:rsidRDefault="00703C39" w:rsidP="009A4844">
      <w:pPr>
        <w:spacing w:before="0" w:after="0" w:line="240" w:lineRule="auto"/>
        <w:rPr>
          <w:bCs/>
        </w:rPr>
      </w:pPr>
      <w:r w:rsidRPr="009A4844">
        <w:rPr>
          <w:bCs/>
        </w:rPr>
        <w:t>TGA guidance, including EU guidelines adopted by the TGA, relevant to this submission include:</w:t>
      </w:r>
    </w:p>
    <w:p w14:paraId="72049D55" w14:textId="77777777" w:rsidR="00703C39" w:rsidRPr="00041660" w:rsidRDefault="00703C39" w:rsidP="009A4844">
      <w:pPr>
        <w:pStyle w:val="ListBullet"/>
        <w:rPr>
          <w:lang w:val="en"/>
        </w:rPr>
      </w:pPr>
      <w:r w:rsidRPr="00041660">
        <w:rPr>
          <w:lang w:val="en"/>
        </w:rPr>
        <w:t>Guideline on the clinical investigation of medicinal products for the treatment of Duchenne and Becker muscular dystrophy (EMA/CHMP/236981/2011)</w:t>
      </w:r>
    </w:p>
    <w:p w14:paraId="3614C076" w14:textId="30BDC494" w:rsidR="00703C39" w:rsidRPr="00041660" w:rsidRDefault="00703C39" w:rsidP="009A4844">
      <w:pPr>
        <w:pStyle w:val="ListBullet"/>
        <w:rPr>
          <w:lang w:val="en"/>
        </w:rPr>
      </w:pPr>
      <w:r w:rsidRPr="00041660">
        <w:rPr>
          <w:lang w:val="en"/>
        </w:rPr>
        <w:t>Points to consider on application with 1.</w:t>
      </w:r>
      <w:r w:rsidR="00076E48">
        <w:rPr>
          <w:lang w:val="en"/>
        </w:rPr>
        <w:t xml:space="preserve"> </w:t>
      </w:r>
      <w:r w:rsidRPr="00041660">
        <w:rPr>
          <w:lang w:val="en"/>
        </w:rPr>
        <w:t>meta-analysis 2.</w:t>
      </w:r>
      <w:r w:rsidR="00076E48">
        <w:rPr>
          <w:lang w:val="en"/>
        </w:rPr>
        <w:t xml:space="preserve"> </w:t>
      </w:r>
      <w:r w:rsidRPr="00041660">
        <w:rPr>
          <w:lang w:val="en"/>
        </w:rPr>
        <w:t>one pivotal study (CHMP/EWP/2330/99)</w:t>
      </w:r>
    </w:p>
    <w:p w14:paraId="55284F00" w14:textId="77777777" w:rsidR="00703C39" w:rsidRPr="00041660" w:rsidRDefault="00703C39" w:rsidP="009A4844">
      <w:pPr>
        <w:pStyle w:val="ListBullet"/>
        <w:rPr>
          <w:lang w:val="en"/>
        </w:rPr>
      </w:pPr>
      <w:r w:rsidRPr="00041660">
        <w:rPr>
          <w:lang w:val="en"/>
        </w:rPr>
        <w:t>Guideline on clinical trials in small populations (CHMP/EWP/83561/2005)</w:t>
      </w:r>
    </w:p>
    <w:p w14:paraId="066B8E91" w14:textId="7DAC1CDD" w:rsidR="00703C39" w:rsidRDefault="00703C39" w:rsidP="009A4844">
      <w:pPr>
        <w:pStyle w:val="ListBullet"/>
        <w:rPr>
          <w:lang w:val="en"/>
        </w:rPr>
      </w:pPr>
      <w:r w:rsidRPr="00041660">
        <w:rPr>
          <w:lang w:val="en"/>
        </w:rPr>
        <w:t xml:space="preserve">Clinical </w:t>
      </w:r>
      <w:r w:rsidR="002E3158" w:rsidRPr="00041660">
        <w:rPr>
          <w:lang w:val="en"/>
        </w:rPr>
        <w:t xml:space="preserve">investigation of medicinal products for long-term </w:t>
      </w:r>
      <w:r w:rsidR="002E3158">
        <w:rPr>
          <w:lang w:val="en"/>
        </w:rPr>
        <w:t>u</w:t>
      </w:r>
      <w:r w:rsidRPr="00041660">
        <w:rPr>
          <w:lang w:val="en"/>
        </w:rPr>
        <w:t>se (pp. 127 - 132 of Rules 1998 (3C) - 3CC6a)</w:t>
      </w:r>
    </w:p>
    <w:p w14:paraId="674902CD" w14:textId="4EDC4E4F" w:rsidR="00703C39" w:rsidRDefault="00703C39" w:rsidP="009A4844">
      <w:pPr>
        <w:pStyle w:val="ListBullet"/>
        <w:rPr>
          <w:lang w:val="en"/>
        </w:rPr>
      </w:pPr>
      <w:r w:rsidRPr="00A52CA0">
        <w:rPr>
          <w:lang w:val="en"/>
        </w:rPr>
        <w:t>Australian regulatory guidelines for prescription medicines (ARGPM)</w:t>
      </w:r>
      <w:r w:rsidR="002E3158">
        <w:rPr>
          <w:lang w:val="en"/>
        </w:rPr>
        <w:t>;</w:t>
      </w:r>
      <w:r w:rsidRPr="00A52CA0">
        <w:rPr>
          <w:lang w:val="en"/>
        </w:rPr>
        <w:t>Guidance 8: Product Information; Guidance 15: Biopharmaceutic studies.</w:t>
      </w:r>
    </w:p>
    <w:p w14:paraId="76FD602A" w14:textId="60192A2F" w:rsidR="00703C39" w:rsidRDefault="00703C39" w:rsidP="009A4844">
      <w:pPr>
        <w:rPr>
          <w:bCs/>
          <w:lang w:val="en"/>
        </w:rPr>
      </w:pPr>
      <w:r>
        <w:t xml:space="preserve">It is noted that the initial trial protocol for the pivotal </w:t>
      </w:r>
      <w:r w:rsidR="002E3158">
        <w:t xml:space="preserve">study </w:t>
      </w:r>
      <w:r w:rsidR="001601AD">
        <w:t>(</w:t>
      </w:r>
      <w:r w:rsidR="002E3158">
        <w:t xml:space="preserve">the </w:t>
      </w:r>
      <w:r w:rsidR="001601AD">
        <w:t>DELOS</w:t>
      </w:r>
      <w:r w:rsidR="002E3158">
        <w:t xml:space="preserve"> study</w:t>
      </w:r>
      <w:r w:rsidR="001601AD">
        <w:t>) was finalised in May </w:t>
      </w:r>
      <w:r>
        <w:t>2009, prior to the publishing of the EU guideline for DMD in 2011.</w:t>
      </w:r>
    </w:p>
    <w:p w14:paraId="715F2876" w14:textId="6FCCFC5E" w:rsidR="00703C39" w:rsidRPr="009A4844" w:rsidRDefault="00703C39" w:rsidP="009A4844">
      <w:pPr>
        <w:rPr>
          <w:bCs/>
          <w:lang w:val="en"/>
        </w:rPr>
      </w:pPr>
      <w:r w:rsidRPr="009A4844">
        <w:rPr>
          <w:rFonts w:asciiTheme="minorHAnsi" w:hAnsiTheme="minorHAnsi"/>
        </w:rPr>
        <w:t xml:space="preserve">Idebenone has not previously been considered by </w:t>
      </w:r>
      <w:r w:rsidR="002E3158">
        <w:rPr>
          <w:rFonts w:asciiTheme="minorHAnsi" w:hAnsiTheme="minorHAnsi"/>
        </w:rPr>
        <w:t>the Advisory Committee on Medicines (</w:t>
      </w:r>
      <w:r w:rsidRPr="009A4844">
        <w:rPr>
          <w:rFonts w:asciiTheme="minorHAnsi" w:hAnsiTheme="minorHAnsi"/>
        </w:rPr>
        <w:t>ACM</w:t>
      </w:r>
      <w:r w:rsidR="002E3158">
        <w:rPr>
          <w:rFonts w:asciiTheme="minorHAnsi" w:hAnsiTheme="minorHAnsi"/>
        </w:rPr>
        <w:t>)</w:t>
      </w:r>
      <w:r w:rsidRPr="009A4844">
        <w:rPr>
          <w:rFonts w:asciiTheme="minorHAnsi" w:hAnsiTheme="minorHAnsi"/>
        </w:rPr>
        <w:t>.</w:t>
      </w:r>
    </w:p>
    <w:p w14:paraId="6AA024C9" w14:textId="77777777" w:rsidR="008E7846" w:rsidRDefault="008E7846" w:rsidP="008E7846">
      <w:pPr>
        <w:pStyle w:val="Heading3"/>
      </w:pPr>
      <w:bookmarkStart w:id="257" w:name="_Toc314842511"/>
      <w:bookmarkStart w:id="258" w:name="_Toc32828546"/>
      <w:r>
        <w:t>Quality</w:t>
      </w:r>
      <w:bookmarkEnd w:id="255"/>
      <w:bookmarkEnd w:id="257"/>
      <w:bookmarkEnd w:id="258"/>
    </w:p>
    <w:p w14:paraId="1CB01ED8" w14:textId="77777777" w:rsidR="00703C39" w:rsidRPr="00001FA6" w:rsidRDefault="00703C39" w:rsidP="009A4844">
      <w:pPr>
        <w:rPr>
          <w:b/>
        </w:rPr>
      </w:pPr>
      <w:r>
        <w:t>All</w:t>
      </w:r>
      <w:r w:rsidRPr="005242B0">
        <w:t xml:space="preserve"> pharmaceutical chemistry and quality issues raised during the </w:t>
      </w:r>
      <w:r w:rsidR="009A4844">
        <w:t xml:space="preserve">evaluation have been resolved. </w:t>
      </w:r>
      <w:r w:rsidRPr="005242B0">
        <w:t xml:space="preserve">The </w:t>
      </w:r>
      <w:r w:rsidR="009A4844">
        <w:t>quality</w:t>
      </w:r>
      <w:r w:rsidRPr="005242B0">
        <w:t xml:space="preserve"> evaluator recommend</w:t>
      </w:r>
      <w:r>
        <w:t>s</w:t>
      </w:r>
      <w:r w:rsidRPr="005242B0">
        <w:t xml:space="preserve"> approval</w:t>
      </w:r>
      <w:r w:rsidR="009A4844">
        <w:t>.</w:t>
      </w:r>
    </w:p>
    <w:p w14:paraId="2B9C068F" w14:textId="77777777" w:rsidR="00703C39" w:rsidRPr="009E7EF0" w:rsidRDefault="00703C39" w:rsidP="009A4844">
      <w:pPr>
        <w:rPr>
          <w:b/>
        </w:rPr>
      </w:pPr>
      <w:r w:rsidRPr="009E7EF0">
        <w:t>The PI is acceptable from a pharmaceutical chemistry perspective and the product labels are acceptable.</w:t>
      </w:r>
    </w:p>
    <w:p w14:paraId="1BB4575F" w14:textId="77777777" w:rsidR="008E7846" w:rsidRDefault="008E7846" w:rsidP="008E7846">
      <w:pPr>
        <w:pStyle w:val="Heading3"/>
      </w:pPr>
      <w:bookmarkStart w:id="259" w:name="_Toc314842512"/>
      <w:bookmarkStart w:id="260" w:name="_Toc32828547"/>
      <w:r>
        <w:t>Nonclinical</w:t>
      </w:r>
      <w:bookmarkEnd w:id="259"/>
      <w:bookmarkEnd w:id="260"/>
    </w:p>
    <w:p w14:paraId="70888C8F" w14:textId="77777777" w:rsidR="00703C39" w:rsidRDefault="00703C39" w:rsidP="009A4844">
      <w:r>
        <w:t>T</w:t>
      </w:r>
      <w:r w:rsidRPr="00FC2BA6">
        <w:t xml:space="preserve">here are no nonclinical objections to </w:t>
      </w:r>
      <w:r>
        <w:t xml:space="preserve">the </w:t>
      </w:r>
      <w:r w:rsidRPr="00FC2BA6">
        <w:t xml:space="preserve">registration of </w:t>
      </w:r>
      <w:r>
        <w:t>idebenone.</w:t>
      </w:r>
    </w:p>
    <w:p w14:paraId="41853ADE" w14:textId="77777777" w:rsidR="00703C39" w:rsidRDefault="00703C39" w:rsidP="009A4844">
      <w:r>
        <w:t>The safety</w:t>
      </w:r>
      <w:r w:rsidRPr="00F62071">
        <w:t xml:space="preserve"> pharmacology </w:t>
      </w:r>
      <w:r>
        <w:t xml:space="preserve">and </w:t>
      </w:r>
      <w:r w:rsidRPr="008D4FEB">
        <w:t xml:space="preserve">repeat-dose toxicity studies </w:t>
      </w:r>
      <w:r w:rsidRPr="00F62071">
        <w:t>raised no significant concerns</w:t>
      </w:r>
      <w:r>
        <w:t xml:space="preserve"> for the clinical use of idebenone.</w:t>
      </w:r>
    </w:p>
    <w:p w14:paraId="2F30264C" w14:textId="77777777" w:rsidR="00703C39" w:rsidRDefault="00703C39" w:rsidP="009A4844">
      <w:r w:rsidRPr="00FE1B6A">
        <w:t xml:space="preserve">Idebenone is not considered to pose a carcinogenic </w:t>
      </w:r>
      <w:r>
        <w:t xml:space="preserve">or mutagenic </w:t>
      </w:r>
      <w:r w:rsidRPr="00FE1B6A">
        <w:t>hazard in humans</w:t>
      </w:r>
      <w:r>
        <w:t>, and the weight of evidence suggests that it is not clastogenic.</w:t>
      </w:r>
    </w:p>
    <w:p w14:paraId="653A0EAB" w14:textId="77777777" w:rsidR="00703C39" w:rsidRPr="00797709" w:rsidRDefault="00703C39" w:rsidP="009A4844">
      <w:pPr>
        <w:rPr>
          <w:rFonts w:asciiTheme="minorHAnsi" w:hAnsiTheme="minorHAnsi"/>
          <w:b/>
        </w:rPr>
      </w:pPr>
      <w:r w:rsidRPr="00C33282">
        <w:t>The proposed pregnancy category of B1</w:t>
      </w:r>
      <w:r w:rsidR="001601AD">
        <w:t>;</w:t>
      </w:r>
      <w:r w:rsidR="001601AD" w:rsidRPr="001601AD">
        <w:rPr>
          <w:vertAlign w:val="superscript"/>
        </w:rPr>
        <w:fldChar w:fldCharType="begin"/>
      </w:r>
      <w:r w:rsidR="001601AD" w:rsidRPr="001601AD">
        <w:rPr>
          <w:vertAlign w:val="superscript"/>
        </w:rPr>
        <w:instrText xml:space="preserve"> NOTEREF _Ref25765125 \h </w:instrText>
      </w:r>
      <w:r w:rsidR="001601AD">
        <w:rPr>
          <w:vertAlign w:val="superscript"/>
        </w:rPr>
        <w:instrText xml:space="preserve"> \* MERGEFORMAT </w:instrText>
      </w:r>
      <w:r w:rsidR="001601AD" w:rsidRPr="001601AD">
        <w:rPr>
          <w:vertAlign w:val="superscript"/>
        </w:rPr>
      </w:r>
      <w:r w:rsidR="001601AD" w:rsidRPr="001601AD">
        <w:rPr>
          <w:vertAlign w:val="superscript"/>
        </w:rPr>
        <w:fldChar w:fldCharType="separate"/>
      </w:r>
      <w:r w:rsidR="001601AD" w:rsidRPr="001601AD">
        <w:rPr>
          <w:vertAlign w:val="superscript"/>
        </w:rPr>
        <w:t>22</w:t>
      </w:r>
      <w:r w:rsidR="001601AD" w:rsidRPr="001601AD">
        <w:rPr>
          <w:vertAlign w:val="superscript"/>
        </w:rPr>
        <w:fldChar w:fldCharType="end"/>
      </w:r>
      <w:r w:rsidRPr="00C33282">
        <w:t xml:space="preserve"> is considered appropriate for idebenone.</w:t>
      </w:r>
    </w:p>
    <w:p w14:paraId="7F51A6E2" w14:textId="77777777" w:rsidR="00703C39" w:rsidRDefault="00703C39" w:rsidP="009A4844">
      <w:r>
        <w:t>The draft PI is acceptable from a nonclinical perspective.</w:t>
      </w:r>
    </w:p>
    <w:p w14:paraId="7A7C3A76" w14:textId="77777777" w:rsidR="008E7846" w:rsidRDefault="008E7846" w:rsidP="008E7846">
      <w:pPr>
        <w:pStyle w:val="Heading3"/>
      </w:pPr>
      <w:bookmarkStart w:id="261" w:name="_Toc247691530"/>
      <w:bookmarkStart w:id="262" w:name="_Toc314842513"/>
      <w:bookmarkStart w:id="263" w:name="_Toc32828548"/>
      <w:r>
        <w:lastRenderedPageBreak/>
        <w:t>Clinical</w:t>
      </w:r>
      <w:bookmarkEnd w:id="261"/>
      <w:bookmarkEnd w:id="262"/>
      <w:bookmarkEnd w:id="263"/>
    </w:p>
    <w:p w14:paraId="0ADBC592" w14:textId="02A36ED6" w:rsidR="00703C39" w:rsidRPr="008C44AB" w:rsidRDefault="00703C39" w:rsidP="009A4844">
      <w:pPr>
        <w:rPr>
          <w:b/>
        </w:rPr>
      </w:pPr>
      <w:bookmarkStart w:id="264" w:name="_Toc314842514"/>
      <w:r>
        <w:t xml:space="preserve">The clinical evaluator does not recommend </w:t>
      </w:r>
      <w:r w:rsidRPr="00075075">
        <w:t xml:space="preserve">approval of </w:t>
      </w:r>
      <w:r>
        <w:t>Raxone</w:t>
      </w:r>
      <w:r w:rsidRPr="00075075">
        <w:t xml:space="preserve"> for the proposed indication</w:t>
      </w:r>
      <w:r>
        <w:t xml:space="preserve"> because the DELOS </w:t>
      </w:r>
      <w:r w:rsidR="002E3158">
        <w:t>s</w:t>
      </w:r>
      <w:r w:rsidR="003173BB">
        <w:t>tudy</w:t>
      </w:r>
      <w:r>
        <w:t xml:space="preserve"> is not considered to be a sufficiently robust study to provide the level of evidence of efficacy required from a single pivotal study.</w:t>
      </w:r>
      <w:r w:rsidR="00DB3203">
        <w:t xml:space="preserve"> </w:t>
      </w:r>
      <w:r>
        <w:t>The reasons for this recommendation include:</w:t>
      </w:r>
    </w:p>
    <w:p w14:paraId="2C371987" w14:textId="52DFBBBE" w:rsidR="00703C39" w:rsidRDefault="00703C39" w:rsidP="009A4844">
      <w:pPr>
        <w:pStyle w:val="ListBullet"/>
      </w:pPr>
      <w:r w:rsidRPr="0061530A">
        <w:t>While</w:t>
      </w:r>
      <w:r>
        <w:t xml:space="preserve"> the DELOS </w:t>
      </w:r>
      <w:r w:rsidR="002E3158">
        <w:t>s</w:t>
      </w:r>
      <w:r w:rsidR="003173BB">
        <w:t>tudy</w:t>
      </w:r>
      <w:r>
        <w:t xml:space="preserve"> shows </w:t>
      </w:r>
      <w:r w:rsidRPr="0061530A">
        <w:t xml:space="preserve">a statistically significant reduction in the deterioration of PEF%p with idebenone in comparison to placebo, </w:t>
      </w:r>
      <w:r w:rsidRPr="002F21B6">
        <w:rPr>
          <w:bCs/>
        </w:rPr>
        <w:t xml:space="preserve">the confidence interval </w:t>
      </w:r>
      <w:r>
        <w:rPr>
          <w:bCs/>
        </w:rPr>
        <w:t>is wide, and the p-value i</w:t>
      </w:r>
      <w:r w:rsidRPr="002F21B6">
        <w:rPr>
          <w:bCs/>
        </w:rPr>
        <w:t>s not cons</w:t>
      </w:r>
      <w:r>
        <w:rPr>
          <w:bCs/>
        </w:rPr>
        <w:t>iderably stronger than p</w:t>
      </w:r>
      <w:r w:rsidR="001601AD">
        <w:rPr>
          <w:bCs/>
        </w:rPr>
        <w:t xml:space="preserve"> </w:t>
      </w:r>
      <w:r w:rsidR="003173BB">
        <w:rPr>
          <w:bCs/>
        </w:rPr>
        <w:t xml:space="preserve">&lt; </w:t>
      </w:r>
      <w:r>
        <w:rPr>
          <w:bCs/>
        </w:rPr>
        <w:t>0.05.</w:t>
      </w:r>
    </w:p>
    <w:p w14:paraId="58DB1F51" w14:textId="6C32441C" w:rsidR="00703C39" w:rsidRPr="0061530A" w:rsidRDefault="00703C39" w:rsidP="009A4844">
      <w:pPr>
        <w:pStyle w:val="ListBullet"/>
      </w:pPr>
      <w:r w:rsidRPr="0061530A">
        <w:t xml:space="preserve">The supportive respiratory data </w:t>
      </w:r>
      <w:r>
        <w:t>are</w:t>
      </w:r>
      <w:r w:rsidRPr="0061530A">
        <w:t xml:space="preserve"> difficult to interp</w:t>
      </w:r>
      <w:r>
        <w:t>ret,</w:t>
      </w:r>
      <w:r w:rsidRPr="0061530A">
        <w:t xml:space="preserve"> and </w:t>
      </w:r>
      <w:r w:rsidRPr="0061530A">
        <w:rPr>
          <w:bCs/>
        </w:rPr>
        <w:t>data to establish how respiratory function testing correlates with quality of life, time to death and other life</w:t>
      </w:r>
      <w:r w:rsidR="002E3158">
        <w:rPr>
          <w:bCs/>
        </w:rPr>
        <w:t> </w:t>
      </w:r>
      <w:r w:rsidRPr="0061530A">
        <w:rPr>
          <w:bCs/>
        </w:rPr>
        <w:t xml:space="preserve">changing events </w:t>
      </w:r>
      <w:r>
        <w:rPr>
          <w:bCs/>
        </w:rPr>
        <w:t>are</w:t>
      </w:r>
      <w:r w:rsidRPr="0061530A">
        <w:rPr>
          <w:bCs/>
        </w:rPr>
        <w:t xml:space="preserve"> lacking.</w:t>
      </w:r>
    </w:p>
    <w:p w14:paraId="694D4702" w14:textId="77777777" w:rsidR="00703C39" w:rsidRPr="002F21B6" w:rsidRDefault="00703C39" w:rsidP="009A4844">
      <w:pPr>
        <w:pStyle w:val="ListBullet"/>
      </w:pPr>
      <w:r w:rsidRPr="00994D26">
        <w:rPr>
          <w:bCs/>
        </w:rPr>
        <w:t>There are limited Phase II data</w:t>
      </w:r>
      <w:r>
        <w:rPr>
          <w:bCs/>
        </w:rPr>
        <w:t>.</w:t>
      </w:r>
    </w:p>
    <w:p w14:paraId="54A9F6BC" w14:textId="77777777" w:rsidR="00456765" w:rsidRDefault="00703C39" w:rsidP="00703C39">
      <w:r w:rsidRPr="00DF0FCC">
        <w:rPr>
          <w:rFonts w:asciiTheme="minorHAnsi" w:hAnsiTheme="minorHAnsi"/>
        </w:rPr>
        <w:t>In response to th</w:t>
      </w:r>
      <w:r>
        <w:rPr>
          <w:rFonts w:asciiTheme="minorHAnsi" w:hAnsiTheme="minorHAnsi"/>
        </w:rPr>
        <w:t>e clinical</w:t>
      </w:r>
      <w:r w:rsidRPr="00DF0FCC">
        <w:rPr>
          <w:rFonts w:asciiTheme="minorHAnsi" w:hAnsiTheme="minorHAnsi"/>
        </w:rPr>
        <w:t xml:space="preserve"> recommendation, the </w:t>
      </w:r>
      <w:r w:rsidR="0032280D">
        <w:rPr>
          <w:rFonts w:asciiTheme="minorHAnsi" w:hAnsiTheme="minorHAnsi"/>
        </w:rPr>
        <w:t>sponsor</w:t>
      </w:r>
      <w:r w:rsidRPr="00DF0FCC">
        <w:rPr>
          <w:rFonts w:asciiTheme="minorHAnsi" w:hAnsiTheme="minorHAnsi"/>
        </w:rPr>
        <w:t xml:space="preserve"> provided additional analyses of previously submitted data.</w:t>
      </w:r>
    </w:p>
    <w:p w14:paraId="176B706D" w14:textId="77777777" w:rsidR="00703C39" w:rsidRDefault="00703C39" w:rsidP="009A4844">
      <w:r w:rsidRPr="00075075">
        <w:t>The clinical dossier included:</w:t>
      </w:r>
    </w:p>
    <w:p w14:paraId="295D76B1" w14:textId="77777777" w:rsidR="002E3158" w:rsidRPr="00C13FC1" w:rsidRDefault="002E3158" w:rsidP="002E3158">
      <w:pPr>
        <w:pStyle w:val="ListBullet"/>
      </w:pPr>
      <w:r w:rsidRPr="00DB74AD">
        <w:t xml:space="preserve">4 </w:t>
      </w:r>
      <w:r>
        <w:t>Phase I</w:t>
      </w:r>
      <w:r w:rsidRPr="00DB74AD">
        <w:t xml:space="preserve"> studies evaluating the clinical pharmacology and bioavailability of idebenone in healthy subjects</w:t>
      </w:r>
      <w:r>
        <w:t xml:space="preserve"> (Studies SNT-I-001, </w:t>
      </w:r>
      <w:r w:rsidRPr="00675C01">
        <w:t>SNT-I-00</w:t>
      </w:r>
      <w:r>
        <w:t xml:space="preserve">2, </w:t>
      </w:r>
      <w:r w:rsidRPr="00675C01">
        <w:t>SNT-I-00</w:t>
      </w:r>
      <w:r>
        <w:t xml:space="preserve">3 and </w:t>
      </w:r>
      <w:r w:rsidRPr="00675C01">
        <w:t>SNT-I-00</w:t>
      </w:r>
      <w:r>
        <w:t>4)</w:t>
      </w:r>
      <w:r w:rsidRPr="00DB74AD">
        <w:t>.</w:t>
      </w:r>
    </w:p>
    <w:p w14:paraId="019F2950" w14:textId="77777777" w:rsidR="002E3158" w:rsidRDefault="002E3158" w:rsidP="002E3158">
      <w:pPr>
        <w:pStyle w:val="ListBullet"/>
      </w:pPr>
      <w:r>
        <w:t>2 clinical studies (1 Phase II</w:t>
      </w:r>
      <w:r w:rsidRPr="007B24B7">
        <w:t xml:space="preserve"> </w:t>
      </w:r>
      <w:r>
        <w:t xml:space="preserve">study (Study </w:t>
      </w:r>
      <w:r w:rsidRPr="007B24B7">
        <w:t>DELPHI SNT-II-001</w:t>
      </w:r>
      <w:r>
        <w:t>), 1 Phase III</w:t>
      </w:r>
      <w:r w:rsidRPr="007B24B7">
        <w:t xml:space="preserve"> </w:t>
      </w:r>
      <w:r>
        <w:t>study (</w:t>
      </w:r>
      <w:r w:rsidRPr="007B24B7">
        <w:t>DELOS</w:t>
      </w:r>
      <w:r>
        <w:t>; Study</w:t>
      </w:r>
      <w:r w:rsidRPr="007B24B7">
        <w:t xml:space="preserve"> SNT-III-003</w:t>
      </w:r>
      <w:r>
        <w:t>)) with 1 long-term extension study</w:t>
      </w:r>
      <w:r w:rsidRPr="007B24B7">
        <w:t xml:space="preserve"> </w:t>
      </w:r>
      <w:r>
        <w:t xml:space="preserve">(Study </w:t>
      </w:r>
      <w:r w:rsidRPr="007B24B7">
        <w:t>DELPHI-E SNT</w:t>
      </w:r>
      <w:r>
        <w:noBreakHyphen/>
      </w:r>
      <w:r w:rsidRPr="007B24B7">
        <w:t>II-001-E</w:t>
      </w:r>
      <w:r>
        <w:t>) in DMD. In addition, there were</w:t>
      </w:r>
      <w:r w:rsidRPr="007B24B7">
        <w:t xml:space="preserve"> 4 </w:t>
      </w:r>
      <w:r>
        <w:t>further</w:t>
      </w:r>
      <w:r w:rsidRPr="007B24B7">
        <w:t xml:space="preserve"> </w:t>
      </w:r>
      <w:r w:rsidRPr="007B24B7">
        <w:rPr>
          <w:i/>
        </w:rPr>
        <w:t>post-hoc</w:t>
      </w:r>
      <w:r>
        <w:t xml:space="preserve"> </w:t>
      </w:r>
      <w:r w:rsidRPr="007B24B7">
        <w:t xml:space="preserve">analyses </w:t>
      </w:r>
      <w:r>
        <w:t xml:space="preserve">in the DELPHI (Study </w:t>
      </w:r>
      <w:r w:rsidRPr="00675C01">
        <w:t>SNT-IR-011</w:t>
      </w:r>
      <w:r>
        <w:t xml:space="preserve">) and DELOS studies (Studies </w:t>
      </w:r>
      <w:r w:rsidRPr="007B24B7">
        <w:t>SNT-IR-009</w:t>
      </w:r>
      <w:r>
        <w:t xml:space="preserve">, </w:t>
      </w:r>
      <w:r w:rsidRPr="007B24B7">
        <w:t xml:space="preserve">SNT-IR-010, </w:t>
      </w:r>
      <w:r>
        <w:t xml:space="preserve">and </w:t>
      </w:r>
      <w:r w:rsidRPr="007B24B7">
        <w:t>SNT</w:t>
      </w:r>
      <w:r>
        <w:noBreakHyphen/>
      </w:r>
      <w:r w:rsidRPr="007B24B7">
        <w:t>IR</w:t>
      </w:r>
      <w:r>
        <w:noBreakHyphen/>
      </w:r>
      <w:r w:rsidRPr="007B24B7">
        <w:t>012)</w:t>
      </w:r>
      <w:r>
        <w:t xml:space="preserve"> studies.</w:t>
      </w:r>
    </w:p>
    <w:p w14:paraId="5200A0B4" w14:textId="77777777" w:rsidR="002E3158" w:rsidRDefault="002E3158" w:rsidP="002E3158">
      <w:pPr>
        <w:pStyle w:val="ListBullet"/>
      </w:pPr>
      <w:r>
        <w:t>2 Phase II clinical studies in Leber’s hereditary optic neuropathy (Studies </w:t>
      </w:r>
      <w:r w:rsidRPr="00675C01">
        <w:t>RHODOS</w:t>
      </w:r>
      <w:r>
        <w:t xml:space="preserve"> SNT</w:t>
      </w:r>
      <w:r>
        <w:noBreakHyphen/>
        <w:t>II</w:t>
      </w:r>
      <w:r>
        <w:noBreakHyphen/>
      </w:r>
      <w:r w:rsidRPr="00675C01">
        <w:t>003</w:t>
      </w:r>
      <w:r>
        <w:t xml:space="preserve"> and</w:t>
      </w:r>
      <w:r w:rsidRPr="00675C01">
        <w:t>RHODOS</w:t>
      </w:r>
      <w:r>
        <w:t>-</w:t>
      </w:r>
      <w:r w:rsidRPr="00675C01">
        <w:t>OFU</w:t>
      </w:r>
      <w:r>
        <w:t xml:space="preserve"> </w:t>
      </w:r>
      <w:r w:rsidRPr="00675C01">
        <w:t>SNT-II-003</w:t>
      </w:r>
      <w:r>
        <w:t>).</w:t>
      </w:r>
    </w:p>
    <w:p w14:paraId="7D21ED88" w14:textId="77777777" w:rsidR="002E3158" w:rsidRDefault="002E3158" w:rsidP="002E3158">
      <w:pPr>
        <w:pStyle w:val="ListBullet"/>
      </w:pPr>
      <w:r>
        <w:t xml:space="preserve">3 clinical studies </w:t>
      </w:r>
      <w:r w:rsidRPr="00B045A9">
        <w:t>(1 Phase II</w:t>
      </w:r>
      <w:r>
        <w:t xml:space="preserve"> and2</w:t>
      </w:r>
      <w:r w:rsidRPr="00B045A9">
        <w:t xml:space="preserve"> Phase III) </w:t>
      </w:r>
      <w:r>
        <w:t>in Friedreich’s ataxia</w:t>
      </w:r>
      <w:r w:rsidRPr="00B045A9">
        <w:t xml:space="preserve"> with </w:t>
      </w:r>
      <w:r>
        <w:t>2 </w:t>
      </w:r>
      <w:r w:rsidRPr="00B045A9">
        <w:t>long</w:t>
      </w:r>
      <w:r>
        <w:noBreakHyphen/>
      </w:r>
      <w:r w:rsidRPr="00B045A9">
        <w:t>term extension</w:t>
      </w:r>
      <w:r>
        <w:t xml:space="preserve"> studies (Studies </w:t>
      </w:r>
      <w:r w:rsidRPr="00675C01">
        <w:t>NICOSIA</w:t>
      </w:r>
      <w:r>
        <w:t xml:space="preserve"> </w:t>
      </w:r>
      <w:r w:rsidRPr="00675C01">
        <w:t>SNT-II-002</w:t>
      </w:r>
      <w:r>
        <w:t xml:space="preserve">, </w:t>
      </w:r>
      <w:r w:rsidRPr="00675C01">
        <w:t>IONIA</w:t>
      </w:r>
      <w:r>
        <w:t xml:space="preserve"> </w:t>
      </w:r>
      <w:r w:rsidRPr="00675C01">
        <w:t>SNT-III-002</w:t>
      </w:r>
      <w:r>
        <w:t xml:space="preserve">, </w:t>
      </w:r>
      <w:r w:rsidRPr="00675C01">
        <w:t>MICONOS</w:t>
      </w:r>
      <w:r>
        <w:t xml:space="preserve"> </w:t>
      </w:r>
      <w:r w:rsidRPr="00675C01">
        <w:t>SNT-III-001</w:t>
      </w:r>
      <w:r>
        <w:t xml:space="preserve">, </w:t>
      </w:r>
      <w:r w:rsidRPr="00675C01">
        <w:t>IONIA-E</w:t>
      </w:r>
      <w:r>
        <w:t xml:space="preserve"> </w:t>
      </w:r>
      <w:r w:rsidRPr="00675C01">
        <w:t>SNT-III-002-E</w:t>
      </w:r>
      <w:r>
        <w:t xml:space="preserve"> and</w:t>
      </w:r>
      <w:r w:rsidRPr="00675C01">
        <w:t>MICONOS-E</w:t>
      </w:r>
      <w:r>
        <w:t xml:space="preserve"> </w:t>
      </w:r>
      <w:r w:rsidRPr="00675C01">
        <w:t>SNT-III-001E</w:t>
      </w:r>
      <w:r>
        <w:t>).</w:t>
      </w:r>
    </w:p>
    <w:p w14:paraId="19A28567" w14:textId="77777777" w:rsidR="002E3158" w:rsidRDefault="002E3158" w:rsidP="002E3158">
      <w:pPr>
        <w:pStyle w:val="ListBullet"/>
      </w:pPr>
      <w:r>
        <w:t xml:space="preserve">1 natural history study in DMD (Study </w:t>
      </w:r>
      <w:r w:rsidRPr="00675C01">
        <w:t>SNT-IR-013</w:t>
      </w:r>
      <w:r>
        <w:t>)</w:t>
      </w:r>
    </w:p>
    <w:p w14:paraId="0AE471CD" w14:textId="77777777" w:rsidR="002E3158" w:rsidRDefault="002E3158" w:rsidP="002E3158">
      <w:pPr>
        <w:pStyle w:val="ListBullet"/>
      </w:pPr>
      <w:r>
        <w:t xml:space="preserve">1 matching study of </w:t>
      </w:r>
      <w:r w:rsidRPr="00C13FC1">
        <w:t>D</w:t>
      </w:r>
      <w:r w:rsidRPr="008F4C52">
        <w:t>uch</w:t>
      </w:r>
      <w:r w:rsidRPr="00C13FC1">
        <w:t>e</w:t>
      </w:r>
      <w:r w:rsidRPr="008F4C52">
        <w:t xml:space="preserve">nne muscular dystrophy </w:t>
      </w:r>
      <w:r>
        <w:t>l</w:t>
      </w:r>
      <w:r w:rsidRPr="008F4C52">
        <w:t>ong-term ideben</w:t>
      </w:r>
      <w:r w:rsidRPr="00C13FC1">
        <w:t>o</w:t>
      </w:r>
      <w:r w:rsidRPr="008F4C52">
        <w:t xml:space="preserve">ne </w:t>
      </w:r>
      <w:r>
        <w:t>s</w:t>
      </w:r>
      <w:r w:rsidRPr="008F4C52">
        <w:t xml:space="preserve">tudy </w:t>
      </w:r>
      <w:r>
        <w:t xml:space="preserve">(DELOS) with natural history in DMD (Study </w:t>
      </w:r>
      <w:r w:rsidRPr="00675C01">
        <w:t>SNT-IR-014</w:t>
      </w:r>
      <w:r>
        <w:t>).</w:t>
      </w:r>
    </w:p>
    <w:p w14:paraId="577BB682" w14:textId="4E00F303" w:rsidR="00D7721B" w:rsidRPr="002E3158" w:rsidRDefault="002E3158" w:rsidP="00D7721B">
      <w:pPr>
        <w:pStyle w:val="ListBullet"/>
      </w:pPr>
      <w:r>
        <w:t>283 literature references.</w:t>
      </w:r>
    </w:p>
    <w:p w14:paraId="710CCD8E" w14:textId="77777777" w:rsidR="009A4844" w:rsidRDefault="00703C39" w:rsidP="009A4844">
      <w:pPr>
        <w:spacing w:before="0" w:after="0" w:line="240" w:lineRule="auto"/>
        <w:rPr>
          <w:rStyle w:val="Heading4Char"/>
        </w:rPr>
      </w:pPr>
      <w:r w:rsidRPr="009A4844">
        <w:rPr>
          <w:rStyle w:val="Heading4Char"/>
        </w:rPr>
        <w:t>Pharmacokinetics</w:t>
      </w:r>
    </w:p>
    <w:p w14:paraId="1336B6FA" w14:textId="4F80DE75" w:rsidR="00703C39" w:rsidRPr="009A4844" w:rsidRDefault="00703C39" w:rsidP="009A4844">
      <w:r w:rsidRPr="009A4844">
        <w:t>The PK of idebenone has been determined in four Phase I studies in 69 healthy volunteers, with limited data from 13 DMD</w:t>
      </w:r>
      <w:r w:rsidR="009A4844" w:rsidRPr="009A4844">
        <w:t xml:space="preserve"> patients in the DELPHI </w:t>
      </w:r>
      <w:r w:rsidR="002E3158">
        <w:t>study</w:t>
      </w:r>
      <w:r w:rsidR="009A4844" w:rsidRPr="009A4844">
        <w:t xml:space="preserve">. </w:t>
      </w:r>
      <w:r w:rsidRPr="009A4844">
        <w:t>Idebenone is rapidly absorbed when taken orally, reaching C</w:t>
      </w:r>
      <w:r w:rsidRPr="009A4844">
        <w:rPr>
          <w:vertAlign w:val="subscript"/>
        </w:rPr>
        <w:t>max</w:t>
      </w:r>
      <w:r w:rsidRPr="009A4844">
        <w:t xml:space="preserve"> approximate</w:t>
      </w:r>
      <w:r w:rsidR="009A4844">
        <w:t xml:space="preserve">ly 1 hour post-administration. </w:t>
      </w:r>
      <w:r w:rsidRPr="009A4844">
        <w:t xml:space="preserve">Systemic exposure increased </w:t>
      </w:r>
      <w:r w:rsidR="002E3158">
        <w:rPr>
          <w:rFonts w:ascii="Cambria Math" w:hAnsi="Cambria Math" w:cs="Cambria Math"/>
        </w:rPr>
        <w:t xml:space="preserve">around </w:t>
      </w:r>
      <w:r w:rsidRPr="009A4844">
        <w:t>2.5</w:t>
      </w:r>
      <w:r w:rsidR="003173BB">
        <w:t xml:space="preserve"> fold</w:t>
      </w:r>
      <w:r w:rsidRPr="009A4844">
        <w:t xml:space="preserve"> for a doubling in dose.</w:t>
      </w:r>
      <w:r w:rsidR="00DB3203">
        <w:t xml:space="preserve"> </w:t>
      </w:r>
      <w:r w:rsidRPr="009A4844">
        <w:t>Idebenone undergoes extensive first pass metabolism in the liver.</w:t>
      </w:r>
      <w:r w:rsidR="00DB3203">
        <w:t xml:space="preserve"> </w:t>
      </w:r>
      <w:r w:rsidRPr="009A4844">
        <w:t>Bioavailability is increased by food intake (</w:t>
      </w:r>
      <w:r w:rsidR="002E3158">
        <w:rPr>
          <w:rFonts w:ascii="Cambria Math" w:hAnsi="Cambria Math" w:cs="Cambria Math"/>
        </w:rPr>
        <w:t xml:space="preserve">around </w:t>
      </w:r>
      <w:r w:rsidRPr="009A4844">
        <w:t>5</w:t>
      </w:r>
      <w:r w:rsidR="001601AD">
        <w:t> </w:t>
      </w:r>
      <w:r w:rsidR="003173BB">
        <w:t>fold</w:t>
      </w:r>
      <w:r w:rsidRPr="009A4844">
        <w:t xml:space="preserve"> increase in C</w:t>
      </w:r>
      <w:r w:rsidRPr="009A4844">
        <w:rPr>
          <w:vertAlign w:val="subscript"/>
        </w:rPr>
        <w:t>max</w:t>
      </w:r>
      <w:r w:rsidRPr="009A4844">
        <w:t xml:space="preserve"> and </w:t>
      </w:r>
      <w:r w:rsidR="002E3158">
        <w:rPr>
          <w:rFonts w:ascii="Cambria Math" w:hAnsi="Cambria Math" w:cs="Cambria Math"/>
        </w:rPr>
        <w:t xml:space="preserve">around </w:t>
      </w:r>
      <w:r w:rsidRPr="009A4844">
        <w:t>7</w:t>
      </w:r>
      <w:r w:rsidR="003173BB">
        <w:t xml:space="preserve"> fold</w:t>
      </w:r>
      <w:r w:rsidRPr="009A4844">
        <w:t xml:space="preserve"> increase in AUC</w:t>
      </w:r>
      <w:r w:rsidRPr="009A4844">
        <w:rPr>
          <w:vertAlign w:val="subscript"/>
        </w:rPr>
        <w:t>0-t</w:t>
      </w:r>
      <w:r w:rsidR="009A4844">
        <w:t xml:space="preserve">). </w:t>
      </w:r>
      <w:r w:rsidRPr="009A4844">
        <w:t>The main metabolites are eliminated primarily via the kidneys and there is minimal accumulation of idebenone in plasma.</w:t>
      </w:r>
      <w:r w:rsidR="00DB3203">
        <w:t xml:space="preserve"> </w:t>
      </w:r>
      <w:r w:rsidRPr="009A4844">
        <w:t>The justification for not performing an absolute bioavailability was considered acceptable given the very low solubility, lack of an IV formulation, and the safety and efficacy data presented for the oral formulation.</w:t>
      </w:r>
    </w:p>
    <w:p w14:paraId="351647FF" w14:textId="77777777" w:rsidR="009A4844" w:rsidRPr="009A4844" w:rsidRDefault="009A4844" w:rsidP="009A4844">
      <w:pPr>
        <w:pStyle w:val="Heading4"/>
        <w:rPr>
          <w:rStyle w:val="Heading4Char"/>
          <w:b/>
          <w:bCs/>
        </w:rPr>
      </w:pPr>
      <w:r w:rsidRPr="009A4844">
        <w:rPr>
          <w:rStyle w:val="Heading4Char"/>
          <w:b/>
          <w:bCs/>
        </w:rPr>
        <w:t>Pharmacodynamics</w:t>
      </w:r>
    </w:p>
    <w:p w14:paraId="32D4DDCD" w14:textId="77777777" w:rsidR="00703C39" w:rsidRPr="009A4844" w:rsidRDefault="00703C39" w:rsidP="009A4844">
      <w:r w:rsidRPr="009A4844">
        <w:t>Primary and secondary pharmacodynamics were assessed in the nonclinical evaluation. There was limited clinical PD data, with no PD studies in DMD patients.</w:t>
      </w:r>
      <w:r w:rsidR="00DB3203">
        <w:t xml:space="preserve"> </w:t>
      </w:r>
      <w:r w:rsidRPr="009A4844">
        <w:t xml:space="preserve">In </w:t>
      </w:r>
      <w:r w:rsidR="003173BB">
        <w:lastRenderedPageBreak/>
        <w:t>Study</w:t>
      </w:r>
      <w:r w:rsidR="001601AD">
        <w:t> SNT</w:t>
      </w:r>
      <w:r w:rsidR="001601AD">
        <w:noBreakHyphen/>
        <w:t>I</w:t>
      </w:r>
      <w:r w:rsidR="001601AD">
        <w:noBreakHyphen/>
      </w:r>
      <w:r w:rsidRPr="009A4844">
        <w:t>003, there was no indication of an inducing effect of idebenone on drug metabolising enzymes when given in doses up to 750</w:t>
      </w:r>
      <w:r w:rsidR="001601AD">
        <w:t xml:space="preserve"> </w:t>
      </w:r>
      <w:r w:rsidRPr="009A4844">
        <w:t xml:space="preserve">mg </w:t>
      </w:r>
      <w:r w:rsidR="00ED6165">
        <w:t>TDS</w:t>
      </w:r>
      <w:r w:rsidRPr="009A4844">
        <w:t xml:space="preserve"> for two weeks</w:t>
      </w:r>
      <w:r w:rsidR="009A4844">
        <w:t>.</w:t>
      </w:r>
    </w:p>
    <w:p w14:paraId="2B4DC4FC" w14:textId="611F9228" w:rsidR="00703C39" w:rsidRPr="009A4844" w:rsidRDefault="00703C39" w:rsidP="009A4844">
      <w:r>
        <w:t>No PK or PD dose ranging study has been conducted in DMD.</w:t>
      </w:r>
      <w:r w:rsidR="00DB3203">
        <w:t xml:space="preserve"> </w:t>
      </w:r>
      <w:r>
        <w:t xml:space="preserve">The NICOSIA </w:t>
      </w:r>
      <w:r w:rsidR="002E3158">
        <w:t>s</w:t>
      </w:r>
      <w:r w:rsidR="003173BB">
        <w:t>tudy</w:t>
      </w:r>
      <w:r w:rsidR="001601AD">
        <w:t>, a 6</w:t>
      </w:r>
      <w:r w:rsidR="002E3158">
        <w:t> </w:t>
      </w:r>
      <w:r>
        <w:t>month Phase II safety and efficacy study of idebenone in Friedrich’s ataxia, found that a dose of 900</w:t>
      </w:r>
      <w:r w:rsidR="001601AD">
        <w:t xml:space="preserve"> mg</w:t>
      </w:r>
      <w:r>
        <w:t xml:space="preserve">/day for patients </w:t>
      </w:r>
      <w:r w:rsidR="003173BB">
        <w:t xml:space="preserve">&gt; </w:t>
      </w:r>
      <w:r>
        <w:t>45kg was the optimal dose.</w:t>
      </w:r>
      <w:r w:rsidR="00DB3203">
        <w:t xml:space="preserve"> </w:t>
      </w:r>
      <w:r>
        <w:t xml:space="preserve">The majority of patients in the DELPHI </w:t>
      </w:r>
      <w:r w:rsidR="002E3158">
        <w:t>s</w:t>
      </w:r>
      <w:r w:rsidR="003173BB">
        <w:t>tudy</w:t>
      </w:r>
      <w:r>
        <w:t xml:space="preserve"> weighed </w:t>
      </w:r>
      <w:r w:rsidR="003173BB">
        <w:t xml:space="preserve">&lt; </w:t>
      </w:r>
      <w:r>
        <w:t>45kg and received idebenone 450</w:t>
      </w:r>
      <w:r w:rsidR="001601AD">
        <w:t xml:space="preserve"> </w:t>
      </w:r>
      <w:r>
        <w:t>mg/day, but this was increased to 900</w:t>
      </w:r>
      <w:r w:rsidR="001601AD">
        <w:t xml:space="preserve"> </w:t>
      </w:r>
      <w:r>
        <w:t>mg/day for patients over 45kg.</w:t>
      </w:r>
      <w:r w:rsidR="00DB3203">
        <w:t xml:space="preserve"> </w:t>
      </w:r>
      <w:r>
        <w:t xml:space="preserve">Patients in </w:t>
      </w:r>
      <w:r w:rsidR="002E3158">
        <w:t xml:space="preserve">the </w:t>
      </w:r>
      <w:r>
        <w:t>DELOS</w:t>
      </w:r>
      <w:r w:rsidR="002E3158">
        <w:t xml:space="preserve"> study</w:t>
      </w:r>
      <w:r>
        <w:t xml:space="preserve"> received idebenone 900</w:t>
      </w:r>
      <w:r w:rsidR="001601AD">
        <w:t xml:space="preserve"> </w:t>
      </w:r>
      <w:r>
        <w:t>mg/day, based on the older average age and higher body weight (idebenone group, me</w:t>
      </w:r>
      <w:r w:rsidR="001601AD">
        <w:t>an weight 55.3</w:t>
      </w:r>
      <w:r w:rsidR="002E3158">
        <w:t xml:space="preserve"> </w:t>
      </w:r>
      <w:r w:rsidR="001601AD">
        <w:t>kg, range 28.6</w:t>
      </w:r>
      <w:r w:rsidR="002E3158">
        <w:t xml:space="preserve"> </w:t>
      </w:r>
      <w:r w:rsidR="001601AD">
        <w:t>kg to</w:t>
      </w:r>
      <w:r>
        <w:t xml:space="preserve"> 91.0</w:t>
      </w:r>
      <w:r w:rsidR="002E3158">
        <w:t xml:space="preserve"> </w:t>
      </w:r>
      <w:r>
        <w:t>kg).</w:t>
      </w:r>
    </w:p>
    <w:p w14:paraId="618AC446" w14:textId="77777777" w:rsidR="00703C39" w:rsidRPr="009A4844" w:rsidRDefault="00703C39" w:rsidP="009A4844">
      <w:pPr>
        <w:pStyle w:val="Heading4"/>
      </w:pPr>
      <w:r w:rsidRPr="009A4844">
        <w:t>Efficacy</w:t>
      </w:r>
    </w:p>
    <w:p w14:paraId="23988B45" w14:textId="54E14220" w:rsidR="00703C39" w:rsidRDefault="00703C39" w:rsidP="00547B5F">
      <w:r>
        <w:t>Efficacy studies conducted in DMD</w:t>
      </w:r>
      <w:r w:rsidRPr="007546E7">
        <w:t xml:space="preserve"> include </w:t>
      </w:r>
      <w:r>
        <w:t xml:space="preserve">a single pivotal Phase III </w:t>
      </w:r>
      <w:r w:rsidR="003173BB">
        <w:t>Study</w:t>
      </w:r>
      <w:r>
        <w:t xml:space="preserve"> (DELOS) plus a Phase II </w:t>
      </w:r>
      <w:r w:rsidR="002E3158">
        <w:t>s</w:t>
      </w:r>
      <w:r w:rsidR="003173BB">
        <w:t>tudy</w:t>
      </w:r>
      <w:r>
        <w:t xml:space="preserve"> (</w:t>
      </w:r>
      <w:r w:rsidR="002E3158">
        <w:t xml:space="preserve">the </w:t>
      </w:r>
      <w:r>
        <w:t>DELPHI</w:t>
      </w:r>
      <w:r w:rsidR="002E3158">
        <w:t xml:space="preserve"> study </w:t>
      </w:r>
      <w:r>
        <w:t>) and its open-label extension (</w:t>
      </w:r>
      <w:r w:rsidRPr="007546E7">
        <w:t>DELPHI</w:t>
      </w:r>
      <w:r>
        <w:t>-E</w:t>
      </w:r>
      <w:r w:rsidR="008C3879">
        <w:t xml:space="preserve"> study</w:t>
      </w:r>
      <w:r>
        <w:t>).</w:t>
      </w:r>
      <w:r w:rsidR="00DB3203">
        <w:t xml:space="preserve"> </w:t>
      </w:r>
      <w:r w:rsidRPr="000B3E6E">
        <w:t xml:space="preserve">In </w:t>
      </w:r>
      <w:r w:rsidR="001601AD" w:rsidRPr="000B3E6E">
        <w:t>addition,</w:t>
      </w:r>
      <w:r w:rsidRPr="000B3E6E">
        <w:t xml:space="preserve"> there were 4 further </w:t>
      </w:r>
      <w:r w:rsidRPr="000B3E6E">
        <w:rPr>
          <w:i/>
        </w:rPr>
        <w:t>post-hoc</w:t>
      </w:r>
      <w:r w:rsidRPr="000B3E6E">
        <w:t xml:space="preserve"> </w:t>
      </w:r>
      <w:r>
        <w:t xml:space="preserve">or corrective </w:t>
      </w:r>
      <w:r w:rsidRPr="000B3E6E">
        <w:t xml:space="preserve">analyses in the DELPHI </w:t>
      </w:r>
      <w:r w:rsidR="008C3879">
        <w:t xml:space="preserve"> </w:t>
      </w:r>
      <w:r w:rsidRPr="000B3E6E">
        <w:t>(SNT</w:t>
      </w:r>
      <w:r w:rsidR="008C3879">
        <w:noBreakHyphen/>
      </w:r>
      <w:r w:rsidRPr="000B3E6E">
        <w:t>IR</w:t>
      </w:r>
      <w:r w:rsidR="008C3879">
        <w:noBreakHyphen/>
      </w:r>
      <w:r w:rsidRPr="000B3E6E">
        <w:t>011) and DELOS (SNT-IR-009, SNT-IR-010, SNT-IR-012) studies.</w:t>
      </w:r>
    </w:p>
    <w:p w14:paraId="2E23A7BD" w14:textId="5B1D2175" w:rsidR="00547B5F" w:rsidRPr="00547B5F" w:rsidRDefault="00547B5F" w:rsidP="00547B5F">
      <w:pPr>
        <w:pStyle w:val="Heading5"/>
      </w:pPr>
      <w:r w:rsidRPr="00547B5F">
        <w:t>DELPHI</w:t>
      </w:r>
      <w:r w:rsidR="008C3879">
        <w:t xml:space="preserve"> study</w:t>
      </w:r>
    </w:p>
    <w:p w14:paraId="28E6D70D" w14:textId="75269477" w:rsidR="00703C39" w:rsidRDefault="008C3879" w:rsidP="00547B5F">
      <w:r>
        <w:t xml:space="preserve">The </w:t>
      </w:r>
      <w:r w:rsidR="00703C39" w:rsidRPr="00547B5F">
        <w:t xml:space="preserve">DELPHI </w:t>
      </w:r>
      <w:r>
        <w:t xml:space="preserve">study </w:t>
      </w:r>
      <w:r w:rsidR="00703C39" w:rsidRPr="00547B5F">
        <w:t>was</w:t>
      </w:r>
      <w:r w:rsidR="00703C39">
        <w:t xml:space="preserve"> a</w:t>
      </w:r>
      <w:r w:rsidR="00703C39" w:rsidRPr="001B2D13">
        <w:t xml:space="preserve"> Phase IIa double blind, random</w:t>
      </w:r>
      <w:r w:rsidR="00703C39">
        <w:t>is</w:t>
      </w:r>
      <w:r w:rsidR="00703C39" w:rsidRPr="001B2D13">
        <w:t>ed, placebo</w:t>
      </w:r>
      <w:r w:rsidR="00703C39">
        <w:t>-</w:t>
      </w:r>
      <w:r w:rsidR="00703C39" w:rsidRPr="001B2D13">
        <w:t>controlled, single centre study to assess the efficacy and tolerability</w:t>
      </w:r>
      <w:r w:rsidR="00703C39">
        <w:t xml:space="preserve"> </w:t>
      </w:r>
      <w:r w:rsidR="001601AD">
        <w:t>of idebenone in 8 to</w:t>
      </w:r>
      <w:r w:rsidR="00703C39" w:rsidRPr="001B2D13">
        <w:t xml:space="preserve"> 16 year old males with</w:t>
      </w:r>
      <w:r w:rsidR="00703C39">
        <w:t xml:space="preserve"> </w:t>
      </w:r>
      <w:r w:rsidR="00703C39" w:rsidRPr="001B2D13">
        <w:t xml:space="preserve">cardiac dysfunction associated with </w:t>
      </w:r>
      <w:r w:rsidR="00703C39">
        <w:t>DMD.</w:t>
      </w:r>
      <w:r w:rsidR="00DB3203">
        <w:t xml:space="preserve"> </w:t>
      </w:r>
      <w:r w:rsidR="00703C39" w:rsidRPr="007C0841">
        <w:t>T</w:t>
      </w:r>
      <w:r w:rsidR="00703C39">
        <w:t>he primary objective was t</w:t>
      </w:r>
      <w:r w:rsidR="00703C39" w:rsidRPr="007C0841">
        <w:t>o</w:t>
      </w:r>
      <w:r w:rsidR="00703C39" w:rsidRPr="00B4625E">
        <w:rPr>
          <w:rFonts w:ascii="Arial" w:eastAsiaTheme="minorHAnsi" w:hAnsi="Arial" w:cs="Arial"/>
          <w:sz w:val="21"/>
          <w:szCs w:val="21"/>
        </w:rPr>
        <w:t xml:space="preserve"> </w:t>
      </w:r>
      <w:r w:rsidR="00703C39" w:rsidRPr="007C0841">
        <w:t>determine whether treatment with idebenone improves or delays the decline in</w:t>
      </w:r>
      <w:r w:rsidR="00703C39">
        <w:t xml:space="preserve"> </w:t>
      </w:r>
      <w:r w:rsidR="00703C39" w:rsidRPr="007C0841">
        <w:t>cardiac function</w:t>
      </w:r>
      <w:r w:rsidR="00703C39" w:rsidRPr="00FE64BD">
        <w:t xml:space="preserve"> </w:t>
      </w:r>
      <w:r w:rsidR="00703C39">
        <w:t>(</w:t>
      </w:r>
      <w:r w:rsidR="00703C39" w:rsidRPr="00FE64BD">
        <w:t>peak systolic radial strain of the LV inferolateral wall</w:t>
      </w:r>
      <w:r w:rsidR="00703C39">
        <w:t>); secondary objectives were to</w:t>
      </w:r>
      <w:r w:rsidR="00703C39" w:rsidRPr="007C0841">
        <w:t xml:space="preserve"> determine whether treatment with idebenone improves or delays the decline in</w:t>
      </w:r>
      <w:r w:rsidR="00703C39">
        <w:t xml:space="preserve"> </w:t>
      </w:r>
      <w:r w:rsidR="00703C39" w:rsidRPr="007C0841">
        <w:t>muscle stren</w:t>
      </w:r>
      <w:r w:rsidR="00703C39">
        <w:t>gth and/or respiratory function, t</w:t>
      </w:r>
      <w:r w:rsidR="00703C39" w:rsidRPr="007C0841">
        <w:t>o evaluate the safety and tolerability of idebenone</w:t>
      </w:r>
      <w:r w:rsidR="00703C39">
        <w:t>, and t</w:t>
      </w:r>
      <w:r w:rsidR="00703C39" w:rsidRPr="007C0841">
        <w:t>o determine whether treatment with idebenone affects the biochemical markers of</w:t>
      </w:r>
      <w:r w:rsidR="00703C39">
        <w:t xml:space="preserve"> </w:t>
      </w:r>
      <w:r w:rsidR="00703C39" w:rsidRPr="007C0841">
        <w:t>cardiac overload or cardiac degeneration</w:t>
      </w:r>
      <w:r w:rsidR="00703C39">
        <w:t>.</w:t>
      </w:r>
    </w:p>
    <w:p w14:paraId="3AD4DBF3" w14:textId="77777777" w:rsidR="00703C39" w:rsidRDefault="00703C39" w:rsidP="001601AD">
      <w:r>
        <w:t>In total, 21 patients w</w:t>
      </w:r>
      <w:r w:rsidRPr="007C0841">
        <w:t>ere random</w:t>
      </w:r>
      <w:r>
        <w:t>is</w:t>
      </w:r>
      <w:r w:rsidRPr="007C0841">
        <w:t>ed</w:t>
      </w:r>
      <w:r>
        <w:t xml:space="preserve"> </w:t>
      </w:r>
      <w:r w:rsidRPr="007C0841">
        <w:t xml:space="preserve">2:1 to receive either 150 mg oral idebenone </w:t>
      </w:r>
      <w:r>
        <w:t>(n</w:t>
      </w:r>
      <w:r w:rsidR="0061481A">
        <w:t xml:space="preserve"> = </w:t>
      </w:r>
      <w:r>
        <w:t xml:space="preserve">13) </w:t>
      </w:r>
      <w:r w:rsidRPr="007C0841">
        <w:t>or placebo</w:t>
      </w:r>
      <w:r>
        <w:t xml:space="preserve"> (n</w:t>
      </w:r>
      <w:r w:rsidR="0061481A">
        <w:t xml:space="preserve"> = </w:t>
      </w:r>
      <w:r>
        <w:t>8)</w:t>
      </w:r>
      <w:r w:rsidRPr="007C0841">
        <w:t>, three times daily (</w:t>
      </w:r>
      <w:r w:rsidR="001601AD">
        <w:t>TDS</w:t>
      </w:r>
      <w:r w:rsidRPr="007C0841">
        <w:t>) for 12 months.</w:t>
      </w:r>
    </w:p>
    <w:p w14:paraId="1306C508" w14:textId="6C90FCA7" w:rsidR="00703C39" w:rsidRDefault="00703C39" w:rsidP="00547B5F">
      <w:r>
        <w:t>The primary efficacy outcome for</w:t>
      </w:r>
      <w:r w:rsidR="008C3879">
        <w:t xml:space="preserve"> the</w:t>
      </w:r>
      <w:r>
        <w:t xml:space="preserve"> DELPHI </w:t>
      </w:r>
      <w:r w:rsidR="008C3879">
        <w:t xml:space="preserve">study </w:t>
      </w:r>
      <w:r>
        <w:t>was not met, but a difference in PEF%p between the idebenone and placebo groups was observed.</w:t>
      </w:r>
      <w:r w:rsidR="00DB3203">
        <w:t xml:space="preserve"> </w:t>
      </w:r>
      <w:r>
        <w:t>No beneficial effect was observed for other respiratory parameters, such as FVC%p and MIP%p.</w:t>
      </w:r>
    </w:p>
    <w:p w14:paraId="05C18FE3" w14:textId="2F362BB6" w:rsidR="00703C39" w:rsidRDefault="00703C39" w:rsidP="00703C39">
      <w:pPr>
        <w:pStyle w:val="TableTitle"/>
      </w:pPr>
      <w:bookmarkStart w:id="265" w:name="_Ref515357779"/>
      <w:r>
        <w:t xml:space="preserve">Table </w:t>
      </w:r>
      <w:bookmarkEnd w:id="265"/>
      <w:r w:rsidR="00CC66F4">
        <w:t>20</w:t>
      </w:r>
      <w:r w:rsidR="00547B5F">
        <w:rPr>
          <w:noProof/>
        </w:rPr>
        <w:t>:</w:t>
      </w:r>
      <w:r>
        <w:t xml:space="preserve"> </w:t>
      </w:r>
      <w:r w:rsidRPr="00C8799D">
        <w:t>Respiratory function (ITT population)</w:t>
      </w:r>
      <w:r>
        <w:t>, DELPHI</w:t>
      </w:r>
      <w:r w:rsidR="008C3879">
        <w:t xml:space="preserve"> study</w:t>
      </w:r>
    </w:p>
    <w:p w14:paraId="6DB9B1FB" w14:textId="77777777" w:rsidR="00703C39" w:rsidRDefault="00703C39" w:rsidP="00703C39">
      <w:r>
        <w:rPr>
          <w:noProof/>
          <w:lang w:eastAsia="en-AU"/>
        </w:rPr>
        <w:drawing>
          <wp:inline distT="0" distB="0" distL="0" distR="0" wp14:anchorId="5620D5FB" wp14:editId="44BDDBB2">
            <wp:extent cx="5400040" cy="2710180"/>
            <wp:effectExtent l="0" t="0" r="0" b="0"/>
            <wp:docPr id="1" name="Picture 1" descr="Respiratory function (ITT population), DEL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710180"/>
                    </a:xfrm>
                    <a:prstGeom prst="rect">
                      <a:avLst/>
                    </a:prstGeom>
                  </pic:spPr>
                </pic:pic>
              </a:graphicData>
            </a:graphic>
          </wp:inline>
        </w:drawing>
      </w:r>
    </w:p>
    <w:p w14:paraId="07EDE512" w14:textId="67F2701F" w:rsidR="00703C39" w:rsidRDefault="00703C39" w:rsidP="00547B5F">
      <w:r>
        <w:t>In the DELPHI extension study</w:t>
      </w:r>
      <w:r w:rsidR="008C3879">
        <w:t xml:space="preserve"> (DELPHI-E)</w:t>
      </w:r>
      <w:r>
        <w:t>, patients were treated for up to 24 months with idebenone 150</w:t>
      </w:r>
      <w:r w:rsidR="001601AD">
        <w:t xml:space="preserve"> mg</w:t>
      </w:r>
      <w:r>
        <w:t xml:space="preserve"> or 300</w:t>
      </w:r>
      <w:r w:rsidR="001601AD">
        <w:t xml:space="preserve"> mg</w:t>
      </w:r>
      <w:r>
        <w:t xml:space="preserve"> TDS (daily dose 450</w:t>
      </w:r>
      <w:r w:rsidR="001601AD">
        <w:t xml:space="preserve"> mg</w:t>
      </w:r>
      <w:r>
        <w:t xml:space="preserve"> or 900</w:t>
      </w:r>
      <w:r w:rsidR="001601AD">
        <w:t xml:space="preserve"> mg</w:t>
      </w:r>
      <w:r>
        <w:t>).</w:t>
      </w:r>
      <w:r w:rsidR="00DB3203">
        <w:t xml:space="preserve"> </w:t>
      </w:r>
      <w:r>
        <w:t xml:space="preserve">Lesser declines in </w:t>
      </w:r>
      <w:r>
        <w:lastRenderedPageBreak/>
        <w:t>PEF%p and MIP%p than FVC%p were observed, but the lack of a control group means that it is difficult to determine the validity of these findings.</w:t>
      </w:r>
    </w:p>
    <w:p w14:paraId="4C7992D2" w14:textId="426F7830" w:rsidR="00703C39" w:rsidRPr="00A842DA" w:rsidRDefault="00703C39" w:rsidP="00703C39">
      <w:pPr>
        <w:pStyle w:val="TableTitle"/>
      </w:pPr>
      <w:r w:rsidRPr="00A842DA">
        <w:t xml:space="preserve">Table </w:t>
      </w:r>
      <w:r w:rsidR="00CC66F4">
        <w:t>21</w:t>
      </w:r>
      <w:r w:rsidR="00547B5F">
        <w:t>:</w:t>
      </w:r>
      <w:r w:rsidRPr="00A842DA">
        <w:t xml:space="preserve"> Respiratory function outcomes (ITT population), DELPHI-E</w:t>
      </w:r>
      <w:r w:rsidR="008C3879">
        <w:t xml:space="preserve"> study</w:t>
      </w:r>
    </w:p>
    <w:p w14:paraId="6F024D5D" w14:textId="77777777" w:rsidR="00703C39" w:rsidRDefault="00703C39" w:rsidP="00703C39">
      <w:r>
        <w:rPr>
          <w:noProof/>
          <w:lang w:eastAsia="en-AU"/>
        </w:rPr>
        <w:drawing>
          <wp:inline distT="0" distB="0" distL="0" distR="0" wp14:anchorId="42A20984" wp14:editId="5D53DC3A">
            <wp:extent cx="5400040" cy="1036320"/>
            <wp:effectExtent l="0" t="0" r="0" b="0"/>
            <wp:docPr id="2" name="Picture 2" descr="Respiratory function outcomes (ITT population), DEL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1036320"/>
                    </a:xfrm>
                    <a:prstGeom prst="rect">
                      <a:avLst/>
                    </a:prstGeom>
                  </pic:spPr>
                </pic:pic>
              </a:graphicData>
            </a:graphic>
          </wp:inline>
        </w:drawing>
      </w:r>
    </w:p>
    <w:p w14:paraId="465EE923" w14:textId="271DD14A" w:rsidR="00703C39" w:rsidRPr="00A842DA" w:rsidRDefault="00703C39" w:rsidP="00547B5F">
      <w:r w:rsidRPr="00A842DA">
        <w:t xml:space="preserve">The secondary respiratory findings in </w:t>
      </w:r>
      <w:r w:rsidR="008C3879">
        <w:t xml:space="preserve">the </w:t>
      </w:r>
      <w:r w:rsidRPr="00A842DA">
        <w:t>DELPHI</w:t>
      </w:r>
      <w:r w:rsidR="008C3879">
        <w:t xml:space="preserve"> study</w:t>
      </w:r>
      <w:r w:rsidRPr="00A842DA">
        <w:t xml:space="preserve"> led to the design of the DELOS </w:t>
      </w:r>
      <w:r w:rsidR="008C3879">
        <w:t xml:space="preserve">study </w:t>
      </w:r>
      <w:r>
        <w:t>to investigate whether idebenone provides a beneficial effect on PEF%p in DMD.</w:t>
      </w:r>
    </w:p>
    <w:p w14:paraId="4222C366" w14:textId="65A73806" w:rsidR="00547B5F" w:rsidRDefault="00547B5F" w:rsidP="00547B5F">
      <w:pPr>
        <w:pStyle w:val="Heading5"/>
      </w:pPr>
      <w:r w:rsidRPr="00985B4C">
        <w:t>DELOS</w:t>
      </w:r>
      <w:r w:rsidR="008C3879">
        <w:t xml:space="preserve"> study</w:t>
      </w:r>
    </w:p>
    <w:p w14:paraId="4AAEF82C" w14:textId="3DF2D482" w:rsidR="00703C39" w:rsidRDefault="008C3879" w:rsidP="00547B5F">
      <w:r>
        <w:t xml:space="preserve">The </w:t>
      </w:r>
      <w:r w:rsidR="00703C39" w:rsidRPr="00547B5F">
        <w:t xml:space="preserve">DELOS </w:t>
      </w:r>
      <w:r>
        <w:t xml:space="preserve">study </w:t>
      </w:r>
      <w:r w:rsidR="00703C39">
        <w:t xml:space="preserve">was an interventional study of idebenone 300 mg </w:t>
      </w:r>
      <w:r w:rsidR="00ED6165">
        <w:t>TDS</w:t>
      </w:r>
      <w:r w:rsidR="00703C39">
        <w:t xml:space="preserve"> </w:t>
      </w:r>
      <w:r w:rsidR="0061481A" w:rsidRPr="0061481A">
        <w:t>versus</w:t>
      </w:r>
      <w:r w:rsidR="00703C39">
        <w:t xml:space="preserve"> placebo in 66 patients a</w:t>
      </w:r>
      <w:r w:rsidR="001601AD">
        <w:t>ged 10 to</w:t>
      </w:r>
      <w:r w:rsidR="00703C39">
        <w:t xml:space="preserve"> 18 years with DMD</w:t>
      </w:r>
      <w:r w:rsidR="00703C39" w:rsidRPr="006252EF">
        <w:t xml:space="preserve"> </w:t>
      </w:r>
      <w:r w:rsidR="00703C39">
        <w:t xml:space="preserve">who </w:t>
      </w:r>
      <w:r w:rsidR="00703C39" w:rsidRPr="006252EF">
        <w:t xml:space="preserve">had established respiratory function decline at Baseline (PEF%p </w:t>
      </w:r>
      <w:r w:rsidR="001601AD">
        <w:t>≤</w:t>
      </w:r>
      <w:r w:rsidR="0053065A">
        <w:t xml:space="preserve"> </w:t>
      </w:r>
      <w:r w:rsidR="00703C39">
        <w:t>80%).</w:t>
      </w:r>
      <w:r w:rsidR="00DB3203">
        <w:t xml:space="preserve"> </w:t>
      </w:r>
      <w:r>
        <w:t xml:space="preserve">The </w:t>
      </w:r>
      <w:r w:rsidR="00703C39">
        <w:t>DELOS</w:t>
      </w:r>
      <w:r>
        <w:t xml:space="preserve"> study</w:t>
      </w:r>
      <w:r w:rsidR="00703C39" w:rsidRPr="003D60C4">
        <w:t xml:space="preserve"> was conducted in 23 sites in 10 countries (Belgium, Germany, </w:t>
      </w:r>
      <w:r>
        <w:t>t</w:t>
      </w:r>
      <w:r w:rsidR="00703C39" w:rsidRPr="003D60C4">
        <w:t>he Netherlands, Switzerland, France, Sweden, Austria, United States, Italy and Spain)</w:t>
      </w:r>
      <w:r w:rsidR="00703C39">
        <w:t xml:space="preserve"> between</w:t>
      </w:r>
      <w:r w:rsidR="00703C39" w:rsidRPr="003D60C4">
        <w:t xml:space="preserve"> July 2009 </w:t>
      </w:r>
      <w:r w:rsidR="00703C39">
        <w:t>and</w:t>
      </w:r>
      <w:r w:rsidR="00703C39" w:rsidRPr="003D60C4">
        <w:t xml:space="preserve"> January 2014.</w:t>
      </w:r>
    </w:p>
    <w:p w14:paraId="35737AD7" w14:textId="25CB3806" w:rsidR="00703C39" w:rsidRDefault="008C3879" w:rsidP="00547B5F">
      <w:r>
        <w:t xml:space="preserve">The </w:t>
      </w:r>
      <w:r w:rsidR="00703C39">
        <w:t>DELOS</w:t>
      </w:r>
      <w:r>
        <w:t xml:space="preserve"> study</w:t>
      </w:r>
      <w:r w:rsidR="00703C39">
        <w:t xml:space="preserve"> was conducted to </w:t>
      </w:r>
      <w:r w:rsidR="00703C39" w:rsidRPr="002203F8">
        <w:t>assess the efficacy of idebenone, compared to placebo, in improving respiratory function or delaying the loss of respiratory function</w:t>
      </w:r>
      <w:r w:rsidR="00703C39">
        <w:t>, with the primary endpoint being the change from Baseline to Week 52 in PEF%p.</w:t>
      </w:r>
      <w:r w:rsidR="00DB3203">
        <w:t xml:space="preserve"> </w:t>
      </w:r>
      <w:r w:rsidR="00703C39">
        <w:t xml:space="preserve">Secondary objectives included </w:t>
      </w:r>
      <w:r w:rsidR="00703C39" w:rsidRPr="006036A8">
        <w:t>assess</w:t>
      </w:r>
      <w:r w:rsidR="00703C39">
        <w:t>ment of</w:t>
      </w:r>
      <w:r w:rsidR="00703C39" w:rsidRPr="006036A8">
        <w:t xml:space="preserve"> the safety and tolerability of idebenone in patients with DMD</w:t>
      </w:r>
      <w:r w:rsidR="00703C39">
        <w:t>, and</w:t>
      </w:r>
      <w:r w:rsidR="00703C39" w:rsidRPr="006036A8">
        <w:t xml:space="preserve"> </w:t>
      </w:r>
      <w:r w:rsidR="00703C39" w:rsidRPr="003D60C4">
        <w:t>assessment of</w:t>
      </w:r>
      <w:r w:rsidR="00703C39">
        <w:t xml:space="preserve"> </w:t>
      </w:r>
      <w:r w:rsidR="00703C39" w:rsidRPr="003D60C4">
        <w:t>the efficacy of idebenone, compared to pla</w:t>
      </w:r>
      <w:r w:rsidR="00703C39">
        <w:t>cebo, in:</w:t>
      </w:r>
    </w:p>
    <w:p w14:paraId="2A3C4F31" w14:textId="77777777" w:rsidR="00703C39" w:rsidRPr="003D60C4" w:rsidRDefault="00703C39" w:rsidP="00547B5F">
      <w:pPr>
        <w:pStyle w:val="ListBullet"/>
      </w:pPr>
      <w:r w:rsidRPr="003D60C4">
        <w:t>improving respiratory function or</w:t>
      </w:r>
      <w:r>
        <w:t xml:space="preserve"> </w:t>
      </w:r>
      <w:r w:rsidRPr="003D60C4">
        <w:t>delaying the loss of respiratory function using measures other than those used for the primary</w:t>
      </w:r>
      <w:r>
        <w:t xml:space="preserve"> </w:t>
      </w:r>
      <w:r w:rsidRPr="003D60C4">
        <w:t>endpoint</w:t>
      </w:r>
      <w:r>
        <w:t>;</w:t>
      </w:r>
    </w:p>
    <w:p w14:paraId="66B6D068" w14:textId="77777777" w:rsidR="00703C39" w:rsidRPr="003D60C4" w:rsidRDefault="00703C39" w:rsidP="00547B5F">
      <w:pPr>
        <w:pStyle w:val="ListBullet"/>
      </w:pPr>
      <w:r w:rsidRPr="003D60C4">
        <w:t>improving skeletal muscle strength/motor function or delaying the loss of skeletal muscle strength/ motor function</w:t>
      </w:r>
      <w:r>
        <w:t>; and</w:t>
      </w:r>
    </w:p>
    <w:p w14:paraId="0E661C2C" w14:textId="77777777" w:rsidR="00703C39" w:rsidRDefault="00703C39" w:rsidP="00547B5F">
      <w:pPr>
        <w:pStyle w:val="ListBullet"/>
      </w:pPr>
      <w:r w:rsidRPr="003D60C4">
        <w:t>improving quality of life or delaying</w:t>
      </w:r>
      <w:r>
        <w:t xml:space="preserve"> the loss in quality of life.</w:t>
      </w:r>
    </w:p>
    <w:p w14:paraId="7E537728" w14:textId="77777777" w:rsidR="00703C39" w:rsidRDefault="00703C39" w:rsidP="00547B5F">
      <w:r>
        <w:t>Tertiary</w:t>
      </w:r>
      <w:r w:rsidRPr="003B7F4B">
        <w:t xml:space="preserve"> objectives included</w:t>
      </w:r>
      <w:r>
        <w:t xml:space="preserve"> assessment of </w:t>
      </w:r>
      <w:r w:rsidRPr="003B7F4B">
        <w:t>the effect of idebenone on biochemical markers reflecting cardiac overload or cardiac</w:t>
      </w:r>
      <w:r>
        <w:t xml:space="preserve"> </w:t>
      </w:r>
      <w:r w:rsidRPr="003B7F4B">
        <w:t>degeneration</w:t>
      </w:r>
      <w:r>
        <w:t xml:space="preserve">, and </w:t>
      </w:r>
      <w:r w:rsidRPr="003B7F4B">
        <w:t>the efficacy of idebenone on exploratory respiratory parameters</w:t>
      </w:r>
      <w:r>
        <w:t>.</w:t>
      </w:r>
    </w:p>
    <w:p w14:paraId="630F3C0E" w14:textId="77777777" w:rsidR="00703C39" w:rsidRDefault="00703C39" w:rsidP="00547B5F">
      <w:r w:rsidRPr="00985B4C">
        <w:rPr>
          <w:rFonts w:asciiTheme="minorHAnsi" w:hAnsiTheme="minorHAnsi"/>
        </w:rPr>
        <w:t xml:space="preserve">Inclusion criteria </w:t>
      </w:r>
      <w:r>
        <w:rPr>
          <w:rFonts w:asciiTheme="minorHAnsi" w:hAnsiTheme="minorHAnsi"/>
        </w:rPr>
        <w:t xml:space="preserve">included </w:t>
      </w:r>
      <w:r>
        <w:t>age</w:t>
      </w:r>
      <w:r w:rsidRPr="00C7736F">
        <w:t xml:space="preserve"> </w:t>
      </w:r>
      <w:r>
        <w:t xml:space="preserve">10 to </w:t>
      </w:r>
      <w:r w:rsidRPr="00C7736F">
        <w:t>18 years</w:t>
      </w:r>
      <w:r>
        <w:t xml:space="preserve"> </w:t>
      </w:r>
      <w:r w:rsidRPr="00C7736F">
        <w:t xml:space="preserve">with a </w:t>
      </w:r>
      <w:r>
        <w:t xml:space="preserve">documented </w:t>
      </w:r>
      <w:r w:rsidRPr="00C7736F">
        <w:t>diagnosis of DMD or severe dystrophinopathy and clinical features</w:t>
      </w:r>
      <w:r>
        <w:t xml:space="preserve"> </w:t>
      </w:r>
      <w:r w:rsidRPr="00C7736F">
        <w:t xml:space="preserve">consistent </w:t>
      </w:r>
      <w:r>
        <w:t>with</w:t>
      </w:r>
      <w:r w:rsidRPr="00C7736F">
        <w:t xml:space="preserve"> typical DMD at diagnosis (</w:t>
      </w:r>
      <w:r w:rsidR="001601AD">
        <w:t>that is</w:t>
      </w:r>
      <w:r w:rsidRPr="00C7736F">
        <w:t>, documented delayed motor skills and muscle weakness by age</w:t>
      </w:r>
      <w:r>
        <w:t xml:space="preserve"> </w:t>
      </w:r>
      <w:r w:rsidRPr="00C7736F">
        <w:t xml:space="preserve">5 years) who were able to provide reliable and reproducible repeat </w:t>
      </w:r>
      <w:r>
        <w:t>peak expiratory flow (</w:t>
      </w:r>
      <w:r w:rsidRPr="00C7736F">
        <w:t>PEF</w:t>
      </w:r>
      <w:r>
        <w:t>)</w:t>
      </w:r>
      <w:r w:rsidRPr="00C7736F">
        <w:t xml:space="preserve"> measurements (within 15% of the</w:t>
      </w:r>
      <w:r>
        <w:t xml:space="preserve"> </w:t>
      </w:r>
      <w:r w:rsidRPr="00C7736F">
        <w:t xml:space="preserve">first assessment, </w:t>
      </w:r>
      <w:r w:rsidR="001601AD">
        <w:t>that is</w:t>
      </w:r>
      <w:r w:rsidRPr="00C7736F">
        <w:t xml:space="preserve"> Baseline </w:t>
      </w:r>
      <w:r w:rsidR="0061481A" w:rsidRPr="0061481A">
        <w:t>versus</w:t>
      </w:r>
      <w:r w:rsidRPr="00C7736F">
        <w:t xml:space="preserve"> Screening)</w:t>
      </w:r>
      <w:r>
        <w:t>.</w:t>
      </w:r>
      <w:r w:rsidR="00DB3203">
        <w:t xml:space="preserve"> </w:t>
      </w:r>
      <w:r>
        <w:t>The diagnosis of DMD was to</w:t>
      </w:r>
      <w:r w:rsidRPr="008D69E4">
        <w:t xml:space="preserve"> be confirmed by mutation analysis in the</w:t>
      </w:r>
      <w:r>
        <w:t xml:space="preserve"> </w:t>
      </w:r>
      <w:r w:rsidRPr="008D69E4">
        <w:t>dystrophin gene or by substantially reduced levels of dystrophin</w:t>
      </w:r>
      <w:r>
        <w:t xml:space="preserve"> </w:t>
      </w:r>
      <w:r w:rsidRPr="008D69E4">
        <w:t>protein (</w:t>
      </w:r>
      <w:r w:rsidR="001601AD" w:rsidRPr="001601AD">
        <w:rPr>
          <w:iCs/>
        </w:rPr>
        <w:t>that is</w:t>
      </w:r>
      <w:r w:rsidRPr="008D69E4">
        <w:t xml:space="preserve"> absent or </w:t>
      </w:r>
      <w:r w:rsidR="003173BB">
        <w:t xml:space="preserve">&lt; </w:t>
      </w:r>
      <w:r w:rsidRPr="008D69E4">
        <w:t>5% of normal) on Western blot or</w:t>
      </w:r>
      <w:r>
        <w:t xml:space="preserve"> </w:t>
      </w:r>
      <w:r w:rsidRPr="008D69E4">
        <w:t>immunostain.</w:t>
      </w:r>
    </w:p>
    <w:p w14:paraId="5A7FCF1C" w14:textId="77777777" w:rsidR="00703C39" w:rsidRDefault="00703C39" w:rsidP="00547B5F">
      <w:r>
        <w:t>Exclusion criteria included:</w:t>
      </w:r>
    </w:p>
    <w:p w14:paraId="74393FD5" w14:textId="77777777" w:rsidR="00703C39" w:rsidRPr="00C7736F" w:rsidRDefault="00703C39" w:rsidP="00547B5F">
      <w:pPr>
        <w:pStyle w:val="ListBullet"/>
      </w:pPr>
      <w:r w:rsidRPr="00C7736F">
        <w:t xml:space="preserve">Patients with a PEF%p </w:t>
      </w:r>
      <w:r w:rsidR="003173BB">
        <w:t xml:space="preserve">&gt; </w:t>
      </w:r>
      <w:r w:rsidRPr="00C7736F">
        <w:t>80% at Baseline.</w:t>
      </w:r>
    </w:p>
    <w:p w14:paraId="5352C657" w14:textId="77777777" w:rsidR="00703C39" w:rsidRDefault="00703C39" w:rsidP="00547B5F">
      <w:pPr>
        <w:pStyle w:val="ListBullet"/>
      </w:pPr>
      <w:r>
        <w:t>C</w:t>
      </w:r>
      <w:r w:rsidRPr="00953573">
        <w:t xml:space="preserve">riteria </w:t>
      </w:r>
      <w:r>
        <w:t>relating</w:t>
      </w:r>
      <w:r w:rsidRPr="00953573">
        <w:t xml:space="preserve"> to</w:t>
      </w:r>
      <w:r>
        <w:t xml:space="preserve"> </w:t>
      </w:r>
      <w:r w:rsidRPr="00953573">
        <w:t>concomitant</w:t>
      </w:r>
      <w:r>
        <w:t xml:space="preserve"> GC</w:t>
      </w:r>
      <w:r w:rsidRPr="00953573">
        <w:t xml:space="preserve"> use</w:t>
      </w:r>
    </w:p>
    <w:p w14:paraId="298FCA1A" w14:textId="77777777" w:rsidR="00703C39" w:rsidRPr="00C7736F" w:rsidRDefault="00703C39" w:rsidP="00547B5F">
      <w:pPr>
        <w:pStyle w:val="ListBullet"/>
      </w:pPr>
      <w:r w:rsidRPr="00C7736F">
        <w:t>Patients dependent on assisted ventilation at Screening and/or Baseline.</w:t>
      </w:r>
    </w:p>
    <w:p w14:paraId="0C4920C3" w14:textId="77777777" w:rsidR="00703C39" w:rsidRDefault="00703C39" w:rsidP="00547B5F">
      <w:pPr>
        <w:pStyle w:val="ListBullet"/>
      </w:pPr>
      <w:r w:rsidRPr="00C7736F">
        <w:t>Patients with documented DMD-related hypoventilation for which assisted</w:t>
      </w:r>
      <w:r>
        <w:t xml:space="preserve"> </w:t>
      </w:r>
      <w:r w:rsidRPr="00C7736F">
        <w:t>ventilation was needed according to current standard of care guidelines (</w:t>
      </w:r>
      <w:r w:rsidR="0061481A">
        <w:t>for example</w:t>
      </w:r>
      <w:r>
        <w:t xml:space="preserve"> </w:t>
      </w:r>
      <w:r w:rsidR="001601AD">
        <w:t>FVC%p &lt; </w:t>
      </w:r>
      <w:r w:rsidRPr="00C7736F">
        <w:t>30%) or was required in the opinion of the investigator.</w:t>
      </w:r>
    </w:p>
    <w:p w14:paraId="6C7AA018" w14:textId="29C0FFAA" w:rsidR="00703C39" w:rsidRPr="0028455E" w:rsidRDefault="001601AD" w:rsidP="00547B5F">
      <w:pPr>
        <w:rPr>
          <w:rFonts w:asciiTheme="minorHAnsi" w:hAnsiTheme="minorHAnsi"/>
          <w:b/>
        </w:rPr>
      </w:pPr>
      <w:r>
        <w:lastRenderedPageBreak/>
        <w:t xml:space="preserve">There were </w:t>
      </w:r>
      <w:r w:rsidR="00703C39" w:rsidRPr="004907FB">
        <w:t>67 patients (65 randomised and 2 siblings allocated to treatment) were enrolled, and 66 patients received study treatment, 32 with idebenone 900 mg/day and 34</w:t>
      </w:r>
      <w:r w:rsidR="008C3879">
        <w:t> </w:t>
      </w:r>
      <w:r w:rsidR="00703C39" w:rsidRPr="004907FB">
        <w:t>with placebo.</w:t>
      </w:r>
      <w:r w:rsidR="00DB3203">
        <w:t xml:space="preserve"> </w:t>
      </w:r>
      <w:r w:rsidR="00703C39" w:rsidRPr="004907FB">
        <w:t>The most common reason for screen failure was that PEF was not reproducible (within 15% between Screening and Baseline).</w:t>
      </w:r>
      <w:r w:rsidR="00DB3203">
        <w:t xml:space="preserve"> </w:t>
      </w:r>
      <w:r w:rsidR="00703C39" w:rsidRPr="004907FB">
        <w:t xml:space="preserve">One patient (randomised to placebo) did not receive study treatment because he </w:t>
      </w:r>
      <w:r w:rsidR="00703C39">
        <w:t>withdrew consent.</w:t>
      </w:r>
      <w:r w:rsidR="00DB3203">
        <w:t xml:space="preserve"> </w:t>
      </w:r>
      <w:r w:rsidR="00703C39" w:rsidRPr="00580931">
        <w:t xml:space="preserve">The 2 </w:t>
      </w:r>
      <w:r w:rsidR="00703C39">
        <w:t>siblings</w:t>
      </w:r>
      <w:r w:rsidR="00703C39" w:rsidRPr="00580931">
        <w:t xml:space="preserve"> allocated to treatment </w:t>
      </w:r>
      <w:r w:rsidR="00703C39">
        <w:t xml:space="preserve">(1 to idebenone and 1 to placebo) </w:t>
      </w:r>
      <w:r w:rsidR="00703C39" w:rsidRPr="00580931">
        <w:t>were excluded from the ITT</w:t>
      </w:r>
      <w:r w:rsidR="008C3879">
        <w:t> </w:t>
      </w:r>
      <w:r w:rsidR="00703C39" w:rsidRPr="00580931">
        <w:t>population.</w:t>
      </w:r>
      <w:r w:rsidR="00DB3203">
        <w:t xml:space="preserve"> </w:t>
      </w:r>
      <w:r w:rsidR="00547B5F" w:rsidRPr="00580931">
        <w:t>Therefore,</w:t>
      </w:r>
      <w:r w:rsidR="00703C39" w:rsidRPr="00580931">
        <w:t xml:space="preserve"> the ITT population included 64 patients (31 patients treated with idebenone and 33 patients treated with placebo).</w:t>
      </w:r>
    </w:p>
    <w:p w14:paraId="375CAEF5" w14:textId="3FFE1295" w:rsidR="00703C39" w:rsidRPr="00AE2EA0" w:rsidRDefault="00703C39" w:rsidP="00547B5F">
      <w:pPr>
        <w:rPr>
          <w:rFonts w:asciiTheme="minorHAnsi" w:hAnsiTheme="minorHAnsi"/>
          <w:b/>
        </w:rPr>
      </w:pPr>
      <w:r>
        <w:t xml:space="preserve">There were </w:t>
      </w:r>
      <w:r w:rsidRPr="00B41158">
        <w:t>7 protocol amendments</w:t>
      </w:r>
      <w:r>
        <w:t>, all during the blinded phase of the study.</w:t>
      </w:r>
      <w:r w:rsidR="00DB3203">
        <w:t xml:space="preserve"> </w:t>
      </w:r>
      <w:r>
        <w:t xml:space="preserve">They were mostly administrative, but amendment 7 (April 2014) limited the </w:t>
      </w:r>
      <w:r w:rsidRPr="00A42CA1">
        <w:t>study</w:t>
      </w:r>
      <w:r>
        <w:t xml:space="preserve"> </w:t>
      </w:r>
      <w:r w:rsidRPr="00A42CA1">
        <w:t xml:space="preserve">population of </w:t>
      </w:r>
      <w:r w:rsidR="008C3879">
        <w:t xml:space="preserve">the </w:t>
      </w:r>
      <w:r w:rsidRPr="00A42CA1">
        <w:t>DELOS</w:t>
      </w:r>
      <w:r w:rsidR="008C3879">
        <w:t xml:space="preserve"> study</w:t>
      </w:r>
      <w:r w:rsidRPr="00A42CA1">
        <w:t xml:space="preserve"> to GC non-using </w:t>
      </w:r>
      <w:r w:rsidRPr="00C91C16">
        <w:t>patients (on the basis of the planned futility analysis)</w:t>
      </w:r>
      <w:r>
        <w:t xml:space="preserve"> and introduced hierarchical testing of selected secondary endpoints.</w:t>
      </w:r>
    </w:p>
    <w:p w14:paraId="79B0B8C1" w14:textId="4A11F40B" w:rsidR="00703C39" w:rsidRPr="00547B5F" w:rsidRDefault="00703C39" w:rsidP="00547B5F">
      <w:pPr>
        <w:rPr>
          <w:noProof/>
        </w:rPr>
      </w:pPr>
      <w:r>
        <w:t xml:space="preserve">There were some differences in baseline characteristics between the treatment groups </w:t>
      </w:r>
      <w:r w:rsidRPr="00F31F34">
        <w:t>(</w:t>
      </w:r>
      <w:r w:rsidR="00CC66F4">
        <w:t>Table 22</w:t>
      </w:r>
      <w:r w:rsidR="0030092C">
        <w:t xml:space="preserve"> </w:t>
      </w:r>
      <w:r w:rsidRPr="001601AD">
        <w:t>and</w:t>
      </w:r>
      <w:r w:rsidR="00CC66F4">
        <w:t xml:space="preserve"> Table 23</w:t>
      </w:r>
      <w:r w:rsidRPr="00F31F34">
        <w:t>), particularly higher age and longer time since last GC use at Baseline in</w:t>
      </w:r>
      <w:r>
        <w:t xml:space="preserve"> the placebo group.</w:t>
      </w:r>
      <w:r w:rsidR="00DB3203">
        <w:t xml:space="preserve"> </w:t>
      </w:r>
      <w:r>
        <w:t>These differences were explored in additional analyses, including a prospectively planned matching study comparing the treatment groups with matched populations from the CINRG Duchenne Natural History Study.</w:t>
      </w:r>
      <w:r w:rsidR="00DB3203">
        <w:t xml:space="preserve"> </w:t>
      </w:r>
      <w:r>
        <w:t>These exploratory analyses supported the conclusion that baseline differences were unlikely to influence the study results</w:t>
      </w:r>
      <w:bookmarkStart w:id="266" w:name="_Ref512237645"/>
      <w:r w:rsidR="00547B5F">
        <w:t>.</w:t>
      </w:r>
    </w:p>
    <w:p w14:paraId="0BACB675" w14:textId="03B439DB" w:rsidR="00703C39" w:rsidRPr="00AE2EA0" w:rsidRDefault="00703C39" w:rsidP="00703C39">
      <w:pPr>
        <w:pStyle w:val="TableTitle"/>
      </w:pPr>
      <w:bookmarkStart w:id="267" w:name="_Ref516554542"/>
      <w:r w:rsidRPr="00AE2EA0">
        <w:t>Table</w:t>
      </w:r>
      <w:bookmarkEnd w:id="266"/>
      <w:bookmarkEnd w:id="267"/>
      <w:r w:rsidR="00CC66F4">
        <w:t xml:space="preserve"> 22</w:t>
      </w:r>
      <w:r w:rsidR="00547B5F">
        <w:t>:</w:t>
      </w:r>
      <w:r w:rsidR="00DB3203">
        <w:t xml:space="preserve"> </w:t>
      </w:r>
      <w:r w:rsidRPr="00AE2EA0">
        <w:t xml:space="preserve">Summary of </w:t>
      </w:r>
      <w:r w:rsidR="008C3879">
        <w:t>b</w:t>
      </w:r>
      <w:r w:rsidRPr="00AE2EA0">
        <w:t xml:space="preserve">aseline </w:t>
      </w:r>
      <w:r w:rsidR="0030092C" w:rsidRPr="00AE2EA0">
        <w:t xml:space="preserve">demographic characteristics </w:t>
      </w:r>
      <w:r w:rsidRPr="00AE2EA0">
        <w:t xml:space="preserve">(ITT </w:t>
      </w:r>
      <w:r w:rsidR="008C3879">
        <w:t>p</w:t>
      </w:r>
      <w:r w:rsidR="008C3879" w:rsidRPr="00AE2EA0">
        <w:t>opulation</w:t>
      </w:r>
      <w:r w:rsidRPr="00AE2EA0">
        <w:t>), DELOS</w:t>
      </w:r>
      <w:r w:rsidR="008C3879">
        <w:t xml:space="preserve"> study</w:t>
      </w:r>
    </w:p>
    <w:p w14:paraId="7BE0612B" w14:textId="77777777" w:rsidR="00703C39" w:rsidRDefault="00703C39" w:rsidP="00703C39">
      <w:r>
        <w:rPr>
          <w:noProof/>
          <w:lang w:eastAsia="en-AU"/>
        </w:rPr>
        <w:drawing>
          <wp:inline distT="0" distB="0" distL="0" distR="0" wp14:anchorId="75347DA6" wp14:editId="79C54EAD">
            <wp:extent cx="5400040" cy="3808730"/>
            <wp:effectExtent l="0" t="0" r="0" b="1270"/>
            <wp:docPr id="3" name="Picture 3" descr="Summary of Baseline demographic characteristics (ITT Population), D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808730"/>
                    </a:xfrm>
                    <a:prstGeom prst="rect">
                      <a:avLst/>
                    </a:prstGeom>
                  </pic:spPr>
                </pic:pic>
              </a:graphicData>
            </a:graphic>
          </wp:inline>
        </w:drawing>
      </w:r>
    </w:p>
    <w:p w14:paraId="69FCB770" w14:textId="54879344" w:rsidR="00703C39" w:rsidRPr="00AE2EA0" w:rsidRDefault="00703C39" w:rsidP="00703C39">
      <w:pPr>
        <w:pStyle w:val="TableTitle"/>
        <w:rPr>
          <w:rFonts w:asciiTheme="minorHAnsi" w:hAnsiTheme="minorHAnsi"/>
        </w:rPr>
      </w:pPr>
      <w:bookmarkStart w:id="268" w:name="_Ref516554559"/>
      <w:r w:rsidRPr="00AE2EA0">
        <w:lastRenderedPageBreak/>
        <w:t>Table</w:t>
      </w:r>
      <w:bookmarkEnd w:id="268"/>
      <w:r w:rsidR="00CC66F4">
        <w:t xml:space="preserve"> 23</w:t>
      </w:r>
      <w:r w:rsidR="00547B5F">
        <w:t>:</w:t>
      </w:r>
      <w:r w:rsidRPr="00AE2EA0">
        <w:t xml:space="preserve"> Summary of </w:t>
      </w:r>
      <w:r w:rsidR="0030092C" w:rsidRPr="00AE2EA0">
        <w:t>disease-re</w:t>
      </w:r>
      <w:r w:rsidRPr="00AE2EA0">
        <w:t xml:space="preserve">levant </w:t>
      </w:r>
      <w:r w:rsidR="008C3879">
        <w:t>b</w:t>
      </w:r>
      <w:r w:rsidRPr="00AE2EA0">
        <w:t xml:space="preserve">aseline </w:t>
      </w:r>
      <w:r w:rsidR="0030092C">
        <w:t>c</w:t>
      </w:r>
      <w:r w:rsidRPr="00AE2EA0">
        <w:t>haracteristics (ITT Population), DELOS</w:t>
      </w:r>
      <w:r w:rsidR="008C3879">
        <w:t xml:space="preserve"> study</w:t>
      </w:r>
    </w:p>
    <w:p w14:paraId="1F16379B" w14:textId="77777777" w:rsidR="00703C39" w:rsidRDefault="00703C39" w:rsidP="00703C39">
      <w:r>
        <w:rPr>
          <w:noProof/>
          <w:lang w:eastAsia="en-AU"/>
        </w:rPr>
        <w:drawing>
          <wp:inline distT="0" distB="0" distL="0" distR="0" wp14:anchorId="216828FA" wp14:editId="33F8C87A">
            <wp:extent cx="5400040" cy="3175000"/>
            <wp:effectExtent l="0" t="0" r="0" b="6350"/>
            <wp:docPr id="4" name="Picture 4" descr="Summary of disease-relevant Baseline characteristics (ITT Population), D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175000"/>
                    </a:xfrm>
                    <a:prstGeom prst="rect">
                      <a:avLst/>
                    </a:prstGeom>
                  </pic:spPr>
                </pic:pic>
              </a:graphicData>
            </a:graphic>
          </wp:inline>
        </w:drawing>
      </w:r>
    </w:p>
    <w:p w14:paraId="325FE8B6" w14:textId="361C972F" w:rsidR="00703C39" w:rsidRDefault="008C3879" w:rsidP="00547B5F">
      <w:r>
        <w:rPr>
          <w:rFonts w:asciiTheme="minorHAnsi" w:hAnsiTheme="minorHAnsi"/>
        </w:rPr>
        <w:t xml:space="preserve">The </w:t>
      </w:r>
      <w:r w:rsidR="00703C39" w:rsidRPr="003D3C1B">
        <w:rPr>
          <w:rFonts w:asciiTheme="minorHAnsi" w:hAnsiTheme="minorHAnsi"/>
        </w:rPr>
        <w:t>DELOS</w:t>
      </w:r>
      <w:r>
        <w:rPr>
          <w:rFonts w:asciiTheme="minorHAnsi" w:hAnsiTheme="minorHAnsi"/>
        </w:rPr>
        <w:t xml:space="preserve"> study</w:t>
      </w:r>
      <w:r w:rsidR="00703C39" w:rsidRPr="003D3C1B">
        <w:rPr>
          <w:rFonts w:asciiTheme="minorHAnsi" w:hAnsiTheme="minorHAnsi"/>
        </w:rPr>
        <w:t xml:space="preserve"> met its primary endpoint, </w:t>
      </w:r>
      <w:r w:rsidR="00703C39">
        <w:t>change from Baseline to Week 52 in PEF%p</w:t>
      </w:r>
      <w:r w:rsidR="00703C39" w:rsidRPr="003D3C1B">
        <w:rPr>
          <w:rFonts w:asciiTheme="minorHAnsi" w:hAnsiTheme="minorHAnsi"/>
        </w:rPr>
        <w:t>.</w:t>
      </w:r>
      <w:r w:rsidR="00DB3203">
        <w:rPr>
          <w:rFonts w:asciiTheme="minorHAnsi" w:hAnsiTheme="minorHAnsi"/>
        </w:rPr>
        <w:t xml:space="preserve"> </w:t>
      </w:r>
      <w:r w:rsidR="00703C39">
        <w:rPr>
          <w:rFonts w:asciiTheme="minorHAnsi" w:hAnsiTheme="minorHAnsi"/>
        </w:rPr>
        <w:t xml:space="preserve">In the </w:t>
      </w:r>
      <w:r w:rsidR="00703C39">
        <w:t>mITT population, patients who received idebenone had a de</w:t>
      </w:r>
      <w:r w:rsidR="001601AD">
        <w:t>cline in PEF%p of 3.05% at Week </w:t>
      </w:r>
      <w:r w:rsidR="00703C39">
        <w:t>52, compared with a decline of 9.01% for patients on placebo (</w:t>
      </w:r>
      <w:r w:rsidR="00703C39" w:rsidRPr="006252EF">
        <w:t>estimated difference 5.96%</w:t>
      </w:r>
      <w:r w:rsidR="00703C39">
        <w:t>;</w:t>
      </w:r>
      <w:r w:rsidR="00703C39" w:rsidRPr="006252EF">
        <w:t xml:space="preserve"> 95% CI: 0.16, 11.76</w:t>
      </w:r>
      <w:r w:rsidR="00703C39">
        <w:t xml:space="preserve">; </w:t>
      </w:r>
      <w:r w:rsidR="0002337A">
        <w:t>p</w:t>
      </w:r>
      <w:r w:rsidR="0061481A">
        <w:t xml:space="preserve"> = </w:t>
      </w:r>
      <w:r w:rsidR="00703C39">
        <w:t>0.0443</w:t>
      </w:r>
      <w:r w:rsidR="00703C39" w:rsidRPr="006252EF">
        <w:t>)</w:t>
      </w:r>
      <w:r w:rsidR="00703C39">
        <w:t>.</w:t>
      </w:r>
      <w:r w:rsidR="00DB3203">
        <w:t xml:space="preserve"> </w:t>
      </w:r>
      <w:r w:rsidR="00703C39">
        <w:t>A difference favouring idebenone was also found in the ITT and PP populations, and in a number of sensitivity analyses.</w:t>
      </w:r>
    </w:p>
    <w:p w14:paraId="246F58D3" w14:textId="1387D279" w:rsidR="00703C39" w:rsidRPr="00C40E3F" w:rsidRDefault="00703C39" w:rsidP="00703C39">
      <w:pPr>
        <w:pStyle w:val="TableTitle"/>
        <w:rPr>
          <w:rFonts w:asciiTheme="minorHAnsi" w:hAnsiTheme="minorHAnsi"/>
        </w:rPr>
      </w:pPr>
      <w:r w:rsidRPr="00C40E3F">
        <w:t>Table</w:t>
      </w:r>
      <w:r w:rsidR="00CC66F4">
        <w:t xml:space="preserve"> 24</w:t>
      </w:r>
      <w:r w:rsidR="00547B5F">
        <w:rPr>
          <w:noProof/>
        </w:rPr>
        <w:t>:</w:t>
      </w:r>
      <w:r w:rsidR="00DB3203">
        <w:t xml:space="preserve"> </w:t>
      </w:r>
      <w:r w:rsidRPr="00C40E3F">
        <w:t xml:space="preserve">Primary </w:t>
      </w:r>
      <w:r w:rsidR="0030092C" w:rsidRPr="00C40E3F">
        <w:t xml:space="preserve">endpoint, percent predicted peak expiratory flow </w:t>
      </w:r>
      <w:r w:rsidRPr="00C40E3F">
        <w:t xml:space="preserve">(mITT </w:t>
      </w:r>
      <w:r w:rsidR="008C3879">
        <w:t>p</w:t>
      </w:r>
      <w:r w:rsidR="008C3879" w:rsidRPr="00C40E3F">
        <w:t>opulation</w:t>
      </w:r>
      <w:r w:rsidRPr="00C40E3F">
        <w:t>), DELOS</w:t>
      </w:r>
      <w:r w:rsidR="008C3879">
        <w:t xml:space="preserve"> study</w:t>
      </w:r>
    </w:p>
    <w:p w14:paraId="5EAF4DCC" w14:textId="77777777" w:rsidR="00703C39" w:rsidRDefault="00703C39" w:rsidP="00703C39">
      <w:r>
        <w:rPr>
          <w:noProof/>
          <w:lang w:eastAsia="en-AU"/>
        </w:rPr>
        <w:drawing>
          <wp:inline distT="0" distB="0" distL="0" distR="0" wp14:anchorId="6A2FB900" wp14:editId="43D9162F">
            <wp:extent cx="5400040" cy="3023870"/>
            <wp:effectExtent l="0" t="0" r="0" b="5080"/>
            <wp:docPr id="5" name="Picture 5" descr="Primary endpoint, percent predicted peak expiratory flow (mITT Population), D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3023870"/>
                    </a:xfrm>
                    <a:prstGeom prst="rect">
                      <a:avLst/>
                    </a:prstGeom>
                  </pic:spPr>
                </pic:pic>
              </a:graphicData>
            </a:graphic>
          </wp:inline>
        </w:drawing>
      </w:r>
    </w:p>
    <w:p w14:paraId="06487F54" w14:textId="2588400F" w:rsidR="00703C39" w:rsidRPr="006A16C3" w:rsidRDefault="00703C39" w:rsidP="00547B5F">
      <w:pPr>
        <w:rPr>
          <w:rFonts w:ascii="Times New Roman" w:eastAsiaTheme="minorHAnsi" w:hAnsi="Times New Roman"/>
          <w:sz w:val="20"/>
        </w:rPr>
      </w:pPr>
      <w:r w:rsidRPr="006A16C3">
        <w:rPr>
          <w:rFonts w:asciiTheme="minorHAnsi" w:hAnsiTheme="minorHAnsi"/>
        </w:rPr>
        <w:t>Secondary efficacy endpoints were prospectively ranked in a hierarchical manner (see</w:t>
      </w:r>
      <w:r w:rsidR="00CC66F4">
        <w:t xml:space="preserve"> Table 25</w:t>
      </w:r>
      <w:r w:rsidRPr="00B85C9D">
        <w:t>).</w:t>
      </w:r>
      <w:r w:rsidR="00DB3203">
        <w:t xml:space="preserve"> </w:t>
      </w:r>
      <w:r w:rsidRPr="00B85C9D">
        <w:t>The result for the highest ranked secondary endpoint, annual rate of change of PEF%p (ASMA-1), showed a beneficial trend favouring idebenone but it did not achieve statistical significance (</w:t>
      </w:r>
      <w:r w:rsidR="0002337A">
        <w:t>p</w:t>
      </w:r>
      <w:r w:rsidR="0061481A">
        <w:t xml:space="preserve"> = </w:t>
      </w:r>
      <w:r w:rsidRPr="00B85C9D">
        <w:t>0.0548), so the results for all subsequent endpoints were considered exploratory.</w:t>
      </w:r>
      <w:r w:rsidR="00DB3203">
        <w:t xml:space="preserve"> </w:t>
      </w:r>
      <w:r w:rsidRPr="00B85C9D">
        <w:t xml:space="preserve">The second ranked secondary endpoint, change </w:t>
      </w:r>
      <w:r>
        <w:t>i</w:t>
      </w:r>
      <w:r w:rsidRPr="00B85C9D">
        <w:t xml:space="preserve">n MIP%p, </w:t>
      </w:r>
      <w:r w:rsidRPr="00B85C9D">
        <w:lastRenderedPageBreak/>
        <w:t>showed a trend in favour of placebo.</w:t>
      </w:r>
      <w:r w:rsidR="00DB3203">
        <w:t xml:space="preserve"> </w:t>
      </w:r>
      <w:r w:rsidRPr="00230917">
        <w:rPr>
          <w:rFonts w:asciiTheme="minorHAnsi" w:hAnsiTheme="minorHAnsi"/>
          <w:bCs/>
          <w:lang w:val="en-US"/>
        </w:rPr>
        <w:t>The second to fifth ranked secondary endpoints did not ac</w:t>
      </w:r>
      <w:bookmarkStart w:id="269" w:name="_Ref512234081"/>
      <w:bookmarkStart w:id="270" w:name="_Ref512234069"/>
      <w:r w:rsidR="00547B5F">
        <w:rPr>
          <w:rFonts w:asciiTheme="minorHAnsi" w:hAnsiTheme="minorHAnsi"/>
          <w:bCs/>
          <w:lang w:val="en-US"/>
        </w:rPr>
        <w:t>hieve statistical significance.</w:t>
      </w:r>
    </w:p>
    <w:p w14:paraId="2649626E" w14:textId="778BE73B" w:rsidR="00703C39" w:rsidRPr="005244B0" w:rsidRDefault="00703C39" w:rsidP="00703C39">
      <w:pPr>
        <w:pStyle w:val="TableTitle"/>
      </w:pPr>
      <w:bookmarkStart w:id="271" w:name="_Ref512864856"/>
      <w:r w:rsidRPr="005244B0">
        <w:t xml:space="preserve">Table </w:t>
      </w:r>
      <w:bookmarkEnd w:id="269"/>
      <w:bookmarkEnd w:id="271"/>
      <w:r w:rsidR="00CC66F4">
        <w:t>25</w:t>
      </w:r>
      <w:r w:rsidR="0030092C">
        <w:t>:</w:t>
      </w:r>
      <w:r w:rsidR="00DB3203">
        <w:t xml:space="preserve"> </w:t>
      </w:r>
      <w:r w:rsidR="0030092C">
        <w:t>DELOS</w:t>
      </w:r>
      <w:r w:rsidR="008C3879">
        <w:t xml:space="preserve"> study</w:t>
      </w:r>
      <w:r w:rsidR="0030092C">
        <w:t xml:space="preserve"> </w:t>
      </w:r>
      <w:r w:rsidR="008C3879">
        <w:t xml:space="preserve">secondary </w:t>
      </w:r>
      <w:r w:rsidR="0030092C">
        <w:t>endpoints;</w:t>
      </w:r>
      <w:r w:rsidRPr="005244B0">
        <w:t xml:space="preserve"> </w:t>
      </w:r>
      <w:r w:rsidR="008C3879">
        <w:t>h</w:t>
      </w:r>
      <w:r w:rsidRPr="005244B0">
        <w:t>ierarchical testing (ITT</w:t>
      </w:r>
      <w:r w:rsidR="008C3879">
        <w:t> </w:t>
      </w:r>
      <w:r w:rsidRPr="005244B0">
        <w:t>population)</w:t>
      </w:r>
      <w:bookmarkEnd w:id="270"/>
    </w:p>
    <w:p w14:paraId="6851D02E" w14:textId="77777777" w:rsidR="00703C39" w:rsidRDefault="00703C39" w:rsidP="00703C39">
      <w:r>
        <w:rPr>
          <w:noProof/>
          <w:lang w:eastAsia="en-AU"/>
        </w:rPr>
        <w:drawing>
          <wp:inline distT="0" distB="0" distL="0" distR="0" wp14:anchorId="7A34D31A" wp14:editId="579377F7">
            <wp:extent cx="5400040" cy="3369310"/>
            <wp:effectExtent l="0" t="0" r="0" b="2540"/>
            <wp:docPr id="6" name="Picture 6" descr="DELOS; Secondary endpoints; Hierarchical testing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369310"/>
                    </a:xfrm>
                    <a:prstGeom prst="rect">
                      <a:avLst/>
                    </a:prstGeom>
                  </pic:spPr>
                </pic:pic>
              </a:graphicData>
            </a:graphic>
          </wp:inline>
        </w:drawing>
      </w:r>
    </w:p>
    <w:p w14:paraId="25AC53B9" w14:textId="6ECE8822" w:rsidR="00703C39" w:rsidRPr="001544F9" w:rsidRDefault="00703C39" w:rsidP="00547B5F">
      <w:pPr>
        <w:rPr>
          <w:rFonts w:asciiTheme="minorHAnsi" w:hAnsiTheme="minorHAnsi"/>
          <w:b/>
        </w:rPr>
      </w:pPr>
      <w:r w:rsidRPr="005244B0">
        <w:t xml:space="preserve">No significant differences in muscle strength (as measured by upper limb muscle strength as the majority of patients were non-ambulatory), </w:t>
      </w:r>
      <w:r w:rsidR="00252C48">
        <w:t>Pediatric Quality of Life Inventory (</w:t>
      </w:r>
      <w:r w:rsidRPr="005244B0">
        <w:t>PedsQL</w:t>
      </w:r>
      <w:r w:rsidR="00252C48">
        <w:t>)</w:t>
      </w:r>
      <w:r w:rsidRPr="005244B0">
        <w:t xml:space="preserve"> Quality of Life Inventory or</w:t>
      </w:r>
      <w:r>
        <w:t xml:space="preserve"> Clinical Global Impression (</w:t>
      </w:r>
      <w:r w:rsidRPr="005244B0">
        <w:rPr>
          <w:iCs/>
        </w:rPr>
        <w:t>CGI</w:t>
      </w:r>
      <w:r>
        <w:rPr>
          <w:iCs/>
        </w:rPr>
        <w:t>)</w:t>
      </w:r>
      <w:r w:rsidRPr="005244B0">
        <w:t xml:space="preserve"> were observed between idebenone and placebo-treated patients.</w:t>
      </w:r>
      <w:r w:rsidR="00547B5F">
        <w:t xml:space="preserve"> </w:t>
      </w:r>
      <w:r>
        <w:t xml:space="preserve">It is noted that </w:t>
      </w:r>
      <w:r w:rsidR="008C3879">
        <w:t xml:space="preserve">the </w:t>
      </w:r>
      <w:r>
        <w:t>DELOS</w:t>
      </w:r>
      <w:r w:rsidR="008C3879">
        <w:t xml:space="preserve"> study</w:t>
      </w:r>
      <w:r>
        <w:t xml:space="preserve"> was not designed to show an effect on non-respiratory endpoints.</w:t>
      </w:r>
    </w:p>
    <w:p w14:paraId="5F149FF8" w14:textId="6E7521CF" w:rsidR="00703C39" w:rsidRPr="001544F9" w:rsidRDefault="00703C39" w:rsidP="00547B5F">
      <w:pPr>
        <w:rPr>
          <w:rFonts w:asciiTheme="minorHAnsi" w:hAnsiTheme="minorHAnsi"/>
        </w:rPr>
      </w:pPr>
      <w:r w:rsidRPr="001544F9">
        <w:rPr>
          <w:rFonts w:asciiTheme="minorHAnsi" w:hAnsiTheme="minorHAnsi"/>
        </w:rPr>
        <w:t>Pre-specified responder analyses were performed (</w:t>
      </w:r>
      <w:r w:rsidR="00CC66F4">
        <w:rPr>
          <w:rFonts w:asciiTheme="minorHAnsi" w:hAnsiTheme="minorHAnsi"/>
        </w:rPr>
        <w:t>Table 26</w:t>
      </w:r>
      <w:r w:rsidRPr="001544F9">
        <w:rPr>
          <w:rFonts w:asciiTheme="minorHAnsi" w:hAnsiTheme="minorHAnsi"/>
        </w:rPr>
        <w:t>)</w:t>
      </w:r>
      <w:r>
        <w:rPr>
          <w:rFonts w:asciiTheme="minorHAnsi" w:hAnsiTheme="minorHAnsi"/>
        </w:rPr>
        <w:t xml:space="preserve"> which, although exploratory, were supportive of the primary outcome.</w:t>
      </w:r>
      <w:r w:rsidR="00DB3203">
        <w:rPr>
          <w:rFonts w:asciiTheme="minorHAnsi" w:hAnsiTheme="minorHAnsi"/>
        </w:rPr>
        <w:t xml:space="preserve"> </w:t>
      </w:r>
      <w:r w:rsidRPr="00430EB4">
        <w:t xml:space="preserve">In addition, </w:t>
      </w:r>
      <w:r>
        <w:t xml:space="preserve">patients receiving idebenone were less likely to have their </w:t>
      </w:r>
      <w:r w:rsidR="008C3879">
        <w:t>p</w:t>
      </w:r>
      <w:r>
        <w:t xml:space="preserve">eak </w:t>
      </w:r>
      <w:r w:rsidR="008C3879">
        <w:t>c</w:t>
      </w:r>
      <w:r>
        <w:t xml:space="preserve">ough </w:t>
      </w:r>
      <w:r w:rsidR="008C3879">
        <w:t>f</w:t>
      </w:r>
      <w:r>
        <w:t xml:space="preserve">low </w:t>
      </w:r>
      <w:r w:rsidR="008C3879">
        <w:t xml:space="preserve">(PCF) </w:t>
      </w:r>
      <w:r>
        <w:t>drop below 160 L/sec (pre-specified), or their FVC drop below 1 litre (post-hoc) (</w:t>
      </w:r>
      <w:r w:rsidR="00CC66F4">
        <w:t>Table 27</w:t>
      </w:r>
      <w:r>
        <w:t>).</w:t>
      </w:r>
    </w:p>
    <w:p w14:paraId="3549DD0A" w14:textId="242F1FD3" w:rsidR="00703C39" w:rsidRPr="00023103" w:rsidRDefault="00703C39" w:rsidP="00703C39">
      <w:pPr>
        <w:pStyle w:val="TableTitle"/>
      </w:pPr>
      <w:bookmarkStart w:id="272" w:name="_Ref515357684"/>
      <w:r w:rsidRPr="00023103">
        <w:lastRenderedPageBreak/>
        <w:t xml:space="preserve">Table </w:t>
      </w:r>
      <w:bookmarkEnd w:id="272"/>
      <w:r w:rsidR="00CC66F4">
        <w:t>26</w:t>
      </w:r>
      <w:r w:rsidR="0030092C">
        <w:t>:</w:t>
      </w:r>
      <w:r w:rsidRPr="00023103">
        <w:t xml:space="preserve"> Responder </w:t>
      </w:r>
      <w:r w:rsidR="0030092C">
        <w:t>r</w:t>
      </w:r>
      <w:r w:rsidRPr="00023103">
        <w:t>ates at Week 52 for selected respiratory functio</w:t>
      </w:r>
      <w:r w:rsidR="0002337A">
        <w:t>n variables;</w:t>
      </w:r>
      <w:r w:rsidRPr="00023103">
        <w:t xml:space="preserve"> </w:t>
      </w:r>
      <w:r w:rsidR="0002337A">
        <w:t>last observation carried forward</w:t>
      </w:r>
      <w:r w:rsidR="0002337A" w:rsidRPr="00023103">
        <w:t xml:space="preserve"> </w:t>
      </w:r>
      <w:r w:rsidR="0002337A">
        <w:t>(</w:t>
      </w:r>
      <w:r w:rsidRPr="00023103">
        <w:t>LOCF</w:t>
      </w:r>
      <w:r w:rsidR="0002337A">
        <w:t>) a</w:t>
      </w:r>
      <w:r w:rsidRPr="00023103">
        <w:t xml:space="preserve">pproach (ITT </w:t>
      </w:r>
      <w:r w:rsidR="008C3879">
        <w:t>p</w:t>
      </w:r>
      <w:r w:rsidRPr="00023103">
        <w:t>opulation)</w:t>
      </w:r>
    </w:p>
    <w:p w14:paraId="6DB18A58" w14:textId="77777777" w:rsidR="00703C39" w:rsidRDefault="00703C39" w:rsidP="00703C39">
      <w:r>
        <w:rPr>
          <w:noProof/>
          <w:lang w:eastAsia="en-AU"/>
        </w:rPr>
        <w:drawing>
          <wp:inline distT="0" distB="0" distL="0" distR="0" wp14:anchorId="4F6E31BF" wp14:editId="51773F42">
            <wp:extent cx="5400040" cy="3418840"/>
            <wp:effectExtent l="0" t="0" r="0" b="0"/>
            <wp:docPr id="7" name="Picture 7" descr="Responder rates at Week 52 for selected respiratory function variables; last observation carried forward (LOCF) approach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418840"/>
                    </a:xfrm>
                    <a:prstGeom prst="rect">
                      <a:avLst/>
                    </a:prstGeom>
                  </pic:spPr>
                </pic:pic>
              </a:graphicData>
            </a:graphic>
          </wp:inline>
        </w:drawing>
      </w:r>
    </w:p>
    <w:p w14:paraId="4F153745" w14:textId="40DE64A0" w:rsidR="00703C39" w:rsidRPr="00023103" w:rsidRDefault="00703C39" w:rsidP="00703C39">
      <w:pPr>
        <w:pStyle w:val="TableTitle"/>
        <w:rPr>
          <w:rFonts w:asciiTheme="minorHAnsi" w:hAnsiTheme="minorHAnsi"/>
        </w:rPr>
      </w:pPr>
      <w:bookmarkStart w:id="273" w:name="_Ref515357785"/>
      <w:r w:rsidRPr="00023103">
        <w:t xml:space="preserve">Table </w:t>
      </w:r>
      <w:bookmarkEnd w:id="273"/>
      <w:r w:rsidR="00CC66F4">
        <w:t>27</w:t>
      </w:r>
      <w:r w:rsidR="0030092C">
        <w:t>:</w:t>
      </w:r>
      <w:r w:rsidRPr="00023103">
        <w:t xml:space="preserve"> Additional </w:t>
      </w:r>
      <w:r w:rsidR="0030092C" w:rsidRPr="00023103">
        <w:t>responder analyses</w:t>
      </w:r>
      <w:r w:rsidRPr="00023103">
        <w:t xml:space="preserve">: Results at </w:t>
      </w:r>
      <w:r w:rsidR="0030092C">
        <w:t>any time point during the study;</w:t>
      </w:r>
      <w:r w:rsidRPr="00023103">
        <w:t xml:space="preserve"> LOCF </w:t>
      </w:r>
      <w:r w:rsidR="0030092C">
        <w:t>a</w:t>
      </w:r>
      <w:r w:rsidRPr="00023103">
        <w:t xml:space="preserve">pproach (ITT </w:t>
      </w:r>
      <w:r w:rsidR="008C3879">
        <w:t>p</w:t>
      </w:r>
      <w:r w:rsidRPr="00023103">
        <w:t>opulation)</w:t>
      </w:r>
    </w:p>
    <w:p w14:paraId="7BF64215" w14:textId="77777777" w:rsidR="00703C39" w:rsidRDefault="00703C39" w:rsidP="00703C39">
      <w:r>
        <w:rPr>
          <w:noProof/>
          <w:lang w:eastAsia="en-AU"/>
        </w:rPr>
        <w:drawing>
          <wp:inline distT="0" distB="0" distL="0" distR="0" wp14:anchorId="66C29CC4" wp14:editId="53050A95">
            <wp:extent cx="5400040" cy="1847850"/>
            <wp:effectExtent l="0" t="0" r="0" b="0"/>
            <wp:docPr id="8" name="Picture 8" descr="Additional responder analyses: Results at any time point during the study; LOCF approach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1847850"/>
                    </a:xfrm>
                    <a:prstGeom prst="rect">
                      <a:avLst/>
                    </a:prstGeom>
                  </pic:spPr>
                </pic:pic>
              </a:graphicData>
            </a:graphic>
          </wp:inline>
        </w:drawing>
      </w:r>
    </w:p>
    <w:p w14:paraId="31520EAD" w14:textId="28A1B6F6" w:rsidR="00703C39" w:rsidRPr="001601AD" w:rsidRDefault="00703C39" w:rsidP="00547B5F">
      <w:pPr>
        <w:rPr>
          <w:rFonts w:asciiTheme="minorHAnsi" w:hAnsiTheme="minorHAnsi"/>
        </w:rPr>
      </w:pPr>
      <w:r w:rsidRPr="001601AD">
        <w:t>A prospectively planned matching study was performed with patients enrolled in a longitudinal natural history study from the Cooperative International Neuromuscular Research Group Duchenne Natural History Study (CINRG DNHS) to provide external validation of the results of the primary endpoint in DELO</w:t>
      </w:r>
      <w:r w:rsidRPr="001601AD">
        <w:rPr>
          <w:rFonts w:asciiTheme="minorHAnsi" w:hAnsiTheme="minorHAnsi"/>
        </w:rPr>
        <w:t>S.</w:t>
      </w:r>
      <w:r w:rsidR="00DB3203" w:rsidRPr="001601AD">
        <w:rPr>
          <w:rFonts w:asciiTheme="minorHAnsi" w:hAnsiTheme="minorHAnsi"/>
        </w:rPr>
        <w:t xml:space="preserve"> </w:t>
      </w:r>
      <w:r w:rsidRPr="001601AD">
        <w:rPr>
          <w:rFonts w:asciiTheme="minorHAnsi" w:hAnsiTheme="minorHAnsi"/>
        </w:rPr>
        <w:t xml:space="preserve">This matching study demonstrated that the DELOS </w:t>
      </w:r>
      <w:r w:rsidR="008C3879">
        <w:rPr>
          <w:rFonts w:asciiTheme="minorHAnsi" w:hAnsiTheme="minorHAnsi"/>
        </w:rPr>
        <w:t xml:space="preserve">study </w:t>
      </w:r>
      <w:r w:rsidRPr="001601AD">
        <w:rPr>
          <w:rFonts w:asciiTheme="minorHAnsi" w:hAnsiTheme="minorHAnsi"/>
        </w:rPr>
        <w:t>placebo group changes in PEF%p were reflective of the natural history of the disease, and that DELOS patients receiving treatment with idebenone had a slower decline in PEF%p than the matched natural history cohort.</w:t>
      </w:r>
      <w:r w:rsidR="00DB3203" w:rsidRPr="001601AD">
        <w:rPr>
          <w:rFonts w:asciiTheme="minorHAnsi" w:hAnsiTheme="minorHAnsi"/>
        </w:rPr>
        <w:t xml:space="preserve"> </w:t>
      </w:r>
      <w:r w:rsidRPr="001601AD">
        <w:rPr>
          <w:rFonts w:asciiTheme="minorHAnsi" w:hAnsiTheme="minorHAnsi"/>
        </w:rPr>
        <w:t>The difference in the decline in PEF%p over 52 weeks between the idebenone and placebo groups (5.96%) was of a similar magnitude to the annual decline in PEF%p observed in the CINRG DNHS matched-to-DELOS idebenone (-5.98%) and placebo (-6.30%) cohorts, suggesting that treatment with idebenone could delay the decline in PEF%p by approximately 1 year based on the n</w:t>
      </w:r>
      <w:r w:rsidR="00547B5F" w:rsidRPr="001601AD">
        <w:rPr>
          <w:rFonts w:asciiTheme="minorHAnsi" w:hAnsiTheme="minorHAnsi"/>
        </w:rPr>
        <w:t>atural history of the disease.</w:t>
      </w:r>
    </w:p>
    <w:p w14:paraId="3409BDD1" w14:textId="77777777" w:rsidR="00703C39" w:rsidRPr="00547B5F" w:rsidRDefault="00703C39" w:rsidP="00547B5F">
      <w:pPr>
        <w:rPr>
          <w:b/>
        </w:rPr>
      </w:pPr>
      <w:r>
        <w:t xml:space="preserve">Additional analyses of natural history data were provided by the </w:t>
      </w:r>
      <w:r w:rsidR="0032280D">
        <w:t>sponsor</w:t>
      </w:r>
      <w:r>
        <w:t xml:space="preserve"> after </w:t>
      </w:r>
      <w:r w:rsidR="001601AD">
        <w:t>the first round evaluation</w:t>
      </w:r>
      <w:r>
        <w:t xml:space="preserve"> to support the correlation between PEF%p and FVC%p and the correlation between PEF%p and clinical outcomes (mortality and initiation</w:t>
      </w:r>
      <w:r w:rsidR="00547B5F">
        <w:t xml:space="preserve"> of assisted ventilation).</w:t>
      </w:r>
    </w:p>
    <w:p w14:paraId="74C3D2E4" w14:textId="77777777" w:rsidR="00703C39" w:rsidRDefault="00703C39" w:rsidP="00547B5F">
      <w:pPr>
        <w:pStyle w:val="Heading4"/>
      </w:pPr>
      <w:r w:rsidRPr="003F08CF">
        <w:lastRenderedPageBreak/>
        <w:t>Safety</w:t>
      </w:r>
    </w:p>
    <w:p w14:paraId="177E581C" w14:textId="76168C23" w:rsidR="00547B5F" w:rsidRDefault="00703C39" w:rsidP="00547B5F">
      <w:r w:rsidRPr="00313CE2">
        <w:t>Safety data for idebenone in DMD includes 53 patients treated with 450 or 900 mg per day for a mean (SD) of 549 (315.5) days.</w:t>
      </w:r>
      <w:r w:rsidR="00DB3203">
        <w:t xml:space="preserve"> </w:t>
      </w:r>
      <w:r w:rsidRPr="00313CE2">
        <w:t xml:space="preserve">The full safety analysis population, comprising patients with DMD, Leber’s </w:t>
      </w:r>
      <w:r w:rsidR="008C3879" w:rsidRPr="00313CE2">
        <w:t xml:space="preserve">hereditary optic neuropathy </w:t>
      </w:r>
      <w:r w:rsidRPr="00313CE2">
        <w:t>(LHON) and Friedreich’s ataxia (FDRA), includes 439 patie</w:t>
      </w:r>
      <w:r w:rsidR="001601AD">
        <w:t>nts who received idebenone 180 to</w:t>
      </w:r>
      <w:r w:rsidRPr="00313CE2">
        <w:t xml:space="preserve"> 2,250</w:t>
      </w:r>
      <w:r w:rsidR="001601AD">
        <w:t xml:space="preserve"> mg</w:t>
      </w:r>
      <w:r w:rsidRPr="00313CE2">
        <w:t xml:space="preserve"> per day for a mean (SD) of 600.3 (362.5) days.</w:t>
      </w:r>
      <w:r w:rsidR="00DB3203">
        <w:t xml:space="preserve"> </w:t>
      </w:r>
      <w:r w:rsidRPr="00313CE2">
        <w:t>There were differences in the age demographics and dosing regimens between the different indications.</w:t>
      </w:r>
      <w:r w:rsidR="00DB3203">
        <w:t xml:space="preserve"> </w:t>
      </w:r>
      <w:r w:rsidRPr="00313CE2">
        <w:t>Idebenone has also been used at lower doses for the treatment of cognitive disorders since 1986.</w:t>
      </w:r>
    </w:p>
    <w:p w14:paraId="6506F792" w14:textId="433932E6" w:rsidR="00703C39" w:rsidRPr="00547B5F" w:rsidRDefault="00703C39" w:rsidP="00547B5F">
      <w:pPr>
        <w:pStyle w:val="TableTitle"/>
        <w:rPr>
          <w:sz w:val="20"/>
        </w:rPr>
      </w:pPr>
      <w:r w:rsidRPr="00313CE2">
        <w:t xml:space="preserve">Table </w:t>
      </w:r>
      <w:r w:rsidR="00CC66F4">
        <w:t>28</w:t>
      </w:r>
      <w:r w:rsidR="0030092C">
        <w:t>:</w:t>
      </w:r>
      <w:r w:rsidRPr="00313CE2">
        <w:t xml:space="preserve"> Summary of total safety population</w:t>
      </w:r>
      <w:r w:rsidR="008C3879">
        <w:t>;</w:t>
      </w:r>
      <w:r w:rsidR="00DB3203">
        <w:t xml:space="preserve"> </w:t>
      </w:r>
      <w:r w:rsidR="008C3879">
        <w:t>e</w:t>
      </w:r>
      <w:r w:rsidR="0030092C">
        <w:t>xposure to idebenone in Phase</w:t>
      </w:r>
      <w:r w:rsidR="008C3879">
        <w:t> </w:t>
      </w:r>
      <w:r w:rsidR="0030092C">
        <w:t>II/III s</w:t>
      </w:r>
      <w:r w:rsidRPr="00313CE2">
        <w:t>tudies; population treated by idebenone in double-blind</w:t>
      </w:r>
      <w:r w:rsidR="00547B5F">
        <w:t xml:space="preserve"> and extension studies, by dose</w:t>
      </w:r>
    </w:p>
    <w:p w14:paraId="57548E3B" w14:textId="77777777" w:rsidR="00703C39" w:rsidRDefault="00703C39" w:rsidP="00703C39">
      <w:r>
        <w:rPr>
          <w:noProof/>
          <w:lang w:eastAsia="en-AU"/>
        </w:rPr>
        <w:drawing>
          <wp:inline distT="0" distB="0" distL="0" distR="0" wp14:anchorId="0373C7E1" wp14:editId="0BC7BCBC">
            <wp:extent cx="5400040" cy="1943735"/>
            <wp:effectExtent l="0" t="0" r="0" b="0"/>
            <wp:docPr id="9" name="Picture 9" descr="Summary of total safety population. Exposure to idebenone in Phase II/III studies; population treated by idebenone in double-blind and extension studies, b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1943735"/>
                    </a:xfrm>
                    <a:prstGeom prst="rect">
                      <a:avLst/>
                    </a:prstGeom>
                  </pic:spPr>
                </pic:pic>
              </a:graphicData>
            </a:graphic>
          </wp:inline>
        </w:drawing>
      </w:r>
    </w:p>
    <w:p w14:paraId="61E14061" w14:textId="77777777" w:rsidR="00703C39" w:rsidRPr="00B43BD0" w:rsidRDefault="00703C39" w:rsidP="00547B5F">
      <w:r w:rsidRPr="00A20680">
        <w:t xml:space="preserve">In </w:t>
      </w:r>
      <w:r>
        <w:t xml:space="preserve">the </w:t>
      </w:r>
      <w:r w:rsidRPr="00A20680">
        <w:t>DMD</w:t>
      </w:r>
      <w:r>
        <w:t xml:space="preserve"> studies</w:t>
      </w:r>
      <w:r w:rsidRPr="00A20680">
        <w:t>, the majority of patients experienced AEs but at a similar percentage in the idebenone (93.3%) and placebo (95.2%) treatment groups.</w:t>
      </w:r>
      <w:r w:rsidR="00DB3203">
        <w:t xml:space="preserve"> </w:t>
      </w:r>
      <w:r w:rsidRPr="00A20680">
        <w:t>Treatment</w:t>
      </w:r>
      <w:r>
        <w:t>-</w:t>
      </w:r>
      <w:r w:rsidRPr="00A20680">
        <w:t>related AEs and SAEs were reported in fewer patients on idebenone (24.4% and 6.7%) than on placebo (33.3% and 14.3%).</w:t>
      </w:r>
      <w:r w:rsidR="00DB3203">
        <w:t xml:space="preserve"> </w:t>
      </w:r>
      <w:r w:rsidRPr="00B43BD0">
        <w:t xml:space="preserve">AEs reported in </w:t>
      </w:r>
      <w:r w:rsidR="001601AD">
        <w:t xml:space="preserve">≥ </w:t>
      </w:r>
      <w:r w:rsidRPr="00B43BD0">
        <w:t xml:space="preserve">10% of subjects in either treatment group (idebenone </w:t>
      </w:r>
      <w:r w:rsidR="0061481A" w:rsidRPr="0061481A">
        <w:t>versus</w:t>
      </w:r>
      <w:r w:rsidRPr="00B43BD0">
        <w:t xml:space="preserve"> placebo) and higher on idebenone were diarrhoea (20.0% </w:t>
      </w:r>
      <w:r w:rsidR="001601AD">
        <w:t>versus</w:t>
      </w:r>
      <w:r w:rsidRPr="00B43BD0">
        <w:t xml:space="preserve"> 14.3%), headache (17.8% </w:t>
      </w:r>
      <w:r w:rsidR="0061481A" w:rsidRPr="0061481A">
        <w:t>versus</w:t>
      </w:r>
      <w:r w:rsidRPr="00B43BD0">
        <w:t xml:space="preserve"> 16.7%), pyrexia (13.3% </w:t>
      </w:r>
      <w:r w:rsidR="0061481A" w:rsidRPr="0061481A">
        <w:t>versus</w:t>
      </w:r>
      <w:r w:rsidRPr="00B43BD0">
        <w:t xml:space="preserve"> 7.1%), gastroenteritis (13.3% </w:t>
      </w:r>
      <w:r w:rsidR="0061481A" w:rsidRPr="0061481A">
        <w:t>versus</w:t>
      </w:r>
      <w:r w:rsidRPr="00B43BD0">
        <w:t xml:space="preserve"> 2.4%), and abdominal pain (11.1% </w:t>
      </w:r>
      <w:r w:rsidR="0061481A" w:rsidRPr="0061481A">
        <w:t>versus</w:t>
      </w:r>
      <w:r w:rsidRPr="00B43BD0">
        <w:t xml:space="preserve"> 7.1%).</w:t>
      </w:r>
      <w:r w:rsidR="00DB3203">
        <w:t xml:space="preserve"> </w:t>
      </w:r>
      <w:r w:rsidRPr="00B43BD0">
        <w:t>There were relatively few treatment-related AEs, with only diarrhoea and chromaturia being reported by 2 or more patients on idebenone.</w:t>
      </w:r>
      <w:r w:rsidR="00DB3203">
        <w:t xml:space="preserve"> </w:t>
      </w:r>
      <w:r w:rsidRPr="00B43BD0">
        <w:t>The majority of AEs and treatment-related AEs wer</w:t>
      </w:r>
      <w:r w:rsidR="00547B5F">
        <w:t>e mild to moderate in severity.</w:t>
      </w:r>
    </w:p>
    <w:p w14:paraId="196FA601" w14:textId="77777777" w:rsidR="00703C39" w:rsidRPr="00A20680" w:rsidRDefault="00703C39" w:rsidP="00547B5F">
      <w:pPr>
        <w:rPr>
          <w:rFonts w:asciiTheme="minorHAnsi" w:hAnsiTheme="minorHAnsi"/>
          <w:b/>
        </w:rPr>
      </w:pPr>
      <w:r>
        <w:t xml:space="preserve">There were no deaths during the DMD studies, and none of the SAEs or discontinuations due to AEs were considered </w:t>
      </w:r>
      <w:r w:rsidRPr="007E7E0A">
        <w:t>by the investigator to be treatment-related.</w:t>
      </w:r>
      <w:r w:rsidR="00DB3203">
        <w:t xml:space="preserve"> </w:t>
      </w:r>
      <w:r>
        <w:t xml:space="preserve">In </w:t>
      </w:r>
      <w:r w:rsidR="001601AD">
        <w:t>addition,</w:t>
      </w:r>
      <w:r>
        <w:t xml:space="preserve"> there were no safety issues identified w</w:t>
      </w:r>
      <w:r w:rsidR="00547B5F">
        <w:t>ith possible regulatory impact.</w:t>
      </w:r>
    </w:p>
    <w:p w14:paraId="6B4022E4" w14:textId="31EDEA11" w:rsidR="00703C39" w:rsidRPr="00A2100E" w:rsidRDefault="00703C39" w:rsidP="00547B5F">
      <w:r w:rsidRPr="00A20680">
        <w:t>In a post-hoc analysis of the DELOS</w:t>
      </w:r>
      <w:r w:rsidR="008C3879">
        <w:t xml:space="preserve"> study</w:t>
      </w:r>
      <w:r w:rsidRPr="00A20680">
        <w:t xml:space="preserve"> data, clinically relevant bronchopulmonary AEs were identified by a study-independent physician and compared between the idebenone and placebo treatment groups.</w:t>
      </w:r>
      <w:r w:rsidR="00DB3203">
        <w:t xml:space="preserve"> </w:t>
      </w:r>
      <w:r w:rsidRPr="00A20680">
        <w:t>Fewer patients on idebenone (19.4%) had BAEs than those on placebo (51.5%), and the duration of BAEs and systemic antibiotic use was shorter in the idebenone group.</w:t>
      </w:r>
    </w:p>
    <w:p w14:paraId="16877D51" w14:textId="6E2AB5AF" w:rsidR="00703C39" w:rsidRPr="00A2100E" w:rsidRDefault="00703C39" w:rsidP="00547B5F">
      <w:pPr>
        <w:rPr>
          <w:rFonts w:asciiTheme="minorHAnsi" w:hAnsiTheme="minorHAnsi"/>
        </w:rPr>
      </w:pPr>
      <w:r>
        <w:rPr>
          <w:rFonts w:asciiTheme="minorHAnsi" w:hAnsiTheme="minorHAnsi"/>
        </w:rPr>
        <w:t>The</w:t>
      </w:r>
      <w:r w:rsidRPr="00A2100E">
        <w:rPr>
          <w:rFonts w:asciiTheme="minorHAnsi" w:hAnsiTheme="minorHAnsi"/>
        </w:rPr>
        <w:t xml:space="preserve"> </w:t>
      </w:r>
      <w:r>
        <w:rPr>
          <w:rFonts w:asciiTheme="minorHAnsi" w:hAnsiTheme="minorHAnsi"/>
        </w:rPr>
        <w:t>safety profile</w:t>
      </w:r>
      <w:r w:rsidRPr="00A2100E">
        <w:rPr>
          <w:rFonts w:asciiTheme="minorHAnsi" w:hAnsiTheme="minorHAnsi"/>
        </w:rPr>
        <w:t xml:space="preserve"> </w:t>
      </w:r>
      <w:r>
        <w:rPr>
          <w:rFonts w:asciiTheme="minorHAnsi" w:hAnsiTheme="minorHAnsi"/>
        </w:rPr>
        <w:t xml:space="preserve">for the </w:t>
      </w:r>
      <w:r w:rsidRPr="00A2100E">
        <w:rPr>
          <w:rFonts w:asciiTheme="minorHAnsi" w:hAnsiTheme="minorHAnsi"/>
        </w:rPr>
        <w:t>integr</w:t>
      </w:r>
      <w:r>
        <w:rPr>
          <w:rFonts w:asciiTheme="minorHAnsi" w:hAnsiTheme="minorHAnsi"/>
        </w:rPr>
        <w:t xml:space="preserve">ated safety analysis population was </w:t>
      </w:r>
      <w:r w:rsidRPr="00A2100E">
        <w:rPr>
          <w:rFonts w:asciiTheme="minorHAnsi" w:hAnsiTheme="minorHAnsi"/>
        </w:rPr>
        <w:t>similar</w:t>
      </w:r>
      <w:r>
        <w:rPr>
          <w:rFonts w:asciiTheme="minorHAnsi" w:hAnsiTheme="minorHAnsi"/>
        </w:rPr>
        <w:t xml:space="preserve"> to the DMD population.</w:t>
      </w:r>
      <w:r w:rsidR="00DB3203">
        <w:rPr>
          <w:rFonts w:asciiTheme="minorHAnsi" w:hAnsiTheme="minorHAnsi"/>
        </w:rPr>
        <w:t xml:space="preserve"> </w:t>
      </w:r>
      <w:r>
        <w:rPr>
          <w:rFonts w:asciiTheme="minorHAnsi" w:hAnsiTheme="minorHAnsi"/>
        </w:rPr>
        <w:t>T</w:t>
      </w:r>
      <w:r w:rsidRPr="007E7E0A">
        <w:t>he percentage of subjects on idebenone (all doses combined) in each indication who reported at least 1 AE ranged from 89.1% (LHON) to 97.3% (FRDA)</w:t>
      </w:r>
      <w:r>
        <w:t xml:space="preserve"> and was similar in the idebenone and placebo </w:t>
      </w:r>
      <w:r w:rsidR="008C3879">
        <w:t xml:space="preserve">double blind </w:t>
      </w:r>
      <w:r>
        <w:t>treatment groups.</w:t>
      </w:r>
      <w:r w:rsidR="00DB3203">
        <w:t xml:space="preserve"> </w:t>
      </w:r>
      <w:r w:rsidRPr="007E7E0A">
        <w:t xml:space="preserve">AEs reported in </w:t>
      </w:r>
      <w:r w:rsidR="001601AD">
        <w:t>≥</w:t>
      </w:r>
      <w:r w:rsidRPr="007E7E0A">
        <w:t xml:space="preserve"> 10% of subjects in either treatment group (idebenone </w:t>
      </w:r>
      <w:r w:rsidR="0061481A" w:rsidRPr="0061481A">
        <w:t>versus</w:t>
      </w:r>
      <w:r w:rsidRPr="007E7E0A">
        <w:t xml:space="preserve"> placebo) and higher on idebenone were </w:t>
      </w:r>
      <w:r w:rsidRPr="00502258">
        <w:t xml:space="preserve">headache (29.8% </w:t>
      </w:r>
      <w:r w:rsidR="0061481A" w:rsidRPr="0061481A">
        <w:t>versus</w:t>
      </w:r>
      <w:r w:rsidRPr="00502258">
        <w:t xml:space="preserve"> 29.5%), nasopharyngitis (</w:t>
      </w:r>
      <w:r>
        <w:t>26.7</w:t>
      </w:r>
      <w:r w:rsidRPr="00502258">
        <w:t xml:space="preserve">% </w:t>
      </w:r>
      <w:r w:rsidR="0061481A">
        <w:t>versus</w:t>
      </w:r>
      <w:r w:rsidRPr="00502258">
        <w:t xml:space="preserve"> </w:t>
      </w:r>
      <w:r>
        <w:t>21.7</w:t>
      </w:r>
      <w:r w:rsidRPr="00502258">
        <w:t>%)</w:t>
      </w:r>
      <w:r>
        <w:t xml:space="preserve">, </w:t>
      </w:r>
      <w:r w:rsidRPr="007E7E0A">
        <w:t>diarrhoea (</w:t>
      </w:r>
      <w:r>
        <w:t>17.1</w:t>
      </w:r>
      <w:r w:rsidRPr="007E7E0A">
        <w:t xml:space="preserve">% </w:t>
      </w:r>
      <w:r w:rsidR="0061481A" w:rsidRPr="0061481A">
        <w:t>versus</w:t>
      </w:r>
      <w:r w:rsidRPr="007E7E0A">
        <w:t xml:space="preserve"> </w:t>
      </w:r>
      <w:r>
        <w:t>11.4</w:t>
      </w:r>
      <w:r w:rsidRPr="007E7E0A">
        <w:t xml:space="preserve">%), </w:t>
      </w:r>
      <w:r>
        <w:t>and nausea</w:t>
      </w:r>
      <w:r w:rsidRPr="007E7E0A">
        <w:t xml:space="preserve"> (</w:t>
      </w:r>
      <w:r>
        <w:t>12.1</w:t>
      </w:r>
      <w:r w:rsidRPr="007E7E0A">
        <w:t xml:space="preserve">% </w:t>
      </w:r>
      <w:r w:rsidR="0061481A" w:rsidRPr="0061481A">
        <w:t>versus</w:t>
      </w:r>
      <w:r w:rsidRPr="007E7E0A">
        <w:t xml:space="preserve"> </w:t>
      </w:r>
      <w:r>
        <w:t>10.2%)</w:t>
      </w:r>
      <w:r w:rsidRPr="007E7E0A">
        <w:t>.</w:t>
      </w:r>
      <w:r w:rsidR="00DB3203">
        <w:t xml:space="preserve"> </w:t>
      </w:r>
      <w:r>
        <w:t xml:space="preserve">Treatment-related AEs occurred in a similar proportion of patients </w:t>
      </w:r>
      <w:r w:rsidRPr="0051757A">
        <w:t xml:space="preserve">(idebenone </w:t>
      </w:r>
      <w:r>
        <w:t>1.4</w:t>
      </w:r>
      <w:r w:rsidRPr="0051757A">
        <w:t xml:space="preserve">% </w:t>
      </w:r>
      <w:r w:rsidR="0061481A" w:rsidRPr="0061481A">
        <w:t>versus</w:t>
      </w:r>
      <w:r w:rsidRPr="0051757A">
        <w:t xml:space="preserve"> placebo </w:t>
      </w:r>
      <w:r>
        <w:t>1.2</w:t>
      </w:r>
      <w:r w:rsidRPr="0051757A">
        <w:t>%)</w:t>
      </w:r>
      <w:r>
        <w:t>.</w:t>
      </w:r>
      <w:r w:rsidR="00DB3203">
        <w:t xml:space="preserve"> </w:t>
      </w:r>
      <w:r w:rsidRPr="0051757A">
        <w:t xml:space="preserve">The incidence of study discontinuations due to AEs was low and similar in idebenone (all </w:t>
      </w:r>
      <w:r w:rsidRPr="0051757A">
        <w:lastRenderedPageBreak/>
        <w:t xml:space="preserve">doses combined) and placebo </w:t>
      </w:r>
      <w:r w:rsidR="008C3879">
        <w:t>double blind</w:t>
      </w:r>
      <w:r w:rsidRPr="0051757A">
        <w:t xml:space="preserve"> treatment groups (idebenone 2.0% v</w:t>
      </w:r>
      <w:r w:rsidR="008C3879">
        <w:t>ersu</w:t>
      </w:r>
      <w:r w:rsidRPr="0051757A">
        <w:t>s placebo 3.0%)</w:t>
      </w:r>
      <w:r w:rsidR="00547B5F">
        <w:t>.</w:t>
      </w:r>
    </w:p>
    <w:p w14:paraId="66DF42E6" w14:textId="77777777" w:rsidR="00703C39" w:rsidRPr="00782232" w:rsidRDefault="00703C39" w:rsidP="00547B5F">
      <w:pPr>
        <w:rPr>
          <w:rFonts w:asciiTheme="minorHAnsi" w:hAnsiTheme="minorHAnsi"/>
        </w:rPr>
      </w:pPr>
      <w:r>
        <w:t>In the integrated safety analysis, o</w:t>
      </w:r>
      <w:r w:rsidRPr="00B036D5">
        <w:t xml:space="preserve">ne </w:t>
      </w:r>
      <w:r>
        <w:t xml:space="preserve">death from </w:t>
      </w:r>
      <w:r w:rsidRPr="00B036D5">
        <w:t xml:space="preserve">myocardial infarction </w:t>
      </w:r>
      <w:r>
        <w:t xml:space="preserve">was reported in a FRDA patient </w:t>
      </w:r>
      <w:r w:rsidRPr="00B036D5">
        <w:t>during the MICONOS-extension study.</w:t>
      </w:r>
      <w:r w:rsidR="00DB3203">
        <w:t xml:space="preserve"> </w:t>
      </w:r>
      <w:r w:rsidRPr="00B036D5">
        <w:t>Th</w:t>
      </w:r>
      <w:r>
        <w:t>is was assessed</w:t>
      </w:r>
      <w:r w:rsidRPr="00B036D5">
        <w:t xml:space="preserve"> as unrelated to the study drug</w:t>
      </w:r>
      <w:r>
        <w:t>.</w:t>
      </w:r>
    </w:p>
    <w:p w14:paraId="1E164D6B" w14:textId="77777777" w:rsidR="00703C39" w:rsidRPr="00E40BEA" w:rsidRDefault="00703C39" w:rsidP="00547B5F">
      <w:pPr>
        <w:rPr>
          <w:rFonts w:asciiTheme="minorHAnsi" w:hAnsiTheme="minorHAnsi"/>
        </w:rPr>
      </w:pPr>
      <w:r>
        <w:t>No new safety signals were identified in the two submitted PSURs which captured data from investigational uses and marketing experience.</w:t>
      </w:r>
    </w:p>
    <w:p w14:paraId="58A4CFDF" w14:textId="77777777" w:rsidR="008E7846" w:rsidRDefault="00386150" w:rsidP="007B6132">
      <w:pPr>
        <w:pStyle w:val="Heading3"/>
        <w:rPr>
          <w:lang w:eastAsia="en-AU"/>
        </w:rPr>
      </w:pPr>
      <w:bookmarkStart w:id="274" w:name="_Toc32828549"/>
      <w:r>
        <w:rPr>
          <w:lang w:eastAsia="en-AU"/>
        </w:rPr>
        <w:t>Risk m</w:t>
      </w:r>
      <w:r w:rsidR="008E7846">
        <w:rPr>
          <w:lang w:eastAsia="en-AU"/>
        </w:rPr>
        <w:t xml:space="preserve">anagement </w:t>
      </w:r>
      <w:r>
        <w:rPr>
          <w:lang w:eastAsia="en-AU"/>
        </w:rPr>
        <w:t>p</w:t>
      </w:r>
      <w:r w:rsidR="008E7846">
        <w:rPr>
          <w:lang w:eastAsia="en-AU"/>
        </w:rPr>
        <w:t>lan</w:t>
      </w:r>
      <w:bookmarkEnd w:id="264"/>
      <w:bookmarkEnd w:id="274"/>
    </w:p>
    <w:p w14:paraId="45C77B39" w14:textId="1C9C9C75" w:rsidR="00703C39" w:rsidRPr="00D24EEA" w:rsidRDefault="00703C39" w:rsidP="00547B5F">
      <w:r w:rsidRPr="00D24EEA">
        <w:t xml:space="preserve">The </w:t>
      </w:r>
      <w:r w:rsidR="0032280D">
        <w:t>sponsor</w:t>
      </w:r>
      <w:r w:rsidRPr="00D24EEA">
        <w:t xml:space="preserve"> submitted EU-RMP version 2.1 (date 21 November 2016; </w:t>
      </w:r>
      <w:r w:rsidR="008C3879">
        <w:t>data lock point</w:t>
      </w:r>
      <w:r w:rsidR="008C3879" w:rsidRPr="00D24EEA">
        <w:t xml:space="preserve"> </w:t>
      </w:r>
      <w:r w:rsidRPr="00D24EEA">
        <w:t>November 2015) and ASA version 0.0 (date 11 April 2017) with this application and provided an updated ASA version 0.1 (date 16 January 2018) with the</w:t>
      </w:r>
      <w:r w:rsidR="008C3879">
        <w:t xml:space="preserve"> post-first round evaluation</w:t>
      </w:r>
      <w:r w:rsidR="00D7721B">
        <w:t xml:space="preserve"> </w:t>
      </w:r>
      <w:r w:rsidRPr="00D24EEA">
        <w:t>response.</w:t>
      </w:r>
    </w:p>
    <w:p w14:paraId="10CF120D" w14:textId="01841594" w:rsidR="00703C39" w:rsidRDefault="00703C39" w:rsidP="00547B5F">
      <w:r w:rsidRPr="00D24EEA">
        <w:t>The proposed Summary of Safety Concerns and their associated risk monitoring and mitigation str</w:t>
      </w:r>
      <w:r w:rsidR="00547B5F">
        <w:t xml:space="preserve">ategies for the indications of </w:t>
      </w:r>
      <w:r w:rsidRPr="00D24EEA">
        <w:t>DMD and Leber</w:t>
      </w:r>
      <w:r>
        <w:t>’s</w:t>
      </w:r>
      <w:r w:rsidRPr="00D24EEA">
        <w:t xml:space="preserve"> </w:t>
      </w:r>
      <w:r w:rsidR="008C3879" w:rsidRPr="00D24EEA">
        <w:t xml:space="preserve">hereditary optic neuropathy </w:t>
      </w:r>
      <w:r w:rsidRPr="00D24EEA">
        <w:t xml:space="preserve">(approved EU indication but not being sought in Australia) are summarised </w:t>
      </w:r>
      <w:r w:rsidR="00CC66F4">
        <w:t>in Table 19</w:t>
      </w:r>
      <w:r w:rsidR="008C3879">
        <w:t> </w:t>
      </w:r>
      <w:r w:rsidR="001601AD">
        <w:t>above</w:t>
      </w:r>
      <w:r w:rsidR="008C3879">
        <w:t>.</w:t>
      </w:r>
    </w:p>
    <w:p w14:paraId="72F4361D" w14:textId="189174DA" w:rsidR="00C01E82" w:rsidRPr="00D24EEA" w:rsidRDefault="00C01E82" w:rsidP="00547B5F">
      <w:r w:rsidRPr="00D24EEA">
        <w:t>Additional pharmacovigilance activities include a Phase III study assessing the efficacy, safety and tolerability of idebenone in patients with DMD receiving glucocorticoid steroids (</w:t>
      </w:r>
      <w:r w:rsidR="008C3879">
        <w:t xml:space="preserve">the </w:t>
      </w:r>
      <w:r w:rsidRPr="00D24EEA">
        <w:t xml:space="preserve">SIDEROS </w:t>
      </w:r>
      <w:r w:rsidR="008C3879">
        <w:t xml:space="preserve">study (Study </w:t>
      </w:r>
      <w:r w:rsidRPr="00D24EEA">
        <w:t>SNT-III-012</w:t>
      </w:r>
      <w:r w:rsidR="008C3879">
        <w:t>)</w:t>
      </w:r>
      <w:r w:rsidRPr="00D24EEA">
        <w:t>) and a post-authorisation safety study.</w:t>
      </w:r>
    </w:p>
    <w:p w14:paraId="1DCCFBFC" w14:textId="77777777" w:rsidR="00C01E82" w:rsidRPr="00D24EEA" w:rsidRDefault="00C01E82" w:rsidP="00547B5F">
      <w:r w:rsidRPr="00D24EEA">
        <w:t xml:space="preserve">Routine risk minimisation activities are proposed for all safety concerns. It is proposed to provide educational material to the physicians in the EU to prevent off-label prescription of Raxone to DMD patients receiving glucocorticoids. </w:t>
      </w:r>
      <w:r w:rsidR="001601AD" w:rsidRPr="00D24EEA">
        <w:t>However,</w:t>
      </w:r>
      <w:r w:rsidRPr="00D24EEA">
        <w:t xml:space="preserve"> no additional risk minimisation measures are proposed for Australia. Physician education for this missing information is not considered to be a regulatory requirement in Australia, as the proposed indication excludes use in this population.</w:t>
      </w:r>
    </w:p>
    <w:p w14:paraId="5BEBB95A" w14:textId="77777777" w:rsidR="00C01E82" w:rsidRPr="00D24EEA" w:rsidRDefault="00C01E82" w:rsidP="00547B5F">
      <w:r w:rsidRPr="00D24EEA">
        <w:t xml:space="preserve">Proposed conditions of registration are </w:t>
      </w:r>
      <w:r w:rsidR="001601AD">
        <w:t>recommended as above in Section VI</w:t>
      </w:r>
      <w:r w:rsidRPr="00D24EEA">
        <w:t>.</w:t>
      </w:r>
    </w:p>
    <w:p w14:paraId="7D32A47B" w14:textId="77777777" w:rsidR="008E7846" w:rsidRDefault="00AA0ED0" w:rsidP="008E7846">
      <w:pPr>
        <w:pStyle w:val="Heading3"/>
      </w:pPr>
      <w:bookmarkStart w:id="275" w:name="_Toc247691531"/>
      <w:bookmarkStart w:id="276" w:name="_Toc314842515"/>
      <w:bookmarkStart w:id="277" w:name="_Toc32828550"/>
      <w:bookmarkStart w:id="278" w:name="_Toc196046505"/>
      <w:bookmarkStart w:id="279" w:name="_Toc196046949"/>
      <w:r>
        <w:t>Risk-benefit a</w:t>
      </w:r>
      <w:r w:rsidR="008E7846">
        <w:t>nalysis</w:t>
      </w:r>
      <w:bookmarkEnd w:id="275"/>
      <w:bookmarkEnd w:id="276"/>
      <w:bookmarkEnd w:id="277"/>
    </w:p>
    <w:p w14:paraId="1ADD0D61" w14:textId="77777777" w:rsidR="00C01E82" w:rsidRDefault="00C01E82" w:rsidP="00547B5F">
      <w:pPr>
        <w:pStyle w:val="Heading5"/>
      </w:pPr>
      <w:r>
        <w:t>Efficacy</w:t>
      </w:r>
    </w:p>
    <w:p w14:paraId="2D56FE1C" w14:textId="0400385E" w:rsidR="00C01E82" w:rsidRPr="00F545EE" w:rsidRDefault="008C3879" w:rsidP="00547B5F">
      <w:pPr>
        <w:rPr>
          <w:b/>
        </w:rPr>
      </w:pPr>
      <w:r>
        <w:t xml:space="preserve">The </w:t>
      </w:r>
      <w:r w:rsidR="00C01E82">
        <w:t xml:space="preserve">DELPHI </w:t>
      </w:r>
      <w:r>
        <w:t xml:space="preserve">study </w:t>
      </w:r>
      <w:r w:rsidR="00C01E82">
        <w:t>was a small Phase II study which failed to meet its primary cardiac efficacy endpoint.</w:t>
      </w:r>
      <w:r w:rsidR="00DB3203">
        <w:t xml:space="preserve"> </w:t>
      </w:r>
      <w:r w:rsidR="00C01E82">
        <w:t>A difference favouring idebenone was noted in PEF%p, but not other respiratory markers such as FVC%p and MIP%p.</w:t>
      </w:r>
      <w:r w:rsidR="00DB3203">
        <w:t xml:space="preserve"> </w:t>
      </w:r>
      <w:r w:rsidR="00C01E82">
        <w:t xml:space="preserve">This was a hypothesis-generating finding which led to the design of the Phase III DELOS </w:t>
      </w:r>
      <w:r>
        <w:t>s</w:t>
      </w:r>
      <w:r w:rsidR="003173BB">
        <w:t>tudy</w:t>
      </w:r>
      <w:r w:rsidR="00C01E82">
        <w:t xml:space="preserve"> with PEF%p as the primary endpoint. Interpretation of the findings from the DELPHI-E </w:t>
      </w:r>
      <w:r>
        <w:t>s</w:t>
      </w:r>
      <w:r w:rsidR="003173BB">
        <w:t>tudy</w:t>
      </w:r>
      <w:r w:rsidR="00C01E82">
        <w:t xml:space="preserve"> is constrained </w:t>
      </w:r>
      <w:r w:rsidR="00547B5F">
        <w:t>by the lack of a control group.</w:t>
      </w:r>
    </w:p>
    <w:p w14:paraId="7D5F30AA" w14:textId="177F2898" w:rsidR="00547B5F" w:rsidRDefault="00C01E82" w:rsidP="00547B5F">
      <w:pPr>
        <w:rPr>
          <w:rFonts w:asciiTheme="minorHAnsi" w:hAnsiTheme="minorHAnsi"/>
          <w:b/>
        </w:rPr>
      </w:pPr>
      <w:r w:rsidRPr="00547B5F">
        <w:t>In DELOS, the estimated decline in PEF%p in the mITT p</w:t>
      </w:r>
      <w:r w:rsidR="001601AD">
        <w:t>opulation from baseline to Week </w:t>
      </w:r>
      <w:r w:rsidRPr="00547B5F">
        <w:t xml:space="preserve">52 was 3.05% for idebenone and 9.01% for placebo, a difference of 5.96% (95%CI 0.16 </w:t>
      </w:r>
      <w:r w:rsidR="008C3879">
        <w:t>to</w:t>
      </w:r>
      <w:r w:rsidRPr="00547B5F">
        <w:t xml:space="preserve"> 11.76, </w:t>
      </w:r>
      <w:r w:rsidR="0002337A">
        <w:t>p</w:t>
      </w:r>
      <w:r w:rsidR="0061481A">
        <w:t xml:space="preserve"> = </w:t>
      </w:r>
      <w:r w:rsidRPr="00547B5F">
        <w:t>0.0443), so DELOS met its primary efficacy endpoint.</w:t>
      </w:r>
      <w:r w:rsidR="00DB3203">
        <w:t xml:space="preserve"> </w:t>
      </w:r>
      <w:r w:rsidRPr="00547B5F">
        <w:t xml:space="preserve">The findings from </w:t>
      </w:r>
      <w:r w:rsidR="008C3879">
        <w:t xml:space="preserve">the </w:t>
      </w:r>
      <w:r w:rsidRPr="00547B5F">
        <w:t>DELOS</w:t>
      </w:r>
      <w:r w:rsidR="008C3879">
        <w:t xml:space="preserve"> study</w:t>
      </w:r>
      <w:r w:rsidRPr="00547B5F">
        <w:t xml:space="preserve"> should be considered in the context of the TGA-adopted EU Guideline</w:t>
      </w:r>
      <w:r w:rsidR="001601AD">
        <w:t>.</w:t>
      </w:r>
      <w:r w:rsidR="001601AD" w:rsidRPr="001601AD">
        <w:rPr>
          <w:vertAlign w:val="superscript"/>
        </w:rPr>
        <w:fldChar w:fldCharType="begin"/>
      </w:r>
      <w:r w:rsidR="001601AD" w:rsidRPr="001601AD">
        <w:rPr>
          <w:vertAlign w:val="superscript"/>
        </w:rPr>
        <w:instrText xml:space="preserve"> NOTEREF _Ref25760375 \h </w:instrText>
      </w:r>
      <w:r w:rsidR="001601AD">
        <w:rPr>
          <w:vertAlign w:val="superscript"/>
        </w:rPr>
        <w:instrText xml:space="preserve"> \* MERGEFORMAT </w:instrText>
      </w:r>
      <w:r w:rsidR="001601AD" w:rsidRPr="001601AD">
        <w:rPr>
          <w:vertAlign w:val="superscript"/>
        </w:rPr>
      </w:r>
      <w:r w:rsidR="001601AD" w:rsidRPr="001601AD">
        <w:rPr>
          <w:vertAlign w:val="superscript"/>
        </w:rPr>
        <w:fldChar w:fldCharType="separate"/>
      </w:r>
      <w:r w:rsidR="001601AD" w:rsidRPr="001601AD">
        <w:rPr>
          <w:vertAlign w:val="superscript"/>
        </w:rPr>
        <w:t>29</w:t>
      </w:r>
      <w:r w:rsidR="001601AD" w:rsidRPr="001601AD">
        <w:rPr>
          <w:vertAlign w:val="superscript"/>
        </w:rPr>
        <w:fldChar w:fldCharType="end"/>
      </w:r>
      <w:r w:rsidRPr="00547B5F">
        <w:t xml:space="preserve"> It provides guidance that, in cases where the confirmatory evidence is provided by one pivotal study only, this study will have to be exceptionally compelling.</w:t>
      </w:r>
      <w:r w:rsidR="00DB3203">
        <w:t xml:space="preserve"> </w:t>
      </w:r>
      <w:r w:rsidRPr="00547B5F">
        <w:t>The findings from a single pivotal study should be particularly compelling with respect to statistical significance, clinical relevance and internal consistency.</w:t>
      </w:r>
      <w:r w:rsidR="00DB3203">
        <w:t xml:space="preserve"> </w:t>
      </w:r>
      <w:r w:rsidRPr="00547B5F">
        <w:t>Statistical evidence considerably stronger than p</w:t>
      </w:r>
      <w:r w:rsidR="001601AD">
        <w:t> &lt; </w:t>
      </w:r>
      <w:r w:rsidRPr="00547B5F">
        <w:t xml:space="preserve">0.05 is usually required, accompanied by precise estimates of treatment effects, </w:t>
      </w:r>
      <w:r w:rsidR="001601AD">
        <w:t>that is</w:t>
      </w:r>
      <w:r w:rsidRPr="00547B5F">
        <w:t xml:space="preserve"> narrow confidence intervals.</w:t>
      </w:r>
      <w:r w:rsidR="00DB3203">
        <w:t xml:space="preserve"> </w:t>
      </w:r>
      <w:r w:rsidRPr="00547B5F">
        <w:t>The estimated size of treatment benefit must be large enough to be clinically valuable.</w:t>
      </w:r>
      <w:r w:rsidR="00DB3203">
        <w:t xml:space="preserve"> </w:t>
      </w:r>
      <w:r w:rsidRPr="00547B5F">
        <w:t>Internal consistency should be demonstrated through all important endpoints showing similar findings.</w:t>
      </w:r>
    </w:p>
    <w:p w14:paraId="47DAE850" w14:textId="5BBCCEF8" w:rsidR="00C01E82" w:rsidRPr="00547B5F" w:rsidRDefault="00C01E82" w:rsidP="00547B5F">
      <w:pPr>
        <w:rPr>
          <w:b/>
        </w:rPr>
      </w:pPr>
      <w:r w:rsidRPr="00547B5F">
        <w:lastRenderedPageBreak/>
        <w:t xml:space="preserve">When the DELOS </w:t>
      </w:r>
      <w:r w:rsidR="008C3879">
        <w:t xml:space="preserve">study </w:t>
      </w:r>
      <w:r w:rsidRPr="00547B5F">
        <w:t>findings are considered in the context of this guideline, there is concern that the results were not sufficiently compelling and internally consistent.</w:t>
      </w:r>
      <w:r w:rsidR="00DB3203">
        <w:t xml:space="preserve"> </w:t>
      </w:r>
      <w:r w:rsidRPr="00547B5F">
        <w:t>T</w:t>
      </w:r>
      <w:r w:rsidRPr="00547B5F">
        <w:rPr>
          <w:bCs/>
          <w:lang w:val="en-US"/>
        </w:rPr>
        <w:t>he confidence interval was wide, indicating a lack of precision in the primary outcome, and the p-value was not substantially stronger than 0.05.</w:t>
      </w:r>
      <w:r w:rsidR="003173BB">
        <w:rPr>
          <w:bCs/>
          <w:lang w:val="en-US"/>
        </w:rPr>
        <w:t xml:space="preserve"> </w:t>
      </w:r>
      <w:r w:rsidRPr="00547B5F">
        <w:rPr>
          <w:bCs/>
          <w:lang w:val="en-US"/>
        </w:rPr>
        <w:t>Outcomes for secondary endpoints were weak and inconsistent.</w:t>
      </w:r>
      <w:r w:rsidR="00DB3203">
        <w:rPr>
          <w:bCs/>
          <w:lang w:val="en-US"/>
        </w:rPr>
        <w:t xml:space="preserve"> </w:t>
      </w:r>
      <w:r w:rsidRPr="00547B5F">
        <w:rPr>
          <w:bCs/>
          <w:lang w:val="en-US"/>
        </w:rPr>
        <w:t>There was a beneficial trend</w:t>
      </w:r>
      <w:r w:rsidRPr="00547B5F">
        <w:rPr>
          <w:bCs/>
        </w:rPr>
        <w:t xml:space="preserve"> favouring</w:t>
      </w:r>
      <w:r w:rsidRPr="00547B5F">
        <w:rPr>
          <w:bCs/>
          <w:lang w:val="en-US"/>
        </w:rPr>
        <w:t xml:space="preserve"> idebenone for the first-ranked secondary endpoint (PEF%p, ASMA-1 device</w:t>
      </w:r>
      <w:r w:rsidR="008C3879">
        <w:rPr>
          <w:bCs/>
          <w:lang w:val="en-US"/>
        </w:rPr>
        <w:t>);</w:t>
      </w:r>
      <w:r w:rsidR="001601AD">
        <w:rPr>
          <w:rStyle w:val="FootnoteReference"/>
          <w:bCs/>
          <w:lang w:val="en-US"/>
        </w:rPr>
        <w:footnoteReference w:id="45"/>
      </w:r>
      <w:r w:rsidRPr="00547B5F">
        <w:rPr>
          <w:bCs/>
          <w:lang w:val="en-US"/>
        </w:rPr>
        <w:t xml:space="preserve"> but it did not achieve statistical significance.</w:t>
      </w:r>
      <w:r w:rsidR="00DB3203">
        <w:rPr>
          <w:bCs/>
          <w:lang w:val="en-US"/>
        </w:rPr>
        <w:t xml:space="preserve"> </w:t>
      </w:r>
      <w:r w:rsidRPr="00547B5F">
        <w:rPr>
          <w:bCs/>
          <w:lang w:val="en-US"/>
        </w:rPr>
        <w:t>The second ranked secondary endpoint, change in MIP%p from Baseline to Week 52, showed a trend in</w:t>
      </w:r>
      <w:r w:rsidRPr="00547B5F">
        <w:rPr>
          <w:bCs/>
        </w:rPr>
        <w:t xml:space="preserve"> favour</w:t>
      </w:r>
      <w:r w:rsidRPr="00547B5F">
        <w:rPr>
          <w:bCs/>
          <w:lang w:val="en-US"/>
        </w:rPr>
        <w:t xml:space="preserve"> of placebo.</w:t>
      </w:r>
      <w:r w:rsidR="00DB3203">
        <w:rPr>
          <w:bCs/>
          <w:lang w:val="en-US"/>
        </w:rPr>
        <w:t xml:space="preserve"> </w:t>
      </w:r>
      <w:r w:rsidRPr="00547B5F">
        <w:rPr>
          <w:bCs/>
          <w:lang w:val="en-US"/>
        </w:rPr>
        <w:t>The second to fifth ranked secondary endpoints did not achieve statistical significance.</w:t>
      </w:r>
      <w:r w:rsidR="00DB3203">
        <w:rPr>
          <w:bCs/>
          <w:lang w:val="en-US"/>
        </w:rPr>
        <w:t xml:space="preserve"> </w:t>
      </w:r>
      <w:r w:rsidRPr="00547B5F">
        <w:rPr>
          <w:bCs/>
          <w:lang w:val="en-US"/>
        </w:rPr>
        <w:t>Data for non-respiratory endpoints were limited.</w:t>
      </w:r>
      <w:r w:rsidR="00DB3203">
        <w:rPr>
          <w:bCs/>
          <w:lang w:val="en-US"/>
        </w:rPr>
        <w:t xml:space="preserve"> </w:t>
      </w:r>
      <w:r w:rsidRPr="00547B5F">
        <w:rPr>
          <w:bCs/>
          <w:lang w:val="en-US"/>
        </w:rPr>
        <w:t xml:space="preserve">The </w:t>
      </w:r>
      <w:r w:rsidR="0032280D">
        <w:rPr>
          <w:bCs/>
          <w:lang w:val="en-US"/>
        </w:rPr>
        <w:t>sponsor</w:t>
      </w:r>
      <w:r w:rsidRPr="00547B5F">
        <w:rPr>
          <w:bCs/>
          <w:lang w:val="en-US"/>
        </w:rPr>
        <w:t xml:space="preserve"> provided additional post-hoc analyses after milestone 5 to address the concern regarding the strength of the DELOS </w:t>
      </w:r>
      <w:r w:rsidR="008C3879">
        <w:rPr>
          <w:bCs/>
          <w:lang w:val="en-US"/>
        </w:rPr>
        <w:t xml:space="preserve">study </w:t>
      </w:r>
      <w:r w:rsidRPr="00547B5F">
        <w:rPr>
          <w:bCs/>
          <w:lang w:val="en-US"/>
        </w:rPr>
        <w:t>results.</w:t>
      </w:r>
      <w:r w:rsidR="00DB3203">
        <w:rPr>
          <w:bCs/>
          <w:lang w:val="en-US"/>
        </w:rPr>
        <w:t xml:space="preserve"> </w:t>
      </w:r>
      <w:r w:rsidRPr="00547B5F">
        <w:rPr>
          <w:bCs/>
          <w:lang w:val="en-US"/>
        </w:rPr>
        <w:t xml:space="preserve">The </w:t>
      </w:r>
      <w:r w:rsidR="0032280D">
        <w:rPr>
          <w:bCs/>
          <w:lang w:val="en-US"/>
        </w:rPr>
        <w:t>sponsor</w:t>
      </w:r>
      <w:r w:rsidRPr="00547B5F">
        <w:rPr>
          <w:bCs/>
          <w:lang w:val="en-US"/>
        </w:rPr>
        <w:t xml:space="preserve"> demonstrated that it was possible to create narrower confidence intervals by utilizing data from multiple time points in </w:t>
      </w:r>
      <w:r w:rsidR="008C3879">
        <w:rPr>
          <w:bCs/>
          <w:lang w:val="en-US"/>
        </w:rPr>
        <w:t xml:space="preserve">the </w:t>
      </w:r>
      <w:r w:rsidRPr="00547B5F">
        <w:rPr>
          <w:bCs/>
          <w:lang w:val="en-US"/>
        </w:rPr>
        <w:t>DELOS</w:t>
      </w:r>
      <w:r w:rsidR="008C3879">
        <w:rPr>
          <w:bCs/>
          <w:lang w:val="en-US"/>
        </w:rPr>
        <w:t xml:space="preserve"> study</w:t>
      </w:r>
      <w:r w:rsidRPr="00547B5F">
        <w:rPr>
          <w:bCs/>
          <w:lang w:val="en-US"/>
        </w:rPr>
        <w:t xml:space="preserve">, but the post-hoc analyses do not overcome the fundamental issue with the </w:t>
      </w:r>
      <w:r w:rsidR="00547B5F">
        <w:rPr>
          <w:bCs/>
          <w:lang w:val="en-US"/>
        </w:rPr>
        <w:t>strength of the DELOS</w:t>
      </w:r>
      <w:r w:rsidR="008C3879">
        <w:rPr>
          <w:bCs/>
          <w:lang w:val="en-US"/>
        </w:rPr>
        <w:t xml:space="preserve"> study</w:t>
      </w:r>
      <w:r w:rsidR="00547B5F">
        <w:rPr>
          <w:bCs/>
          <w:lang w:val="en-US"/>
        </w:rPr>
        <w:t xml:space="preserve"> results.</w:t>
      </w:r>
    </w:p>
    <w:p w14:paraId="340F16F6" w14:textId="227784A1" w:rsidR="00685A72" w:rsidRDefault="00C01E82" w:rsidP="00547B5F">
      <w:r>
        <w:rPr>
          <w:bCs/>
          <w:lang w:val="en-US"/>
        </w:rPr>
        <w:t xml:space="preserve">There is </w:t>
      </w:r>
      <w:r>
        <w:t xml:space="preserve">uncertainty in correlating the change in PEF%p demonstrated over 12 months in </w:t>
      </w:r>
      <w:r w:rsidR="008C3879">
        <w:t xml:space="preserve">the </w:t>
      </w:r>
      <w:r>
        <w:t xml:space="preserve">DELOS </w:t>
      </w:r>
      <w:r w:rsidR="008C3879">
        <w:t xml:space="preserve">study </w:t>
      </w:r>
      <w:r>
        <w:t>to clinical outcomes in DMD.</w:t>
      </w:r>
      <w:r w:rsidR="003173BB">
        <w:t xml:space="preserve"> </w:t>
      </w:r>
      <w:r w:rsidRPr="004F797D">
        <w:t>The submission provided analyses, references and a comparison with established thresholds in asthma to support the correlation of the primary endpoint with clinical outcomes.</w:t>
      </w:r>
      <w:r w:rsidR="00DB3203">
        <w:t xml:space="preserve"> </w:t>
      </w:r>
      <w:r w:rsidRPr="004F797D">
        <w:t>The prospectively planned matching study suggested that treatment with idebenone could delay the decline in PEF%p by approximately 1 year based on the natural history of the disease; however, the wide confidence interval for the primary endpoint and the lack of consistency in secondary respiratory endpoints introduce some uncertainty to this conclusion.</w:t>
      </w:r>
      <w:r w:rsidR="00DB3203">
        <w:t xml:space="preserve"> </w:t>
      </w:r>
      <w:r w:rsidRPr="004F797D">
        <w:t xml:space="preserve">After milestone 5, the </w:t>
      </w:r>
      <w:r w:rsidR="0032280D">
        <w:t>sponsor</w:t>
      </w:r>
      <w:r w:rsidRPr="004F797D">
        <w:t xml:space="preserve"> provided additional analyses of natural history data </w:t>
      </w:r>
      <w:r>
        <w:t xml:space="preserve">to </w:t>
      </w:r>
      <w:r w:rsidRPr="004F797D">
        <w:t xml:space="preserve">support the correlation between PEF%p and FVC%p and the correlation between PEF%p and </w:t>
      </w:r>
      <w:r>
        <w:t>clinical outcomes (mortality and initiation of assisted ventilation).</w:t>
      </w:r>
      <w:r w:rsidR="00DB3203">
        <w:t xml:space="preserve"> </w:t>
      </w:r>
      <w:r>
        <w:t xml:space="preserve">Whilst these analyses provide some support for the correlation between PEF%p and clinical outcomes, there is residual uncertainty in correlating the primary endpoint in </w:t>
      </w:r>
      <w:r w:rsidR="008C3879">
        <w:t xml:space="preserve">the </w:t>
      </w:r>
      <w:r>
        <w:t>DELOS</w:t>
      </w:r>
      <w:r w:rsidR="008C3879">
        <w:t xml:space="preserve"> study</w:t>
      </w:r>
      <w:r>
        <w:t xml:space="preserve"> to clinical outcomes in DMD.</w:t>
      </w:r>
      <w:r w:rsidR="003173BB">
        <w:t xml:space="preserve"> </w:t>
      </w:r>
      <w:r>
        <w:t xml:space="preserve">There is uncertainty in extrapolating clinical outcomes from natural history data to the respiratory function outcomes achieved over 12 months in </w:t>
      </w:r>
      <w:r w:rsidR="008C3879">
        <w:t xml:space="preserve">the </w:t>
      </w:r>
      <w:r>
        <w:t>DELOS</w:t>
      </w:r>
      <w:r w:rsidR="008C3879">
        <w:t xml:space="preserve"> study</w:t>
      </w:r>
      <w:r>
        <w:t xml:space="preserve">. There is also uncertainty in translating the observations regarding fast and slow progressors (defined as annual decline in PEF%p </w:t>
      </w:r>
      <w:r w:rsidR="003173BB">
        <w:t xml:space="preserve">&gt; </w:t>
      </w:r>
      <w:r>
        <w:t xml:space="preserve">6.27% </w:t>
      </w:r>
      <w:r>
        <w:rPr>
          <w:rFonts w:eastAsiaTheme="minorHAnsi" w:cs="Arial"/>
        </w:rPr>
        <w:t xml:space="preserve">and </w:t>
      </w:r>
      <w:r w:rsidR="001601AD">
        <w:rPr>
          <w:rFonts w:eastAsiaTheme="minorHAnsi" w:cs="Arial"/>
        </w:rPr>
        <w:t>≤</w:t>
      </w:r>
      <w:r w:rsidR="0053065A">
        <w:rPr>
          <w:rFonts w:eastAsiaTheme="minorHAnsi" w:cs="Arial"/>
        </w:rPr>
        <w:t xml:space="preserve"> </w:t>
      </w:r>
      <w:r w:rsidRPr="000E468B">
        <w:rPr>
          <w:rFonts w:eastAsiaTheme="minorHAnsi" w:cs="Arial"/>
        </w:rPr>
        <w:t>6.27%</w:t>
      </w:r>
      <w:r>
        <w:t>, respectively) in the natural history study to</w:t>
      </w:r>
      <w:r w:rsidR="00547B5F">
        <w:t xml:space="preserve"> the primary outcome in </w:t>
      </w:r>
      <w:r w:rsidR="008C3879">
        <w:t xml:space="preserve">the </w:t>
      </w:r>
      <w:r w:rsidR="00547B5F">
        <w:t>DELOS</w:t>
      </w:r>
      <w:r w:rsidR="008C3879">
        <w:t xml:space="preserve"> study</w:t>
      </w:r>
      <w:r w:rsidR="00685A72">
        <w:t>.</w:t>
      </w:r>
    </w:p>
    <w:p w14:paraId="41F0A34C" w14:textId="77777777" w:rsidR="00C01E82" w:rsidRPr="00B3171F" w:rsidRDefault="00C01E82" w:rsidP="00547B5F">
      <w:pPr>
        <w:pStyle w:val="Heading4"/>
      </w:pPr>
      <w:r>
        <w:t>Safety</w:t>
      </w:r>
    </w:p>
    <w:p w14:paraId="47B582D6" w14:textId="77777777" w:rsidR="00C01E82" w:rsidRPr="00313CE2" w:rsidRDefault="00C01E82" w:rsidP="00547B5F">
      <w:pPr>
        <w:rPr>
          <w:rFonts w:asciiTheme="minorHAnsi" w:hAnsiTheme="minorHAnsi"/>
        </w:rPr>
      </w:pPr>
      <w:r>
        <w:t>As expected for a rare disease, safety data for idebenone in DMD is limited; however, there is a history of idebenone use in other indications, albeit at different doses than is proposed for DMD and involving adults as well as children/adolescents.</w:t>
      </w:r>
      <w:r w:rsidR="00DB3203">
        <w:t xml:space="preserve"> </w:t>
      </w:r>
      <w:r w:rsidRPr="00313CE2">
        <w:rPr>
          <w:rFonts w:asciiTheme="minorHAnsi" w:hAnsiTheme="minorHAnsi"/>
        </w:rPr>
        <w:t>The overall number of patients treated and duration of exposure are considered adequate for the characterisation of t</w:t>
      </w:r>
      <w:r w:rsidR="00547B5F">
        <w:rPr>
          <w:rFonts w:asciiTheme="minorHAnsi" w:hAnsiTheme="minorHAnsi"/>
        </w:rPr>
        <w:t>he safety profile of idebenone.</w:t>
      </w:r>
    </w:p>
    <w:p w14:paraId="1969189F" w14:textId="77777777" w:rsidR="00C01E82" w:rsidRPr="00781C2E" w:rsidRDefault="00C01E82" w:rsidP="00547B5F">
      <w:pPr>
        <w:rPr>
          <w:rFonts w:asciiTheme="minorHAnsi" w:hAnsiTheme="minorHAnsi"/>
        </w:rPr>
      </w:pPr>
      <w:r>
        <w:rPr>
          <w:rFonts w:asciiTheme="minorHAnsi" w:hAnsiTheme="minorHAnsi"/>
        </w:rPr>
        <w:t>T</w:t>
      </w:r>
      <w:r w:rsidRPr="009C70C3">
        <w:rPr>
          <w:rFonts w:asciiTheme="minorHAnsi" w:hAnsiTheme="minorHAnsi"/>
        </w:rPr>
        <w:t xml:space="preserve">he safety profile in </w:t>
      </w:r>
      <w:r>
        <w:rPr>
          <w:rFonts w:asciiTheme="minorHAnsi" w:hAnsiTheme="minorHAnsi"/>
        </w:rPr>
        <w:t xml:space="preserve">the </w:t>
      </w:r>
      <w:r w:rsidRPr="009C70C3">
        <w:rPr>
          <w:rFonts w:asciiTheme="minorHAnsi" w:hAnsiTheme="minorHAnsi"/>
        </w:rPr>
        <w:t>DMD</w:t>
      </w:r>
      <w:r>
        <w:rPr>
          <w:rFonts w:asciiTheme="minorHAnsi" w:hAnsiTheme="minorHAnsi"/>
        </w:rPr>
        <w:t xml:space="preserve"> studies</w:t>
      </w:r>
      <w:r w:rsidRPr="009C70C3">
        <w:rPr>
          <w:rFonts w:asciiTheme="minorHAnsi" w:hAnsiTheme="minorHAnsi"/>
        </w:rPr>
        <w:t xml:space="preserve"> </w:t>
      </w:r>
      <w:r>
        <w:rPr>
          <w:rFonts w:asciiTheme="minorHAnsi" w:hAnsiTheme="minorHAnsi"/>
        </w:rPr>
        <w:t>wa</w:t>
      </w:r>
      <w:r w:rsidRPr="009C70C3">
        <w:rPr>
          <w:rFonts w:asciiTheme="minorHAnsi" w:hAnsiTheme="minorHAnsi"/>
        </w:rPr>
        <w:t>s consistent with</w:t>
      </w:r>
      <w:r>
        <w:rPr>
          <w:rFonts w:asciiTheme="minorHAnsi" w:hAnsiTheme="minorHAnsi"/>
        </w:rPr>
        <w:t xml:space="preserve"> that seen in studies for other indications, and reported in the PSURs.</w:t>
      </w:r>
      <w:r w:rsidR="00DB3203">
        <w:t xml:space="preserve"> </w:t>
      </w:r>
      <w:r>
        <w:t>The types and severity of AEs experienced were generally mild to moderate in severity, relatively benign in nature and clinically manageable</w:t>
      </w:r>
      <w:r w:rsidR="00547B5F">
        <w:t>.</w:t>
      </w:r>
    </w:p>
    <w:p w14:paraId="6FE24D2C" w14:textId="77777777" w:rsidR="00C01E82" w:rsidRPr="001E34FE" w:rsidRDefault="00C01E82" w:rsidP="00547B5F">
      <w:pPr>
        <w:pStyle w:val="Heading4"/>
      </w:pPr>
      <w:r w:rsidRPr="001E34FE">
        <w:t>Data deficiencies</w:t>
      </w:r>
    </w:p>
    <w:p w14:paraId="57B780C7" w14:textId="6F834D46" w:rsidR="00C01E82" w:rsidRPr="00547B5F" w:rsidRDefault="00C01E82" w:rsidP="00547B5F">
      <w:pPr>
        <w:rPr>
          <w:rFonts w:asciiTheme="minorHAnsi" w:hAnsiTheme="minorHAnsi"/>
          <w:b/>
        </w:rPr>
      </w:pPr>
      <w:r>
        <w:t xml:space="preserve">There are limited data in patients </w:t>
      </w:r>
      <w:r w:rsidR="003173BB">
        <w:t xml:space="preserve">&lt; </w:t>
      </w:r>
      <w:r>
        <w:t>10 years of age, patients with renal and/or hepatic impairment and patients with DMD receiving glucocorticoids</w:t>
      </w:r>
      <w:r w:rsidRPr="00313CE2">
        <w:t>.</w:t>
      </w:r>
      <w:r w:rsidR="00DB3203">
        <w:t xml:space="preserve"> </w:t>
      </w:r>
      <w:r>
        <w:t xml:space="preserve">Additional data is anticipated from the SIDEROS </w:t>
      </w:r>
      <w:r w:rsidR="006B6BF1">
        <w:t>s</w:t>
      </w:r>
      <w:r w:rsidR="003173BB">
        <w:t>tudy</w:t>
      </w:r>
      <w:r>
        <w:t xml:space="preserve"> and a post-authorisation safety study.</w:t>
      </w:r>
    </w:p>
    <w:p w14:paraId="35D42C6F" w14:textId="77777777" w:rsidR="00C01E82" w:rsidRDefault="00C01E82" w:rsidP="00AC6A7F">
      <w:pPr>
        <w:pageBreakBefore/>
        <w:spacing w:before="0" w:after="0" w:line="240" w:lineRule="auto"/>
        <w:rPr>
          <w:rFonts w:asciiTheme="minorHAnsi" w:hAnsiTheme="minorHAnsi"/>
          <w:b/>
        </w:rPr>
      </w:pPr>
      <w:r>
        <w:rPr>
          <w:rFonts w:asciiTheme="minorHAnsi" w:hAnsiTheme="minorHAnsi"/>
          <w:b/>
        </w:rPr>
        <w:lastRenderedPageBreak/>
        <w:t>Conclus</w:t>
      </w:r>
      <w:r w:rsidRPr="003F08CF">
        <w:rPr>
          <w:rFonts w:asciiTheme="minorHAnsi" w:hAnsiTheme="minorHAnsi"/>
          <w:b/>
        </w:rPr>
        <w:t>ion</w:t>
      </w:r>
    </w:p>
    <w:p w14:paraId="27B96582" w14:textId="77777777" w:rsidR="00C01E82" w:rsidRPr="000869CB" w:rsidRDefault="00C01E82" w:rsidP="00547B5F">
      <w:pPr>
        <w:rPr>
          <w:b/>
        </w:rPr>
      </w:pPr>
      <w:r>
        <w:t xml:space="preserve">There are no outstanding issues from the </w:t>
      </w:r>
      <w:r w:rsidR="001601AD">
        <w:t>quality and nonclinical</w:t>
      </w:r>
      <w:r>
        <w:t xml:space="preserve"> evaluations.</w:t>
      </w:r>
    </w:p>
    <w:p w14:paraId="0E77F523" w14:textId="5257042A" w:rsidR="00C01E82" w:rsidRPr="00DD2730" w:rsidRDefault="00C01E82" w:rsidP="00547B5F">
      <w:pPr>
        <w:rPr>
          <w:b/>
        </w:rPr>
      </w:pPr>
      <w:r>
        <w:t xml:space="preserve">There is concern that the evidence from </w:t>
      </w:r>
      <w:r w:rsidR="006B6BF1">
        <w:t xml:space="preserve">the </w:t>
      </w:r>
      <w:r>
        <w:t xml:space="preserve">DELOS </w:t>
      </w:r>
      <w:r w:rsidR="006B6BF1">
        <w:t xml:space="preserve">study </w:t>
      </w:r>
      <w:r>
        <w:t>is not sufficiently robust and compelling to support the registration of idebenone for the proposed indication.</w:t>
      </w:r>
      <w:r w:rsidR="00DB3203">
        <w:t xml:space="preserve"> </w:t>
      </w:r>
      <w:r>
        <w:t>The findings from a single pivotal study should be particularly compelling with respect to statistical significance, clinical relevance and internal consistency.</w:t>
      </w:r>
      <w:r w:rsidR="00DB3203">
        <w:t xml:space="preserve"> </w:t>
      </w:r>
      <w:r w:rsidRPr="00FD0EC7">
        <w:t xml:space="preserve">Whilst </w:t>
      </w:r>
      <w:r w:rsidR="006B6BF1">
        <w:t xml:space="preserve">the </w:t>
      </w:r>
      <w:r w:rsidRPr="00FD0EC7">
        <w:t xml:space="preserve">DELOS </w:t>
      </w:r>
      <w:r w:rsidR="006B6BF1">
        <w:t xml:space="preserve">study </w:t>
      </w:r>
      <w:r w:rsidRPr="00FD0EC7">
        <w:t>met its primary endpoint, th</w:t>
      </w:r>
      <w:r>
        <w:t>e</w:t>
      </w:r>
      <w:r w:rsidRPr="00FD0EC7">
        <w:t xml:space="preserve"> result was not statistically compelling, in that the statistical evidence for the primary endpoint (</w:t>
      </w:r>
      <w:r w:rsidR="0002337A">
        <w:t>p</w:t>
      </w:r>
      <w:r w:rsidR="0061481A">
        <w:t xml:space="preserve"> = </w:t>
      </w:r>
      <w:r>
        <w:t xml:space="preserve">0.0443) </w:t>
      </w:r>
      <w:r w:rsidRPr="00FD0EC7">
        <w:t>was not considerably stronger than p</w:t>
      </w:r>
      <w:r w:rsidR="006B6BF1">
        <w:t> </w:t>
      </w:r>
      <w:r w:rsidR="003173BB">
        <w:t>&lt;</w:t>
      </w:r>
      <w:r w:rsidR="006B6BF1">
        <w:t> </w:t>
      </w:r>
      <w:r w:rsidRPr="00FD0EC7">
        <w:t>0.05 and the confidence interval was wide (</w:t>
      </w:r>
      <w:r w:rsidRPr="006252EF">
        <w:t>95% CI: 0.16, 11.76</w:t>
      </w:r>
      <w:r>
        <w:t xml:space="preserve">) </w:t>
      </w:r>
      <w:r w:rsidRPr="00FD0EC7">
        <w:t>indicating a lack of precision in the estimate of the treatment effect.</w:t>
      </w:r>
      <w:r w:rsidR="00DB3203">
        <w:t xml:space="preserve"> </w:t>
      </w:r>
      <w:r w:rsidRPr="00FD0EC7">
        <w:t>Support from secondary efficacy outcomes was limited.</w:t>
      </w:r>
      <w:r w:rsidR="00DB3203">
        <w:t xml:space="preserve"> </w:t>
      </w:r>
      <w:r w:rsidRPr="00FD0EC7">
        <w:t>The top-ranked secondary endpoint did not achieve statistical significance and there were inconsistent results across other respiratory endpoints.</w:t>
      </w:r>
      <w:r w:rsidR="00DB3203">
        <w:t xml:space="preserve"> </w:t>
      </w:r>
      <w:r>
        <w:t xml:space="preserve">The lack of precision and consistency in the DELOS </w:t>
      </w:r>
      <w:r w:rsidR="006B6BF1">
        <w:t xml:space="preserve">study </w:t>
      </w:r>
      <w:r>
        <w:t>results raise concern regarding the reliability and reproducibility of the findings, and suggest the need for confirmation of the findi</w:t>
      </w:r>
      <w:r w:rsidR="00547B5F">
        <w:t>ngs in another Phase III study.</w:t>
      </w:r>
    </w:p>
    <w:p w14:paraId="2B03E914" w14:textId="39AD065F" w:rsidR="00C01E82" w:rsidRPr="005568E6" w:rsidRDefault="00C01E82" w:rsidP="00547B5F">
      <w:pPr>
        <w:rPr>
          <w:b/>
        </w:rPr>
      </w:pPr>
      <w:r>
        <w:t>There are limited data correlating the primary endpoint with clinical outcomes in DMD.</w:t>
      </w:r>
      <w:r w:rsidR="00DB3203">
        <w:t xml:space="preserve"> </w:t>
      </w:r>
      <w:r>
        <w:t xml:space="preserve">This leads to uncertainty in correlating the change in PEF%p demonstrated in </w:t>
      </w:r>
      <w:r w:rsidR="006B6BF1">
        <w:t xml:space="preserve">the </w:t>
      </w:r>
      <w:r>
        <w:t>DELOS</w:t>
      </w:r>
      <w:r w:rsidR="006B6BF1">
        <w:t xml:space="preserve"> study</w:t>
      </w:r>
      <w:r>
        <w:t xml:space="preserve"> to clinical outcomes in DMD, particularly when considered in the context of the wide confidence interval for the primary endpoint and inconsistent outcomes for </w:t>
      </w:r>
      <w:r w:rsidR="00547B5F">
        <w:t>secondary endpoints.</w:t>
      </w:r>
    </w:p>
    <w:p w14:paraId="501161EE" w14:textId="77777777" w:rsidR="00C01E82" w:rsidRPr="00F16DA3" w:rsidRDefault="00C01E82" w:rsidP="00547B5F">
      <w:pPr>
        <w:rPr>
          <w:b/>
        </w:rPr>
      </w:pPr>
      <w:r>
        <w:t xml:space="preserve">Multiple </w:t>
      </w:r>
      <w:r w:rsidRPr="00D7721B">
        <w:rPr>
          <w:i/>
        </w:rPr>
        <w:t>post-hoc</w:t>
      </w:r>
      <w:r>
        <w:t xml:space="preserve"> analyses were performed to support the primary analysis and the correlation between the primary endpoint and disease outcomes, but these analyses do not provide independent evidence of efficacy and do not address the fundamental issue that the results from the single pivotal study were not particularly compelling.</w:t>
      </w:r>
      <w:r w:rsidR="00DB3203">
        <w:t xml:space="preserve"> </w:t>
      </w:r>
      <w:r>
        <w:t>There is concern that reliance on multiple post-hoc analyses in the absence of independent confirmatory data may increase the risk of false conclusions</w:t>
      </w:r>
      <w:r w:rsidR="00547B5F">
        <w:t>.</w:t>
      </w:r>
    </w:p>
    <w:p w14:paraId="45E6D41B" w14:textId="77777777" w:rsidR="00C01E82" w:rsidRPr="00FD0EC7" w:rsidRDefault="00C01E82" w:rsidP="00547B5F">
      <w:pPr>
        <w:rPr>
          <w:b/>
        </w:rPr>
      </w:pPr>
      <w:r>
        <w:t>There are limited safety data in DMD, supported by more extensive data across other indications.</w:t>
      </w:r>
      <w:r w:rsidR="00DB3203">
        <w:t xml:space="preserve"> </w:t>
      </w:r>
      <w:r>
        <w:t>The safety profile of idebenone is considered acceptable.</w:t>
      </w:r>
    </w:p>
    <w:p w14:paraId="4363F82F" w14:textId="03C1A488" w:rsidR="00C01E82" w:rsidRPr="00547B5F" w:rsidRDefault="00C01E82" w:rsidP="00547B5F">
      <w:pPr>
        <w:rPr>
          <w:b/>
        </w:rPr>
      </w:pPr>
      <w:r>
        <w:t xml:space="preserve">Further evidence is anticipated from the Phase III SIDEROS </w:t>
      </w:r>
      <w:r w:rsidR="006B6BF1">
        <w:t xml:space="preserve">study </w:t>
      </w:r>
      <w:r>
        <w:t>which is in progress.</w:t>
      </w:r>
    </w:p>
    <w:p w14:paraId="6D34FDE3" w14:textId="2B8C6941" w:rsidR="00C01E82" w:rsidRPr="00C01E82" w:rsidRDefault="00C01E82" w:rsidP="00C01E82">
      <w:r>
        <w:rPr>
          <w:rFonts w:asciiTheme="minorHAnsi" w:hAnsiTheme="minorHAnsi"/>
        </w:rPr>
        <w:t xml:space="preserve">At this stage, </w:t>
      </w:r>
      <w:r w:rsidR="001601AD">
        <w:rPr>
          <w:rFonts w:asciiTheme="minorHAnsi" w:hAnsiTheme="minorHAnsi"/>
        </w:rPr>
        <w:t>the Delegate’s</w:t>
      </w:r>
      <w:r>
        <w:rPr>
          <w:rFonts w:asciiTheme="minorHAnsi" w:hAnsiTheme="minorHAnsi"/>
        </w:rPr>
        <w:t xml:space="preserve"> view is that the results of </w:t>
      </w:r>
      <w:r w:rsidR="006B6BF1">
        <w:rPr>
          <w:rFonts w:asciiTheme="minorHAnsi" w:hAnsiTheme="minorHAnsi"/>
        </w:rPr>
        <w:t xml:space="preserve">the </w:t>
      </w:r>
      <w:r>
        <w:rPr>
          <w:rFonts w:asciiTheme="minorHAnsi" w:hAnsiTheme="minorHAnsi"/>
        </w:rPr>
        <w:t xml:space="preserve">DELOS </w:t>
      </w:r>
      <w:r w:rsidR="006B6BF1">
        <w:rPr>
          <w:rFonts w:asciiTheme="minorHAnsi" w:hAnsiTheme="minorHAnsi"/>
        </w:rPr>
        <w:t xml:space="preserve">study </w:t>
      </w:r>
      <w:r>
        <w:rPr>
          <w:rFonts w:asciiTheme="minorHAnsi" w:hAnsiTheme="minorHAnsi"/>
        </w:rPr>
        <w:t xml:space="preserve">are not sufficiently compelling, as a single pivotal study, to support </w:t>
      </w:r>
      <w:r w:rsidR="00077CCF">
        <w:rPr>
          <w:rFonts w:asciiTheme="minorHAnsi" w:hAnsiTheme="minorHAnsi"/>
        </w:rPr>
        <w:t xml:space="preserve">the registration of idebenone. </w:t>
      </w:r>
      <w:r>
        <w:rPr>
          <w:rFonts w:asciiTheme="minorHAnsi" w:hAnsiTheme="minorHAnsi"/>
        </w:rPr>
        <w:t xml:space="preserve">There is also some uncertainty in correlating the DELOS </w:t>
      </w:r>
      <w:r w:rsidR="006B6BF1">
        <w:rPr>
          <w:rFonts w:asciiTheme="minorHAnsi" w:hAnsiTheme="minorHAnsi"/>
        </w:rPr>
        <w:t xml:space="preserve">study </w:t>
      </w:r>
      <w:r>
        <w:rPr>
          <w:rFonts w:asciiTheme="minorHAnsi" w:hAnsiTheme="minorHAnsi"/>
        </w:rPr>
        <w:t>findings with clinical outcomes in DMD.</w:t>
      </w:r>
      <w:r w:rsidR="00DB3203">
        <w:rPr>
          <w:rFonts w:asciiTheme="minorHAnsi" w:hAnsiTheme="minorHAnsi"/>
        </w:rPr>
        <w:t xml:space="preserve"> </w:t>
      </w:r>
      <w:r w:rsidR="00077CCF">
        <w:rPr>
          <w:rFonts w:asciiTheme="minorHAnsi" w:hAnsiTheme="minorHAnsi"/>
        </w:rPr>
        <w:t>However, the Delegate</w:t>
      </w:r>
      <w:r>
        <w:rPr>
          <w:rFonts w:asciiTheme="minorHAnsi" w:hAnsiTheme="minorHAnsi"/>
        </w:rPr>
        <w:t xml:space="preserve"> remain</w:t>
      </w:r>
      <w:r w:rsidR="00077CCF">
        <w:rPr>
          <w:rFonts w:asciiTheme="minorHAnsi" w:hAnsiTheme="minorHAnsi"/>
        </w:rPr>
        <w:t>ed</w:t>
      </w:r>
      <w:r>
        <w:rPr>
          <w:rFonts w:asciiTheme="minorHAnsi" w:hAnsiTheme="minorHAnsi"/>
        </w:rPr>
        <w:t xml:space="preserve"> mindful of the high level of unmet need for treatment for this group of patients and will consider expert opinion from ACM before finalising </w:t>
      </w:r>
      <w:r w:rsidR="00077CCF">
        <w:rPr>
          <w:rFonts w:asciiTheme="minorHAnsi" w:hAnsiTheme="minorHAnsi"/>
        </w:rPr>
        <w:t>their</w:t>
      </w:r>
      <w:r>
        <w:rPr>
          <w:rFonts w:asciiTheme="minorHAnsi" w:hAnsiTheme="minorHAnsi"/>
        </w:rPr>
        <w:t xml:space="preserve"> decision.</w:t>
      </w:r>
    </w:p>
    <w:p w14:paraId="24FCCD00" w14:textId="77777777" w:rsidR="00C01E82" w:rsidRDefault="00C01E82" w:rsidP="00077CCF">
      <w:pPr>
        <w:pStyle w:val="Heading4"/>
      </w:pPr>
      <w:r>
        <w:t>Conditions of registration</w:t>
      </w:r>
    </w:p>
    <w:p w14:paraId="11514342" w14:textId="77777777" w:rsidR="00C01E82" w:rsidRPr="00F91658" w:rsidRDefault="00C01E82" w:rsidP="00077CCF">
      <w:pPr>
        <w:rPr>
          <w:rFonts w:asciiTheme="minorHAnsi" w:hAnsiTheme="minorHAnsi"/>
          <w:b/>
        </w:rPr>
      </w:pPr>
      <w:r w:rsidRPr="00517A6B">
        <w:t xml:space="preserve">The following </w:t>
      </w:r>
      <w:r>
        <w:t>are</w:t>
      </w:r>
      <w:r w:rsidRPr="00517A6B">
        <w:t xml:space="preserve"> proposed as condition</w:t>
      </w:r>
      <w:r>
        <w:t>s</w:t>
      </w:r>
      <w:r w:rsidRPr="00517A6B">
        <w:t xml:space="preserve"> of registration</w:t>
      </w:r>
      <w:r>
        <w:t>:</w:t>
      </w:r>
    </w:p>
    <w:p w14:paraId="758DEEAD" w14:textId="71AD6282" w:rsidR="00C01E82" w:rsidRPr="0016131A" w:rsidRDefault="00C01E82" w:rsidP="00077CCF">
      <w:pPr>
        <w:pStyle w:val="ListBullet"/>
        <w:rPr>
          <w:rFonts w:asciiTheme="minorHAnsi" w:hAnsiTheme="minorHAnsi"/>
          <w:b/>
        </w:rPr>
      </w:pPr>
      <w:bookmarkStart w:id="280" w:name="_Ref512584239"/>
      <w:r w:rsidRPr="0016131A">
        <w:t xml:space="preserve">The Raxone EU-Risk Management Plan (RMP) (version 2.1 (date 21 November 2016; </w:t>
      </w:r>
      <w:r w:rsidR="006B6BF1">
        <w:t>data lock point</w:t>
      </w:r>
      <w:r w:rsidR="006B6BF1" w:rsidRPr="0016131A">
        <w:t xml:space="preserve"> </w:t>
      </w:r>
      <w:r w:rsidRPr="0016131A">
        <w:t>November 2015), with Australian Specific Annex (version 0.1, dated 16 January 2018), included with submission PM-2017-01423-1-3, and any subsequent revisions, as agreed with the TGA will be implemented in Australia.</w:t>
      </w:r>
      <w:bookmarkEnd w:id="280"/>
    </w:p>
    <w:p w14:paraId="610A496C" w14:textId="77777777" w:rsidR="00C01E82" w:rsidRPr="00077CCF" w:rsidRDefault="00C01E82" w:rsidP="00077CCF">
      <w:pPr>
        <w:ind w:left="349"/>
        <w:rPr>
          <w:rFonts w:asciiTheme="minorHAnsi" w:hAnsiTheme="minorHAnsi"/>
          <w:b/>
        </w:rPr>
      </w:pPr>
      <w:r w:rsidRPr="0016131A">
        <w:rPr>
          <w:snapToGrid w:val="0"/>
        </w:rPr>
        <w:t xml:space="preserve">Unless agreed separately between the supplier who is the recipient of the approval and the TGA, the first PSUR report must be submitted to TGA no later than 15 calendar months after the date of this approval letter. The subsequent PSUR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w:t>
      </w:r>
      <w:r w:rsidRPr="0016131A">
        <w:rPr>
          <w:snapToGrid w:val="0"/>
        </w:rPr>
        <w:lastRenderedPageBreak/>
        <w:t>separately as they become available.</w:t>
      </w:r>
      <w:r w:rsidR="00DB3203">
        <w:rPr>
          <w:snapToGrid w:val="0"/>
        </w:rPr>
        <w:t xml:space="preserve"> </w:t>
      </w:r>
      <w:r w:rsidRPr="0016131A">
        <w:rPr>
          <w:snapToGrid w:val="0"/>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62AFA7B2" w14:textId="77777777" w:rsidR="00077CCF" w:rsidRPr="00077CCF" w:rsidRDefault="00C01E82" w:rsidP="00077CCF">
      <w:pPr>
        <w:pStyle w:val="ListBullet"/>
        <w:rPr>
          <w:rFonts w:asciiTheme="minorHAnsi" w:hAnsiTheme="minorHAnsi"/>
          <w:b/>
        </w:rPr>
      </w:pPr>
      <w:r w:rsidRPr="0016131A">
        <w:rPr>
          <w:snapToGrid w:val="0"/>
        </w:rPr>
        <w:t>Raxone (Idebenone) is to be included in the Black Triangle Scheme. The PI and CMI for Raxone must include the black triangle symbol and mandatory accompanying text for five years, which starts from the date that the sponsor notifies t</w:t>
      </w:r>
      <w:r w:rsidR="00077CCF">
        <w:rPr>
          <w:snapToGrid w:val="0"/>
        </w:rPr>
        <w:t>he TGA of supply of the product.</w:t>
      </w:r>
    </w:p>
    <w:p w14:paraId="07C15459" w14:textId="77777777" w:rsidR="00C01E82" w:rsidRPr="001601AD" w:rsidRDefault="00C01E82" w:rsidP="001601AD">
      <w:pPr>
        <w:pStyle w:val="Heading4"/>
        <w:rPr>
          <w:rFonts w:asciiTheme="minorHAnsi" w:hAnsiTheme="minorHAnsi"/>
        </w:rPr>
      </w:pPr>
      <w:r w:rsidRPr="007F38DB">
        <w:t>Indications</w:t>
      </w:r>
    </w:p>
    <w:p w14:paraId="1ECD9767" w14:textId="76245660" w:rsidR="005C3360" w:rsidRPr="005C3360" w:rsidRDefault="00C01E82" w:rsidP="00D7721B">
      <w:pPr>
        <w:pStyle w:val="Heading5"/>
      </w:pPr>
      <w:r w:rsidRPr="005C3360">
        <w:t>Proposed (initial)</w:t>
      </w:r>
    </w:p>
    <w:p w14:paraId="5035FF51" w14:textId="77777777" w:rsidR="00C01E82" w:rsidRPr="005C3360" w:rsidRDefault="00DB3203" w:rsidP="005C3360">
      <w:pPr>
        <w:autoSpaceDE w:val="0"/>
        <w:autoSpaceDN w:val="0"/>
        <w:spacing w:after="0" w:line="240" w:lineRule="auto"/>
        <w:ind w:left="720"/>
        <w:rPr>
          <w:rFonts w:asciiTheme="minorHAnsi" w:eastAsiaTheme="minorHAnsi" w:hAnsiTheme="minorHAnsi"/>
          <w:i/>
        </w:rPr>
      </w:pPr>
      <w:r>
        <w:rPr>
          <w:rFonts w:asciiTheme="minorHAnsi" w:eastAsiaTheme="minorHAnsi" w:hAnsiTheme="minorHAnsi"/>
          <w:i/>
        </w:rPr>
        <w:t>Raxone</w:t>
      </w:r>
      <w:r w:rsidR="00C01E82" w:rsidRPr="005C3360">
        <w:rPr>
          <w:rFonts w:asciiTheme="minorHAnsi" w:eastAsiaTheme="minorHAnsi" w:hAnsiTheme="minorHAnsi"/>
          <w:i/>
        </w:rPr>
        <w:t xml:space="preserve"> is indicated for the treatment of patients with Duchenne Muscular Dystrophy (DMD) in whom respiratory function has started to decline and who are currently not taking concomitant glucocorticoids. </w:t>
      </w:r>
      <w:r>
        <w:rPr>
          <w:rFonts w:asciiTheme="minorHAnsi" w:eastAsiaTheme="minorHAnsi" w:hAnsiTheme="minorHAnsi"/>
          <w:i/>
        </w:rPr>
        <w:t>Raxone</w:t>
      </w:r>
      <w:r w:rsidR="00C01E82" w:rsidRPr="005C3360">
        <w:rPr>
          <w:rFonts w:asciiTheme="minorHAnsi" w:eastAsiaTheme="minorHAnsi" w:hAnsiTheme="minorHAnsi"/>
          <w:i/>
        </w:rPr>
        <w:t xml:space="preserve"> can be used in patients previously treated with glucocorticoids or in patients in whom glucocorticoid treatment is not desired, not tolerated or is contraindicated.</w:t>
      </w:r>
    </w:p>
    <w:p w14:paraId="4290A968" w14:textId="6B12966F" w:rsidR="005C3360" w:rsidRPr="005C3360" w:rsidRDefault="00C01E82" w:rsidP="00D7721B">
      <w:pPr>
        <w:pStyle w:val="Heading5"/>
      </w:pPr>
      <w:r w:rsidRPr="005C3360">
        <w:t>Proposed (revised)</w:t>
      </w:r>
    </w:p>
    <w:p w14:paraId="42BFD299" w14:textId="77777777" w:rsidR="00C01E82" w:rsidRPr="005C3360" w:rsidRDefault="00DB3203" w:rsidP="005C3360">
      <w:pPr>
        <w:ind w:left="720"/>
        <w:rPr>
          <w:i/>
        </w:rPr>
      </w:pPr>
      <w:r>
        <w:rPr>
          <w:i/>
        </w:rPr>
        <w:t>Raxone</w:t>
      </w:r>
      <w:r w:rsidR="00C01E82" w:rsidRPr="005C3360">
        <w:rPr>
          <w:i/>
        </w:rPr>
        <w:t xml:space="preserve"> is indicated for the treatment of patients with Duchenne Muscular Dystrophy (DMD) in whom respiratory function has started to decline </w:t>
      </w:r>
      <w:r w:rsidR="00C01E82" w:rsidRPr="005C3360">
        <w:rPr>
          <w:bCs/>
          <w:i/>
        </w:rPr>
        <w:t>(PEF%p</w:t>
      </w:r>
      <w:r w:rsidR="003173BB">
        <w:rPr>
          <w:bCs/>
          <w:i/>
        </w:rPr>
        <w:t xml:space="preserve">&lt; </w:t>
      </w:r>
      <w:r w:rsidR="00C01E82" w:rsidRPr="005C3360">
        <w:rPr>
          <w:bCs/>
          <w:i/>
        </w:rPr>
        <w:t>80%)</w:t>
      </w:r>
      <w:r w:rsidR="00C01E82" w:rsidRPr="005C3360">
        <w:rPr>
          <w:b/>
          <w:bCs/>
          <w:i/>
        </w:rPr>
        <w:t xml:space="preserve"> </w:t>
      </w:r>
      <w:r w:rsidR="00C01E82" w:rsidRPr="005C3360">
        <w:rPr>
          <w:i/>
        </w:rPr>
        <w:t xml:space="preserve">and who are currently not taking concomitant glucocorticoids. </w:t>
      </w:r>
      <w:r>
        <w:rPr>
          <w:i/>
        </w:rPr>
        <w:t>Raxone</w:t>
      </w:r>
      <w:r w:rsidR="00C01E82" w:rsidRPr="005C3360">
        <w:rPr>
          <w:i/>
        </w:rPr>
        <w:t xml:space="preserve"> can be used in patients previously treated with glucocorticoids or in patients in whom glucocorticoid treatment is not desired, not tolerated or is contraindicated.</w:t>
      </w:r>
    </w:p>
    <w:p w14:paraId="53FF0CED" w14:textId="77777777" w:rsidR="00C01E82" w:rsidRDefault="00C01E82" w:rsidP="00D7721B">
      <w:pPr>
        <w:pStyle w:val="Heading4"/>
      </w:pPr>
      <w:r w:rsidRPr="007F38DB">
        <w:t>Dosage</w:t>
      </w:r>
    </w:p>
    <w:p w14:paraId="7A9FB5AA" w14:textId="323FD0F8" w:rsidR="00C01E82" w:rsidRPr="005C3360" w:rsidRDefault="00C01E82" w:rsidP="00D7721B">
      <w:pPr>
        <w:pStyle w:val="Heading5"/>
      </w:pPr>
      <w:r w:rsidRPr="005C3360">
        <w:t>Proposed</w:t>
      </w:r>
    </w:p>
    <w:p w14:paraId="5C09253B" w14:textId="77777777" w:rsidR="005C3360" w:rsidRDefault="00C01E82" w:rsidP="005C3360">
      <w:r w:rsidRPr="007C4B34">
        <w:t>Treatment should be initiated and supervised by a physician with experience in DMD.</w:t>
      </w:r>
    </w:p>
    <w:p w14:paraId="65E6269E" w14:textId="77777777" w:rsidR="00C01E82" w:rsidRPr="007C4B34" w:rsidRDefault="00C01E82" w:rsidP="005C3360">
      <w:r w:rsidRPr="007C4B34">
        <w:t>The recommended dose is 900 mg/day idebenone (300 mg, 3 times a day).</w:t>
      </w:r>
    </w:p>
    <w:p w14:paraId="4964619A" w14:textId="77777777" w:rsidR="00C01E82" w:rsidRPr="007C4B34" w:rsidRDefault="00C01E82" w:rsidP="005C3360">
      <w:r w:rsidRPr="007C4B34">
        <w:t>No data regarding a continuous treatment with idebenone beyond 12 months is available from controlled clinical trials with DMD patients.</w:t>
      </w:r>
    </w:p>
    <w:p w14:paraId="2B01217F" w14:textId="77777777" w:rsidR="00C01E82" w:rsidRPr="007C4B34" w:rsidRDefault="00C01E82" w:rsidP="005C3360">
      <w:r w:rsidRPr="007C4B34">
        <w:t>Raxone is not currently approved for use in DMD patients taking concomitant glucocorticoids and should not be prescribed to such patients.</w:t>
      </w:r>
    </w:p>
    <w:p w14:paraId="656EC2BA" w14:textId="77777777" w:rsidR="00C01E82" w:rsidRDefault="00DB3203" w:rsidP="005C3360">
      <w:r>
        <w:t>Raxone</w:t>
      </w:r>
      <w:r w:rsidR="00C01E82" w:rsidRPr="007C4B34">
        <w:t xml:space="preserve"> film-coated tablets should be swallowed whole with water. The tablets should not be broken or chewed. </w:t>
      </w:r>
      <w:r>
        <w:t>Raxone</w:t>
      </w:r>
      <w:r w:rsidR="00C01E82" w:rsidRPr="007C4B34">
        <w:t xml:space="preserve"> should be administered with food because food increases the bioavailability of idebenone.</w:t>
      </w:r>
    </w:p>
    <w:p w14:paraId="65313F3F" w14:textId="0AF3DF12" w:rsidR="00C01E82" w:rsidRDefault="005C3360" w:rsidP="005C3360">
      <w:pPr>
        <w:pStyle w:val="Heading4"/>
      </w:pPr>
      <w:r>
        <w:t xml:space="preserve">Summary of </w:t>
      </w:r>
      <w:r w:rsidR="006B6BF1">
        <w:t>i</w:t>
      </w:r>
      <w:r>
        <w:t>ssue</w:t>
      </w:r>
      <w:r w:rsidR="00C01E82" w:rsidRPr="007F38DB">
        <w:rPr>
          <w:szCs w:val="22"/>
        </w:rPr>
        <w:t>s</w:t>
      </w:r>
    </w:p>
    <w:p w14:paraId="2D544062" w14:textId="0A777F87" w:rsidR="00685A72" w:rsidRDefault="00C01E82" w:rsidP="001601AD">
      <w:pPr>
        <w:pStyle w:val="Numberbullet0"/>
        <w:numPr>
          <w:ilvl w:val="0"/>
          <w:numId w:val="31"/>
        </w:numPr>
      </w:pPr>
      <w:r>
        <w:t>The evidence for efficacy is based primarily on a single pivotal study.</w:t>
      </w:r>
      <w:r w:rsidR="00DB3203">
        <w:t xml:space="preserve"> </w:t>
      </w:r>
      <w:r w:rsidR="006B6BF1">
        <w:t xml:space="preserve">The </w:t>
      </w:r>
      <w:r w:rsidRPr="002B49F9">
        <w:t xml:space="preserve">DELOS </w:t>
      </w:r>
      <w:r w:rsidR="006B6BF1">
        <w:t xml:space="preserve">study </w:t>
      </w:r>
      <w:r w:rsidRPr="002B49F9">
        <w:t>met its primary efficacy endpoint but the</w:t>
      </w:r>
      <w:r>
        <w:t>re is concern that the</w:t>
      </w:r>
      <w:r w:rsidRPr="002B49F9">
        <w:t xml:space="preserve"> findings </w:t>
      </w:r>
      <w:r>
        <w:t>from the single pivotal study</w:t>
      </w:r>
      <w:r w:rsidRPr="002B49F9">
        <w:t xml:space="preserve"> are not sufficiently </w:t>
      </w:r>
      <w:r>
        <w:t xml:space="preserve">compelling and </w:t>
      </w:r>
      <w:r w:rsidRPr="002B49F9">
        <w:t>robust.</w:t>
      </w:r>
      <w:r w:rsidR="00DB3203">
        <w:t xml:space="preserve"> </w:t>
      </w:r>
      <w:r w:rsidRPr="002B49F9">
        <w:t>The result for the primary efficacy outcome was not statistically compelling, in that the p value was 0.0443 and the confidence interval was wide.</w:t>
      </w:r>
      <w:r w:rsidR="00DB3203">
        <w:t xml:space="preserve"> </w:t>
      </w:r>
      <w:r w:rsidRPr="002B49F9">
        <w:t>There was a beneficial trend favouring idebenone for the highest ranked secondary endpoint but it did not achieve statistical significance</w:t>
      </w:r>
      <w:r>
        <w:t xml:space="preserve"> and t</w:t>
      </w:r>
      <w:r w:rsidRPr="002B49F9">
        <w:t xml:space="preserve">here </w:t>
      </w:r>
      <w:r>
        <w:t>was a lack of consistency in</w:t>
      </w:r>
      <w:r w:rsidRPr="002B49F9">
        <w:t xml:space="preserve"> other secondary respiratory endpoints</w:t>
      </w:r>
      <w:r>
        <w:t>.</w:t>
      </w:r>
      <w:r w:rsidR="00DB3203">
        <w:t xml:space="preserve"> </w:t>
      </w:r>
      <w:r>
        <w:t xml:space="preserve">There were limited data for non-respiratory </w:t>
      </w:r>
      <w:r w:rsidRPr="002B49F9">
        <w:t>endpoints</w:t>
      </w:r>
      <w:r w:rsidR="00685A72">
        <w:t>.</w:t>
      </w:r>
    </w:p>
    <w:p w14:paraId="1436CA0B" w14:textId="2299DEFC" w:rsidR="00C01E82" w:rsidRPr="00C01E82" w:rsidRDefault="006B6BF1" w:rsidP="005C3360">
      <w:pPr>
        <w:pStyle w:val="Numberbullet0"/>
      </w:pPr>
      <w:r>
        <w:lastRenderedPageBreak/>
        <w:t xml:space="preserve">The </w:t>
      </w:r>
      <w:r w:rsidR="00C01E82">
        <w:t xml:space="preserve">DELOS </w:t>
      </w:r>
      <w:r>
        <w:t xml:space="preserve">study </w:t>
      </w:r>
      <w:r w:rsidR="00C01E82">
        <w:t>met its primary endpoint for PEF%p but data on clinical outcomes are limited.</w:t>
      </w:r>
      <w:r w:rsidR="00DB3203">
        <w:t xml:space="preserve"> </w:t>
      </w:r>
      <w:r w:rsidR="00C01E82">
        <w:t xml:space="preserve">The </w:t>
      </w:r>
      <w:r w:rsidR="0032280D">
        <w:t>sponsor</w:t>
      </w:r>
      <w:r w:rsidR="00C01E82">
        <w:t xml:space="preserve"> provided additional analyses of natural history data to support the correlation between PEF%p and initiation of assisted ventilation and mortality. There is some uncertainty in correlating the respiratory function findings in</w:t>
      </w:r>
      <w:r>
        <w:t xml:space="preserve"> the</w:t>
      </w:r>
      <w:r w:rsidR="00C01E82">
        <w:t xml:space="preserve"> DELOS </w:t>
      </w:r>
      <w:r>
        <w:t xml:space="preserve">study </w:t>
      </w:r>
      <w:r w:rsidR="00C01E82">
        <w:t>with clinical outcomes in DMD, partic</w:t>
      </w:r>
      <w:r w:rsidR="00C01E82" w:rsidRPr="00C01E82">
        <w:t>ularly when considered in the context of the wide confidence interval for the primary endpoint and weak and inconsistent outcomes for secondary endpoints.</w:t>
      </w:r>
    </w:p>
    <w:p w14:paraId="14F1C4B1" w14:textId="77777777" w:rsidR="00C01E82" w:rsidRDefault="00C01E82" w:rsidP="005C3360">
      <w:pPr>
        <w:pStyle w:val="Heading4"/>
      </w:pPr>
      <w:r>
        <w:t xml:space="preserve">Questions for the </w:t>
      </w:r>
      <w:r w:rsidR="0032280D">
        <w:t>sponsor</w:t>
      </w:r>
    </w:p>
    <w:p w14:paraId="1A1372B9" w14:textId="040C2292" w:rsidR="00456765" w:rsidRPr="005C3360" w:rsidRDefault="00C01E82" w:rsidP="008B2FAC">
      <w:pPr>
        <w:pStyle w:val="Numberbullet0"/>
        <w:numPr>
          <w:ilvl w:val="0"/>
          <w:numId w:val="11"/>
        </w:numPr>
      </w:pPr>
      <w:r w:rsidRPr="005C3360">
        <w:t xml:space="preserve">Please outline the key timelines for the SIDEROS </w:t>
      </w:r>
      <w:r w:rsidR="006B6BF1">
        <w:t>s</w:t>
      </w:r>
      <w:r w:rsidR="003173BB">
        <w:t>tudy</w:t>
      </w:r>
      <w:r w:rsidRPr="005C3360">
        <w:t>.</w:t>
      </w:r>
      <w:r w:rsidR="00DB3203">
        <w:t xml:space="preserve"> </w:t>
      </w:r>
      <w:r w:rsidRPr="005C3360">
        <w:t xml:space="preserve">When does the </w:t>
      </w:r>
      <w:r w:rsidR="0032280D">
        <w:t>sponsor</w:t>
      </w:r>
      <w:r w:rsidRPr="005C3360">
        <w:t xml:space="preserve"> anticipate that data from </w:t>
      </w:r>
      <w:r w:rsidR="006B6BF1">
        <w:t xml:space="preserve">the </w:t>
      </w:r>
      <w:r w:rsidRPr="005C3360">
        <w:t xml:space="preserve">SIDEROS </w:t>
      </w:r>
      <w:r w:rsidR="006B6BF1">
        <w:t xml:space="preserve">study </w:t>
      </w:r>
      <w:r w:rsidRPr="005C3360">
        <w:t>will be available?</w:t>
      </w:r>
    </w:p>
    <w:p w14:paraId="7724F46D" w14:textId="77777777" w:rsidR="00D23139" w:rsidRDefault="00D23139" w:rsidP="00D23139">
      <w:pPr>
        <w:pStyle w:val="Heading4"/>
      </w:pPr>
      <w:r w:rsidRPr="00D23139">
        <w:t>Proposed action</w:t>
      </w:r>
    </w:p>
    <w:p w14:paraId="5FC1F5E7" w14:textId="77777777" w:rsidR="00456765" w:rsidRPr="00456765" w:rsidRDefault="005C3360" w:rsidP="005C3360">
      <w:r>
        <w:t>The Delegate was</w:t>
      </w:r>
      <w:r w:rsidR="00C01E82" w:rsidRPr="007F38DB">
        <w:t xml:space="preserve"> not in a position to say, at this time, that the application for </w:t>
      </w:r>
      <w:r w:rsidR="00C01E82" w:rsidRPr="001B7ADA">
        <w:t>idebenone</w:t>
      </w:r>
      <w:r w:rsidR="00C01E82" w:rsidRPr="007F38DB">
        <w:t xml:space="preserve"> should be approved for registration</w:t>
      </w:r>
    </w:p>
    <w:p w14:paraId="2F0385F2" w14:textId="77777777" w:rsidR="00D23139" w:rsidRDefault="00A22D57" w:rsidP="00D23139">
      <w:pPr>
        <w:pStyle w:val="Heading4"/>
      </w:pPr>
      <w:r>
        <w:t>Request for AC</w:t>
      </w:r>
      <w:r w:rsidR="00D23139" w:rsidRPr="00D23139">
        <w:t>M advice</w:t>
      </w:r>
    </w:p>
    <w:p w14:paraId="35366563" w14:textId="77777777" w:rsidR="00C01E82" w:rsidRPr="007F38DB" w:rsidRDefault="00C01E82" w:rsidP="00C01E82">
      <w:r w:rsidRPr="007F38DB">
        <w:t>The committee is requested to provide advice on the following specific issues:</w:t>
      </w:r>
    </w:p>
    <w:p w14:paraId="02DC63F4" w14:textId="77777777" w:rsidR="00C01E82" w:rsidRDefault="00C01E82" w:rsidP="008B2FAC">
      <w:pPr>
        <w:pStyle w:val="Numberbullet0"/>
        <w:numPr>
          <w:ilvl w:val="0"/>
          <w:numId w:val="12"/>
        </w:numPr>
      </w:pPr>
      <w:r>
        <w:t>What is the committee’s opinion on PEF%p as the primary endpoint for the pivotal study and the correlation of this endpoint</w:t>
      </w:r>
      <w:r w:rsidR="005C3360">
        <w:t xml:space="preserve"> with clinical outcomes in DMD?</w:t>
      </w:r>
    </w:p>
    <w:p w14:paraId="5BF34B13" w14:textId="192E8415" w:rsidR="00C01E82" w:rsidRPr="007B2C72" w:rsidRDefault="00C01E82" w:rsidP="008B2FAC">
      <w:pPr>
        <w:pStyle w:val="Numberbullet0"/>
        <w:numPr>
          <w:ilvl w:val="0"/>
          <w:numId w:val="12"/>
        </w:numPr>
      </w:pPr>
      <w:r w:rsidRPr="007B2C72">
        <w:t xml:space="preserve">What is the committee’s view on the </w:t>
      </w:r>
      <w:r>
        <w:t xml:space="preserve">strength and </w:t>
      </w:r>
      <w:r w:rsidRPr="007B2C72">
        <w:t>clinical relevance of the efficacy findings</w:t>
      </w:r>
      <w:r>
        <w:t xml:space="preserve"> in </w:t>
      </w:r>
      <w:r w:rsidR="006B6BF1">
        <w:t xml:space="preserve">the </w:t>
      </w:r>
      <w:r>
        <w:t>DELOS</w:t>
      </w:r>
      <w:r w:rsidR="006B6BF1">
        <w:t xml:space="preserve"> study</w:t>
      </w:r>
      <w:r w:rsidR="005C3360">
        <w:t>?</w:t>
      </w:r>
    </w:p>
    <w:p w14:paraId="1F940407" w14:textId="77777777" w:rsidR="00C01E82" w:rsidRPr="00CB633C" w:rsidRDefault="00C01E82" w:rsidP="008B2FAC">
      <w:pPr>
        <w:pStyle w:val="Numberbullet0"/>
        <w:numPr>
          <w:ilvl w:val="0"/>
          <w:numId w:val="12"/>
        </w:numPr>
      </w:pPr>
      <w:r>
        <w:t>What is the committee’s view on the need for additio</w:t>
      </w:r>
      <w:r w:rsidR="003173BB">
        <w:t>nal evidence from another Phase </w:t>
      </w:r>
      <w:r>
        <w:t>III study?</w:t>
      </w:r>
    </w:p>
    <w:p w14:paraId="0C6B4F25" w14:textId="77777777" w:rsidR="00456765" w:rsidRPr="00456765" w:rsidRDefault="00C01E82" w:rsidP="00C01E82">
      <w:r w:rsidRPr="007F38DB">
        <w:t>The committee is also requested to provide advice on any other issues that it thinks may be relevant to a decision on whether or not to approve this application.</w:t>
      </w:r>
    </w:p>
    <w:p w14:paraId="0BC806AD" w14:textId="77777777" w:rsidR="00D23139" w:rsidRDefault="00456765" w:rsidP="00D23139">
      <w:pPr>
        <w:pStyle w:val="Heading4"/>
      </w:pPr>
      <w:r>
        <w:t xml:space="preserve">Response from </w:t>
      </w:r>
      <w:r w:rsidR="0032280D">
        <w:t>sponsor</w:t>
      </w:r>
    </w:p>
    <w:p w14:paraId="13B4D239" w14:textId="05B45669" w:rsidR="00C01E82" w:rsidRPr="00C01E82" w:rsidRDefault="00C01E82" w:rsidP="00D7721B">
      <w:pPr>
        <w:pStyle w:val="Heading5"/>
      </w:pPr>
      <w:r>
        <w:t xml:space="preserve">Response to </w:t>
      </w:r>
      <w:r w:rsidR="00AC6A7F">
        <w:t>d</w:t>
      </w:r>
      <w:r>
        <w:t>elegate’s request for advice from ACM</w:t>
      </w:r>
    </w:p>
    <w:p w14:paraId="1AF1911A" w14:textId="77777777" w:rsidR="00C01E82" w:rsidRPr="005C3360" w:rsidRDefault="00C01E82" w:rsidP="008B2FAC">
      <w:pPr>
        <w:pStyle w:val="Numberbullet0"/>
        <w:numPr>
          <w:ilvl w:val="0"/>
          <w:numId w:val="13"/>
        </w:numPr>
        <w:rPr>
          <w:b/>
          <w:i/>
        </w:rPr>
      </w:pPr>
      <w:r w:rsidRPr="005C3360">
        <w:rPr>
          <w:b/>
          <w:i/>
        </w:rPr>
        <w:t>What is the committee’s opinion on PEF%p as the primary endpoint for the pivotal study and the correlation of this endpoint with clinical outcomes in DMD?</w:t>
      </w:r>
    </w:p>
    <w:p w14:paraId="4058555B" w14:textId="6546FC5B" w:rsidR="00685A72" w:rsidRDefault="00C01E82" w:rsidP="00C01E82">
      <w:r w:rsidRPr="00C01E82">
        <w:t>Historically, FVC has been seen as the parameter that is preferred for assessing the respiratory function of DMD patients, mainly based on early work by Phillips et al</w:t>
      </w:r>
      <w:r w:rsidR="006B6BF1">
        <w:t>.,</w:t>
      </w:r>
      <w:r w:rsidRPr="00C01E82">
        <w:t xml:space="preserve"> (2001)</w:t>
      </w:r>
      <w:r w:rsidR="001601AD">
        <w:t>;</w:t>
      </w:r>
      <w:r w:rsidR="005C3360">
        <w:rPr>
          <w:rStyle w:val="FootnoteReference"/>
        </w:rPr>
        <w:footnoteReference w:id="46"/>
      </w:r>
      <w:r w:rsidR="001601AD">
        <w:t xml:space="preserve"> </w:t>
      </w:r>
      <w:r w:rsidRPr="00C01E82">
        <w:t>which suggested that falling below FVC of 1</w:t>
      </w:r>
      <w:r w:rsidR="006B6BF1">
        <w:t xml:space="preserve"> </w:t>
      </w:r>
      <w:r w:rsidRPr="00C01E82">
        <w:t>L is a strong marker of subsequent mortality, with a 5-year survival of 8%</w:t>
      </w:r>
      <w:r w:rsidR="00685A72">
        <w:t>.</w:t>
      </w:r>
    </w:p>
    <w:p w14:paraId="17CF65C5" w14:textId="483D1CD1" w:rsidR="005C3360" w:rsidRDefault="00C01E82" w:rsidP="00C01E82">
      <w:r w:rsidRPr="00C01E82">
        <w:t>However, since then the standard of care has considerably improved and today the 5-year survival after crossing FVC of 1</w:t>
      </w:r>
      <w:r w:rsidR="006B6BF1">
        <w:t xml:space="preserve"> </w:t>
      </w:r>
      <w:r w:rsidRPr="00C01E82">
        <w:t>L is about 85%. In order to assess the characteristics of the respiratory function parameters in DMD patients treated with the standard of care of today, analyses have recently been conducted using several contemporaneous datasets, including the most comprehensive natural history study conducted up to now, the CINRG (the Cooperative International Neuromuscular Research Group) study. The main findings from these analyses are summari</w:t>
      </w:r>
      <w:r w:rsidR="006B6BF1">
        <w:t>s</w:t>
      </w:r>
      <w:r w:rsidRPr="00C01E82">
        <w:t>ed below:</w:t>
      </w:r>
    </w:p>
    <w:p w14:paraId="0A7FE4A7" w14:textId="77777777" w:rsidR="005C3360" w:rsidRDefault="00C01E82" w:rsidP="00DB3903">
      <w:pPr>
        <w:pStyle w:val="ListBullet"/>
      </w:pPr>
      <w:r w:rsidRPr="00C01E82">
        <w:lastRenderedPageBreak/>
        <w:t>Both PEF%p and FVC%p are the most reliable longitudinal respiratory function parameter in DMD</w:t>
      </w:r>
      <w:r w:rsidR="001601AD">
        <w:t xml:space="preserve"> patients</w:t>
      </w:r>
      <w:r w:rsidR="005C3360">
        <w:t>.</w:t>
      </w:r>
      <w:r w:rsidR="005C3360">
        <w:rPr>
          <w:rStyle w:val="FootnoteReference"/>
        </w:rPr>
        <w:footnoteReference w:id="47"/>
      </w:r>
    </w:p>
    <w:p w14:paraId="677382FA" w14:textId="02DD56AD" w:rsidR="005C3360" w:rsidRDefault="00C01E82" w:rsidP="00DB3903">
      <w:pPr>
        <w:pStyle w:val="ListBullet"/>
      </w:pPr>
      <w:r w:rsidRPr="00C01E82">
        <w:t>Both PEF%p and FVC%p are well correlated and show a co-linear decline during the respiratory function decline phase. However, PEF%p is an earlier marker of respiratory function decline compared to FVC%p, as decline phase for PEF</w:t>
      </w:r>
      <w:r w:rsidR="005C3360">
        <w:t xml:space="preserve">%p starts earlier from around 6 to </w:t>
      </w:r>
      <w:r w:rsidRPr="00C01E82">
        <w:t>8 years. This is relevant as it makes the diagnosis of the start of respiratory dysfunction more reliable. Moreover, PEF%p declines already in ambulatory patients which is typically not seen for FVC%p.</w:t>
      </w:r>
      <w:r w:rsidR="005C3360">
        <w:rPr>
          <w:rStyle w:val="FootnoteReference"/>
        </w:rPr>
        <w:footnoteReference w:id="48"/>
      </w:r>
      <w:r w:rsidRPr="00C01E82">
        <w:t xml:space="preserve"> This therefore makes PEF%p a more suitable endpoint in the population enrolled into the </w:t>
      </w:r>
      <w:r w:rsidR="003173BB">
        <w:t>Phase</w:t>
      </w:r>
      <w:r w:rsidRPr="00C01E82">
        <w:t xml:space="preserve"> III DELOS </w:t>
      </w:r>
      <w:r w:rsidR="006B6BF1">
        <w:t>study</w:t>
      </w:r>
      <w:r w:rsidRPr="00C01E82">
        <w:t>. These patients were aged 10</w:t>
      </w:r>
      <w:r w:rsidR="005C3360">
        <w:t xml:space="preserve"> to </w:t>
      </w:r>
      <w:r w:rsidRPr="00C01E82">
        <w:t>18 years, with a subset of patients in an early stage of the respiratory function decline, representing a mix of ambu</w:t>
      </w:r>
      <w:r w:rsidR="005C3360">
        <w:t>lant and non-ambulant patients.</w:t>
      </w:r>
    </w:p>
    <w:p w14:paraId="5574A662" w14:textId="0052CD52" w:rsidR="005C3360" w:rsidRDefault="00C01E82" w:rsidP="00DB3903">
      <w:pPr>
        <w:pStyle w:val="ListBullet"/>
      </w:pPr>
      <w:r w:rsidRPr="00C01E82">
        <w:t xml:space="preserve">When conducting the PEF manoeuvre, patient needs to fully engage both inspiratory (full inspiration) and expiratory muscles (maximum forced expiration). FVC also requires full engagement of the inspiratory muscles. </w:t>
      </w:r>
      <w:r w:rsidR="005C3360" w:rsidRPr="00C01E82">
        <w:t>However,</w:t>
      </w:r>
      <w:r w:rsidRPr="00C01E82">
        <w:t xml:space="preserve"> for expiration, the FVC-manoeuvre is done slowly and significantly influenced by external factors such as the reduced elasticity of the chest wall and curvature of the spine inherent with progressive disease. PEF therefore is regarded as the preferred and more direct indicator of the performance of both inspiratory and expiratory respiratory muscles and hence is suitable as an endpoint in the pivotal DELOS </w:t>
      </w:r>
      <w:r w:rsidR="006B6BF1">
        <w:t>s</w:t>
      </w:r>
      <w:r w:rsidR="003173BB">
        <w:t>tudy</w:t>
      </w:r>
      <w:r w:rsidR="005C3360">
        <w:t>.</w:t>
      </w:r>
    </w:p>
    <w:p w14:paraId="771FD736" w14:textId="039B6530" w:rsidR="00C01E82" w:rsidRDefault="00C01E82" w:rsidP="00DB3903">
      <w:pPr>
        <w:pStyle w:val="ListBullet"/>
      </w:pPr>
      <w:r w:rsidRPr="00C01E82">
        <w:t>The rate of decline of respiratory function and crossing thresholds of PEF%p and FVC%p predict equally well the time to reaching clinically relevant disease milestones, including the time to assisted ventilation and death. Crossing FVC of 1</w:t>
      </w:r>
      <w:r w:rsidR="006B6BF1">
        <w:t xml:space="preserve"> </w:t>
      </w:r>
      <w:r w:rsidRPr="00C01E82">
        <w:t>L remains an established predictor of death, with 5</w:t>
      </w:r>
      <w:r w:rsidR="006B6BF1">
        <w:t xml:space="preserve"> </w:t>
      </w:r>
      <w:r w:rsidRPr="00C01E82">
        <w:t xml:space="preserve">year survival of about 85%, but data now also show that crossing PEF values </w:t>
      </w:r>
      <w:r w:rsidR="003173BB">
        <w:t xml:space="preserve">&lt; </w:t>
      </w:r>
      <w:r w:rsidRPr="00C01E82">
        <w:t>100 L/</w:t>
      </w:r>
      <w:r w:rsidR="00285750">
        <w:t>m</w:t>
      </w:r>
      <w:r w:rsidRPr="00C01E82">
        <w:t xml:space="preserve">in predict the death equally well, with 5-year survival rates </w:t>
      </w:r>
      <w:r w:rsidR="003173BB">
        <w:t xml:space="preserve">&lt; </w:t>
      </w:r>
      <w:r w:rsidRPr="00C01E82">
        <w:t>85%.</w:t>
      </w:r>
    </w:p>
    <w:p w14:paraId="1B903C1D" w14:textId="0012A2C3" w:rsidR="00C93292" w:rsidRDefault="00C93292" w:rsidP="00C01E82">
      <w:r w:rsidRPr="00C93292">
        <w:t xml:space="preserve">In summary, both PEF%p and FVC%p are equally relevant respiratory function parameters in DMD. As PEF%p starts to decline already in younger patients and in patients who are still ambulatory, this outcome measure offers advantages as primary endpoint in a heterogeneous study population as enrolled in the DELOS </w:t>
      </w:r>
      <w:r w:rsidR="006B6BF1">
        <w:t>study</w:t>
      </w:r>
      <w:r w:rsidR="005C3360">
        <w:t>.</w:t>
      </w:r>
    </w:p>
    <w:p w14:paraId="075EE401" w14:textId="622C30DD" w:rsidR="00C01E82" w:rsidRDefault="00285750" w:rsidP="00C01E82">
      <w:r>
        <w:t>Furthermore, in the s</w:t>
      </w:r>
      <w:r w:rsidR="00C93292" w:rsidRPr="00C93292">
        <w:t xml:space="preserve">econd round assessment of benefits in the </w:t>
      </w:r>
      <w:r w:rsidR="006B6BF1">
        <w:t>clinical evaluation report</w:t>
      </w:r>
      <w:r w:rsidR="00C93292" w:rsidRPr="00C93292">
        <w:t xml:space="preserve">, the Delegate concludes that </w:t>
      </w:r>
      <w:r w:rsidR="00685A72">
        <w:t>‘</w:t>
      </w:r>
      <w:r w:rsidR="006B6BF1">
        <w:t>t</w:t>
      </w:r>
      <w:r w:rsidR="00C93292" w:rsidRPr="00C93292">
        <w:t>he choice of PEF%p as the primary endpoint is considered acceptable.</w:t>
      </w:r>
      <w:r w:rsidR="00685A72">
        <w:t>’</w:t>
      </w:r>
    </w:p>
    <w:p w14:paraId="5E5DA811" w14:textId="747D1036" w:rsidR="00C01E82" w:rsidRPr="005C3360" w:rsidRDefault="00C93292" w:rsidP="008B2FAC">
      <w:pPr>
        <w:pStyle w:val="Numberbullet0"/>
        <w:numPr>
          <w:ilvl w:val="0"/>
          <w:numId w:val="13"/>
        </w:numPr>
        <w:rPr>
          <w:b/>
          <w:i/>
        </w:rPr>
      </w:pPr>
      <w:r w:rsidRPr="005C3360">
        <w:rPr>
          <w:b/>
          <w:i/>
        </w:rPr>
        <w:t xml:space="preserve">What is the committee’s view on the strength and clinical relevance of the efficacy findings in </w:t>
      </w:r>
      <w:r w:rsidR="006B6BF1">
        <w:rPr>
          <w:b/>
          <w:i/>
        </w:rPr>
        <w:t>the</w:t>
      </w:r>
      <w:r w:rsidR="00D7721B">
        <w:rPr>
          <w:b/>
          <w:i/>
        </w:rPr>
        <w:t xml:space="preserve"> </w:t>
      </w:r>
      <w:r w:rsidRPr="005C3360">
        <w:rPr>
          <w:b/>
          <w:i/>
        </w:rPr>
        <w:t>DELOS</w:t>
      </w:r>
      <w:r w:rsidR="006B6BF1">
        <w:rPr>
          <w:b/>
          <w:i/>
        </w:rPr>
        <w:t xml:space="preserve"> study</w:t>
      </w:r>
      <w:r w:rsidRPr="005C3360">
        <w:rPr>
          <w:b/>
          <w:i/>
        </w:rPr>
        <w:t>?</w:t>
      </w:r>
    </w:p>
    <w:p w14:paraId="4A058CBC" w14:textId="545B6FB1" w:rsidR="00685A72" w:rsidRDefault="00C93292" w:rsidP="00C01E82">
      <w:r w:rsidRPr="00C93292">
        <w:t xml:space="preserve">The primary endpoint of the DELOS </w:t>
      </w:r>
      <w:r w:rsidR="006B6BF1">
        <w:t>study</w:t>
      </w:r>
      <w:r w:rsidRPr="00C93292">
        <w:t>, change in PEF%p over the 12-month study period, showed a statistically significant between-group difference in the ITT population of 6.27% in favour of idebenone and therefore met its pre-defined objective</w:t>
      </w:r>
      <w:r w:rsidR="00685A72">
        <w:t>.</w:t>
      </w:r>
    </w:p>
    <w:p w14:paraId="51F4EC1A" w14:textId="77777777" w:rsidR="00C93292" w:rsidRDefault="00285750" w:rsidP="00C01E82">
      <w:r>
        <w:t>The sponsor</w:t>
      </w:r>
      <w:r w:rsidR="00C93292" w:rsidRPr="00C93292">
        <w:t xml:space="preserve"> acknowledges that despite the statistically significant difference in the primary endpoint in favour of idebenone (</w:t>
      </w:r>
      <w:r w:rsidR="0002337A">
        <w:t>p</w:t>
      </w:r>
      <w:r w:rsidR="0061481A">
        <w:t xml:space="preserve"> = </w:t>
      </w:r>
      <w:r w:rsidR="00C93292" w:rsidRPr="00C93292">
        <w:t>0.0306) at Month 12, the corresponding 95% confidence inte</w:t>
      </w:r>
      <w:r w:rsidR="00DB3903">
        <w:t xml:space="preserve">rval </w:t>
      </w:r>
      <w:r w:rsidR="00DB3203">
        <w:t>(</w:t>
      </w:r>
      <w:r>
        <w:t>0.61% to</w:t>
      </w:r>
      <w:r w:rsidR="00DB3903">
        <w:t xml:space="preserve"> 11.93%</w:t>
      </w:r>
      <w:r w:rsidR="00DB3203">
        <w:t>)</w:t>
      </w:r>
      <w:r w:rsidR="00DB3903">
        <w:t xml:space="preserve"> is wide.</w:t>
      </w:r>
    </w:p>
    <w:p w14:paraId="3C127930" w14:textId="52D8B83C" w:rsidR="00C93292" w:rsidRDefault="00C93292" w:rsidP="00C01E82">
      <w:r w:rsidRPr="00C93292">
        <w:t xml:space="preserve">The width of the confidence interval of respiratory function in DMD is driven primarily by the variability of the respiratory function measures and heterogeneity of the disease over time, not by the sample size. </w:t>
      </w:r>
      <w:r w:rsidR="00285750">
        <w:t>The sponsor</w:t>
      </w:r>
      <w:r w:rsidRPr="00C93292">
        <w:t xml:space="preserve"> has demonstrated that even a sample size of more than twice the size of the DELOS </w:t>
      </w:r>
      <w:r w:rsidR="006B6BF1">
        <w:t>study</w:t>
      </w:r>
      <w:r w:rsidR="006B6BF1" w:rsidRPr="00C93292">
        <w:t xml:space="preserve"> </w:t>
      </w:r>
      <w:r w:rsidRPr="00C93292">
        <w:t xml:space="preserve">would have led to only moderately tighter </w:t>
      </w:r>
      <w:r w:rsidRPr="00C93292">
        <w:lastRenderedPageBreak/>
        <w:t>confidence intervals, indicating that variability of the respiratory function is inherent</w:t>
      </w:r>
      <w:r w:rsidR="00DB3903">
        <w:t xml:space="preserve"> to the disorder being studied.</w:t>
      </w:r>
    </w:p>
    <w:p w14:paraId="2BBFF4D0" w14:textId="60038A98" w:rsidR="00C93292" w:rsidRDefault="00C93292" w:rsidP="00C01E82">
      <w:r w:rsidRPr="00C93292">
        <w:t xml:space="preserve">Despite the wide confidence intervals, </w:t>
      </w:r>
      <w:r w:rsidR="00285750">
        <w:t>the sponsor</w:t>
      </w:r>
      <w:r w:rsidRPr="00C93292">
        <w:t xml:space="preserve"> has provided evidence that the findings of the DELOS </w:t>
      </w:r>
      <w:r w:rsidR="006B6BF1">
        <w:t>s</w:t>
      </w:r>
      <w:r w:rsidR="003173BB">
        <w:t>tudy</w:t>
      </w:r>
      <w:r w:rsidRPr="00C93292">
        <w:t xml:space="preserve"> are robust based on the comprehensive set of sensitivity analyses as presented in the application and summari</w:t>
      </w:r>
      <w:r w:rsidR="006B6BF1">
        <w:t>s</w:t>
      </w:r>
      <w:r w:rsidR="00285750">
        <w:t>ed below:</w:t>
      </w:r>
    </w:p>
    <w:p w14:paraId="7E1FA940" w14:textId="447DFF39" w:rsidR="00685A72" w:rsidRDefault="006B6BF1" w:rsidP="00DB3903">
      <w:pPr>
        <w:pStyle w:val="ListBullet"/>
      </w:pPr>
      <w:r>
        <w:t xml:space="preserve">The </w:t>
      </w:r>
      <w:r w:rsidR="00C93292" w:rsidRPr="00C93292">
        <w:t>DELOS</w:t>
      </w:r>
      <w:r>
        <w:t xml:space="preserve"> study</w:t>
      </w:r>
      <w:r w:rsidR="00C93292" w:rsidRPr="00C93292">
        <w:t xml:space="preserve"> findings are consistent between the subsets of patients with different demographic and other disease relevant baseline characteristics including: age, baseline PEF%p, previous steroid use, baseline weight, baseline height, ambulatory status and age at loss of ambulation</w:t>
      </w:r>
      <w:r w:rsidR="00685A72">
        <w:t>.</w:t>
      </w:r>
    </w:p>
    <w:p w14:paraId="1FACE65A" w14:textId="2A150CDF" w:rsidR="00C93292" w:rsidRDefault="006B6BF1" w:rsidP="00DB3903">
      <w:pPr>
        <w:pStyle w:val="ListBullet"/>
      </w:pPr>
      <w:r>
        <w:t xml:space="preserve">The </w:t>
      </w:r>
      <w:r w:rsidR="00C93292" w:rsidRPr="00C93292">
        <w:t xml:space="preserve">DELOS </w:t>
      </w:r>
      <w:r>
        <w:t xml:space="preserve">study </w:t>
      </w:r>
      <w:r w:rsidR="00C93292" w:rsidRPr="00C93292">
        <w:t>findings are not influenced by individual patients, influential observations or outliers. Sensitivity analyses were conducted by simulations randomly removing 5% or 10% of the patients, by excluding each patient at a time and by excluding the most influenti</w:t>
      </w:r>
      <w:r w:rsidR="00DB3903">
        <w:t>al patients based on Cook’s D.</w:t>
      </w:r>
    </w:p>
    <w:p w14:paraId="470DC5F7" w14:textId="5FD00FE0" w:rsidR="00685A72" w:rsidRDefault="006B6BF1" w:rsidP="00DB3903">
      <w:pPr>
        <w:pStyle w:val="ListBullet"/>
      </w:pPr>
      <w:r>
        <w:t xml:space="preserve">The </w:t>
      </w:r>
      <w:r w:rsidR="00C93292" w:rsidRPr="00C93292">
        <w:t xml:space="preserve">DELOS </w:t>
      </w:r>
      <w:r>
        <w:t xml:space="preserve">study </w:t>
      </w:r>
      <w:r w:rsidR="00C93292" w:rsidRPr="00C93292">
        <w:t>findings are not influenced by missing data or drop-outs. A number of sensitivity analyses were conducted by applying multiple imputation methods, assuming both that data are missing at random or missing not at random</w:t>
      </w:r>
      <w:r w:rsidR="00685A72">
        <w:t>.</w:t>
      </w:r>
    </w:p>
    <w:p w14:paraId="76706234" w14:textId="69BDA20D" w:rsidR="00685A72" w:rsidRDefault="006B6BF1" w:rsidP="00DB3903">
      <w:pPr>
        <w:pStyle w:val="ListBullet"/>
      </w:pPr>
      <w:r>
        <w:t xml:space="preserve">The </w:t>
      </w:r>
      <w:r w:rsidR="00C93292" w:rsidRPr="00C93292">
        <w:t xml:space="preserve">DELOS </w:t>
      </w:r>
      <w:r>
        <w:t xml:space="preserve">study </w:t>
      </w:r>
      <w:r w:rsidR="00C93292" w:rsidRPr="00C93292">
        <w:t>findings are consistent between different respiratory function parameters. Statistically significant treatment differences or strong trends in favour of idebenone were seen for both percent predicted and absolute values of PEF, FVC and FEV1</w:t>
      </w:r>
      <w:r w:rsidR="00685A72">
        <w:t>.</w:t>
      </w:r>
    </w:p>
    <w:p w14:paraId="50745E0D" w14:textId="77777777" w:rsidR="00685A72" w:rsidRDefault="00C93292" w:rsidP="00DB3903">
      <w:pPr>
        <w:pStyle w:val="ListBullet"/>
      </w:pPr>
      <w:r w:rsidRPr="00C93292">
        <w:t>The findings on the respiratory function parameters are consistent regardless of the methodology used to calculate predicted values. Various formulas that are used in the literature to calculate the normalized values (Godfrey, Hankinson, and Global</w:t>
      </w:r>
      <w:r>
        <w:t xml:space="preserve"> </w:t>
      </w:r>
      <w:r w:rsidRPr="00C93292">
        <w:t>Lung Initiative) did not influence the observed treatment difference in favour of idebenone</w:t>
      </w:r>
      <w:r w:rsidR="00685A72">
        <w:t>.</w:t>
      </w:r>
    </w:p>
    <w:p w14:paraId="1B48E7A0" w14:textId="07038B95" w:rsidR="00685A72" w:rsidRDefault="006B6BF1" w:rsidP="00C01E82">
      <w:pPr>
        <w:pStyle w:val="ListBullet"/>
      </w:pPr>
      <w:r>
        <w:t xml:space="preserve">The </w:t>
      </w:r>
      <w:r w:rsidR="00C93292" w:rsidRPr="00C93292">
        <w:t xml:space="preserve">DELOS </w:t>
      </w:r>
      <w:r>
        <w:t xml:space="preserve">study </w:t>
      </w:r>
      <w:r w:rsidR="00C93292" w:rsidRPr="00C93292">
        <w:t>findings on the respiratory function parameters are supported by patient-relevant outcomes, like the incidence of bronchopulmonary adverse events, use of systemic antibiotics and hospitalisations due to r</w:t>
      </w:r>
      <w:r w:rsidR="00285750">
        <w:t>espiratory causes (PPMD report</w:t>
      </w:r>
      <w:r w:rsidR="00C93292" w:rsidRPr="00C93292">
        <w:t>); all analyses favouring the idebenone treatment group</w:t>
      </w:r>
      <w:r w:rsidR="00685A72">
        <w:t>.</w:t>
      </w:r>
    </w:p>
    <w:p w14:paraId="56EAA2DD" w14:textId="7E575997" w:rsidR="00C93292" w:rsidRDefault="00C93292" w:rsidP="00C01E82">
      <w:pPr>
        <w:pStyle w:val="ListBullet"/>
      </w:pPr>
      <w:r w:rsidRPr="00C93292">
        <w:t xml:space="preserve">The robustness of the treatment difference in favour of idebenone observed in </w:t>
      </w:r>
      <w:r w:rsidR="006B6BF1">
        <w:t xml:space="preserve">the </w:t>
      </w:r>
      <w:r w:rsidRPr="00C93292">
        <w:t>DELOS</w:t>
      </w:r>
      <w:r w:rsidR="006B6BF1">
        <w:t xml:space="preserve"> study</w:t>
      </w:r>
      <w:r w:rsidRPr="00C93292">
        <w:t xml:space="preserve"> can be further demonstrated by evaluating data over multiple study visits inste</w:t>
      </w:r>
      <w:r w:rsidR="00285750">
        <w:t>ad of a single-visit analysis (Month 12 versus B</w:t>
      </w:r>
      <w:r w:rsidRPr="00C93292">
        <w:t>aseline).</w:t>
      </w:r>
      <w:r w:rsidR="00DB3903">
        <w:t xml:space="preserve"> </w:t>
      </w:r>
      <w:r w:rsidRPr="00C93292">
        <w:t xml:space="preserve">These analyses resulted in tighter confidence intervals and more robust p-values, </w:t>
      </w:r>
      <w:r w:rsidR="0061481A">
        <w:t>for example</w:t>
      </w:r>
      <w:r w:rsidRPr="00C93292">
        <w:t xml:space="preserve"> for slope analysis of PEF%p (</w:t>
      </w:r>
      <w:r w:rsidR="0002337A">
        <w:t>p</w:t>
      </w:r>
      <w:r w:rsidR="0061481A">
        <w:t xml:space="preserve"> = </w:t>
      </w:r>
      <w:r w:rsidRPr="00C93292">
        <w:t>0.0070) or analysis of weekly PEF%p assessments w</w:t>
      </w:r>
      <w:r w:rsidR="00DB3903">
        <w:t>ith handheld device (</w:t>
      </w:r>
      <w:r w:rsidR="0002337A">
        <w:t>p</w:t>
      </w:r>
      <w:r w:rsidR="0061481A">
        <w:t xml:space="preserve"> = </w:t>
      </w:r>
      <w:r w:rsidR="00DB3903">
        <w:t>0.0018).</w:t>
      </w:r>
    </w:p>
    <w:p w14:paraId="0276EBE7" w14:textId="42FA04B7" w:rsidR="00C93292" w:rsidRDefault="00C93292" w:rsidP="00C01E82">
      <w:r w:rsidRPr="00C93292">
        <w:t xml:space="preserve">Based on natural history studies, the observed treatment difference in PEF%p (6.27%) from </w:t>
      </w:r>
      <w:r w:rsidR="006B6BF1">
        <w:t>the</w:t>
      </w:r>
      <w:r w:rsidR="00DA07D6">
        <w:t xml:space="preserve"> </w:t>
      </w:r>
      <w:r w:rsidRPr="00C93292">
        <w:t>DELOS</w:t>
      </w:r>
      <w:r w:rsidR="006B6BF1">
        <w:t xml:space="preserve"> study</w:t>
      </w:r>
      <w:r w:rsidRPr="00C93292">
        <w:t xml:space="preserve"> is comparable to the average one-year decline of respiratory function in untreated DMD patients. This magnitude of effect thus represents maximum treatment difference that can be expected in a one-year study in a pathology that</w:t>
      </w:r>
      <w:r w:rsidR="00DB3903">
        <w:t xml:space="preserve"> cannot currently be reversed.</w:t>
      </w:r>
    </w:p>
    <w:p w14:paraId="2744BAD0" w14:textId="4F1B166C" w:rsidR="00C01E82" w:rsidRDefault="00C93292" w:rsidP="00C01E82">
      <w:r w:rsidRPr="00C93292">
        <w:t>In order to extrapolate the DELOS</w:t>
      </w:r>
      <w:r w:rsidR="006B6BF1">
        <w:t xml:space="preserve"> study</w:t>
      </w:r>
      <w:r w:rsidRPr="00C93292">
        <w:t xml:space="preserve"> treatment difference into clinically relevant outcomes such as initiation of assisted ventilation or death, the natural history data from the CINRG </w:t>
      </w:r>
      <w:r w:rsidR="003173BB">
        <w:t>Study</w:t>
      </w:r>
      <w:r w:rsidRPr="00C93292">
        <w:t xml:space="preserve"> were classified into groups that correspond to the DELOS treatment groups. The following approach was used for this:</w:t>
      </w:r>
    </w:p>
    <w:p w14:paraId="12BF7264" w14:textId="6B9ACCCF" w:rsidR="00685A72" w:rsidRDefault="00C93292" w:rsidP="00C93292">
      <w:pPr>
        <w:pStyle w:val="ListBullet"/>
      </w:pPr>
      <w:r>
        <w:t xml:space="preserve">In the ITT population of the </w:t>
      </w:r>
      <w:r w:rsidR="006B6BF1">
        <w:t xml:space="preserve">the </w:t>
      </w:r>
      <w:r>
        <w:t xml:space="preserve">DELOS </w:t>
      </w:r>
      <w:r w:rsidR="006B6BF1">
        <w:t>s</w:t>
      </w:r>
      <w:r w:rsidR="003173BB">
        <w:t>tudy</w:t>
      </w:r>
      <w:r>
        <w:t>, the estimated change from baseline to Month 12 in PEF%p was 2.6% in the idebenone group and 8.8% in the placebo group</w:t>
      </w:r>
      <w:r w:rsidR="00685A72">
        <w:t>.</w:t>
      </w:r>
    </w:p>
    <w:p w14:paraId="559432FB" w14:textId="77777777" w:rsidR="00C93292" w:rsidRDefault="00C93292" w:rsidP="00C93292">
      <w:pPr>
        <w:pStyle w:val="ListBullet"/>
      </w:pPr>
      <w:r>
        <w:t>The CINRG data were reviewed, in order to find thresholds that would generate two groups with rates of annual decline in PEF%p comparable to the DELOS treatment groups.</w:t>
      </w:r>
    </w:p>
    <w:p w14:paraId="31749A0E" w14:textId="21A66418" w:rsidR="00685A72" w:rsidRDefault="00C93292" w:rsidP="00C93292">
      <w:r>
        <w:lastRenderedPageBreak/>
        <w:t>This analysis suggests that the DELOS</w:t>
      </w:r>
      <w:r w:rsidR="006B6BF1">
        <w:t xml:space="preserve"> study</w:t>
      </w:r>
      <w:r>
        <w:t xml:space="preserve"> treatment difference in PEF%p can be linked to a prolongation of about 3.2 years in time to initiation of assisted ventilation and to a significant increase of 5-year survival</w:t>
      </w:r>
      <w:r w:rsidR="00685A72">
        <w:t>.</w:t>
      </w:r>
    </w:p>
    <w:p w14:paraId="6146E0E1" w14:textId="77777777" w:rsidR="00C93292" w:rsidRDefault="00C93292" w:rsidP="00C93292">
      <w:r>
        <w:t xml:space="preserve">The patient’s perspective on the relevance to delay time to assisted ventilation supports the findings above, as stated by a patient representative of the </w:t>
      </w:r>
      <w:r w:rsidR="00685A72">
        <w:t>‘</w:t>
      </w:r>
      <w:r>
        <w:t xml:space="preserve">Save our Sons Duchenne </w:t>
      </w:r>
      <w:r w:rsidR="00DB3903">
        <w:t>Foundation</w:t>
      </w:r>
      <w:r w:rsidR="00685A72">
        <w:t>’</w:t>
      </w:r>
      <w:r w:rsidR="00DB3903">
        <w:t>:</w:t>
      </w:r>
    </w:p>
    <w:p w14:paraId="772DF0C0" w14:textId="77777777" w:rsidR="00C93292" w:rsidRDefault="00685A72" w:rsidP="00C93292">
      <w:pPr>
        <w:ind w:left="720"/>
      </w:pPr>
      <w:r>
        <w:t>‘</w:t>
      </w:r>
      <w:r w:rsidR="00C93292">
        <w:t>Many families tell us that starting to use a ventilator was an even more difficult transition than when their child stopped being able to walk, and they would give anything to delay having to go through that difficult time of adjustment and begin a phase where participating socially is more difficult and the plethora of equipment restricts activities. Therefore, the respiratory benefits seen in clinical trials of Raxone would be greatly valued by the Duchenne community</w:t>
      </w:r>
      <w:r>
        <w:t>’</w:t>
      </w:r>
      <w:r w:rsidR="00C93292">
        <w:t xml:space="preserve"> (Klair Bayley, Executive Officer of Advocacy and Clinical Care, Save</w:t>
      </w:r>
      <w:r w:rsidR="00DB3903">
        <w:t xml:space="preserve"> Our Sons Duchenne Foundation).</w:t>
      </w:r>
    </w:p>
    <w:p w14:paraId="3879EDDC" w14:textId="3F04BEB1" w:rsidR="00C01E82" w:rsidRDefault="00C93292" w:rsidP="00C93292">
      <w:r>
        <w:t xml:space="preserve">In a treatment not expected to cure a progressive degenerative muscular disease, the maximum benefit to be expected is a relative stabilisation of the rate of decline of the disease. Therefore, any treatment capable of reducing the rate of decline close to the annual rate of decline in untreated patients should be regarded as highly clinically relevant. </w:t>
      </w:r>
      <w:r w:rsidR="00285750">
        <w:t>The sponsor</w:t>
      </w:r>
      <w:r>
        <w:t xml:space="preserve"> maintains its position on the strength and clinical relevance of the efficacy findings in </w:t>
      </w:r>
      <w:r w:rsidR="006B6BF1">
        <w:t xml:space="preserve">the </w:t>
      </w:r>
      <w:r>
        <w:t>DELOS</w:t>
      </w:r>
      <w:r w:rsidR="006B6BF1">
        <w:t xml:space="preserve"> study</w:t>
      </w:r>
      <w:r>
        <w:t>.</w:t>
      </w:r>
    </w:p>
    <w:p w14:paraId="38A6F15B" w14:textId="77777777" w:rsidR="00C01E82" w:rsidRPr="00C93292" w:rsidRDefault="00C93292" w:rsidP="00C01E82">
      <w:pPr>
        <w:pStyle w:val="Numberbullet0"/>
        <w:rPr>
          <w:b/>
          <w:i/>
        </w:rPr>
      </w:pPr>
      <w:r w:rsidRPr="00C93292">
        <w:rPr>
          <w:b/>
          <w:i/>
        </w:rPr>
        <w:t>What is the committee’s view on the need for additional evidence from another Phase III study?</w:t>
      </w:r>
    </w:p>
    <w:p w14:paraId="77860121" w14:textId="77777777" w:rsidR="00C93292" w:rsidRDefault="00C93292" w:rsidP="00C01E82">
      <w:r w:rsidRPr="00C93292">
        <w:t>The proposed indication for Raxone is for the treatment of patients wi</w:t>
      </w:r>
      <w:r w:rsidR="0002337A">
        <w:t>th DMD</w:t>
      </w:r>
      <w:r w:rsidRPr="00C93292">
        <w:t xml:space="preserve"> in whom respiratory function has started to decline (PEF%p</w:t>
      </w:r>
      <w:r w:rsidR="00285750">
        <w:t xml:space="preserve"> </w:t>
      </w:r>
      <w:r w:rsidR="003173BB">
        <w:t xml:space="preserve">&lt; </w:t>
      </w:r>
      <w:r w:rsidRPr="00C93292">
        <w:t>80%) and who are currently not taking concom</w:t>
      </w:r>
      <w:r w:rsidR="00DB3903">
        <w:t>itant glucocorticoid steroids.</w:t>
      </w:r>
    </w:p>
    <w:p w14:paraId="6AE63D5B" w14:textId="7389B910" w:rsidR="00C93292" w:rsidRDefault="00C93292" w:rsidP="00C01E82">
      <w:r w:rsidRPr="00C93292">
        <w:t xml:space="preserve">A second </w:t>
      </w:r>
      <w:r w:rsidR="00DA07D6" w:rsidRPr="00C93292">
        <w:t>randomis</w:t>
      </w:r>
      <w:r w:rsidR="00DA07D6">
        <w:t>e</w:t>
      </w:r>
      <w:r w:rsidR="00DA07D6" w:rsidRPr="00C93292">
        <w:t>d</w:t>
      </w:r>
      <w:r w:rsidRPr="00C93292">
        <w:t xml:space="preserve">, placebo-controlled Phase III study in patients with DMD not using glucocorticoid steroids (resembling the DELOS </w:t>
      </w:r>
      <w:r w:rsidR="006B6BF1">
        <w:t>study</w:t>
      </w:r>
      <w:r w:rsidRPr="00C93292">
        <w:t xml:space="preserve">) is considered not feasible both by </w:t>
      </w:r>
      <w:r w:rsidR="00285750">
        <w:t>the sponsor</w:t>
      </w:r>
      <w:r w:rsidRPr="00C93292">
        <w:t xml:space="preserve"> and the members of the World Duchenne Organisation as well as other major patient groups in the EU and US that have been solicited for their feedbac</w:t>
      </w:r>
      <w:r w:rsidR="00DB3903">
        <w:t>k on this feasibility question.</w:t>
      </w:r>
    </w:p>
    <w:p w14:paraId="1DCCBB54" w14:textId="32BEA0E0" w:rsidR="00C93292" w:rsidRDefault="00285750" w:rsidP="00C01E82">
      <w:r>
        <w:t>The sponsor</w:t>
      </w:r>
      <w:r w:rsidR="00C93292" w:rsidRPr="00C93292">
        <w:t xml:space="preserve"> has conducted two randomised double-blind studies each with treatment duration of 1 year which is adequate to show stabilisation of respiratory function in the active treatment arm relative to placebo. The DELOS </w:t>
      </w:r>
      <w:r w:rsidR="006B6BF1">
        <w:t>s</w:t>
      </w:r>
      <w:r w:rsidR="003173BB">
        <w:t>tudy</w:t>
      </w:r>
      <w:r w:rsidR="00C93292" w:rsidRPr="00C93292">
        <w:t xml:space="preserve"> is the only Phase III study in DMD patients having ever achieved a positive out</w:t>
      </w:r>
      <w:r w:rsidR="00DB3903">
        <w:t>come of this primary endpoint.</w:t>
      </w:r>
    </w:p>
    <w:p w14:paraId="523B5550" w14:textId="0B4F288C" w:rsidR="00C93292" w:rsidRDefault="00285750" w:rsidP="00C01E82">
      <w:r>
        <w:t>The sponsor</w:t>
      </w:r>
      <w:r w:rsidR="00C93292" w:rsidRPr="00C93292">
        <w:t xml:space="preserve"> is currently conducting a Phase III 18</w:t>
      </w:r>
      <w:r w:rsidR="006B6BF1">
        <w:t xml:space="preserve"> </w:t>
      </w:r>
      <w:r w:rsidR="00C93292" w:rsidRPr="00C93292">
        <w:t>month treatment study (</w:t>
      </w:r>
      <w:r w:rsidR="006B6BF1">
        <w:t xml:space="preserve">the </w:t>
      </w:r>
      <w:r w:rsidR="00C93292" w:rsidRPr="00C93292">
        <w:t>SIDEROS</w:t>
      </w:r>
      <w:r w:rsidR="006B6BF1">
        <w:t xml:space="preserve"> study</w:t>
      </w:r>
      <w:r w:rsidR="00C93292" w:rsidRPr="00C93292">
        <w:t xml:space="preserve">) in patients taking glucocorticoid steroids. The study will not provide additional efficacy data in the proposed population, </w:t>
      </w:r>
      <w:r>
        <w:t>that is,</w:t>
      </w:r>
      <w:r w:rsidR="00C93292" w:rsidRPr="00C93292">
        <w:t xml:space="preserve"> patients not taking concomitant glucocorticoid steroids. While direct conclusions on the efficacy of idebenone in patients not taking glucocorticoid steroids is not possible from the SIDEROS </w:t>
      </w:r>
      <w:r w:rsidR="006B6BF1">
        <w:t>s</w:t>
      </w:r>
      <w:r w:rsidR="003173BB">
        <w:t>tudy</w:t>
      </w:r>
      <w:r w:rsidR="00C93292" w:rsidRPr="00C93292">
        <w:t xml:space="preserve">, evidence from this trial may be considered supportive. As of 11 July 2018, 156 of 266 patients are already randomised. The results are expected to be available in </w:t>
      </w:r>
      <w:r w:rsidR="006B6BF1">
        <w:t>the fourth quarter of</w:t>
      </w:r>
      <w:r w:rsidR="00C93292" w:rsidRPr="00C93292">
        <w:t xml:space="preserve"> 2021 based on</w:t>
      </w:r>
      <w:r w:rsidR="00DB3903">
        <w:t xml:space="preserve"> the current recruitment rate.</w:t>
      </w:r>
    </w:p>
    <w:p w14:paraId="4944C90F" w14:textId="7A31917D" w:rsidR="00C01E82" w:rsidRDefault="00C93292" w:rsidP="00C01E82">
      <w:r w:rsidRPr="00C93292">
        <w:t>Any clinical trial targeting the DMD population have lengthy recruitment times due</w:t>
      </w:r>
      <w:r w:rsidR="00285750">
        <w:t xml:space="preserve"> to the rarity of the disease. The sponsor</w:t>
      </w:r>
      <w:r w:rsidRPr="00C93292">
        <w:t xml:space="preserve"> is committed to the ongoing clinical program for idebenone in the DMD patient group as detailed in the proposed </w:t>
      </w:r>
      <w:r w:rsidR="00252C48">
        <w:t>post-authorisation safety study</w:t>
      </w:r>
      <w:r w:rsidR="00252C48" w:rsidRPr="00C93292">
        <w:t xml:space="preserve"> </w:t>
      </w:r>
      <w:r w:rsidR="00252C48">
        <w:t>(</w:t>
      </w:r>
      <w:r w:rsidRPr="00C93292">
        <w:t>PASS</w:t>
      </w:r>
      <w:r w:rsidR="00252C48">
        <w:t>)</w:t>
      </w:r>
      <w:r w:rsidRPr="00C93292">
        <w:t xml:space="preserve"> study described in the </w:t>
      </w:r>
      <w:r w:rsidR="006B6BF1">
        <w:t>EU-RMP</w:t>
      </w:r>
      <w:r w:rsidR="00285750">
        <w:t xml:space="preserve"> (</w:t>
      </w:r>
      <w:r w:rsidR="006B6BF1">
        <w:t xml:space="preserve">Study </w:t>
      </w:r>
      <w:r w:rsidR="00285750">
        <w:t xml:space="preserve">SNT-IV-007; </w:t>
      </w:r>
      <w:r w:rsidR="006B6BF1">
        <w:t>a non</w:t>
      </w:r>
      <w:r w:rsidR="006B6BF1">
        <w:noBreakHyphen/>
        <w:t>i</w:t>
      </w:r>
      <w:r w:rsidR="006B6BF1" w:rsidRPr="00C93292">
        <w:t xml:space="preserve">nterventional study of clinical experience in patients prescribed raxone for the treatment of </w:t>
      </w:r>
      <w:r w:rsidR="006B6BF1">
        <w:t>D</w:t>
      </w:r>
      <w:r w:rsidR="006B6BF1" w:rsidRPr="00C93292">
        <w:t>uchene muscular dystrophy</w:t>
      </w:r>
      <w:r w:rsidRPr="00C93292">
        <w:t xml:space="preserve">) that will also be conducted in Australia following positive outcome from the Delegate. The primary and one of the secondary objectives aim to further evaluate the long-term safety and effectiveness of idebenone in the treatment of patients </w:t>
      </w:r>
      <w:r w:rsidRPr="00C93292">
        <w:lastRenderedPageBreak/>
        <w:t>with DMD not using glucocorticoid steroids when used under conditions of routine clinical care.</w:t>
      </w:r>
    </w:p>
    <w:p w14:paraId="6EE22CF9" w14:textId="77777777" w:rsidR="00C93292" w:rsidRPr="00C93292" w:rsidRDefault="00C93292" w:rsidP="00C93292">
      <w:pPr>
        <w:pStyle w:val="Heading5"/>
      </w:pPr>
      <w:r w:rsidRPr="00C93292">
        <w:t xml:space="preserve">Summary and </w:t>
      </w:r>
      <w:r>
        <w:t>conclusion</w:t>
      </w:r>
    </w:p>
    <w:p w14:paraId="75E43534" w14:textId="77777777" w:rsidR="00C93292" w:rsidRDefault="00285750" w:rsidP="00C01E82">
      <w:r>
        <w:t xml:space="preserve">The sponsor </w:t>
      </w:r>
      <w:r w:rsidR="00C93292" w:rsidRPr="00C93292">
        <w:t xml:space="preserve">acknowledges the Delegate's position </w:t>
      </w:r>
      <w:r w:rsidR="00DB3903">
        <w:t>to request advice from the ACM.</w:t>
      </w:r>
    </w:p>
    <w:p w14:paraId="4EDA09B2" w14:textId="36C56843" w:rsidR="00C93292" w:rsidRDefault="00285750" w:rsidP="00C01E82">
      <w:r>
        <w:t>The sponsor</w:t>
      </w:r>
      <w:r w:rsidR="00C93292" w:rsidRPr="00C93292">
        <w:t xml:space="preserve"> reiterates as su</w:t>
      </w:r>
      <w:r w:rsidR="00DB3903">
        <w:t>mmari</w:t>
      </w:r>
      <w:r w:rsidR="006B6BF1">
        <w:t>s</w:t>
      </w:r>
      <w:r w:rsidR="00DB3903">
        <w:t>ed by the Delegate, that:</w:t>
      </w:r>
    </w:p>
    <w:p w14:paraId="1DB2CA9B" w14:textId="77777777" w:rsidR="00041CE4" w:rsidRDefault="00C93292" w:rsidP="00041CE4">
      <w:pPr>
        <w:pStyle w:val="ListBullet"/>
      </w:pPr>
      <w:r w:rsidRPr="00C93292">
        <w:t xml:space="preserve">No outstanding issue remains on </w:t>
      </w:r>
      <w:r w:rsidR="00DB3903">
        <w:t>quality, nonclinical</w:t>
      </w:r>
      <w:r w:rsidRPr="00C93292">
        <w:t xml:space="preserve"> and the</w:t>
      </w:r>
      <w:r w:rsidR="00041CE4">
        <w:t xml:space="preserve"> RMP evaluation.</w:t>
      </w:r>
    </w:p>
    <w:p w14:paraId="6F136716" w14:textId="77777777" w:rsidR="00041CE4" w:rsidRDefault="00C93292" w:rsidP="00041CE4">
      <w:pPr>
        <w:pStyle w:val="ListBullet"/>
      </w:pPr>
      <w:r w:rsidRPr="00C93292">
        <w:t>Idebenone is safe and well-tolerated. The adverse events experienced with idebenone in DMD studies are mild to moderate in severi</w:t>
      </w:r>
      <w:r w:rsidR="00DB3903">
        <w:t>ty and clinically manageable.</w:t>
      </w:r>
    </w:p>
    <w:p w14:paraId="56669B78" w14:textId="77777777" w:rsidR="00041CE4" w:rsidRDefault="00C93292" w:rsidP="00041CE4">
      <w:pPr>
        <w:pStyle w:val="ListBullet"/>
      </w:pPr>
      <w:r w:rsidRPr="00C93292">
        <w:t>There is a high unmet medical need for treatment options available to patients with DMD. Specifically, DMD patients who have progressed to the stage of respiratory function decline and who are not receiving glucocorticoid steroids represent the highest unmet need for whom no treatme</w:t>
      </w:r>
      <w:r w:rsidR="00DB3903">
        <w:t>nt options are available today.</w:t>
      </w:r>
    </w:p>
    <w:p w14:paraId="39673AC3" w14:textId="4E3D9C4B" w:rsidR="00041CE4" w:rsidRDefault="00285750" w:rsidP="00C01E82">
      <w:r>
        <w:t>The sponsor</w:t>
      </w:r>
      <w:r w:rsidR="00C93292" w:rsidRPr="00C93292">
        <w:t xml:space="preserve"> acknowledges the uncertainties with one pivotal Phase III study to ensure that the benefit-risk is replicable in the proposed target population. These uncertainties are addressed by analyses confirming the robustness of the data within the limitations of the study sample size. Based on these extensive analyses it can be concluded that the results seen in the DELOS </w:t>
      </w:r>
      <w:r w:rsidR="006B6BF1">
        <w:t>study</w:t>
      </w:r>
      <w:r w:rsidR="006B6BF1" w:rsidRPr="00C93292">
        <w:t xml:space="preserve"> </w:t>
      </w:r>
      <w:r w:rsidR="00C93292" w:rsidRPr="00C93292">
        <w:t>are representative of a clinically relevant ben</w:t>
      </w:r>
      <w:r w:rsidR="00DB3903">
        <w:t>efit in the target population.</w:t>
      </w:r>
    </w:p>
    <w:p w14:paraId="48462175" w14:textId="77777777" w:rsidR="00041CE4" w:rsidRDefault="00285750" w:rsidP="00C01E82">
      <w:r>
        <w:t>The sponsor</w:t>
      </w:r>
      <w:r w:rsidR="00C93292" w:rsidRPr="00C93292">
        <w:t xml:space="preserve"> conducted a comprehensive clinical development program in this population and demonstrated that the current clinical data are consistent with a positive benefit</w:t>
      </w:r>
      <w:r>
        <w:t xml:space="preserve"> </w:t>
      </w:r>
      <w:r w:rsidR="00C93292" w:rsidRPr="00C93292">
        <w:t>risk balance for DMD patients who are in respiratory function decline and not able to take concomitant glucocorticoid steroids. Moreover, the benefits of idebenone was most clearly demonstrated with a confirmed p-value for PEF%p more robust than 0.05 (</w:t>
      </w:r>
      <w:r w:rsidR="0002337A">
        <w:t>p</w:t>
      </w:r>
      <w:r w:rsidR="0061481A">
        <w:t xml:space="preserve"> = </w:t>
      </w:r>
      <w:r w:rsidR="00C93292" w:rsidRPr="00C93292">
        <w:t xml:space="preserve">0.0070), by </w:t>
      </w:r>
      <w:r w:rsidR="00685A72">
        <w:t>‘</w:t>
      </w:r>
      <w:r w:rsidR="00C93292" w:rsidRPr="00C93292">
        <w:t>slope analyses</w:t>
      </w:r>
      <w:r w:rsidR="00685A72">
        <w:t>’</w:t>
      </w:r>
      <w:r w:rsidR="00C93292" w:rsidRPr="00C93292">
        <w:t xml:space="preserve"> that measure the gradient of decline in lung function which is more able to discern benefit when there is a slow but predictable rate of decline in respiratory f</w:t>
      </w:r>
      <w:r w:rsidR="00DB3903">
        <w:t>unction, as is the case in DMD.</w:t>
      </w:r>
    </w:p>
    <w:p w14:paraId="457E5E72" w14:textId="77777777" w:rsidR="00041CE4" w:rsidRDefault="00C93292" w:rsidP="00C01E82">
      <w:r w:rsidRPr="00C93292">
        <w:t>Of note, in the EU, despite the negative opinion from the CHMP for Raxone in this indication, the UK Commission on Human Medicines (CHM) recently renewed the Early Access Medicine Scheme (EAMS) scientific opinion on 21 June 2018 considering the very high level of unmet clinical need in this patient population, and that based on currently available data the benefits of idebenone outweigh</w:t>
      </w:r>
      <w:r w:rsidR="00DB3903">
        <w:t xml:space="preserve"> the risks in this population.</w:t>
      </w:r>
    </w:p>
    <w:p w14:paraId="1BFA0632" w14:textId="77777777" w:rsidR="00C01E82" w:rsidRDefault="00C93292" w:rsidP="00C01E82">
      <w:r w:rsidRPr="00C93292">
        <w:t xml:space="preserve">According to data available to the </w:t>
      </w:r>
      <w:r w:rsidR="0002337A">
        <w:t>DMD</w:t>
      </w:r>
      <w:r w:rsidR="0002337A" w:rsidRPr="00C93292">
        <w:t xml:space="preserve"> </w:t>
      </w:r>
      <w:r w:rsidRPr="00C93292">
        <w:t xml:space="preserve">peak body in Australia (collected from a patient registry launched last year), there are currently at least 40 patients with DMD who could fall within the intended indication for Raxone. There are currently no treatment options available for this patient population in Australia. </w:t>
      </w:r>
      <w:r w:rsidR="00DB3903" w:rsidRPr="00C93292">
        <w:t>Therefore,</w:t>
      </w:r>
      <w:r w:rsidRPr="00C93292">
        <w:t xml:space="preserve"> </w:t>
      </w:r>
      <w:r w:rsidR="00285750">
        <w:t>the sponsor</w:t>
      </w:r>
      <w:r w:rsidRPr="00C93292">
        <w:t xml:space="preserve"> would encourage the TGA to consider the positive benefit-risk profile of idebenone in the intended population of DMD patients.</w:t>
      </w:r>
    </w:p>
    <w:p w14:paraId="61CC6A47" w14:textId="000D61C5" w:rsidR="00041CE4" w:rsidRDefault="00041CE4" w:rsidP="00DB3903">
      <w:pPr>
        <w:pStyle w:val="Heading5"/>
      </w:pPr>
      <w:r>
        <w:t xml:space="preserve">Question from the </w:t>
      </w:r>
      <w:r w:rsidR="00AC6A7F">
        <w:t>d</w:t>
      </w:r>
      <w:r>
        <w:t>elegate</w:t>
      </w:r>
    </w:p>
    <w:p w14:paraId="7A1615E2" w14:textId="77777777" w:rsidR="00C01E82" w:rsidRPr="00041CE4" w:rsidRDefault="00041CE4" w:rsidP="00C01E82">
      <w:pPr>
        <w:rPr>
          <w:b/>
          <w:i/>
        </w:rPr>
      </w:pPr>
      <w:r w:rsidRPr="00041CE4">
        <w:rPr>
          <w:b/>
          <w:i/>
        </w:rPr>
        <w:t xml:space="preserve">Please outline the key timelines for the SIDEROS </w:t>
      </w:r>
      <w:r w:rsidR="003173BB">
        <w:rPr>
          <w:b/>
          <w:i/>
        </w:rPr>
        <w:t>Study</w:t>
      </w:r>
      <w:r w:rsidRPr="00041CE4">
        <w:rPr>
          <w:b/>
          <w:i/>
        </w:rPr>
        <w:t xml:space="preserve">. When does the </w:t>
      </w:r>
      <w:r w:rsidR="0032280D">
        <w:rPr>
          <w:b/>
          <w:i/>
        </w:rPr>
        <w:t>sponsor</w:t>
      </w:r>
      <w:r w:rsidRPr="00041CE4">
        <w:rPr>
          <w:b/>
          <w:i/>
        </w:rPr>
        <w:t xml:space="preserve"> anticipate that data from SIDEROS will be available?</w:t>
      </w:r>
    </w:p>
    <w:p w14:paraId="0663B5DC" w14:textId="3D6BDCDE" w:rsidR="00C01E82" w:rsidRDefault="00041CE4" w:rsidP="00C01E82">
      <w:r w:rsidRPr="00041CE4">
        <w:t xml:space="preserve">The key timelines for the SIDEROS </w:t>
      </w:r>
      <w:r w:rsidR="006B6BF1">
        <w:t>s</w:t>
      </w:r>
      <w:r w:rsidR="003173BB">
        <w:t>tudy</w:t>
      </w:r>
      <w:r w:rsidRPr="00041CE4">
        <w:t xml:space="preserve"> as of 11 July 2018 </w:t>
      </w:r>
      <w:r w:rsidR="001475F6">
        <w:t>were</w:t>
      </w:r>
      <w:r w:rsidR="001475F6" w:rsidRPr="00041CE4">
        <w:t xml:space="preserve"> </w:t>
      </w:r>
      <w:r w:rsidR="00285750">
        <w:t>provided</w:t>
      </w:r>
      <w:r w:rsidR="001475F6">
        <w:t xml:space="preserve"> </w:t>
      </w:r>
      <w:r w:rsidR="006B6BF1">
        <w:t>[</w:t>
      </w:r>
      <w:r w:rsidR="001475F6">
        <w:t>not included in this AusPAR</w:t>
      </w:r>
      <w:r w:rsidR="006B6BF1">
        <w:t>]</w:t>
      </w:r>
      <w:r w:rsidRPr="00041CE4">
        <w:t xml:space="preserve">. Please note the SIDEROS </w:t>
      </w:r>
      <w:r w:rsidR="006B6BF1">
        <w:t>s</w:t>
      </w:r>
      <w:r w:rsidR="003173BB">
        <w:t>tudy</w:t>
      </w:r>
      <w:r w:rsidRPr="00041CE4">
        <w:t xml:space="preserve"> is conducted in patients taking glucocorticoid steroids, which is a population clinically distinct to that proposed in the Category 1 Application of Raxone.</w:t>
      </w:r>
    </w:p>
    <w:p w14:paraId="3A447670" w14:textId="1C96E824" w:rsidR="008E7846" w:rsidRDefault="008E7846" w:rsidP="008E7846">
      <w:pPr>
        <w:pStyle w:val="Heading4"/>
      </w:pPr>
      <w:r>
        <w:lastRenderedPageBreak/>
        <w:t xml:space="preserve">Advisory </w:t>
      </w:r>
      <w:r w:rsidR="00076E48">
        <w:t>committee considerations</w:t>
      </w:r>
      <w:r w:rsidR="00456765">
        <w:rPr>
          <w:rStyle w:val="FootnoteReference"/>
        </w:rPr>
        <w:footnoteReference w:id="49"/>
      </w:r>
    </w:p>
    <w:p w14:paraId="6F808565" w14:textId="77777777"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p>
    <w:p w14:paraId="308A644F" w14:textId="77777777" w:rsidR="00EE5109" w:rsidRDefault="00EE5109" w:rsidP="008E7846">
      <w:pPr>
        <w:rPr>
          <w:bCs/>
        </w:rPr>
      </w:pPr>
      <w:r w:rsidRPr="00EE5109">
        <w:rPr>
          <w:bCs/>
        </w:rPr>
        <w:t xml:space="preserve">The ACM, taking into account the submitted evidence of efficacy and safety agreed with the delegate that </w:t>
      </w:r>
      <w:r w:rsidR="00DB3203">
        <w:rPr>
          <w:bCs/>
        </w:rPr>
        <w:t>Raxone</w:t>
      </w:r>
      <w:r w:rsidRPr="00EE5109">
        <w:rPr>
          <w:bCs/>
        </w:rPr>
        <w:t xml:space="preserve"> film-coated tablets containing 150 mg of idebenone has an overall negative benefit-risk profi</w:t>
      </w:r>
      <w:r w:rsidR="00285750">
        <w:rPr>
          <w:bCs/>
        </w:rPr>
        <w:t>le for the proposed indication:</w:t>
      </w:r>
    </w:p>
    <w:p w14:paraId="483704D6" w14:textId="77777777" w:rsidR="00685A72" w:rsidRDefault="00DB3203" w:rsidP="00EE5109">
      <w:pPr>
        <w:ind w:left="720"/>
        <w:rPr>
          <w:i/>
        </w:rPr>
      </w:pPr>
      <w:r>
        <w:rPr>
          <w:i/>
        </w:rPr>
        <w:t>Raxone</w:t>
      </w:r>
      <w:r w:rsidR="00EE5109" w:rsidRPr="00EE5109">
        <w:rPr>
          <w:i/>
        </w:rPr>
        <w:t xml:space="preserve"> is indicated for the treatment of patients with Duchenne Muscular Dystrophy (DMD) in whom respiratory function has started to decline (PEF%p</w:t>
      </w:r>
      <w:r w:rsidR="003173BB">
        <w:rPr>
          <w:i/>
        </w:rPr>
        <w:t xml:space="preserve">&lt; </w:t>
      </w:r>
      <w:r w:rsidR="00EE5109" w:rsidRPr="00EE5109">
        <w:rPr>
          <w:i/>
        </w:rPr>
        <w:t xml:space="preserve">80%) and who are currently not taking concomitant glucocorticoids. </w:t>
      </w:r>
      <w:r>
        <w:rPr>
          <w:i/>
        </w:rPr>
        <w:t>Raxone</w:t>
      </w:r>
      <w:r w:rsidR="00EE5109" w:rsidRPr="00EE5109">
        <w:rPr>
          <w:i/>
        </w:rPr>
        <w:t xml:space="preserve"> can be used in patients previously treated with glucocorticoids or in patients in whom glucocorticoid treatment is not desired, not tolerated or is contraindicated</w:t>
      </w:r>
      <w:r w:rsidR="00685A72">
        <w:rPr>
          <w:i/>
        </w:rPr>
        <w:t>.</w:t>
      </w:r>
    </w:p>
    <w:p w14:paraId="01C1734B" w14:textId="77777777" w:rsidR="00EE5109" w:rsidRDefault="00EE5109" w:rsidP="008E7846">
      <w:pPr>
        <w:rPr>
          <w:bCs/>
        </w:rPr>
      </w:pPr>
      <w:r w:rsidRPr="00EE5109">
        <w:rPr>
          <w:bCs/>
        </w:rPr>
        <w:t>The ACM concluded that the evidence provided in the sponsor’s submission did not satisfactorily estab</w:t>
      </w:r>
      <w:r w:rsidR="00F35580">
        <w:rPr>
          <w:bCs/>
        </w:rPr>
        <w:t>lish the efficacy of idebenone.</w:t>
      </w:r>
    </w:p>
    <w:p w14:paraId="7570A6C9" w14:textId="77777777" w:rsidR="00EE5109" w:rsidRDefault="00EE5109" w:rsidP="008E7846">
      <w:pPr>
        <w:rPr>
          <w:bCs/>
        </w:rPr>
      </w:pPr>
      <w:r w:rsidRPr="00EE5109">
        <w:rPr>
          <w:bCs/>
        </w:rPr>
        <w:t>In providing this advi</w:t>
      </w:r>
      <w:r w:rsidR="00285750">
        <w:rPr>
          <w:bCs/>
        </w:rPr>
        <w:t>ce the ACM noted the following:</w:t>
      </w:r>
    </w:p>
    <w:p w14:paraId="7DBB631B" w14:textId="22FFC3BA" w:rsidR="00685A72" w:rsidRDefault="00EE5109" w:rsidP="00F35580">
      <w:pPr>
        <w:pStyle w:val="ListBullet"/>
      </w:pPr>
      <w:r w:rsidRPr="00EE5109">
        <w:t xml:space="preserve">Efficacy was based on a single </w:t>
      </w:r>
      <w:r w:rsidR="003173BB">
        <w:t>Phase</w:t>
      </w:r>
      <w:r w:rsidRPr="00EE5109">
        <w:t xml:space="preserve"> III study, </w:t>
      </w:r>
      <w:r w:rsidR="006B6BF1">
        <w:t xml:space="preserve">the </w:t>
      </w:r>
      <w:r w:rsidRPr="00EE5109">
        <w:t>DELOS</w:t>
      </w:r>
      <w:r w:rsidR="006B6BF1">
        <w:t xml:space="preserve"> study</w:t>
      </w:r>
      <w:r w:rsidRPr="00EE5109">
        <w:t xml:space="preserve">, where the primary endpoint was the change in peak expiratory flow </w:t>
      </w:r>
      <w:r w:rsidR="00285750">
        <w:t>percent predicted (PEF%p) from Baseline to W</w:t>
      </w:r>
      <w:r w:rsidRPr="00EE5109">
        <w:t>eek 52</w:t>
      </w:r>
      <w:r w:rsidR="00685A72">
        <w:t>.</w:t>
      </w:r>
    </w:p>
    <w:p w14:paraId="18D5FDEB" w14:textId="77777777" w:rsidR="00EE5109" w:rsidRDefault="00EE5109" w:rsidP="00F35580">
      <w:pPr>
        <w:pStyle w:val="ListBullet"/>
      </w:pPr>
      <w:r w:rsidRPr="00EE5109">
        <w:t>Although the primary endpoint was met, the result was not statistically compelling, with a wide confidence interval and p-value of 0.0443.</w:t>
      </w:r>
    </w:p>
    <w:p w14:paraId="647AE4A1" w14:textId="77777777" w:rsidR="00685A72" w:rsidRDefault="00EE5109" w:rsidP="00F35580">
      <w:pPr>
        <w:pStyle w:val="ListBullet"/>
      </w:pPr>
      <w:r w:rsidRPr="00EE5109">
        <w:t>The correlation between the primary outcome measure of PEF%p and a clinically meaningful functional benefit in DMD is not well established</w:t>
      </w:r>
      <w:r w:rsidR="00685A72">
        <w:t>.</w:t>
      </w:r>
    </w:p>
    <w:p w14:paraId="59A1E089" w14:textId="4E6A0639" w:rsidR="00685A72" w:rsidRDefault="00EE5109" w:rsidP="00F35580">
      <w:pPr>
        <w:pStyle w:val="ListBullet"/>
      </w:pPr>
      <w:r w:rsidRPr="00EE5109">
        <w:t>Results of other outcome measures in</w:t>
      </w:r>
      <w:r w:rsidR="006B6BF1">
        <w:t xml:space="preserve"> the</w:t>
      </w:r>
      <w:r w:rsidRPr="00EE5109">
        <w:t xml:space="preserve"> DELOS </w:t>
      </w:r>
      <w:r w:rsidR="006B6BF1">
        <w:t xml:space="preserve">study </w:t>
      </w:r>
      <w:r w:rsidRPr="00EE5109">
        <w:t>did not achieve statistical significance</w:t>
      </w:r>
      <w:r w:rsidR="00685A72">
        <w:t>.</w:t>
      </w:r>
    </w:p>
    <w:p w14:paraId="322FBEC3" w14:textId="6275C5A0" w:rsidR="00685A72" w:rsidRDefault="00EE5109" w:rsidP="00F35580">
      <w:pPr>
        <w:pStyle w:val="ListBullet"/>
      </w:pPr>
      <w:r w:rsidRPr="00EE5109">
        <w:t xml:space="preserve">The DELOS </w:t>
      </w:r>
      <w:r w:rsidR="006B6BF1">
        <w:t>s</w:t>
      </w:r>
      <w:r w:rsidR="003173BB">
        <w:t>tudy</w:t>
      </w:r>
      <w:r w:rsidRPr="00EE5109">
        <w:t xml:space="preserve"> was confined to a small proportion of the patient population with advanced disease. The natural history and outcome measures are less well established in this patient population</w:t>
      </w:r>
      <w:r w:rsidR="00685A72">
        <w:t>.</w:t>
      </w:r>
    </w:p>
    <w:p w14:paraId="6CB61441" w14:textId="7DF1C46F" w:rsidR="00EE5109" w:rsidRDefault="00F35580" w:rsidP="00F35580">
      <w:pPr>
        <w:pStyle w:val="ListBullet"/>
      </w:pPr>
      <w:r>
        <w:t>T</w:t>
      </w:r>
      <w:r w:rsidR="00EE5109" w:rsidRPr="00EE5109">
        <w:t xml:space="preserve">he patient population in </w:t>
      </w:r>
      <w:r w:rsidR="006B6BF1">
        <w:t xml:space="preserve">the </w:t>
      </w:r>
      <w:r w:rsidR="00EE5109" w:rsidRPr="00EE5109">
        <w:t xml:space="preserve">DELOS </w:t>
      </w:r>
      <w:r w:rsidR="006B6BF1">
        <w:t xml:space="preserve">study </w:t>
      </w:r>
      <w:r w:rsidR="00EE5109" w:rsidRPr="00EE5109">
        <w:t>was not receiving curre</w:t>
      </w:r>
      <w:r>
        <w:t>nt standard of care treatment.</w:t>
      </w:r>
    </w:p>
    <w:p w14:paraId="20340484" w14:textId="74E2A888" w:rsidR="00456765" w:rsidRDefault="00EE5109" w:rsidP="00F35580">
      <w:pPr>
        <w:pStyle w:val="ListBullet"/>
      </w:pPr>
      <w:r w:rsidRPr="00EE5109">
        <w:t xml:space="preserve">A </w:t>
      </w:r>
      <w:r w:rsidR="003173BB">
        <w:t>Phase</w:t>
      </w:r>
      <w:r w:rsidRPr="00EE5109">
        <w:t xml:space="preserve"> III trial of idebenone in DM</w:t>
      </w:r>
      <w:r w:rsidR="00285750">
        <w:t>D,</w:t>
      </w:r>
      <w:r w:rsidR="006B6BF1">
        <w:t xml:space="preserve"> the</w:t>
      </w:r>
      <w:r w:rsidR="00285750">
        <w:t xml:space="preserve"> SIDEROS</w:t>
      </w:r>
      <w:r w:rsidR="006B6BF1">
        <w:t xml:space="preserve"> study</w:t>
      </w:r>
      <w:r w:rsidR="00285750">
        <w:t>, is</w:t>
      </w:r>
      <w:r w:rsidR="00F35580">
        <w:t xml:space="preserve"> currently underway. The trial will measure change in forced vital capacity </w:t>
      </w:r>
      <w:r w:rsidR="00285750">
        <w:t>percent predicted (FVC%p) from Baseline to W</w:t>
      </w:r>
      <w:r w:rsidR="00F35580">
        <w:t>eek 78 as the primary outcome.</w:t>
      </w:r>
    </w:p>
    <w:p w14:paraId="069DFC05" w14:textId="5B2B6869" w:rsidR="00F35580" w:rsidRDefault="00F35580" w:rsidP="00F35580">
      <w:pPr>
        <w:pStyle w:val="Heading5"/>
      </w:pPr>
      <w:r>
        <w:t xml:space="preserve">Specific </w:t>
      </w:r>
      <w:r w:rsidR="00076E48">
        <w:t>a</w:t>
      </w:r>
      <w:r>
        <w:t>dvice</w:t>
      </w:r>
    </w:p>
    <w:p w14:paraId="75DA0AE7" w14:textId="29C6A4B4" w:rsidR="00F35580" w:rsidRDefault="00F35580" w:rsidP="008E7846">
      <w:pPr>
        <w:rPr>
          <w:bCs/>
        </w:rPr>
      </w:pPr>
      <w:r w:rsidRPr="00F35580">
        <w:rPr>
          <w:bCs/>
        </w:rPr>
        <w:t>The ACM advised the following in response to the delegate’s specific questions on the submission:</w:t>
      </w:r>
    </w:p>
    <w:p w14:paraId="48E13DDF" w14:textId="0D39C335" w:rsidR="00F35580" w:rsidRPr="00F35580" w:rsidRDefault="00F35580" w:rsidP="008B2FAC">
      <w:pPr>
        <w:pStyle w:val="Numberbullet0"/>
        <w:numPr>
          <w:ilvl w:val="0"/>
          <w:numId w:val="10"/>
        </w:numPr>
        <w:rPr>
          <w:b/>
          <w:i/>
        </w:rPr>
      </w:pPr>
      <w:r w:rsidRPr="00F35580">
        <w:rPr>
          <w:b/>
          <w:i/>
        </w:rPr>
        <w:t>What is the committee’s opinion on PEF%p as the primary endpoint for the pivotal study and the correlation of this endpoint with clinical outcomes in DMD?</w:t>
      </w:r>
    </w:p>
    <w:p w14:paraId="040F7AE4" w14:textId="5DF33F7D" w:rsidR="00F35580" w:rsidRDefault="00F35580" w:rsidP="00F35580">
      <w:r w:rsidRPr="00F35580">
        <w:lastRenderedPageBreak/>
        <w:t xml:space="preserve">The ACM were of the view that a pulmonary function test was an appropriate outcome measure, given that respiratory function declines progressively in DMD, especially after loss of ambulation. However, the choice of PEF%p was not considered ideal, as the clinical relevance of this outcome measure in DMD is not well established. The functional significance of the change in the primary outcome measure in </w:t>
      </w:r>
      <w:r w:rsidR="006B6BF1">
        <w:t xml:space="preserve">the </w:t>
      </w:r>
      <w:r w:rsidRPr="00F35580">
        <w:t>DELOS</w:t>
      </w:r>
      <w:r w:rsidR="006B6BF1">
        <w:t xml:space="preserve"> study</w:t>
      </w:r>
      <w:r w:rsidRPr="00F35580">
        <w:t xml:space="preserve"> is not clear. Further, the ACM noted that use of PEF has not been validated for non-ambulant patients. The Committee noted that more data is available on the validity of other measures of respiratory function such as FVC, maximum inspiratory and expiratory pressures, and nasal inspiratory pressure for monitoring of DMD.</w:t>
      </w:r>
    </w:p>
    <w:p w14:paraId="60EA3F5D" w14:textId="3E4C55C9" w:rsidR="00F35580" w:rsidRPr="00F35580" w:rsidRDefault="00F35580" w:rsidP="00F35580">
      <w:pPr>
        <w:pStyle w:val="Numberbullet0"/>
        <w:rPr>
          <w:b/>
          <w:i/>
        </w:rPr>
      </w:pPr>
      <w:r w:rsidRPr="00F35580">
        <w:rPr>
          <w:b/>
          <w:i/>
        </w:rPr>
        <w:t xml:space="preserve">What is the committee’s view on the strength and clinical relevance of </w:t>
      </w:r>
      <w:r>
        <w:rPr>
          <w:b/>
          <w:i/>
        </w:rPr>
        <w:t xml:space="preserve">the efficacy findings in </w:t>
      </w:r>
      <w:r w:rsidR="006B6BF1">
        <w:rPr>
          <w:b/>
          <w:i/>
        </w:rPr>
        <w:t xml:space="preserve">the </w:t>
      </w:r>
      <w:r>
        <w:rPr>
          <w:b/>
          <w:i/>
        </w:rPr>
        <w:t>DELO</w:t>
      </w:r>
      <w:r w:rsidR="006B6BF1">
        <w:rPr>
          <w:b/>
          <w:i/>
        </w:rPr>
        <w:t>S study</w:t>
      </w:r>
      <w:r>
        <w:rPr>
          <w:b/>
          <w:i/>
        </w:rPr>
        <w:t>?</w:t>
      </w:r>
    </w:p>
    <w:p w14:paraId="158DB804" w14:textId="1183D691" w:rsidR="00685A72" w:rsidRDefault="00F35580" w:rsidP="00F35580">
      <w:r w:rsidRPr="00F35580">
        <w:t>Noting the TGA-adopted EU Guideline</w:t>
      </w:r>
      <w:r w:rsidR="006B6BF1">
        <w:t>;</w:t>
      </w:r>
      <w:r>
        <w:rPr>
          <w:rStyle w:val="FootnoteReference"/>
        </w:rPr>
        <w:footnoteReference w:id="50"/>
      </w:r>
      <w:r w:rsidRPr="00F35580">
        <w:t xml:space="preserve"> on points to consider on applications with one pivotal study, the ACM did not believe the results of the DELOS </w:t>
      </w:r>
      <w:r w:rsidR="006B6BF1">
        <w:t>s</w:t>
      </w:r>
      <w:r w:rsidR="003173BB">
        <w:t>tudy</w:t>
      </w:r>
      <w:r w:rsidRPr="00F35580">
        <w:t xml:space="preserve"> to be exceptionally compelling. The ACM considered that the strength of the findings in </w:t>
      </w:r>
      <w:r w:rsidR="006B6BF1">
        <w:t xml:space="preserve">the </w:t>
      </w:r>
      <w:r w:rsidRPr="00F35580">
        <w:t xml:space="preserve">DELOS </w:t>
      </w:r>
      <w:r w:rsidR="006B6BF1">
        <w:t xml:space="preserve">study </w:t>
      </w:r>
      <w:r w:rsidRPr="00F35580">
        <w:t>was limited given that: the primary outcome measure was only just statistically significant with a wide confidence interval; the other outcome measures in the trial were not met; and the clinical relevance of the primary outcome measure is not well established</w:t>
      </w:r>
      <w:r w:rsidR="00685A72">
        <w:t>.</w:t>
      </w:r>
    </w:p>
    <w:p w14:paraId="78D93423" w14:textId="77777777" w:rsidR="00F35580" w:rsidRPr="00F35580" w:rsidRDefault="00F35580" w:rsidP="00F35580">
      <w:pPr>
        <w:pStyle w:val="Numberbullet0"/>
        <w:rPr>
          <w:b/>
          <w:i/>
        </w:rPr>
      </w:pPr>
      <w:r w:rsidRPr="00F35580">
        <w:rPr>
          <w:b/>
          <w:i/>
        </w:rPr>
        <w:t>What is the committee’s view on the need for additional evidenc</w:t>
      </w:r>
      <w:r>
        <w:rPr>
          <w:b/>
          <w:i/>
        </w:rPr>
        <w:t>e from another Phase III study?</w:t>
      </w:r>
    </w:p>
    <w:p w14:paraId="3FB215E1" w14:textId="5CB2C86F" w:rsidR="00EE5109" w:rsidRPr="00A322B3" w:rsidRDefault="00F35580" w:rsidP="008E7846">
      <w:r w:rsidRPr="00F35580">
        <w:t xml:space="preserve">The ACM considered that additional evidence from another Phase III trial was necessary to establish </w:t>
      </w:r>
      <w:r>
        <w:t xml:space="preserve">clinical efficacy of idebenone in DMD, ideally incorporating a glucocorticoid treated population (as in </w:t>
      </w:r>
      <w:r w:rsidR="006B6BF1">
        <w:t xml:space="preserve">the </w:t>
      </w:r>
      <w:r>
        <w:t>SIDEROS</w:t>
      </w:r>
      <w:r w:rsidR="006B6BF1">
        <w:t xml:space="preserve"> study</w:t>
      </w:r>
      <w:r>
        <w:t>), as corticosteroid therapy is standard of care for DMD patients in Australia.</w:t>
      </w:r>
    </w:p>
    <w:p w14:paraId="2DFE399F" w14:textId="77777777" w:rsidR="008E7846" w:rsidRPr="002E238E" w:rsidRDefault="008E7846" w:rsidP="008E7846">
      <w:pPr>
        <w:pStyle w:val="Heading3"/>
      </w:pPr>
      <w:bookmarkStart w:id="281" w:name="_Toc247691532"/>
      <w:bookmarkStart w:id="282" w:name="_Toc314842516"/>
      <w:bookmarkStart w:id="283" w:name="_Toc32828551"/>
      <w:bookmarkEnd w:id="137"/>
      <w:bookmarkEnd w:id="278"/>
      <w:bookmarkEnd w:id="279"/>
      <w:r>
        <w:t>Outcome</w:t>
      </w:r>
      <w:bookmarkEnd w:id="281"/>
      <w:bookmarkEnd w:id="282"/>
      <w:bookmarkEnd w:id="283"/>
    </w:p>
    <w:p w14:paraId="0CF55D49" w14:textId="77777777" w:rsidR="00456765" w:rsidRDefault="00456765" w:rsidP="00456765">
      <w:bookmarkStart w:id="284" w:name="_Toc247691533"/>
      <w:bookmarkStart w:id="285" w:name="_Toc314842517"/>
      <w:r>
        <w:t>T</w:t>
      </w:r>
      <w:r w:rsidRPr="00E146E3">
        <w:t xml:space="preserve">he sponsor withdrew their submission on </w:t>
      </w:r>
      <w:r w:rsidR="00685A72">
        <w:t xml:space="preserve">21 August 2018 </w:t>
      </w:r>
      <w:r w:rsidRPr="00E146E3">
        <w:t>before a decision had been made by the TGA.</w:t>
      </w:r>
    </w:p>
    <w:bookmarkEnd w:id="284"/>
    <w:bookmarkEnd w:id="285"/>
    <w:p w14:paraId="3C0868CD" w14:textId="77777777" w:rsidR="00291957" w:rsidRDefault="00B41C85" w:rsidP="00285750">
      <w:pPr>
        <w:spacing w:before="0" w:after="200" w:line="0" w:lineRule="auto"/>
        <w:rPr>
          <w:lang w:eastAsia="ja-JP"/>
        </w:rPr>
      </w:pPr>
      <w:r>
        <w:rPr>
          <w:lang w:eastAsia="ja-JP"/>
        </w:rPr>
        <w:br w:type="page"/>
      </w:r>
    </w:p>
    <w:p w14:paraId="29A94B8D" w14:textId="77777777" w:rsidR="00C80137" w:rsidRPr="001D043B" w:rsidRDefault="00C80137" w:rsidP="003A7F6C">
      <w:pPr>
        <w:pStyle w:val="TableTitle"/>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8FA093A" w14:textId="77777777" w:rsidTr="00A05FA4">
        <w:trPr>
          <w:trHeight w:hRule="exact" w:val="704"/>
        </w:trPr>
        <w:tc>
          <w:tcPr>
            <w:tcW w:w="9175" w:type="dxa"/>
          </w:tcPr>
          <w:p w14:paraId="5EC43A36" w14:textId="77777777" w:rsidR="001C32CD" w:rsidRPr="00487162" w:rsidRDefault="001C32CD" w:rsidP="00A05FA4">
            <w:pPr>
              <w:pStyle w:val="TGASignoff"/>
            </w:pPr>
            <w:r w:rsidRPr="00487162">
              <w:lastRenderedPageBreak/>
              <w:t>Therapeutic Goods Administration</w:t>
            </w:r>
          </w:p>
        </w:tc>
      </w:tr>
      <w:tr w:rsidR="001C32CD" w:rsidRPr="004C239D" w14:paraId="4B55FBA1" w14:textId="77777777" w:rsidTr="00A05FA4">
        <w:trPr>
          <w:trHeight w:val="1221"/>
        </w:trPr>
        <w:tc>
          <w:tcPr>
            <w:tcW w:w="9175" w:type="dxa"/>
            <w:tcMar>
              <w:top w:w="28" w:type="dxa"/>
            </w:tcMar>
          </w:tcPr>
          <w:p w14:paraId="1B40C738" w14:textId="77777777" w:rsidR="001C32CD" w:rsidRPr="00487162" w:rsidRDefault="001C32CD" w:rsidP="00A05FA4">
            <w:pPr>
              <w:pStyle w:val="Address"/>
            </w:pPr>
            <w:r w:rsidRPr="00487162">
              <w:t>PO Box 100 Woden ACT 2606 Australia</w:t>
            </w:r>
          </w:p>
          <w:p w14:paraId="1F277E52" w14:textId="77777777" w:rsidR="001C32CD" w:rsidRPr="00487162" w:rsidRDefault="001C32CD" w:rsidP="00A05FA4">
            <w:pPr>
              <w:pStyle w:val="Address"/>
            </w:pPr>
            <w:r w:rsidRPr="00487162">
              <w:t xml:space="preserve">Email: </w:t>
            </w:r>
            <w:hyperlink r:id="rId41" w:history="1">
              <w:r w:rsidRPr="004C239D">
                <w:rPr>
                  <w:rStyle w:val="Hyperlink"/>
                </w:rPr>
                <w:t>info@tga.gov.au</w:t>
              </w:r>
            </w:hyperlink>
            <w:r w:rsidR="00DB3203">
              <w:t xml:space="preserve"> </w:t>
            </w:r>
            <w:r w:rsidRPr="00487162">
              <w:t>Phone: 1800 020 653</w:t>
            </w:r>
            <w:r w:rsidR="00DB3203">
              <w:t xml:space="preserve"> </w:t>
            </w:r>
            <w:r w:rsidRPr="00487162">
              <w:t>Fax: 02 6232 8605</w:t>
            </w:r>
          </w:p>
          <w:p w14:paraId="4925D480" w14:textId="77777777" w:rsidR="001C32CD" w:rsidRPr="004C239D" w:rsidRDefault="002125BF" w:rsidP="00A05FA4">
            <w:pPr>
              <w:pStyle w:val="Address"/>
              <w:spacing w:line="260" w:lineRule="atLeast"/>
              <w:rPr>
                <w:b/>
                <w:color w:val="0000FF"/>
                <w:u w:val="single"/>
              </w:rPr>
            </w:pPr>
            <w:hyperlink r:id="rId42" w:history="1">
              <w:r w:rsidR="007C6B9B" w:rsidRPr="007C6B9B">
                <w:rPr>
                  <w:rStyle w:val="Hyperlink"/>
                  <w:b/>
                </w:rPr>
                <w:t>https://www.tga.gov.au</w:t>
              </w:r>
            </w:hyperlink>
          </w:p>
        </w:tc>
      </w:tr>
    </w:tbl>
    <w:p w14:paraId="3CA3341E" w14:textId="77777777" w:rsidR="00774E1D" w:rsidRPr="008A5E0B" w:rsidRDefault="00774E1D" w:rsidP="004C239D"/>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513F9" w14:textId="77777777" w:rsidR="002125BF" w:rsidRDefault="002125BF" w:rsidP="00C40A36">
      <w:pPr>
        <w:spacing w:after="0"/>
      </w:pPr>
      <w:r>
        <w:separator/>
      </w:r>
    </w:p>
  </w:endnote>
  <w:endnote w:type="continuationSeparator" w:id="0">
    <w:p w14:paraId="73E99F60" w14:textId="77777777" w:rsidR="002125BF" w:rsidRDefault="002125B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65AB1" w14:textId="77777777" w:rsidR="002125BF" w:rsidRDefault="002125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125BF" w:rsidRPr="00487162" w14:paraId="43B42C12" w14:textId="77777777" w:rsidTr="00DB750B">
      <w:trPr>
        <w:trHeight w:val="269"/>
      </w:trPr>
      <w:tc>
        <w:tcPr>
          <w:tcW w:w="7371" w:type="dxa"/>
          <w:tcMar>
            <w:top w:w="142" w:type="dxa"/>
            <w:bottom w:w="0" w:type="dxa"/>
          </w:tcMar>
        </w:tcPr>
        <w:p w14:paraId="6FC07C18" w14:textId="127EA235" w:rsidR="002125BF" w:rsidRPr="00487162" w:rsidRDefault="002125BF" w:rsidP="005F3793">
          <w:pPr>
            <w:pStyle w:val="Footer"/>
          </w:pPr>
          <w:r w:rsidRPr="00487162">
            <w:t>AusPA</w:t>
          </w:r>
          <w:r>
            <w:t>R Raxone</w:t>
          </w:r>
          <w:r w:rsidRPr="00E62A88">
            <w:t xml:space="preserve"> - idebenone - JACE Pharma Pty Ltd - PM-2017-01423-1-</w:t>
          </w:r>
          <w:r>
            <w:t>3 – FINAL 6 February 2020</w:t>
          </w:r>
        </w:p>
      </w:tc>
      <w:tc>
        <w:tcPr>
          <w:tcW w:w="1490" w:type="dxa"/>
          <w:tcMar>
            <w:top w:w="142" w:type="dxa"/>
            <w:bottom w:w="0" w:type="dxa"/>
          </w:tcMar>
        </w:tcPr>
        <w:p w14:paraId="46659FE7" w14:textId="42C4651A" w:rsidR="002125BF" w:rsidRPr="00487162" w:rsidRDefault="002125BF" w:rsidP="00DB750B">
          <w:pPr>
            <w:pStyle w:val="Footer"/>
            <w:jc w:val="right"/>
          </w:pPr>
          <w:r w:rsidRPr="00487162">
            <w:t xml:space="preserve">Page </w:t>
          </w:r>
          <w:r>
            <w:fldChar w:fldCharType="begin"/>
          </w:r>
          <w:r>
            <w:instrText xml:space="preserve"> PAGE  \* Arabic </w:instrText>
          </w:r>
          <w:r>
            <w:fldChar w:fldCharType="separate"/>
          </w:r>
          <w:r w:rsidR="00A95466">
            <w:rPr>
              <w:noProof/>
            </w:rPr>
            <w:t>90</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A95466">
            <w:rPr>
              <w:noProof/>
            </w:rPr>
            <w:t>91</w:t>
          </w:r>
          <w:r>
            <w:rPr>
              <w:noProof/>
            </w:rPr>
            <w:fldChar w:fldCharType="end"/>
          </w:r>
        </w:p>
      </w:tc>
    </w:tr>
  </w:tbl>
  <w:p w14:paraId="720B8F7E" w14:textId="77777777" w:rsidR="002125BF" w:rsidRDefault="002125BF"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FA4B3" w14:textId="77777777" w:rsidR="002125BF" w:rsidRDefault="002125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125BF" w:rsidRPr="00487162" w14:paraId="0D9A7EAE" w14:textId="77777777" w:rsidTr="00E45619">
      <w:trPr>
        <w:trHeight w:val="269"/>
      </w:trPr>
      <w:tc>
        <w:tcPr>
          <w:tcW w:w="4519" w:type="dxa"/>
          <w:tcBorders>
            <w:top w:val="single" w:sz="4" w:space="0" w:color="auto"/>
          </w:tcBorders>
          <w:tcMar>
            <w:top w:w="142" w:type="dxa"/>
            <w:bottom w:w="0" w:type="dxa"/>
          </w:tcMar>
        </w:tcPr>
        <w:p w14:paraId="314565FD" w14:textId="77777777" w:rsidR="002125BF" w:rsidRPr="00487162" w:rsidRDefault="002125BF" w:rsidP="00FE1DEE">
          <w:pPr>
            <w:pStyle w:val="Footer"/>
          </w:pPr>
          <w:r w:rsidRPr="00487162">
            <w:t>Document title, Part #, Section # - Section title</w:t>
          </w:r>
        </w:p>
        <w:p w14:paraId="4E665F78" w14:textId="77777777" w:rsidR="002125BF" w:rsidRPr="00487162" w:rsidRDefault="002125BF" w:rsidP="00FE1DEE">
          <w:pPr>
            <w:pStyle w:val="Footer"/>
          </w:pPr>
          <w:r w:rsidRPr="00487162">
            <w:t>V1.0 October 2010</w:t>
          </w:r>
        </w:p>
      </w:tc>
      <w:tc>
        <w:tcPr>
          <w:tcW w:w="4342" w:type="dxa"/>
          <w:tcBorders>
            <w:top w:val="single" w:sz="4" w:space="0" w:color="auto"/>
          </w:tcBorders>
          <w:tcMar>
            <w:top w:w="142" w:type="dxa"/>
            <w:bottom w:w="0" w:type="dxa"/>
          </w:tcMar>
        </w:tcPr>
        <w:p w14:paraId="48696026" w14:textId="77777777" w:rsidR="002125BF" w:rsidRPr="00487162" w:rsidRDefault="002125B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7AFA89C3" w14:textId="77777777" w:rsidR="002125BF" w:rsidRDefault="002125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410DF" w14:textId="77777777" w:rsidR="002125BF" w:rsidRPr="001C32CD" w:rsidRDefault="002125BF"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125BF" w14:paraId="6C75A1D5" w14:textId="77777777" w:rsidTr="0010601F">
      <w:trPr>
        <w:trHeight w:val="108"/>
      </w:trPr>
      <w:tc>
        <w:tcPr>
          <w:tcW w:w="8875" w:type="dxa"/>
          <w:gridSpan w:val="2"/>
          <w:tcBorders>
            <w:bottom w:val="single" w:sz="4" w:space="0" w:color="auto"/>
          </w:tcBorders>
          <w:tcMar>
            <w:right w:w="284" w:type="dxa"/>
          </w:tcMar>
        </w:tcPr>
        <w:p w14:paraId="0FE22BDB" w14:textId="77777777" w:rsidR="002125BF" w:rsidRDefault="002125BF" w:rsidP="006E08B3">
          <w:pPr>
            <w:pStyle w:val="Heading3"/>
          </w:pPr>
          <w:r>
            <w:t>Copyright</w:t>
          </w:r>
        </w:p>
        <w:p w14:paraId="72B91BCA" w14:textId="77777777" w:rsidR="002125BF" w:rsidRDefault="002125BF" w:rsidP="006E08B3">
          <w:r>
            <w:rPr>
              <w:rFonts w:cs="Arial"/>
            </w:rPr>
            <w:t>©</w:t>
          </w:r>
          <w:r>
            <w:t xml:space="preserve"> Commonwealth of Australia [add year]</w:t>
          </w:r>
        </w:p>
        <w:p w14:paraId="426C0D2B" w14:textId="77777777" w:rsidR="002125BF" w:rsidRDefault="002125BF" w:rsidP="006E08B3"/>
        <w:p w14:paraId="4641FCF8" w14:textId="77777777" w:rsidR="002125BF" w:rsidRDefault="002125B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C928178" w14:textId="77777777" w:rsidR="002125BF" w:rsidRDefault="002125BF" w:rsidP="006E08B3"/>
        <w:p w14:paraId="4B7DCE75" w14:textId="77777777" w:rsidR="002125BF" w:rsidRDefault="002125BF" w:rsidP="006E08B3">
          <w:pPr>
            <w:pStyle w:val="Heading3"/>
          </w:pPr>
          <w:r>
            <w:t>Confidentiality</w:t>
          </w:r>
        </w:p>
        <w:p w14:paraId="34662DB4" w14:textId="77777777" w:rsidR="002125BF" w:rsidRDefault="002125B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EF42C01" w14:textId="77777777" w:rsidR="002125BF" w:rsidRDefault="002125BF" w:rsidP="006E08B3"/>
        <w:p w14:paraId="0849057F" w14:textId="77777777" w:rsidR="002125BF" w:rsidRDefault="002125BF" w:rsidP="006E08B3">
          <w:r>
            <w:t>For submission made by individuals, all personal details, other than your name, will be removed from your submission before it is published on the TGA’s Internet site.</w:t>
          </w:r>
        </w:p>
        <w:p w14:paraId="74649886" w14:textId="77777777" w:rsidR="002125BF" w:rsidRDefault="002125BF" w:rsidP="006E08B3"/>
        <w:p w14:paraId="523C4025" w14:textId="77777777" w:rsidR="002125BF" w:rsidRDefault="002125BF" w:rsidP="006E08B3">
          <w:r>
            <w:t>In addition, a list of parties making submissions will be published. If you do not wish to be identified with your submission you must specifically request this in the space provided ib the submission coversheet.</w:t>
          </w:r>
        </w:p>
      </w:tc>
    </w:tr>
    <w:tr w:rsidR="002125BF" w14:paraId="5DFC6360" w14:textId="77777777" w:rsidTr="0010601F">
      <w:trPr>
        <w:trHeight w:val="417"/>
      </w:trPr>
      <w:tc>
        <w:tcPr>
          <w:tcW w:w="4519" w:type="dxa"/>
          <w:tcBorders>
            <w:top w:val="single" w:sz="4" w:space="0" w:color="auto"/>
          </w:tcBorders>
          <w:tcMar>
            <w:top w:w="142" w:type="dxa"/>
            <w:bottom w:w="0" w:type="dxa"/>
          </w:tcMar>
        </w:tcPr>
        <w:p w14:paraId="77CE52C6" w14:textId="77777777" w:rsidR="002125BF" w:rsidRDefault="002125BF" w:rsidP="006E08B3">
          <w:r>
            <w:t>Document title, Part #, Section # - Section title</w:t>
          </w:r>
        </w:p>
        <w:p w14:paraId="414A736F" w14:textId="77777777" w:rsidR="002125BF" w:rsidRDefault="002125BF" w:rsidP="006E08B3">
          <w:r>
            <w:t>V1.0 October 2010</w:t>
          </w:r>
        </w:p>
      </w:tc>
      <w:tc>
        <w:tcPr>
          <w:tcW w:w="4356" w:type="dxa"/>
          <w:tcBorders>
            <w:top w:val="single" w:sz="4" w:space="0" w:color="auto"/>
          </w:tcBorders>
          <w:tcMar>
            <w:top w:w="142" w:type="dxa"/>
            <w:bottom w:w="0" w:type="dxa"/>
          </w:tcMar>
        </w:tcPr>
        <w:p w14:paraId="603B4CC1" w14:textId="77777777" w:rsidR="002125BF" w:rsidRDefault="002125B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2</w:t>
          </w:r>
          <w:r>
            <w:rPr>
              <w:noProof/>
            </w:rPr>
            <w:fldChar w:fldCharType="end"/>
          </w:r>
          <w:r>
            <w:t xml:space="preserve"> </w:t>
          </w:r>
        </w:p>
      </w:tc>
    </w:tr>
  </w:tbl>
  <w:p w14:paraId="367D3CDB" w14:textId="77777777" w:rsidR="002125BF" w:rsidRDefault="002125B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0852C" w14:textId="77777777" w:rsidR="002125BF" w:rsidRDefault="002125BF" w:rsidP="00C40A36">
      <w:pPr>
        <w:spacing w:after="0"/>
      </w:pPr>
      <w:r>
        <w:separator/>
      </w:r>
    </w:p>
  </w:footnote>
  <w:footnote w:type="continuationSeparator" w:id="0">
    <w:p w14:paraId="7882478C" w14:textId="77777777" w:rsidR="002125BF" w:rsidRDefault="002125BF" w:rsidP="00C40A36">
      <w:pPr>
        <w:spacing w:after="0"/>
      </w:pPr>
      <w:r>
        <w:continuationSeparator/>
      </w:r>
    </w:p>
  </w:footnote>
  <w:footnote w:id="1">
    <w:p w14:paraId="4850F830" w14:textId="77777777" w:rsidR="002125BF" w:rsidRDefault="002125BF">
      <w:pPr>
        <w:pStyle w:val="FootnoteText"/>
      </w:pPr>
      <w:r>
        <w:rPr>
          <w:rStyle w:val="FootnoteReference"/>
        </w:rPr>
        <w:footnoteRef/>
      </w:r>
      <w:r>
        <w:t xml:space="preserve"> </w:t>
      </w:r>
      <w:r w:rsidRPr="00CC7A8E">
        <w:t xml:space="preserve">Mcdonald </w:t>
      </w:r>
      <w:r>
        <w:t xml:space="preserve">CM </w:t>
      </w:r>
      <w:r w:rsidRPr="00CC7A8E">
        <w:t>et al., 1995</w:t>
      </w:r>
      <w:r>
        <w:t xml:space="preserve"> P</w:t>
      </w:r>
      <w:r w:rsidRPr="008E26F9">
        <w:t>rofiles of neuromuscular diseases</w:t>
      </w:r>
      <w:r>
        <w:t>. D</w:t>
      </w:r>
      <w:r w:rsidRPr="008E26F9">
        <w:t>uchenne muscular dystrophy</w:t>
      </w:r>
      <w:r>
        <w:t xml:space="preserve">. </w:t>
      </w:r>
      <w:r w:rsidRPr="008E26F9">
        <w:rPr>
          <w:i/>
        </w:rPr>
        <w:t>Am. J. Phys. Med. Rehabil</w:t>
      </w:r>
      <w:r>
        <w:t xml:space="preserve"> 1995; </w:t>
      </w:r>
      <w:r w:rsidRPr="008E26F9">
        <w:t>74</w:t>
      </w:r>
      <w:r>
        <w:t>: S70-S92</w:t>
      </w:r>
    </w:p>
  </w:footnote>
  <w:footnote w:id="2">
    <w:p w14:paraId="654E1929" w14:textId="77777777" w:rsidR="002125BF" w:rsidRDefault="002125BF">
      <w:pPr>
        <w:pStyle w:val="FootnoteText"/>
      </w:pPr>
      <w:r>
        <w:rPr>
          <w:rStyle w:val="FootnoteReference"/>
        </w:rPr>
        <w:footnoteRef/>
      </w:r>
      <w:r>
        <w:t xml:space="preserve"> </w:t>
      </w:r>
      <w:r w:rsidRPr="00CC7A8E">
        <w:t xml:space="preserve">Eagle </w:t>
      </w:r>
      <w:r>
        <w:t xml:space="preserve">M </w:t>
      </w:r>
      <w:r w:rsidRPr="00CC7A8E">
        <w:t>et al., 2002</w:t>
      </w:r>
      <w:r>
        <w:t xml:space="preserve"> </w:t>
      </w:r>
      <w:r w:rsidRPr="008E26F9">
        <w:t>Survival in Duchenne muscular dystrophy: improvements in life expectancy since 1967 and the impact of home nocturnal ventilation</w:t>
      </w:r>
      <w:r>
        <w:t xml:space="preserve">. </w:t>
      </w:r>
      <w:r w:rsidRPr="008E26F9">
        <w:rPr>
          <w:i/>
        </w:rPr>
        <w:t>Neuromuscular Disorders</w:t>
      </w:r>
      <w:r>
        <w:t xml:space="preserve"> 2002; 12:</w:t>
      </w:r>
      <w:r w:rsidRPr="008E26F9">
        <w:t xml:space="preserve"> 926-929</w:t>
      </w:r>
    </w:p>
  </w:footnote>
  <w:footnote w:id="3">
    <w:p w14:paraId="00281DEE" w14:textId="77777777" w:rsidR="002125BF" w:rsidRDefault="002125BF">
      <w:pPr>
        <w:pStyle w:val="FootnoteText"/>
      </w:pPr>
      <w:r>
        <w:rPr>
          <w:rStyle w:val="FootnoteReference"/>
        </w:rPr>
        <w:footnoteRef/>
      </w:r>
      <w:r>
        <w:t xml:space="preserve"> </w:t>
      </w:r>
      <w:r w:rsidRPr="00CC7A8E">
        <w:t>Simonds,</w:t>
      </w:r>
      <w:r>
        <w:t xml:space="preserve"> AK</w:t>
      </w:r>
      <w:r w:rsidRPr="00CC7A8E">
        <w:t xml:space="preserve"> 2002</w:t>
      </w:r>
      <w:r>
        <w:t xml:space="preserve"> </w:t>
      </w:r>
      <w:r w:rsidRPr="008E26F9">
        <w:t>Respirator</w:t>
      </w:r>
      <w:r>
        <w:t xml:space="preserve">. </w:t>
      </w:r>
      <w:r w:rsidRPr="008E26F9">
        <w:t>y Complications of the Muscular Dystrophies</w:t>
      </w:r>
      <w:r>
        <w:t xml:space="preserve">. </w:t>
      </w:r>
      <w:r w:rsidRPr="008E26F9">
        <w:rPr>
          <w:i/>
        </w:rPr>
        <w:t>Seminars in respiratory and critical care medicine</w:t>
      </w:r>
      <w:r>
        <w:t xml:space="preserve"> 2002; 23: 231-238</w:t>
      </w:r>
    </w:p>
  </w:footnote>
  <w:footnote w:id="4">
    <w:p w14:paraId="1E10D362" w14:textId="77777777" w:rsidR="002125BF" w:rsidRDefault="002125BF">
      <w:pPr>
        <w:pStyle w:val="FootnoteText"/>
      </w:pPr>
      <w:r>
        <w:rPr>
          <w:rStyle w:val="FootnoteReference"/>
        </w:rPr>
        <w:footnoteRef/>
      </w:r>
      <w:r>
        <w:t xml:space="preserve"> LoM</w:t>
      </w:r>
      <w:r w:rsidRPr="00CC7A8E">
        <w:t>auro</w:t>
      </w:r>
      <w:r>
        <w:t xml:space="preserve"> A</w:t>
      </w:r>
      <w:r w:rsidRPr="00CC7A8E">
        <w:t xml:space="preserve"> et al., 2015</w:t>
      </w:r>
      <w:r>
        <w:t xml:space="preserve"> </w:t>
      </w:r>
      <w:r w:rsidRPr="008E26F9">
        <w:t>Assessment and management of respiratory function in patients with Duchenne muscular dystrophy: current and emerging options</w:t>
      </w:r>
      <w:r>
        <w:t xml:space="preserve">. </w:t>
      </w:r>
      <w:r w:rsidRPr="008E26F9">
        <w:rPr>
          <w:i/>
        </w:rPr>
        <w:t>Therapeutics and Clinical Risk Management</w:t>
      </w:r>
      <w:r>
        <w:t xml:space="preserve"> 2015; 11: 1475-1488</w:t>
      </w:r>
    </w:p>
  </w:footnote>
  <w:footnote w:id="5">
    <w:p w14:paraId="068A189E" w14:textId="77777777" w:rsidR="002125BF" w:rsidRDefault="002125BF">
      <w:pPr>
        <w:pStyle w:val="FootnoteText"/>
      </w:pPr>
      <w:r>
        <w:rPr>
          <w:rStyle w:val="FootnoteReference"/>
        </w:rPr>
        <w:footnoteRef/>
      </w:r>
      <w:r>
        <w:t xml:space="preserve"> </w:t>
      </w:r>
      <w:r w:rsidRPr="00CC7A8E">
        <w:t xml:space="preserve">Henricson </w:t>
      </w:r>
      <w:r>
        <w:t xml:space="preserve">E K </w:t>
      </w:r>
      <w:r w:rsidRPr="00CC7A8E">
        <w:t>et al., 2013</w:t>
      </w:r>
      <w:r>
        <w:t xml:space="preserve"> T</w:t>
      </w:r>
      <w:r w:rsidRPr="00685A72">
        <w:t>he cooperative internationa</w:t>
      </w:r>
      <w:r>
        <w:t>l neuromuscular research group D</w:t>
      </w:r>
      <w:r w:rsidRPr="00685A72">
        <w:t xml:space="preserve">uchenne natural history </w:t>
      </w:r>
      <w:r>
        <w:t>Study</w:t>
      </w:r>
      <w:r w:rsidRPr="00685A72">
        <w:t>: glucocorticoid treatment preserves clinically meaningful functional milestones and reduces rate of disease progression as measured by manual muscle testing and other commonly used clinical trial outcome measur</w:t>
      </w:r>
      <w:r>
        <w:t xml:space="preserve">es. </w:t>
      </w:r>
      <w:r w:rsidRPr="00685A72">
        <w:rPr>
          <w:i/>
        </w:rPr>
        <w:t>Muscle Nerve</w:t>
      </w:r>
      <w:r>
        <w:t xml:space="preserve"> 2013; 48: 55–67</w:t>
      </w:r>
    </w:p>
  </w:footnote>
  <w:footnote w:id="6">
    <w:p w14:paraId="7DB1A1A2" w14:textId="77777777" w:rsidR="002125BF" w:rsidRDefault="002125BF" w:rsidP="002515BB">
      <w:pPr>
        <w:pStyle w:val="FootnoteText"/>
      </w:pPr>
      <w:r>
        <w:rPr>
          <w:rStyle w:val="FootnoteReference"/>
        </w:rPr>
        <w:footnoteRef/>
      </w:r>
      <w:r>
        <w:t xml:space="preserve"> NADH = Nicotinamide adenine dinucleotide</w:t>
      </w:r>
    </w:p>
  </w:footnote>
  <w:footnote w:id="7">
    <w:p w14:paraId="533D2D94" w14:textId="0BA50446" w:rsidR="002125BF" w:rsidRDefault="002125BF" w:rsidP="002515BB">
      <w:pPr>
        <w:pStyle w:val="FootnoteText"/>
      </w:pPr>
      <w:r>
        <w:rPr>
          <w:rStyle w:val="FootnoteReference"/>
        </w:rPr>
        <w:footnoteRef/>
      </w:r>
      <w:r>
        <w:t xml:space="preserve"> ICH Topic Q6A Specifications: test procedures and acceptance criteria for new drug substances and</w:t>
      </w:r>
    </w:p>
    <w:p w14:paraId="71210DEE" w14:textId="3907E9E1" w:rsidR="002125BF" w:rsidRPr="00764265" w:rsidRDefault="002125BF" w:rsidP="002515BB">
      <w:pPr>
        <w:pStyle w:val="FootnoteText"/>
        <w:rPr>
          <w:lang w:val="en-GB"/>
        </w:rPr>
      </w:pPr>
      <w:r>
        <w:t>new drug products: chemical substances</w:t>
      </w:r>
    </w:p>
  </w:footnote>
  <w:footnote w:id="8">
    <w:p w14:paraId="602266DA" w14:textId="678D70A2" w:rsidR="002125BF" w:rsidRPr="00764265" w:rsidRDefault="002125BF">
      <w:pPr>
        <w:pStyle w:val="FootnoteText"/>
        <w:rPr>
          <w:lang w:val="en-GB"/>
        </w:rPr>
      </w:pPr>
      <w:r>
        <w:rPr>
          <w:rStyle w:val="FootnoteReference"/>
        </w:rPr>
        <w:footnoteRef/>
      </w:r>
      <w:r>
        <w:t xml:space="preserve"> </w:t>
      </w:r>
      <w:r>
        <w:rPr>
          <w:lang w:val="en-GB"/>
        </w:rPr>
        <w:t xml:space="preserve">TGO 78: </w:t>
      </w:r>
      <w:r w:rsidRPr="00F931F6">
        <w:rPr>
          <w:lang w:val="en-GB"/>
        </w:rPr>
        <w:t>Therapeutic Goods Order No. 78 Standard for tablets and capsules</w:t>
      </w:r>
    </w:p>
  </w:footnote>
  <w:footnote w:id="9">
    <w:p w14:paraId="5E176089" w14:textId="54A1A2CE" w:rsidR="002125BF" w:rsidRDefault="002125BF">
      <w:pPr>
        <w:pStyle w:val="FootnoteText"/>
      </w:pPr>
      <w:r>
        <w:rPr>
          <w:rStyle w:val="FootnoteReference"/>
        </w:rPr>
        <w:footnoteRef/>
      </w:r>
      <w:r>
        <w:t xml:space="preserve"> </w:t>
      </w:r>
      <w:r w:rsidRPr="008E3F95">
        <w:t xml:space="preserve">ICH </w:t>
      </w:r>
      <w:r>
        <w:t xml:space="preserve">Topic </w:t>
      </w:r>
      <w:r w:rsidRPr="008E3F95">
        <w:t>Q3B</w:t>
      </w:r>
      <w:r>
        <w:t>: CPMP/ICH/2738/99; Note for guidance on impurities in new drug products</w:t>
      </w:r>
    </w:p>
  </w:footnote>
  <w:footnote w:id="10">
    <w:p w14:paraId="41DF4069" w14:textId="77777777" w:rsidR="002125BF" w:rsidRDefault="002125BF">
      <w:pPr>
        <w:pStyle w:val="FootnoteText"/>
      </w:pPr>
      <w:r>
        <w:rPr>
          <w:rStyle w:val="FootnoteReference"/>
        </w:rPr>
        <w:footnoteRef/>
      </w:r>
      <w:r>
        <w:t xml:space="preserve"> AUC = Area under the time </w:t>
      </w:r>
      <w:r>
        <w:rPr>
          <w:i/>
        </w:rPr>
        <w:t>vs.</w:t>
      </w:r>
      <w:r>
        <w:t xml:space="preserve"> concentration curve</w:t>
      </w:r>
    </w:p>
  </w:footnote>
  <w:footnote w:id="11">
    <w:p w14:paraId="2CB6D16A" w14:textId="176B4C9A" w:rsidR="002125BF" w:rsidRDefault="002125BF">
      <w:pPr>
        <w:pStyle w:val="FootnoteText"/>
      </w:pPr>
      <w:r>
        <w:rPr>
          <w:rStyle w:val="FootnoteReference"/>
        </w:rPr>
        <w:footnoteRef/>
      </w:r>
      <w:r>
        <w:t xml:space="preserve"> ICH M3; CPMP/ICH/286/95 Note for guidance on non-clinical safety studies for the conduct of human clinical trials and marketing authorization for pharmaceuticals.</w:t>
      </w:r>
    </w:p>
  </w:footnote>
  <w:footnote w:id="12">
    <w:p w14:paraId="7C8C9E1B" w14:textId="77777777" w:rsidR="002125BF" w:rsidRPr="00CF465A" w:rsidRDefault="002125BF" w:rsidP="00DA3C41">
      <w:pPr>
        <w:pStyle w:val="FootnoteText"/>
        <w:rPr>
          <w:lang w:val="en-US"/>
        </w:rPr>
      </w:pPr>
      <w:r>
        <w:rPr>
          <w:rStyle w:val="FootnoteReference"/>
        </w:rPr>
        <w:footnoteRef/>
      </w:r>
      <w:r>
        <w:t xml:space="preserve"> (19.2 ng/mL; 57 nM) </w:t>
      </w:r>
      <w:r w:rsidRPr="000C47A3">
        <w:t xml:space="preserve">following repeat dosing at 750 mg </w:t>
      </w:r>
      <w:r>
        <w:t>TDS., S</w:t>
      </w:r>
      <w:r w:rsidRPr="000C47A3">
        <w:t>tudy SNT-I-003</w:t>
      </w:r>
    </w:p>
  </w:footnote>
  <w:footnote w:id="13">
    <w:p w14:paraId="399A6067" w14:textId="77777777" w:rsidR="002125BF" w:rsidRPr="00CF465A" w:rsidRDefault="002125BF" w:rsidP="00DA3C41">
      <w:pPr>
        <w:pStyle w:val="FootnoteText"/>
        <w:rPr>
          <w:lang w:val="en-US"/>
        </w:rPr>
      </w:pPr>
      <w:r>
        <w:rPr>
          <w:rStyle w:val="FootnoteReference"/>
        </w:rPr>
        <w:footnoteRef/>
      </w:r>
      <w:r>
        <w:t xml:space="preserve"> Do</w:t>
      </w:r>
      <w:r w:rsidRPr="00BF1117">
        <w:t>ses up to 500 mg/kg</w:t>
      </w:r>
      <w:r>
        <w:t>;</w:t>
      </w:r>
      <w:r w:rsidRPr="00BF1117">
        <w:t xml:space="preserve"> </w:t>
      </w:r>
      <w:r w:rsidRPr="00810242">
        <w:t>C</w:t>
      </w:r>
      <w:r w:rsidRPr="00810242">
        <w:rPr>
          <w:vertAlign w:val="subscript"/>
        </w:rPr>
        <w:t>max</w:t>
      </w:r>
      <w:r>
        <w:t>, 366 ng/mL, in dogs in repeat-dose S</w:t>
      </w:r>
      <w:r w:rsidRPr="00810242">
        <w:t xml:space="preserve">tudy </w:t>
      </w:r>
      <w:r w:rsidRPr="00810242">
        <w:rPr>
          <w:szCs w:val="14"/>
        </w:rPr>
        <w:t>C32393</w:t>
      </w:r>
      <w:r>
        <w:t>.</w:t>
      </w:r>
    </w:p>
  </w:footnote>
  <w:footnote w:id="14">
    <w:p w14:paraId="72712D27" w14:textId="77777777" w:rsidR="002125BF" w:rsidRPr="00CF465A" w:rsidRDefault="002125BF" w:rsidP="00DA3C41">
      <w:pPr>
        <w:pStyle w:val="FootnoteText"/>
        <w:rPr>
          <w:lang w:val="en-US"/>
        </w:rPr>
      </w:pPr>
      <w:r>
        <w:rPr>
          <w:rStyle w:val="FootnoteReference"/>
        </w:rPr>
        <w:footnoteRef/>
      </w:r>
      <w:r>
        <w:t xml:space="preserve"> </w:t>
      </w:r>
      <w:r w:rsidRPr="000C47A3">
        <w:t>1070 ng/mL</w:t>
      </w:r>
      <w:r>
        <w:t xml:space="preserve">; </w:t>
      </w:r>
      <w:r w:rsidRPr="000C47A3">
        <w:t xml:space="preserve">repeat-dose </w:t>
      </w:r>
      <w:r>
        <w:t>Study</w:t>
      </w:r>
      <w:r w:rsidRPr="000C47A3">
        <w:t xml:space="preserve"> SNT-P-003</w:t>
      </w:r>
    </w:p>
  </w:footnote>
  <w:footnote w:id="15">
    <w:p w14:paraId="7ADE13EC" w14:textId="77777777" w:rsidR="002125BF" w:rsidRPr="00CF465A" w:rsidRDefault="002125BF" w:rsidP="00DA3C41">
      <w:pPr>
        <w:pStyle w:val="FootnoteText"/>
        <w:rPr>
          <w:lang w:val="en-US"/>
        </w:rPr>
      </w:pPr>
      <w:r>
        <w:rPr>
          <w:rStyle w:val="FootnoteReference"/>
        </w:rPr>
        <w:footnoteRef/>
      </w:r>
      <w:r>
        <w:t xml:space="preserve"> </w:t>
      </w:r>
      <w:r w:rsidRPr="000C47A3">
        <w:t>106 ng/mL</w:t>
      </w:r>
      <w:r>
        <w:t>;</w:t>
      </w:r>
      <w:r w:rsidRPr="000C47A3">
        <w:t xml:space="preserve"> </w:t>
      </w:r>
      <w:r>
        <w:t>Study</w:t>
      </w:r>
      <w:r w:rsidRPr="000C47A3">
        <w:t xml:space="preserve"> C-14-53</w:t>
      </w:r>
    </w:p>
  </w:footnote>
  <w:footnote w:id="16">
    <w:p w14:paraId="34AF2E29" w14:textId="77777777" w:rsidR="002125BF" w:rsidRDefault="002125BF">
      <w:pPr>
        <w:pStyle w:val="FootnoteText"/>
      </w:pPr>
      <w:r>
        <w:rPr>
          <w:rStyle w:val="FootnoteReference"/>
        </w:rPr>
        <w:footnoteRef/>
      </w:r>
      <w:r>
        <w:t xml:space="preserve"> CYP = Cytochrome P450</w:t>
      </w:r>
    </w:p>
  </w:footnote>
  <w:footnote w:id="17">
    <w:p w14:paraId="3F8AA440" w14:textId="77777777" w:rsidR="002125BF" w:rsidRDefault="002125BF">
      <w:pPr>
        <w:pStyle w:val="FootnoteText"/>
      </w:pPr>
      <w:r>
        <w:rPr>
          <w:rStyle w:val="FootnoteReference"/>
        </w:rPr>
        <w:footnoteRef/>
      </w:r>
      <w:r>
        <w:t xml:space="preserve"> QS10 = 6-(9-carboxynonyl)-2,3-dimethoxy-5-methyl-1,4- benzoquinone; QS8 = 6-(7-carboxyheptyl)-2,3-dimethoxy-5-methyl-1,4- benzoquinone; QS6 = 6-(5-carboxypentyl)-2,3-dimethoxy-5-methyl-1,4- benzoquinone; QS4 = 6-(3-carboxypropyl)-2,3-dimethoxy-5-methyl-1,4- benzoquinone</w:t>
      </w:r>
    </w:p>
  </w:footnote>
  <w:footnote w:id="18">
    <w:p w14:paraId="44CBFE6C" w14:textId="77777777" w:rsidR="002125BF" w:rsidRDefault="002125BF">
      <w:pPr>
        <w:pStyle w:val="FootnoteText"/>
      </w:pPr>
      <w:r>
        <w:rPr>
          <w:rStyle w:val="FootnoteReference"/>
        </w:rPr>
        <w:footnoteRef/>
      </w:r>
      <w:r>
        <w:t xml:space="preserve"> QS10-C = Conjugates of QS10; QS8-C = Conjugates of QS8; Conjugates of QS6; QS4-C = Conjugates of QS4</w:t>
      </w:r>
    </w:p>
  </w:footnote>
  <w:footnote w:id="19">
    <w:p w14:paraId="60EC4089" w14:textId="62278E37" w:rsidR="002125BF" w:rsidRPr="00CF465A" w:rsidRDefault="002125BF" w:rsidP="00075670">
      <w:pPr>
        <w:pStyle w:val="FootnoteText"/>
        <w:rPr>
          <w:lang w:val="en-US"/>
        </w:rPr>
      </w:pPr>
      <w:r>
        <w:rPr>
          <w:rStyle w:val="FootnoteReference"/>
        </w:rPr>
        <w:footnoteRef/>
      </w:r>
      <w:r>
        <w:t xml:space="preserve"> </w:t>
      </w:r>
      <w:r w:rsidRPr="0031537B">
        <w:t>19.2 ng/mL; 57</w:t>
      </w:r>
      <w:r>
        <w:t xml:space="preserve"> nM; 2.5 times the MRHD, S</w:t>
      </w:r>
      <w:r w:rsidRPr="0031537B">
        <w:t xml:space="preserve">tudy SNT-I-003, achieved in human studies following repeat dosing at 750 mg </w:t>
      </w:r>
      <w:r>
        <w:t>TDS</w:t>
      </w:r>
      <w:r w:rsidRPr="0031537B">
        <w:t>.</w:t>
      </w:r>
    </w:p>
  </w:footnote>
  <w:footnote w:id="20">
    <w:p w14:paraId="6274B6A9" w14:textId="77777777" w:rsidR="002125BF" w:rsidRPr="00CF465A" w:rsidRDefault="002125BF" w:rsidP="00075670">
      <w:pPr>
        <w:pStyle w:val="FootnoteText"/>
        <w:rPr>
          <w:lang w:val="en-US"/>
        </w:rPr>
      </w:pPr>
      <w:r>
        <w:rPr>
          <w:rStyle w:val="FootnoteReference"/>
        </w:rPr>
        <w:footnoteRef/>
      </w:r>
      <w:r>
        <w:t xml:space="preserve"> </w:t>
      </w:r>
      <w:r w:rsidRPr="0031537B">
        <w:t xml:space="preserve">12.6 µM; 2.5 </w:t>
      </w:r>
      <w:r>
        <w:t>times the MRHD, Study SNT-I-003</w:t>
      </w:r>
    </w:p>
  </w:footnote>
  <w:footnote w:id="21">
    <w:p w14:paraId="7837D046" w14:textId="1CBFE69B" w:rsidR="002125BF" w:rsidRPr="00616DAF" w:rsidRDefault="002125BF">
      <w:pPr>
        <w:pStyle w:val="FootnoteText"/>
        <w:rPr>
          <w:lang w:val="en-GB"/>
        </w:rPr>
      </w:pPr>
      <w:r>
        <w:rPr>
          <w:rStyle w:val="FootnoteReference"/>
        </w:rPr>
        <w:footnoteRef/>
      </w:r>
      <w:r>
        <w:t xml:space="preserve"> MDCK-MDR1: combination of Madin Darby canine k</w:t>
      </w:r>
      <w:r w:rsidRPr="00597738">
        <w:t>idney (MDCK) cells and MDR1 gene to encode the efflux protein, P-gp.</w:t>
      </w:r>
    </w:p>
  </w:footnote>
  <w:footnote w:id="22">
    <w:p w14:paraId="32906B01" w14:textId="77777777" w:rsidR="002125BF" w:rsidRDefault="002125BF">
      <w:pPr>
        <w:pStyle w:val="FootnoteText"/>
      </w:pPr>
      <w:r>
        <w:rPr>
          <w:rStyle w:val="FootnoteReference"/>
        </w:rPr>
        <w:footnoteRef/>
      </w:r>
      <w:r>
        <w:t xml:space="preserve"> (</w:t>
      </w:r>
      <w:r w:rsidRPr="00515B9B">
        <w:t>ICH M3(R2) Step</w:t>
      </w:r>
      <w:r>
        <w:t xml:space="preserve"> 5: ICH guideline M3(R2) on non-clinical safety studies for the conduct of human clinical trials and marketing authorisation for pharmaceuticals Step 5 (EMA/CPMP/ICH/286/1995);</w:t>
      </w:r>
      <w:r w:rsidRPr="00515B9B">
        <w:t xml:space="preserve"> CPMP/SWP/1042/99 Rev 1</w:t>
      </w:r>
      <w:r>
        <w:t>): Guideline on repeated dose toxicity.</w:t>
      </w:r>
    </w:p>
  </w:footnote>
  <w:footnote w:id="23">
    <w:p w14:paraId="6965D7A2" w14:textId="77777777" w:rsidR="002125BF" w:rsidRDefault="002125BF">
      <w:pPr>
        <w:pStyle w:val="FootnoteText"/>
      </w:pPr>
      <w:r>
        <w:rPr>
          <w:rStyle w:val="FootnoteReference"/>
        </w:rPr>
        <w:footnoteRef/>
      </w:r>
      <w:r>
        <w:t xml:space="preserve"> </w:t>
      </w:r>
      <w:r w:rsidRPr="009D2817">
        <w:t>ICH guidelines on genotoxicity testing</w:t>
      </w:r>
      <w:r>
        <w:t xml:space="preserve"> 3BS6a Guidance on Specific aspects of genotoxicity tests for Pharmaceuticals </w:t>
      </w:r>
    </w:p>
  </w:footnote>
  <w:footnote w:id="24">
    <w:p w14:paraId="030E4CA1" w14:textId="77777777" w:rsidR="002125BF" w:rsidRPr="00857D96" w:rsidRDefault="002125BF" w:rsidP="003D07E1">
      <w:pPr>
        <w:pStyle w:val="FootnoteText"/>
        <w:rPr>
          <w:lang w:val="en-US"/>
        </w:rPr>
      </w:pPr>
      <w:r>
        <w:rPr>
          <w:rStyle w:val="FootnoteReference"/>
        </w:rPr>
        <w:footnoteRef/>
      </w:r>
      <w:r>
        <w:t xml:space="preserve"> </w:t>
      </w:r>
      <w:r>
        <w:rPr>
          <w:lang w:val="en-US"/>
        </w:rPr>
        <w:t xml:space="preserve">Gikin, M.L.A </w:t>
      </w:r>
      <w:r>
        <w:rPr>
          <w:i/>
          <w:lang w:val="en-US"/>
        </w:rPr>
        <w:t xml:space="preserve">et. al., </w:t>
      </w:r>
      <w:r>
        <w:t>Compilation of Spontaneous Neoplastic Lesions and Survival in Crl:CD(SD) Rats FDrom Control Groups. Charles River Laboratories. March 2013.</w:t>
      </w:r>
    </w:p>
  </w:footnote>
  <w:footnote w:id="25">
    <w:p w14:paraId="569E69BE" w14:textId="77777777" w:rsidR="002125BF" w:rsidRDefault="002125BF">
      <w:pPr>
        <w:pStyle w:val="FootnoteText"/>
      </w:pPr>
      <w:r>
        <w:rPr>
          <w:rStyle w:val="FootnoteReference"/>
        </w:rPr>
        <w:footnoteRef/>
      </w:r>
      <w:r>
        <w:t xml:space="preserve"> Pregnancy Category B1 is ‘</w:t>
      </w:r>
      <w:r w:rsidRPr="007678C3">
        <w:t>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7678C3">
        <w:t>Studies in animals have not shown evidence of an increased occurrence of fetal damage.</w:t>
      </w:r>
      <w:r>
        <w:t>’</w:t>
      </w:r>
    </w:p>
  </w:footnote>
  <w:footnote w:id="26">
    <w:p w14:paraId="164B9324" w14:textId="77777777" w:rsidR="002125BF" w:rsidRDefault="002125BF">
      <w:pPr>
        <w:pStyle w:val="FootnoteText"/>
      </w:pPr>
      <w:r>
        <w:rPr>
          <w:rStyle w:val="FootnoteReference"/>
        </w:rPr>
        <w:footnoteRef/>
      </w:r>
      <w:r>
        <w:t xml:space="preserve"> QTc = Interval measured from the beginning of the QRS to the end of the T wave, corrected for heart rate</w:t>
      </w:r>
    </w:p>
  </w:footnote>
  <w:footnote w:id="27">
    <w:p w14:paraId="6EAD9174" w14:textId="66D8545B" w:rsidR="002125BF" w:rsidRPr="00616DAF" w:rsidRDefault="002125BF">
      <w:pPr>
        <w:pStyle w:val="FootnoteText"/>
        <w:rPr>
          <w:lang w:val="en-GB"/>
        </w:rPr>
      </w:pPr>
      <w:r>
        <w:rPr>
          <w:rStyle w:val="FootnoteReference"/>
        </w:rPr>
        <w:footnoteRef/>
      </w:r>
      <w:r>
        <w:t xml:space="preserve"> Buyse G, etal</w:t>
      </w:r>
      <w:r w:rsidRPr="003B17A3">
        <w:t>; DELOS Study Group. Efficacy of idebenone on respiratory function in patients with Duchenne muscular dystrophy not using glucocorticoids (DELOS): a double-blind</w:t>
      </w:r>
      <w:r>
        <w:t xml:space="preserve"> randomised placebo-controlled P</w:t>
      </w:r>
      <w:r w:rsidRPr="003B17A3">
        <w:t>hase 3 trial. Lancet. 2015 May 2;385(9979):1748-1757. doi:</w:t>
      </w:r>
      <w:r>
        <w:t xml:space="preserve"> 10.1016/S0140-6736(15)60025-3.</w:t>
      </w:r>
    </w:p>
  </w:footnote>
  <w:footnote w:id="28">
    <w:p w14:paraId="3C345E1E" w14:textId="3985F25D" w:rsidR="002125BF" w:rsidRDefault="002125BF">
      <w:pPr>
        <w:pStyle w:val="FootnoteText"/>
      </w:pPr>
      <w:r>
        <w:rPr>
          <w:rStyle w:val="FootnoteReference"/>
        </w:rPr>
        <w:footnoteRef/>
      </w:r>
      <w:r>
        <w:t xml:space="preserve"> Landfeldt E et al 2015 Compliance to Care Guidelines for Duchenne Muscular Dystrophy.</w:t>
      </w:r>
      <w:r w:rsidRPr="00CC66F4">
        <w:t xml:space="preserve"> </w:t>
      </w:r>
      <w:r w:rsidRPr="00CC66F4">
        <w:rPr>
          <w:i/>
        </w:rPr>
        <w:t>Journal of Neuromuscular Diseases</w:t>
      </w:r>
      <w:r>
        <w:t xml:space="preserve"> 2015; 2: 63–72</w:t>
      </w:r>
    </w:p>
  </w:footnote>
  <w:footnote w:id="29">
    <w:p w14:paraId="03E653C8" w14:textId="7AADE472" w:rsidR="002125BF" w:rsidRPr="00616DAF" w:rsidRDefault="002125BF">
      <w:pPr>
        <w:pStyle w:val="FootnoteText"/>
        <w:rPr>
          <w:lang w:val="en-GB"/>
        </w:rPr>
      </w:pPr>
      <w:r>
        <w:rPr>
          <w:rStyle w:val="FootnoteReference"/>
        </w:rPr>
        <w:footnoteRef/>
      </w:r>
      <w:r>
        <w:t xml:space="preserve"> Accessed via: </w:t>
      </w:r>
      <w:r w:rsidRPr="007B504D">
        <w:t>https://www.fda.gov/downloads/Drugs/GuidanceComplianceRegulatoryInformation/Guidances/UCM450229.pdf</w:t>
      </w:r>
    </w:p>
  </w:footnote>
  <w:footnote w:id="30">
    <w:p w14:paraId="52A7C002" w14:textId="66A40121" w:rsidR="002125BF" w:rsidRPr="00616DAF" w:rsidRDefault="002125BF">
      <w:pPr>
        <w:pStyle w:val="FootnoteText"/>
        <w:rPr>
          <w:lang w:val="en-GB"/>
        </w:rPr>
      </w:pPr>
      <w:r>
        <w:rPr>
          <w:rStyle w:val="FootnoteReference"/>
        </w:rPr>
        <w:footnoteRef/>
      </w:r>
      <w:r>
        <w:t xml:space="preserve"> </w:t>
      </w:r>
      <w:r>
        <w:rPr>
          <w:lang w:val="en-GB"/>
        </w:rPr>
        <w:t>ICH E6: Guideline for good clinical practice.</w:t>
      </w:r>
    </w:p>
  </w:footnote>
  <w:footnote w:id="31">
    <w:p w14:paraId="6C5892E2" w14:textId="77777777" w:rsidR="002125BF" w:rsidRDefault="002125BF" w:rsidP="00DA7618">
      <w:pPr>
        <w:pStyle w:val="FootnoteText"/>
      </w:pPr>
      <w:r>
        <w:rPr>
          <w:rStyle w:val="FootnoteReference"/>
        </w:rPr>
        <w:footnoteRef/>
      </w:r>
      <w:r>
        <w:t xml:space="preserve"> </w:t>
      </w:r>
      <w:r w:rsidRPr="00017EF9">
        <w:t xml:space="preserve">page 17, </w:t>
      </w:r>
      <w:r>
        <w:t>Clinical O</w:t>
      </w:r>
      <w:r w:rsidRPr="00017EF9">
        <w:t>verview</w:t>
      </w:r>
    </w:p>
  </w:footnote>
  <w:footnote w:id="32">
    <w:p w14:paraId="1D07DAE5" w14:textId="77777777" w:rsidR="002125BF" w:rsidRDefault="002125BF" w:rsidP="00DA7618">
      <w:pPr>
        <w:pStyle w:val="FootnoteText"/>
      </w:pPr>
      <w:r>
        <w:rPr>
          <w:rStyle w:val="FootnoteReference"/>
        </w:rPr>
        <w:footnoteRef/>
      </w:r>
      <w:r>
        <w:t xml:space="preserve"> </w:t>
      </w:r>
      <w:r w:rsidRPr="007F6F4F">
        <w:rPr>
          <w:bCs/>
          <w:lang w:val="en"/>
        </w:rPr>
        <w:t>Guideline on clinical trials in small populations (CHMP/EWP/83561/2005)</w:t>
      </w:r>
    </w:p>
  </w:footnote>
  <w:footnote w:id="33">
    <w:p w14:paraId="51654128" w14:textId="77777777" w:rsidR="002125BF" w:rsidRDefault="002125BF">
      <w:pPr>
        <w:pStyle w:val="FootnoteText"/>
      </w:pPr>
      <w:r>
        <w:rPr>
          <w:rStyle w:val="FootnoteReference"/>
        </w:rPr>
        <w:footnoteRef/>
      </w:r>
      <w:r>
        <w:t xml:space="preserve"> </w:t>
      </w:r>
      <w:r w:rsidRPr="00582E1B">
        <w:rPr>
          <w:rFonts w:asciiTheme="minorHAnsi" w:hAnsiTheme="minorHAnsi"/>
          <w:bCs/>
          <w:lang w:val="en" w:eastAsia="ja-JP"/>
        </w:rPr>
        <w:t>EMA/CHMP/236981/2011</w:t>
      </w:r>
      <w:r>
        <w:rPr>
          <w:rFonts w:asciiTheme="minorHAnsi" w:hAnsiTheme="minorHAnsi"/>
          <w:bCs/>
          <w:lang w:val="en" w:eastAsia="ja-JP"/>
        </w:rPr>
        <w:t xml:space="preserve"> Guideline </w:t>
      </w:r>
      <w:r w:rsidRPr="00582E1B">
        <w:rPr>
          <w:rFonts w:asciiTheme="minorHAnsi" w:hAnsiTheme="minorHAnsi"/>
          <w:bCs/>
          <w:lang w:val="en" w:eastAsia="ja-JP"/>
        </w:rPr>
        <w:t>on the clinical investigation of medicinal products for the treatment of Duchenne</w:t>
      </w:r>
      <w:r>
        <w:rPr>
          <w:rFonts w:asciiTheme="minorHAnsi" w:hAnsiTheme="minorHAnsi"/>
          <w:bCs/>
          <w:lang w:val="en" w:eastAsia="ja-JP"/>
        </w:rPr>
        <w:t xml:space="preserve"> and Becker muscular dystrophy</w:t>
      </w:r>
    </w:p>
  </w:footnote>
  <w:footnote w:id="34">
    <w:p w14:paraId="34817DB0" w14:textId="77777777" w:rsidR="002125BF" w:rsidRDefault="002125BF">
      <w:pPr>
        <w:pStyle w:val="FootnoteText"/>
      </w:pPr>
      <w:r>
        <w:rPr>
          <w:rStyle w:val="FootnoteReference"/>
        </w:rPr>
        <w:footnoteRef/>
      </w:r>
      <w:r>
        <w:t xml:space="preserve"> FVC = Forced Vital Capacity; FVC%p = Percent predicted forced vital capacity</w:t>
      </w:r>
    </w:p>
  </w:footnote>
  <w:footnote w:id="35">
    <w:p w14:paraId="2EBE7A2A" w14:textId="3EA101F7" w:rsidR="002125BF" w:rsidRPr="00FA166A" w:rsidRDefault="002125BF">
      <w:pPr>
        <w:pStyle w:val="FootnoteText"/>
        <w:rPr>
          <w:lang w:val="en-GB"/>
        </w:rPr>
      </w:pPr>
      <w:r>
        <w:rPr>
          <w:rStyle w:val="FootnoteReference"/>
        </w:rPr>
        <w:footnoteRef/>
      </w:r>
      <w:r>
        <w:t xml:space="preserve"> </w:t>
      </w:r>
      <w:r>
        <w:rPr>
          <w:lang w:val="en-GB"/>
        </w:rPr>
        <w:t>AMSA-1 vitalograph.</w:t>
      </w:r>
    </w:p>
  </w:footnote>
  <w:footnote w:id="36">
    <w:p w14:paraId="66BFA0D4" w14:textId="4F394E1C" w:rsidR="002125BF" w:rsidRPr="00C3657D" w:rsidRDefault="002125BF" w:rsidP="00C2297C">
      <w:pPr>
        <w:pStyle w:val="FootnoteText"/>
      </w:pPr>
      <w:r w:rsidRPr="00C3657D">
        <w:rPr>
          <w:rStyle w:val="FootnoteReference"/>
          <w:sz w:val="20"/>
        </w:rPr>
        <w:footnoteRef/>
      </w:r>
      <w:r w:rsidRPr="00C3657D">
        <w:t xml:space="preserve"> Bach JR, Ishikawa Y, Kim H. Prevention of pulmonary morbidity for patients with Duchenne muscular dystrophy. Chest. 1997;</w:t>
      </w:r>
      <w:r>
        <w:t xml:space="preserve"> </w:t>
      </w:r>
      <w:r w:rsidRPr="00C3657D">
        <w:t>112:1024-</w:t>
      </w:r>
      <w:r>
        <w:t>102</w:t>
      </w:r>
      <w:r w:rsidRPr="00C3657D">
        <w:t>8.</w:t>
      </w:r>
    </w:p>
  </w:footnote>
  <w:footnote w:id="37">
    <w:p w14:paraId="6089C153" w14:textId="77777777" w:rsidR="002125BF" w:rsidRDefault="002125BF" w:rsidP="00C2297C">
      <w:pPr>
        <w:pStyle w:val="FootnoteText"/>
      </w:pPr>
      <w:r>
        <w:rPr>
          <w:rStyle w:val="FootnoteReference"/>
        </w:rPr>
        <w:footnoteRef/>
      </w:r>
      <w:r>
        <w:t xml:space="preserve"> </w:t>
      </w:r>
      <w:r w:rsidRPr="001658FC">
        <w:rPr>
          <w:bCs/>
          <w:lang w:val="en" w:eastAsia="ja-JP"/>
        </w:rPr>
        <w:t>CHMP/EWP/2330/99</w:t>
      </w:r>
      <w:r>
        <w:rPr>
          <w:bCs/>
          <w:lang w:val="en" w:eastAsia="ja-JP"/>
        </w:rPr>
        <w:t xml:space="preserve"> </w:t>
      </w:r>
      <w:r w:rsidRPr="001658FC">
        <w:rPr>
          <w:bCs/>
          <w:lang w:val="en" w:eastAsia="ja-JP"/>
        </w:rPr>
        <w:t>Points to consider on application with 1.</w:t>
      </w:r>
      <w:r>
        <w:rPr>
          <w:bCs/>
          <w:lang w:val="en" w:eastAsia="ja-JP"/>
        </w:rPr>
        <w:t xml:space="preserve"> </w:t>
      </w:r>
      <w:r w:rsidRPr="001658FC">
        <w:rPr>
          <w:bCs/>
          <w:lang w:val="en" w:eastAsia="ja-JP"/>
        </w:rPr>
        <w:t>meta-analysis 2.</w:t>
      </w:r>
      <w:r>
        <w:rPr>
          <w:bCs/>
          <w:lang w:val="en" w:eastAsia="ja-JP"/>
        </w:rPr>
        <w:t xml:space="preserve"> </w:t>
      </w:r>
      <w:r w:rsidRPr="001658FC">
        <w:rPr>
          <w:bCs/>
          <w:lang w:val="en" w:eastAsia="ja-JP"/>
        </w:rPr>
        <w:t>one pivotal study</w:t>
      </w:r>
    </w:p>
  </w:footnote>
  <w:footnote w:id="38">
    <w:p w14:paraId="1FCA84F7" w14:textId="77777777" w:rsidR="002125BF" w:rsidRDefault="002125BF">
      <w:pPr>
        <w:pStyle w:val="FootnoteText"/>
      </w:pPr>
      <w:r w:rsidRPr="00ED6165">
        <w:rPr>
          <w:rStyle w:val="FootnoteTextChar"/>
          <w:vertAlign w:val="superscript"/>
        </w:rPr>
        <w:footnoteRef/>
      </w:r>
      <w:r w:rsidRPr="00ED6165">
        <w:rPr>
          <w:rStyle w:val="FootnoteTextChar"/>
        </w:rPr>
        <w:t xml:space="preserve"> QT = Interval measured from the beginning of the QRS to the end of the T wave; QTcF = QT interval corrected according to Fridericia’s formula; QTcB = QT interval corrected according to Bazett's</w:t>
      </w:r>
      <w:r>
        <w:rPr>
          <w:rStyle w:val="FootnoteTextChar"/>
        </w:rPr>
        <w:t xml:space="preserve"> formula</w:t>
      </w:r>
    </w:p>
  </w:footnote>
  <w:footnote w:id="39">
    <w:p w14:paraId="375BBC37" w14:textId="77777777" w:rsidR="002125BF" w:rsidRPr="000B0511" w:rsidRDefault="002125BF" w:rsidP="00F877B0">
      <w:pPr>
        <w:pStyle w:val="FootnoteText"/>
      </w:pPr>
      <w:r>
        <w:rPr>
          <w:rStyle w:val="FootnoteReference"/>
        </w:rPr>
        <w:footnoteRef/>
      </w:r>
      <w:r>
        <w:t xml:space="preserve"> This PSUR covers the following tradenames of idebenone: </w:t>
      </w:r>
      <w:r w:rsidRPr="000B0511">
        <w:t>Geniceral</w:t>
      </w:r>
      <w:r>
        <w:t xml:space="preserve"> (Argentina), Mnesis (Italy, Switzerland), Lucebanol (Mexico), Cerestabon (Portugal), and Catena (Canada). The indications in these countries is either Cognitive Behavioural Deficit or FRDA.</w:t>
      </w:r>
    </w:p>
  </w:footnote>
  <w:footnote w:id="40">
    <w:p w14:paraId="55506491" w14:textId="2A5BBFEE" w:rsidR="002125BF" w:rsidRDefault="002125BF" w:rsidP="00F877B0">
      <w:pPr>
        <w:pStyle w:val="FootnoteText"/>
      </w:pPr>
      <w:r>
        <w:rPr>
          <w:rStyle w:val="FootnoteReference"/>
        </w:rPr>
        <w:footnoteRef/>
      </w:r>
      <w:r>
        <w:t xml:space="preserve"> </w:t>
      </w:r>
      <w:r>
        <w:rPr>
          <w:bCs/>
        </w:rPr>
        <w:t>I</w:t>
      </w:r>
      <w:r w:rsidRPr="00DD2687">
        <w:rPr>
          <w:bCs/>
        </w:rPr>
        <w:t>debenone 150</w:t>
      </w:r>
      <w:r>
        <w:rPr>
          <w:bCs/>
        </w:rPr>
        <w:t xml:space="preserve"> </w:t>
      </w:r>
      <w:r w:rsidRPr="00DD2687">
        <w:rPr>
          <w:bCs/>
        </w:rPr>
        <w:t>mg marketed in Canada for FRDA between October 2008 and April 2013 when it was voluntarily withdrawn when additional primary efficacy studies did not meet t</w:t>
      </w:r>
      <w:r>
        <w:rPr>
          <w:bCs/>
        </w:rPr>
        <w:t>heir primary efficacy endpoint</w:t>
      </w:r>
    </w:p>
  </w:footnote>
  <w:footnote w:id="41">
    <w:p w14:paraId="082EFFAC" w14:textId="77777777" w:rsidR="002125BF" w:rsidRDefault="002125BF" w:rsidP="00161104">
      <w:pPr>
        <w:pStyle w:val="FootnoteText"/>
      </w:pPr>
      <w:r>
        <w:rPr>
          <w:rStyle w:val="FootnoteReference"/>
        </w:rPr>
        <w:footnoteRef/>
      </w:r>
      <w:r>
        <w:t xml:space="preserve"> </w:t>
      </w:r>
      <w:r w:rsidRPr="00685CC9">
        <w:t>Upon request from the CHMP, this SAG meeting was convened on 12 January 2018 in the context of a</w:t>
      </w:r>
      <w:r>
        <w:t xml:space="preserve"> </w:t>
      </w:r>
      <w:r w:rsidRPr="00685CC9">
        <w:t>re-examination procedure of a refused variation EMEA/H/C/3834/II/0003.</w:t>
      </w:r>
    </w:p>
  </w:footnote>
  <w:footnote w:id="42">
    <w:p w14:paraId="0DCC60BC" w14:textId="77777777" w:rsidR="002125BF" w:rsidRDefault="002125BF">
      <w:pPr>
        <w:pStyle w:val="FootnoteText"/>
      </w:pPr>
      <w:r>
        <w:rPr>
          <w:rStyle w:val="FootnoteReference"/>
        </w:rPr>
        <w:footnoteRef/>
      </w:r>
      <w:r>
        <w:t xml:space="preserve"> </w:t>
      </w:r>
      <w:r w:rsidRPr="00B40F3D">
        <w:t>FEV1%p</w:t>
      </w:r>
      <w:r>
        <w:t xml:space="preserve"> = Percent predicted forced expiratory volume in one second</w:t>
      </w:r>
    </w:p>
  </w:footnote>
  <w:footnote w:id="43">
    <w:p w14:paraId="74A7B4D5" w14:textId="77777777" w:rsidR="002125BF" w:rsidRDefault="002125BF">
      <w:pPr>
        <w:pStyle w:val="FootnoteText"/>
      </w:pPr>
      <w:r>
        <w:rPr>
          <w:rStyle w:val="FootnoteReference"/>
        </w:rPr>
        <w:footnoteRef/>
      </w:r>
      <w:r>
        <w:t xml:space="preserve"> MEP = Maximum expiratory pressure MIP = Maximum inspiratory pressure</w:t>
      </w:r>
    </w:p>
  </w:footnote>
  <w:footnote w:id="44">
    <w:p w14:paraId="60D1337B" w14:textId="77777777" w:rsidR="002125BF" w:rsidRDefault="002125BF"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4B0E94C" w14:textId="77777777" w:rsidR="002125BF" w:rsidRDefault="002125BF" w:rsidP="00456765">
      <w:pPr>
        <w:pStyle w:val="FootnoteText"/>
      </w:pPr>
      <w:r w:rsidRPr="00F12492">
        <w:rPr>
          <w:i/>
        </w:rPr>
        <w:t>Routine pharmacovigilance</w:t>
      </w:r>
      <w:r>
        <w:t xml:space="preserve"> practices involve the following activities:</w:t>
      </w:r>
    </w:p>
    <w:p w14:paraId="21F2ECDE" w14:textId="77777777" w:rsidR="002125BF" w:rsidRDefault="002125BF" w:rsidP="008B2FAC">
      <w:pPr>
        <w:pStyle w:val="FootnoteText"/>
        <w:numPr>
          <w:ilvl w:val="0"/>
          <w:numId w:val="6"/>
        </w:numPr>
      </w:pPr>
      <w:r>
        <w:t>All suspected adverse reactions that are reported to the personnel of the company are collected and collated in an accessible manner;</w:t>
      </w:r>
    </w:p>
    <w:p w14:paraId="7F75B578" w14:textId="77777777" w:rsidR="002125BF" w:rsidRDefault="002125BF" w:rsidP="008B2FAC">
      <w:pPr>
        <w:pStyle w:val="FootnoteText"/>
        <w:numPr>
          <w:ilvl w:val="0"/>
          <w:numId w:val="6"/>
        </w:numPr>
      </w:pPr>
      <w:r>
        <w:t>Reporting to regulatory authorities;</w:t>
      </w:r>
    </w:p>
    <w:p w14:paraId="61BFBEF8" w14:textId="77777777" w:rsidR="002125BF" w:rsidRDefault="002125BF" w:rsidP="008B2FAC">
      <w:pPr>
        <w:pStyle w:val="FootnoteText"/>
        <w:numPr>
          <w:ilvl w:val="0"/>
          <w:numId w:val="6"/>
        </w:numPr>
      </w:pPr>
      <w:r>
        <w:t>Continuous monitoring of the safety profiles of approved products including signal detection and updating of labeling;</w:t>
      </w:r>
    </w:p>
    <w:p w14:paraId="140E0C09" w14:textId="77777777" w:rsidR="002125BF" w:rsidRDefault="002125BF" w:rsidP="008B2FAC">
      <w:pPr>
        <w:pStyle w:val="FootnoteText"/>
        <w:numPr>
          <w:ilvl w:val="0"/>
          <w:numId w:val="6"/>
        </w:numPr>
      </w:pPr>
      <w:r>
        <w:t>Submission of PSURs;</w:t>
      </w:r>
    </w:p>
    <w:p w14:paraId="79F063DF" w14:textId="77777777" w:rsidR="002125BF" w:rsidRPr="00F12492" w:rsidRDefault="002125BF" w:rsidP="008B2FAC">
      <w:pPr>
        <w:pStyle w:val="FootnoteText"/>
        <w:numPr>
          <w:ilvl w:val="0"/>
          <w:numId w:val="6"/>
        </w:numPr>
        <w:rPr>
          <w:lang w:val="en-US"/>
        </w:rPr>
      </w:pPr>
      <w:r>
        <w:t>Meeting other local regulatory agency requirements.</w:t>
      </w:r>
    </w:p>
  </w:footnote>
  <w:footnote w:id="45">
    <w:p w14:paraId="16346178" w14:textId="77777777" w:rsidR="002125BF" w:rsidRPr="001601AD" w:rsidRDefault="002125BF">
      <w:pPr>
        <w:pStyle w:val="FootnoteText"/>
      </w:pPr>
      <w:r>
        <w:rPr>
          <w:rStyle w:val="FootnoteReference"/>
        </w:rPr>
        <w:footnoteRef/>
      </w:r>
      <w:r>
        <w:t xml:space="preserve"> </w:t>
      </w:r>
      <w:r>
        <w:rPr>
          <w:bCs/>
          <w:lang w:val="en-US"/>
        </w:rPr>
        <w:t xml:space="preserve">ASMA-1 device is </w:t>
      </w:r>
      <w:r w:rsidRPr="001601AD">
        <w:t>an electronic respiratory monitor that measures PEF and FEV1</w:t>
      </w:r>
    </w:p>
  </w:footnote>
  <w:footnote w:id="46">
    <w:p w14:paraId="728BEB05" w14:textId="77777777" w:rsidR="002125BF" w:rsidRPr="001601AD" w:rsidRDefault="002125BF" w:rsidP="001601AD">
      <w:pPr>
        <w:pStyle w:val="FootnoteText"/>
        <w:rPr>
          <w:rStyle w:val="FootnoteTextChar"/>
        </w:rPr>
      </w:pPr>
      <w:r>
        <w:rPr>
          <w:rStyle w:val="FootnoteReference"/>
        </w:rPr>
        <w:footnoteRef/>
      </w:r>
      <w:r>
        <w:t xml:space="preserve"> </w:t>
      </w:r>
      <w:r w:rsidRPr="001601AD">
        <w:rPr>
          <w:rStyle w:val="FootnoteTextChar"/>
        </w:rPr>
        <w:t>Phillips MF et al (2001) Changes in Spirometry Over Time as a Prognostic Marker in Patients with Duchenne Muscular Dystrophy</w:t>
      </w:r>
      <w:r>
        <w:rPr>
          <w:rStyle w:val="FootnoteTextChar"/>
        </w:rPr>
        <w:t xml:space="preserve"> </w:t>
      </w:r>
      <w:r w:rsidRPr="001601AD">
        <w:rPr>
          <w:rStyle w:val="FootnoteTextChar"/>
          <w:i/>
        </w:rPr>
        <w:t>American journal of respiratory and critical care medicine</w:t>
      </w:r>
      <w:r w:rsidRPr="001601AD">
        <w:rPr>
          <w:rStyle w:val="FootnoteTextChar"/>
        </w:rPr>
        <w:t xml:space="preserve"> </w:t>
      </w:r>
      <w:r>
        <w:rPr>
          <w:rStyle w:val="FootnoteTextChar"/>
        </w:rPr>
        <w:t>2001;</w:t>
      </w:r>
      <w:r w:rsidRPr="001601AD">
        <w:rPr>
          <w:rStyle w:val="FootnoteTextChar"/>
        </w:rPr>
        <w:t>164</w:t>
      </w:r>
      <w:r>
        <w:rPr>
          <w:rStyle w:val="FootnoteTextChar"/>
        </w:rPr>
        <w:t>: 2191-2194</w:t>
      </w:r>
    </w:p>
  </w:footnote>
  <w:footnote w:id="47">
    <w:p w14:paraId="7CC40205" w14:textId="77777777" w:rsidR="002125BF" w:rsidRPr="00285750" w:rsidRDefault="002125BF" w:rsidP="00285750">
      <w:pPr>
        <w:pStyle w:val="FootnoteText"/>
      </w:pPr>
      <w:r>
        <w:rPr>
          <w:rStyle w:val="FootnoteReference"/>
        </w:rPr>
        <w:footnoteRef/>
      </w:r>
      <w:r>
        <w:t xml:space="preserve"> </w:t>
      </w:r>
      <w:r w:rsidRPr="00285750">
        <w:t xml:space="preserve">Meier T et al., 2017 </w:t>
      </w:r>
      <w:r w:rsidRPr="00285750">
        <w:rPr>
          <w:rStyle w:val="title-text"/>
        </w:rPr>
        <w:t xml:space="preserve">Characterization of pulmonary function in 10–18 year old patients with Duchenne muscular dystrophy. </w:t>
      </w:r>
      <w:r w:rsidRPr="00285750">
        <w:rPr>
          <w:i/>
        </w:rPr>
        <w:t>Neuromuscular Disorders</w:t>
      </w:r>
      <w:r>
        <w:t xml:space="preserve"> 2017; 27: 307-314</w:t>
      </w:r>
    </w:p>
  </w:footnote>
  <w:footnote w:id="48">
    <w:p w14:paraId="068E668B" w14:textId="77777777" w:rsidR="002125BF" w:rsidRDefault="002125BF">
      <w:pPr>
        <w:pStyle w:val="FootnoteText"/>
      </w:pPr>
      <w:r w:rsidRPr="00285750">
        <w:rPr>
          <w:rStyle w:val="FootnoteReference"/>
        </w:rPr>
        <w:footnoteRef/>
      </w:r>
      <w:r w:rsidRPr="00285750">
        <w:rPr>
          <w:vertAlign w:val="superscript"/>
        </w:rPr>
        <w:t xml:space="preserve"> </w:t>
      </w:r>
      <w:r w:rsidRPr="00285750">
        <w:t xml:space="preserve">Domingos Jet al., 2017 Dystrophinopathies and Limb-Girdle Muscular Dystrophies </w:t>
      </w:r>
      <w:r w:rsidRPr="00285750">
        <w:rPr>
          <w:i/>
        </w:rPr>
        <w:t>Neuropediatrics</w:t>
      </w:r>
      <w:r>
        <w:t xml:space="preserve"> 2017; 48</w:t>
      </w:r>
      <w:r w:rsidRPr="00285750">
        <w:t>: 262-272</w:t>
      </w:r>
    </w:p>
  </w:footnote>
  <w:footnote w:id="49">
    <w:p w14:paraId="20008531" w14:textId="77777777" w:rsidR="002125BF" w:rsidRDefault="002125BF"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F026019" w14:textId="77777777" w:rsidR="002125BF" w:rsidRPr="00456765" w:rsidRDefault="002125BF"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50">
    <w:p w14:paraId="292D7ADF" w14:textId="77777777" w:rsidR="002125BF" w:rsidRDefault="002125BF">
      <w:pPr>
        <w:pStyle w:val="FootnoteText"/>
      </w:pPr>
      <w:r>
        <w:rPr>
          <w:rStyle w:val="FootnoteReference"/>
        </w:rPr>
        <w:footnoteRef/>
      </w:r>
      <w:r>
        <w:t xml:space="preserve"> </w:t>
      </w:r>
      <w:r w:rsidRPr="00F35580">
        <w:t>CPMP/EWP/2330/99</w:t>
      </w:r>
      <w:r>
        <w:t xml:space="preserve"> C</w:t>
      </w:r>
      <w:r w:rsidRPr="00F35580">
        <w:t>ommittee for proprietary medicinal products (CPMP)</w:t>
      </w:r>
      <w:r>
        <w:t>. P</w:t>
      </w:r>
      <w:r w:rsidRPr="00F35580">
        <w:t xml:space="preserve">oints to consider on application with 1. Meta-analyses; 2. One pivotal </w:t>
      </w:r>
      <w:r>
        <w:t>Study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86E84" w14:textId="77777777" w:rsidR="002125BF" w:rsidRDefault="002125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35000" w14:textId="77777777" w:rsidR="002125BF" w:rsidRDefault="002125BF"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289B8" w14:textId="77777777" w:rsidR="002125BF" w:rsidRDefault="002125BF">
    <w:pPr>
      <w:rPr>
        <w:noProof/>
        <w:lang w:eastAsia="en-AU"/>
      </w:rPr>
    </w:pPr>
    <w:r w:rsidRPr="005F3793">
      <w:rPr>
        <w:noProof/>
        <w:color w:val="FFFFFF" w:themeColor="background1"/>
        <w:lang w:eastAsia="en-AU"/>
      </w:rPr>
      <w:drawing>
        <wp:anchor distT="0" distB="0" distL="114300" distR="114300" simplePos="0" relativeHeight="251658240" behindDoc="1" locked="0" layoutInCell="1" allowOverlap="1" wp14:anchorId="7D396EFC" wp14:editId="11360D3D">
          <wp:simplePos x="0" y="0"/>
          <wp:positionH relativeFrom="column">
            <wp:posOffset>-1075030</wp:posOffset>
          </wp:positionH>
          <wp:positionV relativeFrom="paragraph">
            <wp:posOffset>-585470</wp:posOffset>
          </wp:positionV>
          <wp:extent cx="7572375" cy="10706100"/>
          <wp:effectExtent l="19050" t="0" r="0" b="0"/>
          <wp:wrapNone/>
          <wp:docPr id="2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403A50A1" w14:textId="5E89F583" w:rsidR="002125BF" w:rsidRDefault="002125BF"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D971F" w14:textId="77777777" w:rsidR="002125BF" w:rsidRDefault="002125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FBAF7" w14:textId="77777777" w:rsidR="002125BF" w:rsidRDefault="002125B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51221" w14:textId="77777777" w:rsidR="002125BF" w:rsidRDefault="002125BF">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0D166" w14:textId="77777777" w:rsidR="002125BF" w:rsidRDefault="002125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474D5" w14:textId="77777777" w:rsidR="002125BF" w:rsidRDefault="002125BF"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774B" w14:textId="77777777" w:rsidR="002125BF" w:rsidRDefault="002125BF" w:rsidP="006E08B3">
    <w:r>
      <w:t>Therapeutic Goods Administration</w:t>
    </w:r>
  </w:p>
  <w:p w14:paraId="43E279F2" w14:textId="77777777" w:rsidR="002125BF" w:rsidRDefault="002125BF"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7377"/>
    <w:multiLevelType w:val="hybridMultilevel"/>
    <w:tmpl w:val="E49A930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 w15:restartNumberingAfterBreak="0">
    <w:nsid w:val="0B4629F4"/>
    <w:multiLevelType w:val="hybridMultilevel"/>
    <w:tmpl w:val="6BE6F2A8"/>
    <w:lvl w:ilvl="0" w:tplc="E4B6C9D4">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2306DFC"/>
    <w:multiLevelType w:val="hybridMultilevel"/>
    <w:tmpl w:val="C772187A"/>
    <w:lvl w:ilvl="0" w:tplc="0C090013">
      <w:start w:val="1"/>
      <w:numFmt w:val="upperRoman"/>
      <w:lvlText w:val="%1."/>
      <w:lvlJc w:val="righ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6462C09"/>
    <w:multiLevelType w:val="hybridMultilevel"/>
    <w:tmpl w:val="46A2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8F13E9"/>
    <w:multiLevelType w:val="multilevel"/>
    <w:tmpl w:val="028C00A8"/>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8D00E73"/>
    <w:multiLevelType w:val="hybridMultilevel"/>
    <w:tmpl w:val="E3749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15B9A"/>
    <w:multiLevelType w:val="hybridMultilevel"/>
    <w:tmpl w:val="CCD253C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E27B42"/>
    <w:multiLevelType w:val="hybridMultilevel"/>
    <w:tmpl w:val="AC9EC61A"/>
    <w:lvl w:ilvl="0" w:tplc="AE380598">
      <w:start w:val="1"/>
      <w:numFmt w:val="lowerRoman"/>
      <w:lvlText w:val="Issue (%1.)"/>
      <w:lvlJc w:val="left"/>
      <w:pPr>
        <w:ind w:left="360" w:hanging="360"/>
      </w:pPr>
      <w:rPr>
        <w:rFonts w:hint="default"/>
      </w:rPr>
    </w:lvl>
    <w:lvl w:ilvl="1" w:tplc="0C090019" w:tentative="1">
      <w:start w:val="1"/>
      <w:numFmt w:val="lowerLetter"/>
      <w:lvlText w:val="%2."/>
      <w:lvlJc w:val="left"/>
      <w:pPr>
        <w:ind w:left="447" w:hanging="360"/>
      </w:pPr>
    </w:lvl>
    <w:lvl w:ilvl="2" w:tplc="0C09001B" w:tentative="1">
      <w:start w:val="1"/>
      <w:numFmt w:val="lowerRoman"/>
      <w:lvlText w:val="%3."/>
      <w:lvlJc w:val="right"/>
      <w:pPr>
        <w:ind w:left="1167" w:hanging="180"/>
      </w:pPr>
    </w:lvl>
    <w:lvl w:ilvl="3" w:tplc="0C09000F" w:tentative="1">
      <w:start w:val="1"/>
      <w:numFmt w:val="decimal"/>
      <w:lvlText w:val="%4."/>
      <w:lvlJc w:val="left"/>
      <w:pPr>
        <w:ind w:left="1887" w:hanging="360"/>
      </w:pPr>
    </w:lvl>
    <w:lvl w:ilvl="4" w:tplc="0C090019" w:tentative="1">
      <w:start w:val="1"/>
      <w:numFmt w:val="lowerLetter"/>
      <w:lvlText w:val="%5."/>
      <w:lvlJc w:val="left"/>
      <w:pPr>
        <w:ind w:left="2607" w:hanging="360"/>
      </w:pPr>
    </w:lvl>
    <w:lvl w:ilvl="5" w:tplc="0C09001B" w:tentative="1">
      <w:start w:val="1"/>
      <w:numFmt w:val="lowerRoman"/>
      <w:lvlText w:val="%6."/>
      <w:lvlJc w:val="right"/>
      <w:pPr>
        <w:ind w:left="3327" w:hanging="180"/>
      </w:pPr>
    </w:lvl>
    <w:lvl w:ilvl="6" w:tplc="0C09000F" w:tentative="1">
      <w:start w:val="1"/>
      <w:numFmt w:val="decimal"/>
      <w:lvlText w:val="%7."/>
      <w:lvlJc w:val="left"/>
      <w:pPr>
        <w:ind w:left="4047" w:hanging="360"/>
      </w:pPr>
    </w:lvl>
    <w:lvl w:ilvl="7" w:tplc="0C090019" w:tentative="1">
      <w:start w:val="1"/>
      <w:numFmt w:val="lowerLetter"/>
      <w:lvlText w:val="%8."/>
      <w:lvlJc w:val="left"/>
      <w:pPr>
        <w:ind w:left="4767" w:hanging="360"/>
      </w:pPr>
    </w:lvl>
    <w:lvl w:ilvl="8" w:tplc="0C09001B" w:tentative="1">
      <w:start w:val="1"/>
      <w:numFmt w:val="lowerRoman"/>
      <w:lvlText w:val="%9."/>
      <w:lvlJc w:val="right"/>
      <w:pPr>
        <w:ind w:left="5487" w:hanging="180"/>
      </w:pPr>
    </w:lvl>
  </w:abstractNum>
  <w:abstractNum w:abstractNumId="10" w15:restartNumberingAfterBreak="0">
    <w:nsid w:val="1EE3116C"/>
    <w:multiLevelType w:val="multilevel"/>
    <w:tmpl w:val="3A0AF454"/>
    <w:lvl w:ilvl="0">
      <w:start w:val="1"/>
      <w:numFmt w:val="lowerRoman"/>
      <w:lvlText w:val="%1."/>
      <w:lvlJc w:val="right"/>
      <w:pPr>
        <w:ind w:left="530" w:hanging="360"/>
      </w:pPr>
    </w:lvl>
    <w:lvl w:ilvl="1">
      <w:start w:val="1"/>
      <w:numFmt w:val="lowerLetter"/>
      <w:lvlText w:val="%2)"/>
      <w:lvlJc w:val="left"/>
      <w:pPr>
        <w:ind w:left="890" w:hanging="360"/>
      </w:pPr>
    </w:lvl>
    <w:lvl w:ilvl="2">
      <w:start w:val="1"/>
      <w:numFmt w:val="lowerRoman"/>
      <w:lvlText w:val="%3)"/>
      <w:lvlJc w:val="left"/>
      <w:pPr>
        <w:ind w:left="1250" w:hanging="360"/>
      </w:pPr>
    </w:lvl>
    <w:lvl w:ilvl="3">
      <w:start w:val="1"/>
      <w:numFmt w:val="decimal"/>
      <w:lvlText w:val="(%4)"/>
      <w:lvlJc w:val="left"/>
      <w:pPr>
        <w:ind w:left="1610" w:hanging="360"/>
      </w:pPr>
    </w:lvl>
    <w:lvl w:ilvl="4">
      <w:start w:val="1"/>
      <w:numFmt w:val="lowerLetter"/>
      <w:lvlText w:val="(%5)"/>
      <w:lvlJc w:val="left"/>
      <w:pPr>
        <w:ind w:left="1970" w:hanging="360"/>
      </w:pPr>
    </w:lvl>
    <w:lvl w:ilvl="5">
      <w:start w:val="1"/>
      <w:numFmt w:val="lowerRoman"/>
      <w:lvlText w:val="(%6)"/>
      <w:lvlJc w:val="left"/>
      <w:pPr>
        <w:ind w:left="2330" w:hanging="360"/>
      </w:pPr>
    </w:lvl>
    <w:lvl w:ilvl="6">
      <w:start w:val="1"/>
      <w:numFmt w:val="decimal"/>
      <w:lvlText w:val="%7."/>
      <w:lvlJc w:val="left"/>
      <w:pPr>
        <w:ind w:left="2690" w:hanging="360"/>
      </w:pPr>
    </w:lvl>
    <w:lvl w:ilvl="7">
      <w:start w:val="1"/>
      <w:numFmt w:val="lowerLetter"/>
      <w:lvlText w:val="%8."/>
      <w:lvlJc w:val="left"/>
      <w:pPr>
        <w:ind w:left="3050" w:hanging="360"/>
      </w:pPr>
    </w:lvl>
    <w:lvl w:ilvl="8">
      <w:start w:val="1"/>
      <w:numFmt w:val="lowerRoman"/>
      <w:lvlText w:val="%9."/>
      <w:lvlJc w:val="left"/>
      <w:pPr>
        <w:ind w:left="3410" w:hanging="360"/>
      </w:pPr>
    </w:lvl>
  </w:abstractNum>
  <w:abstractNum w:abstractNumId="11" w15:restartNumberingAfterBreak="0">
    <w:nsid w:val="26181ABA"/>
    <w:multiLevelType w:val="hybridMultilevel"/>
    <w:tmpl w:val="6EAE91B6"/>
    <w:lvl w:ilvl="0" w:tplc="E4B6C9D4">
      <w:numFmt w:val="bullet"/>
      <w:lvlText w:val="•"/>
      <w:lvlJc w:val="left"/>
      <w:pPr>
        <w:ind w:left="360" w:hanging="360"/>
      </w:pPr>
      <w:rPr>
        <w:rFonts w:ascii="Cambria" w:eastAsia="Cambria"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A64D39"/>
    <w:multiLevelType w:val="hybridMultilevel"/>
    <w:tmpl w:val="C772187A"/>
    <w:lvl w:ilvl="0" w:tplc="0C090013">
      <w:start w:val="1"/>
      <w:numFmt w:val="upperRoman"/>
      <w:lvlText w:val="%1."/>
      <w:lvlJc w:val="righ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0FD0A9B"/>
    <w:multiLevelType w:val="hybridMultilevel"/>
    <w:tmpl w:val="C772187A"/>
    <w:lvl w:ilvl="0" w:tplc="0C090013">
      <w:start w:val="1"/>
      <w:numFmt w:val="upperRoman"/>
      <w:lvlText w:val="%1."/>
      <w:lvlJc w:val="righ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30F79AC"/>
    <w:multiLevelType w:val="hybridMultilevel"/>
    <w:tmpl w:val="D7184E9A"/>
    <w:lvl w:ilvl="0" w:tplc="0C090013">
      <w:start w:val="1"/>
      <w:numFmt w:val="upperRoman"/>
      <w:lvlText w:val="%1."/>
      <w:lvlJc w:val="right"/>
      <w:pPr>
        <w:ind w:left="720" w:hanging="360"/>
      </w:pPr>
      <w:rPr>
        <w:rFonts w:hint="default"/>
      </w:rPr>
    </w:lvl>
    <w:lvl w:ilvl="1" w:tplc="B874C490">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02909"/>
    <w:multiLevelType w:val="hybridMultilevel"/>
    <w:tmpl w:val="E834A220"/>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489B15D7"/>
    <w:multiLevelType w:val="hybridMultilevel"/>
    <w:tmpl w:val="498845F8"/>
    <w:lvl w:ilvl="0" w:tplc="CF3A7B3E">
      <w:start w:val="1"/>
      <w:numFmt w:val="bullet"/>
      <w:pStyle w:val="Bulletpoint"/>
      <w:lvlText w:val=""/>
      <w:lvlJc w:val="left"/>
      <w:pPr>
        <w:tabs>
          <w:tab w:val="num" w:pos="369"/>
        </w:tabs>
        <w:ind w:left="369" w:hanging="227"/>
      </w:pPr>
      <w:rPr>
        <w:rFonts w:ascii="Symbol" w:hAnsi="Symbol" w:hint="default"/>
        <w:color w:val="auto"/>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891D84"/>
    <w:multiLevelType w:val="hybridMultilevel"/>
    <w:tmpl w:val="D7184E9A"/>
    <w:lvl w:ilvl="0" w:tplc="0C090013">
      <w:start w:val="1"/>
      <w:numFmt w:val="upperRoman"/>
      <w:lvlText w:val="%1."/>
      <w:lvlJc w:val="right"/>
      <w:pPr>
        <w:ind w:left="720" w:hanging="360"/>
      </w:pPr>
      <w:rPr>
        <w:rFonts w:hint="default"/>
      </w:rPr>
    </w:lvl>
    <w:lvl w:ilvl="1" w:tplc="B874C490">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6"/>
  </w:num>
  <w:num w:numId="4">
    <w:abstractNumId w:val="3"/>
  </w:num>
  <w:num w:numId="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9"/>
  </w:num>
  <w:num w:numId="7">
    <w:abstractNumId w:val="16"/>
  </w:num>
  <w:num w:numId="8">
    <w:abstractNumId w:val="15"/>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0"/>
  </w:num>
  <w:num w:numId="16">
    <w:abstractNumId w:val="18"/>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7"/>
  </w:num>
  <w:num w:numId="20">
    <w:abstractNumId w:val="10"/>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3"/>
  </w:num>
  <w:num w:numId="24">
    <w:abstractNumId w:val="8"/>
  </w:num>
  <w:num w:numId="25">
    <w:abstractNumId w:val="1"/>
  </w:num>
  <w:num w:numId="26">
    <w:abstractNumId w:val="12"/>
  </w:num>
  <w:num w:numId="27">
    <w:abstractNumId w:val="4"/>
  </w:num>
  <w:num w:numId="28">
    <w:abstractNumId w:val="14"/>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D48"/>
    <w:rsid w:val="00002031"/>
    <w:rsid w:val="00004734"/>
    <w:rsid w:val="00006B22"/>
    <w:rsid w:val="0001276A"/>
    <w:rsid w:val="0002337A"/>
    <w:rsid w:val="000246AE"/>
    <w:rsid w:val="00025C67"/>
    <w:rsid w:val="00041CE4"/>
    <w:rsid w:val="00044772"/>
    <w:rsid w:val="0004541C"/>
    <w:rsid w:val="0005559E"/>
    <w:rsid w:val="000604D6"/>
    <w:rsid w:val="000734D8"/>
    <w:rsid w:val="00075670"/>
    <w:rsid w:val="00076E48"/>
    <w:rsid w:val="00077775"/>
    <w:rsid w:val="00077CCF"/>
    <w:rsid w:val="00090471"/>
    <w:rsid w:val="00096AA7"/>
    <w:rsid w:val="000A3AED"/>
    <w:rsid w:val="000B3532"/>
    <w:rsid w:val="000B3A75"/>
    <w:rsid w:val="000C00C2"/>
    <w:rsid w:val="000C690F"/>
    <w:rsid w:val="000D1295"/>
    <w:rsid w:val="000D391B"/>
    <w:rsid w:val="000D3D6D"/>
    <w:rsid w:val="000D4FC7"/>
    <w:rsid w:val="000D51AD"/>
    <w:rsid w:val="000E6196"/>
    <w:rsid w:val="000F4869"/>
    <w:rsid w:val="000F5B42"/>
    <w:rsid w:val="000F6E6F"/>
    <w:rsid w:val="0010601F"/>
    <w:rsid w:val="0010788A"/>
    <w:rsid w:val="00107A31"/>
    <w:rsid w:val="00110EA5"/>
    <w:rsid w:val="00112F56"/>
    <w:rsid w:val="00124ACD"/>
    <w:rsid w:val="00125318"/>
    <w:rsid w:val="001305A2"/>
    <w:rsid w:val="00133238"/>
    <w:rsid w:val="00133A1B"/>
    <w:rsid w:val="0014197B"/>
    <w:rsid w:val="001447CD"/>
    <w:rsid w:val="001475F6"/>
    <w:rsid w:val="001516B1"/>
    <w:rsid w:val="00154EBB"/>
    <w:rsid w:val="00156316"/>
    <w:rsid w:val="001601AD"/>
    <w:rsid w:val="00161104"/>
    <w:rsid w:val="00161181"/>
    <w:rsid w:val="00162D14"/>
    <w:rsid w:val="00163780"/>
    <w:rsid w:val="00165389"/>
    <w:rsid w:val="0017693F"/>
    <w:rsid w:val="0018110E"/>
    <w:rsid w:val="00181684"/>
    <w:rsid w:val="001843C6"/>
    <w:rsid w:val="001850E0"/>
    <w:rsid w:val="001A03AF"/>
    <w:rsid w:val="001A2158"/>
    <w:rsid w:val="001A525F"/>
    <w:rsid w:val="001B09F9"/>
    <w:rsid w:val="001B5C90"/>
    <w:rsid w:val="001B6448"/>
    <w:rsid w:val="001C32CD"/>
    <w:rsid w:val="001D2984"/>
    <w:rsid w:val="001E07CF"/>
    <w:rsid w:val="001E59F1"/>
    <w:rsid w:val="001F104F"/>
    <w:rsid w:val="001F2CEE"/>
    <w:rsid w:val="001F49EB"/>
    <w:rsid w:val="001F6CBA"/>
    <w:rsid w:val="00201D4E"/>
    <w:rsid w:val="002076C9"/>
    <w:rsid w:val="002125BF"/>
    <w:rsid w:val="00220B8A"/>
    <w:rsid w:val="002257F3"/>
    <w:rsid w:val="00233456"/>
    <w:rsid w:val="002339A5"/>
    <w:rsid w:val="002515BB"/>
    <w:rsid w:val="00252C48"/>
    <w:rsid w:val="00257848"/>
    <w:rsid w:val="0027084A"/>
    <w:rsid w:val="00273610"/>
    <w:rsid w:val="00277329"/>
    <w:rsid w:val="00280265"/>
    <w:rsid w:val="00285750"/>
    <w:rsid w:val="00286434"/>
    <w:rsid w:val="00286C59"/>
    <w:rsid w:val="00291957"/>
    <w:rsid w:val="0029326D"/>
    <w:rsid w:val="002942D1"/>
    <w:rsid w:val="0029501A"/>
    <w:rsid w:val="002A3721"/>
    <w:rsid w:val="002B1638"/>
    <w:rsid w:val="002B3624"/>
    <w:rsid w:val="002D0952"/>
    <w:rsid w:val="002E00B4"/>
    <w:rsid w:val="002E3158"/>
    <w:rsid w:val="002E40B3"/>
    <w:rsid w:val="002E4C9A"/>
    <w:rsid w:val="002F11F8"/>
    <w:rsid w:val="002F3F56"/>
    <w:rsid w:val="002F44B5"/>
    <w:rsid w:val="002F5122"/>
    <w:rsid w:val="0030092C"/>
    <w:rsid w:val="00311AC0"/>
    <w:rsid w:val="003173BB"/>
    <w:rsid w:val="003176FC"/>
    <w:rsid w:val="0032280D"/>
    <w:rsid w:val="0032583B"/>
    <w:rsid w:val="00327883"/>
    <w:rsid w:val="00335504"/>
    <w:rsid w:val="00340C18"/>
    <w:rsid w:val="003422CC"/>
    <w:rsid w:val="003442FD"/>
    <w:rsid w:val="00347824"/>
    <w:rsid w:val="00350567"/>
    <w:rsid w:val="003521E8"/>
    <w:rsid w:val="00370CE3"/>
    <w:rsid w:val="003728F3"/>
    <w:rsid w:val="003735BC"/>
    <w:rsid w:val="0037496E"/>
    <w:rsid w:val="00383221"/>
    <w:rsid w:val="00386150"/>
    <w:rsid w:val="003874CE"/>
    <w:rsid w:val="00390900"/>
    <w:rsid w:val="00395954"/>
    <w:rsid w:val="003A7F6C"/>
    <w:rsid w:val="003B17A3"/>
    <w:rsid w:val="003B4D60"/>
    <w:rsid w:val="003B7E39"/>
    <w:rsid w:val="003C58DC"/>
    <w:rsid w:val="003D07E1"/>
    <w:rsid w:val="003D1E62"/>
    <w:rsid w:val="003E0B99"/>
    <w:rsid w:val="003E2486"/>
    <w:rsid w:val="003E3208"/>
    <w:rsid w:val="003F0B04"/>
    <w:rsid w:val="0040134E"/>
    <w:rsid w:val="00431ED9"/>
    <w:rsid w:val="004334C7"/>
    <w:rsid w:val="00440A2D"/>
    <w:rsid w:val="00441AF6"/>
    <w:rsid w:val="00441C3F"/>
    <w:rsid w:val="0045186A"/>
    <w:rsid w:val="004564A7"/>
    <w:rsid w:val="00456765"/>
    <w:rsid w:val="004617BF"/>
    <w:rsid w:val="00463658"/>
    <w:rsid w:val="004637A0"/>
    <w:rsid w:val="004638E5"/>
    <w:rsid w:val="004722CC"/>
    <w:rsid w:val="00491C1E"/>
    <w:rsid w:val="004936E4"/>
    <w:rsid w:val="00494E60"/>
    <w:rsid w:val="00497487"/>
    <w:rsid w:val="004A6189"/>
    <w:rsid w:val="004A7390"/>
    <w:rsid w:val="004B3A61"/>
    <w:rsid w:val="004B6C4C"/>
    <w:rsid w:val="004B7B76"/>
    <w:rsid w:val="004C239D"/>
    <w:rsid w:val="004C2DCA"/>
    <w:rsid w:val="004C590F"/>
    <w:rsid w:val="004C61D2"/>
    <w:rsid w:val="004D2354"/>
    <w:rsid w:val="004D5E1C"/>
    <w:rsid w:val="004F0C4A"/>
    <w:rsid w:val="004F0F38"/>
    <w:rsid w:val="004F47D6"/>
    <w:rsid w:val="00500337"/>
    <w:rsid w:val="00501921"/>
    <w:rsid w:val="0050416F"/>
    <w:rsid w:val="005159E4"/>
    <w:rsid w:val="00521072"/>
    <w:rsid w:val="00525EE2"/>
    <w:rsid w:val="00530354"/>
    <w:rsid w:val="0053065A"/>
    <w:rsid w:val="0053625B"/>
    <w:rsid w:val="005434C6"/>
    <w:rsid w:val="00543B39"/>
    <w:rsid w:val="00546154"/>
    <w:rsid w:val="00547B5F"/>
    <w:rsid w:val="00550096"/>
    <w:rsid w:val="00555280"/>
    <w:rsid w:val="00557FF9"/>
    <w:rsid w:val="00560B77"/>
    <w:rsid w:val="00562327"/>
    <w:rsid w:val="005711D5"/>
    <w:rsid w:val="00576378"/>
    <w:rsid w:val="00577130"/>
    <w:rsid w:val="00577945"/>
    <w:rsid w:val="00577E38"/>
    <w:rsid w:val="00585322"/>
    <w:rsid w:val="005857C6"/>
    <w:rsid w:val="00592F6E"/>
    <w:rsid w:val="00593AD1"/>
    <w:rsid w:val="00597738"/>
    <w:rsid w:val="005A68B6"/>
    <w:rsid w:val="005B7597"/>
    <w:rsid w:val="005C0C59"/>
    <w:rsid w:val="005C3360"/>
    <w:rsid w:val="005C5570"/>
    <w:rsid w:val="005C79A4"/>
    <w:rsid w:val="005D5442"/>
    <w:rsid w:val="005F3793"/>
    <w:rsid w:val="006036AF"/>
    <w:rsid w:val="00603F32"/>
    <w:rsid w:val="00605AD4"/>
    <w:rsid w:val="006134EA"/>
    <w:rsid w:val="006136D7"/>
    <w:rsid w:val="0061481A"/>
    <w:rsid w:val="00616DAF"/>
    <w:rsid w:val="00625A6E"/>
    <w:rsid w:val="006302E9"/>
    <w:rsid w:val="00632398"/>
    <w:rsid w:val="00640C58"/>
    <w:rsid w:val="00640FC3"/>
    <w:rsid w:val="00642020"/>
    <w:rsid w:val="0065337B"/>
    <w:rsid w:val="0065419D"/>
    <w:rsid w:val="006603BC"/>
    <w:rsid w:val="006604D8"/>
    <w:rsid w:val="00664A5B"/>
    <w:rsid w:val="0066735C"/>
    <w:rsid w:val="00676022"/>
    <w:rsid w:val="006763D2"/>
    <w:rsid w:val="00680C08"/>
    <w:rsid w:val="00685A72"/>
    <w:rsid w:val="006916A0"/>
    <w:rsid w:val="006931B1"/>
    <w:rsid w:val="00694C4A"/>
    <w:rsid w:val="006A15C0"/>
    <w:rsid w:val="006A58A8"/>
    <w:rsid w:val="006B6BF1"/>
    <w:rsid w:val="006B7770"/>
    <w:rsid w:val="006C3E2A"/>
    <w:rsid w:val="006C566D"/>
    <w:rsid w:val="006C642F"/>
    <w:rsid w:val="006D03E5"/>
    <w:rsid w:val="006D5D3E"/>
    <w:rsid w:val="006E08B3"/>
    <w:rsid w:val="006F17AC"/>
    <w:rsid w:val="006F25B8"/>
    <w:rsid w:val="006F572E"/>
    <w:rsid w:val="006F7B62"/>
    <w:rsid w:val="00703C39"/>
    <w:rsid w:val="007046D6"/>
    <w:rsid w:val="00705DB0"/>
    <w:rsid w:val="00716507"/>
    <w:rsid w:val="0072224C"/>
    <w:rsid w:val="00722B57"/>
    <w:rsid w:val="00723BC8"/>
    <w:rsid w:val="00730F8A"/>
    <w:rsid w:val="00732EE2"/>
    <w:rsid w:val="00735A8C"/>
    <w:rsid w:val="0074253D"/>
    <w:rsid w:val="0074429B"/>
    <w:rsid w:val="007615BC"/>
    <w:rsid w:val="00762F05"/>
    <w:rsid w:val="00764265"/>
    <w:rsid w:val="007652FF"/>
    <w:rsid w:val="00770AA0"/>
    <w:rsid w:val="00770CAC"/>
    <w:rsid w:val="00770EF1"/>
    <w:rsid w:val="00773EF7"/>
    <w:rsid w:val="00774E1D"/>
    <w:rsid w:val="00775149"/>
    <w:rsid w:val="007765D8"/>
    <w:rsid w:val="0077675A"/>
    <w:rsid w:val="00780355"/>
    <w:rsid w:val="007819FD"/>
    <w:rsid w:val="00785717"/>
    <w:rsid w:val="00785721"/>
    <w:rsid w:val="00793A59"/>
    <w:rsid w:val="007A46F5"/>
    <w:rsid w:val="007A6505"/>
    <w:rsid w:val="007B504D"/>
    <w:rsid w:val="007B6132"/>
    <w:rsid w:val="007B6E9F"/>
    <w:rsid w:val="007C1216"/>
    <w:rsid w:val="007C1AF7"/>
    <w:rsid w:val="007C6B9B"/>
    <w:rsid w:val="00805D27"/>
    <w:rsid w:val="00806DCB"/>
    <w:rsid w:val="00821776"/>
    <w:rsid w:val="008321F5"/>
    <w:rsid w:val="00832369"/>
    <w:rsid w:val="00834660"/>
    <w:rsid w:val="00836BC2"/>
    <w:rsid w:val="0085156D"/>
    <w:rsid w:val="00852B28"/>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2FAC"/>
    <w:rsid w:val="008B4B03"/>
    <w:rsid w:val="008B596F"/>
    <w:rsid w:val="008C159F"/>
    <w:rsid w:val="008C1623"/>
    <w:rsid w:val="008C1850"/>
    <w:rsid w:val="008C3879"/>
    <w:rsid w:val="008C51A9"/>
    <w:rsid w:val="008D68B6"/>
    <w:rsid w:val="008E19EB"/>
    <w:rsid w:val="008E26F9"/>
    <w:rsid w:val="008E7846"/>
    <w:rsid w:val="008F02E5"/>
    <w:rsid w:val="008F1CCC"/>
    <w:rsid w:val="008F2967"/>
    <w:rsid w:val="008F6943"/>
    <w:rsid w:val="009016FA"/>
    <w:rsid w:val="00902A21"/>
    <w:rsid w:val="0091523F"/>
    <w:rsid w:val="00920330"/>
    <w:rsid w:val="009219D7"/>
    <w:rsid w:val="00922D53"/>
    <w:rsid w:val="00923B70"/>
    <w:rsid w:val="00924482"/>
    <w:rsid w:val="00930237"/>
    <w:rsid w:val="00937C17"/>
    <w:rsid w:val="00940A89"/>
    <w:rsid w:val="00941F77"/>
    <w:rsid w:val="00946EA5"/>
    <w:rsid w:val="0094785E"/>
    <w:rsid w:val="00963C08"/>
    <w:rsid w:val="009752A5"/>
    <w:rsid w:val="0098585A"/>
    <w:rsid w:val="0098642B"/>
    <w:rsid w:val="00994D36"/>
    <w:rsid w:val="009956BC"/>
    <w:rsid w:val="009A4844"/>
    <w:rsid w:val="009A4CED"/>
    <w:rsid w:val="009A690D"/>
    <w:rsid w:val="009B1D12"/>
    <w:rsid w:val="009B416B"/>
    <w:rsid w:val="009B4DEE"/>
    <w:rsid w:val="009C4BD5"/>
    <w:rsid w:val="009C51C7"/>
    <w:rsid w:val="009D7B77"/>
    <w:rsid w:val="009E0BB0"/>
    <w:rsid w:val="009E3FBB"/>
    <w:rsid w:val="009F7353"/>
    <w:rsid w:val="00A04F85"/>
    <w:rsid w:val="00A05FA4"/>
    <w:rsid w:val="00A0630E"/>
    <w:rsid w:val="00A07736"/>
    <w:rsid w:val="00A102E4"/>
    <w:rsid w:val="00A12C42"/>
    <w:rsid w:val="00A14DF7"/>
    <w:rsid w:val="00A22D57"/>
    <w:rsid w:val="00A3246D"/>
    <w:rsid w:val="00A36FA7"/>
    <w:rsid w:val="00A44DDB"/>
    <w:rsid w:val="00A475B7"/>
    <w:rsid w:val="00A47AF7"/>
    <w:rsid w:val="00A47C3E"/>
    <w:rsid w:val="00A50226"/>
    <w:rsid w:val="00A60BAD"/>
    <w:rsid w:val="00A73D48"/>
    <w:rsid w:val="00A77F87"/>
    <w:rsid w:val="00A80B5B"/>
    <w:rsid w:val="00A84E36"/>
    <w:rsid w:val="00A95466"/>
    <w:rsid w:val="00A964D1"/>
    <w:rsid w:val="00AA0ED0"/>
    <w:rsid w:val="00AB3932"/>
    <w:rsid w:val="00AC2B40"/>
    <w:rsid w:val="00AC2BB2"/>
    <w:rsid w:val="00AC2C3C"/>
    <w:rsid w:val="00AC512D"/>
    <w:rsid w:val="00AC6A7F"/>
    <w:rsid w:val="00AD0083"/>
    <w:rsid w:val="00AD3935"/>
    <w:rsid w:val="00AD7450"/>
    <w:rsid w:val="00AE65EB"/>
    <w:rsid w:val="00AE67A7"/>
    <w:rsid w:val="00AF1D94"/>
    <w:rsid w:val="00AF60C5"/>
    <w:rsid w:val="00B009C6"/>
    <w:rsid w:val="00B01548"/>
    <w:rsid w:val="00B13EBD"/>
    <w:rsid w:val="00B21D29"/>
    <w:rsid w:val="00B25034"/>
    <w:rsid w:val="00B33588"/>
    <w:rsid w:val="00B33863"/>
    <w:rsid w:val="00B37D17"/>
    <w:rsid w:val="00B4175E"/>
    <w:rsid w:val="00B41C85"/>
    <w:rsid w:val="00B452CE"/>
    <w:rsid w:val="00B54C25"/>
    <w:rsid w:val="00B7104A"/>
    <w:rsid w:val="00B76B91"/>
    <w:rsid w:val="00B77EB1"/>
    <w:rsid w:val="00B811C6"/>
    <w:rsid w:val="00B855B0"/>
    <w:rsid w:val="00B92E08"/>
    <w:rsid w:val="00BA5D09"/>
    <w:rsid w:val="00BC622A"/>
    <w:rsid w:val="00BE0A78"/>
    <w:rsid w:val="00BE79F0"/>
    <w:rsid w:val="00BF046D"/>
    <w:rsid w:val="00BF1190"/>
    <w:rsid w:val="00BF3774"/>
    <w:rsid w:val="00BF5D04"/>
    <w:rsid w:val="00C009AA"/>
    <w:rsid w:val="00C01E82"/>
    <w:rsid w:val="00C1164D"/>
    <w:rsid w:val="00C13493"/>
    <w:rsid w:val="00C16861"/>
    <w:rsid w:val="00C2297C"/>
    <w:rsid w:val="00C346AB"/>
    <w:rsid w:val="00C404A6"/>
    <w:rsid w:val="00C40A36"/>
    <w:rsid w:val="00C420B0"/>
    <w:rsid w:val="00C44419"/>
    <w:rsid w:val="00C45E7B"/>
    <w:rsid w:val="00C471B1"/>
    <w:rsid w:val="00C52E24"/>
    <w:rsid w:val="00C602DA"/>
    <w:rsid w:val="00C6316B"/>
    <w:rsid w:val="00C634A9"/>
    <w:rsid w:val="00C64586"/>
    <w:rsid w:val="00C70D53"/>
    <w:rsid w:val="00C73D0B"/>
    <w:rsid w:val="00C772FF"/>
    <w:rsid w:val="00C80137"/>
    <w:rsid w:val="00C801AF"/>
    <w:rsid w:val="00C80256"/>
    <w:rsid w:val="00C854F5"/>
    <w:rsid w:val="00C93292"/>
    <w:rsid w:val="00C94CD4"/>
    <w:rsid w:val="00C9747E"/>
    <w:rsid w:val="00CB6BC0"/>
    <w:rsid w:val="00CC1B7C"/>
    <w:rsid w:val="00CC66F4"/>
    <w:rsid w:val="00CC727F"/>
    <w:rsid w:val="00CC7A8E"/>
    <w:rsid w:val="00CF15C3"/>
    <w:rsid w:val="00CF2B6F"/>
    <w:rsid w:val="00CF2F3E"/>
    <w:rsid w:val="00CF58B6"/>
    <w:rsid w:val="00D0062D"/>
    <w:rsid w:val="00D017ED"/>
    <w:rsid w:val="00D020B1"/>
    <w:rsid w:val="00D040D3"/>
    <w:rsid w:val="00D04C65"/>
    <w:rsid w:val="00D153D8"/>
    <w:rsid w:val="00D201D2"/>
    <w:rsid w:val="00D224FE"/>
    <w:rsid w:val="00D23139"/>
    <w:rsid w:val="00D41706"/>
    <w:rsid w:val="00D425BB"/>
    <w:rsid w:val="00D453FA"/>
    <w:rsid w:val="00D63438"/>
    <w:rsid w:val="00D6493E"/>
    <w:rsid w:val="00D7195D"/>
    <w:rsid w:val="00D7301E"/>
    <w:rsid w:val="00D7721B"/>
    <w:rsid w:val="00D83AE1"/>
    <w:rsid w:val="00D855D4"/>
    <w:rsid w:val="00D902C9"/>
    <w:rsid w:val="00D93466"/>
    <w:rsid w:val="00DA07D6"/>
    <w:rsid w:val="00DA1124"/>
    <w:rsid w:val="00DA3C41"/>
    <w:rsid w:val="00DA7618"/>
    <w:rsid w:val="00DB06B8"/>
    <w:rsid w:val="00DB3203"/>
    <w:rsid w:val="00DB3903"/>
    <w:rsid w:val="00DB6124"/>
    <w:rsid w:val="00DB750B"/>
    <w:rsid w:val="00DB75B7"/>
    <w:rsid w:val="00DC0A2F"/>
    <w:rsid w:val="00DC6E02"/>
    <w:rsid w:val="00DD28CD"/>
    <w:rsid w:val="00DE02AE"/>
    <w:rsid w:val="00DE39D1"/>
    <w:rsid w:val="00DE44A7"/>
    <w:rsid w:val="00DE78D8"/>
    <w:rsid w:val="00DF1D7F"/>
    <w:rsid w:val="00DF4BE4"/>
    <w:rsid w:val="00E022C9"/>
    <w:rsid w:val="00E02382"/>
    <w:rsid w:val="00E02FB4"/>
    <w:rsid w:val="00E13FC7"/>
    <w:rsid w:val="00E20571"/>
    <w:rsid w:val="00E235F7"/>
    <w:rsid w:val="00E23659"/>
    <w:rsid w:val="00E239D4"/>
    <w:rsid w:val="00E26130"/>
    <w:rsid w:val="00E40B22"/>
    <w:rsid w:val="00E44ED1"/>
    <w:rsid w:val="00E45619"/>
    <w:rsid w:val="00E4588F"/>
    <w:rsid w:val="00E46DA3"/>
    <w:rsid w:val="00E51BB1"/>
    <w:rsid w:val="00E55CB0"/>
    <w:rsid w:val="00E624A5"/>
    <w:rsid w:val="00E62A88"/>
    <w:rsid w:val="00E64BA4"/>
    <w:rsid w:val="00E7344E"/>
    <w:rsid w:val="00E7503B"/>
    <w:rsid w:val="00E82665"/>
    <w:rsid w:val="00E960EA"/>
    <w:rsid w:val="00EB0798"/>
    <w:rsid w:val="00EB40AD"/>
    <w:rsid w:val="00EB586E"/>
    <w:rsid w:val="00EB5FC8"/>
    <w:rsid w:val="00EC463D"/>
    <w:rsid w:val="00EC7A85"/>
    <w:rsid w:val="00ED2922"/>
    <w:rsid w:val="00ED3CAD"/>
    <w:rsid w:val="00ED5A41"/>
    <w:rsid w:val="00ED6165"/>
    <w:rsid w:val="00EE1DE8"/>
    <w:rsid w:val="00EE27C2"/>
    <w:rsid w:val="00EE5109"/>
    <w:rsid w:val="00EF4BAD"/>
    <w:rsid w:val="00EF59DC"/>
    <w:rsid w:val="00F033EC"/>
    <w:rsid w:val="00F04F68"/>
    <w:rsid w:val="00F12670"/>
    <w:rsid w:val="00F14B27"/>
    <w:rsid w:val="00F3148D"/>
    <w:rsid w:val="00F325C5"/>
    <w:rsid w:val="00F32FE0"/>
    <w:rsid w:val="00F35298"/>
    <w:rsid w:val="00F35580"/>
    <w:rsid w:val="00F47333"/>
    <w:rsid w:val="00F474C9"/>
    <w:rsid w:val="00F47E37"/>
    <w:rsid w:val="00F51F32"/>
    <w:rsid w:val="00F53C07"/>
    <w:rsid w:val="00F54B65"/>
    <w:rsid w:val="00F613BA"/>
    <w:rsid w:val="00F640B6"/>
    <w:rsid w:val="00F66DF2"/>
    <w:rsid w:val="00F80E40"/>
    <w:rsid w:val="00F8405A"/>
    <w:rsid w:val="00F848D9"/>
    <w:rsid w:val="00F877B0"/>
    <w:rsid w:val="00F931F6"/>
    <w:rsid w:val="00FA166A"/>
    <w:rsid w:val="00FA5069"/>
    <w:rsid w:val="00FA5B82"/>
    <w:rsid w:val="00FA639E"/>
    <w:rsid w:val="00FC1FCA"/>
    <w:rsid w:val="00FC25E4"/>
    <w:rsid w:val="00FC4EF7"/>
    <w:rsid w:val="00FD0824"/>
    <w:rsid w:val="00FD119B"/>
    <w:rsid w:val="00FD1573"/>
    <w:rsid w:val="00FD1EDC"/>
    <w:rsid w:val="00FE173F"/>
    <w:rsid w:val="00FE1DEE"/>
    <w:rsid w:val="00FE3B3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4213B92"/>
  <w15:docId w15:val="{BE3E38CC-2868-4245-9A7A-0F6E1C89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B759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B4DEE"/>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703C39"/>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703C39"/>
    <w:pPr>
      <w:numPr>
        <w:numId w:val="7"/>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Bullet2">
    <w:name w:val="Bullet 2"/>
    <w:basedOn w:val="Normal"/>
    <w:uiPriority w:val="99"/>
    <w:rsid w:val="00703C39"/>
    <w:pPr>
      <w:numPr>
        <w:numId w:val="8"/>
      </w:numPr>
      <w:spacing w:after="0" w:line="240" w:lineRule="auto"/>
    </w:pPr>
    <w:rPr>
      <w:rFonts w:eastAsia="Times New Roman"/>
      <w:kern w:val="24"/>
      <w:szCs w:val="24"/>
      <w:lang w:eastAsia="en-AU"/>
    </w:rPr>
  </w:style>
  <w:style w:type="paragraph" w:customStyle="1" w:styleId="Bulletlist">
    <w:name w:val="Bullet list"/>
    <w:basedOn w:val="Normal"/>
    <w:link w:val="BulletlistChar"/>
    <w:qFormat/>
    <w:rsid w:val="00703C39"/>
    <w:pPr>
      <w:numPr>
        <w:numId w:val="9"/>
      </w:numPr>
      <w:spacing w:before="0" w:after="180" w:line="252" w:lineRule="auto"/>
      <w:ind w:left="426" w:hanging="284"/>
    </w:pPr>
    <w:rPr>
      <w:rFonts w:eastAsia="Times New Roman"/>
      <w:snapToGrid w:val="0"/>
      <w:kern w:val="2"/>
      <w:sz w:val="23"/>
      <w:szCs w:val="24"/>
    </w:rPr>
  </w:style>
  <w:style w:type="character" w:customStyle="1" w:styleId="BulletlistChar">
    <w:name w:val="Bullet list Char"/>
    <w:basedOn w:val="DefaultParagraphFont"/>
    <w:link w:val="Bulletlist"/>
    <w:rsid w:val="00703C39"/>
    <w:rPr>
      <w:rFonts w:ascii="Cambria" w:eastAsia="Times New Roman" w:hAnsi="Cambria" w:cs="Times New Roman"/>
      <w:snapToGrid w:val="0"/>
      <w:kern w:val="2"/>
      <w:sz w:val="23"/>
      <w:szCs w:val="24"/>
    </w:rPr>
  </w:style>
  <w:style w:type="character" w:customStyle="1" w:styleId="TabletextChar">
    <w:name w:val="Table text Char"/>
    <w:basedOn w:val="DefaultParagraphFont"/>
    <w:link w:val="Tabletext"/>
    <w:rsid w:val="00703C39"/>
    <w:rPr>
      <w:rFonts w:ascii="Cambria" w:eastAsia="Cambria" w:hAnsi="Cambria" w:cs="Times New Roman"/>
      <w:sz w:val="19"/>
    </w:rPr>
  </w:style>
  <w:style w:type="paragraph" w:customStyle="1" w:styleId="Standard">
    <w:name w:val="Standard"/>
    <w:basedOn w:val="Normal"/>
    <w:link w:val="StandardChar"/>
    <w:qFormat/>
    <w:rsid w:val="00C01E8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01E82"/>
    <w:rPr>
      <w:rFonts w:ascii="Cambria" w:eastAsia="Times New Roman" w:hAnsi="Cambria" w:cs="Times New Roman"/>
      <w:snapToGrid w:val="0"/>
      <w:kern w:val="16"/>
      <w:sz w:val="23"/>
      <w:szCs w:val="24"/>
    </w:rPr>
  </w:style>
  <w:style w:type="paragraph" w:customStyle="1" w:styleId="SectionHeading">
    <w:name w:val="Section Heading"/>
    <w:basedOn w:val="Standard"/>
    <w:next w:val="Standard"/>
    <w:link w:val="SectionHeadingCharChar"/>
    <w:rsid w:val="00DA3C41"/>
    <w:pPr>
      <w:keepNext/>
      <w:outlineLvl w:val="0"/>
    </w:pPr>
    <w:rPr>
      <w:b/>
      <w:caps/>
      <w:sz w:val="24"/>
    </w:rPr>
  </w:style>
  <w:style w:type="character" w:customStyle="1" w:styleId="SectionHeadingCharChar">
    <w:name w:val="Section Heading Char Char"/>
    <w:basedOn w:val="DefaultParagraphFont"/>
    <w:link w:val="SectionHeading"/>
    <w:rsid w:val="00DA3C41"/>
    <w:rPr>
      <w:rFonts w:ascii="Cambria" w:eastAsia="Times New Roman" w:hAnsi="Cambria" w:cs="Times New Roman"/>
      <w:b/>
      <w:caps/>
      <w:snapToGrid w:val="0"/>
      <w:kern w:val="16"/>
      <w:sz w:val="24"/>
      <w:szCs w:val="24"/>
    </w:rPr>
  </w:style>
  <w:style w:type="paragraph" w:customStyle="1" w:styleId="AssessmentSection">
    <w:name w:val="Assessment Section"/>
    <w:basedOn w:val="Normal"/>
    <w:next w:val="Standard"/>
    <w:rsid w:val="00DA3C41"/>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Normal"/>
    <w:next w:val="Normal"/>
    <w:rsid w:val="00DA3C41"/>
    <w:pPr>
      <w:keepNext/>
      <w:spacing w:before="0" w:after="110" w:line="252" w:lineRule="auto"/>
      <w:outlineLvl w:val="2"/>
    </w:pPr>
    <w:rPr>
      <w:rFonts w:eastAsia="Times New Roman"/>
      <w:b/>
      <w:i/>
      <w:snapToGrid w:val="0"/>
      <w:kern w:val="16"/>
      <w:szCs w:val="24"/>
    </w:rPr>
  </w:style>
  <w:style w:type="paragraph" w:customStyle="1" w:styleId="WhiteSpace">
    <w:name w:val="White Space"/>
    <w:basedOn w:val="Standard"/>
    <w:next w:val="Standard"/>
    <w:link w:val="WhiteSpaceChar"/>
    <w:rsid w:val="00075670"/>
    <w:pPr>
      <w:spacing w:after="0"/>
    </w:pPr>
    <w:rPr>
      <w:sz w:val="16"/>
      <w:szCs w:val="16"/>
    </w:rPr>
  </w:style>
  <w:style w:type="character" w:customStyle="1" w:styleId="WhiteSpaceChar">
    <w:name w:val="White Space Char"/>
    <w:basedOn w:val="DefaultParagraphFont"/>
    <w:link w:val="WhiteSpace"/>
    <w:rsid w:val="00075670"/>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075670"/>
    <w:pPr>
      <w:outlineLvl w:val="3"/>
    </w:pPr>
    <w:rPr>
      <w:b w:val="0"/>
    </w:rPr>
  </w:style>
  <w:style w:type="character" w:customStyle="1" w:styleId="TableTitleChar">
    <w:name w:val="Table Title Char"/>
    <w:basedOn w:val="DefaultParagraphFont"/>
    <w:link w:val="TableTitle"/>
    <w:rsid w:val="003D07E1"/>
    <w:rPr>
      <w:rFonts w:ascii="Cambria" w:eastAsia="Cambria" w:hAnsi="Cambria" w:cs="Times New Roman"/>
      <w:b/>
    </w:rPr>
  </w:style>
  <w:style w:type="paragraph" w:customStyle="1" w:styleId="TableHeader">
    <w:name w:val="Table Header"/>
    <w:basedOn w:val="Normal"/>
    <w:rsid w:val="003D07E1"/>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3D07E1"/>
    <w:pPr>
      <w:spacing w:before="20" w:after="20" w:line="200" w:lineRule="atLeast"/>
      <w:ind w:left="57" w:right="57"/>
    </w:pPr>
    <w:rPr>
      <w:rFonts w:eastAsia="Times New Roman"/>
      <w:snapToGrid w:val="0"/>
      <w:kern w:val="16"/>
      <w:sz w:val="18"/>
      <w:szCs w:val="18"/>
    </w:rPr>
  </w:style>
  <w:style w:type="paragraph" w:customStyle="1" w:styleId="TableCaption">
    <w:name w:val="Table Caption"/>
    <w:basedOn w:val="Normal"/>
    <w:next w:val="Normal"/>
    <w:link w:val="TableCaptionChar"/>
    <w:rsid w:val="003D07E1"/>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3D07E1"/>
    <w:rPr>
      <w:rFonts w:ascii="Cambria" w:eastAsia="Times New Roman" w:hAnsi="Cambria" w:cs="Times New Roman"/>
      <w:snapToGrid w:val="0"/>
      <w:kern w:val="16"/>
      <w:sz w:val="18"/>
      <w:szCs w:val="19"/>
    </w:rPr>
  </w:style>
  <w:style w:type="character" w:customStyle="1" w:styleId="mw-headline">
    <w:name w:val="mw-headline"/>
    <w:basedOn w:val="DefaultParagraphFont"/>
    <w:rsid w:val="00ED6165"/>
  </w:style>
  <w:style w:type="character" w:customStyle="1" w:styleId="title-text">
    <w:name w:val="title-text"/>
    <w:basedOn w:val="DefaultParagraphFont"/>
    <w:rsid w:val="00285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1635">
      <w:bodyDiv w:val="1"/>
      <w:marLeft w:val="0"/>
      <w:marRight w:val="0"/>
      <w:marTop w:val="0"/>
      <w:marBottom w:val="0"/>
      <w:divBdr>
        <w:top w:val="none" w:sz="0" w:space="0" w:color="auto"/>
        <w:left w:val="none" w:sz="0" w:space="0" w:color="auto"/>
        <w:bottom w:val="none" w:sz="0" w:space="0" w:color="auto"/>
        <w:right w:val="none" w:sz="0" w:space="0" w:color="auto"/>
      </w:divBdr>
    </w:div>
    <w:div w:id="110831127">
      <w:bodyDiv w:val="1"/>
      <w:marLeft w:val="0"/>
      <w:marRight w:val="0"/>
      <w:marTop w:val="0"/>
      <w:marBottom w:val="0"/>
      <w:divBdr>
        <w:top w:val="none" w:sz="0" w:space="0" w:color="auto"/>
        <w:left w:val="none" w:sz="0" w:space="0" w:color="auto"/>
        <w:bottom w:val="none" w:sz="0" w:space="0" w:color="auto"/>
        <w:right w:val="none" w:sz="0" w:space="0" w:color="auto"/>
      </w:divBdr>
    </w:div>
    <w:div w:id="129830863">
      <w:bodyDiv w:val="1"/>
      <w:marLeft w:val="0"/>
      <w:marRight w:val="0"/>
      <w:marTop w:val="0"/>
      <w:marBottom w:val="0"/>
      <w:divBdr>
        <w:top w:val="none" w:sz="0" w:space="0" w:color="auto"/>
        <w:left w:val="none" w:sz="0" w:space="0" w:color="auto"/>
        <w:bottom w:val="none" w:sz="0" w:space="0" w:color="auto"/>
        <w:right w:val="none" w:sz="0" w:space="0" w:color="auto"/>
      </w:divBdr>
    </w:div>
    <w:div w:id="192546789">
      <w:bodyDiv w:val="1"/>
      <w:marLeft w:val="0"/>
      <w:marRight w:val="0"/>
      <w:marTop w:val="0"/>
      <w:marBottom w:val="0"/>
      <w:divBdr>
        <w:top w:val="none" w:sz="0" w:space="0" w:color="auto"/>
        <w:left w:val="none" w:sz="0" w:space="0" w:color="auto"/>
        <w:bottom w:val="none" w:sz="0" w:space="0" w:color="auto"/>
        <w:right w:val="none" w:sz="0" w:space="0" w:color="auto"/>
      </w:divBdr>
    </w:div>
    <w:div w:id="257763454">
      <w:bodyDiv w:val="1"/>
      <w:marLeft w:val="0"/>
      <w:marRight w:val="0"/>
      <w:marTop w:val="0"/>
      <w:marBottom w:val="0"/>
      <w:divBdr>
        <w:top w:val="none" w:sz="0" w:space="0" w:color="auto"/>
        <w:left w:val="none" w:sz="0" w:space="0" w:color="auto"/>
        <w:bottom w:val="none" w:sz="0" w:space="0" w:color="auto"/>
        <w:right w:val="none" w:sz="0" w:space="0" w:color="auto"/>
      </w:divBdr>
    </w:div>
    <w:div w:id="283662427">
      <w:bodyDiv w:val="1"/>
      <w:marLeft w:val="0"/>
      <w:marRight w:val="0"/>
      <w:marTop w:val="0"/>
      <w:marBottom w:val="0"/>
      <w:divBdr>
        <w:top w:val="none" w:sz="0" w:space="0" w:color="auto"/>
        <w:left w:val="none" w:sz="0" w:space="0" w:color="auto"/>
        <w:bottom w:val="none" w:sz="0" w:space="0" w:color="auto"/>
        <w:right w:val="none" w:sz="0" w:space="0" w:color="auto"/>
      </w:divBdr>
    </w:div>
    <w:div w:id="313217181">
      <w:bodyDiv w:val="1"/>
      <w:marLeft w:val="0"/>
      <w:marRight w:val="0"/>
      <w:marTop w:val="0"/>
      <w:marBottom w:val="0"/>
      <w:divBdr>
        <w:top w:val="none" w:sz="0" w:space="0" w:color="auto"/>
        <w:left w:val="none" w:sz="0" w:space="0" w:color="auto"/>
        <w:bottom w:val="none" w:sz="0" w:space="0" w:color="auto"/>
        <w:right w:val="none" w:sz="0" w:space="0" w:color="auto"/>
      </w:divBdr>
    </w:div>
    <w:div w:id="322859670">
      <w:bodyDiv w:val="1"/>
      <w:marLeft w:val="0"/>
      <w:marRight w:val="0"/>
      <w:marTop w:val="0"/>
      <w:marBottom w:val="0"/>
      <w:divBdr>
        <w:top w:val="none" w:sz="0" w:space="0" w:color="auto"/>
        <w:left w:val="none" w:sz="0" w:space="0" w:color="auto"/>
        <w:bottom w:val="none" w:sz="0" w:space="0" w:color="auto"/>
        <w:right w:val="none" w:sz="0" w:space="0" w:color="auto"/>
      </w:divBdr>
    </w:div>
    <w:div w:id="435953485">
      <w:bodyDiv w:val="1"/>
      <w:marLeft w:val="0"/>
      <w:marRight w:val="0"/>
      <w:marTop w:val="0"/>
      <w:marBottom w:val="0"/>
      <w:divBdr>
        <w:top w:val="none" w:sz="0" w:space="0" w:color="auto"/>
        <w:left w:val="none" w:sz="0" w:space="0" w:color="auto"/>
        <w:bottom w:val="none" w:sz="0" w:space="0" w:color="auto"/>
        <w:right w:val="none" w:sz="0" w:space="0" w:color="auto"/>
      </w:divBdr>
    </w:div>
    <w:div w:id="451946005">
      <w:bodyDiv w:val="1"/>
      <w:marLeft w:val="0"/>
      <w:marRight w:val="0"/>
      <w:marTop w:val="0"/>
      <w:marBottom w:val="0"/>
      <w:divBdr>
        <w:top w:val="none" w:sz="0" w:space="0" w:color="auto"/>
        <w:left w:val="none" w:sz="0" w:space="0" w:color="auto"/>
        <w:bottom w:val="none" w:sz="0" w:space="0" w:color="auto"/>
        <w:right w:val="none" w:sz="0" w:space="0" w:color="auto"/>
      </w:divBdr>
    </w:div>
    <w:div w:id="522985287">
      <w:bodyDiv w:val="1"/>
      <w:marLeft w:val="0"/>
      <w:marRight w:val="0"/>
      <w:marTop w:val="0"/>
      <w:marBottom w:val="0"/>
      <w:divBdr>
        <w:top w:val="none" w:sz="0" w:space="0" w:color="auto"/>
        <w:left w:val="none" w:sz="0" w:space="0" w:color="auto"/>
        <w:bottom w:val="none" w:sz="0" w:space="0" w:color="auto"/>
        <w:right w:val="none" w:sz="0" w:space="0" w:color="auto"/>
      </w:divBdr>
    </w:div>
    <w:div w:id="657729073">
      <w:bodyDiv w:val="1"/>
      <w:marLeft w:val="0"/>
      <w:marRight w:val="0"/>
      <w:marTop w:val="0"/>
      <w:marBottom w:val="0"/>
      <w:divBdr>
        <w:top w:val="none" w:sz="0" w:space="0" w:color="auto"/>
        <w:left w:val="none" w:sz="0" w:space="0" w:color="auto"/>
        <w:bottom w:val="none" w:sz="0" w:space="0" w:color="auto"/>
        <w:right w:val="none" w:sz="0" w:space="0" w:color="auto"/>
      </w:divBdr>
    </w:div>
    <w:div w:id="682627387">
      <w:bodyDiv w:val="1"/>
      <w:marLeft w:val="0"/>
      <w:marRight w:val="0"/>
      <w:marTop w:val="0"/>
      <w:marBottom w:val="0"/>
      <w:divBdr>
        <w:top w:val="none" w:sz="0" w:space="0" w:color="auto"/>
        <w:left w:val="none" w:sz="0" w:space="0" w:color="auto"/>
        <w:bottom w:val="none" w:sz="0" w:space="0" w:color="auto"/>
        <w:right w:val="none" w:sz="0" w:space="0" w:color="auto"/>
      </w:divBdr>
    </w:div>
    <w:div w:id="695624023">
      <w:bodyDiv w:val="1"/>
      <w:marLeft w:val="0"/>
      <w:marRight w:val="0"/>
      <w:marTop w:val="0"/>
      <w:marBottom w:val="0"/>
      <w:divBdr>
        <w:top w:val="none" w:sz="0" w:space="0" w:color="auto"/>
        <w:left w:val="none" w:sz="0" w:space="0" w:color="auto"/>
        <w:bottom w:val="none" w:sz="0" w:space="0" w:color="auto"/>
        <w:right w:val="none" w:sz="0" w:space="0" w:color="auto"/>
      </w:divBdr>
    </w:div>
    <w:div w:id="704478264">
      <w:bodyDiv w:val="1"/>
      <w:marLeft w:val="0"/>
      <w:marRight w:val="0"/>
      <w:marTop w:val="0"/>
      <w:marBottom w:val="0"/>
      <w:divBdr>
        <w:top w:val="none" w:sz="0" w:space="0" w:color="auto"/>
        <w:left w:val="none" w:sz="0" w:space="0" w:color="auto"/>
        <w:bottom w:val="none" w:sz="0" w:space="0" w:color="auto"/>
        <w:right w:val="none" w:sz="0" w:space="0" w:color="auto"/>
      </w:divBdr>
    </w:div>
    <w:div w:id="777454468">
      <w:bodyDiv w:val="1"/>
      <w:marLeft w:val="0"/>
      <w:marRight w:val="0"/>
      <w:marTop w:val="0"/>
      <w:marBottom w:val="0"/>
      <w:divBdr>
        <w:top w:val="none" w:sz="0" w:space="0" w:color="auto"/>
        <w:left w:val="none" w:sz="0" w:space="0" w:color="auto"/>
        <w:bottom w:val="none" w:sz="0" w:space="0" w:color="auto"/>
        <w:right w:val="none" w:sz="0" w:space="0" w:color="auto"/>
      </w:divBdr>
    </w:div>
    <w:div w:id="880440500">
      <w:bodyDiv w:val="1"/>
      <w:marLeft w:val="0"/>
      <w:marRight w:val="0"/>
      <w:marTop w:val="0"/>
      <w:marBottom w:val="0"/>
      <w:divBdr>
        <w:top w:val="none" w:sz="0" w:space="0" w:color="auto"/>
        <w:left w:val="none" w:sz="0" w:space="0" w:color="auto"/>
        <w:bottom w:val="none" w:sz="0" w:space="0" w:color="auto"/>
        <w:right w:val="none" w:sz="0" w:space="0" w:color="auto"/>
      </w:divBdr>
    </w:div>
    <w:div w:id="1073428404">
      <w:bodyDiv w:val="1"/>
      <w:marLeft w:val="0"/>
      <w:marRight w:val="0"/>
      <w:marTop w:val="0"/>
      <w:marBottom w:val="0"/>
      <w:divBdr>
        <w:top w:val="none" w:sz="0" w:space="0" w:color="auto"/>
        <w:left w:val="none" w:sz="0" w:space="0" w:color="auto"/>
        <w:bottom w:val="none" w:sz="0" w:space="0" w:color="auto"/>
        <w:right w:val="none" w:sz="0" w:space="0" w:color="auto"/>
      </w:divBdr>
    </w:div>
    <w:div w:id="1108694609">
      <w:bodyDiv w:val="1"/>
      <w:marLeft w:val="0"/>
      <w:marRight w:val="0"/>
      <w:marTop w:val="0"/>
      <w:marBottom w:val="0"/>
      <w:divBdr>
        <w:top w:val="none" w:sz="0" w:space="0" w:color="auto"/>
        <w:left w:val="none" w:sz="0" w:space="0" w:color="auto"/>
        <w:bottom w:val="none" w:sz="0" w:space="0" w:color="auto"/>
        <w:right w:val="none" w:sz="0" w:space="0" w:color="auto"/>
      </w:divBdr>
    </w:div>
    <w:div w:id="1199052811">
      <w:bodyDiv w:val="1"/>
      <w:marLeft w:val="0"/>
      <w:marRight w:val="0"/>
      <w:marTop w:val="0"/>
      <w:marBottom w:val="0"/>
      <w:divBdr>
        <w:top w:val="none" w:sz="0" w:space="0" w:color="auto"/>
        <w:left w:val="none" w:sz="0" w:space="0" w:color="auto"/>
        <w:bottom w:val="none" w:sz="0" w:space="0" w:color="auto"/>
        <w:right w:val="none" w:sz="0" w:space="0" w:color="auto"/>
      </w:divBdr>
    </w:div>
    <w:div w:id="1222519066">
      <w:bodyDiv w:val="1"/>
      <w:marLeft w:val="0"/>
      <w:marRight w:val="0"/>
      <w:marTop w:val="0"/>
      <w:marBottom w:val="0"/>
      <w:divBdr>
        <w:top w:val="none" w:sz="0" w:space="0" w:color="auto"/>
        <w:left w:val="none" w:sz="0" w:space="0" w:color="auto"/>
        <w:bottom w:val="none" w:sz="0" w:space="0" w:color="auto"/>
        <w:right w:val="none" w:sz="0" w:space="0" w:color="auto"/>
      </w:divBdr>
    </w:div>
    <w:div w:id="1298417588">
      <w:bodyDiv w:val="1"/>
      <w:marLeft w:val="0"/>
      <w:marRight w:val="0"/>
      <w:marTop w:val="0"/>
      <w:marBottom w:val="0"/>
      <w:divBdr>
        <w:top w:val="none" w:sz="0" w:space="0" w:color="auto"/>
        <w:left w:val="none" w:sz="0" w:space="0" w:color="auto"/>
        <w:bottom w:val="none" w:sz="0" w:space="0" w:color="auto"/>
        <w:right w:val="none" w:sz="0" w:space="0" w:color="auto"/>
      </w:divBdr>
    </w:div>
    <w:div w:id="1320770395">
      <w:bodyDiv w:val="1"/>
      <w:marLeft w:val="0"/>
      <w:marRight w:val="0"/>
      <w:marTop w:val="0"/>
      <w:marBottom w:val="0"/>
      <w:divBdr>
        <w:top w:val="none" w:sz="0" w:space="0" w:color="auto"/>
        <w:left w:val="none" w:sz="0" w:space="0" w:color="auto"/>
        <w:bottom w:val="none" w:sz="0" w:space="0" w:color="auto"/>
        <w:right w:val="none" w:sz="0" w:space="0" w:color="auto"/>
      </w:divBdr>
    </w:div>
    <w:div w:id="1406951673">
      <w:bodyDiv w:val="1"/>
      <w:marLeft w:val="0"/>
      <w:marRight w:val="0"/>
      <w:marTop w:val="0"/>
      <w:marBottom w:val="0"/>
      <w:divBdr>
        <w:top w:val="none" w:sz="0" w:space="0" w:color="auto"/>
        <w:left w:val="none" w:sz="0" w:space="0" w:color="auto"/>
        <w:bottom w:val="none" w:sz="0" w:space="0" w:color="auto"/>
        <w:right w:val="none" w:sz="0" w:space="0" w:color="auto"/>
      </w:divBdr>
    </w:div>
    <w:div w:id="1488401919">
      <w:bodyDiv w:val="1"/>
      <w:marLeft w:val="0"/>
      <w:marRight w:val="0"/>
      <w:marTop w:val="0"/>
      <w:marBottom w:val="0"/>
      <w:divBdr>
        <w:top w:val="none" w:sz="0" w:space="0" w:color="auto"/>
        <w:left w:val="none" w:sz="0" w:space="0" w:color="auto"/>
        <w:bottom w:val="none" w:sz="0" w:space="0" w:color="auto"/>
        <w:right w:val="none" w:sz="0" w:space="0" w:color="auto"/>
      </w:divBdr>
    </w:div>
    <w:div w:id="1495294313">
      <w:bodyDiv w:val="1"/>
      <w:marLeft w:val="0"/>
      <w:marRight w:val="0"/>
      <w:marTop w:val="0"/>
      <w:marBottom w:val="0"/>
      <w:divBdr>
        <w:top w:val="none" w:sz="0" w:space="0" w:color="auto"/>
        <w:left w:val="none" w:sz="0" w:space="0" w:color="auto"/>
        <w:bottom w:val="none" w:sz="0" w:space="0" w:color="auto"/>
        <w:right w:val="none" w:sz="0" w:space="0" w:color="auto"/>
      </w:divBdr>
    </w:div>
    <w:div w:id="1496459611">
      <w:bodyDiv w:val="1"/>
      <w:marLeft w:val="0"/>
      <w:marRight w:val="0"/>
      <w:marTop w:val="0"/>
      <w:marBottom w:val="0"/>
      <w:divBdr>
        <w:top w:val="none" w:sz="0" w:space="0" w:color="auto"/>
        <w:left w:val="none" w:sz="0" w:space="0" w:color="auto"/>
        <w:bottom w:val="none" w:sz="0" w:space="0" w:color="auto"/>
        <w:right w:val="none" w:sz="0" w:space="0" w:color="auto"/>
      </w:divBdr>
    </w:div>
    <w:div w:id="1685747926">
      <w:bodyDiv w:val="1"/>
      <w:marLeft w:val="0"/>
      <w:marRight w:val="0"/>
      <w:marTop w:val="0"/>
      <w:marBottom w:val="0"/>
      <w:divBdr>
        <w:top w:val="none" w:sz="0" w:space="0" w:color="auto"/>
        <w:left w:val="none" w:sz="0" w:space="0" w:color="auto"/>
        <w:bottom w:val="none" w:sz="0" w:space="0" w:color="auto"/>
        <w:right w:val="none" w:sz="0" w:space="0" w:color="auto"/>
      </w:divBdr>
    </w:div>
    <w:div w:id="1707480882">
      <w:bodyDiv w:val="1"/>
      <w:marLeft w:val="0"/>
      <w:marRight w:val="0"/>
      <w:marTop w:val="0"/>
      <w:marBottom w:val="0"/>
      <w:divBdr>
        <w:top w:val="none" w:sz="0" w:space="0" w:color="auto"/>
        <w:left w:val="none" w:sz="0" w:space="0" w:color="auto"/>
        <w:bottom w:val="none" w:sz="0" w:space="0" w:color="auto"/>
        <w:right w:val="none" w:sz="0" w:space="0" w:color="auto"/>
      </w:divBdr>
    </w:div>
    <w:div w:id="1762098779">
      <w:bodyDiv w:val="1"/>
      <w:marLeft w:val="0"/>
      <w:marRight w:val="0"/>
      <w:marTop w:val="0"/>
      <w:marBottom w:val="0"/>
      <w:divBdr>
        <w:top w:val="none" w:sz="0" w:space="0" w:color="auto"/>
        <w:left w:val="none" w:sz="0" w:space="0" w:color="auto"/>
        <w:bottom w:val="none" w:sz="0" w:space="0" w:color="auto"/>
        <w:right w:val="none" w:sz="0" w:space="0" w:color="auto"/>
      </w:divBdr>
    </w:div>
    <w:div w:id="1830900232">
      <w:bodyDiv w:val="1"/>
      <w:marLeft w:val="0"/>
      <w:marRight w:val="0"/>
      <w:marTop w:val="0"/>
      <w:marBottom w:val="0"/>
      <w:divBdr>
        <w:top w:val="none" w:sz="0" w:space="0" w:color="auto"/>
        <w:left w:val="none" w:sz="0" w:space="0" w:color="auto"/>
        <w:bottom w:val="none" w:sz="0" w:space="0" w:color="auto"/>
        <w:right w:val="none" w:sz="0" w:space="0" w:color="auto"/>
      </w:divBdr>
    </w:div>
    <w:div w:id="1936550695">
      <w:bodyDiv w:val="1"/>
      <w:marLeft w:val="0"/>
      <w:marRight w:val="0"/>
      <w:marTop w:val="0"/>
      <w:marBottom w:val="0"/>
      <w:divBdr>
        <w:top w:val="none" w:sz="0" w:space="0" w:color="auto"/>
        <w:left w:val="none" w:sz="0" w:space="0" w:color="auto"/>
        <w:bottom w:val="none" w:sz="0" w:space="0" w:color="auto"/>
        <w:right w:val="none" w:sz="0" w:space="0" w:color="auto"/>
      </w:divBdr>
    </w:div>
    <w:div w:id="1992516741">
      <w:bodyDiv w:val="1"/>
      <w:marLeft w:val="0"/>
      <w:marRight w:val="0"/>
      <w:marTop w:val="0"/>
      <w:marBottom w:val="0"/>
      <w:divBdr>
        <w:top w:val="none" w:sz="0" w:space="0" w:color="auto"/>
        <w:left w:val="none" w:sz="0" w:space="0" w:color="auto"/>
        <w:bottom w:val="none" w:sz="0" w:space="0" w:color="auto"/>
        <w:right w:val="none" w:sz="0" w:space="0" w:color="auto"/>
      </w:divBdr>
    </w:div>
    <w:div w:id="206362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tga.gov.au" TargetMode="External"/><Relationship Id="rId47"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hyperlink" Target="https://www.tga.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18424\t0QF64AU.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59083-3854-45A7-9CE9-4EAFF6AA6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t0QF64AU</Template>
  <TotalTime>1</TotalTime>
  <Pages>91</Pages>
  <Words>33467</Words>
  <Characters>186748</Characters>
  <Application>Microsoft Office Word</Application>
  <DocSecurity>0</DocSecurity>
  <Lines>3973</Lines>
  <Paragraphs>1914</Paragraphs>
  <ScaleCrop>false</ScaleCrop>
  <HeadingPairs>
    <vt:vector size="2" baseType="variant">
      <vt:variant>
        <vt:lpstr>Title</vt:lpstr>
      </vt:variant>
      <vt:variant>
        <vt:i4>1</vt:i4>
      </vt:variant>
    </vt:vector>
  </HeadingPairs>
  <TitlesOfParts>
    <vt:vector size="1" baseType="lpstr">
      <vt:lpstr>Australian public assessment for Idebenone</vt:lpstr>
    </vt:vector>
  </TitlesOfParts>
  <Company>Department of Health Therapeutic Goods Administration</Company>
  <LinksUpToDate>false</LinksUpToDate>
  <CharactersWithSpaces>218301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Idebenone</dc:title>
  <dc:subject>prescription medicines</dc:subject>
  <dc:creator>Therapeutic Goods Administration</dc:creator>
  <cp:keywords>AusPARs</cp:keywords>
  <cp:lastModifiedBy>LACK, Janet</cp:lastModifiedBy>
  <cp:revision>3</cp:revision>
  <cp:lastPrinted>2015-09-22T23:39:00Z</cp:lastPrinted>
  <dcterms:created xsi:type="dcterms:W3CDTF">2020-02-16T23:42:00Z</dcterms:created>
  <dcterms:modified xsi:type="dcterms:W3CDTF">2020-02-17T03:30:00Z</dcterms:modified>
  <cp:category/>
</cp:coreProperties>
</file>