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tblGrid>
      <w:tr w:rsidR="008E7846" w:rsidRPr="00487162" w:rsidTr="00134868">
        <w:trPr>
          <w:trHeight w:val="1863"/>
        </w:trPr>
        <w:tc>
          <w:tcPr>
            <w:tcW w:w="4077" w:type="dxa"/>
            <w:tcBorders>
              <w:top w:val="nil"/>
              <w:left w:val="nil"/>
              <w:bottom w:val="nil"/>
              <w:right w:val="nil"/>
            </w:tcBorders>
          </w:tcPr>
          <w:p w:rsidR="008E7846" w:rsidRPr="00487162" w:rsidRDefault="00BF6DA2" w:rsidP="00E45619">
            <w:pPr>
              <w:rPr>
                <w:rFonts w:ascii="Arial" w:hAnsi="Arial" w:cs="Arial"/>
                <w:b/>
                <w:color w:val="002C47"/>
                <w:sz w:val="36"/>
                <w:szCs w:val="36"/>
              </w:rPr>
            </w:pPr>
            <w:r>
              <w:rPr>
                <w:rFonts w:ascii="Arial" w:hAnsi="Arial" w:cs="Arial"/>
                <w:b/>
                <w:noProof/>
                <w:color w:val="002C47"/>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13303" o:spid="_x0000_s1027" type="#_x0000_t136" style="position:absolute;margin-left:0;margin-top:0;width:535.5pt;height:202.5pt;rotation:315;z-index:-251658752;mso-position-horizontal:center;mso-position-horizontal-relative:margin;mso-position-vertical:center;mso-position-vertical-relative:margin" o:allowincell="f" fillcolor="#4a8485" stroked="f">
                  <v:fill opacity=".5"/>
                  <v:textpath style="font-family:&quot;Arial Black&quot;;font-size:2in" string=" "/>
                  <w10:wrap anchorx="margin" anchory="margin"/>
                </v:shape>
              </w:pict>
            </w:r>
            <w:r w:rsidR="00B3281F">
              <w:rPr>
                <w:rFonts w:ascii="Arial" w:hAnsi="Arial" w:cs="Arial"/>
                <w:b/>
                <w:color w:val="002C47"/>
                <w:sz w:val="36"/>
                <w:szCs w:val="36"/>
              </w:rPr>
              <w:t>June</w:t>
            </w:r>
            <w:r w:rsidR="00EB608D">
              <w:rPr>
                <w:rFonts w:ascii="Arial" w:hAnsi="Arial" w:cs="Arial"/>
                <w:b/>
                <w:color w:val="002C47"/>
                <w:sz w:val="36"/>
                <w:szCs w:val="36"/>
              </w:rPr>
              <w:t xml:space="preserve"> 20</w:t>
            </w:r>
            <w:r w:rsidR="00694EE6">
              <w:rPr>
                <w:rFonts w:ascii="Arial" w:hAnsi="Arial" w:cs="Arial"/>
                <w:b/>
                <w:color w:val="002C47"/>
                <w:sz w:val="36"/>
                <w:szCs w:val="36"/>
              </w:rPr>
              <w:t>13</w:t>
            </w:r>
          </w:p>
          <w:p w:rsidR="008E7846" w:rsidRPr="00487162" w:rsidRDefault="008E7846" w:rsidP="00E45619">
            <w:pPr>
              <w:pStyle w:val="Date"/>
              <w:jc w:val="right"/>
              <w:rPr>
                <w:color w:val="006DA7"/>
              </w:rPr>
            </w:pP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rPr>
            </w:pPr>
            <w:r w:rsidRPr="00A964D1">
              <w:rPr>
                <w:color w:val="FFFFFF"/>
              </w:rPr>
              <w:t>Austral</w:t>
            </w:r>
            <w:r w:rsidR="003173D7">
              <w:rPr>
                <w:color w:val="FFFFFF"/>
              </w:rPr>
              <w:t>ian Public Assessment Report for</w:t>
            </w:r>
            <w:r w:rsidR="00694EE6">
              <w:rPr>
                <w:color w:val="FFFFFF"/>
              </w:rPr>
              <w:t xml:space="preserve"> </w:t>
            </w:r>
            <w:proofErr w:type="spellStart"/>
            <w:r w:rsidR="00694EE6" w:rsidRPr="00694EE6">
              <w:rPr>
                <w:color w:val="FFFFFF"/>
              </w:rPr>
              <w:t>imatinib</w:t>
            </w:r>
            <w:proofErr w:type="spellEnd"/>
            <w:r w:rsidR="00694EE6" w:rsidRPr="00694EE6">
              <w:rPr>
                <w:color w:val="FFFFFF"/>
              </w:rPr>
              <w:t xml:space="preserve"> (as </w:t>
            </w:r>
            <w:proofErr w:type="spellStart"/>
            <w:r w:rsidR="00694EE6" w:rsidRPr="00694EE6">
              <w:rPr>
                <w:color w:val="FFFFFF"/>
              </w:rPr>
              <w:t>mesylate</w:t>
            </w:r>
            <w:proofErr w:type="spellEnd"/>
            <w:r w:rsidR="00694EE6" w:rsidRPr="00694EE6">
              <w:rPr>
                <w:color w:val="FFFFFF"/>
              </w:rPr>
              <w:t>)</w:t>
            </w:r>
          </w:p>
        </w:tc>
      </w:tr>
      <w:tr w:rsidR="0032583B" w:rsidRPr="00B64760" w:rsidTr="0032583B">
        <w:tc>
          <w:tcPr>
            <w:tcW w:w="9079" w:type="dxa"/>
          </w:tcPr>
          <w:p w:rsidR="0032583B" w:rsidRPr="008E7846" w:rsidRDefault="0084561D" w:rsidP="00973C1B">
            <w:pPr>
              <w:pStyle w:val="Subtitle"/>
              <w:ind w:left="0"/>
              <w:rPr>
                <w:color w:val="FFFFFF"/>
              </w:rPr>
            </w:pPr>
            <w:r>
              <w:rPr>
                <w:color w:val="FFFFFF"/>
              </w:rPr>
              <w:t xml:space="preserve">Proprietary Product Name: </w:t>
            </w:r>
            <w:proofErr w:type="spellStart"/>
            <w:r w:rsidR="00694EE6">
              <w:rPr>
                <w:color w:val="FFFFFF"/>
              </w:rPr>
              <w:t>Glivec</w:t>
            </w:r>
            <w:proofErr w:type="spellEnd"/>
          </w:p>
        </w:tc>
      </w:tr>
      <w:tr w:rsidR="0032583B" w:rsidRPr="00B64760" w:rsidTr="0032583B">
        <w:trPr>
          <w:trHeight w:val="486"/>
        </w:trPr>
        <w:tc>
          <w:tcPr>
            <w:tcW w:w="9079" w:type="dxa"/>
          </w:tcPr>
          <w:p w:rsidR="0032583B" w:rsidRPr="008E7846" w:rsidRDefault="00694EE6" w:rsidP="00973C1B">
            <w:pPr>
              <w:pStyle w:val="Subtitle"/>
              <w:ind w:left="0"/>
              <w:rPr>
                <w:color w:val="FFFFFF"/>
              </w:rPr>
            </w:pPr>
            <w:r>
              <w:rPr>
                <w:color w:val="FFFFFF"/>
              </w:rPr>
              <w:t xml:space="preserve">Sponsor: </w:t>
            </w:r>
            <w:r w:rsidRPr="00694EE6">
              <w:rPr>
                <w:color w:val="FFFFFF"/>
              </w:rPr>
              <w:t>Novartis Pharmaceuticals Australia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A92358"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206F89" w:rsidRPr="009F1EB0">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sidR="009E1510">
        <w:rPr>
          <w:rFonts w:cs="Arial"/>
          <w:lang w:val="en-GB"/>
        </w:rPr>
        <w:t>onwealth of Australia 2013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247691501"/>
      <w:bookmarkStart w:id="1" w:name="_Toc196046425"/>
      <w:r w:rsidRPr="0010788A">
        <w:lastRenderedPageBreak/>
        <w:t>Contents</w:t>
      </w:r>
    </w:p>
    <w:p w:rsidR="001579CC" w:rsidRDefault="00BF6DA2">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1309708" w:history="1">
        <w:r w:rsidR="001579CC" w:rsidRPr="00AE169E">
          <w:rPr>
            <w:rStyle w:val="Hyperlink"/>
            <w:noProof/>
          </w:rPr>
          <w:t>I. Introduction to product submission</w:t>
        </w:r>
        <w:r w:rsidR="001579CC">
          <w:rPr>
            <w:noProof/>
            <w:webHidden/>
          </w:rPr>
          <w:tab/>
        </w:r>
        <w:r w:rsidR="001579CC">
          <w:rPr>
            <w:noProof/>
            <w:webHidden/>
          </w:rPr>
          <w:fldChar w:fldCharType="begin"/>
        </w:r>
        <w:r w:rsidR="001579CC">
          <w:rPr>
            <w:noProof/>
            <w:webHidden/>
          </w:rPr>
          <w:instrText xml:space="preserve"> PAGEREF _Toc361309708 \h </w:instrText>
        </w:r>
        <w:r w:rsidR="001579CC">
          <w:rPr>
            <w:noProof/>
            <w:webHidden/>
          </w:rPr>
        </w:r>
        <w:r w:rsidR="001579CC">
          <w:rPr>
            <w:noProof/>
            <w:webHidden/>
          </w:rPr>
          <w:fldChar w:fldCharType="separate"/>
        </w:r>
        <w:r w:rsidR="001579CC">
          <w:rPr>
            <w:noProof/>
            <w:webHidden/>
          </w:rPr>
          <w:t>4</w:t>
        </w:r>
        <w:r w:rsidR="001579CC">
          <w:rPr>
            <w:noProof/>
            <w:webHidden/>
          </w:rPr>
          <w:fldChar w:fldCharType="end"/>
        </w:r>
      </w:hyperlink>
    </w:p>
    <w:p w:rsidR="001579CC" w:rsidRDefault="001579CC">
      <w:pPr>
        <w:pStyle w:val="TOC3"/>
        <w:rPr>
          <w:rFonts w:asciiTheme="minorHAnsi" w:eastAsiaTheme="minorEastAsia" w:hAnsiTheme="minorHAnsi" w:cstheme="minorBidi"/>
          <w:noProof/>
          <w:lang w:eastAsia="en-AU"/>
        </w:rPr>
      </w:pPr>
      <w:hyperlink w:anchor="_Toc361309709" w:history="1">
        <w:r w:rsidRPr="00AE169E">
          <w:rPr>
            <w:rStyle w:val="Hyperlink"/>
            <w:noProof/>
            <w:lang w:eastAsia="en-AU"/>
          </w:rPr>
          <w:t>Submission details</w:t>
        </w:r>
        <w:r>
          <w:rPr>
            <w:noProof/>
            <w:webHidden/>
          </w:rPr>
          <w:tab/>
        </w:r>
        <w:r>
          <w:rPr>
            <w:noProof/>
            <w:webHidden/>
          </w:rPr>
          <w:fldChar w:fldCharType="begin"/>
        </w:r>
        <w:r>
          <w:rPr>
            <w:noProof/>
            <w:webHidden/>
          </w:rPr>
          <w:instrText xml:space="preserve"> PAGEREF _Toc361309709 \h </w:instrText>
        </w:r>
        <w:r>
          <w:rPr>
            <w:noProof/>
            <w:webHidden/>
          </w:rPr>
        </w:r>
        <w:r>
          <w:rPr>
            <w:noProof/>
            <w:webHidden/>
          </w:rPr>
          <w:fldChar w:fldCharType="separate"/>
        </w:r>
        <w:r>
          <w:rPr>
            <w:noProof/>
            <w:webHidden/>
          </w:rPr>
          <w:t>4</w:t>
        </w:r>
        <w:r>
          <w:rPr>
            <w:noProof/>
            <w:webHidden/>
          </w:rPr>
          <w:fldChar w:fldCharType="end"/>
        </w:r>
      </w:hyperlink>
    </w:p>
    <w:p w:rsidR="001579CC" w:rsidRDefault="001579CC">
      <w:pPr>
        <w:pStyle w:val="TOC3"/>
        <w:rPr>
          <w:rFonts w:asciiTheme="minorHAnsi" w:eastAsiaTheme="minorEastAsia" w:hAnsiTheme="minorHAnsi" w:cstheme="minorBidi"/>
          <w:noProof/>
          <w:lang w:eastAsia="en-AU"/>
        </w:rPr>
      </w:pPr>
      <w:hyperlink w:anchor="_Toc361309710" w:history="1">
        <w:r w:rsidRPr="00AE169E">
          <w:rPr>
            <w:rStyle w:val="Hyperlink"/>
            <w:noProof/>
          </w:rPr>
          <w:t>Product background</w:t>
        </w:r>
        <w:r>
          <w:rPr>
            <w:noProof/>
            <w:webHidden/>
          </w:rPr>
          <w:tab/>
        </w:r>
        <w:r>
          <w:rPr>
            <w:noProof/>
            <w:webHidden/>
          </w:rPr>
          <w:fldChar w:fldCharType="begin"/>
        </w:r>
        <w:r>
          <w:rPr>
            <w:noProof/>
            <w:webHidden/>
          </w:rPr>
          <w:instrText xml:space="preserve"> PAGEREF _Toc361309710 \h </w:instrText>
        </w:r>
        <w:r>
          <w:rPr>
            <w:noProof/>
            <w:webHidden/>
          </w:rPr>
        </w:r>
        <w:r>
          <w:rPr>
            <w:noProof/>
            <w:webHidden/>
          </w:rPr>
          <w:fldChar w:fldCharType="separate"/>
        </w:r>
        <w:r>
          <w:rPr>
            <w:noProof/>
            <w:webHidden/>
          </w:rPr>
          <w:t>5</w:t>
        </w:r>
        <w:r>
          <w:rPr>
            <w:noProof/>
            <w:webHidden/>
          </w:rPr>
          <w:fldChar w:fldCharType="end"/>
        </w:r>
      </w:hyperlink>
    </w:p>
    <w:p w:rsidR="001579CC" w:rsidRDefault="001579CC">
      <w:pPr>
        <w:pStyle w:val="TOC3"/>
        <w:rPr>
          <w:rFonts w:asciiTheme="minorHAnsi" w:eastAsiaTheme="minorEastAsia" w:hAnsiTheme="minorHAnsi" w:cstheme="minorBidi"/>
          <w:noProof/>
          <w:lang w:eastAsia="en-AU"/>
        </w:rPr>
      </w:pPr>
      <w:hyperlink w:anchor="_Toc361309711" w:history="1">
        <w:r w:rsidRPr="00AE169E">
          <w:rPr>
            <w:rStyle w:val="Hyperlink"/>
            <w:noProof/>
          </w:rPr>
          <w:t>Regulatory status</w:t>
        </w:r>
        <w:r>
          <w:rPr>
            <w:noProof/>
            <w:webHidden/>
          </w:rPr>
          <w:tab/>
        </w:r>
        <w:r>
          <w:rPr>
            <w:noProof/>
            <w:webHidden/>
          </w:rPr>
          <w:fldChar w:fldCharType="begin"/>
        </w:r>
        <w:r>
          <w:rPr>
            <w:noProof/>
            <w:webHidden/>
          </w:rPr>
          <w:instrText xml:space="preserve"> PAGEREF _Toc361309711 \h </w:instrText>
        </w:r>
        <w:r>
          <w:rPr>
            <w:noProof/>
            <w:webHidden/>
          </w:rPr>
        </w:r>
        <w:r>
          <w:rPr>
            <w:noProof/>
            <w:webHidden/>
          </w:rPr>
          <w:fldChar w:fldCharType="separate"/>
        </w:r>
        <w:r>
          <w:rPr>
            <w:noProof/>
            <w:webHidden/>
          </w:rPr>
          <w:t>6</w:t>
        </w:r>
        <w:r>
          <w:rPr>
            <w:noProof/>
            <w:webHidden/>
          </w:rPr>
          <w:fldChar w:fldCharType="end"/>
        </w:r>
      </w:hyperlink>
    </w:p>
    <w:p w:rsidR="001579CC" w:rsidRDefault="001579CC">
      <w:pPr>
        <w:pStyle w:val="TOC3"/>
        <w:rPr>
          <w:rFonts w:asciiTheme="minorHAnsi" w:eastAsiaTheme="minorEastAsia" w:hAnsiTheme="minorHAnsi" w:cstheme="minorBidi"/>
          <w:noProof/>
          <w:lang w:eastAsia="en-AU"/>
        </w:rPr>
      </w:pPr>
      <w:hyperlink w:anchor="_Toc361309712" w:history="1">
        <w:r w:rsidRPr="00AE169E">
          <w:rPr>
            <w:rStyle w:val="Hyperlink"/>
            <w:noProof/>
          </w:rPr>
          <w:t>Product Information</w:t>
        </w:r>
        <w:r>
          <w:rPr>
            <w:noProof/>
            <w:webHidden/>
          </w:rPr>
          <w:tab/>
        </w:r>
        <w:r>
          <w:rPr>
            <w:noProof/>
            <w:webHidden/>
          </w:rPr>
          <w:fldChar w:fldCharType="begin"/>
        </w:r>
        <w:r>
          <w:rPr>
            <w:noProof/>
            <w:webHidden/>
          </w:rPr>
          <w:instrText xml:space="preserve"> PAGEREF _Toc361309712 \h </w:instrText>
        </w:r>
        <w:r>
          <w:rPr>
            <w:noProof/>
            <w:webHidden/>
          </w:rPr>
        </w:r>
        <w:r>
          <w:rPr>
            <w:noProof/>
            <w:webHidden/>
          </w:rPr>
          <w:fldChar w:fldCharType="separate"/>
        </w:r>
        <w:r>
          <w:rPr>
            <w:noProof/>
            <w:webHidden/>
          </w:rPr>
          <w:t>7</w:t>
        </w:r>
        <w:r>
          <w:rPr>
            <w:noProof/>
            <w:webHidden/>
          </w:rPr>
          <w:fldChar w:fldCharType="end"/>
        </w:r>
      </w:hyperlink>
    </w:p>
    <w:p w:rsidR="001579CC" w:rsidRDefault="001579CC">
      <w:pPr>
        <w:pStyle w:val="TOC2"/>
        <w:rPr>
          <w:rFonts w:asciiTheme="minorHAnsi" w:eastAsiaTheme="minorEastAsia" w:hAnsiTheme="minorHAnsi" w:cstheme="minorBidi"/>
          <w:b w:val="0"/>
          <w:noProof/>
          <w:sz w:val="22"/>
          <w:lang w:eastAsia="en-AU"/>
        </w:rPr>
      </w:pPr>
      <w:hyperlink w:anchor="_Toc361309713" w:history="1">
        <w:r w:rsidRPr="00AE169E">
          <w:rPr>
            <w:rStyle w:val="Hyperlink"/>
            <w:noProof/>
          </w:rPr>
          <w:t>II. Quality findings</w:t>
        </w:r>
        <w:r>
          <w:rPr>
            <w:noProof/>
            <w:webHidden/>
          </w:rPr>
          <w:tab/>
        </w:r>
        <w:r>
          <w:rPr>
            <w:noProof/>
            <w:webHidden/>
          </w:rPr>
          <w:fldChar w:fldCharType="begin"/>
        </w:r>
        <w:r>
          <w:rPr>
            <w:noProof/>
            <w:webHidden/>
          </w:rPr>
          <w:instrText xml:space="preserve"> PAGEREF _Toc361309713 \h </w:instrText>
        </w:r>
        <w:r>
          <w:rPr>
            <w:noProof/>
            <w:webHidden/>
          </w:rPr>
        </w:r>
        <w:r>
          <w:rPr>
            <w:noProof/>
            <w:webHidden/>
          </w:rPr>
          <w:fldChar w:fldCharType="separate"/>
        </w:r>
        <w:r>
          <w:rPr>
            <w:noProof/>
            <w:webHidden/>
          </w:rPr>
          <w:t>7</w:t>
        </w:r>
        <w:r>
          <w:rPr>
            <w:noProof/>
            <w:webHidden/>
          </w:rPr>
          <w:fldChar w:fldCharType="end"/>
        </w:r>
      </w:hyperlink>
    </w:p>
    <w:p w:rsidR="001579CC" w:rsidRDefault="001579CC">
      <w:pPr>
        <w:pStyle w:val="TOC2"/>
        <w:rPr>
          <w:rFonts w:asciiTheme="minorHAnsi" w:eastAsiaTheme="minorEastAsia" w:hAnsiTheme="minorHAnsi" w:cstheme="minorBidi"/>
          <w:b w:val="0"/>
          <w:noProof/>
          <w:sz w:val="22"/>
          <w:lang w:eastAsia="en-AU"/>
        </w:rPr>
      </w:pPr>
      <w:hyperlink w:anchor="_Toc361309714" w:history="1">
        <w:r w:rsidRPr="00AE169E">
          <w:rPr>
            <w:rStyle w:val="Hyperlink"/>
            <w:noProof/>
          </w:rPr>
          <w:t>III. Nonclinical findings</w:t>
        </w:r>
        <w:r>
          <w:rPr>
            <w:noProof/>
            <w:webHidden/>
          </w:rPr>
          <w:tab/>
        </w:r>
        <w:r>
          <w:rPr>
            <w:noProof/>
            <w:webHidden/>
          </w:rPr>
          <w:fldChar w:fldCharType="begin"/>
        </w:r>
        <w:r>
          <w:rPr>
            <w:noProof/>
            <w:webHidden/>
          </w:rPr>
          <w:instrText xml:space="preserve"> PAGEREF _Toc361309714 \h </w:instrText>
        </w:r>
        <w:r>
          <w:rPr>
            <w:noProof/>
            <w:webHidden/>
          </w:rPr>
        </w:r>
        <w:r>
          <w:rPr>
            <w:noProof/>
            <w:webHidden/>
          </w:rPr>
          <w:fldChar w:fldCharType="separate"/>
        </w:r>
        <w:r>
          <w:rPr>
            <w:noProof/>
            <w:webHidden/>
          </w:rPr>
          <w:t>7</w:t>
        </w:r>
        <w:r>
          <w:rPr>
            <w:noProof/>
            <w:webHidden/>
          </w:rPr>
          <w:fldChar w:fldCharType="end"/>
        </w:r>
      </w:hyperlink>
    </w:p>
    <w:p w:rsidR="001579CC" w:rsidRDefault="001579CC">
      <w:pPr>
        <w:pStyle w:val="TOC3"/>
        <w:rPr>
          <w:rFonts w:asciiTheme="minorHAnsi" w:eastAsiaTheme="minorEastAsia" w:hAnsiTheme="minorHAnsi" w:cstheme="minorBidi"/>
          <w:noProof/>
          <w:lang w:eastAsia="en-AU"/>
        </w:rPr>
      </w:pPr>
      <w:hyperlink w:anchor="_Toc361309715" w:history="1">
        <w:r w:rsidRPr="00AE169E">
          <w:rPr>
            <w:rStyle w:val="Hyperlink"/>
            <w:noProof/>
          </w:rPr>
          <w:t>Introduction</w:t>
        </w:r>
        <w:r>
          <w:rPr>
            <w:noProof/>
            <w:webHidden/>
          </w:rPr>
          <w:tab/>
        </w:r>
        <w:r>
          <w:rPr>
            <w:noProof/>
            <w:webHidden/>
          </w:rPr>
          <w:fldChar w:fldCharType="begin"/>
        </w:r>
        <w:r>
          <w:rPr>
            <w:noProof/>
            <w:webHidden/>
          </w:rPr>
          <w:instrText xml:space="preserve"> PAGEREF _Toc361309715 \h </w:instrText>
        </w:r>
        <w:r>
          <w:rPr>
            <w:noProof/>
            <w:webHidden/>
          </w:rPr>
        </w:r>
        <w:r>
          <w:rPr>
            <w:noProof/>
            <w:webHidden/>
          </w:rPr>
          <w:fldChar w:fldCharType="separate"/>
        </w:r>
        <w:r>
          <w:rPr>
            <w:noProof/>
            <w:webHidden/>
          </w:rPr>
          <w:t>7</w:t>
        </w:r>
        <w:r>
          <w:rPr>
            <w:noProof/>
            <w:webHidden/>
          </w:rPr>
          <w:fldChar w:fldCharType="end"/>
        </w:r>
      </w:hyperlink>
    </w:p>
    <w:p w:rsidR="001579CC" w:rsidRDefault="001579CC">
      <w:pPr>
        <w:pStyle w:val="TOC2"/>
        <w:rPr>
          <w:rFonts w:asciiTheme="minorHAnsi" w:eastAsiaTheme="minorEastAsia" w:hAnsiTheme="minorHAnsi" w:cstheme="minorBidi"/>
          <w:b w:val="0"/>
          <w:noProof/>
          <w:sz w:val="22"/>
          <w:lang w:eastAsia="en-AU"/>
        </w:rPr>
      </w:pPr>
      <w:hyperlink w:anchor="_Toc361309716" w:history="1">
        <w:r w:rsidRPr="00AE169E">
          <w:rPr>
            <w:rStyle w:val="Hyperlink"/>
            <w:noProof/>
          </w:rPr>
          <w:t>IV. Clinical findings</w:t>
        </w:r>
        <w:r>
          <w:rPr>
            <w:noProof/>
            <w:webHidden/>
          </w:rPr>
          <w:tab/>
        </w:r>
        <w:r>
          <w:rPr>
            <w:noProof/>
            <w:webHidden/>
          </w:rPr>
          <w:fldChar w:fldCharType="begin"/>
        </w:r>
        <w:r>
          <w:rPr>
            <w:noProof/>
            <w:webHidden/>
          </w:rPr>
          <w:instrText xml:space="preserve"> PAGEREF _Toc361309716 \h </w:instrText>
        </w:r>
        <w:r>
          <w:rPr>
            <w:noProof/>
            <w:webHidden/>
          </w:rPr>
        </w:r>
        <w:r>
          <w:rPr>
            <w:noProof/>
            <w:webHidden/>
          </w:rPr>
          <w:fldChar w:fldCharType="separate"/>
        </w:r>
        <w:r>
          <w:rPr>
            <w:noProof/>
            <w:webHidden/>
          </w:rPr>
          <w:t>7</w:t>
        </w:r>
        <w:r>
          <w:rPr>
            <w:noProof/>
            <w:webHidden/>
          </w:rPr>
          <w:fldChar w:fldCharType="end"/>
        </w:r>
      </w:hyperlink>
    </w:p>
    <w:p w:rsidR="001579CC" w:rsidRDefault="001579CC">
      <w:pPr>
        <w:pStyle w:val="TOC3"/>
        <w:rPr>
          <w:rFonts w:asciiTheme="minorHAnsi" w:eastAsiaTheme="minorEastAsia" w:hAnsiTheme="minorHAnsi" w:cstheme="minorBidi"/>
          <w:noProof/>
          <w:lang w:eastAsia="en-AU"/>
        </w:rPr>
      </w:pPr>
      <w:hyperlink w:anchor="_Toc361309717" w:history="1">
        <w:r w:rsidRPr="00AE169E">
          <w:rPr>
            <w:rStyle w:val="Hyperlink"/>
            <w:noProof/>
          </w:rPr>
          <w:t>Introduction</w:t>
        </w:r>
        <w:r>
          <w:rPr>
            <w:noProof/>
            <w:webHidden/>
          </w:rPr>
          <w:tab/>
        </w:r>
        <w:r>
          <w:rPr>
            <w:noProof/>
            <w:webHidden/>
          </w:rPr>
          <w:fldChar w:fldCharType="begin"/>
        </w:r>
        <w:r>
          <w:rPr>
            <w:noProof/>
            <w:webHidden/>
          </w:rPr>
          <w:instrText xml:space="preserve"> PAGEREF _Toc361309717 \h </w:instrText>
        </w:r>
        <w:r>
          <w:rPr>
            <w:noProof/>
            <w:webHidden/>
          </w:rPr>
        </w:r>
        <w:r>
          <w:rPr>
            <w:noProof/>
            <w:webHidden/>
          </w:rPr>
          <w:fldChar w:fldCharType="separate"/>
        </w:r>
        <w:r>
          <w:rPr>
            <w:noProof/>
            <w:webHidden/>
          </w:rPr>
          <w:t>8</w:t>
        </w:r>
        <w:r>
          <w:rPr>
            <w:noProof/>
            <w:webHidden/>
          </w:rPr>
          <w:fldChar w:fldCharType="end"/>
        </w:r>
      </w:hyperlink>
    </w:p>
    <w:p w:rsidR="001579CC" w:rsidRDefault="001579CC">
      <w:pPr>
        <w:pStyle w:val="TOC3"/>
        <w:rPr>
          <w:rFonts w:asciiTheme="minorHAnsi" w:eastAsiaTheme="minorEastAsia" w:hAnsiTheme="minorHAnsi" w:cstheme="minorBidi"/>
          <w:noProof/>
          <w:lang w:eastAsia="en-AU"/>
        </w:rPr>
      </w:pPr>
      <w:hyperlink w:anchor="_Toc361309718" w:history="1">
        <w:r w:rsidRPr="00AE169E">
          <w:rPr>
            <w:rStyle w:val="Hyperlink"/>
            <w:noProof/>
          </w:rPr>
          <w:t>Pharmacokinetics</w:t>
        </w:r>
        <w:r>
          <w:rPr>
            <w:noProof/>
            <w:webHidden/>
          </w:rPr>
          <w:tab/>
        </w:r>
        <w:r>
          <w:rPr>
            <w:noProof/>
            <w:webHidden/>
          </w:rPr>
          <w:fldChar w:fldCharType="begin"/>
        </w:r>
        <w:r>
          <w:rPr>
            <w:noProof/>
            <w:webHidden/>
          </w:rPr>
          <w:instrText xml:space="preserve"> PAGEREF _Toc361309718 \h </w:instrText>
        </w:r>
        <w:r>
          <w:rPr>
            <w:noProof/>
            <w:webHidden/>
          </w:rPr>
        </w:r>
        <w:r>
          <w:rPr>
            <w:noProof/>
            <w:webHidden/>
          </w:rPr>
          <w:fldChar w:fldCharType="separate"/>
        </w:r>
        <w:r>
          <w:rPr>
            <w:noProof/>
            <w:webHidden/>
          </w:rPr>
          <w:t>8</w:t>
        </w:r>
        <w:r>
          <w:rPr>
            <w:noProof/>
            <w:webHidden/>
          </w:rPr>
          <w:fldChar w:fldCharType="end"/>
        </w:r>
      </w:hyperlink>
    </w:p>
    <w:p w:rsidR="001579CC" w:rsidRDefault="001579CC">
      <w:pPr>
        <w:pStyle w:val="TOC3"/>
        <w:rPr>
          <w:rFonts w:asciiTheme="minorHAnsi" w:eastAsiaTheme="minorEastAsia" w:hAnsiTheme="minorHAnsi" w:cstheme="minorBidi"/>
          <w:noProof/>
          <w:lang w:eastAsia="en-AU"/>
        </w:rPr>
      </w:pPr>
      <w:hyperlink w:anchor="_Toc361309719" w:history="1">
        <w:r w:rsidRPr="00AE169E">
          <w:rPr>
            <w:rStyle w:val="Hyperlink"/>
            <w:noProof/>
          </w:rPr>
          <w:t>Pharmacodynamics</w:t>
        </w:r>
        <w:r>
          <w:rPr>
            <w:noProof/>
            <w:webHidden/>
          </w:rPr>
          <w:tab/>
        </w:r>
        <w:r>
          <w:rPr>
            <w:noProof/>
            <w:webHidden/>
          </w:rPr>
          <w:fldChar w:fldCharType="begin"/>
        </w:r>
        <w:r>
          <w:rPr>
            <w:noProof/>
            <w:webHidden/>
          </w:rPr>
          <w:instrText xml:space="preserve"> PAGEREF _Toc361309719 \h </w:instrText>
        </w:r>
        <w:r>
          <w:rPr>
            <w:noProof/>
            <w:webHidden/>
          </w:rPr>
        </w:r>
        <w:r>
          <w:rPr>
            <w:noProof/>
            <w:webHidden/>
          </w:rPr>
          <w:fldChar w:fldCharType="separate"/>
        </w:r>
        <w:r>
          <w:rPr>
            <w:noProof/>
            <w:webHidden/>
          </w:rPr>
          <w:t>10</w:t>
        </w:r>
        <w:r>
          <w:rPr>
            <w:noProof/>
            <w:webHidden/>
          </w:rPr>
          <w:fldChar w:fldCharType="end"/>
        </w:r>
      </w:hyperlink>
    </w:p>
    <w:p w:rsidR="001579CC" w:rsidRDefault="001579CC">
      <w:pPr>
        <w:pStyle w:val="TOC3"/>
        <w:rPr>
          <w:rFonts w:asciiTheme="minorHAnsi" w:eastAsiaTheme="minorEastAsia" w:hAnsiTheme="minorHAnsi" w:cstheme="minorBidi"/>
          <w:noProof/>
          <w:lang w:eastAsia="en-AU"/>
        </w:rPr>
      </w:pPr>
      <w:hyperlink w:anchor="_Toc361309720" w:history="1">
        <w:r w:rsidRPr="00AE169E">
          <w:rPr>
            <w:rStyle w:val="Hyperlink"/>
            <w:noProof/>
          </w:rPr>
          <w:t>Dosage selection for the pivotal studies</w:t>
        </w:r>
        <w:r>
          <w:rPr>
            <w:noProof/>
            <w:webHidden/>
          </w:rPr>
          <w:tab/>
        </w:r>
        <w:r>
          <w:rPr>
            <w:noProof/>
            <w:webHidden/>
          </w:rPr>
          <w:fldChar w:fldCharType="begin"/>
        </w:r>
        <w:r>
          <w:rPr>
            <w:noProof/>
            <w:webHidden/>
          </w:rPr>
          <w:instrText xml:space="preserve"> PAGEREF _Toc361309720 \h </w:instrText>
        </w:r>
        <w:r>
          <w:rPr>
            <w:noProof/>
            <w:webHidden/>
          </w:rPr>
        </w:r>
        <w:r>
          <w:rPr>
            <w:noProof/>
            <w:webHidden/>
          </w:rPr>
          <w:fldChar w:fldCharType="separate"/>
        </w:r>
        <w:r>
          <w:rPr>
            <w:noProof/>
            <w:webHidden/>
          </w:rPr>
          <w:t>10</w:t>
        </w:r>
        <w:r>
          <w:rPr>
            <w:noProof/>
            <w:webHidden/>
          </w:rPr>
          <w:fldChar w:fldCharType="end"/>
        </w:r>
      </w:hyperlink>
    </w:p>
    <w:p w:rsidR="001579CC" w:rsidRDefault="001579CC">
      <w:pPr>
        <w:pStyle w:val="TOC3"/>
        <w:rPr>
          <w:rFonts w:asciiTheme="minorHAnsi" w:eastAsiaTheme="minorEastAsia" w:hAnsiTheme="minorHAnsi" w:cstheme="minorBidi"/>
          <w:noProof/>
          <w:lang w:eastAsia="en-AU"/>
        </w:rPr>
      </w:pPr>
      <w:hyperlink w:anchor="_Toc361309721" w:history="1">
        <w:r w:rsidRPr="00AE169E">
          <w:rPr>
            <w:rStyle w:val="Hyperlink"/>
            <w:noProof/>
          </w:rPr>
          <w:t>Efficacy</w:t>
        </w:r>
        <w:r>
          <w:rPr>
            <w:noProof/>
            <w:webHidden/>
          </w:rPr>
          <w:tab/>
        </w:r>
        <w:r>
          <w:rPr>
            <w:noProof/>
            <w:webHidden/>
          </w:rPr>
          <w:fldChar w:fldCharType="begin"/>
        </w:r>
        <w:r>
          <w:rPr>
            <w:noProof/>
            <w:webHidden/>
          </w:rPr>
          <w:instrText xml:space="preserve"> PAGEREF _Toc361309721 \h </w:instrText>
        </w:r>
        <w:r>
          <w:rPr>
            <w:noProof/>
            <w:webHidden/>
          </w:rPr>
        </w:r>
        <w:r>
          <w:rPr>
            <w:noProof/>
            <w:webHidden/>
          </w:rPr>
          <w:fldChar w:fldCharType="separate"/>
        </w:r>
        <w:r>
          <w:rPr>
            <w:noProof/>
            <w:webHidden/>
          </w:rPr>
          <w:t>10</w:t>
        </w:r>
        <w:r>
          <w:rPr>
            <w:noProof/>
            <w:webHidden/>
          </w:rPr>
          <w:fldChar w:fldCharType="end"/>
        </w:r>
      </w:hyperlink>
    </w:p>
    <w:p w:rsidR="001579CC" w:rsidRDefault="001579CC">
      <w:pPr>
        <w:pStyle w:val="TOC3"/>
        <w:rPr>
          <w:rFonts w:asciiTheme="minorHAnsi" w:eastAsiaTheme="minorEastAsia" w:hAnsiTheme="minorHAnsi" w:cstheme="minorBidi"/>
          <w:noProof/>
          <w:lang w:eastAsia="en-AU"/>
        </w:rPr>
      </w:pPr>
      <w:hyperlink w:anchor="_Toc361309722" w:history="1">
        <w:r w:rsidRPr="00AE169E">
          <w:rPr>
            <w:rStyle w:val="Hyperlink"/>
            <w:noProof/>
          </w:rPr>
          <w:t>Safety</w:t>
        </w:r>
        <w:r>
          <w:rPr>
            <w:noProof/>
            <w:webHidden/>
          </w:rPr>
          <w:tab/>
        </w:r>
        <w:r>
          <w:rPr>
            <w:noProof/>
            <w:webHidden/>
          </w:rPr>
          <w:fldChar w:fldCharType="begin"/>
        </w:r>
        <w:r>
          <w:rPr>
            <w:noProof/>
            <w:webHidden/>
          </w:rPr>
          <w:instrText xml:space="preserve"> PAGEREF _Toc361309722 \h </w:instrText>
        </w:r>
        <w:r>
          <w:rPr>
            <w:noProof/>
            <w:webHidden/>
          </w:rPr>
        </w:r>
        <w:r>
          <w:rPr>
            <w:noProof/>
            <w:webHidden/>
          </w:rPr>
          <w:fldChar w:fldCharType="separate"/>
        </w:r>
        <w:r>
          <w:rPr>
            <w:noProof/>
            <w:webHidden/>
          </w:rPr>
          <w:t>11</w:t>
        </w:r>
        <w:r>
          <w:rPr>
            <w:noProof/>
            <w:webHidden/>
          </w:rPr>
          <w:fldChar w:fldCharType="end"/>
        </w:r>
      </w:hyperlink>
    </w:p>
    <w:p w:rsidR="001579CC" w:rsidRDefault="001579CC">
      <w:pPr>
        <w:pStyle w:val="TOC3"/>
        <w:rPr>
          <w:rFonts w:asciiTheme="minorHAnsi" w:eastAsiaTheme="minorEastAsia" w:hAnsiTheme="minorHAnsi" w:cstheme="minorBidi"/>
          <w:noProof/>
          <w:lang w:eastAsia="en-AU"/>
        </w:rPr>
      </w:pPr>
      <w:hyperlink w:anchor="_Toc361309723" w:history="1">
        <w:r w:rsidRPr="00AE169E">
          <w:rPr>
            <w:rStyle w:val="Hyperlink"/>
            <w:noProof/>
          </w:rPr>
          <w:t>Clinical summary and conclusions</w:t>
        </w:r>
        <w:r>
          <w:rPr>
            <w:noProof/>
            <w:webHidden/>
          </w:rPr>
          <w:tab/>
        </w:r>
        <w:r>
          <w:rPr>
            <w:noProof/>
            <w:webHidden/>
          </w:rPr>
          <w:fldChar w:fldCharType="begin"/>
        </w:r>
        <w:r>
          <w:rPr>
            <w:noProof/>
            <w:webHidden/>
          </w:rPr>
          <w:instrText xml:space="preserve"> PAGEREF _Toc361309723 \h </w:instrText>
        </w:r>
        <w:r>
          <w:rPr>
            <w:noProof/>
            <w:webHidden/>
          </w:rPr>
        </w:r>
        <w:r>
          <w:rPr>
            <w:noProof/>
            <w:webHidden/>
          </w:rPr>
          <w:fldChar w:fldCharType="separate"/>
        </w:r>
        <w:r>
          <w:rPr>
            <w:noProof/>
            <w:webHidden/>
          </w:rPr>
          <w:t>13</w:t>
        </w:r>
        <w:r>
          <w:rPr>
            <w:noProof/>
            <w:webHidden/>
          </w:rPr>
          <w:fldChar w:fldCharType="end"/>
        </w:r>
      </w:hyperlink>
    </w:p>
    <w:p w:rsidR="001579CC" w:rsidRDefault="001579CC">
      <w:pPr>
        <w:pStyle w:val="TOC3"/>
        <w:rPr>
          <w:rFonts w:asciiTheme="minorHAnsi" w:eastAsiaTheme="minorEastAsia" w:hAnsiTheme="minorHAnsi" w:cstheme="minorBidi"/>
          <w:noProof/>
          <w:lang w:eastAsia="en-AU"/>
        </w:rPr>
      </w:pPr>
      <w:hyperlink w:anchor="_Toc361309724" w:history="1">
        <w:r w:rsidRPr="00AE169E">
          <w:rPr>
            <w:rStyle w:val="Hyperlink"/>
            <w:noProof/>
          </w:rPr>
          <w:t>List of questions</w:t>
        </w:r>
        <w:r>
          <w:rPr>
            <w:noProof/>
            <w:webHidden/>
          </w:rPr>
          <w:tab/>
        </w:r>
        <w:r>
          <w:rPr>
            <w:noProof/>
            <w:webHidden/>
          </w:rPr>
          <w:fldChar w:fldCharType="begin"/>
        </w:r>
        <w:r>
          <w:rPr>
            <w:noProof/>
            <w:webHidden/>
          </w:rPr>
          <w:instrText xml:space="preserve"> PAGEREF _Toc361309724 \h </w:instrText>
        </w:r>
        <w:r>
          <w:rPr>
            <w:noProof/>
            <w:webHidden/>
          </w:rPr>
        </w:r>
        <w:r>
          <w:rPr>
            <w:noProof/>
            <w:webHidden/>
          </w:rPr>
          <w:fldChar w:fldCharType="separate"/>
        </w:r>
        <w:r>
          <w:rPr>
            <w:noProof/>
            <w:webHidden/>
          </w:rPr>
          <w:t>14</w:t>
        </w:r>
        <w:r>
          <w:rPr>
            <w:noProof/>
            <w:webHidden/>
          </w:rPr>
          <w:fldChar w:fldCharType="end"/>
        </w:r>
      </w:hyperlink>
    </w:p>
    <w:p w:rsidR="001579CC" w:rsidRDefault="001579CC">
      <w:pPr>
        <w:pStyle w:val="TOC2"/>
        <w:rPr>
          <w:rFonts w:asciiTheme="minorHAnsi" w:eastAsiaTheme="minorEastAsia" w:hAnsiTheme="minorHAnsi" w:cstheme="minorBidi"/>
          <w:b w:val="0"/>
          <w:noProof/>
          <w:sz w:val="22"/>
          <w:lang w:eastAsia="en-AU"/>
        </w:rPr>
      </w:pPr>
      <w:hyperlink w:anchor="_Toc361309725" w:history="1">
        <w:r w:rsidRPr="00AE169E">
          <w:rPr>
            <w:rStyle w:val="Hyperlink"/>
            <w:noProof/>
          </w:rPr>
          <w:t>V. Pharmacovigilance findings</w:t>
        </w:r>
        <w:r>
          <w:rPr>
            <w:noProof/>
            <w:webHidden/>
          </w:rPr>
          <w:tab/>
        </w:r>
        <w:r>
          <w:rPr>
            <w:noProof/>
            <w:webHidden/>
          </w:rPr>
          <w:fldChar w:fldCharType="begin"/>
        </w:r>
        <w:r>
          <w:rPr>
            <w:noProof/>
            <w:webHidden/>
          </w:rPr>
          <w:instrText xml:space="preserve"> PAGEREF _Toc361309725 \h </w:instrText>
        </w:r>
        <w:r>
          <w:rPr>
            <w:noProof/>
            <w:webHidden/>
          </w:rPr>
        </w:r>
        <w:r>
          <w:rPr>
            <w:noProof/>
            <w:webHidden/>
          </w:rPr>
          <w:fldChar w:fldCharType="separate"/>
        </w:r>
        <w:r>
          <w:rPr>
            <w:noProof/>
            <w:webHidden/>
          </w:rPr>
          <w:t>15</w:t>
        </w:r>
        <w:r>
          <w:rPr>
            <w:noProof/>
            <w:webHidden/>
          </w:rPr>
          <w:fldChar w:fldCharType="end"/>
        </w:r>
      </w:hyperlink>
    </w:p>
    <w:p w:rsidR="001579CC" w:rsidRDefault="001579CC">
      <w:pPr>
        <w:pStyle w:val="TOC3"/>
        <w:rPr>
          <w:rFonts w:asciiTheme="minorHAnsi" w:eastAsiaTheme="minorEastAsia" w:hAnsiTheme="minorHAnsi" w:cstheme="minorBidi"/>
          <w:noProof/>
          <w:lang w:eastAsia="en-AU"/>
        </w:rPr>
      </w:pPr>
      <w:hyperlink w:anchor="_Toc361309726" w:history="1">
        <w:r w:rsidRPr="00AE169E">
          <w:rPr>
            <w:rStyle w:val="Hyperlink"/>
            <w:noProof/>
            <w:lang w:eastAsia="en-AU"/>
          </w:rPr>
          <w:t>Risk management plan</w:t>
        </w:r>
        <w:r>
          <w:rPr>
            <w:noProof/>
            <w:webHidden/>
          </w:rPr>
          <w:tab/>
        </w:r>
        <w:r>
          <w:rPr>
            <w:noProof/>
            <w:webHidden/>
          </w:rPr>
          <w:fldChar w:fldCharType="begin"/>
        </w:r>
        <w:r>
          <w:rPr>
            <w:noProof/>
            <w:webHidden/>
          </w:rPr>
          <w:instrText xml:space="preserve"> PAGEREF _Toc361309726 \h </w:instrText>
        </w:r>
        <w:r>
          <w:rPr>
            <w:noProof/>
            <w:webHidden/>
          </w:rPr>
        </w:r>
        <w:r>
          <w:rPr>
            <w:noProof/>
            <w:webHidden/>
          </w:rPr>
          <w:fldChar w:fldCharType="separate"/>
        </w:r>
        <w:r>
          <w:rPr>
            <w:noProof/>
            <w:webHidden/>
          </w:rPr>
          <w:t>15</w:t>
        </w:r>
        <w:r>
          <w:rPr>
            <w:noProof/>
            <w:webHidden/>
          </w:rPr>
          <w:fldChar w:fldCharType="end"/>
        </w:r>
      </w:hyperlink>
    </w:p>
    <w:p w:rsidR="001579CC" w:rsidRDefault="001579CC">
      <w:pPr>
        <w:pStyle w:val="TOC2"/>
        <w:rPr>
          <w:rFonts w:asciiTheme="minorHAnsi" w:eastAsiaTheme="minorEastAsia" w:hAnsiTheme="minorHAnsi" w:cstheme="minorBidi"/>
          <w:b w:val="0"/>
          <w:noProof/>
          <w:sz w:val="22"/>
          <w:lang w:eastAsia="en-AU"/>
        </w:rPr>
      </w:pPr>
      <w:hyperlink w:anchor="_Toc361309727" w:history="1">
        <w:r w:rsidRPr="00AE169E">
          <w:rPr>
            <w:rStyle w:val="Hyperlink"/>
            <w:noProof/>
          </w:rPr>
          <w:t>VI. Overall conclusion and risk/benefit assessment</w:t>
        </w:r>
        <w:r>
          <w:rPr>
            <w:noProof/>
            <w:webHidden/>
          </w:rPr>
          <w:tab/>
        </w:r>
        <w:r>
          <w:rPr>
            <w:noProof/>
            <w:webHidden/>
          </w:rPr>
          <w:fldChar w:fldCharType="begin"/>
        </w:r>
        <w:r>
          <w:rPr>
            <w:noProof/>
            <w:webHidden/>
          </w:rPr>
          <w:instrText xml:space="preserve"> PAGEREF _Toc361309727 \h </w:instrText>
        </w:r>
        <w:r>
          <w:rPr>
            <w:noProof/>
            <w:webHidden/>
          </w:rPr>
        </w:r>
        <w:r>
          <w:rPr>
            <w:noProof/>
            <w:webHidden/>
          </w:rPr>
          <w:fldChar w:fldCharType="separate"/>
        </w:r>
        <w:r>
          <w:rPr>
            <w:noProof/>
            <w:webHidden/>
          </w:rPr>
          <w:t>22</w:t>
        </w:r>
        <w:r>
          <w:rPr>
            <w:noProof/>
            <w:webHidden/>
          </w:rPr>
          <w:fldChar w:fldCharType="end"/>
        </w:r>
      </w:hyperlink>
    </w:p>
    <w:p w:rsidR="001579CC" w:rsidRDefault="001579CC">
      <w:pPr>
        <w:pStyle w:val="TOC3"/>
        <w:rPr>
          <w:rFonts w:asciiTheme="minorHAnsi" w:eastAsiaTheme="minorEastAsia" w:hAnsiTheme="minorHAnsi" w:cstheme="minorBidi"/>
          <w:noProof/>
          <w:lang w:eastAsia="en-AU"/>
        </w:rPr>
      </w:pPr>
      <w:hyperlink w:anchor="_Toc361309728" w:history="1">
        <w:r w:rsidRPr="00AE169E">
          <w:rPr>
            <w:rStyle w:val="Hyperlink"/>
            <w:noProof/>
          </w:rPr>
          <w:t>Quality</w:t>
        </w:r>
        <w:r>
          <w:rPr>
            <w:noProof/>
            <w:webHidden/>
          </w:rPr>
          <w:tab/>
        </w:r>
        <w:r>
          <w:rPr>
            <w:noProof/>
            <w:webHidden/>
          </w:rPr>
          <w:fldChar w:fldCharType="begin"/>
        </w:r>
        <w:r>
          <w:rPr>
            <w:noProof/>
            <w:webHidden/>
          </w:rPr>
          <w:instrText xml:space="preserve"> PAGEREF _Toc361309728 \h </w:instrText>
        </w:r>
        <w:r>
          <w:rPr>
            <w:noProof/>
            <w:webHidden/>
          </w:rPr>
        </w:r>
        <w:r>
          <w:rPr>
            <w:noProof/>
            <w:webHidden/>
          </w:rPr>
          <w:fldChar w:fldCharType="separate"/>
        </w:r>
        <w:r>
          <w:rPr>
            <w:noProof/>
            <w:webHidden/>
          </w:rPr>
          <w:t>22</w:t>
        </w:r>
        <w:r>
          <w:rPr>
            <w:noProof/>
            <w:webHidden/>
          </w:rPr>
          <w:fldChar w:fldCharType="end"/>
        </w:r>
      </w:hyperlink>
    </w:p>
    <w:p w:rsidR="001579CC" w:rsidRDefault="001579CC">
      <w:pPr>
        <w:pStyle w:val="TOC3"/>
        <w:rPr>
          <w:rFonts w:asciiTheme="minorHAnsi" w:eastAsiaTheme="minorEastAsia" w:hAnsiTheme="minorHAnsi" w:cstheme="minorBidi"/>
          <w:noProof/>
          <w:lang w:eastAsia="en-AU"/>
        </w:rPr>
      </w:pPr>
      <w:hyperlink w:anchor="_Toc361309729" w:history="1">
        <w:r w:rsidRPr="00AE169E">
          <w:rPr>
            <w:rStyle w:val="Hyperlink"/>
            <w:noProof/>
          </w:rPr>
          <w:t>Nonclinical</w:t>
        </w:r>
        <w:r>
          <w:rPr>
            <w:noProof/>
            <w:webHidden/>
          </w:rPr>
          <w:tab/>
        </w:r>
        <w:r>
          <w:rPr>
            <w:noProof/>
            <w:webHidden/>
          </w:rPr>
          <w:fldChar w:fldCharType="begin"/>
        </w:r>
        <w:r>
          <w:rPr>
            <w:noProof/>
            <w:webHidden/>
          </w:rPr>
          <w:instrText xml:space="preserve"> PAGEREF _Toc361309729 \h </w:instrText>
        </w:r>
        <w:r>
          <w:rPr>
            <w:noProof/>
            <w:webHidden/>
          </w:rPr>
        </w:r>
        <w:r>
          <w:rPr>
            <w:noProof/>
            <w:webHidden/>
          </w:rPr>
          <w:fldChar w:fldCharType="separate"/>
        </w:r>
        <w:r>
          <w:rPr>
            <w:noProof/>
            <w:webHidden/>
          </w:rPr>
          <w:t>22</w:t>
        </w:r>
        <w:r>
          <w:rPr>
            <w:noProof/>
            <w:webHidden/>
          </w:rPr>
          <w:fldChar w:fldCharType="end"/>
        </w:r>
      </w:hyperlink>
    </w:p>
    <w:p w:rsidR="001579CC" w:rsidRDefault="001579CC">
      <w:pPr>
        <w:pStyle w:val="TOC3"/>
        <w:rPr>
          <w:rFonts w:asciiTheme="minorHAnsi" w:eastAsiaTheme="minorEastAsia" w:hAnsiTheme="minorHAnsi" w:cstheme="minorBidi"/>
          <w:noProof/>
          <w:lang w:eastAsia="en-AU"/>
        </w:rPr>
      </w:pPr>
      <w:hyperlink w:anchor="_Toc361309730" w:history="1">
        <w:r w:rsidRPr="00AE169E">
          <w:rPr>
            <w:rStyle w:val="Hyperlink"/>
            <w:noProof/>
          </w:rPr>
          <w:t>Clinical</w:t>
        </w:r>
        <w:r>
          <w:rPr>
            <w:noProof/>
            <w:webHidden/>
          </w:rPr>
          <w:tab/>
        </w:r>
        <w:r>
          <w:rPr>
            <w:noProof/>
            <w:webHidden/>
          </w:rPr>
          <w:fldChar w:fldCharType="begin"/>
        </w:r>
        <w:r>
          <w:rPr>
            <w:noProof/>
            <w:webHidden/>
          </w:rPr>
          <w:instrText xml:space="preserve"> PAGEREF _Toc361309730 \h </w:instrText>
        </w:r>
        <w:r>
          <w:rPr>
            <w:noProof/>
            <w:webHidden/>
          </w:rPr>
        </w:r>
        <w:r>
          <w:rPr>
            <w:noProof/>
            <w:webHidden/>
          </w:rPr>
          <w:fldChar w:fldCharType="separate"/>
        </w:r>
        <w:r>
          <w:rPr>
            <w:noProof/>
            <w:webHidden/>
          </w:rPr>
          <w:t>22</w:t>
        </w:r>
        <w:r>
          <w:rPr>
            <w:noProof/>
            <w:webHidden/>
          </w:rPr>
          <w:fldChar w:fldCharType="end"/>
        </w:r>
      </w:hyperlink>
    </w:p>
    <w:p w:rsidR="001579CC" w:rsidRDefault="001579CC">
      <w:pPr>
        <w:pStyle w:val="TOC3"/>
        <w:rPr>
          <w:rFonts w:asciiTheme="minorHAnsi" w:eastAsiaTheme="minorEastAsia" w:hAnsiTheme="minorHAnsi" w:cstheme="minorBidi"/>
          <w:noProof/>
          <w:lang w:eastAsia="en-AU"/>
        </w:rPr>
      </w:pPr>
      <w:hyperlink w:anchor="_Toc361309731" w:history="1">
        <w:r w:rsidRPr="00AE169E">
          <w:rPr>
            <w:rStyle w:val="Hyperlink"/>
            <w:noProof/>
            <w:lang w:eastAsia="en-AU"/>
          </w:rPr>
          <w:t>Risk management plan</w:t>
        </w:r>
        <w:r>
          <w:rPr>
            <w:noProof/>
            <w:webHidden/>
          </w:rPr>
          <w:tab/>
        </w:r>
        <w:r>
          <w:rPr>
            <w:noProof/>
            <w:webHidden/>
          </w:rPr>
          <w:fldChar w:fldCharType="begin"/>
        </w:r>
        <w:r>
          <w:rPr>
            <w:noProof/>
            <w:webHidden/>
          </w:rPr>
          <w:instrText xml:space="preserve"> PAGEREF _Toc361309731 \h </w:instrText>
        </w:r>
        <w:r>
          <w:rPr>
            <w:noProof/>
            <w:webHidden/>
          </w:rPr>
        </w:r>
        <w:r>
          <w:rPr>
            <w:noProof/>
            <w:webHidden/>
          </w:rPr>
          <w:fldChar w:fldCharType="separate"/>
        </w:r>
        <w:r>
          <w:rPr>
            <w:noProof/>
            <w:webHidden/>
          </w:rPr>
          <w:t>23</w:t>
        </w:r>
        <w:r>
          <w:rPr>
            <w:noProof/>
            <w:webHidden/>
          </w:rPr>
          <w:fldChar w:fldCharType="end"/>
        </w:r>
      </w:hyperlink>
    </w:p>
    <w:p w:rsidR="001579CC" w:rsidRDefault="001579CC">
      <w:pPr>
        <w:pStyle w:val="TOC3"/>
        <w:rPr>
          <w:rFonts w:asciiTheme="minorHAnsi" w:eastAsiaTheme="minorEastAsia" w:hAnsiTheme="minorHAnsi" w:cstheme="minorBidi"/>
          <w:noProof/>
          <w:lang w:eastAsia="en-AU"/>
        </w:rPr>
      </w:pPr>
      <w:hyperlink w:anchor="_Toc361309732" w:history="1">
        <w:r w:rsidRPr="00AE169E">
          <w:rPr>
            <w:rStyle w:val="Hyperlink"/>
            <w:noProof/>
          </w:rPr>
          <w:t>Risk-benefit analysis</w:t>
        </w:r>
        <w:r>
          <w:rPr>
            <w:noProof/>
            <w:webHidden/>
          </w:rPr>
          <w:tab/>
        </w:r>
        <w:r>
          <w:rPr>
            <w:noProof/>
            <w:webHidden/>
          </w:rPr>
          <w:fldChar w:fldCharType="begin"/>
        </w:r>
        <w:r>
          <w:rPr>
            <w:noProof/>
            <w:webHidden/>
          </w:rPr>
          <w:instrText xml:space="preserve"> PAGEREF _Toc361309732 \h </w:instrText>
        </w:r>
        <w:r>
          <w:rPr>
            <w:noProof/>
            <w:webHidden/>
          </w:rPr>
        </w:r>
        <w:r>
          <w:rPr>
            <w:noProof/>
            <w:webHidden/>
          </w:rPr>
          <w:fldChar w:fldCharType="separate"/>
        </w:r>
        <w:r>
          <w:rPr>
            <w:noProof/>
            <w:webHidden/>
          </w:rPr>
          <w:t>24</w:t>
        </w:r>
        <w:r>
          <w:rPr>
            <w:noProof/>
            <w:webHidden/>
          </w:rPr>
          <w:fldChar w:fldCharType="end"/>
        </w:r>
      </w:hyperlink>
    </w:p>
    <w:p w:rsidR="001579CC" w:rsidRDefault="001579CC">
      <w:pPr>
        <w:pStyle w:val="TOC3"/>
        <w:rPr>
          <w:rFonts w:asciiTheme="minorHAnsi" w:eastAsiaTheme="minorEastAsia" w:hAnsiTheme="minorHAnsi" w:cstheme="minorBidi"/>
          <w:noProof/>
          <w:lang w:eastAsia="en-AU"/>
        </w:rPr>
      </w:pPr>
      <w:hyperlink w:anchor="_Toc361309733" w:history="1">
        <w:r w:rsidRPr="00AE169E">
          <w:rPr>
            <w:rStyle w:val="Hyperlink"/>
            <w:noProof/>
          </w:rPr>
          <w:t>Outcome</w:t>
        </w:r>
        <w:r>
          <w:rPr>
            <w:noProof/>
            <w:webHidden/>
          </w:rPr>
          <w:tab/>
        </w:r>
        <w:r>
          <w:rPr>
            <w:noProof/>
            <w:webHidden/>
          </w:rPr>
          <w:fldChar w:fldCharType="begin"/>
        </w:r>
        <w:r>
          <w:rPr>
            <w:noProof/>
            <w:webHidden/>
          </w:rPr>
          <w:instrText xml:space="preserve"> PAGEREF _Toc361309733 \h </w:instrText>
        </w:r>
        <w:r>
          <w:rPr>
            <w:noProof/>
            <w:webHidden/>
          </w:rPr>
        </w:r>
        <w:r>
          <w:rPr>
            <w:noProof/>
            <w:webHidden/>
          </w:rPr>
          <w:fldChar w:fldCharType="separate"/>
        </w:r>
        <w:r>
          <w:rPr>
            <w:noProof/>
            <w:webHidden/>
          </w:rPr>
          <w:t>30</w:t>
        </w:r>
        <w:r>
          <w:rPr>
            <w:noProof/>
            <w:webHidden/>
          </w:rPr>
          <w:fldChar w:fldCharType="end"/>
        </w:r>
      </w:hyperlink>
    </w:p>
    <w:p w:rsidR="001579CC" w:rsidRDefault="001579CC">
      <w:pPr>
        <w:pStyle w:val="TOC2"/>
        <w:tabs>
          <w:tab w:val="left" w:pos="2448"/>
        </w:tabs>
        <w:rPr>
          <w:rFonts w:asciiTheme="minorHAnsi" w:eastAsiaTheme="minorEastAsia" w:hAnsiTheme="minorHAnsi" w:cstheme="minorBidi"/>
          <w:b w:val="0"/>
          <w:noProof/>
          <w:sz w:val="22"/>
          <w:lang w:eastAsia="en-AU"/>
        </w:rPr>
      </w:pPr>
      <w:hyperlink w:anchor="_Toc361309734" w:history="1">
        <w:r w:rsidRPr="00AE169E">
          <w:rPr>
            <w:rStyle w:val="Hyperlink"/>
            <w:noProof/>
          </w:rPr>
          <w:t>Attachment 1.</w:t>
        </w:r>
        <w:r>
          <w:rPr>
            <w:rFonts w:asciiTheme="minorHAnsi" w:eastAsiaTheme="minorEastAsia" w:hAnsiTheme="minorHAnsi" w:cstheme="minorBidi"/>
            <w:b w:val="0"/>
            <w:noProof/>
            <w:sz w:val="22"/>
            <w:lang w:eastAsia="en-AU"/>
          </w:rPr>
          <w:tab/>
        </w:r>
        <w:r w:rsidRPr="00AE169E">
          <w:rPr>
            <w:rStyle w:val="Hyperlink"/>
            <w:noProof/>
          </w:rPr>
          <w:t>Product Information</w:t>
        </w:r>
        <w:r>
          <w:rPr>
            <w:noProof/>
            <w:webHidden/>
          </w:rPr>
          <w:tab/>
        </w:r>
        <w:r>
          <w:rPr>
            <w:noProof/>
            <w:webHidden/>
          </w:rPr>
          <w:fldChar w:fldCharType="begin"/>
        </w:r>
        <w:r>
          <w:rPr>
            <w:noProof/>
            <w:webHidden/>
          </w:rPr>
          <w:instrText xml:space="preserve"> PAGEREF _Toc361309734 \h </w:instrText>
        </w:r>
        <w:r>
          <w:rPr>
            <w:noProof/>
            <w:webHidden/>
          </w:rPr>
        </w:r>
        <w:r>
          <w:rPr>
            <w:noProof/>
            <w:webHidden/>
          </w:rPr>
          <w:fldChar w:fldCharType="separate"/>
        </w:r>
        <w:r>
          <w:rPr>
            <w:noProof/>
            <w:webHidden/>
          </w:rPr>
          <w:t>31</w:t>
        </w:r>
        <w:r>
          <w:rPr>
            <w:noProof/>
            <w:webHidden/>
          </w:rPr>
          <w:fldChar w:fldCharType="end"/>
        </w:r>
      </w:hyperlink>
    </w:p>
    <w:p w:rsidR="001579CC" w:rsidRDefault="001579CC">
      <w:pPr>
        <w:pStyle w:val="TOC2"/>
        <w:tabs>
          <w:tab w:val="left" w:pos="2448"/>
        </w:tabs>
        <w:rPr>
          <w:rFonts w:asciiTheme="minorHAnsi" w:eastAsiaTheme="minorEastAsia" w:hAnsiTheme="minorHAnsi" w:cstheme="minorBidi"/>
          <w:b w:val="0"/>
          <w:noProof/>
          <w:sz w:val="22"/>
          <w:lang w:eastAsia="en-AU"/>
        </w:rPr>
      </w:pPr>
      <w:hyperlink w:anchor="_Toc361309735" w:history="1">
        <w:r w:rsidRPr="00AE169E">
          <w:rPr>
            <w:rStyle w:val="Hyperlink"/>
            <w:noProof/>
          </w:rPr>
          <w:t>Attachment 2.</w:t>
        </w:r>
        <w:r>
          <w:rPr>
            <w:rFonts w:asciiTheme="minorHAnsi" w:eastAsiaTheme="minorEastAsia" w:hAnsiTheme="minorHAnsi" w:cstheme="minorBidi"/>
            <w:b w:val="0"/>
            <w:noProof/>
            <w:sz w:val="22"/>
            <w:lang w:eastAsia="en-AU"/>
          </w:rPr>
          <w:tab/>
        </w:r>
        <w:r w:rsidRPr="00AE169E">
          <w:rPr>
            <w:rStyle w:val="Hyperlink"/>
            <w:noProof/>
          </w:rPr>
          <w:t>Extract from the Clinical Evaluation Report</w:t>
        </w:r>
        <w:r>
          <w:rPr>
            <w:noProof/>
            <w:webHidden/>
          </w:rPr>
          <w:tab/>
        </w:r>
        <w:r>
          <w:rPr>
            <w:noProof/>
            <w:webHidden/>
          </w:rPr>
          <w:fldChar w:fldCharType="begin"/>
        </w:r>
        <w:r>
          <w:rPr>
            <w:noProof/>
            <w:webHidden/>
          </w:rPr>
          <w:instrText xml:space="preserve"> PAGEREF _Toc361309735 \h </w:instrText>
        </w:r>
        <w:r>
          <w:rPr>
            <w:noProof/>
            <w:webHidden/>
          </w:rPr>
        </w:r>
        <w:r>
          <w:rPr>
            <w:noProof/>
            <w:webHidden/>
          </w:rPr>
          <w:fldChar w:fldCharType="separate"/>
        </w:r>
        <w:r>
          <w:rPr>
            <w:noProof/>
            <w:webHidden/>
          </w:rPr>
          <w:t>31</w:t>
        </w:r>
        <w:r>
          <w:rPr>
            <w:noProof/>
            <w:webHidden/>
          </w:rPr>
          <w:fldChar w:fldCharType="end"/>
        </w:r>
      </w:hyperlink>
    </w:p>
    <w:p w:rsidR="001579CC" w:rsidRDefault="00BF6DA2" w:rsidP="001579CC">
      <w:r>
        <w:fldChar w:fldCharType="end"/>
      </w:r>
      <w:bookmarkStart w:id="2" w:name="_Toc314842482"/>
    </w:p>
    <w:p w:rsidR="008E7846" w:rsidRDefault="004D1412" w:rsidP="001579CC">
      <w:pPr>
        <w:pStyle w:val="Heading2"/>
      </w:pPr>
      <w:r>
        <w:br w:type="page"/>
      </w:r>
      <w:bookmarkStart w:id="3" w:name="_Toc361309708"/>
      <w:r w:rsidR="00F53C07">
        <w:lastRenderedPageBreak/>
        <w:t>I.</w:t>
      </w:r>
      <w:r w:rsidR="008E7846">
        <w:t xml:space="preserve"> Introduction to product submission</w:t>
      </w:r>
      <w:bookmarkEnd w:id="0"/>
      <w:bookmarkEnd w:id="2"/>
      <w:bookmarkEnd w:id="3"/>
    </w:p>
    <w:p w:rsidR="008E7846" w:rsidRDefault="008E7846" w:rsidP="008E7846">
      <w:pPr>
        <w:pStyle w:val="Heading3"/>
        <w:rPr>
          <w:lang w:eastAsia="en-AU"/>
        </w:rPr>
      </w:pPr>
      <w:bookmarkStart w:id="4" w:name="_Toc247691502"/>
      <w:bookmarkStart w:id="5" w:name="_Toc314842483"/>
      <w:bookmarkStart w:id="6" w:name="_Toc361309709"/>
      <w:r>
        <w:rPr>
          <w:lang w:eastAsia="en-AU"/>
        </w:rPr>
        <w:t>Submission details</w:t>
      </w:r>
      <w:bookmarkEnd w:id="4"/>
      <w:bookmarkEnd w:id="5"/>
      <w:bookmarkEnd w:id="6"/>
    </w:p>
    <w:tbl>
      <w:tblPr>
        <w:tblW w:w="9497" w:type="dxa"/>
        <w:tblInd w:w="108" w:type="dxa"/>
        <w:tblLook w:val="01E0"/>
      </w:tblPr>
      <w:tblGrid>
        <w:gridCol w:w="2907"/>
        <w:gridCol w:w="5457"/>
        <w:gridCol w:w="1133"/>
      </w:tblGrid>
      <w:tr w:rsidR="008E7846" w:rsidRPr="003D1E62" w:rsidTr="00A15988">
        <w:trPr>
          <w:trHeight w:hRule="exact" w:val="454"/>
        </w:trPr>
        <w:tc>
          <w:tcPr>
            <w:tcW w:w="2907" w:type="dxa"/>
          </w:tcPr>
          <w:p w:rsidR="008E7846" w:rsidRPr="003D1E62" w:rsidRDefault="008E7846" w:rsidP="003D1E62">
            <w:pPr>
              <w:rPr>
                <w:i/>
              </w:rPr>
            </w:pPr>
            <w:r w:rsidRPr="003D1E62">
              <w:rPr>
                <w:i/>
              </w:rPr>
              <w:t>Type of Submission</w:t>
            </w:r>
            <w:r w:rsidR="00206F89">
              <w:rPr>
                <w:i/>
              </w:rPr>
              <w:t>:</w:t>
            </w:r>
          </w:p>
        </w:tc>
        <w:tc>
          <w:tcPr>
            <w:tcW w:w="6590" w:type="dxa"/>
            <w:gridSpan w:val="2"/>
          </w:tcPr>
          <w:p w:rsidR="008E7846" w:rsidRPr="003D1E62" w:rsidRDefault="008E7846" w:rsidP="00084A64">
            <w:r w:rsidRPr="003D1E62">
              <w:t>Major Vari</w:t>
            </w:r>
            <w:r w:rsidR="00E50011">
              <w:t>ation (</w:t>
            </w:r>
            <w:r w:rsidR="00084A64">
              <w:t xml:space="preserve">Extension of </w:t>
            </w:r>
            <w:r w:rsidR="00222C59">
              <w:t>duration of treatment)</w:t>
            </w:r>
          </w:p>
        </w:tc>
      </w:tr>
      <w:tr w:rsidR="008E7846" w:rsidRPr="003D1E62" w:rsidTr="00A15988">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432FB9">
            <w:r w:rsidRPr="003D1E62">
              <w:t>Approved</w:t>
            </w:r>
          </w:p>
        </w:tc>
      </w:tr>
      <w:tr w:rsidR="008E7846" w:rsidRPr="003D1E62" w:rsidTr="00A15988">
        <w:trPr>
          <w:trHeight w:hRule="exact" w:val="454"/>
        </w:trPr>
        <w:tc>
          <w:tcPr>
            <w:tcW w:w="2907" w:type="dxa"/>
          </w:tcPr>
          <w:p w:rsidR="008E7846" w:rsidRPr="003D1E62" w:rsidRDefault="008E7846" w:rsidP="003D1E62">
            <w:pPr>
              <w:rPr>
                <w:i/>
              </w:rPr>
            </w:pPr>
            <w:r w:rsidRPr="003D1E62">
              <w:rPr>
                <w:i/>
              </w:rPr>
              <w:t>Date of Decision:</w:t>
            </w:r>
          </w:p>
        </w:tc>
        <w:tc>
          <w:tcPr>
            <w:tcW w:w="6590" w:type="dxa"/>
            <w:gridSpan w:val="2"/>
          </w:tcPr>
          <w:p w:rsidR="008E7846" w:rsidRPr="003D1E62" w:rsidRDefault="00432401" w:rsidP="003D1E62">
            <w:r>
              <w:t>30</w:t>
            </w:r>
            <w:r w:rsidR="00D76E2E" w:rsidRPr="00432401">
              <w:t xml:space="preserve"> October 2012</w:t>
            </w:r>
          </w:p>
        </w:tc>
      </w:tr>
      <w:tr w:rsidR="008E7846" w:rsidRPr="00487162" w:rsidTr="00611356">
        <w:trPr>
          <w:gridAfter w:val="1"/>
          <w:wAfter w:w="1133" w:type="dxa"/>
        </w:trPr>
        <w:tc>
          <w:tcPr>
            <w:tcW w:w="2907" w:type="dxa"/>
          </w:tcPr>
          <w:p w:rsidR="008E7846" w:rsidRPr="00487162" w:rsidRDefault="008E7846" w:rsidP="000A3ACB">
            <w:pPr>
              <w:rPr>
                <w:i/>
              </w:rPr>
            </w:pPr>
            <w:r w:rsidRPr="00487162">
              <w:rPr>
                <w:i/>
              </w:rPr>
              <w:t>Active ingredient:</w:t>
            </w:r>
          </w:p>
        </w:tc>
        <w:tc>
          <w:tcPr>
            <w:tcW w:w="5457" w:type="dxa"/>
          </w:tcPr>
          <w:p w:rsidR="008E7846" w:rsidRPr="00487162" w:rsidRDefault="00E0525C" w:rsidP="00E45619">
            <w:proofErr w:type="spellStart"/>
            <w:r>
              <w:t>I</w:t>
            </w:r>
            <w:r w:rsidRPr="00E0525C">
              <w:t>matinib</w:t>
            </w:r>
            <w:proofErr w:type="spellEnd"/>
            <w:r w:rsidRPr="00E0525C">
              <w:t xml:space="preserve"> (as </w:t>
            </w:r>
            <w:proofErr w:type="spellStart"/>
            <w:r w:rsidRPr="00E0525C">
              <w:t>mesylate</w:t>
            </w:r>
            <w:proofErr w:type="spellEnd"/>
            <w:r w:rsidRPr="00E0525C">
              <w:t>)</w:t>
            </w:r>
          </w:p>
        </w:tc>
      </w:tr>
      <w:tr w:rsidR="008E7846" w:rsidRPr="00487162" w:rsidTr="00611356">
        <w:trPr>
          <w:gridAfter w:val="1"/>
          <w:wAfter w:w="1133" w:type="dxa"/>
        </w:trPr>
        <w:tc>
          <w:tcPr>
            <w:tcW w:w="2907" w:type="dxa"/>
          </w:tcPr>
          <w:p w:rsidR="008E7846" w:rsidRPr="00487162" w:rsidRDefault="008E7846" w:rsidP="000A3ACB">
            <w:pPr>
              <w:rPr>
                <w:i/>
              </w:rPr>
            </w:pPr>
            <w:r w:rsidRPr="00487162">
              <w:rPr>
                <w:i/>
              </w:rPr>
              <w:t>Product Name:</w:t>
            </w:r>
          </w:p>
        </w:tc>
        <w:tc>
          <w:tcPr>
            <w:tcW w:w="5457" w:type="dxa"/>
          </w:tcPr>
          <w:p w:rsidR="008E7846" w:rsidRPr="00487162" w:rsidRDefault="00E0525C" w:rsidP="00E45619">
            <w:proofErr w:type="spellStart"/>
            <w:r>
              <w:t>Glivec</w:t>
            </w:r>
            <w:proofErr w:type="spellEnd"/>
          </w:p>
        </w:tc>
      </w:tr>
      <w:tr w:rsidR="008E7846" w:rsidRPr="00487162" w:rsidTr="00611356">
        <w:trPr>
          <w:gridAfter w:val="1"/>
          <w:wAfter w:w="1133" w:type="dxa"/>
        </w:trPr>
        <w:tc>
          <w:tcPr>
            <w:tcW w:w="2907" w:type="dxa"/>
          </w:tcPr>
          <w:p w:rsidR="008E7846" w:rsidRPr="00487162" w:rsidRDefault="008E7846" w:rsidP="00E45619">
            <w:pPr>
              <w:rPr>
                <w:i/>
              </w:rPr>
            </w:pPr>
            <w:r w:rsidRPr="00487162">
              <w:rPr>
                <w:i/>
              </w:rPr>
              <w:t>Sponsor’s Name and Address:</w:t>
            </w:r>
          </w:p>
        </w:tc>
        <w:tc>
          <w:tcPr>
            <w:tcW w:w="5457" w:type="dxa"/>
          </w:tcPr>
          <w:p w:rsidR="008E7846" w:rsidRPr="00487162" w:rsidRDefault="00E0525C" w:rsidP="000A3ACB">
            <w:r>
              <w:t>Novartis Pharmaceuticals Australia Pty Ltd</w:t>
            </w:r>
            <w:r w:rsidR="000A3ACB">
              <w:br/>
            </w:r>
            <w:r>
              <w:t>54 Waterloo Road</w:t>
            </w:r>
            <w:r w:rsidR="000A3ACB">
              <w:br/>
            </w:r>
            <w:r>
              <w:t>North Ryde NSW 2113</w:t>
            </w:r>
          </w:p>
        </w:tc>
      </w:tr>
      <w:tr w:rsidR="008E7846" w:rsidRPr="00487162" w:rsidTr="00611356">
        <w:trPr>
          <w:gridAfter w:val="1"/>
          <w:wAfter w:w="1133" w:type="dxa"/>
        </w:trPr>
        <w:tc>
          <w:tcPr>
            <w:tcW w:w="2907" w:type="dxa"/>
          </w:tcPr>
          <w:p w:rsidR="008E7846" w:rsidRPr="00487162" w:rsidRDefault="000A3ACB" w:rsidP="000A3ACB">
            <w:pPr>
              <w:rPr>
                <w:i/>
              </w:rPr>
            </w:pPr>
            <w:r>
              <w:rPr>
                <w:i/>
              </w:rPr>
              <w:t>Dose form</w:t>
            </w:r>
            <w:r w:rsidR="008E7846" w:rsidRPr="00487162">
              <w:rPr>
                <w:i/>
              </w:rPr>
              <w:t>s:</w:t>
            </w:r>
          </w:p>
        </w:tc>
        <w:tc>
          <w:tcPr>
            <w:tcW w:w="5457" w:type="dxa"/>
          </w:tcPr>
          <w:p w:rsidR="008E7846" w:rsidRPr="00487162" w:rsidRDefault="00E113EB" w:rsidP="00E113EB">
            <w:r w:rsidRPr="00E113EB">
              <w:t>hard capsules and film coated tablets</w:t>
            </w:r>
          </w:p>
        </w:tc>
      </w:tr>
      <w:tr w:rsidR="008E7846" w:rsidRPr="00487162" w:rsidTr="00611356">
        <w:trPr>
          <w:gridAfter w:val="1"/>
          <w:wAfter w:w="1133" w:type="dxa"/>
        </w:trPr>
        <w:tc>
          <w:tcPr>
            <w:tcW w:w="2907" w:type="dxa"/>
          </w:tcPr>
          <w:p w:rsidR="008E7846" w:rsidRPr="00487162" w:rsidRDefault="000A3ACB" w:rsidP="00E45619">
            <w:pPr>
              <w:rPr>
                <w:i/>
              </w:rPr>
            </w:pPr>
            <w:r>
              <w:rPr>
                <w:i/>
              </w:rPr>
              <w:t>Strengths</w:t>
            </w:r>
            <w:r w:rsidR="008E7846" w:rsidRPr="00487162">
              <w:rPr>
                <w:i/>
              </w:rPr>
              <w:t>:</w:t>
            </w:r>
          </w:p>
        </w:tc>
        <w:tc>
          <w:tcPr>
            <w:tcW w:w="5457" w:type="dxa"/>
          </w:tcPr>
          <w:p w:rsidR="008E7846" w:rsidRPr="00487162" w:rsidRDefault="00E113EB" w:rsidP="000A3ACB">
            <w:r>
              <w:t>hard capsules: 50 mg and 100 mg</w:t>
            </w:r>
            <w:r w:rsidR="000A3ACB">
              <w:br/>
            </w:r>
            <w:r>
              <w:t xml:space="preserve">film coated tablets: </w:t>
            </w:r>
            <w:r w:rsidRPr="00E113EB">
              <w:t>100 mg and 400 mg</w:t>
            </w:r>
          </w:p>
        </w:tc>
      </w:tr>
      <w:tr w:rsidR="008E7846" w:rsidRPr="00487162" w:rsidTr="00611356">
        <w:trPr>
          <w:gridAfter w:val="1"/>
          <w:wAfter w:w="1133" w:type="dxa"/>
        </w:trPr>
        <w:tc>
          <w:tcPr>
            <w:tcW w:w="2907" w:type="dxa"/>
          </w:tcPr>
          <w:p w:rsidR="008E7846" w:rsidRPr="00487162" w:rsidRDefault="008E7846" w:rsidP="00E45619">
            <w:pPr>
              <w:rPr>
                <w:i/>
              </w:rPr>
            </w:pPr>
            <w:r w:rsidRPr="00487162">
              <w:rPr>
                <w:i/>
              </w:rPr>
              <w:t>Approved Therapeutic use:</w:t>
            </w:r>
          </w:p>
        </w:tc>
        <w:tc>
          <w:tcPr>
            <w:tcW w:w="5457" w:type="dxa"/>
          </w:tcPr>
          <w:p w:rsidR="008E7846" w:rsidRDefault="00611356" w:rsidP="00E45619">
            <w:pPr>
              <w:rPr>
                <w:rFonts w:eastAsia="MS Mincho"/>
                <w:lang w:eastAsia="ja-JP"/>
              </w:rPr>
            </w:pPr>
            <w:proofErr w:type="spellStart"/>
            <w:r>
              <w:rPr>
                <w:rFonts w:eastAsia="MS Mincho"/>
                <w:lang w:eastAsia="ja-JP"/>
              </w:rPr>
              <w:t>Glivec</w:t>
            </w:r>
            <w:proofErr w:type="spellEnd"/>
            <w:r>
              <w:rPr>
                <w:rFonts w:eastAsia="MS Mincho"/>
                <w:lang w:eastAsia="ja-JP"/>
              </w:rPr>
              <w:t xml:space="preserve"> is indicated for the treatment of:</w:t>
            </w:r>
          </w:p>
          <w:p w:rsidR="00611356" w:rsidRPr="00611356" w:rsidRDefault="00611356" w:rsidP="000A3ACB">
            <w:pPr>
              <w:pStyle w:val="ListBullet"/>
              <w:rPr>
                <w:lang w:eastAsia="ja-JP"/>
              </w:rPr>
            </w:pPr>
            <w:r w:rsidRPr="00611356">
              <w:rPr>
                <w:lang w:eastAsia="ja-JP"/>
              </w:rPr>
              <w:t xml:space="preserve">patients with </w:t>
            </w:r>
            <w:r>
              <w:rPr>
                <w:lang w:eastAsia="ja-JP"/>
              </w:rPr>
              <w:t>chronic myeloid leukaemia (CML);</w:t>
            </w:r>
          </w:p>
          <w:p w:rsidR="00611356" w:rsidRPr="00611356" w:rsidRDefault="00611356" w:rsidP="000A3ACB">
            <w:pPr>
              <w:pStyle w:val="ListBullet"/>
              <w:rPr>
                <w:lang w:eastAsia="ja-JP"/>
              </w:rPr>
            </w:pPr>
            <w:r w:rsidRPr="00611356">
              <w:rPr>
                <w:lang w:eastAsia="ja-JP"/>
              </w:rPr>
              <w:t xml:space="preserve">patients with </w:t>
            </w:r>
            <w:r w:rsidR="000E558F">
              <w:rPr>
                <w:lang w:eastAsia="ja-JP"/>
              </w:rPr>
              <w:t>KIT</w:t>
            </w:r>
            <w:r w:rsidRPr="00611356">
              <w:rPr>
                <w:lang w:eastAsia="ja-JP"/>
              </w:rPr>
              <w:t xml:space="preserve"> (CD117) positive </w:t>
            </w:r>
            <w:proofErr w:type="spellStart"/>
            <w:r w:rsidRPr="00611356">
              <w:rPr>
                <w:lang w:eastAsia="ja-JP"/>
              </w:rPr>
              <w:t>unresectable</w:t>
            </w:r>
            <w:proofErr w:type="spellEnd"/>
            <w:r w:rsidRPr="00611356">
              <w:rPr>
                <w:lang w:eastAsia="ja-JP"/>
              </w:rPr>
              <w:t xml:space="preserve"> and/or metastatic malignant gastroin</w:t>
            </w:r>
            <w:r>
              <w:rPr>
                <w:lang w:eastAsia="ja-JP"/>
              </w:rPr>
              <w:t xml:space="preserve">testinal </w:t>
            </w:r>
            <w:proofErr w:type="spellStart"/>
            <w:r>
              <w:rPr>
                <w:lang w:eastAsia="ja-JP"/>
              </w:rPr>
              <w:t>stromal</w:t>
            </w:r>
            <w:proofErr w:type="spellEnd"/>
            <w:r>
              <w:rPr>
                <w:lang w:eastAsia="ja-JP"/>
              </w:rPr>
              <w:t xml:space="preserve"> tumours (GIST);</w:t>
            </w:r>
          </w:p>
          <w:p w:rsidR="00611356" w:rsidRPr="00611356" w:rsidRDefault="00611356" w:rsidP="000A3ACB">
            <w:pPr>
              <w:pStyle w:val="ListBullet"/>
              <w:rPr>
                <w:lang w:eastAsia="ja-JP"/>
              </w:rPr>
            </w:pPr>
            <w:r w:rsidRPr="00611356">
              <w:rPr>
                <w:lang w:eastAsia="ja-JP"/>
              </w:rPr>
              <w:t>adjuvant treatment of adult patients at high risk of recurrence following complete</w:t>
            </w:r>
            <w:r w:rsidR="00EE43D6">
              <w:rPr>
                <w:lang w:eastAsia="ja-JP"/>
              </w:rPr>
              <w:t xml:space="preserve"> gross resection of </w:t>
            </w:r>
            <w:r w:rsidR="000E558F">
              <w:rPr>
                <w:lang w:eastAsia="ja-JP"/>
              </w:rPr>
              <w:t>KIT</w:t>
            </w:r>
            <w:r w:rsidR="00EE43D6">
              <w:rPr>
                <w:lang w:eastAsia="ja-JP"/>
              </w:rPr>
              <w:t xml:space="preserve"> (CD117) </w:t>
            </w:r>
            <w:r w:rsidRPr="00611356">
              <w:rPr>
                <w:lang w:eastAsia="ja-JP"/>
              </w:rPr>
              <w:t>posi</w:t>
            </w:r>
            <w:r w:rsidR="00EE43D6">
              <w:rPr>
                <w:lang w:eastAsia="ja-JP"/>
              </w:rPr>
              <w:t>tive primary GIST</w:t>
            </w:r>
            <w:r>
              <w:rPr>
                <w:lang w:eastAsia="ja-JP"/>
              </w:rPr>
              <w:t>;</w:t>
            </w:r>
          </w:p>
          <w:p w:rsidR="00611356" w:rsidRPr="00611356" w:rsidRDefault="00611356" w:rsidP="000A3ACB">
            <w:pPr>
              <w:pStyle w:val="ListBullet"/>
              <w:rPr>
                <w:lang w:eastAsia="ja-JP"/>
              </w:rPr>
            </w:pPr>
            <w:r w:rsidRPr="00611356">
              <w:rPr>
                <w:lang w:eastAsia="ja-JP"/>
              </w:rPr>
              <w:t>adult patients with newly diagnosed Philadelphia chromosome positive acute lymphoblastic leukaemia (Ph+ AL</w:t>
            </w:r>
            <w:r w:rsidR="00EE43D6">
              <w:rPr>
                <w:lang w:eastAsia="ja-JP"/>
              </w:rPr>
              <w:t>L) integrated with chemotherapy;</w:t>
            </w:r>
          </w:p>
          <w:p w:rsidR="00611356" w:rsidRPr="00611356" w:rsidRDefault="00611356" w:rsidP="000A3ACB">
            <w:pPr>
              <w:pStyle w:val="ListBullet"/>
              <w:rPr>
                <w:lang w:eastAsia="ja-JP"/>
              </w:rPr>
            </w:pPr>
            <w:r w:rsidRPr="00611356">
              <w:rPr>
                <w:lang w:eastAsia="ja-JP"/>
              </w:rPr>
              <w:t>adult patients with relapsed or refractory Ph+</w:t>
            </w:r>
            <w:r w:rsidR="00EE43D6">
              <w:rPr>
                <w:lang w:eastAsia="ja-JP"/>
              </w:rPr>
              <w:t xml:space="preserve"> ALL as </w:t>
            </w:r>
            <w:proofErr w:type="spellStart"/>
            <w:r w:rsidR="00EE43D6">
              <w:rPr>
                <w:lang w:eastAsia="ja-JP"/>
              </w:rPr>
              <w:t>monotherapy</w:t>
            </w:r>
            <w:proofErr w:type="spellEnd"/>
            <w:r w:rsidR="00EE43D6">
              <w:rPr>
                <w:lang w:eastAsia="ja-JP"/>
              </w:rPr>
              <w:t>;</w:t>
            </w:r>
          </w:p>
          <w:p w:rsidR="00611356" w:rsidRPr="00611356" w:rsidRDefault="00611356" w:rsidP="000A3ACB">
            <w:pPr>
              <w:pStyle w:val="ListBullet"/>
              <w:rPr>
                <w:lang w:eastAsia="ja-JP"/>
              </w:rPr>
            </w:pPr>
            <w:r w:rsidRPr="00611356">
              <w:rPr>
                <w:lang w:eastAsia="ja-JP"/>
              </w:rPr>
              <w:t xml:space="preserve">adult patients with </w:t>
            </w:r>
            <w:proofErr w:type="spellStart"/>
            <w:r w:rsidRPr="00611356">
              <w:rPr>
                <w:lang w:eastAsia="ja-JP"/>
              </w:rPr>
              <w:t>myelodysplastic</w:t>
            </w:r>
            <w:proofErr w:type="spellEnd"/>
            <w:r w:rsidRPr="00611356">
              <w:rPr>
                <w:lang w:eastAsia="ja-JP"/>
              </w:rPr>
              <w:t>/</w:t>
            </w:r>
            <w:r w:rsidR="00EE43D6">
              <w:rPr>
                <w:lang w:eastAsia="ja-JP"/>
              </w:rPr>
              <w:t xml:space="preserve"> </w:t>
            </w:r>
            <w:proofErr w:type="spellStart"/>
            <w:r w:rsidRPr="00611356">
              <w:rPr>
                <w:lang w:eastAsia="ja-JP"/>
              </w:rPr>
              <w:t>myeloproliferative</w:t>
            </w:r>
            <w:proofErr w:type="spellEnd"/>
            <w:r w:rsidRPr="00611356">
              <w:rPr>
                <w:lang w:eastAsia="ja-JP"/>
              </w:rPr>
              <w:t xml:space="preserve"> diseases (MD</w:t>
            </w:r>
            <w:r w:rsidR="00EE43D6">
              <w:rPr>
                <w:lang w:eastAsia="ja-JP"/>
              </w:rPr>
              <w:t xml:space="preserve">S/MPD) associated with platelet </w:t>
            </w:r>
            <w:r w:rsidRPr="00611356">
              <w:rPr>
                <w:lang w:eastAsia="ja-JP"/>
              </w:rPr>
              <w:t xml:space="preserve">derived growth </w:t>
            </w:r>
            <w:r w:rsidR="00EE43D6">
              <w:rPr>
                <w:lang w:eastAsia="ja-JP"/>
              </w:rPr>
              <w:t>factor receptor (PDGFR) gene re</w:t>
            </w:r>
            <w:r w:rsidRPr="00611356">
              <w:rPr>
                <w:lang w:eastAsia="ja-JP"/>
              </w:rPr>
              <w:t>arrangements, where conv</w:t>
            </w:r>
            <w:r w:rsidR="00EE43D6">
              <w:rPr>
                <w:lang w:eastAsia="ja-JP"/>
              </w:rPr>
              <w:t>entional therapies have failed;</w:t>
            </w:r>
          </w:p>
          <w:p w:rsidR="00611356" w:rsidRPr="00611356" w:rsidRDefault="00611356" w:rsidP="000A3ACB">
            <w:pPr>
              <w:pStyle w:val="ListBullet"/>
              <w:rPr>
                <w:lang w:eastAsia="ja-JP"/>
              </w:rPr>
            </w:pPr>
            <w:r w:rsidRPr="00611356">
              <w:rPr>
                <w:lang w:eastAsia="ja-JP"/>
              </w:rPr>
              <w:t xml:space="preserve">adult patients with aggressive systemic </w:t>
            </w:r>
            <w:proofErr w:type="spellStart"/>
            <w:r w:rsidRPr="00611356">
              <w:rPr>
                <w:lang w:eastAsia="ja-JP"/>
              </w:rPr>
              <w:t>mastocytosis</w:t>
            </w:r>
            <w:proofErr w:type="spellEnd"/>
            <w:r w:rsidRPr="00611356">
              <w:rPr>
                <w:lang w:eastAsia="ja-JP"/>
              </w:rPr>
              <w:t xml:space="preserve"> (ASM) where conv</w:t>
            </w:r>
            <w:r w:rsidR="00EE43D6">
              <w:rPr>
                <w:lang w:eastAsia="ja-JP"/>
              </w:rPr>
              <w:t>entional therapies have failed;</w:t>
            </w:r>
          </w:p>
          <w:p w:rsidR="00611356" w:rsidRPr="00611356" w:rsidRDefault="00611356" w:rsidP="000A3ACB">
            <w:pPr>
              <w:pStyle w:val="ListBullet"/>
              <w:rPr>
                <w:lang w:eastAsia="ja-JP"/>
              </w:rPr>
            </w:pPr>
            <w:r w:rsidRPr="00611356">
              <w:rPr>
                <w:lang w:eastAsia="ja-JP"/>
              </w:rPr>
              <w:t xml:space="preserve">adult patients with </w:t>
            </w:r>
            <w:proofErr w:type="spellStart"/>
            <w:r w:rsidRPr="00611356">
              <w:rPr>
                <w:lang w:eastAsia="ja-JP"/>
              </w:rPr>
              <w:t>hypereosinophilic</w:t>
            </w:r>
            <w:proofErr w:type="spellEnd"/>
            <w:r w:rsidRPr="00611356">
              <w:rPr>
                <w:lang w:eastAsia="ja-JP"/>
              </w:rPr>
              <w:t xml:space="preserve"> syndrome (HES) and/or chronic </w:t>
            </w:r>
            <w:proofErr w:type="spellStart"/>
            <w:r w:rsidRPr="00611356">
              <w:rPr>
                <w:lang w:eastAsia="ja-JP"/>
              </w:rPr>
              <w:t>eosinophilic</w:t>
            </w:r>
            <w:proofErr w:type="spellEnd"/>
            <w:r w:rsidRPr="00611356">
              <w:rPr>
                <w:lang w:eastAsia="ja-JP"/>
              </w:rPr>
              <w:t xml:space="preserve"> leukaemia </w:t>
            </w:r>
            <w:r w:rsidR="00EE43D6">
              <w:rPr>
                <w:lang w:eastAsia="ja-JP"/>
              </w:rPr>
              <w:t>(CEL);</w:t>
            </w:r>
          </w:p>
          <w:p w:rsidR="00611356" w:rsidRPr="00487162" w:rsidRDefault="00611356" w:rsidP="000A3ACB">
            <w:pPr>
              <w:pStyle w:val="ListBullet"/>
              <w:rPr>
                <w:lang w:eastAsia="ja-JP"/>
              </w:rPr>
            </w:pPr>
            <w:proofErr w:type="gramStart"/>
            <w:r w:rsidRPr="00611356">
              <w:rPr>
                <w:lang w:eastAsia="ja-JP"/>
              </w:rPr>
              <w:t>adult</w:t>
            </w:r>
            <w:proofErr w:type="gramEnd"/>
            <w:r w:rsidRPr="00611356">
              <w:rPr>
                <w:lang w:eastAsia="ja-JP"/>
              </w:rPr>
              <w:t xml:space="preserve"> patients with </w:t>
            </w:r>
            <w:proofErr w:type="spellStart"/>
            <w:r w:rsidRPr="00611356">
              <w:rPr>
                <w:lang w:eastAsia="ja-JP"/>
              </w:rPr>
              <w:t>unresectable</w:t>
            </w:r>
            <w:proofErr w:type="spellEnd"/>
            <w:r w:rsidRPr="00611356">
              <w:rPr>
                <w:lang w:eastAsia="ja-JP"/>
              </w:rPr>
              <w:t xml:space="preserve">, recurrent and/or metastatic </w:t>
            </w:r>
            <w:proofErr w:type="spellStart"/>
            <w:r w:rsidRPr="00611356">
              <w:rPr>
                <w:lang w:eastAsia="ja-JP"/>
              </w:rPr>
              <w:t>dermatofibrosarcoma</w:t>
            </w:r>
            <w:proofErr w:type="spellEnd"/>
            <w:r w:rsidRPr="00611356">
              <w:rPr>
                <w:lang w:eastAsia="ja-JP"/>
              </w:rPr>
              <w:t xml:space="preserve"> </w:t>
            </w:r>
            <w:proofErr w:type="spellStart"/>
            <w:r w:rsidRPr="00611356">
              <w:rPr>
                <w:lang w:eastAsia="ja-JP"/>
              </w:rPr>
              <w:t>protuberans</w:t>
            </w:r>
            <w:proofErr w:type="spellEnd"/>
            <w:r w:rsidRPr="00611356">
              <w:rPr>
                <w:lang w:eastAsia="ja-JP"/>
              </w:rPr>
              <w:t xml:space="preserve"> </w:t>
            </w:r>
            <w:r w:rsidRPr="00611356">
              <w:rPr>
                <w:lang w:eastAsia="ja-JP"/>
              </w:rPr>
              <w:lastRenderedPageBreak/>
              <w:t>(DFSP).</w:t>
            </w:r>
          </w:p>
        </w:tc>
      </w:tr>
      <w:tr w:rsidR="008E7846" w:rsidRPr="00487162" w:rsidTr="00611356">
        <w:trPr>
          <w:gridAfter w:val="1"/>
          <w:wAfter w:w="1133" w:type="dxa"/>
        </w:trPr>
        <w:tc>
          <w:tcPr>
            <w:tcW w:w="2907" w:type="dxa"/>
          </w:tcPr>
          <w:p w:rsidR="008E7846" w:rsidRPr="00487162" w:rsidRDefault="000A3ACB" w:rsidP="000A3ACB">
            <w:pPr>
              <w:rPr>
                <w:i/>
              </w:rPr>
            </w:pPr>
            <w:r>
              <w:rPr>
                <w:i/>
              </w:rPr>
              <w:lastRenderedPageBreak/>
              <w:t>Route</w:t>
            </w:r>
            <w:r w:rsidR="008E7846" w:rsidRPr="00487162">
              <w:rPr>
                <w:i/>
              </w:rPr>
              <w:t xml:space="preserve"> of administration:</w:t>
            </w:r>
          </w:p>
        </w:tc>
        <w:tc>
          <w:tcPr>
            <w:tcW w:w="5457" w:type="dxa"/>
          </w:tcPr>
          <w:p w:rsidR="008E7846" w:rsidRPr="00487162" w:rsidRDefault="00373C9C" w:rsidP="00E45619">
            <w:r>
              <w:t>Oral</w:t>
            </w:r>
          </w:p>
        </w:tc>
      </w:tr>
      <w:tr w:rsidR="008E7846" w:rsidRPr="00487162" w:rsidTr="00611356">
        <w:trPr>
          <w:gridAfter w:val="1"/>
          <w:wAfter w:w="1133" w:type="dxa"/>
        </w:trPr>
        <w:tc>
          <w:tcPr>
            <w:tcW w:w="2907" w:type="dxa"/>
          </w:tcPr>
          <w:p w:rsidR="008E7846" w:rsidRPr="00487162" w:rsidRDefault="008E7846" w:rsidP="00E45619">
            <w:pPr>
              <w:rPr>
                <w:i/>
              </w:rPr>
            </w:pPr>
            <w:r w:rsidRPr="00487162">
              <w:rPr>
                <w:i/>
              </w:rPr>
              <w:t>Dosage:</w:t>
            </w:r>
          </w:p>
        </w:tc>
        <w:tc>
          <w:tcPr>
            <w:tcW w:w="5457" w:type="dxa"/>
          </w:tcPr>
          <w:p w:rsidR="008E7846" w:rsidRPr="00487162" w:rsidRDefault="00E815A7" w:rsidP="00E815A7">
            <w:r w:rsidRPr="00E815A7">
              <w:t xml:space="preserve">The recommended dose of </w:t>
            </w:r>
            <w:proofErr w:type="spellStart"/>
            <w:r w:rsidRPr="00E815A7">
              <w:t>Glivec</w:t>
            </w:r>
            <w:proofErr w:type="spellEnd"/>
            <w:r w:rsidRPr="00E815A7">
              <w:t xml:space="preserve"> is 400 mg/day for a period of 12 months for the adjuvant treatment of GIST. In the present application, the indication and daily dose of </w:t>
            </w:r>
            <w:proofErr w:type="spellStart"/>
            <w:r w:rsidRPr="00E815A7">
              <w:t>Glivec</w:t>
            </w:r>
            <w:proofErr w:type="spellEnd"/>
            <w:r w:rsidRPr="00E815A7">
              <w:t xml:space="preserve"> remained the same but the period of administration was proposed to be 36 months instead of 12 months.</w:t>
            </w:r>
          </w:p>
        </w:tc>
      </w:tr>
      <w:tr w:rsidR="008E7846" w:rsidRPr="00487162" w:rsidTr="00611356">
        <w:trPr>
          <w:gridAfter w:val="1"/>
          <w:wAfter w:w="1133" w:type="dxa"/>
        </w:trPr>
        <w:tc>
          <w:tcPr>
            <w:tcW w:w="2907" w:type="dxa"/>
          </w:tcPr>
          <w:p w:rsidR="008E7846" w:rsidRPr="00487162" w:rsidRDefault="008E7846" w:rsidP="000A3ACB">
            <w:pPr>
              <w:rPr>
                <w:i/>
              </w:rPr>
            </w:pPr>
            <w:r w:rsidRPr="00487162">
              <w:rPr>
                <w:i/>
              </w:rPr>
              <w:t>ARTG Numbers</w:t>
            </w:r>
            <w:r w:rsidR="000A3ACB">
              <w:rPr>
                <w:i/>
              </w:rPr>
              <w:t>:</w:t>
            </w:r>
          </w:p>
        </w:tc>
        <w:tc>
          <w:tcPr>
            <w:tcW w:w="5457" w:type="dxa"/>
          </w:tcPr>
          <w:p w:rsidR="000E558F" w:rsidRDefault="000E558F" w:rsidP="000E558F">
            <w:r>
              <w:t>78441 (50 mg caps)</w:t>
            </w:r>
          </w:p>
          <w:p w:rsidR="000E558F" w:rsidRDefault="000E558F" w:rsidP="000E558F">
            <w:r>
              <w:t>78442 (100 mg caps)</w:t>
            </w:r>
          </w:p>
          <w:p w:rsidR="000E558F" w:rsidRDefault="000E558F" w:rsidP="000E558F">
            <w:r>
              <w:t>94216 (100 mg tabs)</w:t>
            </w:r>
          </w:p>
          <w:p w:rsidR="008E7846" w:rsidRPr="00487162" w:rsidRDefault="000E558F" w:rsidP="000E558F">
            <w:r w:rsidRPr="000E558F">
              <w:t>94217 (400 mg tabs)</w:t>
            </w:r>
          </w:p>
        </w:tc>
      </w:tr>
    </w:tbl>
    <w:p w:rsidR="008E7846" w:rsidRDefault="008E7846" w:rsidP="008E7846">
      <w:pPr>
        <w:pStyle w:val="Heading3"/>
      </w:pPr>
      <w:bookmarkStart w:id="7" w:name="_Toc247691503"/>
      <w:bookmarkStart w:id="8" w:name="_Toc314842484"/>
      <w:bookmarkStart w:id="9" w:name="_Toc361309710"/>
      <w:r>
        <w:t>Product background</w:t>
      </w:r>
      <w:bookmarkEnd w:id="7"/>
      <w:bookmarkEnd w:id="8"/>
      <w:bookmarkEnd w:id="9"/>
    </w:p>
    <w:p w:rsidR="00AB4BCF" w:rsidRDefault="0096398A" w:rsidP="000A3ACB">
      <w:bookmarkStart w:id="10" w:name="_Toc314842485"/>
      <w:bookmarkStart w:id="11" w:name="_Toc247691504"/>
      <w:r>
        <w:t xml:space="preserve">This AusPAR describes an application by the sponsor, Novartis Pharmaceuticals Australia Pty Ltd, </w:t>
      </w:r>
      <w:r w:rsidR="00AB4BCF" w:rsidRPr="00AB4BCF">
        <w:t xml:space="preserve">to extend the approved duration of adjuvant treatment with </w:t>
      </w:r>
      <w:proofErr w:type="spellStart"/>
      <w:r w:rsidR="00AB4BCF" w:rsidRPr="00AB4BCF">
        <w:t>Glivec</w:t>
      </w:r>
      <w:proofErr w:type="spellEnd"/>
      <w:r w:rsidR="00AB4BCF" w:rsidRPr="00AB4BCF">
        <w:t xml:space="preserve"> </w:t>
      </w:r>
      <w:r w:rsidR="00AB4BCF">
        <w:t>(</w:t>
      </w:r>
      <w:proofErr w:type="spellStart"/>
      <w:r w:rsidR="00AB4BCF">
        <w:t>imatinib</w:t>
      </w:r>
      <w:proofErr w:type="spellEnd"/>
      <w:r w:rsidR="00AB4BCF" w:rsidRPr="00E0525C">
        <w:t xml:space="preserve"> </w:t>
      </w:r>
      <w:proofErr w:type="spellStart"/>
      <w:r w:rsidR="00AB4BCF" w:rsidRPr="00E0525C">
        <w:t>mesylate</w:t>
      </w:r>
      <w:proofErr w:type="spellEnd"/>
      <w:r w:rsidR="00AB4BCF">
        <w:t xml:space="preserve">) </w:t>
      </w:r>
      <w:r w:rsidR="00AB4BCF" w:rsidRPr="00AB4BCF">
        <w:t>of adult patients following</w:t>
      </w:r>
      <w:r w:rsidR="00986654">
        <w:t xml:space="preserve"> complete gross resection of </w:t>
      </w:r>
      <w:r w:rsidR="000E558F">
        <w:t>KIT</w:t>
      </w:r>
      <w:r w:rsidR="00986654">
        <w:t xml:space="preserve"> (CD117) </w:t>
      </w:r>
      <w:r w:rsidR="00AB4BCF" w:rsidRPr="00AB4BCF">
        <w:t xml:space="preserve">positive primary </w:t>
      </w:r>
      <w:r w:rsidR="00986654" w:rsidRPr="0096398A">
        <w:t xml:space="preserve">gastrointestinal </w:t>
      </w:r>
      <w:proofErr w:type="spellStart"/>
      <w:r w:rsidR="00986654" w:rsidRPr="0096398A">
        <w:t>stromal</w:t>
      </w:r>
      <w:proofErr w:type="spellEnd"/>
      <w:r w:rsidR="00986654" w:rsidRPr="0096398A">
        <w:t xml:space="preserve"> tumours </w:t>
      </w:r>
      <w:r w:rsidR="00986654">
        <w:t>(</w:t>
      </w:r>
      <w:r w:rsidR="00AB4BCF" w:rsidRPr="00AB4BCF">
        <w:t>GIST</w:t>
      </w:r>
      <w:r w:rsidR="00986654">
        <w:t>)</w:t>
      </w:r>
      <w:r w:rsidR="00AB4BCF" w:rsidRPr="00AB4BCF">
        <w:t xml:space="preserve"> from 12 months to a minimum of 36 months, and to add efficacy and safety data to the clinical section of the Product Information</w:t>
      </w:r>
      <w:r w:rsidR="00986654">
        <w:t xml:space="preserve"> (PI)</w:t>
      </w:r>
      <w:r w:rsidR="00AB4BCF" w:rsidRPr="00AB4BCF">
        <w:t>.</w:t>
      </w:r>
    </w:p>
    <w:p w:rsidR="0068660A" w:rsidRDefault="00E01D0E" w:rsidP="000A3ACB">
      <w:proofErr w:type="spellStart"/>
      <w:r w:rsidRPr="00E01D0E">
        <w:t>Imatinib</w:t>
      </w:r>
      <w:proofErr w:type="spellEnd"/>
      <w:r w:rsidRPr="00E01D0E">
        <w:t xml:space="preserve"> </w:t>
      </w:r>
      <w:proofErr w:type="spellStart"/>
      <w:r w:rsidRPr="00E01D0E">
        <w:t>mesylate</w:t>
      </w:r>
      <w:proofErr w:type="spellEnd"/>
      <w:r w:rsidRPr="00E01D0E">
        <w:t xml:space="preserve"> (</w:t>
      </w:r>
      <w:proofErr w:type="spellStart"/>
      <w:r w:rsidRPr="00E01D0E">
        <w:t>imatinib</w:t>
      </w:r>
      <w:proofErr w:type="spellEnd"/>
      <w:r w:rsidRPr="00E01D0E">
        <w:t xml:space="preserve">) is an inhibitor of several protein tyrosine </w:t>
      </w:r>
      <w:proofErr w:type="spellStart"/>
      <w:r w:rsidRPr="00E01D0E">
        <w:t>kinases</w:t>
      </w:r>
      <w:proofErr w:type="spellEnd"/>
      <w:r w:rsidRPr="00E01D0E">
        <w:t xml:space="preserve"> involved in cellular pr</w:t>
      </w:r>
      <w:r w:rsidR="000E558F">
        <w:t>oliferation. One of these is KIT</w:t>
      </w:r>
      <w:r w:rsidRPr="00E01D0E">
        <w:t>, the receptor for stem cell factor (SCF) produce</w:t>
      </w:r>
      <w:r w:rsidR="000E558F">
        <w:t xml:space="preserve">d by the </w:t>
      </w:r>
      <w:r w:rsidR="000E558F">
        <w:rPr>
          <w:i/>
        </w:rPr>
        <w:t xml:space="preserve">KIT </w:t>
      </w:r>
      <w:proofErr w:type="spellStart"/>
      <w:r w:rsidRPr="00E01D0E">
        <w:t>oncogene</w:t>
      </w:r>
      <w:proofErr w:type="spellEnd"/>
      <w:r w:rsidRPr="00E01D0E">
        <w:t xml:space="preserve">. </w:t>
      </w:r>
      <w:proofErr w:type="spellStart"/>
      <w:r w:rsidRPr="00E01D0E">
        <w:t>Imatinib</w:t>
      </w:r>
      <w:proofErr w:type="spellEnd"/>
      <w:r w:rsidRPr="00E01D0E">
        <w:t xml:space="preserve"> inhibits proliferation and induces apoptosis in GIST cells</w:t>
      </w:r>
      <w:r w:rsidR="000E558F">
        <w:t xml:space="preserve"> expressing an activating KIT </w:t>
      </w:r>
      <w:r w:rsidRPr="00E01D0E">
        <w:t xml:space="preserve">mutation. Most GISTs (75-80%) have activating </w:t>
      </w:r>
      <w:r w:rsidR="000E558F">
        <w:t xml:space="preserve">KIT </w:t>
      </w:r>
      <w:r w:rsidRPr="00E01D0E">
        <w:t>mutations.</w:t>
      </w:r>
      <w:r w:rsidR="00807A95">
        <w:rPr>
          <w:rStyle w:val="FootnoteReference"/>
        </w:rPr>
        <w:footnoteReference w:id="1"/>
      </w:r>
      <w:r w:rsidRPr="00E01D0E">
        <w:t xml:space="preserve"> Besides GIST, </w:t>
      </w:r>
      <w:proofErr w:type="spellStart"/>
      <w:r w:rsidRPr="00E01D0E">
        <w:t>imatinib</w:t>
      </w:r>
      <w:proofErr w:type="spellEnd"/>
      <w:r w:rsidRPr="00E01D0E">
        <w:t xml:space="preserve"> is registered for several other indications. The drug is well absorbed after oral administration, cleared mainly by CYP3A4 metabolism and eliminated with plasma elimination half life of 18 h for the drug and 40 h for the main active metabolite which accounts for 16% of exposure. Very common adverse reactions are haematological, gastrointestinal, musculoskeletal and dermatological effects as well a</w:t>
      </w:r>
      <w:r w:rsidR="0068660A">
        <w:t>s fluid retention and headache.</w:t>
      </w:r>
    </w:p>
    <w:p w:rsidR="005C6157" w:rsidRDefault="005C6157" w:rsidP="000A3ACB">
      <w:proofErr w:type="spellStart"/>
      <w:r>
        <w:t>Glivec</w:t>
      </w:r>
      <w:proofErr w:type="spellEnd"/>
      <w:r>
        <w:t xml:space="preserve"> is approved in Australia for the treatment of:</w:t>
      </w:r>
    </w:p>
    <w:p w:rsidR="00765132" w:rsidRPr="00611356" w:rsidRDefault="00765132" w:rsidP="000A3ACB">
      <w:pPr>
        <w:pStyle w:val="ListBullet"/>
        <w:rPr>
          <w:lang w:eastAsia="ja-JP"/>
        </w:rPr>
      </w:pPr>
      <w:r w:rsidRPr="00611356">
        <w:rPr>
          <w:lang w:eastAsia="ja-JP"/>
        </w:rPr>
        <w:t xml:space="preserve">patients with </w:t>
      </w:r>
      <w:r>
        <w:rPr>
          <w:lang w:eastAsia="ja-JP"/>
        </w:rPr>
        <w:t>chronic myeloid leukaemia (CML);</w:t>
      </w:r>
    </w:p>
    <w:p w:rsidR="00765132" w:rsidRPr="00611356" w:rsidRDefault="00765132" w:rsidP="000A3ACB">
      <w:pPr>
        <w:pStyle w:val="ListBullet"/>
        <w:rPr>
          <w:lang w:eastAsia="ja-JP"/>
        </w:rPr>
      </w:pPr>
      <w:r w:rsidRPr="00611356">
        <w:rPr>
          <w:lang w:eastAsia="ja-JP"/>
        </w:rPr>
        <w:t>adjuvant treatment of adult patients at high risk of recurrence following complete</w:t>
      </w:r>
      <w:r w:rsidR="000E558F">
        <w:rPr>
          <w:lang w:eastAsia="ja-JP"/>
        </w:rPr>
        <w:t xml:space="preserve"> gross resection of KIT</w:t>
      </w:r>
      <w:r>
        <w:rPr>
          <w:lang w:eastAsia="ja-JP"/>
        </w:rPr>
        <w:t xml:space="preserve"> (CD117) </w:t>
      </w:r>
      <w:r w:rsidRPr="00611356">
        <w:rPr>
          <w:lang w:eastAsia="ja-JP"/>
        </w:rPr>
        <w:t>posi</w:t>
      </w:r>
      <w:r>
        <w:rPr>
          <w:lang w:eastAsia="ja-JP"/>
        </w:rPr>
        <w:t>tive primary GIST;</w:t>
      </w:r>
    </w:p>
    <w:p w:rsidR="00765132" w:rsidRPr="00611356" w:rsidRDefault="00765132" w:rsidP="000A3ACB">
      <w:pPr>
        <w:pStyle w:val="ListBullet"/>
        <w:rPr>
          <w:lang w:eastAsia="ja-JP"/>
        </w:rPr>
      </w:pPr>
      <w:r w:rsidRPr="00611356">
        <w:rPr>
          <w:lang w:eastAsia="ja-JP"/>
        </w:rPr>
        <w:t>adult patients with newly diagnosed Philadelphia chromosome positive acute lymphoblastic leukaemia (Ph+ AL</w:t>
      </w:r>
      <w:r>
        <w:rPr>
          <w:lang w:eastAsia="ja-JP"/>
        </w:rPr>
        <w:t>L) integrated with chemotherapy;</w:t>
      </w:r>
    </w:p>
    <w:p w:rsidR="00765132" w:rsidRPr="00611356" w:rsidRDefault="00765132" w:rsidP="000A3ACB">
      <w:pPr>
        <w:pStyle w:val="ListBullet"/>
        <w:rPr>
          <w:lang w:eastAsia="ja-JP"/>
        </w:rPr>
      </w:pPr>
      <w:r w:rsidRPr="00611356">
        <w:rPr>
          <w:lang w:eastAsia="ja-JP"/>
        </w:rPr>
        <w:t>adult patients with relapsed or refractory Ph+</w:t>
      </w:r>
      <w:r>
        <w:rPr>
          <w:lang w:eastAsia="ja-JP"/>
        </w:rPr>
        <w:t xml:space="preserve"> ALL as </w:t>
      </w:r>
      <w:proofErr w:type="spellStart"/>
      <w:r>
        <w:rPr>
          <w:lang w:eastAsia="ja-JP"/>
        </w:rPr>
        <w:t>monotherapy</w:t>
      </w:r>
      <w:proofErr w:type="spellEnd"/>
      <w:r>
        <w:rPr>
          <w:lang w:eastAsia="ja-JP"/>
        </w:rPr>
        <w:t>;</w:t>
      </w:r>
    </w:p>
    <w:p w:rsidR="00765132" w:rsidRPr="00611356" w:rsidRDefault="00765132" w:rsidP="000A3ACB">
      <w:pPr>
        <w:pStyle w:val="ListBullet"/>
        <w:rPr>
          <w:lang w:eastAsia="ja-JP"/>
        </w:rPr>
      </w:pPr>
      <w:r w:rsidRPr="00611356">
        <w:rPr>
          <w:lang w:eastAsia="ja-JP"/>
        </w:rPr>
        <w:t xml:space="preserve">adult patients with </w:t>
      </w:r>
      <w:proofErr w:type="spellStart"/>
      <w:r w:rsidRPr="00611356">
        <w:rPr>
          <w:lang w:eastAsia="ja-JP"/>
        </w:rPr>
        <w:t>myelodysplastic</w:t>
      </w:r>
      <w:proofErr w:type="spellEnd"/>
      <w:r w:rsidRPr="00611356">
        <w:rPr>
          <w:lang w:eastAsia="ja-JP"/>
        </w:rPr>
        <w:t>/</w:t>
      </w:r>
      <w:r>
        <w:rPr>
          <w:lang w:eastAsia="ja-JP"/>
        </w:rPr>
        <w:t xml:space="preserve"> </w:t>
      </w:r>
      <w:proofErr w:type="spellStart"/>
      <w:r w:rsidRPr="00611356">
        <w:rPr>
          <w:lang w:eastAsia="ja-JP"/>
        </w:rPr>
        <w:t>myeloproliferative</w:t>
      </w:r>
      <w:proofErr w:type="spellEnd"/>
      <w:r w:rsidRPr="00611356">
        <w:rPr>
          <w:lang w:eastAsia="ja-JP"/>
        </w:rPr>
        <w:t xml:space="preserve"> diseases (MD</w:t>
      </w:r>
      <w:r>
        <w:rPr>
          <w:lang w:eastAsia="ja-JP"/>
        </w:rPr>
        <w:t xml:space="preserve">S/MPD) associated with platelet </w:t>
      </w:r>
      <w:r w:rsidRPr="00611356">
        <w:rPr>
          <w:lang w:eastAsia="ja-JP"/>
        </w:rPr>
        <w:t xml:space="preserve">derived growth </w:t>
      </w:r>
      <w:r>
        <w:rPr>
          <w:lang w:eastAsia="ja-JP"/>
        </w:rPr>
        <w:t>factor receptor (</w:t>
      </w:r>
      <w:r w:rsidRPr="00E25A96">
        <w:rPr>
          <w:i/>
          <w:lang w:eastAsia="ja-JP"/>
        </w:rPr>
        <w:t>PDGFR</w:t>
      </w:r>
      <w:r>
        <w:rPr>
          <w:lang w:eastAsia="ja-JP"/>
        </w:rPr>
        <w:t>) gene re</w:t>
      </w:r>
      <w:r w:rsidRPr="00611356">
        <w:rPr>
          <w:lang w:eastAsia="ja-JP"/>
        </w:rPr>
        <w:t>arrangements, where conv</w:t>
      </w:r>
      <w:r>
        <w:rPr>
          <w:lang w:eastAsia="ja-JP"/>
        </w:rPr>
        <w:t>entional therapies have failed;</w:t>
      </w:r>
    </w:p>
    <w:p w:rsidR="00765132" w:rsidRPr="00611356" w:rsidRDefault="00765132" w:rsidP="000A3ACB">
      <w:pPr>
        <w:pStyle w:val="ListBullet"/>
        <w:rPr>
          <w:lang w:eastAsia="ja-JP"/>
        </w:rPr>
      </w:pPr>
      <w:r w:rsidRPr="00611356">
        <w:rPr>
          <w:lang w:eastAsia="ja-JP"/>
        </w:rPr>
        <w:lastRenderedPageBreak/>
        <w:t xml:space="preserve">adult patients with aggressive systemic </w:t>
      </w:r>
      <w:proofErr w:type="spellStart"/>
      <w:r w:rsidRPr="00611356">
        <w:rPr>
          <w:lang w:eastAsia="ja-JP"/>
        </w:rPr>
        <w:t>mastocytosis</w:t>
      </w:r>
      <w:proofErr w:type="spellEnd"/>
      <w:r w:rsidRPr="00611356">
        <w:rPr>
          <w:lang w:eastAsia="ja-JP"/>
        </w:rPr>
        <w:t xml:space="preserve"> (ASM) where conv</w:t>
      </w:r>
      <w:r>
        <w:rPr>
          <w:lang w:eastAsia="ja-JP"/>
        </w:rPr>
        <w:t>entional therapies have failed;</w:t>
      </w:r>
    </w:p>
    <w:p w:rsidR="00765132" w:rsidRPr="00611356" w:rsidRDefault="00765132" w:rsidP="000A3ACB">
      <w:pPr>
        <w:pStyle w:val="ListBullet"/>
        <w:rPr>
          <w:lang w:eastAsia="ja-JP"/>
        </w:rPr>
      </w:pPr>
      <w:r w:rsidRPr="00611356">
        <w:rPr>
          <w:lang w:eastAsia="ja-JP"/>
        </w:rPr>
        <w:t xml:space="preserve">adult patients with </w:t>
      </w:r>
      <w:proofErr w:type="spellStart"/>
      <w:r w:rsidRPr="00611356">
        <w:rPr>
          <w:lang w:eastAsia="ja-JP"/>
        </w:rPr>
        <w:t>hypereosinophilic</w:t>
      </w:r>
      <w:proofErr w:type="spellEnd"/>
      <w:r w:rsidRPr="00611356">
        <w:rPr>
          <w:lang w:eastAsia="ja-JP"/>
        </w:rPr>
        <w:t xml:space="preserve"> syndrome (HES) and/or chronic </w:t>
      </w:r>
      <w:proofErr w:type="spellStart"/>
      <w:r w:rsidRPr="00611356">
        <w:rPr>
          <w:lang w:eastAsia="ja-JP"/>
        </w:rPr>
        <w:t>eosinophilic</w:t>
      </w:r>
      <w:proofErr w:type="spellEnd"/>
      <w:r w:rsidRPr="00611356">
        <w:rPr>
          <w:lang w:eastAsia="ja-JP"/>
        </w:rPr>
        <w:t xml:space="preserve"> leukaemia </w:t>
      </w:r>
      <w:r>
        <w:rPr>
          <w:lang w:eastAsia="ja-JP"/>
        </w:rPr>
        <w:t>(CEL);</w:t>
      </w:r>
    </w:p>
    <w:p w:rsidR="00765132" w:rsidRPr="00765132" w:rsidRDefault="00765132" w:rsidP="000A3ACB">
      <w:pPr>
        <w:pStyle w:val="ListBullet"/>
      </w:pPr>
      <w:r w:rsidRPr="00611356">
        <w:rPr>
          <w:lang w:eastAsia="ja-JP"/>
        </w:rPr>
        <w:t xml:space="preserve">adult patients with </w:t>
      </w:r>
      <w:proofErr w:type="spellStart"/>
      <w:r w:rsidRPr="00611356">
        <w:rPr>
          <w:lang w:eastAsia="ja-JP"/>
        </w:rPr>
        <w:t>unresectable</w:t>
      </w:r>
      <w:proofErr w:type="spellEnd"/>
      <w:r w:rsidRPr="00611356">
        <w:rPr>
          <w:lang w:eastAsia="ja-JP"/>
        </w:rPr>
        <w:t xml:space="preserve">, recurrent and/or metastatic </w:t>
      </w:r>
      <w:proofErr w:type="spellStart"/>
      <w:r w:rsidRPr="00611356">
        <w:rPr>
          <w:lang w:eastAsia="ja-JP"/>
        </w:rPr>
        <w:t>dermato</w:t>
      </w:r>
      <w:r>
        <w:rPr>
          <w:lang w:eastAsia="ja-JP"/>
        </w:rPr>
        <w:t>fibrosarcoma</w:t>
      </w:r>
      <w:proofErr w:type="spellEnd"/>
      <w:r>
        <w:rPr>
          <w:lang w:eastAsia="ja-JP"/>
        </w:rPr>
        <w:t xml:space="preserve"> </w:t>
      </w:r>
      <w:proofErr w:type="spellStart"/>
      <w:r>
        <w:rPr>
          <w:lang w:eastAsia="ja-JP"/>
        </w:rPr>
        <w:t>protuberans</w:t>
      </w:r>
      <w:proofErr w:type="spellEnd"/>
      <w:r>
        <w:rPr>
          <w:lang w:eastAsia="ja-JP"/>
        </w:rPr>
        <w:t xml:space="preserve"> (DFSP);</w:t>
      </w:r>
    </w:p>
    <w:p w:rsidR="00765132" w:rsidRPr="00765132" w:rsidRDefault="00765132" w:rsidP="000A3ACB">
      <w:pPr>
        <w:pStyle w:val="ListBullet"/>
        <w:rPr>
          <w:lang w:eastAsia="ja-JP"/>
        </w:rPr>
      </w:pPr>
      <w:proofErr w:type="gramStart"/>
      <w:r w:rsidRPr="00611356">
        <w:rPr>
          <w:lang w:eastAsia="ja-JP"/>
        </w:rPr>
        <w:t>patients</w:t>
      </w:r>
      <w:proofErr w:type="gramEnd"/>
      <w:r w:rsidRPr="00611356">
        <w:rPr>
          <w:lang w:eastAsia="ja-JP"/>
        </w:rPr>
        <w:t xml:space="preserve"> with </w:t>
      </w:r>
      <w:r w:rsidR="000E558F">
        <w:rPr>
          <w:lang w:eastAsia="ja-JP"/>
        </w:rPr>
        <w:t>KIT</w:t>
      </w:r>
      <w:r w:rsidRPr="00611356">
        <w:rPr>
          <w:lang w:eastAsia="ja-JP"/>
        </w:rPr>
        <w:t xml:space="preserve"> (CD117) positive </w:t>
      </w:r>
      <w:proofErr w:type="spellStart"/>
      <w:r w:rsidRPr="00611356">
        <w:rPr>
          <w:lang w:eastAsia="ja-JP"/>
        </w:rPr>
        <w:t>unresectable</w:t>
      </w:r>
      <w:proofErr w:type="spellEnd"/>
      <w:r w:rsidRPr="00611356">
        <w:rPr>
          <w:lang w:eastAsia="ja-JP"/>
        </w:rPr>
        <w:t xml:space="preserve"> and/or metastatic malignant gastroin</w:t>
      </w:r>
      <w:r>
        <w:rPr>
          <w:lang w:eastAsia="ja-JP"/>
        </w:rPr>
        <w:t xml:space="preserve">testinal </w:t>
      </w:r>
      <w:proofErr w:type="spellStart"/>
      <w:r>
        <w:rPr>
          <w:lang w:eastAsia="ja-JP"/>
        </w:rPr>
        <w:t>stromal</w:t>
      </w:r>
      <w:proofErr w:type="spellEnd"/>
      <w:r>
        <w:rPr>
          <w:lang w:eastAsia="ja-JP"/>
        </w:rPr>
        <w:t xml:space="preserve"> tumours (GIST).</w:t>
      </w:r>
    </w:p>
    <w:p w:rsidR="005C6157" w:rsidRDefault="005C6157" w:rsidP="000A3ACB">
      <w:r>
        <w:t>The last indication above is relevant to the present application.</w:t>
      </w:r>
    </w:p>
    <w:p w:rsidR="0096398A" w:rsidRDefault="00E01D0E" w:rsidP="000A3ACB">
      <w:r w:rsidRPr="00E01D0E">
        <w:t xml:space="preserve">Similar registered drugs are </w:t>
      </w:r>
      <w:proofErr w:type="spellStart"/>
      <w:r w:rsidRPr="00E01D0E">
        <w:t>nilotinib</w:t>
      </w:r>
      <w:proofErr w:type="spellEnd"/>
      <w:r w:rsidRPr="00E01D0E">
        <w:t xml:space="preserve"> (</w:t>
      </w:r>
      <w:proofErr w:type="spellStart"/>
      <w:r w:rsidRPr="00E01D0E">
        <w:t>Tasigna</w:t>
      </w:r>
      <w:proofErr w:type="spellEnd"/>
      <w:r w:rsidRPr="00E01D0E">
        <w:t xml:space="preserve">) from Novartis and </w:t>
      </w:r>
      <w:proofErr w:type="spellStart"/>
      <w:r w:rsidRPr="00E01D0E">
        <w:t>dasatinib</w:t>
      </w:r>
      <w:proofErr w:type="spellEnd"/>
      <w:r w:rsidRPr="00E01D0E">
        <w:t xml:space="preserve"> (</w:t>
      </w:r>
      <w:proofErr w:type="spellStart"/>
      <w:r w:rsidRPr="00E01D0E">
        <w:t>Sprycel</w:t>
      </w:r>
      <w:proofErr w:type="spellEnd"/>
      <w:r w:rsidRPr="00E01D0E">
        <w:t>) from Bristol-Myers Squibb. Neither is registered for the treatment of GIST.</w:t>
      </w:r>
    </w:p>
    <w:p w:rsidR="00664E30" w:rsidRDefault="00664E30" w:rsidP="000A3ACB">
      <w:r w:rsidRPr="00664E30">
        <w:t xml:space="preserve">The </w:t>
      </w:r>
      <w:r>
        <w:t xml:space="preserve">relevant </w:t>
      </w:r>
      <w:r w:rsidRPr="00664E30">
        <w:t xml:space="preserve">European Medicines Agency (EMA) </w:t>
      </w:r>
      <w:r>
        <w:t>g</w:t>
      </w:r>
      <w:r w:rsidRPr="00664E30">
        <w:t>uideline</w:t>
      </w:r>
      <w:r>
        <w:rPr>
          <w:rStyle w:val="FootnoteReference"/>
        </w:rPr>
        <w:footnoteReference w:id="2"/>
      </w:r>
      <w:r w:rsidRPr="00664E30">
        <w:t xml:space="preserve"> adopted by TGA is relevant to this application</w:t>
      </w:r>
      <w:r>
        <w:t>.</w:t>
      </w:r>
    </w:p>
    <w:p w:rsidR="00E815A7" w:rsidRDefault="00E815A7" w:rsidP="000A3ACB">
      <w:r>
        <w:t xml:space="preserve">The current indication for </w:t>
      </w:r>
      <w:proofErr w:type="spellStart"/>
      <w:r>
        <w:t>unresectable</w:t>
      </w:r>
      <w:proofErr w:type="spellEnd"/>
      <w:r>
        <w:t>/metastatic GIST was registered in 2002. T</w:t>
      </w:r>
      <w:r w:rsidR="005650C2">
        <w:t>he TGA approval was based on a Food and Drug Administration (</w:t>
      </w:r>
      <w:r>
        <w:t>FDA</w:t>
      </w:r>
      <w:r w:rsidR="005650C2">
        <w:t>)</w:t>
      </w:r>
      <w:r>
        <w:t xml:space="preserve"> orphan drug evaluation and the application was not referred to ADEC</w:t>
      </w:r>
      <w:r w:rsidR="0075324E">
        <w:t xml:space="preserve"> (</w:t>
      </w:r>
      <w:r w:rsidR="0075324E" w:rsidRPr="0075324E">
        <w:t>Australian Drug Evaluation Committee</w:t>
      </w:r>
      <w:r w:rsidR="0075324E">
        <w:t>)</w:t>
      </w:r>
      <w:r>
        <w:t>. The currently approved dosage regimen for this indication is 400 or 600</w:t>
      </w:r>
      <w:r w:rsidR="0075324E">
        <w:t xml:space="preserve"> </w:t>
      </w:r>
      <w:r>
        <w:t>mg/day.</w:t>
      </w:r>
    </w:p>
    <w:p w:rsidR="00E815A7" w:rsidRDefault="00E815A7" w:rsidP="000A3ACB">
      <w:r>
        <w:t xml:space="preserve">The current indication for the adjuvant treatment of adult patients following resection of GISTs was registered in 2009, at a dose of </w:t>
      </w:r>
      <w:proofErr w:type="spellStart"/>
      <w:r>
        <w:t>Glivec</w:t>
      </w:r>
      <w:proofErr w:type="spellEnd"/>
      <w:r>
        <w:t xml:space="preserve"> of 400 mg/day for 12 months. An accompanying request to amend the approved dosage regimen for the treatment of </w:t>
      </w:r>
      <w:proofErr w:type="spellStart"/>
      <w:r>
        <w:t>unresectable</w:t>
      </w:r>
      <w:proofErr w:type="spellEnd"/>
      <w:r>
        <w:t xml:space="preserve"> and or metastatic GIST to allow an increase in dose to 800 mg a day in patients who had an insufficient response to therapy was approved when the patients had initially been treated with 400 mg/day of </w:t>
      </w:r>
      <w:proofErr w:type="spellStart"/>
      <w:r>
        <w:t>Glivec</w:t>
      </w:r>
      <w:proofErr w:type="spellEnd"/>
      <w:r>
        <w:t>, but not with 600 mg because of insufficie</w:t>
      </w:r>
      <w:r w:rsidR="000A3ACB">
        <w:t>nt data at the 600 mg/day dose.</w:t>
      </w:r>
    </w:p>
    <w:p w:rsidR="008E7846" w:rsidRPr="003F31A2" w:rsidRDefault="00386150" w:rsidP="008E7846">
      <w:pPr>
        <w:pStyle w:val="Heading3"/>
      </w:pPr>
      <w:bookmarkStart w:id="12" w:name="_Toc361309711"/>
      <w:r>
        <w:t>Regulatory s</w:t>
      </w:r>
      <w:r w:rsidR="008E7846">
        <w:t>tatus</w:t>
      </w:r>
      <w:bookmarkEnd w:id="10"/>
      <w:bookmarkEnd w:id="11"/>
      <w:bookmarkEnd w:id="12"/>
    </w:p>
    <w:p w:rsidR="00C97793" w:rsidRDefault="00C97793" w:rsidP="000A3ACB">
      <w:bookmarkStart w:id="13" w:name="_Toc247691505"/>
      <w:bookmarkStart w:id="14" w:name="_Toc314842486"/>
      <w:r>
        <w:t xml:space="preserve">Table 1 shows the international regulatory history of </w:t>
      </w:r>
      <w:proofErr w:type="spellStart"/>
      <w:r>
        <w:t>Glivec</w:t>
      </w:r>
      <w:proofErr w:type="spellEnd"/>
      <w:r>
        <w:t>.</w:t>
      </w:r>
      <w:r w:rsidR="0009105C" w:rsidRPr="0009105C">
        <w:t xml:space="preserve"> There have been no referrals, withdrawals or rejections of similar applications in other countries.</w:t>
      </w:r>
    </w:p>
    <w:p w:rsidR="0075324E" w:rsidRDefault="0075324E" w:rsidP="000A3ACB">
      <w:r>
        <w:t>The countries in which a similar application has been made are the USA and the EU (submitted in each on 22 August 2011) and New Zealand (submitted November 2011). The data package provided to the TGA is identical to that submitted in</w:t>
      </w:r>
      <w:r w:rsidR="00A84D39">
        <w:t xml:space="preserve"> the US, Europe and New Zealand, </w:t>
      </w:r>
      <w:r>
        <w:t>except for the Australian specific annex to the RMP (Risk Management Plan) included. In Europe, Studies CST571K2301 and CSTI571A2107 and the various changes to the PI were not included in the same application as the extension of treatment duration.</w:t>
      </w:r>
      <w:r w:rsidR="003B240B">
        <w:t xml:space="preserve"> </w:t>
      </w:r>
      <w:r>
        <w:t>The US application also included safety information that Australia has already included as part of a safety related notification.</w:t>
      </w:r>
    </w:p>
    <w:p w:rsidR="0075324E" w:rsidRPr="0075324E" w:rsidRDefault="0075324E" w:rsidP="000A3ACB">
      <w:r w:rsidRPr="0075324E">
        <w:t>The FDA announced the approval of this application on 31 January 2012.</w:t>
      </w:r>
    </w:p>
    <w:p w:rsidR="00C97793" w:rsidRDefault="00815D47" w:rsidP="000A3ACB">
      <w:pPr>
        <w:pStyle w:val="TableTitle"/>
        <w:rPr>
          <w:lang w:val="en-GB"/>
        </w:rPr>
      </w:pPr>
      <w:r>
        <w:br w:type="page"/>
      </w:r>
      <w:proofErr w:type="gramStart"/>
      <w:r w:rsidR="00C97793">
        <w:lastRenderedPageBreak/>
        <w:t>Table 1:</w:t>
      </w:r>
      <w:r w:rsidR="00C97793" w:rsidRPr="004C5C28">
        <w:t xml:space="preserve"> Summary of international regulatory status of </w:t>
      </w:r>
      <w:proofErr w:type="spellStart"/>
      <w:r w:rsidR="00C97793">
        <w:t>Glivec</w:t>
      </w:r>
      <w:proofErr w:type="spellEnd"/>
      <w:r w:rsidR="00C97793">
        <w:t xml:space="preserve"> approvals.</w:t>
      </w:r>
      <w:proofErr w:type="gramEnd"/>
    </w:p>
    <w:p w:rsidR="00C97793" w:rsidRDefault="002C5336" w:rsidP="000A3ACB">
      <w:r>
        <w:rPr>
          <w:noProof/>
          <w:lang w:eastAsia="en-AU"/>
        </w:rPr>
        <w:drawing>
          <wp:inline distT="0" distB="0" distL="0" distR="0">
            <wp:extent cx="4733925" cy="4086225"/>
            <wp:effectExtent l="19050" t="0" r="9525" b="0"/>
            <wp:docPr id="11" name="Picture 1" descr="Table 1: Summary of international regulatory status of Glivec appr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14" cstate="print"/>
                    <a:srcRect/>
                    <a:stretch>
                      <a:fillRect/>
                    </a:stretch>
                  </pic:blipFill>
                  <pic:spPr bwMode="auto">
                    <a:xfrm>
                      <a:off x="0" y="0"/>
                      <a:ext cx="4733925" cy="4086225"/>
                    </a:xfrm>
                    <a:prstGeom prst="rect">
                      <a:avLst/>
                    </a:prstGeom>
                    <a:noFill/>
                    <a:ln w="9525">
                      <a:noFill/>
                      <a:miter lim="800000"/>
                      <a:headEnd/>
                      <a:tailEnd/>
                    </a:ln>
                  </pic:spPr>
                </pic:pic>
              </a:graphicData>
            </a:graphic>
          </wp:inline>
        </w:drawing>
      </w:r>
    </w:p>
    <w:p w:rsidR="008E7846" w:rsidRDefault="008E7846" w:rsidP="008E7846">
      <w:pPr>
        <w:pStyle w:val="Heading3"/>
      </w:pPr>
      <w:bookmarkStart w:id="15" w:name="_Toc361309712"/>
      <w:r>
        <w:t>Product Information</w:t>
      </w:r>
      <w:bookmarkEnd w:id="13"/>
      <w:bookmarkEnd w:id="14"/>
      <w:bookmarkEnd w:id="15"/>
    </w:p>
    <w:p w:rsidR="008E7846" w:rsidRDefault="008E7846" w:rsidP="000A3ACB">
      <w:r>
        <w:t>Th</w:t>
      </w:r>
      <w:r w:rsidR="003D31AC">
        <w:t>e approved PI</w:t>
      </w:r>
      <w:r>
        <w:t xml:space="preserve"> current at the time this AusPAR was prepared can be found as Attachment 1.</w:t>
      </w:r>
      <w:bookmarkStart w:id="16" w:name="_Toc247691506"/>
      <w:bookmarkStart w:id="17" w:name="_Toc314842487"/>
    </w:p>
    <w:p w:rsidR="008E7846" w:rsidRPr="003602A9" w:rsidRDefault="008E7846" w:rsidP="008E7846">
      <w:pPr>
        <w:pStyle w:val="Heading2"/>
        <w:ind w:left="-11"/>
      </w:pPr>
      <w:bookmarkStart w:id="18" w:name="_Toc361309713"/>
      <w:r>
        <w:t>II. Quality</w:t>
      </w:r>
      <w:bookmarkEnd w:id="1"/>
      <w:r>
        <w:t xml:space="preserve"> findings</w:t>
      </w:r>
      <w:bookmarkEnd w:id="16"/>
      <w:bookmarkEnd w:id="17"/>
      <w:bookmarkEnd w:id="18"/>
    </w:p>
    <w:p w:rsidR="008E7846" w:rsidRDefault="008E7846" w:rsidP="000A3ACB">
      <w:r>
        <w:t>There was no requirement for a quality evaluation in a submission of this type.</w:t>
      </w:r>
    </w:p>
    <w:p w:rsidR="008E7846" w:rsidRDefault="008E7846" w:rsidP="008E7846">
      <w:pPr>
        <w:pStyle w:val="Heading2"/>
      </w:pPr>
      <w:bookmarkStart w:id="19" w:name="_Toc196046439"/>
      <w:bookmarkStart w:id="20" w:name="_Toc247691510"/>
      <w:bookmarkStart w:id="21" w:name="_Toc314842494"/>
      <w:bookmarkStart w:id="22" w:name="_Toc361309714"/>
      <w:r>
        <w:t>III. Nonclinical</w:t>
      </w:r>
      <w:bookmarkEnd w:id="19"/>
      <w:r>
        <w:t xml:space="preserve"> findings</w:t>
      </w:r>
      <w:bookmarkEnd w:id="20"/>
      <w:bookmarkEnd w:id="21"/>
      <w:bookmarkEnd w:id="22"/>
    </w:p>
    <w:p w:rsidR="008E7846" w:rsidRDefault="008E7846" w:rsidP="008E7846">
      <w:pPr>
        <w:pStyle w:val="Heading3"/>
      </w:pPr>
      <w:bookmarkStart w:id="23" w:name="_Toc247691511"/>
      <w:bookmarkStart w:id="24" w:name="_Toc314842495"/>
      <w:bookmarkStart w:id="25" w:name="_Toc361309715"/>
      <w:r>
        <w:t>Introduction</w:t>
      </w:r>
      <w:bookmarkEnd w:id="23"/>
      <w:bookmarkEnd w:id="24"/>
      <w:bookmarkEnd w:id="25"/>
    </w:p>
    <w:p w:rsidR="008E7846" w:rsidRDefault="008E7846" w:rsidP="000A3ACB">
      <w:r>
        <w:t>There was no requirement for a nonclinical evaluation in a submission of this type.</w:t>
      </w:r>
    </w:p>
    <w:p w:rsidR="008E7846" w:rsidRPr="00254787" w:rsidRDefault="008E7846" w:rsidP="008E7846">
      <w:pPr>
        <w:pStyle w:val="Heading2"/>
      </w:pPr>
      <w:bookmarkStart w:id="26" w:name="_Toc196046462"/>
      <w:bookmarkStart w:id="27" w:name="_Toc247691516"/>
      <w:bookmarkStart w:id="28" w:name="_Toc314842500"/>
      <w:bookmarkStart w:id="29" w:name="_Toc163441353"/>
      <w:bookmarkStart w:id="30" w:name="_Toc163441348"/>
      <w:bookmarkStart w:id="31" w:name="_Toc361309716"/>
      <w:r>
        <w:t xml:space="preserve">IV. </w:t>
      </w:r>
      <w:r w:rsidRPr="00254787">
        <w:t>Clinical</w:t>
      </w:r>
      <w:bookmarkEnd w:id="26"/>
      <w:r>
        <w:t xml:space="preserve"> </w:t>
      </w:r>
      <w:r w:rsidR="003A7F6C">
        <w:t>f</w:t>
      </w:r>
      <w:r>
        <w:t>indings</w:t>
      </w:r>
      <w:bookmarkEnd w:id="27"/>
      <w:bookmarkEnd w:id="28"/>
      <w:bookmarkEnd w:id="31"/>
    </w:p>
    <w:p w:rsidR="002816F5" w:rsidRDefault="002816F5" w:rsidP="002816F5">
      <w:pPr>
        <w:rPr>
          <w:i/>
        </w:rPr>
      </w:pPr>
      <w:bookmarkStart w:id="32" w:name="_Toc196046463"/>
      <w:bookmarkStart w:id="33" w:name="_Toc247691517"/>
      <w:bookmarkStart w:id="34" w:name="_Toc314842501"/>
      <w:r>
        <w:rPr>
          <w:i/>
        </w:rPr>
        <w:t xml:space="preserve">A summary of the </w:t>
      </w:r>
      <w:r w:rsidRPr="00FD70B8">
        <w:rPr>
          <w:i/>
        </w:rPr>
        <w:t xml:space="preserve">clinical findings is presented in this section. </w:t>
      </w:r>
      <w:r>
        <w:rPr>
          <w:i/>
        </w:rPr>
        <w:t xml:space="preserve">Further details of these </w:t>
      </w:r>
      <w:r w:rsidRPr="00FD70B8">
        <w:rPr>
          <w:i/>
        </w:rPr>
        <w:t>clinical findings can be found in Attachment 2.</w:t>
      </w:r>
    </w:p>
    <w:p w:rsidR="008E7846" w:rsidRDefault="008E7846" w:rsidP="008E7846">
      <w:pPr>
        <w:pStyle w:val="Heading3"/>
      </w:pPr>
      <w:bookmarkStart w:id="35" w:name="_Toc361309717"/>
      <w:r w:rsidRPr="00254787">
        <w:lastRenderedPageBreak/>
        <w:t>Introduction</w:t>
      </w:r>
      <w:bookmarkEnd w:id="32"/>
      <w:bookmarkEnd w:id="33"/>
      <w:bookmarkEnd w:id="34"/>
      <w:bookmarkEnd w:id="35"/>
    </w:p>
    <w:p w:rsidR="004E3459" w:rsidRPr="004E3459" w:rsidRDefault="004E3459" w:rsidP="000A3ACB">
      <w:r w:rsidRPr="004E3459">
        <w:t xml:space="preserve">The clinical dossier was confined </w:t>
      </w:r>
      <w:r w:rsidR="00E25A96">
        <w:t xml:space="preserve">to a pharmacological study of </w:t>
      </w:r>
      <w:proofErr w:type="spellStart"/>
      <w:r w:rsidR="00E25A96">
        <w:t>imatinib</w:t>
      </w:r>
      <w:proofErr w:type="spellEnd"/>
      <w:r w:rsidR="00E25A96">
        <w:t xml:space="preserve"> </w:t>
      </w:r>
      <w:r w:rsidRPr="004E3459">
        <w:t>and paracetamol (Study CST1571-A2107), a comparative Phase III trial of two different durat</w:t>
      </w:r>
      <w:r w:rsidR="008B5FFF">
        <w:t xml:space="preserve">ions of treatment (12 months compared with </w:t>
      </w:r>
      <w:r w:rsidRPr="004E3459">
        <w:t xml:space="preserve">36 months) of adjuvant treatment of GIST with </w:t>
      </w:r>
      <w:proofErr w:type="spellStart"/>
      <w:r w:rsidRPr="004E3459">
        <w:t>Glivec</w:t>
      </w:r>
      <w:proofErr w:type="spellEnd"/>
      <w:r w:rsidRPr="004E3459">
        <w:t xml:space="preserve"> (CST1571-BFI03), and various data supporting changes to the PI, many of which are safety</w:t>
      </w:r>
      <w:r w:rsidR="008B5FFF">
        <w:t xml:space="preserve"> </w:t>
      </w:r>
      <w:r w:rsidRPr="004E3459">
        <w:t>related.</w:t>
      </w:r>
    </w:p>
    <w:p w:rsidR="004E3459" w:rsidRPr="004E3459" w:rsidRDefault="004E3459" w:rsidP="000A3ACB">
      <w:r w:rsidRPr="004E3459">
        <w:t>The submission contained the following clinical information:</w:t>
      </w:r>
    </w:p>
    <w:p w:rsidR="004E3459" w:rsidRPr="004E3459" w:rsidRDefault="004E3459" w:rsidP="000A3ACB">
      <w:pPr>
        <w:pStyle w:val="ListBullet"/>
      </w:pPr>
      <w:r w:rsidRPr="004E3459">
        <w:t xml:space="preserve">A clinical pharmacology study (CST1571-A2107) provided pharmacokinetic data on the effects of </w:t>
      </w:r>
      <w:proofErr w:type="spellStart"/>
      <w:r w:rsidRPr="004E3459">
        <w:t>Glivec</w:t>
      </w:r>
      <w:proofErr w:type="spellEnd"/>
      <w:r w:rsidRPr="004E3459">
        <w:t xml:space="preserve"> on the pharmacokinetics of paracetamol in patients with newly diagnosed, previously untreated chronic myeloid </w:t>
      </w:r>
      <w:proofErr w:type="spellStart"/>
      <w:r w:rsidRPr="004E3459">
        <w:t>leukemia</w:t>
      </w:r>
      <w:proofErr w:type="spellEnd"/>
      <w:r w:rsidRPr="004E3459">
        <w:t xml:space="preserve"> in chronic phase (CML-CP)</w:t>
      </w:r>
      <w:r w:rsidR="00641104">
        <w:t>;</w:t>
      </w:r>
    </w:p>
    <w:p w:rsidR="004E3459" w:rsidRPr="004E3459" w:rsidRDefault="004E3459" w:rsidP="000A3ACB">
      <w:pPr>
        <w:pStyle w:val="ListBullet"/>
      </w:pPr>
      <w:r w:rsidRPr="004E3459">
        <w:t xml:space="preserve">Population pharmacokinetic analyses </w:t>
      </w:r>
      <w:r w:rsidR="00D564C6">
        <w:t>were not part of the submission</w:t>
      </w:r>
      <w:r w:rsidR="00641104">
        <w:t>;</w:t>
      </w:r>
    </w:p>
    <w:p w:rsidR="004E3459" w:rsidRPr="004E3459" w:rsidRDefault="004E3459" w:rsidP="000A3ACB">
      <w:pPr>
        <w:pStyle w:val="ListBullet"/>
      </w:pPr>
      <w:r w:rsidRPr="004E3459">
        <w:t>The pivotal efficacy/safety study (CST1571-BFI03) primarily compared recurrence</w:t>
      </w:r>
      <w:r w:rsidR="00D564C6">
        <w:t xml:space="preserve"> </w:t>
      </w:r>
      <w:r w:rsidRPr="004E3459">
        <w:t xml:space="preserve">free survival (RFS) in GIST patients who were assessed as being at a high (&gt; 50%) risk of disease recurrence within the first 5 years following surgery, treated with adjuvant </w:t>
      </w:r>
      <w:proofErr w:type="spellStart"/>
      <w:r w:rsidRPr="004E3459">
        <w:t>imatinib</w:t>
      </w:r>
      <w:proofErr w:type="spellEnd"/>
      <w:r w:rsidRPr="004E3459">
        <w:t xml:space="preserve"> </w:t>
      </w:r>
      <w:proofErr w:type="spellStart"/>
      <w:r w:rsidRPr="004E3459">
        <w:t>mesylate</w:t>
      </w:r>
      <w:proofErr w:type="spellEnd"/>
      <w:r w:rsidRPr="004E3459">
        <w:t xml:space="preserve"> for either 12 or 36 months</w:t>
      </w:r>
      <w:r w:rsidR="00641104">
        <w:t>;</w:t>
      </w:r>
    </w:p>
    <w:p w:rsidR="004E3459" w:rsidRPr="004E3459" w:rsidRDefault="004E3459" w:rsidP="000A3ACB">
      <w:pPr>
        <w:pStyle w:val="ListBullet"/>
      </w:pPr>
      <w:r w:rsidRPr="004E3459">
        <w:t>No dose</w:t>
      </w:r>
      <w:r w:rsidR="00D564C6">
        <w:t xml:space="preserve"> </w:t>
      </w:r>
      <w:r w:rsidRPr="004E3459">
        <w:t xml:space="preserve">finding studies </w:t>
      </w:r>
      <w:r w:rsidR="00D564C6">
        <w:t>were included in the submission</w:t>
      </w:r>
      <w:r w:rsidR="00641104">
        <w:t>;</w:t>
      </w:r>
    </w:p>
    <w:p w:rsidR="004E3459" w:rsidRPr="004E3459" w:rsidRDefault="004E3459" w:rsidP="000A3ACB">
      <w:pPr>
        <w:pStyle w:val="ListBullet"/>
      </w:pPr>
      <w:r w:rsidRPr="004E3459">
        <w:t xml:space="preserve">The previous study CST1571-BUS89 of the adjuvant treatment of GIST with </w:t>
      </w:r>
      <w:proofErr w:type="spellStart"/>
      <w:r w:rsidRPr="004E3459">
        <w:t>Glivec</w:t>
      </w:r>
      <w:proofErr w:type="spellEnd"/>
      <w:r w:rsidRPr="004E3459">
        <w:t xml:space="preserve"> for 12 months was supplied for reference only as it had been evaluated previously</w:t>
      </w:r>
      <w:r w:rsidR="00641104">
        <w:t>;</w:t>
      </w:r>
    </w:p>
    <w:p w:rsidR="004E3459" w:rsidRPr="004E3459" w:rsidRDefault="004E3459" w:rsidP="000A3ACB">
      <w:pPr>
        <w:pStyle w:val="ListBullet"/>
      </w:pPr>
      <w:r w:rsidRPr="004E3459">
        <w:t xml:space="preserve">A Phase III study, CST1571-K2301, was submitted to support the inclusion of information on </w:t>
      </w:r>
      <w:proofErr w:type="spellStart"/>
      <w:r w:rsidRPr="004E3459">
        <w:t>hypophosphatemia</w:t>
      </w:r>
      <w:proofErr w:type="spellEnd"/>
      <w:r w:rsidRPr="004E3459">
        <w:t xml:space="preserve"> in the PI. The randomi</w:t>
      </w:r>
      <w:r w:rsidR="00641104">
        <w:t>s</w:t>
      </w:r>
      <w:r w:rsidRPr="004E3459">
        <w:t>ed open</w:t>
      </w:r>
      <w:r w:rsidR="00641104">
        <w:t xml:space="preserve"> </w:t>
      </w:r>
      <w:r w:rsidRPr="004E3459">
        <w:t xml:space="preserve">label study of 400 mg versus 800 mg of </w:t>
      </w:r>
      <w:proofErr w:type="spellStart"/>
      <w:r w:rsidRPr="004E3459">
        <w:t>Glivec</w:t>
      </w:r>
      <w:proofErr w:type="spellEnd"/>
      <w:r w:rsidRPr="004E3459">
        <w:t xml:space="preserve"> (</w:t>
      </w:r>
      <w:proofErr w:type="spellStart"/>
      <w:r w:rsidRPr="004E3459">
        <w:t>imatinib</w:t>
      </w:r>
      <w:proofErr w:type="spellEnd"/>
      <w:r w:rsidRPr="004E3459">
        <w:t xml:space="preserve"> </w:t>
      </w:r>
      <w:proofErr w:type="spellStart"/>
      <w:r w:rsidRPr="004E3459">
        <w:t>mesylate</w:t>
      </w:r>
      <w:proofErr w:type="spellEnd"/>
      <w:r w:rsidRPr="004E3459">
        <w:t xml:space="preserve">) was conducted in patients with newly diagnosed, previously untreated chronic myeloid </w:t>
      </w:r>
      <w:proofErr w:type="spellStart"/>
      <w:r w:rsidRPr="004E3459">
        <w:t>leuke</w:t>
      </w:r>
      <w:r w:rsidR="00641104">
        <w:t>mia</w:t>
      </w:r>
      <w:proofErr w:type="spellEnd"/>
      <w:r w:rsidR="00641104">
        <w:t xml:space="preserve"> in chronic phase (CML-CP); and</w:t>
      </w:r>
    </w:p>
    <w:p w:rsidR="004E3459" w:rsidRPr="004E3459" w:rsidRDefault="004E3459" w:rsidP="000A3ACB">
      <w:pPr>
        <w:pStyle w:val="ListBullet"/>
      </w:pPr>
      <w:r w:rsidRPr="004E3459">
        <w:t xml:space="preserve">An epidemiology report evaluating the frequency of second primary malignancies in </w:t>
      </w:r>
      <w:proofErr w:type="spellStart"/>
      <w:r w:rsidRPr="004E3459">
        <w:t>Glivec</w:t>
      </w:r>
      <w:proofErr w:type="spellEnd"/>
      <w:r w:rsidRPr="004E3459">
        <w:t xml:space="preserve"> treated patients in Novartis sponsored clinical trials.</w:t>
      </w:r>
    </w:p>
    <w:p w:rsidR="00DA6EA6" w:rsidRDefault="00DA6EA6" w:rsidP="000A3ACB">
      <w:pPr>
        <w:pStyle w:val="ListBullet"/>
      </w:pPr>
      <w:r>
        <w:t>The submission included proposed changes to parts of the paediatric information in the PI with supporting arguments. No new stud</w:t>
      </w:r>
      <w:r w:rsidR="000A3ACB">
        <w:t>ies in children were presented.</w:t>
      </w:r>
    </w:p>
    <w:p w:rsidR="00DA6EA6" w:rsidRPr="00DA6EA6" w:rsidRDefault="00DA6EA6" w:rsidP="000A3ACB">
      <w:pPr>
        <w:rPr>
          <w:lang w:val="en-US"/>
        </w:rPr>
      </w:pPr>
      <w:bookmarkStart w:id="36" w:name="_Toc241374282"/>
      <w:r>
        <w:rPr>
          <w:lang w:val="en-US"/>
        </w:rPr>
        <w:t>All studies and any amendments were reviewed by the Independent Ethics Committee or Institutional Review Board for each center. The studies were conducted according to the ethical principles of the Declaration of Helsinki. Informed consent was obtained from each patient in writing during the screening visit and prior to his or her enrollment in the studies. The studies were described to the patients by the investigator, who answered any questions; patients were also provided with written information. Samples of the written information and the consent form were provided in the application.</w:t>
      </w:r>
    </w:p>
    <w:p w:rsidR="008E7846" w:rsidRPr="00254787" w:rsidRDefault="008E7846" w:rsidP="008E7846">
      <w:pPr>
        <w:pStyle w:val="Heading3"/>
      </w:pPr>
      <w:bookmarkStart w:id="37" w:name="_Toc196046464"/>
      <w:bookmarkStart w:id="38" w:name="_Toc247691518"/>
      <w:bookmarkStart w:id="39" w:name="_Toc314842502"/>
      <w:bookmarkStart w:id="40" w:name="_Toc361309718"/>
      <w:bookmarkEnd w:id="36"/>
      <w:r w:rsidRPr="00254787">
        <w:t>Pharmacokinetics</w:t>
      </w:r>
      <w:bookmarkEnd w:id="29"/>
      <w:bookmarkEnd w:id="37"/>
      <w:bookmarkEnd w:id="38"/>
      <w:bookmarkEnd w:id="39"/>
      <w:bookmarkEnd w:id="40"/>
    </w:p>
    <w:p w:rsidR="00DA6EA6" w:rsidRDefault="00DA6EA6" w:rsidP="000A3ACB">
      <w:pPr>
        <w:rPr>
          <w:lang w:val="en-US"/>
        </w:rPr>
      </w:pPr>
      <w:r>
        <w:t>One pharmacokinetic study was submitted (</w:t>
      </w:r>
      <w:r w:rsidR="00641104">
        <w:t xml:space="preserve">Study </w:t>
      </w:r>
      <w:r w:rsidR="00580110">
        <w:t>CST1571-A2107</w:t>
      </w:r>
      <w:r>
        <w:t>)</w:t>
      </w:r>
      <w:r w:rsidR="00967863">
        <w:t xml:space="preserve"> investigating the </w:t>
      </w:r>
      <w:r w:rsidR="00967863">
        <w:rPr>
          <w:lang w:val="en-US"/>
        </w:rPr>
        <w:t>possible acetaminophen/</w:t>
      </w:r>
      <w:proofErr w:type="spellStart"/>
      <w:r w:rsidR="00967863">
        <w:rPr>
          <w:lang w:val="en-US"/>
        </w:rPr>
        <w:t>paracetamol</w:t>
      </w:r>
      <w:proofErr w:type="spellEnd"/>
      <w:r w:rsidR="00967863">
        <w:rPr>
          <w:lang w:val="en-US"/>
        </w:rPr>
        <w:t xml:space="preserve"> and </w:t>
      </w:r>
      <w:proofErr w:type="spellStart"/>
      <w:r w:rsidR="00967863">
        <w:rPr>
          <w:lang w:val="en-US"/>
        </w:rPr>
        <w:t>imatinib</w:t>
      </w:r>
      <w:proofErr w:type="spellEnd"/>
      <w:r w:rsidR="00967863">
        <w:rPr>
          <w:lang w:val="en-US"/>
        </w:rPr>
        <w:t xml:space="preserve"> interaction.</w:t>
      </w:r>
    </w:p>
    <w:p w:rsidR="00CF7238" w:rsidRDefault="00CF7238" w:rsidP="000A3ACB">
      <w:pPr>
        <w:rPr>
          <w:lang w:val="en-US"/>
        </w:rPr>
      </w:pPr>
      <w:r>
        <w:rPr>
          <w:lang w:val="en-US"/>
        </w:rPr>
        <w:t>From the PK study of a single dose of acetaminophen/</w:t>
      </w:r>
      <w:proofErr w:type="spellStart"/>
      <w:r>
        <w:rPr>
          <w:lang w:val="en-US"/>
        </w:rPr>
        <w:t>paracetamol</w:t>
      </w:r>
      <w:proofErr w:type="spellEnd"/>
      <w:r>
        <w:rPr>
          <w:lang w:val="en-US"/>
        </w:rPr>
        <w:t xml:space="preserve"> co</w:t>
      </w:r>
      <w:r w:rsidR="004D66DC">
        <w:rPr>
          <w:lang w:val="en-US"/>
        </w:rPr>
        <w:t xml:space="preserve"> </w:t>
      </w:r>
      <w:r>
        <w:rPr>
          <w:lang w:val="en-US"/>
        </w:rPr>
        <w:t xml:space="preserve">administered with multiple doses of </w:t>
      </w:r>
      <w:proofErr w:type="spellStart"/>
      <w:r>
        <w:rPr>
          <w:lang w:val="en-US"/>
        </w:rPr>
        <w:t>imatinib</w:t>
      </w:r>
      <w:proofErr w:type="spellEnd"/>
      <w:r>
        <w:rPr>
          <w:lang w:val="en-US"/>
        </w:rPr>
        <w:t xml:space="preserve"> at steady</w:t>
      </w:r>
      <w:r w:rsidR="004D66DC">
        <w:rPr>
          <w:lang w:val="en-US"/>
        </w:rPr>
        <w:t xml:space="preserve"> </w:t>
      </w:r>
      <w:r>
        <w:rPr>
          <w:lang w:val="en-US"/>
        </w:rPr>
        <w:t xml:space="preserve">state, a similar ratio of plasma and urinary acetaminophen </w:t>
      </w:r>
      <w:proofErr w:type="spellStart"/>
      <w:r>
        <w:rPr>
          <w:lang w:val="en-US"/>
        </w:rPr>
        <w:t>glucuronide</w:t>
      </w:r>
      <w:proofErr w:type="spellEnd"/>
      <w:r>
        <w:rPr>
          <w:lang w:val="en-US"/>
        </w:rPr>
        <w:t xml:space="preserve"> to acetaminophen was observed in the absence and presence of </w:t>
      </w:r>
      <w:proofErr w:type="spellStart"/>
      <w:r>
        <w:rPr>
          <w:lang w:val="en-US"/>
        </w:rPr>
        <w:t>imatinib</w:t>
      </w:r>
      <w:proofErr w:type="spellEnd"/>
      <w:r>
        <w:rPr>
          <w:lang w:val="en-US"/>
        </w:rPr>
        <w:t>, and a similar ratio of plasma urinary acetaminophen sulfate to acetaminophen was also observed in the abs</w:t>
      </w:r>
      <w:r w:rsidR="004D66DC">
        <w:rPr>
          <w:lang w:val="en-US"/>
        </w:rPr>
        <w:t xml:space="preserve">ence and presence of </w:t>
      </w:r>
      <w:proofErr w:type="spellStart"/>
      <w:r w:rsidR="004D66DC">
        <w:rPr>
          <w:lang w:val="en-US"/>
        </w:rPr>
        <w:t>imatinib</w:t>
      </w:r>
      <w:proofErr w:type="spellEnd"/>
      <w:r w:rsidR="004D66DC">
        <w:rPr>
          <w:lang w:val="en-US"/>
        </w:rPr>
        <w:t>. The evaluator</w:t>
      </w:r>
      <w:r>
        <w:rPr>
          <w:lang w:val="en-US"/>
        </w:rPr>
        <w:t xml:space="preserve"> conclude</w:t>
      </w:r>
      <w:r w:rsidR="004D66DC">
        <w:rPr>
          <w:lang w:val="en-US"/>
        </w:rPr>
        <w:t>s</w:t>
      </w:r>
      <w:r>
        <w:rPr>
          <w:lang w:val="en-US"/>
        </w:rPr>
        <w:t xml:space="preserve"> that </w:t>
      </w:r>
      <w:proofErr w:type="spellStart"/>
      <w:r>
        <w:rPr>
          <w:lang w:val="en-US"/>
        </w:rPr>
        <w:t>imatinib</w:t>
      </w:r>
      <w:proofErr w:type="spellEnd"/>
      <w:r>
        <w:rPr>
          <w:lang w:val="en-US"/>
        </w:rPr>
        <w:t xml:space="preserve"> (400 mg </w:t>
      </w:r>
      <w:proofErr w:type="spellStart"/>
      <w:r>
        <w:rPr>
          <w:lang w:val="en-US"/>
        </w:rPr>
        <w:t>qd</w:t>
      </w:r>
      <w:proofErr w:type="spellEnd"/>
      <w:r w:rsidR="004D66DC">
        <w:rPr>
          <w:lang w:val="en-US"/>
        </w:rPr>
        <w:t xml:space="preserve"> [once daily]</w:t>
      </w:r>
      <w:r>
        <w:rPr>
          <w:lang w:val="en-US"/>
        </w:rPr>
        <w:t xml:space="preserve">) did not significantly affect the pathways of metabolism of acetaminophen to its sulfate and </w:t>
      </w:r>
      <w:proofErr w:type="spellStart"/>
      <w:r>
        <w:rPr>
          <w:lang w:val="en-US"/>
        </w:rPr>
        <w:t>glucuronide</w:t>
      </w:r>
      <w:proofErr w:type="spellEnd"/>
      <w:r>
        <w:rPr>
          <w:lang w:val="en-US"/>
        </w:rPr>
        <w:t xml:space="preserve"> i</w:t>
      </w:r>
      <w:r w:rsidR="003B240B">
        <w:rPr>
          <w:lang w:val="en-US"/>
        </w:rPr>
        <w:t xml:space="preserve">n the Korean patients studied. </w:t>
      </w:r>
      <w:r>
        <w:rPr>
          <w:lang w:val="en-US"/>
        </w:rPr>
        <w:t xml:space="preserve">The method used was an acceptable surrogate for measuring the </w:t>
      </w:r>
      <w:proofErr w:type="spellStart"/>
      <w:r>
        <w:rPr>
          <w:lang w:val="en-US"/>
        </w:rPr>
        <w:t>hepatotoxic</w:t>
      </w:r>
      <w:proofErr w:type="spellEnd"/>
      <w:r>
        <w:rPr>
          <w:lang w:val="en-US"/>
        </w:rPr>
        <w:t xml:space="preserve"> metabolite NAPQ1 itself, which cannot be measured </w:t>
      </w:r>
      <w:r>
        <w:rPr>
          <w:i/>
          <w:iCs/>
          <w:lang w:val="en-US"/>
        </w:rPr>
        <w:t>in vivo</w:t>
      </w:r>
      <w:r>
        <w:rPr>
          <w:lang w:val="en-US"/>
        </w:rPr>
        <w:t xml:space="preserve"> in humans. From these data, we can </w:t>
      </w:r>
      <w:r>
        <w:rPr>
          <w:lang w:val="en-US"/>
        </w:rPr>
        <w:lastRenderedPageBreak/>
        <w:t xml:space="preserve">conclude that </w:t>
      </w:r>
      <w:proofErr w:type="spellStart"/>
      <w:r>
        <w:rPr>
          <w:lang w:val="en-US"/>
        </w:rPr>
        <w:t>imatinib</w:t>
      </w:r>
      <w:proofErr w:type="spellEnd"/>
      <w:r>
        <w:rPr>
          <w:lang w:val="en-US"/>
        </w:rPr>
        <w:t xml:space="preserve"> did not cause significant inhibition of </w:t>
      </w:r>
      <w:proofErr w:type="spellStart"/>
      <w:r>
        <w:rPr>
          <w:lang w:val="en-US"/>
        </w:rPr>
        <w:t>glucuronidation</w:t>
      </w:r>
      <w:proofErr w:type="spellEnd"/>
      <w:r>
        <w:rPr>
          <w:lang w:val="en-US"/>
        </w:rPr>
        <w:t xml:space="preserve"> and diversion of acetaminophen towards the toxic metabo</w:t>
      </w:r>
      <w:r w:rsidR="000A3ACB">
        <w:rPr>
          <w:lang w:val="en-US"/>
        </w:rPr>
        <w:t>lite in the population studied.</w:t>
      </w:r>
    </w:p>
    <w:p w:rsidR="00CF7238" w:rsidRDefault="00CF7238" w:rsidP="000A3ACB">
      <w:pPr>
        <w:rPr>
          <w:lang w:val="en-US"/>
        </w:rPr>
      </w:pPr>
      <w:r>
        <w:rPr>
          <w:lang w:val="en-US"/>
        </w:rPr>
        <w:t>However</w:t>
      </w:r>
      <w:r w:rsidR="00885D40">
        <w:rPr>
          <w:lang w:val="en-US"/>
        </w:rPr>
        <w:t>,</w:t>
      </w:r>
      <w:r>
        <w:rPr>
          <w:lang w:val="en-US"/>
        </w:rPr>
        <w:t xml:space="preserve"> a number of problems with the study are of concern as follows.</w:t>
      </w:r>
    </w:p>
    <w:p w:rsidR="00CF7238" w:rsidRDefault="00CF7238" w:rsidP="00CF7238">
      <w:pPr>
        <w:pStyle w:val="Heading4"/>
        <w:rPr>
          <w:lang w:val="en-US"/>
        </w:rPr>
      </w:pPr>
      <w:r>
        <w:rPr>
          <w:lang w:val="en-US"/>
        </w:rPr>
        <w:t>1. Ethnicity of the subjects</w:t>
      </w:r>
    </w:p>
    <w:p w:rsidR="00CF7238" w:rsidRDefault="00B860E3" w:rsidP="000A3ACB">
      <w:pPr>
        <w:rPr>
          <w:lang w:val="en-US"/>
        </w:rPr>
      </w:pPr>
      <w:r>
        <w:rPr>
          <w:lang w:val="en-US"/>
        </w:rPr>
        <w:t xml:space="preserve">In the Evaluator’s Comments, the point is made that significant differences have been reported in the pharmacokinetics of acetaminophen in some Asians population compared to some Caucasians populations. These clear differences show that acetaminophen is </w:t>
      </w:r>
      <w:proofErr w:type="spellStart"/>
      <w:r>
        <w:rPr>
          <w:lang w:val="en-US"/>
        </w:rPr>
        <w:t>metabolised</w:t>
      </w:r>
      <w:proofErr w:type="spellEnd"/>
      <w:r>
        <w:rPr>
          <w:lang w:val="en-US"/>
        </w:rPr>
        <w:t xml:space="preserve"> at different rates in different ethnic groups. Although a difference has not been shown between Korean subjects and Australian Caucasians, the values for the pharmacokinetic parameters in this application for Koreans differ significantly from those of Australian Caucasians, as shown in the Comments referred to. Therefore, the results in the present study cannot be extrapolated to an Australian Caucasian population. This was the main factor for the recommendation to reject the request to change the reference in the PI about this matter</w:t>
      </w:r>
      <w:r w:rsidR="00CF7238">
        <w:rPr>
          <w:lang w:val="en-US"/>
        </w:rPr>
        <w:t>.</w:t>
      </w:r>
    </w:p>
    <w:p w:rsidR="00CF7238" w:rsidRDefault="00CF7238" w:rsidP="00CF7238">
      <w:pPr>
        <w:pStyle w:val="Heading4"/>
        <w:rPr>
          <w:lang w:val="en-US"/>
        </w:rPr>
      </w:pPr>
      <w:r>
        <w:rPr>
          <w:lang w:val="en-US"/>
        </w:rPr>
        <w:t>2. Plasma concentration (</w:t>
      </w:r>
      <w:proofErr w:type="spellStart"/>
      <w:r>
        <w:rPr>
          <w:lang w:val="en-US"/>
        </w:rPr>
        <w:t>C</w:t>
      </w:r>
      <w:r w:rsidRPr="00FA5511">
        <w:rPr>
          <w:vertAlign w:val="subscript"/>
          <w:lang w:val="en-US"/>
        </w:rPr>
        <w:t>max</w:t>
      </w:r>
      <w:proofErr w:type="spellEnd"/>
      <w:r>
        <w:rPr>
          <w:lang w:val="en-US"/>
        </w:rPr>
        <w:t>) of acetaminophen</w:t>
      </w:r>
    </w:p>
    <w:p w:rsidR="00CF7238" w:rsidRDefault="00CF7238" w:rsidP="00CF7238">
      <w:pPr>
        <w:rPr>
          <w:lang w:val="en-US"/>
        </w:rPr>
      </w:pPr>
      <w:r>
        <w:rPr>
          <w:lang w:val="en-US"/>
        </w:rPr>
        <w:t xml:space="preserve">The </w:t>
      </w:r>
      <w:proofErr w:type="spellStart"/>
      <w:r>
        <w:rPr>
          <w:lang w:val="en-US"/>
        </w:rPr>
        <w:t>C</w:t>
      </w:r>
      <w:r w:rsidRPr="00FA5511">
        <w:rPr>
          <w:vertAlign w:val="subscript"/>
          <w:lang w:val="en-US"/>
        </w:rPr>
        <w:t>max</w:t>
      </w:r>
      <w:proofErr w:type="spellEnd"/>
      <w:r>
        <w:rPr>
          <w:lang w:val="en-US"/>
        </w:rPr>
        <w:t xml:space="preserve"> value for the plasma concentrations of acetaminophen with and without </w:t>
      </w:r>
      <w:proofErr w:type="spellStart"/>
      <w:r>
        <w:rPr>
          <w:lang w:val="en-US"/>
        </w:rPr>
        <w:t>imatinib</w:t>
      </w:r>
      <w:proofErr w:type="spellEnd"/>
      <w:r>
        <w:rPr>
          <w:lang w:val="en-US"/>
        </w:rPr>
        <w:t xml:space="preserve"> did not show equivalence.</w:t>
      </w:r>
      <w:r w:rsidR="003B240B">
        <w:rPr>
          <w:lang w:val="en-US"/>
        </w:rPr>
        <w:t xml:space="preserve"> </w:t>
      </w:r>
      <w:r>
        <w:rPr>
          <w:lang w:val="en-US"/>
        </w:rPr>
        <w:t xml:space="preserve">The ratio of results for the </w:t>
      </w:r>
      <w:proofErr w:type="spellStart"/>
      <w:r>
        <w:rPr>
          <w:lang w:val="en-US"/>
        </w:rPr>
        <w:t>C</w:t>
      </w:r>
      <w:r w:rsidRPr="00806FFF">
        <w:rPr>
          <w:vertAlign w:val="subscript"/>
          <w:lang w:val="en-US"/>
        </w:rPr>
        <w:t>max</w:t>
      </w:r>
      <w:proofErr w:type="spellEnd"/>
      <w:r>
        <w:rPr>
          <w:lang w:val="en-US"/>
        </w:rPr>
        <w:t xml:space="preserve"> of acetaminophen in the presence of </w:t>
      </w:r>
      <w:proofErr w:type="spellStart"/>
      <w:r>
        <w:rPr>
          <w:lang w:val="en-US"/>
        </w:rPr>
        <w:t>imatinib</w:t>
      </w:r>
      <w:proofErr w:type="spellEnd"/>
      <w:r>
        <w:rPr>
          <w:lang w:val="en-US"/>
        </w:rPr>
        <w:t xml:space="preserve"> to the </w:t>
      </w:r>
      <w:proofErr w:type="spellStart"/>
      <w:r>
        <w:rPr>
          <w:lang w:val="en-US"/>
        </w:rPr>
        <w:t>C</w:t>
      </w:r>
      <w:r w:rsidRPr="00806FFF">
        <w:rPr>
          <w:vertAlign w:val="subscript"/>
          <w:lang w:val="en-US"/>
        </w:rPr>
        <w:t>max</w:t>
      </w:r>
      <w:proofErr w:type="spellEnd"/>
      <w:r>
        <w:rPr>
          <w:lang w:val="en-US"/>
        </w:rPr>
        <w:t xml:space="preserve"> in its absence had a 95% CI </w:t>
      </w:r>
      <w:r w:rsidR="00806FFF">
        <w:rPr>
          <w:lang w:val="en-US"/>
        </w:rPr>
        <w:t xml:space="preserve">(confidence interval) </w:t>
      </w:r>
      <w:r>
        <w:rPr>
          <w:lang w:val="en-US"/>
        </w:rPr>
        <w:t>of 0.69-1.04. This was outside the required equivalence range of 0.8 to 1.25. Measurements showed a high between</w:t>
      </w:r>
      <w:r w:rsidR="009F10C5">
        <w:rPr>
          <w:lang w:val="en-US"/>
        </w:rPr>
        <w:t xml:space="preserve"> </w:t>
      </w:r>
      <w:r>
        <w:rPr>
          <w:lang w:val="en-US"/>
        </w:rPr>
        <w:t xml:space="preserve">patient variability, with CVs ranging from 34.4% to 43.4% for </w:t>
      </w:r>
      <w:proofErr w:type="spellStart"/>
      <w:r>
        <w:rPr>
          <w:lang w:val="en-US"/>
        </w:rPr>
        <w:t>C</w:t>
      </w:r>
      <w:r w:rsidRPr="009F10C5">
        <w:rPr>
          <w:vertAlign w:val="subscript"/>
          <w:lang w:val="en-US"/>
        </w:rPr>
        <w:t>max</w:t>
      </w:r>
      <w:proofErr w:type="spellEnd"/>
      <w:r>
        <w:rPr>
          <w:lang w:val="en-US"/>
        </w:rPr>
        <w:t xml:space="preserve"> acetaminophen, and similar CV </w:t>
      </w:r>
      <w:r w:rsidR="00D813DB">
        <w:rPr>
          <w:lang w:val="en-US"/>
        </w:rPr>
        <w:t xml:space="preserve">(coefficient of variation) </w:t>
      </w:r>
      <w:r>
        <w:rPr>
          <w:lang w:val="en-US"/>
        </w:rPr>
        <w:t xml:space="preserve">values for AUC parameters. This variability may account for the lack of equivalence. From a safety perspective, a lower value of </w:t>
      </w:r>
      <w:proofErr w:type="spellStart"/>
      <w:r>
        <w:rPr>
          <w:lang w:val="en-US"/>
        </w:rPr>
        <w:t>C</w:t>
      </w:r>
      <w:r w:rsidRPr="00D813DB">
        <w:rPr>
          <w:vertAlign w:val="subscript"/>
          <w:lang w:val="en-US"/>
        </w:rPr>
        <w:t>max</w:t>
      </w:r>
      <w:proofErr w:type="spellEnd"/>
      <w:r>
        <w:rPr>
          <w:lang w:val="en-US"/>
        </w:rPr>
        <w:t xml:space="preserve"> of acetaminophen with co</w:t>
      </w:r>
      <w:r w:rsidR="007D42AF">
        <w:rPr>
          <w:lang w:val="en-US"/>
        </w:rPr>
        <w:t xml:space="preserve"> </w:t>
      </w:r>
      <w:r>
        <w:rPr>
          <w:lang w:val="en-US"/>
        </w:rPr>
        <w:t xml:space="preserve">administration of </w:t>
      </w:r>
      <w:proofErr w:type="spellStart"/>
      <w:r>
        <w:rPr>
          <w:lang w:val="en-US"/>
        </w:rPr>
        <w:t>imatinib</w:t>
      </w:r>
      <w:proofErr w:type="spellEnd"/>
      <w:r>
        <w:rPr>
          <w:lang w:val="en-US"/>
        </w:rPr>
        <w:t xml:space="preserve"> is not a safety concern, unless the plasma level was low because of accelerated metabolism of acetaminophen in the presence of </w:t>
      </w:r>
      <w:proofErr w:type="spellStart"/>
      <w:r>
        <w:rPr>
          <w:lang w:val="en-US"/>
        </w:rPr>
        <w:t>imatinib</w:t>
      </w:r>
      <w:proofErr w:type="spellEnd"/>
      <w:r>
        <w:rPr>
          <w:lang w:val="en-US"/>
        </w:rPr>
        <w:t>. However other results excluded this possibility. Although none of the 12 patients showed evidence of abnormal hepatic function or renal function during the co</w:t>
      </w:r>
      <w:r w:rsidR="009A4B13">
        <w:rPr>
          <w:lang w:val="en-US"/>
        </w:rPr>
        <w:t xml:space="preserve"> </w:t>
      </w:r>
      <w:r>
        <w:rPr>
          <w:lang w:val="en-US"/>
        </w:rPr>
        <w:t>administration of the two drugs, the numbers in the study (n</w:t>
      </w:r>
      <w:r w:rsidR="007D42AF">
        <w:rPr>
          <w:lang w:val="en-US"/>
        </w:rPr>
        <w:t xml:space="preserve"> </w:t>
      </w:r>
      <w:r>
        <w:rPr>
          <w:lang w:val="en-US"/>
        </w:rPr>
        <w:t>=</w:t>
      </w:r>
      <w:r w:rsidR="007D42AF">
        <w:rPr>
          <w:lang w:val="en-US"/>
        </w:rPr>
        <w:t xml:space="preserve"> 1</w:t>
      </w:r>
      <w:r>
        <w:rPr>
          <w:lang w:val="en-US"/>
        </w:rPr>
        <w:t>2) were too low to detect relatively rare events such as acute renal failure and hepatic necrosis, even if the co</w:t>
      </w:r>
      <w:r w:rsidR="009A4B13">
        <w:rPr>
          <w:lang w:val="en-US"/>
        </w:rPr>
        <w:t xml:space="preserve"> </w:t>
      </w:r>
      <w:r>
        <w:rPr>
          <w:lang w:val="en-US"/>
        </w:rPr>
        <w:t>administration increased their frequency significantly.</w:t>
      </w:r>
    </w:p>
    <w:p w:rsidR="00CF7238" w:rsidRDefault="00CF7238" w:rsidP="00CF7238">
      <w:pPr>
        <w:pStyle w:val="Heading4"/>
        <w:rPr>
          <w:lang w:val="en-US"/>
        </w:rPr>
      </w:pPr>
      <w:r>
        <w:rPr>
          <w:lang w:val="en-US"/>
        </w:rPr>
        <w:t>3. Co medications in real life</w:t>
      </w:r>
    </w:p>
    <w:p w:rsidR="00CF7238" w:rsidRDefault="00CF7238" w:rsidP="000A3ACB">
      <w:pPr>
        <w:rPr>
          <w:lang w:val="en-US"/>
        </w:rPr>
      </w:pPr>
      <w:proofErr w:type="spellStart"/>
      <w:r>
        <w:rPr>
          <w:lang w:val="en-US"/>
        </w:rPr>
        <w:t>Cytochromes</w:t>
      </w:r>
      <w:proofErr w:type="spellEnd"/>
      <w:r>
        <w:rPr>
          <w:lang w:val="en-US"/>
        </w:rPr>
        <w:t xml:space="preserve"> </w:t>
      </w:r>
      <w:proofErr w:type="spellStart"/>
      <w:r>
        <w:rPr>
          <w:lang w:val="en-US"/>
        </w:rPr>
        <w:t>metaboli</w:t>
      </w:r>
      <w:r w:rsidR="008B277B">
        <w:rPr>
          <w:lang w:val="en-US"/>
        </w:rPr>
        <w:t>s</w:t>
      </w:r>
      <w:r>
        <w:rPr>
          <w:lang w:val="en-US"/>
        </w:rPr>
        <w:t>e</w:t>
      </w:r>
      <w:proofErr w:type="spellEnd"/>
      <w:r>
        <w:rPr>
          <w:lang w:val="en-US"/>
        </w:rPr>
        <w:t xml:space="preserve"> acetaminophen and are inhibited by </w:t>
      </w:r>
      <w:proofErr w:type="spellStart"/>
      <w:r>
        <w:rPr>
          <w:lang w:val="en-US"/>
        </w:rPr>
        <w:t>imatinib</w:t>
      </w:r>
      <w:proofErr w:type="spellEnd"/>
      <w:r>
        <w:rPr>
          <w:lang w:val="en-US"/>
        </w:rPr>
        <w:t xml:space="preserve">. They also have a role in producing the </w:t>
      </w:r>
      <w:proofErr w:type="spellStart"/>
      <w:r>
        <w:rPr>
          <w:lang w:val="en-US"/>
        </w:rPr>
        <w:t>hepatotoxic</w:t>
      </w:r>
      <w:proofErr w:type="spellEnd"/>
      <w:r>
        <w:rPr>
          <w:lang w:val="en-US"/>
        </w:rPr>
        <w:t xml:space="preserve"> metabolite of acetaminophen, NAPQ1. The study correctly prohibited those drugs that inhibited, were substrates for, or were inducers of </w:t>
      </w:r>
      <w:proofErr w:type="spellStart"/>
      <w:r>
        <w:rPr>
          <w:lang w:val="en-US"/>
        </w:rPr>
        <w:t>cytochromes</w:t>
      </w:r>
      <w:proofErr w:type="spellEnd"/>
      <w:r>
        <w:rPr>
          <w:lang w:val="en-US"/>
        </w:rPr>
        <w:t xml:space="preserve"> (except for </w:t>
      </w:r>
      <w:proofErr w:type="spellStart"/>
      <w:r>
        <w:rPr>
          <w:lang w:val="en-US"/>
        </w:rPr>
        <w:t>allopurinol</w:t>
      </w:r>
      <w:proofErr w:type="spellEnd"/>
      <w:r>
        <w:rPr>
          <w:lang w:val="en-US"/>
        </w:rPr>
        <w:t>).</w:t>
      </w:r>
      <w:r w:rsidR="003B240B">
        <w:rPr>
          <w:lang w:val="en-US"/>
        </w:rPr>
        <w:t xml:space="preserve"> </w:t>
      </w:r>
      <w:r>
        <w:rPr>
          <w:lang w:val="en-US"/>
        </w:rPr>
        <w:t xml:space="preserve">While this was possible in a supervised study of this type, in medical practice, this would be unlikely, especially in diseases for which </w:t>
      </w:r>
      <w:proofErr w:type="spellStart"/>
      <w:r>
        <w:rPr>
          <w:lang w:val="en-US"/>
        </w:rPr>
        <w:t>imatinib</w:t>
      </w:r>
      <w:proofErr w:type="spellEnd"/>
      <w:r>
        <w:rPr>
          <w:lang w:val="en-US"/>
        </w:rPr>
        <w:t xml:space="preserve"> is used, often with acetaminophen.</w:t>
      </w:r>
      <w:r w:rsidR="003B240B">
        <w:rPr>
          <w:lang w:val="en-US"/>
        </w:rPr>
        <w:t xml:space="preserve"> </w:t>
      </w:r>
      <w:r>
        <w:rPr>
          <w:lang w:val="en-US"/>
        </w:rPr>
        <w:t xml:space="preserve">When other drugs that affect </w:t>
      </w:r>
      <w:proofErr w:type="spellStart"/>
      <w:r>
        <w:rPr>
          <w:lang w:val="en-US"/>
        </w:rPr>
        <w:t>cytochromes</w:t>
      </w:r>
      <w:proofErr w:type="spellEnd"/>
      <w:r>
        <w:rPr>
          <w:lang w:val="en-US"/>
        </w:rPr>
        <w:t xml:space="preserve"> are introduced, the effect on the metabolism of </w:t>
      </w:r>
      <w:proofErr w:type="spellStart"/>
      <w:r>
        <w:rPr>
          <w:lang w:val="en-US"/>
        </w:rPr>
        <w:t>acetamophen</w:t>
      </w:r>
      <w:proofErr w:type="spellEnd"/>
      <w:r>
        <w:rPr>
          <w:lang w:val="en-US"/>
        </w:rPr>
        <w:t xml:space="preserve"> would be unpredictable, and possibly result in the producti</w:t>
      </w:r>
      <w:r w:rsidR="000A3ACB">
        <w:rPr>
          <w:lang w:val="en-US"/>
        </w:rPr>
        <w:t>on of greater amounts of NAPQ1.</w:t>
      </w:r>
    </w:p>
    <w:p w:rsidR="00CF7238" w:rsidRDefault="00CF7238" w:rsidP="00CF7238">
      <w:pPr>
        <w:pStyle w:val="Heading4"/>
        <w:rPr>
          <w:lang w:val="en-US"/>
        </w:rPr>
      </w:pPr>
      <w:r>
        <w:rPr>
          <w:lang w:val="en-US"/>
        </w:rPr>
        <w:t>Conclusion</w:t>
      </w:r>
    </w:p>
    <w:p w:rsidR="008B277B" w:rsidRDefault="00CF7238" w:rsidP="000A3ACB">
      <w:pPr>
        <w:rPr>
          <w:lang w:val="en-US"/>
        </w:rPr>
      </w:pPr>
      <w:r>
        <w:rPr>
          <w:lang w:val="en-US"/>
        </w:rPr>
        <w:t>From a consideration</w:t>
      </w:r>
      <w:r w:rsidR="008B277B">
        <w:rPr>
          <w:lang w:val="en-US"/>
        </w:rPr>
        <w:t xml:space="preserve"> of the above three problems, the evaluator </w:t>
      </w:r>
      <w:r>
        <w:rPr>
          <w:lang w:val="en-US"/>
        </w:rPr>
        <w:t>find</w:t>
      </w:r>
      <w:r w:rsidR="008B277B">
        <w:rPr>
          <w:lang w:val="en-US"/>
        </w:rPr>
        <w:t>s</w:t>
      </w:r>
      <w:r>
        <w:rPr>
          <w:lang w:val="en-US"/>
        </w:rPr>
        <w:t xml:space="preserve"> the </w:t>
      </w:r>
      <w:r w:rsidR="008B277B">
        <w:rPr>
          <w:lang w:val="en-US"/>
        </w:rPr>
        <w:t>request to delete the statement</w:t>
      </w:r>
    </w:p>
    <w:p w:rsidR="008B277B" w:rsidRPr="008B277B" w:rsidRDefault="00CF7238" w:rsidP="008B277B">
      <w:pPr>
        <w:ind w:left="720"/>
        <w:rPr>
          <w:i/>
          <w:lang w:val="en-US"/>
        </w:rPr>
      </w:pPr>
      <w:r w:rsidRPr="008B277B">
        <w:rPr>
          <w:i/>
          <w:lang w:val="en-US"/>
        </w:rPr>
        <w:t>“</w:t>
      </w:r>
      <w:proofErr w:type="spellStart"/>
      <w:r w:rsidRPr="008B277B">
        <w:rPr>
          <w:i/>
          <w:lang w:val="en-US"/>
        </w:rPr>
        <w:t>Glivec</w:t>
      </w:r>
      <w:proofErr w:type="spellEnd"/>
      <w:r w:rsidRPr="008B277B">
        <w:rPr>
          <w:i/>
          <w:lang w:val="en-US"/>
        </w:rPr>
        <w:t xml:space="preserve"> inhibits </w:t>
      </w:r>
      <w:proofErr w:type="spellStart"/>
      <w:r w:rsidRPr="008B277B">
        <w:rPr>
          <w:i/>
          <w:lang w:val="en-US"/>
        </w:rPr>
        <w:t>paracetamol</w:t>
      </w:r>
      <w:proofErr w:type="spellEnd"/>
      <w:r w:rsidRPr="008B277B">
        <w:rPr>
          <w:i/>
          <w:lang w:val="en-US"/>
        </w:rPr>
        <w:t xml:space="preserve"> O-</w:t>
      </w:r>
      <w:proofErr w:type="spellStart"/>
      <w:r w:rsidRPr="008B277B">
        <w:rPr>
          <w:i/>
          <w:lang w:val="en-US"/>
        </w:rPr>
        <w:t>glucuronidation</w:t>
      </w:r>
      <w:proofErr w:type="spellEnd"/>
      <w:r w:rsidRPr="008B277B">
        <w:rPr>
          <w:i/>
          <w:lang w:val="en-US"/>
        </w:rPr>
        <w:t xml:space="preserve"> </w:t>
      </w:r>
      <w:r w:rsidRPr="008B277B">
        <w:rPr>
          <w:i/>
          <w:iCs/>
          <w:lang w:val="en-US"/>
        </w:rPr>
        <w:t>in vitro</w:t>
      </w:r>
      <w:r w:rsidRPr="008B277B">
        <w:rPr>
          <w:i/>
          <w:lang w:val="en-US"/>
        </w:rPr>
        <w:t xml:space="preserve"> (</w:t>
      </w:r>
      <w:proofErr w:type="spellStart"/>
      <w:r w:rsidRPr="008B277B">
        <w:rPr>
          <w:i/>
          <w:lang w:val="en-US"/>
        </w:rPr>
        <w:t>Ki</w:t>
      </w:r>
      <w:proofErr w:type="spellEnd"/>
      <w:r w:rsidRPr="008B277B">
        <w:rPr>
          <w:i/>
          <w:lang w:val="en-US"/>
        </w:rPr>
        <w:t xml:space="preserve"> value of 58.5 </w:t>
      </w:r>
      <w:proofErr w:type="spellStart"/>
      <w:r w:rsidRPr="008B277B">
        <w:rPr>
          <w:i/>
          <w:lang w:val="en-US"/>
        </w:rPr>
        <w:t>micromol</w:t>
      </w:r>
      <w:proofErr w:type="spellEnd"/>
      <w:r w:rsidRPr="008B277B">
        <w:rPr>
          <w:i/>
          <w:lang w:val="en-US"/>
        </w:rPr>
        <w:t xml:space="preserve">/L) and may inhibit </w:t>
      </w:r>
      <w:proofErr w:type="spellStart"/>
      <w:r w:rsidRPr="008B277B">
        <w:rPr>
          <w:i/>
          <w:lang w:val="en-US"/>
        </w:rPr>
        <w:t>paracetamol</w:t>
      </w:r>
      <w:proofErr w:type="spellEnd"/>
      <w:r w:rsidRPr="008B277B">
        <w:rPr>
          <w:i/>
          <w:lang w:val="en-US"/>
        </w:rPr>
        <w:t xml:space="preserve"> metabolism at therapeutic levels (see ‘</w:t>
      </w:r>
      <w:r w:rsidR="00405593" w:rsidRPr="008B277B">
        <w:rPr>
          <w:i/>
          <w:lang w:val="en-US"/>
        </w:rPr>
        <w:t>Precautions</w:t>
      </w:r>
      <w:r w:rsidR="008B277B" w:rsidRPr="008B277B">
        <w:rPr>
          <w:i/>
          <w:lang w:val="en-US"/>
        </w:rPr>
        <w:t>’)”</w:t>
      </w:r>
    </w:p>
    <w:p w:rsidR="00CF7238" w:rsidRDefault="00CF7238" w:rsidP="000A3ACB">
      <w:pPr>
        <w:rPr>
          <w:lang w:val="en-US"/>
        </w:rPr>
      </w:pPr>
      <w:r>
        <w:rPr>
          <w:lang w:val="en-US"/>
        </w:rPr>
        <w:t>from the PI cannot be supported. Reference to ethnic differences in the metabolism of acetaminophen coul</w:t>
      </w:r>
      <w:r w:rsidR="000A3ACB">
        <w:rPr>
          <w:lang w:val="en-US"/>
        </w:rPr>
        <w:t>d be considered as an addition.</w:t>
      </w:r>
    </w:p>
    <w:p w:rsidR="008E7846" w:rsidRPr="00E56E65" w:rsidRDefault="008E7846" w:rsidP="00E56E65">
      <w:pPr>
        <w:pStyle w:val="Heading3"/>
      </w:pPr>
      <w:bookmarkStart w:id="41" w:name="_Toc196046481"/>
      <w:bookmarkStart w:id="42" w:name="_Toc247691520"/>
      <w:bookmarkStart w:id="43" w:name="_Toc314842503"/>
      <w:bookmarkStart w:id="44" w:name="_Toc361309719"/>
      <w:r w:rsidRPr="00E56E65">
        <w:lastRenderedPageBreak/>
        <w:t>Pharmacodynamics</w:t>
      </w:r>
      <w:bookmarkEnd w:id="30"/>
      <w:bookmarkEnd w:id="41"/>
      <w:bookmarkEnd w:id="42"/>
      <w:bookmarkEnd w:id="43"/>
      <w:bookmarkEnd w:id="44"/>
    </w:p>
    <w:p w:rsidR="00E56E65" w:rsidRDefault="00CF7238" w:rsidP="00E56E65">
      <w:r w:rsidRPr="00E56E65">
        <w:t>No new pharmacodynamic data were presented in this application</w:t>
      </w:r>
      <w:r w:rsidR="00E56E65">
        <w:t>.</w:t>
      </w:r>
    </w:p>
    <w:p w:rsidR="00E56E65" w:rsidRPr="00E56E65" w:rsidRDefault="00E56E65" w:rsidP="00E56E65">
      <w:pPr>
        <w:pStyle w:val="Heading3"/>
      </w:pPr>
      <w:bookmarkStart w:id="45" w:name="_Toc361309720"/>
      <w:r w:rsidRPr="00E56E65">
        <w:t>Dosage selection for the pivotal studies</w:t>
      </w:r>
      <w:bookmarkEnd w:id="45"/>
    </w:p>
    <w:p w:rsidR="00E56E65" w:rsidRDefault="00E56E65" w:rsidP="000A3ACB">
      <w:pPr>
        <w:rPr>
          <w:szCs w:val="23"/>
          <w:lang w:val="en-US"/>
        </w:rPr>
      </w:pPr>
      <w:r>
        <w:rPr>
          <w:lang w:val="en-US"/>
        </w:rPr>
        <w:t xml:space="preserve">As </w:t>
      </w:r>
      <w:proofErr w:type="spellStart"/>
      <w:r>
        <w:rPr>
          <w:lang w:val="en-US"/>
        </w:rPr>
        <w:t>imatinib</w:t>
      </w:r>
      <w:proofErr w:type="spellEnd"/>
      <w:r>
        <w:rPr>
          <w:lang w:val="en-US"/>
        </w:rPr>
        <w:t xml:space="preserve"> at a dose of 400 mg/day is already approved for the adjuvant treatment of adult patients following resection of GIST, this dose was chosen for the present study. </w:t>
      </w:r>
      <w:r>
        <w:rPr>
          <w:szCs w:val="23"/>
          <w:lang w:val="en-US"/>
        </w:rPr>
        <w:t xml:space="preserve">Study treatment was to be stopped after 12 or 36 months. However, the patients who were rendered free from overt metastases by surgery were an exception and were allowed to continue adjuvant </w:t>
      </w:r>
      <w:proofErr w:type="spellStart"/>
      <w:r>
        <w:rPr>
          <w:szCs w:val="23"/>
          <w:lang w:val="en-US"/>
        </w:rPr>
        <w:t>imatinib</w:t>
      </w:r>
      <w:proofErr w:type="spellEnd"/>
      <w:r>
        <w:rPr>
          <w:szCs w:val="23"/>
          <w:lang w:val="en-US"/>
        </w:rPr>
        <w:t xml:space="preserve"> treatment beyond 12/36 months. The proportion of patients continuing </w:t>
      </w:r>
      <w:proofErr w:type="spellStart"/>
      <w:r>
        <w:rPr>
          <w:szCs w:val="23"/>
          <w:lang w:val="en-US"/>
        </w:rPr>
        <w:t>imatinib</w:t>
      </w:r>
      <w:proofErr w:type="spellEnd"/>
      <w:r>
        <w:rPr>
          <w:szCs w:val="23"/>
          <w:lang w:val="en-US"/>
        </w:rPr>
        <w:t xml:space="preserve"> treatment beyond 12/36 months was tabulated. The median duration and range (Min, Max) of the use of out</w:t>
      </w:r>
      <w:r w:rsidR="00076D3B">
        <w:rPr>
          <w:szCs w:val="23"/>
          <w:lang w:val="en-US"/>
        </w:rPr>
        <w:t xml:space="preserve"> </w:t>
      </w:r>
      <w:r>
        <w:rPr>
          <w:szCs w:val="23"/>
          <w:lang w:val="en-US"/>
        </w:rPr>
        <w:t>of</w:t>
      </w:r>
      <w:r w:rsidR="00076D3B">
        <w:rPr>
          <w:szCs w:val="23"/>
          <w:lang w:val="en-US"/>
        </w:rPr>
        <w:t xml:space="preserve"> </w:t>
      </w:r>
      <w:r>
        <w:rPr>
          <w:szCs w:val="23"/>
          <w:lang w:val="en-US"/>
        </w:rPr>
        <w:t xml:space="preserve">study adjuvant </w:t>
      </w:r>
      <w:proofErr w:type="spellStart"/>
      <w:r>
        <w:rPr>
          <w:szCs w:val="23"/>
          <w:lang w:val="en-US"/>
        </w:rPr>
        <w:t>imatinib</w:t>
      </w:r>
      <w:proofErr w:type="spellEnd"/>
      <w:r>
        <w:rPr>
          <w:szCs w:val="23"/>
          <w:lang w:val="en-US"/>
        </w:rPr>
        <w:t xml:space="preserve"> was recorded. Out</w:t>
      </w:r>
      <w:r w:rsidR="00076D3B">
        <w:rPr>
          <w:szCs w:val="23"/>
          <w:lang w:val="en-US"/>
        </w:rPr>
        <w:t xml:space="preserve"> </w:t>
      </w:r>
      <w:r>
        <w:rPr>
          <w:szCs w:val="23"/>
          <w:lang w:val="en-US"/>
        </w:rPr>
        <w:t>of</w:t>
      </w:r>
      <w:r w:rsidR="00076D3B">
        <w:rPr>
          <w:szCs w:val="23"/>
          <w:lang w:val="en-US"/>
        </w:rPr>
        <w:t xml:space="preserve"> </w:t>
      </w:r>
      <w:r>
        <w:rPr>
          <w:szCs w:val="23"/>
          <w:lang w:val="en-US"/>
        </w:rPr>
        <w:t xml:space="preserve">study adjuvant </w:t>
      </w:r>
      <w:proofErr w:type="spellStart"/>
      <w:r>
        <w:rPr>
          <w:szCs w:val="23"/>
          <w:lang w:val="en-US"/>
        </w:rPr>
        <w:t>imatinib</w:t>
      </w:r>
      <w:proofErr w:type="spellEnd"/>
      <w:r>
        <w:rPr>
          <w:szCs w:val="23"/>
          <w:lang w:val="en-US"/>
        </w:rPr>
        <w:t xml:space="preserve"> use was not included in duration of exposure of study drug.</w:t>
      </w:r>
    </w:p>
    <w:p w:rsidR="00E56E65" w:rsidRDefault="00E56E65" w:rsidP="000A3ACB">
      <w:r>
        <w:rPr>
          <w:szCs w:val="23"/>
          <w:lang w:val="en-US"/>
        </w:rPr>
        <w:t xml:space="preserve">Treatment of patients with recurrence of GIST during the study period was not specified, but in most cases was with further </w:t>
      </w:r>
      <w:proofErr w:type="spellStart"/>
      <w:r>
        <w:rPr>
          <w:szCs w:val="23"/>
          <w:lang w:val="en-US"/>
        </w:rPr>
        <w:t>imatinib</w:t>
      </w:r>
      <w:proofErr w:type="spellEnd"/>
      <w:r>
        <w:rPr>
          <w:szCs w:val="23"/>
          <w:lang w:val="en-US"/>
        </w:rPr>
        <w:t xml:space="preserve"> therapy, as this has been shown in other studies to be effective in a percentage of patients. Other treatments included other systemic therapy as first or second or third line treatment, </w:t>
      </w:r>
      <w:proofErr w:type="spellStart"/>
      <w:r>
        <w:rPr>
          <w:szCs w:val="23"/>
          <w:lang w:val="en-US"/>
        </w:rPr>
        <w:t>imatinib</w:t>
      </w:r>
      <w:proofErr w:type="spellEnd"/>
      <w:r>
        <w:rPr>
          <w:szCs w:val="23"/>
          <w:lang w:val="en-US"/>
        </w:rPr>
        <w:t xml:space="preserve"> as second or third line treatment, surgery for GIST recurrence, and radiotherapy for GIST recurrence.</w:t>
      </w:r>
    </w:p>
    <w:p w:rsidR="008E7846" w:rsidRPr="00254787" w:rsidRDefault="008E7846" w:rsidP="008E7846">
      <w:pPr>
        <w:pStyle w:val="Heading3"/>
      </w:pPr>
      <w:bookmarkStart w:id="46" w:name="_Toc163441372"/>
      <w:bookmarkStart w:id="47" w:name="_Toc196046485"/>
      <w:bookmarkStart w:id="48" w:name="_Toc247691521"/>
      <w:bookmarkStart w:id="49" w:name="_Toc314842504"/>
      <w:bookmarkStart w:id="50" w:name="_Toc361309721"/>
      <w:r w:rsidRPr="00254787">
        <w:t>Efficacy</w:t>
      </w:r>
      <w:bookmarkEnd w:id="46"/>
      <w:bookmarkEnd w:id="47"/>
      <w:bookmarkEnd w:id="48"/>
      <w:bookmarkEnd w:id="49"/>
      <w:bookmarkEnd w:id="50"/>
    </w:p>
    <w:p w:rsidR="00E56E65" w:rsidRDefault="00E56E65" w:rsidP="00E56E65">
      <w:pPr>
        <w:pStyle w:val="Heading4"/>
      </w:pPr>
      <w:bookmarkStart w:id="51" w:name="_Toc184439992"/>
      <w:bookmarkStart w:id="52" w:name="_Toc184440279"/>
      <w:bookmarkStart w:id="53" w:name="_Toc184444657"/>
      <w:bookmarkStart w:id="54" w:name="_Toc196046487"/>
      <w:r>
        <w:t xml:space="preserve">Evaluator’s conclusions on clinical efficacy from the results of pivotal study STI571BFI03 of an increase in the duration of adjuvant treatment of </w:t>
      </w:r>
      <w:proofErr w:type="spellStart"/>
      <w:r>
        <w:t>resected</w:t>
      </w:r>
      <w:proofErr w:type="spellEnd"/>
      <w:r>
        <w:t xml:space="preserve"> GIST from 400</w:t>
      </w:r>
      <w:r w:rsidR="00F7386E">
        <w:t xml:space="preserve"> </w:t>
      </w:r>
      <w:r>
        <w:t>mg/day for 12 months to 400</w:t>
      </w:r>
      <w:r w:rsidR="00F7386E">
        <w:t xml:space="preserve"> mg/day for 36 months</w:t>
      </w:r>
    </w:p>
    <w:p w:rsidR="00E56E65" w:rsidRDefault="000A3ACB" w:rsidP="00E56E65">
      <w:pPr>
        <w:pStyle w:val="Heading5"/>
      </w:pPr>
      <w:r>
        <w:t>Adequacy of s</w:t>
      </w:r>
      <w:r w:rsidR="00E56E65">
        <w:t xml:space="preserve">tudy </w:t>
      </w:r>
      <w:r>
        <w:t>d</w:t>
      </w:r>
      <w:r w:rsidR="00E56E65">
        <w:t>esign</w:t>
      </w:r>
    </w:p>
    <w:p w:rsidR="00F7386E" w:rsidRDefault="00E56E65" w:rsidP="000A3ACB">
      <w:r>
        <w:t>The final study design resulted from five revised protocols (original [2003], 2004, 2006, 2007, 2008) and three major amendments (2006, 2007, 2008), the changed protocol in 2004 being referred to as an “update”. The objectives of the first Phase II Scandinavian protocol were not stated and the protocol not pr</w:t>
      </w:r>
      <w:r w:rsidR="00F7386E">
        <w:t>ovided. The Study Report states</w:t>
      </w:r>
    </w:p>
    <w:p w:rsidR="00F7386E" w:rsidRPr="00F7386E" w:rsidRDefault="00E56E65" w:rsidP="00F7386E">
      <w:pPr>
        <w:ind w:left="720"/>
        <w:rPr>
          <w:i/>
        </w:rPr>
      </w:pPr>
      <w:r w:rsidRPr="00F7386E">
        <w:rPr>
          <w:i/>
        </w:rPr>
        <w:t>“This study was originally designed to assess RFS in a total of 80 GIST patients treated for either 12 months or 36 months with a follow</w:t>
      </w:r>
      <w:r w:rsidR="003C3240">
        <w:rPr>
          <w:i/>
        </w:rPr>
        <w:t xml:space="preserve"> </w:t>
      </w:r>
      <w:r w:rsidRPr="00F7386E">
        <w:rPr>
          <w:i/>
        </w:rPr>
        <w:t>up of at least 5 years. The study was hypothesis generating and designed to compare each treatment a</w:t>
      </w:r>
      <w:r w:rsidR="00F7386E" w:rsidRPr="00F7386E">
        <w:rPr>
          <w:i/>
        </w:rPr>
        <w:t>rm with an historical control.”</w:t>
      </w:r>
    </w:p>
    <w:p w:rsidR="00E56E65" w:rsidRDefault="00E56E65" w:rsidP="000A3ACB">
      <w:r>
        <w:t>Subsequent changes, including that from a Phase II to a Phase III study, are described in more detail under Protocol Amendments. The numerous changes produced a heterogeneous patient population. The intent of the study seems to have been to select only patients at high risk of recurrence after resection, defined as a 50% risk over 5 years. However, because of the changing definitions of “high</w:t>
      </w:r>
      <w:r w:rsidR="003C3240">
        <w:t xml:space="preserve"> </w:t>
      </w:r>
      <w:r>
        <w:t xml:space="preserve">risk”, the actual ITT </w:t>
      </w:r>
      <w:r w:rsidR="003C3240">
        <w:t xml:space="preserve">(Intent to Treat) </w:t>
      </w:r>
      <w:r>
        <w:t>population in the completed study was composed of 82% patients at high</w:t>
      </w:r>
      <w:r w:rsidR="003C3240">
        <w:t xml:space="preserve"> </w:t>
      </w:r>
      <w:r>
        <w:t>risk and 18% not at high</w:t>
      </w:r>
      <w:r w:rsidR="003C3240">
        <w:t xml:space="preserve"> </w:t>
      </w:r>
      <w:r>
        <w:t xml:space="preserve">risk (Fletcher classification, used in the study). In the more recent classification of </w:t>
      </w:r>
      <w:proofErr w:type="spellStart"/>
      <w:r>
        <w:t>Miettinen</w:t>
      </w:r>
      <w:proofErr w:type="spellEnd"/>
      <w:r>
        <w:t>, the high</w:t>
      </w:r>
      <w:r w:rsidR="003C3240">
        <w:t xml:space="preserve"> </w:t>
      </w:r>
      <w:r>
        <w:t xml:space="preserve">risk population in the study was 71%. As well, in the initial protocol, patients with </w:t>
      </w:r>
      <w:proofErr w:type="spellStart"/>
      <w:r>
        <w:t>resected</w:t>
      </w:r>
      <w:proofErr w:type="spellEnd"/>
      <w:r>
        <w:t xml:space="preserve"> metastatic disease were eligible for inclusion. They were later excluded by the Oct</w:t>
      </w:r>
      <w:r w:rsidR="00DC1A6A">
        <w:t>ober</w:t>
      </w:r>
      <w:r>
        <w:t xml:space="preserve"> 2006 amendment.</w:t>
      </w:r>
      <w:r w:rsidR="003B240B">
        <w:t xml:space="preserve"> </w:t>
      </w:r>
      <w:r>
        <w:t>At this time, a total of 83 and 95 patients had been enrolled in the 12</w:t>
      </w:r>
      <w:r w:rsidR="00FF77EB">
        <w:t xml:space="preserve"> </w:t>
      </w:r>
      <w:r>
        <w:t xml:space="preserve">month and 36 month arms, respectively. Of these, only 5 had metastases at initial surgery. This small number would not therefore </w:t>
      </w:r>
      <w:r w:rsidR="000A3ACB">
        <w:t>affect the final data analysis.</w:t>
      </w:r>
    </w:p>
    <w:p w:rsidR="00E56E65" w:rsidRDefault="00E56E65" w:rsidP="000A3ACB">
      <w:r>
        <w:lastRenderedPageBreak/>
        <w:t>A further problem in studying GISTs is its relative rarity (7 t</w:t>
      </w:r>
      <w:r w:rsidR="00D73E11">
        <w:t>o 19 cases per million</w:t>
      </w:r>
      <w:r w:rsidR="00D73E11">
        <w:rPr>
          <w:rStyle w:val="FootnoteReference"/>
        </w:rPr>
        <w:footnoteReference w:id="3"/>
      </w:r>
      <w:r>
        <w:t>) and the long clinical course for the overall patient population. One year after resection of tumours 3 cm diameter or greater with no macroscopic residual disease, 82% of patients had no disease recurrence (Australian PI).</w:t>
      </w:r>
    </w:p>
    <w:p w:rsidR="00E56E65" w:rsidRDefault="00E56E65" w:rsidP="000A3ACB">
      <w:r>
        <w:t>In spite of these problems, the final study design was acceptable, the study itself was well conducted, and the data analysed appropriately.</w:t>
      </w:r>
    </w:p>
    <w:p w:rsidR="00E56E65" w:rsidRDefault="00E56E65" w:rsidP="00E56E65">
      <w:pPr>
        <w:pStyle w:val="Heading5"/>
      </w:pPr>
      <w:r>
        <w:t>Results</w:t>
      </w:r>
    </w:p>
    <w:p w:rsidR="00E56E65" w:rsidRDefault="00EA6A93" w:rsidP="000A3ACB">
      <w:r>
        <w:t>RFS</w:t>
      </w:r>
      <w:r w:rsidR="00E56E65">
        <w:t xml:space="preserve"> was significantly improved in the 36</w:t>
      </w:r>
      <w:r>
        <w:t xml:space="preserve"> </w:t>
      </w:r>
      <w:r w:rsidR="00E56E65">
        <w:t>month a</w:t>
      </w:r>
      <w:r>
        <w:t>rm compared to the 12-month arm:</w:t>
      </w:r>
    </w:p>
    <w:p w:rsidR="00E56E65" w:rsidRDefault="00E56E65" w:rsidP="000A3ACB">
      <w:pPr>
        <w:pStyle w:val="ListBullet"/>
      </w:pPr>
      <w:r>
        <w:t>For the treated population, with 66% (</w:t>
      </w:r>
      <w:proofErr w:type="spellStart"/>
      <w:r>
        <w:t>Miettenen</w:t>
      </w:r>
      <w:proofErr w:type="spellEnd"/>
      <w:r>
        <w:t xml:space="preserve"> classification) to 82% (Fletcher classification) of patients at high risk of recurrence, those treated for 36 months were at significantly reduced risk of recurrence in the time period studied, compared to those treated for 12 months. The HR </w:t>
      </w:r>
      <w:r w:rsidR="00FD29F4">
        <w:t xml:space="preserve">(hazard ratio) </w:t>
      </w:r>
      <w:r>
        <w:t>was 0.46 (95% CI: 0.32-0.65), and the p</w:t>
      </w:r>
      <w:r w:rsidR="0047387D">
        <w:t xml:space="preserve"> </w:t>
      </w:r>
      <w:r>
        <w:t>value &lt;0.0001.</w:t>
      </w:r>
    </w:p>
    <w:p w:rsidR="00E56E65" w:rsidRDefault="00E56E65" w:rsidP="000A3ACB">
      <w:pPr>
        <w:pStyle w:val="ListBullet"/>
      </w:pPr>
      <w:r>
        <w:t>For the high</w:t>
      </w:r>
      <w:r w:rsidR="0047387D">
        <w:t xml:space="preserve"> </w:t>
      </w:r>
      <w:r>
        <w:t>risk population, classified by either scheme, the HR was similar to that of the overall population in favour of 36 months treatment, with sim</w:t>
      </w:r>
      <w:r w:rsidR="0047387D">
        <w:t xml:space="preserve">ilar values for the HR ratios: </w:t>
      </w:r>
      <w:r>
        <w:t xml:space="preserve">0.46 (95% CI 0.32-0.66, Fletcher classification), and 0.43 (95% CI 0.30-0.62, </w:t>
      </w:r>
      <w:proofErr w:type="spellStart"/>
      <w:r>
        <w:t>Miettinen</w:t>
      </w:r>
      <w:proofErr w:type="spellEnd"/>
      <w:r>
        <w:t xml:space="preserve"> classification).</w:t>
      </w:r>
    </w:p>
    <w:p w:rsidR="00E56E65" w:rsidRDefault="00E56E65" w:rsidP="000A3ACB">
      <w:pPr>
        <w:pStyle w:val="ListBullet"/>
      </w:pPr>
      <w:r>
        <w:t>The non</w:t>
      </w:r>
      <w:r w:rsidR="00632946">
        <w:t xml:space="preserve"> </w:t>
      </w:r>
      <w:r>
        <w:t>high risk groups also showed an increased benefit from 36 months treatment, but the low number of recurrences in this smaller group did not give rel</w:t>
      </w:r>
      <w:r w:rsidR="000A3ACB">
        <w:t>iable estimates of the benefit.</w:t>
      </w:r>
    </w:p>
    <w:p w:rsidR="00E56E65" w:rsidRDefault="00E56E65" w:rsidP="000A3ACB">
      <w:pPr>
        <w:pStyle w:val="ListBullet"/>
      </w:pPr>
      <w:r>
        <w:t xml:space="preserve">Estimates of OS </w:t>
      </w:r>
      <w:r w:rsidR="00632946">
        <w:t xml:space="preserve">(overall survival) </w:t>
      </w:r>
      <w:r>
        <w:t>demonstrated the lower risk of death from all causes in the 36</w:t>
      </w:r>
      <w:r w:rsidR="00632946">
        <w:t xml:space="preserve"> </w:t>
      </w:r>
      <w:r>
        <w:t>month arm compared to the 12</w:t>
      </w:r>
      <w:r w:rsidR="00632946">
        <w:t xml:space="preserve"> </w:t>
      </w:r>
      <w:r>
        <w:t>month arm with a HR of 0.45 (95% CI 0.22-0.89), p</w:t>
      </w:r>
      <w:r w:rsidR="00632946">
        <w:t xml:space="preserve"> </w:t>
      </w:r>
      <w:r>
        <w:t>=</w:t>
      </w:r>
      <w:r w:rsidR="00632946">
        <w:t xml:space="preserve"> </w:t>
      </w:r>
      <w:r>
        <w:t>0.0187. However the difference in the deaths from GIST was not statistically significant between the two arms. In this case, although the HR was 0.46 in favour of the 36 month arm, the 95% CI was very wide (0.19-1.14), and the p value 0.0872. There is no reason to expect an increase in non</w:t>
      </w:r>
      <w:r w:rsidR="00632946">
        <w:t xml:space="preserve"> </w:t>
      </w:r>
      <w:r>
        <w:t>GIST deaths in the 12</w:t>
      </w:r>
      <w:r w:rsidR="00632946">
        <w:t xml:space="preserve"> </w:t>
      </w:r>
      <w:r>
        <w:t>month arm, so the lack of a demonstrated statistical difference in the number of GIST deaths may be due to insufficient number of ev</w:t>
      </w:r>
      <w:r w:rsidR="000A3ACB">
        <w:t>ents (deaths) in this subgroup.</w:t>
      </w:r>
    </w:p>
    <w:p w:rsidR="008E7846" w:rsidRDefault="00E56E65" w:rsidP="000A3ACB">
      <w:pPr>
        <w:pStyle w:val="ListBullet"/>
      </w:pPr>
      <w:r>
        <w:t>Sensitivity and subgroup analyses were consistent with the above results for RFS.</w:t>
      </w:r>
    </w:p>
    <w:p w:rsidR="008E7846" w:rsidRPr="002E238E" w:rsidRDefault="008E7846" w:rsidP="008E7846">
      <w:pPr>
        <w:pStyle w:val="Heading3"/>
      </w:pPr>
      <w:bookmarkStart w:id="55" w:name="_Toc163441378"/>
      <w:bookmarkStart w:id="56" w:name="_Toc196046495"/>
      <w:bookmarkStart w:id="57" w:name="_Toc247691522"/>
      <w:bookmarkStart w:id="58" w:name="_Toc314842505"/>
      <w:bookmarkStart w:id="59" w:name="_Toc361309722"/>
      <w:bookmarkEnd w:id="51"/>
      <w:bookmarkEnd w:id="52"/>
      <w:bookmarkEnd w:id="53"/>
      <w:bookmarkEnd w:id="54"/>
      <w:r w:rsidRPr="002E238E">
        <w:t>Safety</w:t>
      </w:r>
      <w:bookmarkEnd w:id="55"/>
      <w:bookmarkEnd w:id="56"/>
      <w:bookmarkEnd w:id="57"/>
      <w:bookmarkEnd w:id="58"/>
      <w:bookmarkEnd w:id="59"/>
    </w:p>
    <w:p w:rsidR="00E56E65" w:rsidRDefault="00E56E65" w:rsidP="000A3ACB">
      <w:bookmarkStart w:id="60" w:name="_Toc163441387"/>
      <w:r>
        <w:t>The recording and reporting of some important safety data was not of an acceptable standard. The pivotal study was designed and carried out by the Swedish Sarcoma Group. Although the sponsor of the present application, Novartis, reworked the safety data, it was unable to correct the deficiencies. This is especially unfortunate since the study is the only monitored study of long</w:t>
      </w:r>
      <w:r w:rsidR="00632946">
        <w:t xml:space="preserve"> </w:t>
      </w:r>
      <w:r>
        <w:t xml:space="preserve">term usage (36 or more months) of </w:t>
      </w:r>
      <w:proofErr w:type="spellStart"/>
      <w:r>
        <w:t>Glivec</w:t>
      </w:r>
      <w:proofErr w:type="spellEnd"/>
      <w:r>
        <w:t>. Long</w:t>
      </w:r>
      <w:r w:rsidR="00632946">
        <w:t xml:space="preserve"> </w:t>
      </w:r>
      <w:r>
        <w:t>term safety is the</w:t>
      </w:r>
      <w:r w:rsidR="000A3ACB">
        <w:t>refore of concern.</w:t>
      </w:r>
    </w:p>
    <w:p w:rsidR="00E56E65" w:rsidRDefault="00E56E65" w:rsidP="00E56E65">
      <w:pPr>
        <w:pStyle w:val="Heading5"/>
      </w:pPr>
      <w:r>
        <w:t>Deficiencies in reporting safety data</w:t>
      </w:r>
    </w:p>
    <w:p w:rsidR="00632946" w:rsidRDefault="00E56E65" w:rsidP="00E56E65">
      <w:r>
        <w:t>The two main deficiencies dealt with in detail in earlier s</w:t>
      </w:r>
      <w:r w:rsidR="00632946">
        <w:t>ections of this evaluation were:</w:t>
      </w:r>
    </w:p>
    <w:p w:rsidR="00632946" w:rsidRDefault="00E56E65" w:rsidP="000A3ACB">
      <w:pPr>
        <w:pStyle w:val="Numberbullet0"/>
      </w:pPr>
      <w:r>
        <w:t xml:space="preserve">failure to record the relationship of AEs </w:t>
      </w:r>
      <w:r w:rsidR="005A3438">
        <w:t xml:space="preserve">(adverse events) </w:t>
      </w:r>
      <w:r>
        <w:t xml:space="preserve">to treatment (the relationship of SAEs </w:t>
      </w:r>
      <w:r w:rsidR="005A3438">
        <w:t xml:space="preserve">[serious AEs] </w:t>
      </w:r>
      <w:r>
        <w:t>to treatment wa</w:t>
      </w:r>
      <w:r w:rsidR="005A3438">
        <w:t>s listed)</w:t>
      </w:r>
    </w:p>
    <w:p w:rsidR="005A3438" w:rsidRDefault="00E56E65" w:rsidP="000A3ACB">
      <w:pPr>
        <w:pStyle w:val="Numberbullet0"/>
      </w:pPr>
      <w:proofErr w:type="gramStart"/>
      <w:r>
        <w:t>failure</w:t>
      </w:r>
      <w:proofErr w:type="gramEnd"/>
      <w:r>
        <w:t xml:space="preserve"> to record laboratory values during the trial unless</w:t>
      </w:r>
      <w:r w:rsidR="005A3438">
        <w:t xml:space="preserve"> associated with an related AE.</w:t>
      </w:r>
    </w:p>
    <w:p w:rsidR="00E56E65" w:rsidRDefault="00E56E65" w:rsidP="005A3438">
      <w:r>
        <w:lastRenderedPageBreak/>
        <w:t xml:space="preserve">This resulted among other things in an inability to assess </w:t>
      </w:r>
      <w:proofErr w:type="spellStart"/>
      <w:r>
        <w:t>hepatotoxicity</w:t>
      </w:r>
      <w:proofErr w:type="spellEnd"/>
      <w:r>
        <w:t xml:space="preserve"> by </w:t>
      </w:r>
      <w:proofErr w:type="spellStart"/>
      <w:r>
        <w:t>Hy’s</w:t>
      </w:r>
      <w:proofErr w:type="spellEnd"/>
      <w:r>
        <w:t xml:space="preserve"> law.</w:t>
      </w:r>
    </w:p>
    <w:p w:rsidR="00E56E65" w:rsidRDefault="00E56E65" w:rsidP="00E56E65">
      <w:pPr>
        <w:pStyle w:val="Heading5"/>
      </w:pPr>
      <w:r>
        <w:t>Safety data presented</w:t>
      </w:r>
    </w:p>
    <w:p w:rsidR="00E56E65" w:rsidRDefault="00E56E65" w:rsidP="00E56E65">
      <w:r>
        <w:t xml:space="preserve">The safety data presented showed that 36 months or more of treatment with </w:t>
      </w:r>
      <w:proofErr w:type="spellStart"/>
      <w:r>
        <w:t>Glivec</w:t>
      </w:r>
      <w:proofErr w:type="spellEnd"/>
      <w:r>
        <w:t xml:space="preserve"> was associated with one new adverse outcome, a 5</w:t>
      </w:r>
      <w:r w:rsidR="00AD7102">
        <w:t xml:space="preserve"> </w:t>
      </w:r>
      <w:r>
        <w:t>fold increase in the frequency of cancer of t</w:t>
      </w:r>
      <w:r w:rsidR="00AD7102">
        <w:t>he prostate</w:t>
      </w:r>
      <w:r>
        <w:t xml:space="preserve">. Other AEs were similar to those seen in other studies with </w:t>
      </w:r>
      <w:proofErr w:type="spellStart"/>
      <w:r>
        <w:t>Glivec</w:t>
      </w:r>
      <w:proofErr w:type="spellEnd"/>
      <w:r>
        <w:t>, but were approximately twice as frequent.</w:t>
      </w:r>
    </w:p>
    <w:p w:rsidR="00E56E65" w:rsidRDefault="00AD7102" w:rsidP="000A3ACB">
      <w:r>
        <w:t>The AEs (by System Organ Class [SOC]</w:t>
      </w:r>
      <w:r w:rsidR="00E56E65">
        <w:t>), metabolic and nutritional disorders, infections/infestations, and disorders of the musculoskeletal systems were more frequent in the 12 to 36 month period compared to the 0 to 12</w:t>
      </w:r>
      <w:r>
        <w:t xml:space="preserve"> </w:t>
      </w:r>
      <w:r w:rsidR="00E56E65">
        <w:t>month period of the 36</w:t>
      </w:r>
      <w:r>
        <w:t xml:space="preserve"> </w:t>
      </w:r>
      <w:r w:rsidR="00E56E65">
        <w:t>month t</w:t>
      </w:r>
      <w:r>
        <w:t>reatment arm</w:t>
      </w:r>
      <w:r w:rsidR="00E56E65">
        <w:t>,</w:t>
      </w:r>
      <w:r w:rsidR="003B240B">
        <w:t xml:space="preserve"> </w:t>
      </w:r>
      <w:r w:rsidR="00E56E65">
        <w:t>as w</w:t>
      </w:r>
      <w:r>
        <w:t xml:space="preserve">ere the </w:t>
      </w:r>
      <w:r w:rsidR="00E56E65">
        <w:t xml:space="preserve">SAEs </w:t>
      </w:r>
      <w:r>
        <w:t>(</w:t>
      </w:r>
      <w:r w:rsidR="00E56E65">
        <w:t xml:space="preserve">by preferred terms), GI </w:t>
      </w:r>
      <w:r>
        <w:t>(</w:t>
      </w:r>
      <w:r w:rsidRPr="00AD7102">
        <w:t>gastrointestinal</w:t>
      </w:r>
      <w:r>
        <w:t xml:space="preserve">) </w:t>
      </w:r>
      <w:r w:rsidR="00E56E65">
        <w:t>disorders and infections/infestatio</w:t>
      </w:r>
      <w:r>
        <w:t>ns</w:t>
      </w:r>
      <w:r w:rsidR="00E56E65">
        <w:t>.</w:t>
      </w:r>
    </w:p>
    <w:p w:rsidR="00E56E65" w:rsidRDefault="00E56E65" w:rsidP="000A3ACB">
      <w:r>
        <w:t>Approximately twice as many patients discontinued treatment in the 36</w:t>
      </w:r>
      <w:r w:rsidR="00AD7102">
        <w:t xml:space="preserve"> </w:t>
      </w:r>
      <w:r>
        <w:t>month arm as in the 12</w:t>
      </w:r>
      <w:r w:rsidR="00AD7102">
        <w:t xml:space="preserve"> </w:t>
      </w:r>
      <w:r>
        <w:t>month arm with 83.4% completing their 12</w:t>
      </w:r>
      <w:r w:rsidR="00AD7102">
        <w:t xml:space="preserve"> </w:t>
      </w:r>
      <w:r>
        <w:t>mon</w:t>
      </w:r>
      <w:r w:rsidR="00AD7102">
        <w:t>th treatment and 58.1% their 36 month treatment</w:t>
      </w:r>
      <w:r>
        <w:t>.</w:t>
      </w:r>
    </w:p>
    <w:p w:rsidR="00E56E65" w:rsidRDefault="00AD7102" w:rsidP="000A3ACB">
      <w:r>
        <w:t xml:space="preserve">The assessment of long </w:t>
      </w:r>
      <w:r w:rsidR="00E56E65">
        <w:t xml:space="preserve">term </w:t>
      </w:r>
      <w:proofErr w:type="spellStart"/>
      <w:r w:rsidR="00E56E65">
        <w:t>hepatotoxicity</w:t>
      </w:r>
      <w:proofErr w:type="spellEnd"/>
      <w:r w:rsidR="00E56E65">
        <w:t xml:space="preserve"> in the trial was not possibl</w:t>
      </w:r>
      <w:r>
        <w:t>e and is unknown</w:t>
      </w:r>
      <w:r w:rsidR="00E56E65">
        <w:t>. The frequency of G</w:t>
      </w:r>
      <w:r w:rsidR="00AD6B0E">
        <w:t>rade</w:t>
      </w:r>
      <w:r w:rsidR="00E56E65">
        <w:t xml:space="preserve"> 1 and 2 laboratory abnormalities of liver function were high but not those of G</w:t>
      </w:r>
      <w:r w:rsidR="00AD6B0E">
        <w:t>rade</w:t>
      </w:r>
      <w:r w:rsidR="00E56E65">
        <w:t xml:space="preserve"> 3 and 4.</w:t>
      </w:r>
    </w:p>
    <w:p w:rsidR="00E56E65" w:rsidRDefault="00E56E65" w:rsidP="000A3ACB">
      <w:r>
        <w:t>Unexpected and unexplained safety results included:</w:t>
      </w:r>
    </w:p>
    <w:p w:rsidR="00E56E65" w:rsidRDefault="00E56E65" w:rsidP="00FA2E75">
      <w:pPr>
        <w:pStyle w:val="ListBullet"/>
      </w:pPr>
      <w:r>
        <w:t>The higher frequency of SAEs in the 12 months of the 12</w:t>
      </w:r>
      <w:r w:rsidR="00AD6B0E">
        <w:t xml:space="preserve"> </w:t>
      </w:r>
      <w:r>
        <w:t>month arm (13 patients) compared to the first 12 months of the 36</w:t>
      </w:r>
      <w:r w:rsidR="00AD6B0E">
        <w:t xml:space="preserve"> </w:t>
      </w:r>
      <w:r>
        <w:t>month arm (6 patients)</w:t>
      </w:r>
    </w:p>
    <w:p w:rsidR="00E56E65" w:rsidRDefault="00E56E65" w:rsidP="00FA2E75">
      <w:pPr>
        <w:pStyle w:val="ListBullet"/>
      </w:pPr>
      <w:r>
        <w:t>The</w:t>
      </w:r>
      <w:r w:rsidR="003B240B">
        <w:t xml:space="preserve"> </w:t>
      </w:r>
      <w:r>
        <w:t xml:space="preserve">number of deaths due to GIST </w:t>
      </w:r>
      <w:r w:rsidR="00AD6B0E">
        <w:t>was</w:t>
      </w:r>
      <w:r>
        <w:t xml:space="preserve"> similar (3 and 4) in the two arms, while the deaths from other causes were significantly higher in th</w:t>
      </w:r>
      <w:r w:rsidR="00AD6B0E">
        <w:t xml:space="preserve">e 12 month treatment arm (22 compared with </w:t>
      </w:r>
      <w:r>
        <w:t>8). Patients’ narratives suggest that more GIST deaths may have occurred in the 12 mon</w:t>
      </w:r>
      <w:r w:rsidR="00AD6B0E">
        <w:t>th arm</w:t>
      </w:r>
      <w:r w:rsidR="00FA2E75">
        <w:t>.</w:t>
      </w:r>
    </w:p>
    <w:p w:rsidR="00E56E65" w:rsidRDefault="00AD6B0E" w:rsidP="00FA2E75">
      <w:r>
        <w:t>The pharmacokinetic</w:t>
      </w:r>
      <w:r w:rsidR="00E56E65">
        <w:t xml:space="preserve"> study (CST157A2107) on the interaction of </w:t>
      </w:r>
      <w:proofErr w:type="spellStart"/>
      <w:r w:rsidR="00E56E65">
        <w:t>imatinib</w:t>
      </w:r>
      <w:proofErr w:type="spellEnd"/>
      <w:r w:rsidR="00E56E65">
        <w:t xml:space="preserve"> and acetaminophen did not provide justification to remove the cautionary sentence about the inhib</w:t>
      </w:r>
      <w:r>
        <w:t xml:space="preserve">ition of paracetamol metabolism. </w:t>
      </w:r>
      <w:r w:rsidR="00E56E65">
        <w:t xml:space="preserve">In addition, the sponsor did not include in the proposed PI any table of the frequency of </w:t>
      </w:r>
      <w:r>
        <w:t>AEs</w:t>
      </w:r>
      <w:r w:rsidR="00E56E65">
        <w:t xml:space="preserve"> in</w:t>
      </w:r>
      <w:r>
        <w:t xml:space="preserve"> the pivotal trial</w:t>
      </w:r>
      <w:r w:rsidR="00FA2E75">
        <w:t>.</w:t>
      </w:r>
    </w:p>
    <w:p w:rsidR="00E56E65" w:rsidRDefault="00E56E65" w:rsidP="00E56E65">
      <w:pPr>
        <w:pStyle w:val="Heading5"/>
      </w:pPr>
      <w:bookmarkStart w:id="61" w:name="_Toc255919423"/>
      <w:bookmarkStart w:id="62" w:name="_Toc241374329"/>
      <w:bookmarkStart w:id="63" w:name="_Toc270320087"/>
      <w:bookmarkStart w:id="64" w:name="_Toc314842506"/>
      <w:r>
        <w:t>Overall</w:t>
      </w:r>
    </w:p>
    <w:p w:rsidR="00E56E65" w:rsidRPr="00E56E65" w:rsidRDefault="00E56E65" w:rsidP="00FA2E75">
      <w:r w:rsidRPr="00E56E65">
        <w:t>In the pivotal study</w:t>
      </w:r>
      <w:r w:rsidR="0023112D">
        <w:t>,</w:t>
      </w:r>
      <w:r w:rsidRPr="00E56E65">
        <w:t xml:space="preserve"> there was no evidence that the safety of patients was compromised, but rather that the recording and reporting of certain safety data was deficient.</w:t>
      </w:r>
    </w:p>
    <w:p w:rsidR="00E56E65" w:rsidRPr="00E56E65" w:rsidRDefault="00E56E65" w:rsidP="00FA2E75">
      <w:r w:rsidRPr="00E56E65">
        <w:t xml:space="preserve">Except for cancer of the prostate, the AEs reported were those previously seen with treatment with </w:t>
      </w:r>
      <w:proofErr w:type="spellStart"/>
      <w:r w:rsidRPr="00E56E65">
        <w:t>Glivec</w:t>
      </w:r>
      <w:proofErr w:type="spellEnd"/>
      <w:r w:rsidRPr="00E56E65">
        <w:t xml:space="preserve"> in patients with GIST, but were about twice as frequent with 36 or more months of treatment. Most AEs were low</w:t>
      </w:r>
      <w:r w:rsidR="0023112D">
        <w:t xml:space="preserve"> </w:t>
      </w:r>
      <w:r w:rsidR="00345CA4">
        <w:t xml:space="preserve">grade and manageable </w:t>
      </w:r>
      <w:r w:rsidRPr="00E56E65">
        <w:t>but the deficiencies cited</w:t>
      </w:r>
      <w:r w:rsidR="0023112D">
        <w:t xml:space="preserve"> prevent the long </w:t>
      </w:r>
      <w:r w:rsidRPr="00E56E65">
        <w:t>term safety of the treatment being fully assessed. Some reassurance is provided by the low incidence of serious and severe AEs, the absence of serious outcomes in patients treated for longer periods in other studies and from post marketing data, and appro</w:t>
      </w:r>
      <w:r w:rsidR="00FA2E75">
        <w:t>priate surveillance in the RMP.</w:t>
      </w:r>
    </w:p>
    <w:p w:rsidR="00687B3E" w:rsidRDefault="00687B3E">
      <w:pPr>
        <w:spacing w:before="0" w:after="0" w:line="240" w:lineRule="auto"/>
        <w:rPr>
          <w:rFonts w:ascii="Arial" w:eastAsia="Times New Roman" w:hAnsi="Arial"/>
          <w:b/>
          <w:bCs/>
          <w:szCs w:val="21"/>
        </w:rPr>
      </w:pPr>
      <w:bookmarkStart w:id="65" w:name="_Toc247691523"/>
      <w:bookmarkStart w:id="66" w:name="_Toc314842507"/>
      <w:bookmarkStart w:id="67" w:name="_Toc184440295"/>
      <w:bookmarkStart w:id="68" w:name="_Toc184444673"/>
      <w:bookmarkStart w:id="69" w:name="_Toc196046503"/>
      <w:bookmarkEnd w:id="60"/>
      <w:bookmarkEnd w:id="61"/>
      <w:bookmarkEnd w:id="62"/>
      <w:bookmarkEnd w:id="63"/>
      <w:bookmarkEnd w:id="64"/>
      <w:r>
        <w:br w:type="page"/>
      </w:r>
    </w:p>
    <w:p w:rsidR="008E7846" w:rsidRPr="006E137C" w:rsidRDefault="008E7846" w:rsidP="008E7846">
      <w:pPr>
        <w:pStyle w:val="Heading3"/>
      </w:pPr>
      <w:bookmarkStart w:id="70" w:name="_Toc361309723"/>
      <w:r>
        <w:lastRenderedPageBreak/>
        <w:t>Clinical summary and conclusions</w:t>
      </w:r>
      <w:bookmarkEnd w:id="65"/>
      <w:bookmarkEnd w:id="66"/>
      <w:bookmarkEnd w:id="70"/>
    </w:p>
    <w:p w:rsidR="006348F3" w:rsidRDefault="006348F3" w:rsidP="006348F3">
      <w:pPr>
        <w:pStyle w:val="Heading4"/>
      </w:pPr>
      <w:bookmarkStart w:id="71" w:name="_Toc236802592"/>
      <w:bookmarkStart w:id="72" w:name="_Toc241374331"/>
      <w:bookmarkStart w:id="73" w:name="_Ref272160836"/>
      <w:bookmarkStart w:id="74" w:name="_Toc272414693"/>
      <w:bookmarkStart w:id="75" w:name="_Toc290846331"/>
      <w:bookmarkStart w:id="76" w:name="_Toc317698750"/>
      <w:bookmarkStart w:id="77" w:name="_Toc196046504"/>
      <w:bookmarkStart w:id="78" w:name="_Toc163441390"/>
      <w:bookmarkEnd w:id="67"/>
      <w:bookmarkEnd w:id="68"/>
      <w:bookmarkEnd w:id="69"/>
      <w:r>
        <w:t>First round assessment of benefits</w:t>
      </w:r>
      <w:bookmarkEnd w:id="71"/>
      <w:bookmarkEnd w:id="72"/>
      <w:bookmarkEnd w:id="73"/>
      <w:bookmarkEnd w:id="74"/>
      <w:bookmarkEnd w:id="75"/>
      <w:bookmarkEnd w:id="76"/>
    </w:p>
    <w:p w:rsidR="006348F3" w:rsidRDefault="006348F3" w:rsidP="00FA2E75">
      <w:r>
        <w:t>The survival of GIST patients after surgery alone is fav</w:t>
      </w:r>
      <w:r w:rsidR="009D0ECA">
        <w:t xml:space="preserve">ourable compared to other intra </w:t>
      </w:r>
      <w:r>
        <w:t>abdominal sarcomas,</w:t>
      </w:r>
      <w:r w:rsidR="00315352">
        <w:rPr>
          <w:rStyle w:val="FootnoteReference"/>
        </w:rPr>
        <w:footnoteReference w:id="4"/>
      </w:r>
      <w:r>
        <w:t xml:space="preserve"> and those patients at high risk of recurrence (&gt;50% at 5 years) can be identified and treated to delay or prevent recurrence. The present pivotal study convincingly showed the benefit of 36</w:t>
      </w:r>
      <w:r w:rsidR="00BF0B03">
        <w:t xml:space="preserve"> </w:t>
      </w:r>
      <w:r>
        <w:t xml:space="preserve">month’s treatment with </w:t>
      </w:r>
      <w:proofErr w:type="spellStart"/>
      <w:r>
        <w:t>Glivec</w:t>
      </w:r>
      <w:proofErr w:type="spellEnd"/>
      <w:r>
        <w:t xml:space="preserve"> compared to 12 month’s treatment in delaying or preventing recurrence (RFS), the risk ratio being 0.46 (95% CI 0.32-0.66) in </w:t>
      </w:r>
      <w:r w:rsidR="00FA2E75">
        <w:t>favour of the longer treatment.</w:t>
      </w:r>
    </w:p>
    <w:p w:rsidR="00BF0B03" w:rsidRPr="00BF0B03" w:rsidRDefault="00BF0B03" w:rsidP="00FA2E75">
      <w:r w:rsidRPr="00BF0B03">
        <w:t xml:space="preserve">The original study intended to treat only patients at high risk. However, in the treated patient population, only 66% of patients by the </w:t>
      </w:r>
      <w:proofErr w:type="spellStart"/>
      <w:r w:rsidRPr="00BF0B03">
        <w:t>Miettenen</w:t>
      </w:r>
      <w:proofErr w:type="spellEnd"/>
      <w:r w:rsidRPr="00BF0B03">
        <w:t xml:space="preserve"> classification and 82% by the Fletcher classif</w:t>
      </w:r>
      <w:r w:rsidR="00F80F69">
        <w:t>ication were at high risk</w:t>
      </w:r>
      <w:r w:rsidRPr="00BF0B03">
        <w:t>. If these classifications applied to the patients in this study, the rate of recurrence would be expected to be high in the high</w:t>
      </w:r>
      <w:r w:rsidR="00F80F69">
        <w:t xml:space="preserve"> </w:t>
      </w:r>
      <w:r w:rsidRPr="00BF0B03">
        <w:t>risk groups in each arm. However the rates of recurrence were very different (10</w:t>
      </w:r>
      <w:r w:rsidR="00F80F69">
        <w:t xml:space="preserve"> </w:t>
      </w:r>
      <w:r w:rsidRPr="00BF0B03">
        <w:t>fold greater in the high risk group compared to the non high</w:t>
      </w:r>
      <w:r w:rsidR="00F80F69">
        <w:t xml:space="preserve"> </w:t>
      </w:r>
      <w:r w:rsidRPr="00BF0B03">
        <w:t>risk group in the 36 month group, but only 2</w:t>
      </w:r>
      <w:r w:rsidR="00F80F69">
        <w:t xml:space="preserve"> fold different in the 12 </w:t>
      </w:r>
      <w:r w:rsidRPr="00BF0B03">
        <w:t>month group</w:t>
      </w:r>
      <w:r w:rsidR="00F80F69">
        <w:t>)</w:t>
      </w:r>
      <w:r w:rsidRPr="00BF0B03">
        <w:t xml:space="preserve">. This indicates uncertainty about the applicability of this risk classification </w:t>
      </w:r>
      <w:r w:rsidR="00FA2E75">
        <w:t>when used for treated patients.</w:t>
      </w:r>
    </w:p>
    <w:p w:rsidR="00BF0B03" w:rsidRPr="00BF0B03" w:rsidRDefault="00BF0B03" w:rsidP="00FA2E75">
      <w:r w:rsidRPr="00BF0B03">
        <w:t>The 36</w:t>
      </w:r>
      <w:r w:rsidR="00F80F69">
        <w:t xml:space="preserve"> </w:t>
      </w:r>
      <w:r w:rsidRPr="00BF0B03">
        <w:t xml:space="preserve">month period of treatment also conferred an </w:t>
      </w:r>
      <w:r w:rsidR="00983E45">
        <w:t>OS</w:t>
      </w:r>
      <w:r w:rsidRPr="00BF0B03">
        <w:t xml:space="preserve"> benefit, although not for GIST</w:t>
      </w:r>
      <w:r w:rsidR="00F80F69">
        <w:t xml:space="preserve"> </w:t>
      </w:r>
      <w:r w:rsidRPr="00BF0B03">
        <w:t>related deaths. The latter may be explained by several doubtful assignments of the cause of death in the 12</w:t>
      </w:r>
      <w:r w:rsidR="00F80F69">
        <w:t xml:space="preserve"> </w:t>
      </w:r>
      <w:r w:rsidRPr="00BF0B03">
        <w:t>month treatment arm, but such an assumption is made with reservations.</w:t>
      </w:r>
    </w:p>
    <w:p w:rsidR="00BF0B03" w:rsidRPr="00BF0B03" w:rsidRDefault="00F80F69" w:rsidP="00FA2E75">
      <w:r>
        <w:t xml:space="preserve">Overall, </w:t>
      </w:r>
      <w:r w:rsidR="00BF0B03" w:rsidRPr="00BF0B03">
        <w:t>the benefit to both high</w:t>
      </w:r>
      <w:r>
        <w:t xml:space="preserve"> </w:t>
      </w:r>
      <w:r w:rsidR="00BF0B03" w:rsidRPr="00BF0B03">
        <w:t>risk patients and non</w:t>
      </w:r>
      <w:r>
        <w:t xml:space="preserve"> </w:t>
      </w:r>
      <w:r w:rsidR="00BF0B03" w:rsidRPr="00BF0B03">
        <w:t>high risk patients is robust i</w:t>
      </w:r>
      <w:r>
        <w:t xml:space="preserve">n the prevention of recurrence but </w:t>
      </w:r>
      <w:r w:rsidR="00BF0B03" w:rsidRPr="00BF0B03">
        <w:t xml:space="preserve">less so in the increase in </w:t>
      </w:r>
      <w:r w:rsidR="00983E45">
        <w:t>OS</w:t>
      </w:r>
      <w:r w:rsidR="00BF0B03" w:rsidRPr="00BF0B03">
        <w:t xml:space="preserve"> with respect to tumour</w:t>
      </w:r>
      <w:r>
        <w:t xml:space="preserve"> </w:t>
      </w:r>
      <w:r w:rsidR="00BF0B03" w:rsidRPr="00BF0B03">
        <w:t xml:space="preserve">associated </w:t>
      </w:r>
      <w:r w:rsidR="00345CA4">
        <w:t>death. The question then arises</w:t>
      </w:r>
      <w:r w:rsidR="00BF0B03" w:rsidRPr="00BF0B03">
        <w:t xml:space="preserve"> </w:t>
      </w:r>
      <w:r w:rsidR="00345CA4">
        <w:t>whether</w:t>
      </w:r>
      <w:r w:rsidR="00BF0B03" w:rsidRPr="00BF0B03">
        <w:t xml:space="preserve"> both high risk and non</w:t>
      </w:r>
      <w:r>
        <w:t xml:space="preserve"> </w:t>
      </w:r>
      <w:r w:rsidR="00BF0B03" w:rsidRPr="00BF0B03">
        <w:t>high risk populations</w:t>
      </w:r>
      <w:r w:rsidR="00345CA4">
        <w:t xml:space="preserve"> should</w:t>
      </w:r>
      <w:r w:rsidR="00BF0B03" w:rsidRPr="00BF0B03">
        <w:t xml:space="preserve"> be treated in the same way. Since there is some doubt about risk classification in treated patients as shown by the differences in rates of recurrence, both groups should be included in the indication.</w:t>
      </w:r>
    </w:p>
    <w:p w:rsidR="00BF0B03" w:rsidRDefault="00BF0B03" w:rsidP="00BF0B03">
      <w:pPr>
        <w:pStyle w:val="Heading4"/>
      </w:pPr>
      <w:r>
        <w:t>First round assessment of risks</w:t>
      </w:r>
    </w:p>
    <w:p w:rsidR="00BF0B03" w:rsidRDefault="00BF0B03" w:rsidP="00FA2E75">
      <w:r>
        <w:t xml:space="preserve">One risk of the proposed usage arises from the deficiencies in reporting </w:t>
      </w:r>
      <w:r w:rsidR="00731304">
        <w:t>AEs</w:t>
      </w:r>
      <w:r>
        <w:t xml:space="preserve"> in the pivotal trial</w:t>
      </w:r>
      <w:r w:rsidR="00731304">
        <w:t xml:space="preserve"> mainly that of possible drug </w:t>
      </w:r>
      <w:r>
        <w:t xml:space="preserve">related </w:t>
      </w:r>
      <w:proofErr w:type="spellStart"/>
      <w:r>
        <w:t>hepatotoxicity</w:t>
      </w:r>
      <w:proofErr w:type="spellEnd"/>
      <w:r>
        <w:t xml:space="preserve"> from the long term (36 months or mo</w:t>
      </w:r>
      <w:r w:rsidR="00731304">
        <w:t xml:space="preserve">re) treatment with </w:t>
      </w:r>
      <w:proofErr w:type="spellStart"/>
      <w:r w:rsidR="00731304">
        <w:t>Glivec</w:t>
      </w:r>
      <w:proofErr w:type="spellEnd"/>
      <w:r>
        <w:t>. To balance this lack of information, the following points are noted, provided by the sponsor on 1 Feb</w:t>
      </w:r>
      <w:r w:rsidR="00731304">
        <w:t>ruary</w:t>
      </w:r>
      <w:r>
        <w:t xml:space="preserve"> 2012:</w:t>
      </w:r>
    </w:p>
    <w:p w:rsidR="00345CA4" w:rsidRPr="00BF0B03" w:rsidRDefault="00FA2E75" w:rsidP="00FA2E75">
      <w:pPr>
        <w:pStyle w:val="ListBullet"/>
      </w:pPr>
      <w:r>
        <w:sym w:font="Symbol" w:char="F07E"/>
      </w:r>
      <w:r w:rsidR="00345CA4" w:rsidRPr="00BF0B03">
        <w:t>15% of the patients enrolled in the original GIST study for metastatic disease, Study B2222, have been treated for over 5 years with GIST with good tolerability and remain on treatment today. Presumably no significant long</w:t>
      </w:r>
      <w:r w:rsidR="00345CA4">
        <w:t xml:space="preserve"> </w:t>
      </w:r>
      <w:r w:rsidR="00345CA4" w:rsidRPr="00BF0B03">
        <w:t>term toxicity has been reported in this group</w:t>
      </w:r>
    </w:p>
    <w:p w:rsidR="00345CA4" w:rsidRPr="00BF0B03" w:rsidRDefault="00345CA4" w:rsidP="00FA2E75">
      <w:pPr>
        <w:pStyle w:val="ListBullet"/>
      </w:pPr>
      <w:proofErr w:type="gramStart"/>
      <w:r w:rsidRPr="00BF0B03">
        <w:t>the</w:t>
      </w:r>
      <w:proofErr w:type="gramEnd"/>
      <w:r w:rsidRPr="00BF0B03">
        <w:t xml:space="preserve"> Safety </w:t>
      </w:r>
      <w:r>
        <w:t>RMP (released 7 July</w:t>
      </w:r>
      <w:r w:rsidRPr="00BF0B03">
        <w:t>2011) gives details of Impo</w:t>
      </w:r>
      <w:r>
        <w:t xml:space="preserve">rtant Identified Risk, including </w:t>
      </w:r>
      <w:proofErr w:type="spellStart"/>
      <w:r w:rsidRPr="00BF0B03">
        <w:t>Hepatotoxicity</w:t>
      </w:r>
      <w:proofErr w:type="spellEnd"/>
      <w:r w:rsidRPr="00BF0B03">
        <w:t>.</w:t>
      </w:r>
      <w:r>
        <w:t xml:space="preserve"> The s</w:t>
      </w:r>
      <w:r w:rsidRPr="00BF0B03">
        <w:t>ponso</w:t>
      </w:r>
      <w:r>
        <w:t xml:space="preserve">r's comments on </w:t>
      </w:r>
      <w:proofErr w:type="spellStart"/>
      <w:r>
        <w:t>hepatotoxicity</w:t>
      </w:r>
      <w:proofErr w:type="spellEnd"/>
      <w:r>
        <w:t xml:space="preserve"> provide</w:t>
      </w:r>
      <w:r w:rsidRPr="00BF0B03">
        <w:t xml:space="preserve"> the conclusion of this assessment </w:t>
      </w:r>
      <w:r>
        <w:t>which</w:t>
      </w:r>
      <w:r w:rsidRPr="00BF0B03">
        <w:t xml:space="preserve"> indicates that serious and severe </w:t>
      </w:r>
      <w:proofErr w:type="spellStart"/>
      <w:r w:rsidRPr="00BF0B03">
        <w:t>hepatotoxicity</w:t>
      </w:r>
      <w:proofErr w:type="spellEnd"/>
      <w:r w:rsidRPr="00BF0B03">
        <w:t xml:space="preserve"> wa</w:t>
      </w:r>
      <w:r>
        <w:t>s uncommon.</w:t>
      </w:r>
    </w:p>
    <w:p w:rsidR="00345CA4" w:rsidRDefault="00345CA4" w:rsidP="00FA2E75">
      <w:pPr>
        <w:rPr>
          <w:lang w:val="en-US"/>
        </w:rPr>
      </w:pPr>
      <w:r>
        <w:rPr>
          <w:lang w:val="en-US"/>
        </w:rPr>
        <w:t xml:space="preserve">The second risk to be considered is that the proposed treatment results in twice the frequency of AEs but not of SAEs. The percentage of patients completing 36 months of treatment was only 58% compared to 83% for 12 month’s treatment because of AEs. Given the serious nature of the condition from the risk of recurrent disease with a fatal </w:t>
      </w:r>
      <w:r>
        <w:rPr>
          <w:lang w:val="en-US"/>
        </w:rPr>
        <w:lastRenderedPageBreak/>
        <w:t>outcome and the clear benefit for patients at high risk of recurrence (50% risk in 5 years), the high frequency of AEs is acceptable. A theoretical issue in an adjuvant study is whether patients at lower risk should be treated if the associated safety risks are high. However from the data above, as the risk categories in the present study appear uncertain in treated patients, both high risk and non high risk populations should be combined i</w:t>
      </w:r>
      <w:r w:rsidR="00FA2E75">
        <w:rPr>
          <w:lang w:val="en-US"/>
        </w:rPr>
        <w:t>n the indication for treatment.</w:t>
      </w:r>
    </w:p>
    <w:p w:rsidR="00345CA4" w:rsidRDefault="00345CA4" w:rsidP="00FA2E75">
      <w:pPr>
        <w:rPr>
          <w:lang w:val="en-US"/>
        </w:rPr>
      </w:pPr>
      <w:r>
        <w:rPr>
          <w:lang w:val="en-US"/>
        </w:rPr>
        <w:t>The third risk of long term treatment is that the patients have 5 times the risk of developing cancer of the prostate. The OS of treated patients with recurrent GIST is comparatively long, as it is for prostate cancer. Given the current trend to more conservative management of prostate cancer this risk is acceptable.</w:t>
      </w:r>
    </w:p>
    <w:p w:rsidR="00BF0B03" w:rsidRDefault="00BF0B03" w:rsidP="00BF0B03">
      <w:pPr>
        <w:pStyle w:val="Heading4"/>
      </w:pPr>
      <w:r>
        <w:t xml:space="preserve">First round assessment of benefit-risk </w:t>
      </w:r>
      <w:r w:rsidR="00F17386">
        <w:t>assessment</w:t>
      </w:r>
    </w:p>
    <w:p w:rsidR="00BF0B03" w:rsidRPr="00BF0B03" w:rsidRDefault="00BF0B03" w:rsidP="00BF0B03">
      <w:r w:rsidRPr="00BF0B03">
        <w:t>Based on the definite benefit as described above, and after consideration of the ris</w:t>
      </w:r>
      <w:r w:rsidR="00982030">
        <w:t xml:space="preserve">ks as stated, the </w:t>
      </w:r>
      <w:r>
        <w:t>benefit</w:t>
      </w:r>
      <w:r w:rsidR="00982030">
        <w:t>-risk</w:t>
      </w:r>
      <w:r>
        <w:t xml:space="preserve"> balance is in favour </w:t>
      </w:r>
      <w:r w:rsidRPr="00BF0B03">
        <w:t xml:space="preserve">of the proposed usage of </w:t>
      </w:r>
      <w:proofErr w:type="spellStart"/>
      <w:r w:rsidRPr="00BF0B03">
        <w:t>Glive</w:t>
      </w:r>
      <w:r>
        <w:t>c</w:t>
      </w:r>
      <w:proofErr w:type="spellEnd"/>
      <w:r>
        <w:t xml:space="preserve"> to treat operable GIST for 36 </w:t>
      </w:r>
      <w:r w:rsidR="00FA2E75">
        <w:t>months.</w:t>
      </w:r>
    </w:p>
    <w:p w:rsidR="00BF0B03" w:rsidRDefault="00BF0B03" w:rsidP="00BF0B03">
      <w:pPr>
        <w:pStyle w:val="Heading4"/>
      </w:pPr>
      <w:r>
        <w:t>First round recommendation regarding authorisation</w:t>
      </w:r>
    </w:p>
    <w:p w:rsidR="00BF0B03" w:rsidRDefault="00BF0B03" w:rsidP="00BF0B03">
      <w:r w:rsidRPr="00BF0B03">
        <w:t>The increase in the duration of treatment of adult patients following</w:t>
      </w:r>
      <w:r w:rsidR="00982030">
        <w:t xml:space="preserve"> complete gross resection of </w:t>
      </w:r>
      <w:r w:rsidR="001F356F">
        <w:t>KIT</w:t>
      </w:r>
      <w:r w:rsidR="00982030">
        <w:t xml:space="preserve"> </w:t>
      </w:r>
      <w:r w:rsidRPr="00BF0B03">
        <w:t>(CD117)</w:t>
      </w:r>
      <w:r w:rsidR="00322997">
        <w:t xml:space="preserve"> </w:t>
      </w:r>
      <w:r w:rsidRPr="00BF0B03">
        <w:t xml:space="preserve">positive primary GIST with </w:t>
      </w:r>
      <w:proofErr w:type="spellStart"/>
      <w:r w:rsidRPr="00BF0B03">
        <w:t>Glivec</w:t>
      </w:r>
      <w:proofErr w:type="spellEnd"/>
      <w:r w:rsidRPr="00BF0B03">
        <w:t>, 400</w:t>
      </w:r>
      <w:r w:rsidR="00982030">
        <w:t xml:space="preserve"> </w:t>
      </w:r>
      <w:r w:rsidRPr="00BF0B03">
        <w:t>mg daily, from 12</w:t>
      </w:r>
      <w:r w:rsidR="00982030">
        <w:t xml:space="preserve"> </w:t>
      </w:r>
      <w:r w:rsidRPr="00BF0B03">
        <w:t>months to 36</w:t>
      </w:r>
      <w:r w:rsidR="00982030">
        <w:t xml:space="preserve"> </w:t>
      </w:r>
      <w:r w:rsidRPr="00BF0B03">
        <w:t xml:space="preserve">months is acceptable, subject to the TGA’s approval of related changes to the </w:t>
      </w:r>
      <w:r w:rsidR="00647A67">
        <w:t>PI</w:t>
      </w:r>
      <w:r w:rsidRPr="00BF0B03">
        <w:t>.</w:t>
      </w:r>
    </w:p>
    <w:p w:rsidR="00FE7AA8" w:rsidRDefault="00FE7AA8" w:rsidP="00FE7AA8">
      <w:pPr>
        <w:pStyle w:val="Heading4"/>
      </w:pPr>
      <w:r>
        <w:t>First round comments on clinical aspects of the Safety Specification in the draft RMP</w:t>
      </w:r>
    </w:p>
    <w:p w:rsidR="00FE7AA8" w:rsidRDefault="00FE7AA8" w:rsidP="00FE7AA8">
      <w:r>
        <w:t>The Safety Specification in the draft RMP is satisfactory. An important potential risk is the occurrence of a second malignancy in survivors. This is appropriate for the future assessment of the risk of prostatic cancer, referred to above.</w:t>
      </w:r>
    </w:p>
    <w:p w:rsidR="00F17386" w:rsidRDefault="00F17386" w:rsidP="00FA2E75">
      <w:pPr>
        <w:pStyle w:val="Heading3"/>
      </w:pPr>
      <w:bookmarkStart w:id="79" w:name="_Toc361309724"/>
      <w:r>
        <w:t>List of questions</w:t>
      </w:r>
      <w:bookmarkEnd w:id="79"/>
    </w:p>
    <w:p w:rsidR="00F17386" w:rsidRDefault="00F17386" w:rsidP="00FA2E75">
      <w:pPr>
        <w:pStyle w:val="Heading4"/>
      </w:pPr>
      <w:r>
        <w:t>Question 1</w:t>
      </w:r>
    </w:p>
    <w:p w:rsidR="00F17386" w:rsidRDefault="00F17386" w:rsidP="00F17386">
      <w:r>
        <w:t xml:space="preserve">Comparing treatment </w:t>
      </w:r>
      <w:r w:rsidR="00982030">
        <w:t xml:space="preserve">related </w:t>
      </w:r>
      <w:proofErr w:type="gramStart"/>
      <w:r w:rsidR="00982030">
        <w:t>SAEs</w:t>
      </w:r>
      <w:r>
        <w:t>,</w:t>
      </w:r>
      <w:proofErr w:type="gramEnd"/>
      <w:r>
        <w:t xml:space="preserve"> </w:t>
      </w:r>
      <w:r w:rsidR="00982030">
        <w:t xml:space="preserve">the Summary of Clinical Safety </w:t>
      </w:r>
      <w:r>
        <w:t>claimed that</w:t>
      </w:r>
    </w:p>
    <w:p w:rsidR="00F17386" w:rsidRPr="0017649C" w:rsidRDefault="00F17386" w:rsidP="00F17386">
      <w:pPr>
        <w:ind w:firstLine="720"/>
        <w:rPr>
          <w:i/>
          <w:lang w:val="en-US"/>
        </w:rPr>
      </w:pPr>
      <w:r w:rsidRPr="0017649C">
        <w:rPr>
          <w:i/>
        </w:rPr>
        <w:t>“</w:t>
      </w:r>
      <w:r w:rsidRPr="0017649C">
        <w:rPr>
          <w:i/>
          <w:lang w:val="en-US"/>
        </w:rPr>
        <w:t>No relevant differences were observed between the treatment groups”.</w:t>
      </w:r>
    </w:p>
    <w:p w:rsidR="00F17386" w:rsidRDefault="00F17386" w:rsidP="00F17386">
      <w:pPr>
        <w:rPr>
          <w:lang w:val="en-US"/>
        </w:rPr>
      </w:pPr>
      <w:r>
        <w:rPr>
          <w:lang w:val="en-US"/>
        </w:rPr>
        <w:t>Th</w:t>
      </w:r>
      <w:r w:rsidR="004E6F65">
        <w:rPr>
          <w:lang w:val="en-US"/>
        </w:rPr>
        <w:t>is was not correct</w:t>
      </w:r>
      <w:r>
        <w:rPr>
          <w:lang w:val="en-US"/>
        </w:rPr>
        <w:t xml:space="preserve"> as 14 patients (7.2%) in the 12</w:t>
      </w:r>
      <w:r w:rsidR="00FA0838">
        <w:rPr>
          <w:lang w:val="en-US"/>
        </w:rPr>
        <w:t xml:space="preserve"> </w:t>
      </w:r>
      <w:r w:rsidR="004E6F65">
        <w:rPr>
          <w:lang w:val="en-US"/>
        </w:rPr>
        <w:t>month group</w:t>
      </w:r>
      <w:r>
        <w:rPr>
          <w:lang w:val="en-US"/>
        </w:rPr>
        <w:t xml:space="preserve"> and 7 in the 36 month group reported treatment related SAEs. As well, in the first 12 months of treatment in each of the two arms, patient numbers, their disease states, and treatments were similar, yet the incidence of SAEs in the 12 month treatment period of the 12 month group was twice that for the first 12 month period for the 36 month group (13 patients compared to 6). The difference is unexplained and raises a concern that there was under reporting of AEs in the 36 month group. The sponsor sh</w:t>
      </w:r>
      <w:r w:rsidR="004E6F65">
        <w:rPr>
          <w:lang w:val="en-US"/>
        </w:rPr>
        <w:t>ould comment on this difference</w:t>
      </w:r>
      <w:r>
        <w:rPr>
          <w:lang w:val="en-US"/>
        </w:rPr>
        <w:t xml:space="preserve"> and suggest a possible reason.</w:t>
      </w:r>
    </w:p>
    <w:p w:rsidR="00F17386" w:rsidRDefault="00F17386" w:rsidP="00FA2E75">
      <w:pPr>
        <w:pStyle w:val="Heading5"/>
        <w:rPr>
          <w:lang w:val="en-US"/>
        </w:rPr>
      </w:pPr>
      <w:r>
        <w:rPr>
          <w:lang w:val="en-US"/>
        </w:rPr>
        <w:t>Sponsor’s response:</w:t>
      </w:r>
    </w:p>
    <w:p w:rsidR="00F17386" w:rsidRPr="00F5095F" w:rsidRDefault="00F17386" w:rsidP="00F17386">
      <w:pPr>
        <w:rPr>
          <w:lang w:val="en-US"/>
        </w:rPr>
      </w:pPr>
      <w:r w:rsidRPr="00F5095F">
        <w:rPr>
          <w:lang w:val="en-US"/>
        </w:rPr>
        <w:t xml:space="preserve">No significant difference between treatment groups according to Fisher’s Exact Test. </w:t>
      </w:r>
      <w:r w:rsidR="004E6F65">
        <w:rPr>
          <w:lang w:val="en-US"/>
        </w:rPr>
        <w:t>This was a c</w:t>
      </w:r>
      <w:r w:rsidRPr="00F5095F">
        <w:rPr>
          <w:lang w:val="en-US"/>
        </w:rPr>
        <w:t>hance finding.</w:t>
      </w:r>
    </w:p>
    <w:p w:rsidR="00F17386" w:rsidRDefault="00F17386" w:rsidP="00FA2E75">
      <w:pPr>
        <w:pStyle w:val="Heading5"/>
        <w:rPr>
          <w:lang w:val="en-US"/>
        </w:rPr>
      </w:pPr>
      <w:r>
        <w:rPr>
          <w:lang w:val="en-US"/>
        </w:rPr>
        <w:t>Evaluator’s comment:</w:t>
      </w:r>
    </w:p>
    <w:p w:rsidR="00F17386" w:rsidRDefault="00F17386" w:rsidP="00F17386">
      <w:pPr>
        <w:rPr>
          <w:lang w:val="en-US"/>
        </w:rPr>
      </w:pPr>
      <w:r w:rsidRPr="00F5095F">
        <w:rPr>
          <w:lang w:val="en-US"/>
        </w:rPr>
        <w:t>Sponsor response acceptable.</w:t>
      </w:r>
    </w:p>
    <w:p w:rsidR="00687B3E" w:rsidRDefault="00687B3E">
      <w:pPr>
        <w:spacing w:before="0" w:after="0" w:line="240" w:lineRule="auto"/>
        <w:rPr>
          <w:b/>
          <w:bCs/>
          <w:szCs w:val="21"/>
        </w:rPr>
      </w:pPr>
      <w:r>
        <w:br w:type="page"/>
      </w:r>
    </w:p>
    <w:p w:rsidR="00F17386" w:rsidRDefault="00F17386" w:rsidP="00FA2E75">
      <w:pPr>
        <w:pStyle w:val="Heading4"/>
      </w:pPr>
      <w:r>
        <w:lastRenderedPageBreak/>
        <w:t>Question 2</w:t>
      </w:r>
    </w:p>
    <w:p w:rsidR="00F17386" w:rsidRDefault="00F17386" w:rsidP="00F17386">
      <w:r>
        <w:t>Comments to subheading “Other Serious Adverse Events Irrespective of Relationship</w:t>
      </w:r>
      <w:r w:rsidR="003E0BB9">
        <w:t xml:space="preserve"> to Treatment: Preferred Terms”</w:t>
      </w:r>
      <w:r>
        <w:t xml:space="preserve"> reference is made to the apparent 5 fold increase in the incidence of prostate cancer with long</w:t>
      </w:r>
      <w:r w:rsidR="000A6D0F">
        <w:t xml:space="preserve"> </w:t>
      </w:r>
      <w:r w:rsidR="003E0BB9">
        <w:t xml:space="preserve">term treatment with </w:t>
      </w:r>
      <w:proofErr w:type="spellStart"/>
      <w:r w:rsidR="003E0BB9">
        <w:t>imatinib</w:t>
      </w:r>
      <w:proofErr w:type="spellEnd"/>
      <w:r>
        <w:t xml:space="preserve"> noting the </w:t>
      </w:r>
      <w:proofErr w:type="spellStart"/>
      <w:r>
        <w:t>neoplastic</w:t>
      </w:r>
      <w:proofErr w:type="spellEnd"/>
      <w:r>
        <w:t xml:space="preserve"> changes reported in the </w:t>
      </w:r>
      <w:proofErr w:type="spellStart"/>
      <w:r>
        <w:t>urogenital</w:t>
      </w:r>
      <w:proofErr w:type="spellEnd"/>
      <w:r>
        <w:t xml:space="preserve"> system in rats after 2 years treatment. The sponsor should comment on this result. Such comments will also relate to the PI.</w:t>
      </w:r>
    </w:p>
    <w:p w:rsidR="00F17386" w:rsidRDefault="00F17386" w:rsidP="00FA2E75">
      <w:pPr>
        <w:pStyle w:val="Heading5"/>
        <w:rPr>
          <w:lang w:val="en-US"/>
        </w:rPr>
      </w:pPr>
      <w:r>
        <w:rPr>
          <w:lang w:val="en-US"/>
        </w:rPr>
        <w:t>Sponsor’s response:</w:t>
      </w:r>
    </w:p>
    <w:p w:rsidR="00F17386" w:rsidRPr="006C4127" w:rsidRDefault="00F17386" w:rsidP="00F17386">
      <w:r w:rsidRPr="006C4127">
        <w:t xml:space="preserve">Six of the eight cases of prostate cancer occurred in the 60-69 age </w:t>
      </w:r>
      <w:proofErr w:type="gramStart"/>
      <w:r w:rsidRPr="006C4127">
        <w:t>group</w:t>
      </w:r>
      <w:proofErr w:type="gramEnd"/>
      <w:r w:rsidRPr="006C4127">
        <w:t xml:space="preserve"> and one each in the 70-79 and 80+ age groups. The study was relatively small and the absolute number of cases of prostate cancer was low. Multiple different types of events were examined. Therefore, the finding is likely to be due to chance. An epidemiology report examining data from several trials will be available at the end of this year.</w:t>
      </w:r>
    </w:p>
    <w:p w:rsidR="00F17386" w:rsidRDefault="00F17386" w:rsidP="00FA2E75">
      <w:pPr>
        <w:pStyle w:val="Heading5"/>
        <w:rPr>
          <w:lang w:val="en-US"/>
        </w:rPr>
      </w:pPr>
      <w:r>
        <w:rPr>
          <w:lang w:val="en-US"/>
        </w:rPr>
        <w:t>Evaluator’s comment:</w:t>
      </w:r>
    </w:p>
    <w:p w:rsidR="00F17386" w:rsidRDefault="00F17386" w:rsidP="00F17386">
      <w:pPr>
        <w:rPr>
          <w:lang w:val="en-US"/>
        </w:rPr>
      </w:pPr>
      <w:r w:rsidRPr="00F5095F">
        <w:rPr>
          <w:lang w:val="en-US"/>
        </w:rPr>
        <w:t>Sponsor response acceptable.</w:t>
      </w:r>
    </w:p>
    <w:p w:rsidR="00F17386" w:rsidRDefault="00F17386" w:rsidP="00F17386">
      <w:pPr>
        <w:pStyle w:val="Heading4"/>
      </w:pPr>
      <w:r>
        <w:t>Second round assessment of benefit-risk assessment</w:t>
      </w:r>
    </w:p>
    <w:p w:rsidR="00565EFB" w:rsidRPr="00565EFB" w:rsidRDefault="00565EFB" w:rsidP="00565EFB">
      <w:r w:rsidRPr="00565EFB">
        <w:t>After consideration of the resp</w:t>
      </w:r>
      <w:r w:rsidR="003E0BB9">
        <w:t>onses to the clinical questions</w:t>
      </w:r>
      <w:r w:rsidRPr="00565EFB">
        <w:t xml:space="preserve"> the benefits and risks of </w:t>
      </w:r>
      <w:proofErr w:type="spellStart"/>
      <w:r w:rsidRPr="00565EFB">
        <w:t>imatinib</w:t>
      </w:r>
      <w:proofErr w:type="spellEnd"/>
      <w:r w:rsidRPr="00565EFB">
        <w:t xml:space="preserve"> in the proposed usage are unchanged from those identified in the </w:t>
      </w:r>
      <w:r w:rsidR="00C94450">
        <w:t>clinical evaluation report</w:t>
      </w:r>
      <w:r w:rsidRPr="00565EFB">
        <w:t>. The benefit-risk balance is favourable.</w:t>
      </w:r>
    </w:p>
    <w:p w:rsidR="00565EFB" w:rsidRDefault="00565EFB" w:rsidP="00565EFB">
      <w:pPr>
        <w:pStyle w:val="Heading4"/>
      </w:pPr>
      <w:r>
        <w:t>Second round recommendation regarding authorisation</w:t>
      </w:r>
    </w:p>
    <w:p w:rsidR="00565EFB" w:rsidRDefault="00C94450" w:rsidP="00565EFB">
      <w:r>
        <w:t xml:space="preserve">The evaluator </w:t>
      </w:r>
      <w:r w:rsidR="00565EFB" w:rsidRPr="00565EFB">
        <w:t>recommend</w:t>
      </w:r>
      <w:r>
        <w:t>s</w:t>
      </w:r>
      <w:r w:rsidR="00565EFB" w:rsidRPr="00565EFB">
        <w:t xml:space="preserve"> approval of the increased duration of </w:t>
      </w:r>
      <w:proofErr w:type="spellStart"/>
      <w:r w:rsidR="00565EFB" w:rsidRPr="00565EFB">
        <w:t>Glivec</w:t>
      </w:r>
      <w:proofErr w:type="spellEnd"/>
      <w:r w:rsidR="00565EFB" w:rsidRPr="00565EFB">
        <w:t xml:space="preserve"> treatment from one to three years in adults </w:t>
      </w:r>
      <w:r w:rsidR="00444893">
        <w:t>following gross resection of KIT</w:t>
      </w:r>
      <w:r w:rsidR="00565EFB" w:rsidRPr="00565EFB">
        <w:t xml:space="preserve"> (CD117)</w:t>
      </w:r>
      <w:r>
        <w:t xml:space="preserve"> </w:t>
      </w:r>
      <w:r w:rsidR="00565EFB" w:rsidRPr="00565EFB">
        <w:t xml:space="preserve">positive primary GIST, subject to the </w:t>
      </w:r>
      <w:r w:rsidR="00565EFB">
        <w:t>PI</w:t>
      </w:r>
      <w:r w:rsidR="00565EFB" w:rsidRPr="00565EFB">
        <w:t xml:space="preserve"> changes.</w:t>
      </w:r>
    </w:p>
    <w:p w:rsidR="008A663E" w:rsidRDefault="008A663E" w:rsidP="008A663E">
      <w:pPr>
        <w:pStyle w:val="Heading4"/>
      </w:pPr>
      <w:r>
        <w:t>Second round comments on clinical aspects of the Safety Specification in the draft RMP</w:t>
      </w:r>
    </w:p>
    <w:p w:rsidR="008A663E" w:rsidRPr="008A663E" w:rsidRDefault="008A663E" w:rsidP="008A663E">
      <w:r w:rsidRPr="008A663E">
        <w:t xml:space="preserve">There are no changes to the comments on the Safety Specification made in the </w:t>
      </w:r>
      <w:r>
        <w:t>clinical evaluation report</w:t>
      </w:r>
      <w:r w:rsidRPr="008A663E">
        <w:t>.</w:t>
      </w:r>
    </w:p>
    <w:p w:rsidR="008E7846" w:rsidRPr="00E41208" w:rsidRDefault="008E7846" w:rsidP="008E7846">
      <w:pPr>
        <w:pStyle w:val="Heading2"/>
      </w:pPr>
      <w:bookmarkStart w:id="80" w:name="_Toc247691524"/>
      <w:bookmarkStart w:id="81" w:name="_Toc314842508"/>
      <w:bookmarkStart w:id="82" w:name="_Toc361309725"/>
      <w:r w:rsidRPr="00E41208">
        <w:t xml:space="preserve">V. Pharmacovigilance </w:t>
      </w:r>
      <w:r>
        <w:t>f</w:t>
      </w:r>
      <w:r w:rsidRPr="00E41208">
        <w:t>indings</w:t>
      </w:r>
      <w:bookmarkEnd w:id="80"/>
      <w:bookmarkEnd w:id="81"/>
      <w:bookmarkEnd w:id="82"/>
    </w:p>
    <w:p w:rsidR="008E7846" w:rsidRDefault="00386150" w:rsidP="008E7846">
      <w:pPr>
        <w:pStyle w:val="Heading3"/>
        <w:rPr>
          <w:lang w:eastAsia="en-AU"/>
        </w:rPr>
      </w:pPr>
      <w:bookmarkStart w:id="83" w:name="_Toc247691526"/>
      <w:bookmarkStart w:id="84" w:name="_Toc314842509"/>
      <w:bookmarkStart w:id="85" w:name="_Toc361309726"/>
      <w:r>
        <w:rPr>
          <w:lang w:eastAsia="en-AU"/>
        </w:rPr>
        <w:t>Risk m</w:t>
      </w:r>
      <w:r w:rsidR="008E7846">
        <w:rPr>
          <w:lang w:eastAsia="en-AU"/>
        </w:rPr>
        <w:t xml:space="preserve">anagement </w:t>
      </w:r>
      <w:r>
        <w:rPr>
          <w:lang w:eastAsia="en-AU"/>
        </w:rPr>
        <w:t>p</w:t>
      </w:r>
      <w:r w:rsidR="008E7846">
        <w:rPr>
          <w:lang w:eastAsia="en-AU"/>
        </w:rPr>
        <w:t>lan</w:t>
      </w:r>
      <w:bookmarkEnd w:id="83"/>
      <w:bookmarkEnd w:id="84"/>
      <w:bookmarkEnd w:id="85"/>
    </w:p>
    <w:p w:rsidR="008E7846" w:rsidRDefault="008E7846" w:rsidP="008E7846">
      <w:pPr>
        <w:rPr>
          <w:lang w:eastAsia="en-AU"/>
        </w:rPr>
      </w:pPr>
      <w:r>
        <w:rPr>
          <w:lang w:eastAsia="en-AU"/>
        </w:rPr>
        <w:t xml:space="preserve">The sponsor submitted a Risk Management Plan </w:t>
      </w:r>
      <w:r w:rsidR="00BA361E">
        <w:rPr>
          <w:lang w:eastAsia="en-AU"/>
        </w:rPr>
        <w:t>that</w:t>
      </w:r>
      <w:r>
        <w:rPr>
          <w:lang w:eastAsia="en-AU"/>
        </w:rPr>
        <w:t xml:space="preserve">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 xml:space="preserve">The sponsor provided a summary of </w:t>
      </w:r>
      <w:r w:rsidR="008D7BAE">
        <w:rPr>
          <w:lang w:eastAsia="en-AU"/>
        </w:rPr>
        <w:t>O</w:t>
      </w:r>
      <w:r>
        <w:rPr>
          <w:lang w:eastAsia="en-AU"/>
        </w:rPr>
        <w:t xml:space="preserve">ngoing </w:t>
      </w:r>
      <w:r w:rsidR="008D7BAE">
        <w:rPr>
          <w:lang w:eastAsia="en-AU"/>
        </w:rPr>
        <w:t>S</w:t>
      </w:r>
      <w:r>
        <w:rPr>
          <w:lang w:eastAsia="en-AU"/>
        </w:rPr>
        <w:t xml:space="preserve">afety </w:t>
      </w:r>
      <w:r w:rsidR="008D7BAE">
        <w:rPr>
          <w:lang w:eastAsia="en-AU"/>
        </w:rPr>
        <w:t>C</w:t>
      </w:r>
      <w:r>
        <w:rPr>
          <w:lang w:eastAsia="en-AU"/>
        </w:rPr>
        <w:t xml:space="preserve">oncerns which are shown at Table </w:t>
      </w:r>
      <w:r w:rsidR="00202183">
        <w:rPr>
          <w:lang w:eastAsia="en-AU"/>
        </w:rPr>
        <w:t>2</w:t>
      </w:r>
      <w:r>
        <w:rPr>
          <w:lang w:eastAsia="en-AU"/>
        </w:rPr>
        <w:t>.</w:t>
      </w:r>
    </w:p>
    <w:p w:rsidR="00904DD9" w:rsidRDefault="000454DE" w:rsidP="00FA2E75">
      <w:pPr>
        <w:pStyle w:val="TableTitle"/>
        <w:rPr>
          <w:lang w:val="en-GB"/>
        </w:rPr>
      </w:pPr>
      <w:r>
        <w:br w:type="page"/>
      </w:r>
      <w:r w:rsidR="00904DD9">
        <w:lastRenderedPageBreak/>
        <w:t xml:space="preserve">Table </w:t>
      </w:r>
      <w:r w:rsidR="00202183">
        <w:t>2</w:t>
      </w:r>
      <w:r w:rsidR="00904DD9">
        <w:t>:</w:t>
      </w:r>
      <w:r w:rsidR="00904DD9" w:rsidRPr="004C5C28">
        <w:t xml:space="preserve"> </w:t>
      </w:r>
      <w:r w:rsidR="00904DD9">
        <w:t>Ongoing Safety Concerns for</w:t>
      </w:r>
      <w:r w:rsidR="00904DD9" w:rsidRPr="004C5C28">
        <w:t xml:space="preserve"> </w:t>
      </w:r>
      <w:proofErr w:type="spellStart"/>
      <w:r w:rsidR="00904DD9">
        <w:t>Glivec</w:t>
      </w:r>
      <w:proofErr w:type="spellEnd"/>
      <w:r w:rsidR="00904DD9">
        <w:t>.</w:t>
      </w:r>
    </w:p>
    <w:p w:rsidR="00904DD9" w:rsidRDefault="002C5336" w:rsidP="00FA2E75">
      <w:pPr>
        <w:rPr>
          <w:lang w:eastAsia="en-AU"/>
        </w:rPr>
      </w:pPr>
      <w:r>
        <w:rPr>
          <w:noProof/>
          <w:lang w:eastAsia="en-AU"/>
        </w:rPr>
        <w:drawing>
          <wp:inline distT="0" distB="0" distL="0" distR="0">
            <wp:extent cx="4657725" cy="4800600"/>
            <wp:effectExtent l="19050" t="0" r="9525" b="0"/>
            <wp:docPr id="2" name="Picture 2" descr="Table 2: Ongoing Safety Concerns for Gli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15" cstate="print"/>
                    <a:srcRect/>
                    <a:stretch>
                      <a:fillRect/>
                    </a:stretch>
                  </pic:blipFill>
                  <pic:spPr bwMode="auto">
                    <a:xfrm>
                      <a:off x="0" y="0"/>
                      <a:ext cx="4657725" cy="4800600"/>
                    </a:xfrm>
                    <a:prstGeom prst="rect">
                      <a:avLst/>
                    </a:prstGeom>
                    <a:noFill/>
                    <a:ln w="9525">
                      <a:noFill/>
                      <a:miter lim="800000"/>
                      <a:headEnd/>
                      <a:tailEnd/>
                    </a:ln>
                  </pic:spPr>
                </pic:pic>
              </a:graphicData>
            </a:graphic>
          </wp:inline>
        </w:drawing>
      </w:r>
    </w:p>
    <w:p w:rsidR="003321F0" w:rsidRDefault="003321F0" w:rsidP="003321F0">
      <w:pPr>
        <w:pStyle w:val="Heading5"/>
      </w:pPr>
      <w:r>
        <w:t>OPR</w:t>
      </w:r>
      <w:r w:rsidRPr="007B529C">
        <w:t xml:space="preserve"> reviewer comment:</w:t>
      </w:r>
    </w:p>
    <w:p w:rsidR="003321F0" w:rsidRDefault="003321F0" w:rsidP="003321F0">
      <w:r>
        <w:t>The above summary of the Ongoing Safety Concerns is considered acceptable.</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DA4360" w:rsidRDefault="00DA4360" w:rsidP="00DA4360">
      <w:pPr>
        <w:pStyle w:val="Heading5"/>
      </w:pPr>
      <w:bookmarkStart w:id="86" w:name="_Toc328566960"/>
      <w:r>
        <w:t>Proposed pharmacovigilance activities</w:t>
      </w:r>
      <w:bookmarkEnd w:id="86"/>
    </w:p>
    <w:p w:rsidR="00DA4360" w:rsidRDefault="00DA4360" w:rsidP="00DA4360">
      <w:r w:rsidRPr="00DA4360">
        <w:t>Pharmacovigilance activities are proposed by the sponsor and ar</w:t>
      </w:r>
      <w:r>
        <w:t xml:space="preserve">e summarised in Table </w:t>
      </w:r>
      <w:r w:rsidR="00C63EE7">
        <w:t>3</w:t>
      </w:r>
      <w:r>
        <w:t>.</w:t>
      </w:r>
    </w:p>
    <w:p w:rsidR="00695EF1" w:rsidRDefault="000454DE" w:rsidP="00FA2E75">
      <w:pPr>
        <w:pStyle w:val="TableTitle"/>
        <w:rPr>
          <w:lang w:val="en-GB"/>
        </w:rPr>
      </w:pPr>
      <w:r>
        <w:br w:type="page"/>
      </w:r>
      <w:proofErr w:type="gramStart"/>
      <w:r w:rsidR="00695EF1">
        <w:lastRenderedPageBreak/>
        <w:t xml:space="preserve">Table </w:t>
      </w:r>
      <w:r w:rsidR="00C63EE7">
        <w:t>3</w:t>
      </w:r>
      <w:r w:rsidR="00695EF1">
        <w:t>:</w:t>
      </w:r>
      <w:r w:rsidR="00695EF1" w:rsidRPr="004C5C28">
        <w:t xml:space="preserve"> </w:t>
      </w:r>
      <w:proofErr w:type="spellStart"/>
      <w:r w:rsidR="00695EF1" w:rsidRPr="00DA4360">
        <w:t>Pharmacovigilance</w:t>
      </w:r>
      <w:proofErr w:type="spellEnd"/>
      <w:r w:rsidR="00695EF1" w:rsidRPr="00DA4360">
        <w:t xml:space="preserve"> activities </w:t>
      </w:r>
      <w:r w:rsidR="00695EF1">
        <w:t>for</w:t>
      </w:r>
      <w:r w:rsidR="00695EF1" w:rsidRPr="004C5C28">
        <w:t xml:space="preserve"> </w:t>
      </w:r>
      <w:proofErr w:type="spellStart"/>
      <w:r w:rsidR="00695EF1">
        <w:t>Glivec</w:t>
      </w:r>
      <w:proofErr w:type="spellEnd"/>
      <w:r w:rsidR="00695EF1">
        <w:t>.</w:t>
      </w:r>
      <w:proofErr w:type="gramEnd"/>
    </w:p>
    <w:p w:rsidR="00DB0504" w:rsidRDefault="002C5336" w:rsidP="00FA2E75">
      <w:r>
        <w:rPr>
          <w:noProof/>
          <w:lang w:eastAsia="en-AU"/>
        </w:rPr>
        <w:drawing>
          <wp:inline distT="0" distB="0" distL="0" distR="0">
            <wp:extent cx="4705350" cy="4486275"/>
            <wp:effectExtent l="19050" t="0" r="0" b="0"/>
            <wp:docPr id="3" name="Picture 3" descr="Table 3: Pharmacovigilance activities for Gli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pic:cNvPicPr>
                      <a:picLocks noChangeAspect="1" noChangeArrowheads="1"/>
                    </pic:cNvPicPr>
                  </pic:nvPicPr>
                  <pic:blipFill>
                    <a:blip r:embed="rId16" cstate="print"/>
                    <a:srcRect/>
                    <a:stretch>
                      <a:fillRect/>
                    </a:stretch>
                  </pic:blipFill>
                  <pic:spPr bwMode="auto">
                    <a:xfrm>
                      <a:off x="0" y="0"/>
                      <a:ext cx="4705350" cy="4486275"/>
                    </a:xfrm>
                    <a:prstGeom prst="rect">
                      <a:avLst/>
                    </a:prstGeom>
                    <a:noFill/>
                    <a:ln w="9525">
                      <a:noFill/>
                      <a:miter lim="800000"/>
                      <a:headEnd/>
                      <a:tailEnd/>
                    </a:ln>
                  </pic:spPr>
                </pic:pic>
              </a:graphicData>
            </a:graphic>
          </wp:inline>
        </w:drawing>
      </w:r>
      <w:r>
        <w:rPr>
          <w:noProof/>
          <w:lang w:eastAsia="en-AU"/>
        </w:rPr>
        <w:drawing>
          <wp:inline distT="0" distB="0" distL="0" distR="0">
            <wp:extent cx="4695825" cy="1695450"/>
            <wp:effectExtent l="19050" t="0" r="9525" b="0"/>
            <wp:docPr id="4" name="Picture 4" descr="Table 3: Pharmacovigilance activities for Glivec.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
                    <pic:cNvPicPr>
                      <a:picLocks noChangeAspect="1" noChangeArrowheads="1"/>
                    </pic:cNvPicPr>
                  </pic:nvPicPr>
                  <pic:blipFill>
                    <a:blip r:embed="rId17" cstate="print"/>
                    <a:srcRect/>
                    <a:stretch>
                      <a:fillRect/>
                    </a:stretch>
                  </pic:blipFill>
                  <pic:spPr bwMode="auto">
                    <a:xfrm>
                      <a:off x="0" y="0"/>
                      <a:ext cx="4695825" cy="1695450"/>
                    </a:xfrm>
                    <a:prstGeom prst="rect">
                      <a:avLst/>
                    </a:prstGeom>
                    <a:noFill/>
                    <a:ln w="9525">
                      <a:noFill/>
                      <a:miter lim="800000"/>
                      <a:headEnd/>
                      <a:tailEnd/>
                    </a:ln>
                  </pic:spPr>
                </pic:pic>
              </a:graphicData>
            </a:graphic>
          </wp:inline>
        </w:drawing>
      </w:r>
      <w:r>
        <w:rPr>
          <w:noProof/>
          <w:lang w:eastAsia="en-AU"/>
        </w:rPr>
        <w:drawing>
          <wp:inline distT="0" distB="0" distL="0" distR="0">
            <wp:extent cx="4686300" cy="600075"/>
            <wp:effectExtent l="19050" t="0" r="0" b="0"/>
            <wp:docPr id="5" name="Picture 5" descr="Table 3: Pharmacovigilance activities for Glivec.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3"/>
                    <pic:cNvPicPr>
                      <a:picLocks noChangeAspect="1" noChangeArrowheads="1"/>
                    </pic:cNvPicPr>
                  </pic:nvPicPr>
                  <pic:blipFill>
                    <a:blip r:embed="rId18" cstate="print"/>
                    <a:srcRect/>
                    <a:stretch>
                      <a:fillRect/>
                    </a:stretch>
                  </pic:blipFill>
                  <pic:spPr bwMode="auto">
                    <a:xfrm>
                      <a:off x="0" y="0"/>
                      <a:ext cx="4686300" cy="600075"/>
                    </a:xfrm>
                    <a:prstGeom prst="rect">
                      <a:avLst/>
                    </a:prstGeom>
                    <a:noFill/>
                    <a:ln w="9525">
                      <a:noFill/>
                      <a:miter lim="800000"/>
                      <a:headEnd/>
                      <a:tailEnd/>
                    </a:ln>
                  </pic:spPr>
                </pic:pic>
              </a:graphicData>
            </a:graphic>
          </wp:inline>
        </w:drawing>
      </w:r>
      <w:r>
        <w:rPr>
          <w:noProof/>
          <w:lang w:eastAsia="en-AU"/>
        </w:rPr>
        <w:drawing>
          <wp:inline distT="0" distB="0" distL="0" distR="0">
            <wp:extent cx="4686300" cy="600075"/>
            <wp:effectExtent l="19050" t="0" r="0" b="0"/>
            <wp:docPr id="6" name="Picture 6" descr="Table 3: Pharmacovigilance activities for Glivec.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
                    <pic:cNvPicPr>
                      <a:picLocks noChangeAspect="1" noChangeArrowheads="1"/>
                    </pic:cNvPicPr>
                  </pic:nvPicPr>
                  <pic:blipFill>
                    <a:blip r:embed="rId19" cstate="print"/>
                    <a:srcRect/>
                    <a:stretch>
                      <a:fillRect/>
                    </a:stretch>
                  </pic:blipFill>
                  <pic:spPr bwMode="auto">
                    <a:xfrm>
                      <a:off x="0" y="0"/>
                      <a:ext cx="4686300" cy="600075"/>
                    </a:xfrm>
                    <a:prstGeom prst="rect">
                      <a:avLst/>
                    </a:prstGeom>
                    <a:noFill/>
                    <a:ln w="9525">
                      <a:noFill/>
                      <a:miter lim="800000"/>
                      <a:headEnd/>
                      <a:tailEnd/>
                    </a:ln>
                  </pic:spPr>
                </pic:pic>
              </a:graphicData>
            </a:graphic>
          </wp:inline>
        </w:drawing>
      </w:r>
    </w:p>
    <w:p w:rsidR="000454DE" w:rsidRDefault="000454DE" w:rsidP="000454DE">
      <w:pPr>
        <w:pStyle w:val="FigureTitle"/>
        <w:rPr>
          <w:lang w:val="en-GB"/>
        </w:rPr>
      </w:pPr>
      <w:r>
        <w:br w:type="page"/>
      </w:r>
      <w:r>
        <w:lastRenderedPageBreak/>
        <w:t>Table 3 (continued):</w:t>
      </w:r>
      <w:r w:rsidRPr="004C5C28">
        <w:t xml:space="preserve"> </w:t>
      </w:r>
      <w:proofErr w:type="spellStart"/>
      <w:r w:rsidRPr="00DA4360">
        <w:t>Pharmacovigilance</w:t>
      </w:r>
      <w:proofErr w:type="spellEnd"/>
      <w:r w:rsidRPr="00DA4360">
        <w:t xml:space="preserve"> activities </w:t>
      </w:r>
      <w:r>
        <w:t>for</w:t>
      </w:r>
      <w:r w:rsidRPr="004C5C28">
        <w:t xml:space="preserve"> </w:t>
      </w:r>
      <w:proofErr w:type="spellStart"/>
      <w:r>
        <w:t>Glivec</w:t>
      </w:r>
      <w:proofErr w:type="spellEnd"/>
      <w:r>
        <w:t>.</w:t>
      </w:r>
    </w:p>
    <w:p w:rsidR="000454DE" w:rsidRDefault="002C5336" w:rsidP="00FA2E75">
      <w:r>
        <w:rPr>
          <w:noProof/>
          <w:lang w:eastAsia="en-AU"/>
        </w:rPr>
        <w:drawing>
          <wp:inline distT="0" distB="0" distL="0" distR="0">
            <wp:extent cx="4733925" cy="2514600"/>
            <wp:effectExtent l="19050" t="0" r="9525" b="0"/>
            <wp:docPr id="7" name="Picture 7" descr="Table 3 (continued): Pharmacovigilance activities for Glivec. P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5"/>
                    <pic:cNvPicPr>
                      <a:picLocks noChangeAspect="1" noChangeArrowheads="1"/>
                    </pic:cNvPicPr>
                  </pic:nvPicPr>
                  <pic:blipFill>
                    <a:blip r:embed="rId20" cstate="print"/>
                    <a:srcRect/>
                    <a:stretch>
                      <a:fillRect/>
                    </a:stretch>
                  </pic:blipFill>
                  <pic:spPr bwMode="auto">
                    <a:xfrm>
                      <a:off x="0" y="0"/>
                      <a:ext cx="4733925" cy="2514600"/>
                    </a:xfrm>
                    <a:prstGeom prst="rect">
                      <a:avLst/>
                    </a:prstGeom>
                    <a:noFill/>
                    <a:ln w="9525">
                      <a:noFill/>
                      <a:miter lim="800000"/>
                      <a:headEnd/>
                      <a:tailEnd/>
                    </a:ln>
                  </pic:spPr>
                </pic:pic>
              </a:graphicData>
            </a:graphic>
          </wp:inline>
        </w:drawing>
      </w:r>
    </w:p>
    <w:p w:rsidR="00AF2E7B" w:rsidRDefault="00AF2E7B" w:rsidP="00AF2E7B">
      <w:r>
        <w:t>According to the Australian specific annex, there are no additional pharmacovigilance activities proposed specifically for Australia.</w:t>
      </w:r>
    </w:p>
    <w:p w:rsidR="00A4705F" w:rsidRDefault="00A4705F" w:rsidP="00A4705F">
      <w:pPr>
        <w:pStyle w:val="Heading5"/>
      </w:pPr>
      <w:bookmarkStart w:id="87" w:name="_Toc328566961"/>
      <w:r>
        <w:t>OPR reviewer’s comments</w:t>
      </w:r>
      <w:r w:rsidRPr="003F60E1">
        <w:t xml:space="preserve"> in regard to </w:t>
      </w:r>
      <w:r>
        <w:t xml:space="preserve">the </w:t>
      </w:r>
      <w:r w:rsidRPr="003F60E1">
        <w:t xml:space="preserve">pharmacovigilance plan and </w:t>
      </w:r>
      <w:r>
        <w:t xml:space="preserve">the </w:t>
      </w:r>
      <w:r w:rsidRPr="003F60E1">
        <w:t>appropriateness of milestone</w:t>
      </w:r>
      <w:bookmarkEnd w:id="87"/>
      <w:r>
        <w:t>s:</w:t>
      </w:r>
    </w:p>
    <w:p w:rsidR="00A4705F" w:rsidRDefault="00A4705F" w:rsidP="00A4705F">
      <w:r>
        <w:t xml:space="preserve">The planned PIP </w:t>
      </w:r>
      <w:r w:rsidR="00F330A2">
        <w:t>(</w:t>
      </w:r>
      <w:r w:rsidR="00F330A2" w:rsidRPr="00F330A2">
        <w:t>Paediatric Investigational Plan</w:t>
      </w:r>
      <w:r w:rsidR="00F330A2">
        <w:t xml:space="preserve">) </w:t>
      </w:r>
      <w:r>
        <w:t xml:space="preserve">study for ALL </w:t>
      </w:r>
      <w:r w:rsidR="0057747C">
        <w:t>(</w:t>
      </w:r>
      <w:r w:rsidR="0057747C" w:rsidRPr="00611356">
        <w:rPr>
          <w:rFonts w:eastAsia="MS Mincho"/>
          <w:lang w:eastAsia="ja-JP"/>
        </w:rPr>
        <w:t>acute lymphoblastic leukaemia</w:t>
      </w:r>
      <w:r w:rsidR="0057747C">
        <w:t xml:space="preserve">) </w:t>
      </w:r>
      <w:r>
        <w:t>patients is not considered in this report as it does not relate to the current application.</w:t>
      </w:r>
      <w:r w:rsidR="003B240B">
        <w:t xml:space="preserve"> </w:t>
      </w:r>
      <w:r>
        <w:t>All other studies outlined in the pharmacovigilance plan are ongoing and therefore the associated protocols have not been evaluated in detail for the purposes of this report.</w:t>
      </w:r>
    </w:p>
    <w:p w:rsidR="00A4705F" w:rsidRDefault="00A4705F" w:rsidP="00A4705F">
      <w:r>
        <w:t xml:space="preserve">A pregnancy registry is also ongoing to assess tolerability during pregnancy and pregnancy outcomes related to </w:t>
      </w:r>
      <w:proofErr w:type="spellStart"/>
      <w:r>
        <w:t>imatinib</w:t>
      </w:r>
      <w:proofErr w:type="spellEnd"/>
      <w:r>
        <w:t xml:space="preserve"> and a companion drug, </w:t>
      </w:r>
      <w:proofErr w:type="spellStart"/>
      <w:r>
        <w:t>niloti</w:t>
      </w:r>
      <w:r w:rsidR="00DB0504">
        <w:t>nib</w:t>
      </w:r>
      <w:proofErr w:type="spellEnd"/>
      <w:r w:rsidR="00DB0504">
        <w:t xml:space="preserve">. </w:t>
      </w:r>
      <w:r>
        <w:t xml:space="preserve">It is noted that </w:t>
      </w:r>
      <w:proofErr w:type="spellStart"/>
      <w:r>
        <w:t>imatinib</w:t>
      </w:r>
      <w:proofErr w:type="spellEnd"/>
      <w:r>
        <w:t xml:space="preserve"> is currently listed as </w:t>
      </w:r>
      <w:r w:rsidR="00123304">
        <w:t>C</w:t>
      </w:r>
      <w:r>
        <w:t>ategory D for use in pregnancy which appropriately reflects the lack of safety data in pregnancy and no changes to this are proposed.</w:t>
      </w:r>
    </w:p>
    <w:p w:rsidR="00A4705F" w:rsidRDefault="00A4705F" w:rsidP="00A4705F">
      <w:r>
        <w:t>It is recommended that all reports from the ongoing pharmacovigilance studies should be submitted to the TGA when available.</w:t>
      </w:r>
      <w:r w:rsidR="00123304">
        <w:t xml:space="preserve"> </w:t>
      </w:r>
      <w:r>
        <w:t>It is also expected that any safety issues arising from the studies are cumulatively detailed in the PSUR</w:t>
      </w:r>
      <w:r w:rsidR="00123304">
        <w:t xml:space="preserve"> (Public </w:t>
      </w:r>
      <w:r w:rsidR="00D5618D">
        <w:t>Safety Update Report</w:t>
      </w:r>
      <w:r w:rsidR="00123304">
        <w:t>)</w:t>
      </w:r>
      <w:r>
        <w:t>.</w:t>
      </w:r>
    </w:p>
    <w:p w:rsidR="00A4705F" w:rsidRDefault="00A4705F" w:rsidP="00A4705F">
      <w:r>
        <w:t>The clinical evaluator felt that the important potential risk ‘second malignancies in survivors’ is sufficient for the risk of prostate cancer observed in the GIST extended treatment study.</w:t>
      </w:r>
      <w:r w:rsidR="003B240B">
        <w:t xml:space="preserve"> </w:t>
      </w:r>
      <w:r>
        <w:t>Routine pharmacovigilance is currently proposed for this safety concern.</w:t>
      </w:r>
      <w:r w:rsidR="003B240B">
        <w:t xml:space="preserve"> </w:t>
      </w:r>
      <w:r>
        <w:t>Depending on the interpretation of the prostate cancer risk, the Delegate may wish to consider including additional pharmacovigilance for this safety concern as a condition of registration.</w:t>
      </w:r>
    </w:p>
    <w:p w:rsidR="00A4705F" w:rsidRDefault="00A4705F" w:rsidP="00A4705F">
      <w:r>
        <w:t>Otherwise, the pharmacovigilance plan is considered to be acceptable.</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B12F65" w:rsidRDefault="00B12F65" w:rsidP="00B12F65">
      <w:pPr>
        <w:pStyle w:val="Heading5"/>
      </w:pPr>
      <w:bookmarkStart w:id="88" w:name="_Toc328566963"/>
      <w:bookmarkStart w:id="89" w:name="_Toc247691527"/>
      <w:r>
        <w:t>Sponsor’s conclusion in regard to the need for risk minimisation activities</w:t>
      </w:r>
      <w:bookmarkEnd w:id="88"/>
    </w:p>
    <w:p w:rsidR="00B12F65" w:rsidRDefault="00B12F65" w:rsidP="00B12F65">
      <w:pPr>
        <w:autoSpaceDE w:val="0"/>
        <w:autoSpaceDN w:val="0"/>
        <w:adjustRightInd w:val="0"/>
      </w:pPr>
      <w:r>
        <w:t>No articulated conclusion is provided by the sponsor as such h</w:t>
      </w:r>
      <w:r w:rsidR="00D5618D">
        <w:t xml:space="preserve">owever the RMP </w:t>
      </w:r>
      <w:r>
        <w:t>details each safety concern and whether or not routine risk minimisation activities are sufficient.</w:t>
      </w:r>
      <w:r w:rsidR="003B240B">
        <w:t xml:space="preserve"> </w:t>
      </w:r>
      <w:r>
        <w:t>In summary, the sponsor proposes that routine risk minimisation activities are sufficient for all safety concerns except ‘</w:t>
      </w:r>
      <w:proofErr w:type="spellStart"/>
      <w:r>
        <w:t>Rhabdomyolysis</w:t>
      </w:r>
      <w:proofErr w:type="spellEnd"/>
      <w:r>
        <w:t xml:space="preserve"> and </w:t>
      </w:r>
      <w:proofErr w:type="spellStart"/>
      <w:r>
        <w:t>Myopathy</w:t>
      </w:r>
      <w:proofErr w:type="spellEnd"/>
      <w:r>
        <w:t>’, ‘Disseminated Intravascular Coagulation’, ‘</w:t>
      </w:r>
      <w:proofErr w:type="spellStart"/>
      <w:r>
        <w:t>Hypoglycemia</w:t>
      </w:r>
      <w:proofErr w:type="spellEnd"/>
      <w:r>
        <w:t>’ and ‘</w:t>
      </w:r>
      <w:proofErr w:type="spellStart"/>
      <w:r>
        <w:t>Suicidality</w:t>
      </w:r>
      <w:proofErr w:type="spellEnd"/>
      <w:r>
        <w:t>’.</w:t>
      </w:r>
      <w:r w:rsidR="003B240B">
        <w:t xml:space="preserve"> </w:t>
      </w:r>
      <w:r>
        <w:t>For these the sponsor states:</w:t>
      </w:r>
    </w:p>
    <w:p w:rsidR="00B12F65" w:rsidRPr="005C176B" w:rsidRDefault="00B12F65" w:rsidP="00B12F65">
      <w:pPr>
        <w:autoSpaceDE w:val="0"/>
        <w:autoSpaceDN w:val="0"/>
        <w:adjustRightInd w:val="0"/>
        <w:ind w:left="720"/>
        <w:rPr>
          <w:i/>
        </w:rPr>
      </w:pPr>
      <w:r w:rsidRPr="005C176B">
        <w:rPr>
          <w:i/>
        </w:rPr>
        <w:lastRenderedPageBreak/>
        <w:t xml:space="preserve">“There is a lack of conclusive data indicating causal relationship at this time. Should the PV activities uncover additional </w:t>
      </w:r>
      <w:proofErr w:type="gramStart"/>
      <w:r w:rsidRPr="005C176B">
        <w:rPr>
          <w:i/>
        </w:rPr>
        <w:t>data,</w:t>
      </w:r>
      <w:proofErr w:type="gramEnd"/>
      <w:r w:rsidRPr="005C176B">
        <w:rPr>
          <w:i/>
        </w:rPr>
        <w:t xml:space="preserve"> the risk will be communicated through the labe</w:t>
      </w:r>
      <w:r>
        <w:rPr>
          <w:i/>
        </w:rPr>
        <w:t>lling and additional risk minimis</w:t>
      </w:r>
      <w:r w:rsidRPr="005C176B">
        <w:rPr>
          <w:i/>
        </w:rPr>
        <w:t>ation activities may be proposed if necessary.”</w:t>
      </w:r>
    </w:p>
    <w:p w:rsidR="00B12F65" w:rsidRDefault="00B12F65" w:rsidP="00B12F65">
      <w:pPr>
        <w:pStyle w:val="Heading5"/>
      </w:pPr>
      <w:r>
        <w:t>OPR</w:t>
      </w:r>
      <w:r w:rsidRPr="007B529C">
        <w:t xml:space="preserve"> reviewer comment:</w:t>
      </w:r>
    </w:p>
    <w:p w:rsidR="00B12F65" w:rsidRDefault="00B12F65" w:rsidP="00B12F65">
      <w:r>
        <w:t>The rationale for routine risk minimisation is acceptable.</w:t>
      </w:r>
      <w:r w:rsidR="003B240B">
        <w:t xml:space="preserve"> </w:t>
      </w:r>
      <w:r>
        <w:t>The rationale for no risk minimisation activities for ‘Disseminated Intravascular Coagulation’ and ‘</w:t>
      </w:r>
      <w:proofErr w:type="spellStart"/>
      <w:r>
        <w:t>Suicidality</w:t>
      </w:r>
      <w:proofErr w:type="spellEnd"/>
      <w:r>
        <w:t>’ is also acceptable.</w:t>
      </w:r>
    </w:p>
    <w:p w:rsidR="00B12F65" w:rsidRPr="00D015F0" w:rsidRDefault="00B12F65" w:rsidP="00B12F65">
      <w:pPr>
        <w:rPr>
          <w:b/>
        </w:rPr>
      </w:pPr>
      <w:r>
        <w:t>The evaluator’s concerns regarding ‘</w:t>
      </w:r>
      <w:proofErr w:type="spellStart"/>
      <w:r>
        <w:t>Rhabdomyolysis</w:t>
      </w:r>
      <w:proofErr w:type="spellEnd"/>
      <w:r>
        <w:t xml:space="preserve"> and </w:t>
      </w:r>
      <w:proofErr w:type="spellStart"/>
      <w:r>
        <w:t>myopathy</w:t>
      </w:r>
      <w:proofErr w:type="spellEnd"/>
      <w:r>
        <w:t xml:space="preserve">’ and ‘hypoglycaemia’ are discussed in </w:t>
      </w:r>
      <w:r w:rsidR="00D5618D">
        <w:t>the RMP</w:t>
      </w:r>
      <w:r>
        <w:t>.</w:t>
      </w:r>
    </w:p>
    <w:p w:rsidR="0008650D" w:rsidRDefault="0008650D" w:rsidP="0008650D">
      <w:pPr>
        <w:pStyle w:val="Heading5"/>
      </w:pPr>
      <w:bookmarkStart w:id="90" w:name="_Toc268857338"/>
      <w:bookmarkStart w:id="91" w:name="_Toc328566964"/>
      <w:r>
        <w:t>Potential for medication errors</w:t>
      </w:r>
      <w:bookmarkEnd w:id="90"/>
      <w:bookmarkEnd w:id="91"/>
    </w:p>
    <w:p w:rsidR="0008650D" w:rsidRPr="0008650D" w:rsidRDefault="0008650D" w:rsidP="0008650D">
      <w:r w:rsidRPr="0008650D">
        <w:t>The RMP states:</w:t>
      </w:r>
    </w:p>
    <w:p w:rsidR="0008650D" w:rsidRPr="00A5363C" w:rsidRDefault="0008650D" w:rsidP="00F8777C">
      <w:pPr>
        <w:ind w:left="720"/>
        <w:rPr>
          <w:i/>
        </w:rPr>
      </w:pPr>
      <w:r w:rsidRPr="00A5363C">
        <w:rPr>
          <w:i/>
        </w:rPr>
        <w:t>The potential for medication errors was considered, taking into account the following common sources of medication errors.</w:t>
      </w:r>
    </w:p>
    <w:p w:rsidR="0008650D" w:rsidRPr="00A5363C" w:rsidRDefault="0008650D" w:rsidP="00F8777C">
      <w:pPr>
        <w:autoSpaceDE w:val="0"/>
        <w:autoSpaceDN w:val="0"/>
        <w:adjustRightInd w:val="0"/>
        <w:ind w:left="720"/>
        <w:rPr>
          <w:b/>
          <w:bCs/>
          <w:i/>
        </w:rPr>
      </w:pPr>
      <w:r w:rsidRPr="00A5363C">
        <w:rPr>
          <w:b/>
          <w:bCs/>
          <w:i/>
        </w:rPr>
        <w:t>Name confusion</w:t>
      </w:r>
    </w:p>
    <w:p w:rsidR="0008650D" w:rsidRPr="00A5363C" w:rsidRDefault="0008650D" w:rsidP="00F8777C">
      <w:pPr>
        <w:ind w:left="720"/>
        <w:rPr>
          <w:i/>
        </w:rPr>
      </w:pPr>
      <w:r w:rsidRPr="00A5363C">
        <w:rPr>
          <w:i/>
        </w:rPr>
        <w:t>Novartis selected the invented name or trademark “</w:t>
      </w:r>
      <w:proofErr w:type="spellStart"/>
      <w:r w:rsidRPr="00A5363C">
        <w:rPr>
          <w:i/>
        </w:rPr>
        <w:t>G</w:t>
      </w:r>
      <w:r w:rsidR="00FC1718" w:rsidRPr="00A5363C">
        <w:rPr>
          <w:i/>
        </w:rPr>
        <w:t>livec</w:t>
      </w:r>
      <w:proofErr w:type="spellEnd"/>
      <w:r w:rsidRPr="00A5363C">
        <w:rPr>
          <w:i/>
        </w:rPr>
        <w:t xml:space="preserve">” as the trademark for </w:t>
      </w:r>
      <w:proofErr w:type="spellStart"/>
      <w:r w:rsidRPr="00A5363C">
        <w:rPr>
          <w:i/>
        </w:rPr>
        <w:t>imatinib</w:t>
      </w:r>
      <w:proofErr w:type="spellEnd"/>
      <w:r w:rsidR="00FC1718" w:rsidRPr="00A5363C">
        <w:rPr>
          <w:i/>
        </w:rPr>
        <w:t xml:space="preserve"> </w:t>
      </w:r>
      <w:r w:rsidRPr="00A5363C">
        <w:rPr>
          <w:i/>
        </w:rPr>
        <w:t>in 2000 as it was determined to be a safe name not likel</w:t>
      </w:r>
      <w:r w:rsidR="00FC1718" w:rsidRPr="00A5363C">
        <w:rPr>
          <w:i/>
        </w:rPr>
        <w:t xml:space="preserve">y to cause confusion with other </w:t>
      </w:r>
      <w:r w:rsidRPr="00A5363C">
        <w:rPr>
          <w:i/>
        </w:rPr>
        <w:t>marketed product names. Before submitting the tr</w:t>
      </w:r>
      <w:r w:rsidR="00716724">
        <w:rPr>
          <w:i/>
        </w:rPr>
        <w:t xml:space="preserve">ademark </w:t>
      </w:r>
      <w:proofErr w:type="spellStart"/>
      <w:r w:rsidR="00716724">
        <w:rPr>
          <w:i/>
        </w:rPr>
        <w:t>Glivec</w:t>
      </w:r>
      <w:proofErr w:type="spellEnd"/>
      <w:r w:rsidR="00FC1718" w:rsidRPr="00A5363C">
        <w:rPr>
          <w:i/>
        </w:rPr>
        <w:t xml:space="preserve"> to FDA or EMA, a </w:t>
      </w:r>
      <w:r w:rsidRPr="00A5363C">
        <w:rPr>
          <w:i/>
        </w:rPr>
        <w:t>robust</w:t>
      </w:r>
      <w:r w:rsidR="00FC1718" w:rsidRPr="00A5363C">
        <w:rPr>
          <w:i/>
        </w:rPr>
        <w:t xml:space="preserve"> </w:t>
      </w:r>
      <w:r w:rsidRPr="00A5363C">
        <w:rPr>
          <w:i/>
        </w:rPr>
        <w:t>trademark</w:t>
      </w:r>
      <w:r w:rsidR="00716724">
        <w:rPr>
          <w:i/>
        </w:rPr>
        <w:t xml:space="preserve"> </w:t>
      </w:r>
      <w:r w:rsidRPr="00A5363C">
        <w:rPr>
          <w:i/>
        </w:rPr>
        <w:t>safety evaluation was conducted by Medical Error Recognition and Revision</w:t>
      </w:r>
      <w:r w:rsidR="00FC1718" w:rsidRPr="00A5363C">
        <w:rPr>
          <w:i/>
        </w:rPr>
        <w:t xml:space="preserve"> </w:t>
      </w:r>
      <w:r w:rsidRPr="00A5363C">
        <w:rPr>
          <w:i/>
        </w:rPr>
        <w:t>Strategies, Inc. (Med-E.R.R.S.) and Brand Institute. These assessments included a survey of</w:t>
      </w:r>
      <w:r w:rsidR="00FC1718" w:rsidRPr="00A5363C">
        <w:rPr>
          <w:i/>
        </w:rPr>
        <w:t xml:space="preserve"> </w:t>
      </w:r>
      <w:r w:rsidRPr="00A5363C">
        <w:rPr>
          <w:i/>
        </w:rPr>
        <w:t xml:space="preserve">US and EU healthcare practitioners to assess the potential for </w:t>
      </w:r>
      <w:proofErr w:type="spellStart"/>
      <w:r w:rsidRPr="00A5363C">
        <w:rPr>
          <w:i/>
        </w:rPr>
        <w:t>look</w:t>
      </w:r>
      <w:r w:rsidR="00716724">
        <w:rPr>
          <w:i/>
        </w:rPr>
        <w:t xml:space="preserve"> </w:t>
      </w:r>
      <w:r w:rsidRPr="00A5363C">
        <w:rPr>
          <w:i/>
        </w:rPr>
        <w:t>alike</w:t>
      </w:r>
      <w:proofErr w:type="spellEnd"/>
      <w:r w:rsidRPr="00A5363C">
        <w:rPr>
          <w:i/>
        </w:rPr>
        <w:t xml:space="preserve"> and sound</w:t>
      </w:r>
      <w:r w:rsidR="00716724">
        <w:rPr>
          <w:i/>
        </w:rPr>
        <w:t xml:space="preserve"> </w:t>
      </w:r>
      <w:r w:rsidRPr="00A5363C">
        <w:rPr>
          <w:i/>
        </w:rPr>
        <w:t>alike</w:t>
      </w:r>
      <w:r w:rsidR="00FC1718" w:rsidRPr="00A5363C">
        <w:rPr>
          <w:i/>
        </w:rPr>
        <w:t xml:space="preserve"> </w:t>
      </w:r>
      <w:r w:rsidRPr="00A5363C">
        <w:rPr>
          <w:i/>
        </w:rPr>
        <w:t xml:space="preserve">confusion between </w:t>
      </w:r>
      <w:proofErr w:type="spellStart"/>
      <w:r w:rsidR="00716724">
        <w:rPr>
          <w:i/>
        </w:rPr>
        <w:t>Glivec</w:t>
      </w:r>
      <w:proofErr w:type="spellEnd"/>
      <w:r w:rsidRPr="00A5363C">
        <w:rPr>
          <w:i/>
        </w:rPr>
        <w:t xml:space="preserve"> and other marketed products. Additionally, panels of pharmacists</w:t>
      </w:r>
      <w:r w:rsidR="00FC1718" w:rsidRPr="00A5363C">
        <w:rPr>
          <w:i/>
        </w:rPr>
        <w:t xml:space="preserve"> </w:t>
      </w:r>
      <w:r w:rsidRPr="00A5363C">
        <w:rPr>
          <w:i/>
        </w:rPr>
        <w:t xml:space="preserve">and drug safety experts assessed the trademark </w:t>
      </w:r>
      <w:proofErr w:type="spellStart"/>
      <w:r w:rsidR="00716724">
        <w:rPr>
          <w:i/>
        </w:rPr>
        <w:t>Glivec</w:t>
      </w:r>
      <w:proofErr w:type="spellEnd"/>
      <w:r w:rsidRPr="00A5363C">
        <w:rPr>
          <w:i/>
        </w:rPr>
        <w:t xml:space="preserve"> and concluded it had an overall low</w:t>
      </w:r>
      <w:r w:rsidR="00FC1718" w:rsidRPr="00A5363C">
        <w:rPr>
          <w:i/>
        </w:rPr>
        <w:t xml:space="preserve"> </w:t>
      </w:r>
      <w:r w:rsidRPr="00A5363C">
        <w:rPr>
          <w:i/>
        </w:rPr>
        <w:t xml:space="preserve">vulnerability for </w:t>
      </w:r>
      <w:proofErr w:type="spellStart"/>
      <w:r w:rsidRPr="00A5363C">
        <w:rPr>
          <w:i/>
        </w:rPr>
        <w:t>look</w:t>
      </w:r>
      <w:r w:rsidR="00716724">
        <w:rPr>
          <w:i/>
        </w:rPr>
        <w:t xml:space="preserve"> </w:t>
      </w:r>
      <w:r w:rsidRPr="00A5363C">
        <w:rPr>
          <w:i/>
        </w:rPr>
        <w:t>alike</w:t>
      </w:r>
      <w:proofErr w:type="spellEnd"/>
      <w:r w:rsidRPr="00A5363C">
        <w:rPr>
          <w:i/>
        </w:rPr>
        <w:t xml:space="preserve"> and sound</w:t>
      </w:r>
      <w:r w:rsidR="00716724">
        <w:rPr>
          <w:i/>
        </w:rPr>
        <w:t xml:space="preserve"> </w:t>
      </w:r>
      <w:r w:rsidRPr="00A5363C">
        <w:rPr>
          <w:i/>
        </w:rPr>
        <w:t>alike confusion and was therefore a suitable trademark</w:t>
      </w:r>
      <w:r w:rsidR="00FC1718" w:rsidRPr="00A5363C">
        <w:rPr>
          <w:i/>
        </w:rPr>
        <w:t xml:space="preserve"> </w:t>
      </w:r>
      <w:r w:rsidRPr="00A5363C">
        <w:rPr>
          <w:i/>
        </w:rPr>
        <w:t>for the product.</w:t>
      </w:r>
    </w:p>
    <w:p w:rsidR="0008650D" w:rsidRPr="00A5363C" w:rsidRDefault="0008650D" w:rsidP="00F8777C">
      <w:pPr>
        <w:ind w:left="720"/>
        <w:rPr>
          <w:i/>
        </w:rPr>
      </w:pPr>
      <w:r w:rsidRPr="00A5363C">
        <w:rPr>
          <w:i/>
        </w:rPr>
        <w:t>In 2000-2001, as part of the authori</w:t>
      </w:r>
      <w:r w:rsidR="00716724">
        <w:rPr>
          <w:i/>
        </w:rPr>
        <w:t>s</w:t>
      </w:r>
      <w:r w:rsidRPr="00A5363C">
        <w:rPr>
          <w:i/>
        </w:rPr>
        <w:t xml:space="preserve">ation procedure, </w:t>
      </w:r>
      <w:proofErr w:type="spellStart"/>
      <w:r w:rsidRPr="00A5363C">
        <w:rPr>
          <w:i/>
        </w:rPr>
        <w:t>G</w:t>
      </w:r>
      <w:r w:rsidR="00716724">
        <w:rPr>
          <w:i/>
        </w:rPr>
        <w:t>livec</w:t>
      </w:r>
      <w:proofErr w:type="spellEnd"/>
      <w:r w:rsidR="00FC1718" w:rsidRPr="00A5363C">
        <w:rPr>
          <w:i/>
        </w:rPr>
        <w:t xml:space="preserve"> was submitted for review to </w:t>
      </w:r>
      <w:r w:rsidRPr="00A5363C">
        <w:rPr>
          <w:i/>
        </w:rPr>
        <w:t>bo</w:t>
      </w:r>
      <w:r w:rsidR="00F27287">
        <w:rPr>
          <w:i/>
        </w:rPr>
        <w:t>th the FDA and the EMA. Both health agencies</w:t>
      </w:r>
      <w:r w:rsidRPr="00A5363C">
        <w:rPr>
          <w:i/>
        </w:rPr>
        <w:t xml:space="preserve"> are obligated t</w:t>
      </w:r>
      <w:r w:rsidR="00FC1718" w:rsidRPr="00A5363C">
        <w:rPr>
          <w:i/>
        </w:rPr>
        <w:t xml:space="preserve">o consider whether the proposed </w:t>
      </w:r>
      <w:r w:rsidRPr="00A5363C">
        <w:rPr>
          <w:i/>
        </w:rPr>
        <w:t>invented name of a medicinal product could create publi</w:t>
      </w:r>
      <w:r w:rsidR="00FC1718" w:rsidRPr="00A5363C">
        <w:rPr>
          <w:i/>
        </w:rPr>
        <w:t xml:space="preserve">c health concerns and potential </w:t>
      </w:r>
      <w:r w:rsidRPr="00A5363C">
        <w:rPr>
          <w:i/>
        </w:rPr>
        <w:t>safety risks. The invented name should not conv</w:t>
      </w:r>
      <w:r w:rsidR="00FC1718" w:rsidRPr="00A5363C">
        <w:rPr>
          <w:i/>
        </w:rPr>
        <w:t xml:space="preserve">ey misleading or pharmaceutical </w:t>
      </w:r>
      <w:r w:rsidRPr="00A5363C">
        <w:rPr>
          <w:i/>
        </w:rPr>
        <w:t>connotations, and</w:t>
      </w:r>
      <w:r w:rsidR="00FC1718" w:rsidRPr="00A5363C">
        <w:rPr>
          <w:i/>
        </w:rPr>
        <w:t xml:space="preserve"> </w:t>
      </w:r>
      <w:r w:rsidRPr="00A5363C">
        <w:rPr>
          <w:i/>
        </w:rPr>
        <w:t>should not be liable to cause confusion in print, handwriting or speech with the invented name</w:t>
      </w:r>
      <w:r w:rsidR="00FC1718" w:rsidRPr="00A5363C">
        <w:rPr>
          <w:i/>
        </w:rPr>
        <w:t xml:space="preserve"> </w:t>
      </w:r>
      <w:r w:rsidRPr="00A5363C">
        <w:rPr>
          <w:i/>
        </w:rPr>
        <w:t>of an existing medicinal product.</w:t>
      </w:r>
    </w:p>
    <w:p w:rsidR="0008650D" w:rsidRPr="00A5363C" w:rsidRDefault="0008650D" w:rsidP="00F8777C">
      <w:pPr>
        <w:ind w:left="720"/>
        <w:rPr>
          <w:i/>
        </w:rPr>
      </w:pPr>
      <w:r w:rsidRPr="00A5363C">
        <w:rPr>
          <w:i/>
        </w:rPr>
        <w:t xml:space="preserve">The EMA confirmed </w:t>
      </w:r>
      <w:proofErr w:type="spellStart"/>
      <w:r w:rsidR="00313E21">
        <w:rPr>
          <w:i/>
        </w:rPr>
        <w:t>Glivec</w:t>
      </w:r>
      <w:proofErr w:type="spellEnd"/>
      <w:r w:rsidRPr="00A5363C">
        <w:rPr>
          <w:i/>
        </w:rPr>
        <w:t xml:space="preserve"> was a suitable trademark by</w:t>
      </w:r>
      <w:r w:rsidR="00FC1718" w:rsidRPr="00A5363C">
        <w:rPr>
          <w:i/>
        </w:rPr>
        <w:t xml:space="preserve"> first granting ‘pre</w:t>
      </w:r>
      <w:r w:rsidR="00313E21">
        <w:rPr>
          <w:i/>
        </w:rPr>
        <w:t xml:space="preserve"> </w:t>
      </w:r>
      <w:r w:rsidR="00FC1718" w:rsidRPr="00A5363C">
        <w:rPr>
          <w:i/>
        </w:rPr>
        <w:t xml:space="preserve">clearance’ </w:t>
      </w:r>
      <w:r w:rsidRPr="00A5363C">
        <w:rPr>
          <w:i/>
        </w:rPr>
        <w:t xml:space="preserve">status and then final approval of the </w:t>
      </w:r>
      <w:proofErr w:type="spellStart"/>
      <w:r w:rsidRPr="00A5363C">
        <w:rPr>
          <w:i/>
        </w:rPr>
        <w:t>G</w:t>
      </w:r>
      <w:r w:rsidR="00313E21">
        <w:rPr>
          <w:i/>
        </w:rPr>
        <w:t>livec</w:t>
      </w:r>
      <w:proofErr w:type="spellEnd"/>
      <w:r w:rsidRPr="00A5363C">
        <w:rPr>
          <w:i/>
        </w:rPr>
        <w:t xml:space="preserve"> trad</w:t>
      </w:r>
      <w:r w:rsidR="00FC1718" w:rsidRPr="00A5363C">
        <w:rPr>
          <w:i/>
        </w:rPr>
        <w:t xml:space="preserve">emark in November 2001. The FDA </w:t>
      </w:r>
      <w:r w:rsidRPr="00A5363C">
        <w:rPr>
          <w:i/>
        </w:rPr>
        <w:t>raised</w:t>
      </w:r>
      <w:r w:rsidR="00FC1718" w:rsidRPr="00A5363C">
        <w:rPr>
          <w:i/>
        </w:rPr>
        <w:t xml:space="preserve"> </w:t>
      </w:r>
      <w:r w:rsidRPr="00A5363C">
        <w:rPr>
          <w:i/>
        </w:rPr>
        <w:t xml:space="preserve">a concern regarding the correct pronunciation of the trademark </w:t>
      </w:r>
      <w:proofErr w:type="spellStart"/>
      <w:r w:rsidR="00313E21" w:rsidRPr="00A5363C">
        <w:rPr>
          <w:i/>
        </w:rPr>
        <w:t>G</w:t>
      </w:r>
      <w:r w:rsidR="00313E21">
        <w:rPr>
          <w:i/>
        </w:rPr>
        <w:t>livec</w:t>
      </w:r>
      <w:proofErr w:type="spellEnd"/>
      <w:r w:rsidRPr="00A5363C">
        <w:rPr>
          <w:i/>
        </w:rPr>
        <w:t xml:space="preserve"> and rejected the</w:t>
      </w:r>
      <w:r w:rsidR="00FC1718" w:rsidRPr="00A5363C">
        <w:rPr>
          <w:i/>
        </w:rPr>
        <w:t xml:space="preserve"> </w:t>
      </w:r>
      <w:r w:rsidRPr="00A5363C">
        <w:rPr>
          <w:i/>
        </w:rPr>
        <w:t xml:space="preserve">trademark. In order to overcome the FDA concern, an alternate spelling of </w:t>
      </w:r>
      <w:proofErr w:type="spellStart"/>
      <w:r w:rsidRPr="00A5363C">
        <w:rPr>
          <w:i/>
        </w:rPr>
        <w:t>G</w:t>
      </w:r>
      <w:r w:rsidR="00313E21">
        <w:rPr>
          <w:i/>
        </w:rPr>
        <w:t>livec</w:t>
      </w:r>
      <w:proofErr w:type="spellEnd"/>
      <w:r w:rsidR="00313E21">
        <w:rPr>
          <w:i/>
        </w:rPr>
        <w:t xml:space="preserve"> </w:t>
      </w:r>
      <w:r w:rsidRPr="00A5363C">
        <w:rPr>
          <w:i/>
        </w:rPr>
        <w:t>was</w:t>
      </w:r>
      <w:r w:rsidR="00FC1718" w:rsidRPr="00A5363C">
        <w:rPr>
          <w:i/>
        </w:rPr>
        <w:t xml:space="preserve"> </w:t>
      </w:r>
      <w:r w:rsidRPr="00A5363C">
        <w:rPr>
          <w:i/>
        </w:rPr>
        <w:t>propos</w:t>
      </w:r>
      <w:r w:rsidR="00F447E5">
        <w:rPr>
          <w:i/>
        </w:rPr>
        <w:t>ed, and the derivation “</w:t>
      </w:r>
      <w:proofErr w:type="spellStart"/>
      <w:r w:rsidR="00313E21" w:rsidRPr="00A5363C">
        <w:rPr>
          <w:i/>
        </w:rPr>
        <w:t>G</w:t>
      </w:r>
      <w:r w:rsidR="00313E21">
        <w:rPr>
          <w:i/>
        </w:rPr>
        <w:t>leevec</w:t>
      </w:r>
      <w:proofErr w:type="spellEnd"/>
      <w:r w:rsidRPr="00A5363C">
        <w:rPr>
          <w:i/>
        </w:rPr>
        <w:t>” was agreed between Novartis and the FDA in</w:t>
      </w:r>
      <w:r w:rsidR="00FC1718" w:rsidRPr="00A5363C">
        <w:rPr>
          <w:i/>
        </w:rPr>
        <w:t xml:space="preserve"> </w:t>
      </w:r>
      <w:r w:rsidRPr="00A5363C">
        <w:rPr>
          <w:i/>
        </w:rPr>
        <w:t>April 2001 and the trademark was subsequently approved by the FDA.</w:t>
      </w:r>
    </w:p>
    <w:p w:rsidR="0008650D" w:rsidRPr="00A5363C" w:rsidRDefault="0008650D" w:rsidP="00F8777C">
      <w:pPr>
        <w:ind w:left="720"/>
        <w:rPr>
          <w:i/>
        </w:rPr>
      </w:pPr>
      <w:r w:rsidRPr="00A5363C">
        <w:rPr>
          <w:i/>
        </w:rPr>
        <w:t xml:space="preserve">The trademark </w:t>
      </w:r>
      <w:proofErr w:type="spellStart"/>
      <w:r w:rsidR="00313E21" w:rsidRPr="00A5363C">
        <w:rPr>
          <w:i/>
        </w:rPr>
        <w:t>G</w:t>
      </w:r>
      <w:r w:rsidR="00313E21">
        <w:rPr>
          <w:i/>
        </w:rPr>
        <w:t>livec</w:t>
      </w:r>
      <w:proofErr w:type="spellEnd"/>
      <w:r w:rsidR="00F27287">
        <w:rPr>
          <w:i/>
        </w:rPr>
        <w:t xml:space="preserve"> has since been approved by health agencies</w:t>
      </w:r>
      <w:r w:rsidRPr="00A5363C">
        <w:rPr>
          <w:i/>
        </w:rPr>
        <w:t xml:space="preserve"> all over the world.</w:t>
      </w:r>
    </w:p>
    <w:p w:rsidR="0008650D" w:rsidRPr="00A5363C" w:rsidRDefault="0008650D" w:rsidP="00F8777C">
      <w:pPr>
        <w:pStyle w:val="Heading5"/>
        <w:ind w:left="720"/>
      </w:pPr>
      <w:r w:rsidRPr="00A5363C">
        <w:t>Presentation</w:t>
      </w:r>
    </w:p>
    <w:p w:rsidR="0008650D" w:rsidRPr="00A5363C" w:rsidRDefault="0008650D" w:rsidP="00F8777C">
      <w:pPr>
        <w:ind w:left="720"/>
        <w:rPr>
          <w:i/>
        </w:rPr>
      </w:pPr>
      <w:proofErr w:type="spellStart"/>
      <w:r w:rsidRPr="00A5363C">
        <w:rPr>
          <w:i/>
        </w:rPr>
        <w:t>Imatinib</w:t>
      </w:r>
      <w:proofErr w:type="spellEnd"/>
      <w:r w:rsidRPr="00A5363C">
        <w:rPr>
          <w:i/>
        </w:rPr>
        <w:t xml:space="preserve"> is currently available as two different dosage f</w:t>
      </w:r>
      <w:r w:rsidR="00FC1718" w:rsidRPr="00A5363C">
        <w:rPr>
          <w:i/>
        </w:rPr>
        <w:t xml:space="preserve">orms: hard </w:t>
      </w:r>
      <w:proofErr w:type="spellStart"/>
      <w:r w:rsidR="00FC1718" w:rsidRPr="00A5363C">
        <w:rPr>
          <w:i/>
        </w:rPr>
        <w:t>gelatin</w:t>
      </w:r>
      <w:proofErr w:type="spellEnd"/>
      <w:r w:rsidR="00FC1718" w:rsidRPr="00A5363C">
        <w:rPr>
          <w:i/>
        </w:rPr>
        <w:t xml:space="preserve"> capsules and </w:t>
      </w:r>
      <w:proofErr w:type="spellStart"/>
      <w:r w:rsidRPr="00A5363C">
        <w:rPr>
          <w:i/>
        </w:rPr>
        <w:t>filmcoated</w:t>
      </w:r>
      <w:proofErr w:type="spellEnd"/>
      <w:r w:rsidR="00FC1718" w:rsidRPr="00A5363C">
        <w:rPr>
          <w:i/>
        </w:rPr>
        <w:t xml:space="preserve"> </w:t>
      </w:r>
      <w:r w:rsidRPr="00A5363C">
        <w:rPr>
          <w:i/>
        </w:rPr>
        <w:t xml:space="preserve">tablets. The following dosage strengths are applied: 50 mg and 100 mg </w:t>
      </w:r>
      <w:proofErr w:type="spellStart"/>
      <w:r w:rsidRPr="00A5363C">
        <w:rPr>
          <w:i/>
        </w:rPr>
        <w:t>imatinib</w:t>
      </w:r>
      <w:proofErr w:type="spellEnd"/>
      <w:r w:rsidRPr="00A5363C">
        <w:rPr>
          <w:i/>
        </w:rPr>
        <w:t xml:space="preserve"> </w:t>
      </w:r>
      <w:proofErr w:type="spellStart"/>
      <w:r w:rsidRPr="00A5363C">
        <w:rPr>
          <w:i/>
        </w:rPr>
        <w:t>mesylate</w:t>
      </w:r>
      <w:proofErr w:type="spellEnd"/>
      <w:r w:rsidRPr="00A5363C">
        <w:rPr>
          <w:i/>
        </w:rPr>
        <w:t xml:space="preserve"> in the hard </w:t>
      </w:r>
      <w:proofErr w:type="spellStart"/>
      <w:r w:rsidRPr="00A5363C">
        <w:rPr>
          <w:i/>
        </w:rPr>
        <w:t>gelatin</w:t>
      </w:r>
      <w:proofErr w:type="spellEnd"/>
      <w:r w:rsidRPr="00A5363C">
        <w:rPr>
          <w:i/>
        </w:rPr>
        <w:t xml:space="preserve"> capsule formulation; 100 mg and 400 mg </w:t>
      </w:r>
      <w:proofErr w:type="spellStart"/>
      <w:r w:rsidRPr="00A5363C">
        <w:rPr>
          <w:i/>
        </w:rPr>
        <w:t>imatinib</w:t>
      </w:r>
      <w:proofErr w:type="spellEnd"/>
      <w:r w:rsidRPr="00A5363C">
        <w:rPr>
          <w:i/>
        </w:rPr>
        <w:t xml:space="preserve"> </w:t>
      </w:r>
      <w:proofErr w:type="spellStart"/>
      <w:r w:rsidRPr="00A5363C">
        <w:rPr>
          <w:i/>
        </w:rPr>
        <w:t>mesylate</w:t>
      </w:r>
      <w:proofErr w:type="spellEnd"/>
      <w:r w:rsidRPr="00A5363C">
        <w:rPr>
          <w:i/>
        </w:rPr>
        <w:t xml:space="preserve"> in the film</w:t>
      </w:r>
      <w:r w:rsidR="00F27287">
        <w:rPr>
          <w:i/>
        </w:rPr>
        <w:t xml:space="preserve"> </w:t>
      </w:r>
      <w:r w:rsidRPr="00A5363C">
        <w:rPr>
          <w:i/>
        </w:rPr>
        <w:t>coated tablets formulation. Both dosage forms are registered worldwide</w:t>
      </w:r>
      <w:r w:rsidR="00F27287">
        <w:rPr>
          <w:i/>
        </w:rPr>
        <w:t xml:space="preserve"> under the trade name of </w:t>
      </w:r>
      <w:proofErr w:type="spellStart"/>
      <w:r w:rsidR="00F27287">
        <w:rPr>
          <w:i/>
        </w:rPr>
        <w:t>Glivec</w:t>
      </w:r>
      <w:proofErr w:type="spellEnd"/>
      <w:r w:rsidR="00F27287">
        <w:rPr>
          <w:i/>
        </w:rPr>
        <w:t>/</w:t>
      </w:r>
      <w:proofErr w:type="spellStart"/>
      <w:r w:rsidR="00F27287">
        <w:rPr>
          <w:i/>
        </w:rPr>
        <w:t>Gleevec</w:t>
      </w:r>
      <w:proofErr w:type="spellEnd"/>
      <w:r w:rsidR="00F27287">
        <w:rPr>
          <w:i/>
        </w:rPr>
        <w:t xml:space="preserve">. A 400 mg divisible film </w:t>
      </w:r>
      <w:r w:rsidRPr="00A5363C">
        <w:rPr>
          <w:i/>
        </w:rPr>
        <w:t>coated tablet was approved in the US in</w:t>
      </w:r>
      <w:r w:rsidR="00FC1718" w:rsidRPr="00A5363C">
        <w:rPr>
          <w:i/>
        </w:rPr>
        <w:t xml:space="preserve"> </w:t>
      </w:r>
      <w:r w:rsidRPr="00A5363C">
        <w:rPr>
          <w:i/>
        </w:rPr>
        <w:t>December 2004.</w:t>
      </w:r>
    </w:p>
    <w:p w:rsidR="0008650D" w:rsidRPr="00A5363C" w:rsidRDefault="0008650D" w:rsidP="00F8777C">
      <w:pPr>
        <w:ind w:left="720"/>
        <w:rPr>
          <w:i/>
        </w:rPr>
      </w:pPr>
      <w:r w:rsidRPr="00A5363C">
        <w:rPr>
          <w:i/>
        </w:rPr>
        <w:t>The appearance of the different dosage forms are as follows:</w:t>
      </w:r>
    </w:p>
    <w:p w:rsidR="00FC1718" w:rsidRPr="00FA2E75" w:rsidRDefault="0008650D" w:rsidP="00FA2E75">
      <w:pPr>
        <w:pStyle w:val="ListBullet"/>
        <w:ind w:left="1418"/>
        <w:rPr>
          <w:i/>
        </w:rPr>
      </w:pPr>
      <w:r w:rsidRPr="00FA2E75">
        <w:rPr>
          <w:i/>
        </w:rPr>
        <w:lastRenderedPageBreak/>
        <w:t xml:space="preserve">a 50 mg light yellow to orange-yellow capsule, hard </w:t>
      </w:r>
      <w:proofErr w:type="spellStart"/>
      <w:r w:rsidRPr="00FA2E75">
        <w:rPr>
          <w:i/>
        </w:rPr>
        <w:t>gelatin</w:t>
      </w:r>
      <w:proofErr w:type="spellEnd"/>
      <w:r w:rsidRPr="00FA2E75">
        <w:rPr>
          <w:i/>
        </w:rPr>
        <w:t xml:space="preserve"> capsule, marked “NVR SH”</w:t>
      </w:r>
    </w:p>
    <w:p w:rsidR="00FC1718" w:rsidRPr="00FA2E75" w:rsidRDefault="0008650D" w:rsidP="00FA2E75">
      <w:pPr>
        <w:pStyle w:val="ListBullet"/>
        <w:ind w:left="1418"/>
        <w:rPr>
          <w:i/>
        </w:rPr>
      </w:pPr>
      <w:r w:rsidRPr="00FA2E75">
        <w:rPr>
          <w:i/>
        </w:rPr>
        <w:t xml:space="preserve">a 100 mg orange to </w:t>
      </w:r>
      <w:proofErr w:type="spellStart"/>
      <w:r w:rsidRPr="00FA2E75">
        <w:rPr>
          <w:i/>
        </w:rPr>
        <w:t>grayish</w:t>
      </w:r>
      <w:proofErr w:type="spellEnd"/>
      <w:r w:rsidRPr="00FA2E75">
        <w:rPr>
          <w:i/>
        </w:rPr>
        <w:t xml:space="preserve"> orange, hard </w:t>
      </w:r>
      <w:proofErr w:type="spellStart"/>
      <w:r w:rsidRPr="00FA2E75">
        <w:rPr>
          <w:i/>
        </w:rPr>
        <w:t>gelatin</w:t>
      </w:r>
      <w:proofErr w:type="spellEnd"/>
      <w:r w:rsidRPr="00FA2E75">
        <w:rPr>
          <w:i/>
        </w:rPr>
        <w:t xml:space="preserve"> capsule, marked “NVR ST”</w:t>
      </w:r>
    </w:p>
    <w:p w:rsidR="0008650D" w:rsidRPr="00FA2E75" w:rsidRDefault="0008650D" w:rsidP="00FA2E75">
      <w:pPr>
        <w:pStyle w:val="ListBullet"/>
        <w:ind w:left="1418"/>
        <w:rPr>
          <w:i/>
        </w:rPr>
      </w:pPr>
      <w:r w:rsidRPr="00FA2E75">
        <w:rPr>
          <w:i/>
        </w:rPr>
        <w:t xml:space="preserve">a 100 mg very dark yellow to brownish orange, </w:t>
      </w:r>
      <w:r w:rsidR="00F27287" w:rsidRPr="00FA2E75">
        <w:rPr>
          <w:i/>
        </w:rPr>
        <w:t xml:space="preserve">round, divisible, biconvex film </w:t>
      </w:r>
      <w:r w:rsidRPr="00FA2E75">
        <w:rPr>
          <w:i/>
        </w:rPr>
        <w:t>coated</w:t>
      </w:r>
      <w:r w:rsidR="00FC1718" w:rsidRPr="00FA2E75">
        <w:rPr>
          <w:i/>
        </w:rPr>
        <w:t xml:space="preserve"> </w:t>
      </w:r>
      <w:r w:rsidRPr="00FA2E75">
        <w:rPr>
          <w:i/>
        </w:rPr>
        <w:t xml:space="preserve">tablet with </w:t>
      </w:r>
      <w:proofErr w:type="spellStart"/>
      <w:r w:rsidRPr="00FA2E75">
        <w:rPr>
          <w:i/>
        </w:rPr>
        <w:t>beveled</w:t>
      </w:r>
      <w:proofErr w:type="spellEnd"/>
      <w:r w:rsidRPr="00FA2E75">
        <w:rPr>
          <w:i/>
        </w:rPr>
        <w:t xml:space="preserve"> edges, with imprint “NVR” on one side and “SA” and a score on the</w:t>
      </w:r>
      <w:r w:rsidR="00FC1718" w:rsidRPr="00FA2E75">
        <w:rPr>
          <w:i/>
        </w:rPr>
        <w:t xml:space="preserve"> </w:t>
      </w:r>
      <w:r w:rsidRPr="00FA2E75">
        <w:rPr>
          <w:i/>
        </w:rPr>
        <w:t>other</w:t>
      </w:r>
    </w:p>
    <w:p w:rsidR="0008650D" w:rsidRPr="00FA2E75" w:rsidRDefault="0008650D" w:rsidP="00FA2E75">
      <w:pPr>
        <w:pStyle w:val="ListBullet"/>
        <w:ind w:left="1418"/>
        <w:rPr>
          <w:i/>
        </w:rPr>
      </w:pPr>
      <w:r w:rsidRPr="00FA2E75">
        <w:rPr>
          <w:i/>
        </w:rPr>
        <w:t>a 400 mg very dark yellow t</w:t>
      </w:r>
      <w:r w:rsidR="00F27287" w:rsidRPr="00FA2E75">
        <w:rPr>
          <w:i/>
        </w:rPr>
        <w:t xml:space="preserve">o brownish orange, </w:t>
      </w:r>
      <w:proofErr w:type="spellStart"/>
      <w:r w:rsidR="00F27287" w:rsidRPr="00FA2E75">
        <w:rPr>
          <w:i/>
        </w:rPr>
        <w:t>ovaloid</w:t>
      </w:r>
      <w:proofErr w:type="spellEnd"/>
      <w:r w:rsidR="00F27287" w:rsidRPr="00FA2E75">
        <w:rPr>
          <w:i/>
        </w:rPr>
        <w:t xml:space="preserve">, non </w:t>
      </w:r>
      <w:r w:rsidRPr="00FA2E75">
        <w:rPr>
          <w:i/>
        </w:rPr>
        <w:t xml:space="preserve">divisible biconvex </w:t>
      </w:r>
      <w:proofErr w:type="spellStart"/>
      <w:r w:rsidRPr="00FA2E75">
        <w:rPr>
          <w:i/>
        </w:rPr>
        <w:t>filmcoated</w:t>
      </w:r>
      <w:proofErr w:type="spellEnd"/>
      <w:r w:rsidR="00FC1718" w:rsidRPr="00FA2E75">
        <w:rPr>
          <w:i/>
        </w:rPr>
        <w:t xml:space="preserve"> </w:t>
      </w:r>
      <w:r w:rsidRPr="00FA2E75">
        <w:rPr>
          <w:i/>
        </w:rPr>
        <w:t xml:space="preserve">tablet with </w:t>
      </w:r>
      <w:proofErr w:type="spellStart"/>
      <w:r w:rsidRPr="00FA2E75">
        <w:rPr>
          <w:i/>
        </w:rPr>
        <w:t>beveled</w:t>
      </w:r>
      <w:proofErr w:type="spellEnd"/>
      <w:r w:rsidRPr="00FA2E75">
        <w:rPr>
          <w:i/>
        </w:rPr>
        <w:t xml:space="preserve"> edges, </w:t>
      </w:r>
      <w:proofErr w:type="spellStart"/>
      <w:r w:rsidRPr="00FA2E75">
        <w:rPr>
          <w:i/>
        </w:rPr>
        <w:t>debossed</w:t>
      </w:r>
      <w:proofErr w:type="spellEnd"/>
      <w:r w:rsidRPr="00FA2E75">
        <w:rPr>
          <w:i/>
        </w:rPr>
        <w:t xml:space="preserve"> with “NVR” on one side and “SL” on the other</w:t>
      </w:r>
    </w:p>
    <w:p w:rsidR="0008650D" w:rsidRPr="00FA2E75" w:rsidRDefault="0008650D" w:rsidP="00FA2E75">
      <w:pPr>
        <w:pStyle w:val="ListBullet"/>
        <w:ind w:left="1418"/>
        <w:rPr>
          <w:i/>
        </w:rPr>
      </w:pPr>
      <w:r w:rsidRPr="00FA2E75">
        <w:rPr>
          <w:i/>
        </w:rPr>
        <w:t xml:space="preserve">a 400 mg very dark yellow to brownish orange, </w:t>
      </w:r>
      <w:proofErr w:type="spellStart"/>
      <w:r w:rsidRPr="00FA2E75">
        <w:rPr>
          <w:i/>
        </w:rPr>
        <w:t>ov</w:t>
      </w:r>
      <w:r w:rsidR="00F27287" w:rsidRPr="00FA2E75">
        <w:rPr>
          <w:i/>
        </w:rPr>
        <w:t>aloid</w:t>
      </w:r>
      <w:proofErr w:type="spellEnd"/>
      <w:r w:rsidR="00F27287" w:rsidRPr="00FA2E75">
        <w:rPr>
          <w:i/>
        </w:rPr>
        <w:t xml:space="preserve">, divisible, biconvex film </w:t>
      </w:r>
      <w:r w:rsidRPr="00FA2E75">
        <w:rPr>
          <w:i/>
        </w:rPr>
        <w:t>coated</w:t>
      </w:r>
      <w:r w:rsidR="00FC1718" w:rsidRPr="00FA2E75">
        <w:rPr>
          <w:i/>
        </w:rPr>
        <w:t xml:space="preserve"> </w:t>
      </w:r>
      <w:r w:rsidRPr="00FA2E75">
        <w:rPr>
          <w:i/>
        </w:rPr>
        <w:t xml:space="preserve">tablet with </w:t>
      </w:r>
      <w:proofErr w:type="spellStart"/>
      <w:r w:rsidRPr="00FA2E75">
        <w:rPr>
          <w:i/>
        </w:rPr>
        <w:t>beveled</w:t>
      </w:r>
      <w:proofErr w:type="spellEnd"/>
      <w:r w:rsidRPr="00FA2E75">
        <w:rPr>
          <w:i/>
        </w:rPr>
        <w:t xml:space="preserve"> edges, </w:t>
      </w:r>
      <w:proofErr w:type="spellStart"/>
      <w:r w:rsidRPr="00FA2E75">
        <w:rPr>
          <w:i/>
        </w:rPr>
        <w:t>debossed</w:t>
      </w:r>
      <w:proofErr w:type="spellEnd"/>
      <w:r w:rsidRPr="00FA2E75">
        <w:rPr>
          <w:i/>
        </w:rPr>
        <w:t xml:space="preserve"> with “400” on one sid</w:t>
      </w:r>
      <w:r w:rsidR="00FC1718" w:rsidRPr="00FA2E75">
        <w:rPr>
          <w:i/>
        </w:rPr>
        <w:t xml:space="preserve">e and a score on the other side </w:t>
      </w:r>
      <w:r w:rsidRPr="00FA2E75">
        <w:rPr>
          <w:i/>
        </w:rPr>
        <w:t>with “SL” on each side of the score</w:t>
      </w:r>
    </w:p>
    <w:p w:rsidR="0008650D" w:rsidRPr="00A5363C" w:rsidRDefault="0008650D" w:rsidP="00F8777C">
      <w:pPr>
        <w:ind w:left="720"/>
        <w:rPr>
          <w:i/>
        </w:rPr>
      </w:pPr>
      <w:r w:rsidRPr="00A5363C">
        <w:rPr>
          <w:i/>
        </w:rPr>
        <w:t>The colo</w:t>
      </w:r>
      <w:r w:rsidR="00FC1718" w:rsidRPr="00A5363C">
        <w:rPr>
          <w:i/>
        </w:rPr>
        <w:t>ur</w:t>
      </w:r>
      <w:r w:rsidRPr="00A5363C">
        <w:rPr>
          <w:i/>
        </w:rPr>
        <w:t xml:space="preserve"> and imprinting of the capsules and tablets minimi</w:t>
      </w:r>
      <w:r w:rsidR="00F27287">
        <w:rPr>
          <w:i/>
        </w:rPr>
        <w:t>s</w:t>
      </w:r>
      <w:r w:rsidRPr="00A5363C">
        <w:rPr>
          <w:i/>
        </w:rPr>
        <w:t>e the potential for any medication</w:t>
      </w:r>
      <w:r w:rsidR="00FC1718" w:rsidRPr="00A5363C">
        <w:rPr>
          <w:i/>
        </w:rPr>
        <w:t xml:space="preserve"> </w:t>
      </w:r>
      <w:r w:rsidRPr="00A5363C">
        <w:rPr>
          <w:i/>
        </w:rPr>
        <w:t>errors.</w:t>
      </w:r>
    </w:p>
    <w:p w:rsidR="0008650D" w:rsidRPr="00A5363C" w:rsidRDefault="0008650D" w:rsidP="00F8777C">
      <w:pPr>
        <w:pStyle w:val="Heading5"/>
        <w:ind w:left="720"/>
      </w:pPr>
      <w:r w:rsidRPr="00A5363C">
        <w:t>Differentiation from other products taken/administered concomitantly</w:t>
      </w:r>
    </w:p>
    <w:p w:rsidR="0008650D" w:rsidRPr="00A5363C" w:rsidRDefault="0008650D" w:rsidP="00F8777C">
      <w:pPr>
        <w:ind w:left="720"/>
        <w:rPr>
          <w:i/>
        </w:rPr>
      </w:pPr>
      <w:proofErr w:type="spellStart"/>
      <w:r w:rsidRPr="00A5363C">
        <w:rPr>
          <w:i/>
        </w:rPr>
        <w:t>Imatinib</w:t>
      </w:r>
      <w:proofErr w:type="spellEnd"/>
      <w:r w:rsidRPr="00A5363C">
        <w:rPr>
          <w:i/>
        </w:rPr>
        <w:t xml:space="preserve"> is not intended to be administered in combination with other products for this</w:t>
      </w:r>
      <w:r w:rsidR="00FC1718" w:rsidRPr="00A5363C">
        <w:rPr>
          <w:i/>
        </w:rPr>
        <w:t xml:space="preserve"> </w:t>
      </w:r>
      <w:r w:rsidRPr="00A5363C">
        <w:rPr>
          <w:i/>
        </w:rPr>
        <w:t>indication. However, it is likely that other products are adm</w:t>
      </w:r>
      <w:r w:rsidR="00FC1718" w:rsidRPr="00A5363C">
        <w:rPr>
          <w:i/>
        </w:rPr>
        <w:t xml:space="preserve">inistered concomitantly in this </w:t>
      </w:r>
      <w:r w:rsidRPr="00A5363C">
        <w:rPr>
          <w:i/>
        </w:rPr>
        <w:t>patient population. The unique colo</w:t>
      </w:r>
      <w:r w:rsidR="00FC1718" w:rsidRPr="00A5363C">
        <w:rPr>
          <w:i/>
        </w:rPr>
        <w:t>u</w:t>
      </w:r>
      <w:r w:rsidRPr="00A5363C">
        <w:rPr>
          <w:i/>
        </w:rPr>
        <w:t>r and imprinting</w:t>
      </w:r>
      <w:r w:rsidR="00FC1718" w:rsidRPr="00A5363C">
        <w:rPr>
          <w:i/>
        </w:rPr>
        <w:t xml:space="preserve"> of the capsules along with the packaging/labe</w:t>
      </w:r>
      <w:r w:rsidR="00C53E26" w:rsidRPr="00A5363C">
        <w:rPr>
          <w:i/>
        </w:rPr>
        <w:t>l</w:t>
      </w:r>
      <w:r w:rsidR="00FC1718" w:rsidRPr="00A5363C">
        <w:rPr>
          <w:i/>
        </w:rPr>
        <w:t>ling minimis</w:t>
      </w:r>
      <w:r w:rsidRPr="00A5363C">
        <w:rPr>
          <w:i/>
        </w:rPr>
        <w:t>es the potential for any medication errors.</w:t>
      </w:r>
    </w:p>
    <w:p w:rsidR="0008650D" w:rsidRPr="00A5363C" w:rsidRDefault="0008650D" w:rsidP="00F8777C">
      <w:pPr>
        <w:pStyle w:val="Heading5"/>
        <w:ind w:left="720"/>
      </w:pPr>
      <w:r w:rsidRPr="00A5363C">
        <w:t>Accidental ingestion or other unintended use</w:t>
      </w:r>
    </w:p>
    <w:p w:rsidR="0008650D" w:rsidRPr="00A5363C" w:rsidRDefault="0008650D" w:rsidP="00F8777C">
      <w:pPr>
        <w:ind w:left="720"/>
        <w:rPr>
          <w:i/>
        </w:rPr>
      </w:pPr>
      <w:r w:rsidRPr="00A5363C">
        <w:rPr>
          <w:i/>
        </w:rPr>
        <w:t xml:space="preserve">The potential for accidental ingestion or other unintended </w:t>
      </w:r>
      <w:r w:rsidR="00C53E26" w:rsidRPr="00A5363C">
        <w:rPr>
          <w:i/>
        </w:rPr>
        <w:t>use by children is minimi</w:t>
      </w:r>
      <w:r w:rsidR="00F27287">
        <w:rPr>
          <w:i/>
        </w:rPr>
        <w:t>s</w:t>
      </w:r>
      <w:r w:rsidR="00C53E26" w:rsidRPr="00A5363C">
        <w:rPr>
          <w:i/>
        </w:rPr>
        <w:t xml:space="preserve">ed by </w:t>
      </w:r>
      <w:r w:rsidRPr="00A5363C">
        <w:rPr>
          <w:i/>
        </w:rPr>
        <w:t>the</w:t>
      </w:r>
      <w:r w:rsidR="00C53E26" w:rsidRPr="00A5363C">
        <w:rPr>
          <w:i/>
        </w:rPr>
        <w:t xml:space="preserve"> </w:t>
      </w:r>
      <w:r w:rsidRPr="00A5363C">
        <w:rPr>
          <w:i/>
        </w:rPr>
        <w:t>use of child resistant high</w:t>
      </w:r>
      <w:r w:rsidR="00F27287">
        <w:rPr>
          <w:i/>
        </w:rPr>
        <w:t xml:space="preserve"> </w:t>
      </w:r>
      <w:r w:rsidRPr="00A5363C">
        <w:rPr>
          <w:i/>
        </w:rPr>
        <w:t>density polyethylene bottles.</w:t>
      </w:r>
    </w:p>
    <w:p w:rsidR="0008650D" w:rsidRPr="00A5363C" w:rsidRDefault="0008650D" w:rsidP="00F8777C">
      <w:pPr>
        <w:pStyle w:val="Heading5"/>
        <w:ind w:left="720"/>
      </w:pPr>
      <w:r w:rsidRPr="00A5363C">
        <w:t>Instructions for use</w:t>
      </w:r>
    </w:p>
    <w:p w:rsidR="0008650D" w:rsidRPr="00A5363C" w:rsidRDefault="0008650D" w:rsidP="00F8777C">
      <w:pPr>
        <w:ind w:left="720"/>
        <w:rPr>
          <w:i/>
        </w:rPr>
      </w:pPr>
      <w:proofErr w:type="spellStart"/>
      <w:r w:rsidRPr="00A5363C">
        <w:rPr>
          <w:i/>
        </w:rPr>
        <w:t>Imatinib</w:t>
      </w:r>
      <w:proofErr w:type="spellEnd"/>
      <w:r w:rsidRPr="00A5363C">
        <w:rPr>
          <w:i/>
        </w:rPr>
        <w:t xml:space="preserve"> is an oral tablet or capsule taken at the prescrib</w:t>
      </w:r>
      <w:r w:rsidR="00C53E26" w:rsidRPr="00A5363C">
        <w:rPr>
          <w:i/>
        </w:rPr>
        <w:t xml:space="preserve">ed dose with a meal and a large </w:t>
      </w:r>
      <w:r w:rsidRPr="00A5363C">
        <w:rPr>
          <w:i/>
        </w:rPr>
        <w:t>glass</w:t>
      </w:r>
      <w:r w:rsidR="00C53E26" w:rsidRPr="00A5363C">
        <w:rPr>
          <w:i/>
        </w:rPr>
        <w:t xml:space="preserve"> </w:t>
      </w:r>
      <w:r w:rsidRPr="00A5363C">
        <w:rPr>
          <w:i/>
        </w:rPr>
        <w:t>of water. Doses of 400 mg or 600 mg should be administered once daily, whereas a daily dose</w:t>
      </w:r>
      <w:r w:rsidR="00C53E26" w:rsidRPr="00A5363C">
        <w:rPr>
          <w:i/>
        </w:rPr>
        <w:t xml:space="preserve"> </w:t>
      </w:r>
      <w:r w:rsidRPr="00A5363C">
        <w:rPr>
          <w:i/>
        </w:rPr>
        <w:t>of 800 mg should be administered as 400 mg twice a day, in the morning and in the evening.</w:t>
      </w:r>
      <w:r w:rsidR="00C53E26" w:rsidRPr="00A5363C">
        <w:rPr>
          <w:i/>
        </w:rPr>
        <w:t xml:space="preserve"> </w:t>
      </w:r>
      <w:r w:rsidRPr="00A5363C">
        <w:rPr>
          <w:i/>
        </w:rPr>
        <w:t>These instructions for use minimi</w:t>
      </w:r>
      <w:r w:rsidR="009A0244" w:rsidRPr="00A5363C">
        <w:rPr>
          <w:i/>
        </w:rPr>
        <w:t>s</w:t>
      </w:r>
      <w:r w:rsidRPr="00A5363C">
        <w:rPr>
          <w:i/>
        </w:rPr>
        <w:t>e the potential for any medication errors.</w:t>
      </w:r>
    </w:p>
    <w:p w:rsidR="0008650D" w:rsidRDefault="0008650D" w:rsidP="00C53E26">
      <w:pPr>
        <w:pStyle w:val="Heading5"/>
      </w:pPr>
      <w:r>
        <w:t>OPR</w:t>
      </w:r>
      <w:r w:rsidRPr="007B529C">
        <w:t xml:space="preserve"> reviewer comment:</w:t>
      </w:r>
    </w:p>
    <w:p w:rsidR="0008650D" w:rsidRPr="00C53E26" w:rsidRDefault="0008650D" w:rsidP="00C53E26">
      <w:r w:rsidRPr="00C53E26">
        <w:t>This is acceptable.</w:t>
      </w:r>
    </w:p>
    <w:p w:rsidR="00A5363C" w:rsidRDefault="00A5363C" w:rsidP="00A5363C">
      <w:pPr>
        <w:pStyle w:val="Heading5"/>
      </w:pPr>
      <w:bookmarkStart w:id="92" w:name="_Toc328566965"/>
      <w:r>
        <w:t>Toxicity in overdose</w:t>
      </w:r>
      <w:bookmarkEnd w:id="92"/>
    </w:p>
    <w:p w:rsidR="00A5363C" w:rsidRPr="00B801D7" w:rsidRDefault="00A5363C" w:rsidP="00A5363C">
      <w:pPr>
        <w:autoSpaceDE w:val="0"/>
        <w:autoSpaceDN w:val="0"/>
        <w:adjustRightInd w:val="0"/>
      </w:pPr>
      <w:r w:rsidRPr="00B801D7">
        <w:t>In the PI it is stated:</w:t>
      </w:r>
    </w:p>
    <w:p w:rsidR="00A5363C" w:rsidRPr="005C176B" w:rsidRDefault="00A5363C" w:rsidP="00F8777C">
      <w:pPr>
        <w:autoSpaceDE w:val="0"/>
        <w:autoSpaceDN w:val="0"/>
        <w:adjustRightInd w:val="0"/>
        <w:ind w:left="720"/>
        <w:rPr>
          <w:i/>
        </w:rPr>
      </w:pPr>
      <w:r w:rsidRPr="005C176B">
        <w:rPr>
          <w:i/>
        </w:rPr>
        <w:t xml:space="preserve">Experience with higher than therapeutic doses is limited. Isolated cases of </w:t>
      </w:r>
      <w:proofErr w:type="spellStart"/>
      <w:r w:rsidRPr="005C176B">
        <w:rPr>
          <w:i/>
        </w:rPr>
        <w:t>Glivec</w:t>
      </w:r>
      <w:proofErr w:type="spellEnd"/>
      <w:r>
        <w:rPr>
          <w:i/>
        </w:rPr>
        <w:t xml:space="preserve"> </w:t>
      </w:r>
      <w:proofErr w:type="spellStart"/>
      <w:r>
        <w:rPr>
          <w:i/>
        </w:rPr>
        <w:t>overdosage</w:t>
      </w:r>
      <w:proofErr w:type="spellEnd"/>
      <w:r>
        <w:rPr>
          <w:i/>
        </w:rPr>
        <w:t xml:space="preserve"> </w:t>
      </w:r>
      <w:r w:rsidRPr="005C176B">
        <w:rPr>
          <w:i/>
        </w:rPr>
        <w:t>have been reported spontaneously and in the literature. Ge</w:t>
      </w:r>
      <w:r>
        <w:rPr>
          <w:i/>
        </w:rPr>
        <w:t xml:space="preserve">nerally the reported outcome in </w:t>
      </w:r>
      <w:r w:rsidRPr="005C176B">
        <w:rPr>
          <w:i/>
        </w:rPr>
        <w:t xml:space="preserve">these cases was improvement or recovery. In the event of </w:t>
      </w:r>
      <w:proofErr w:type="spellStart"/>
      <w:r w:rsidRPr="005C176B">
        <w:rPr>
          <w:i/>
        </w:rPr>
        <w:t>o</w:t>
      </w:r>
      <w:r>
        <w:rPr>
          <w:i/>
        </w:rPr>
        <w:t>verdosage</w:t>
      </w:r>
      <w:proofErr w:type="spellEnd"/>
      <w:r>
        <w:rPr>
          <w:i/>
        </w:rPr>
        <w:t xml:space="preserve"> the patient should be </w:t>
      </w:r>
      <w:r w:rsidRPr="005C176B">
        <w:rPr>
          <w:i/>
        </w:rPr>
        <w:t>observed and appropriate symptomatic treatment should be given.</w:t>
      </w:r>
    </w:p>
    <w:p w:rsidR="00A5363C" w:rsidRPr="005C176B" w:rsidRDefault="00A5363C" w:rsidP="00F8777C">
      <w:pPr>
        <w:autoSpaceDE w:val="0"/>
        <w:autoSpaceDN w:val="0"/>
        <w:adjustRightInd w:val="0"/>
        <w:ind w:left="720"/>
        <w:rPr>
          <w:i/>
        </w:rPr>
      </w:pPr>
      <w:r w:rsidRPr="005C176B">
        <w:rPr>
          <w:i/>
        </w:rPr>
        <w:t>Events that have been reported at different dose ranges are as follows:</w:t>
      </w:r>
    </w:p>
    <w:p w:rsidR="00A5363C" w:rsidRPr="005C176B" w:rsidRDefault="00A5363C" w:rsidP="00F8777C">
      <w:pPr>
        <w:autoSpaceDE w:val="0"/>
        <w:autoSpaceDN w:val="0"/>
        <w:adjustRightInd w:val="0"/>
        <w:ind w:left="720"/>
        <w:rPr>
          <w:i/>
        </w:rPr>
      </w:pPr>
      <w:r w:rsidRPr="005C176B">
        <w:rPr>
          <w:b/>
          <w:bCs/>
          <w:i/>
        </w:rPr>
        <w:t xml:space="preserve">Adult overdose: </w:t>
      </w:r>
      <w:r w:rsidRPr="005C176B">
        <w:rPr>
          <w:i/>
        </w:rPr>
        <w:t>1,200 to 1,600 mg (duration varying</w:t>
      </w:r>
      <w:r>
        <w:rPr>
          <w:i/>
        </w:rPr>
        <w:t xml:space="preserve"> between 1 to 10 days): Nausea, </w:t>
      </w:r>
      <w:r w:rsidRPr="005C176B">
        <w:rPr>
          <w:i/>
        </w:rPr>
        <w:t xml:space="preserve">vomiting, diarrhoea, rash, </w:t>
      </w:r>
      <w:proofErr w:type="spellStart"/>
      <w:r w:rsidRPr="005C176B">
        <w:rPr>
          <w:i/>
        </w:rPr>
        <w:t>erythema</w:t>
      </w:r>
      <w:proofErr w:type="spellEnd"/>
      <w:r w:rsidRPr="005C176B">
        <w:rPr>
          <w:i/>
        </w:rPr>
        <w:t>, oedema, sw</w:t>
      </w:r>
      <w:r>
        <w:rPr>
          <w:i/>
        </w:rPr>
        <w:t xml:space="preserve">elling, fatigue, muscle spasms, </w:t>
      </w:r>
      <w:r w:rsidRPr="005C176B">
        <w:rPr>
          <w:i/>
        </w:rPr>
        <w:t xml:space="preserve">thrombocytopenia, </w:t>
      </w:r>
      <w:proofErr w:type="spellStart"/>
      <w:r w:rsidRPr="005C176B">
        <w:rPr>
          <w:i/>
        </w:rPr>
        <w:t>pancytopenia</w:t>
      </w:r>
      <w:proofErr w:type="spellEnd"/>
      <w:r w:rsidRPr="005C176B">
        <w:rPr>
          <w:i/>
        </w:rPr>
        <w:t>, abdominal pain, headach</w:t>
      </w:r>
      <w:r>
        <w:rPr>
          <w:i/>
        </w:rPr>
        <w:t xml:space="preserve">e, decreased appetite. 1,800 to </w:t>
      </w:r>
      <w:r w:rsidRPr="005C176B">
        <w:rPr>
          <w:i/>
        </w:rPr>
        <w:t>3,200 mg (as high as 3,200 mg daily for 6 days): We</w:t>
      </w:r>
      <w:r>
        <w:rPr>
          <w:i/>
        </w:rPr>
        <w:t xml:space="preserve">akness, </w:t>
      </w:r>
      <w:proofErr w:type="spellStart"/>
      <w:r>
        <w:rPr>
          <w:i/>
        </w:rPr>
        <w:t>myalgia</w:t>
      </w:r>
      <w:proofErr w:type="spellEnd"/>
      <w:r>
        <w:rPr>
          <w:i/>
        </w:rPr>
        <w:t xml:space="preserve">, increased CPK, </w:t>
      </w:r>
      <w:r w:rsidRPr="005C176B">
        <w:rPr>
          <w:i/>
        </w:rPr>
        <w:t xml:space="preserve">increased </w:t>
      </w:r>
      <w:proofErr w:type="spellStart"/>
      <w:r w:rsidRPr="005C176B">
        <w:rPr>
          <w:i/>
        </w:rPr>
        <w:t>bilirubin</w:t>
      </w:r>
      <w:proofErr w:type="spellEnd"/>
      <w:r w:rsidRPr="005C176B">
        <w:rPr>
          <w:i/>
        </w:rPr>
        <w:t>, gastrointestinal pain. 6,400 mg (single do</w:t>
      </w:r>
      <w:r>
        <w:rPr>
          <w:i/>
        </w:rPr>
        <w:t xml:space="preserve">se): One case in the literature </w:t>
      </w:r>
      <w:r w:rsidRPr="005C176B">
        <w:rPr>
          <w:i/>
        </w:rPr>
        <w:t xml:space="preserve">reported one patient who experienced nausea, vomiting, </w:t>
      </w:r>
      <w:r>
        <w:rPr>
          <w:i/>
        </w:rPr>
        <w:lastRenderedPageBreak/>
        <w:t xml:space="preserve">abdominal pain, pyrexia, facial </w:t>
      </w:r>
      <w:r w:rsidRPr="005C176B">
        <w:rPr>
          <w:i/>
        </w:rPr>
        <w:t xml:space="preserve">swelling, </w:t>
      </w:r>
      <w:proofErr w:type="spellStart"/>
      <w:r w:rsidRPr="005C176B">
        <w:rPr>
          <w:i/>
        </w:rPr>
        <w:t>neutrophil</w:t>
      </w:r>
      <w:proofErr w:type="spellEnd"/>
      <w:r w:rsidRPr="005C176B">
        <w:rPr>
          <w:i/>
        </w:rPr>
        <w:t xml:space="preserve"> count decreased, increased </w:t>
      </w:r>
      <w:proofErr w:type="spellStart"/>
      <w:r w:rsidRPr="005C176B">
        <w:rPr>
          <w:i/>
        </w:rPr>
        <w:t>transaminases</w:t>
      </w:r>
      <w:proofErr w:type="spellEnd"/>
      <w:r w:rsidRPr="005C176B">
        <w:rPr>
          <w:i/>
        </w:rPr>
        <w:t>.</w:t>
      </w:r>
    </w:p>
    <w:p w:rsidR="00A5363C" w:rsidRPr="005C176B" w:rsidRDefault="00A5363C" w:rsidP="00F8777C">
      <w:pPr>
        <w:autoSpaceDE w:val="0"/>
        <w:autoSpaceDN w:val="0"/>
        <w:adjustRightInd w:val="0"/>
        <w:ind w:left="720"/>
        <w:rPr>
          <w:i/>
        </w:rPr>
      </w:pPr>
      <w:r w:rsidRPr="005C176B">
        <w:rPr>
          <w:i/>
        </w:rPr>
        <w:t>8 to 10 g (single dose): Vomiting and gastrointestinal pain have been reported.</w:t>
      </w:r>
    </w:p>
    <w:p w:rsidR="00A5363C" w:rsidRDefault="00A5363C" w:rsidP="00F8777C">
      <w:pPr>
        <w:autoSpaceDE w:val="0"/>
        <w:autoSpaceDN w:val="0"/>
        <w:adjustRightInd w:val="0"/>
        <w:ind w:left="720"/>
        <w:rPr>
          <w:i/>
        </w:rPr>
      </w:pPr>
      <w:r w:rsidRPr="005C176B">
        <w:rPr>
          <w:b/>
          <w:bCs/>
          <w:i/>
        </w:rPr>
        <w:t xml:space="preserve">Paediatric overdose: </w:t>
      </w:r>
      <w:r w:rsidRPr="005C176B">
        <w:rPr>
          <w:i/>
        </w:rPr>
        <w:t>One 3 year</w:t>
      </w:r>
      <w:r w:rsidR="00F27287">
        <w:rPr>
          <w:i/>
        </w:rPr>
        <w:t xml:space="preserve"> </w:t>
      </w:r>
      <w:r w:rsidRPr="005C176B">
        <w:rPr>
          <w:i/>
        </w:rPr>
        <w:t>old male exposed to a si</w:t>
      </w:r>
      <w:r>
        <w:rPr>
          <w:i/>
        </w:rPr>
        <w:t xml:space="preserve">ngle dose of 400 mg experienced </w:t>
      </w:r>
      <w:r w:rsidRPr="005C176B">
        <w:rPr>
          <w:i/>
        </w:rPr>
        <w:t xml:space="preserve">vomiting, diarrhoea and anorexia and another 3 year old male </w:t>
      </w:r>
      <w:r>
        <w:rPr>
          <w:i/>
        </w:rPr>
        <w:t xml:space="preserve">exposed to a single dose of 980 </w:t>
      </w:r>
      <w:r w:rsidRPr="005C176B">
        <w:rPr>
          <w:i/>
        </w:rPr>
        <w:t>mg dose experienced decreased white blood cell count and diarrhoea.</w:t>
      </w:r>
    </w:p>
    <w:p w:rsidR="00A5363C" w:rsidRPr="005C176B" w:rsidRDefault="00A5363C" w:rsidP="00F8777C">
      <w:pPr>
        <w:autoSpaceDE w:val="0"/>
        <w:autoSpaceDN w:val="0"/>
        <w:adjustRightInd w:val="0"/>
        <w:ind w:left="720"/>
        <w:rPr>
          <w:i/>
        </w:rPr>
      </w:pPr>
      <w:r w:rsidRPr="005C176B">
        <w:rPr>
          <w:i/>
        </w:rPr>
        <w:t>Contact the Poisons Information Centre on 13 11 26 for advice on management.</w:t>
      </w:r>
    </w:p>
    <w:p w:rsidR="00A5363C" w:rsidRDefault="00A5363C" w:rsidP="00A5363C">
      <w:pPr>
        <w:pStyle w:val="Heading5"/>
      </w:pPr>
      <w:r>
        <w:t>OPR</w:t>
      </w:r>
      <w:r w:rsidRPr="007B529C">
        <w:t xml:space="preserve"> reviewer comment:</w:t>
      </w:r>
    </w:p>
    <w:p w:rsidR="00A5363C" w:rsidRPr="005C176B" w:rsidRDefault="00A5363C" w:rsidP="00A5363C">
      <w:r w:rsidRPr="005C176B">
        <w:t>This is acceptable.</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A5363C" w:rsidRDefault="00A5363C" w:rsidP="00A5363C">
      <w:pPr>
        <w:rPr>
          <w:lang w:eastAsia="en-AU"/>
        </w:rPr>
      </w:pPr>
      <w:bookmarkStart w:id="93" w:name="_Toc314842510"/>
      <w:r>
        <w:rPr>
          <w:lang w:eastAsia="en-AU"/>
        </w:rPr>
        <w:t>The OPR provides these recommendations in the context that the submitted RMP is supportive to the application; the implementation of a RMP satisfactory to the TGA is imposed as a condition of registration; and the submitted EU-RMP and Australian</w:t>
      </w:r>
      <w:r w:rsidR="00F27287">
        <w:rPr>
          <w:lang w:eastAsia="en-AU"/>
        </w:rPr>
        <w:t xml:space="preserve"> </w:t>
      </w:r>
      <w:r>
        <w:rPr>
          <w:lang w:eastAsia="en-AU"/>
        </w:rPr>
        <w:t>specific annex is applicable without modification in Australia unless so qualified:</w:t>
      </w:r>
    </w:p>
    <w:p w:rsidR="00A5363C" w:rsidRDefault="00A5363C" w:rsidP="00FE7536">
      <w:pPr>
        <w:pStyle w:val="Heading5"/>
        <w:rPr>
          <w:lang w:eastAsia="en-AU"/>
        </w:rPr>
      </w:pPr>
      <w:r>
        <w:rPr>
          <w:lang w:eastAsia="en-AU"/>
        </w:rPr>
        <w:t>Section 8.2</w:t>
      </w:r>
    </w:p>
    <w:p w:rsidR="00A5363C" w:rsidRDefault="00A5363C" w:rsidP="00FA2E75">
      <w:pPr>
        <w:pStyle w:val="ListBullet"/>
        <w:rPr>
          <w:lang w:eastAsia="en-AU"/>
        </w:rPr>
      </w:pPr>
      <w:r>
        <w:rPr>
          <w:lang w:eastAsia="en-AU"/>
        </w:rPr>
        <w:t>Reports from the ongoing studies as part of the pharmacovigilance plan should be submitted to the TGA when available.</w:t>
      </w:r>
      <w:r w:rsidR="00F27287">
        <w:rPr>
          <w:lang w:eastAsia="en-AU"/>
        </w:rPr>
        <w:t xml:space="preserve"> </w:t>
      </w:r>
      <w:r>
        <w:rPr>
          <w:lang w:eastAsia="en-AU"/>
        </w:rPr>
        <w:t>It is also expected that any safety issues arising from the studies are cumulatively detailed in the PSUR.</w:t>
      </w:r>
    </w:p>
    <w:p w:rsidR="00A5363C" w:rsidRDefault="00A5363C" w:rsidP="00FA2E75">
      <w:pPr>
        <w:pStyle w:val="ListBullet"/>
        <w:rPr>
          <w:lang w:eastAsia="en-AU"/>
        </w:rPr>
      </w:pPr>
      <w:r>
        <w:rPr>
          <w:lang w:eastAsia="en-AU"/>
        </w:rPr>
        <w:t>Routine pharmacovigilance is currently proposed for the important potential risk ‘second malignancies in survivors’.</w:t>
      </w:r>
      <w:r w:rsidR="003B240B">
        <w:rPr>
          <w:lang w:eastAsia="en-AU"/>
        </w:rPr>
        <w:t xml:space="preserve"> </w:t>
      </w:r>
      <w:r>
        <w:rPr>
          <w:lang w:eastAsia="en-AU"/>
        </w:rPr>
        <w:t>Depending on the interpretation of the risk of prostate cancer seen in the supporting study, the Delegate may wish to consider including additional pharmacovigilance for this safety concern as a condition of registration.</w:t>
      </w:r>
    </w:p>
    <w:p w:rsidR="00A5363C" w:rsidRDefault="00A5363C" w:rsidP="00FE7536">
      <w:pPr>
        <w:pStyle w:val="Heading5"/>
        <w:rPr>
          <w:lang w:eastAsia="en-AU"/>
        </w:rPr>
      </w:pPr>
      <w:r>
        <w:rPr>
          <w:lang w:eastAsia="en-AU"/>
        </w:rPr>
        <w:t>Section 10.1</w:t>
      </w:r>
    </w:p>
    <w:p w:rsidR="00A5363C" w:rsidRDefault="00A5363C" w:rsidP="00FA2E75">
      <w:pPr>
        <w:pStyle w:val="ListBullet"/>
        <w:rPr>
          <w:lang w:eastAsia="en-AU"/>
        </w:rPr>
      </w:pPr>
      <w:r>
        <w:rPr>
          <w:lang w:eastAsia="en-AU"/>
        </w:rPr>
        <w:t>No risk minimisation activities are proposed for the important identified risk ‘</w:t>
      </w:r>
      <w:proofErr w:type="spellStart"/>
      <w:r>
        <w:rPr>
          <w:lang w:eastAsia="en-AU"/>
        </w:rPr>
        <w:t>rhabdomyolysis</w:t>
      </w:r>
      <w:proofErr w:type="spellEnd"/>
      <w:r>
        <w:rPr>
          <w:lang w:eastAsia="en-AU"/>
        </w:rPr>
        <w:t xml:space="preserve"> and </w:t>
      </w:r>
      <w:proofErr w:type="spellStart"/>
      <w:r>
        <w:rPr>
          <w:lang w:eastAsia="en-AU"/>
        </w:rPr>
        <w:t>myopathy</w:t>
      </w:r>
      <w:proofErr w:type="spellEnd"/>
      <w:r>
        <w:rPr>
          <w:lang w:eastAsia="en-AU"/>
        </w:rPr>
        <w:t>’ however “</w:t>
      </w:r>
      <w:proofErr w:type="spellStart"/>
      <w:r>
        <w:rPr>
          <w:lang w:eastAsia="en-AU"/>
        </w:rPr>
        <w:t>rhabdomyolysis</w:t>
      </w:r>
      <w:proofErr w:type="spellEnd"/>
      <w:r>
        <w:rPr>
          <w:lang w:eastAsia="en-AU"/>
        </w:rPr>
        <w:t>/</w:t>
      </w:r>
      <w:proofErr w:type="spellStart"/>
      <w:r>
        <w:rPr>
          <w:lang w:eastAsia="en-AU"/>
        </w:rPr>
        <w:t>myopathy</w:t>
      </w:r>
      <w:proofErr w:type="spellEnd"/>
      <w:r>
        <w:rPr>
          <w:lang w:eastAsia="en-AU"/>
        </w:rPr>
        <w:t>” is</w:t>
      </w:r>
      <w:r w:rsidR="00232C07">
        <w:rPr>
          <w:lang w:eastAsia="en-AU"/>
        </w:rPr>
        <w:t xml:space="preserve"> listed in the proposed PI (Adverse reactions from post </w:t>
      </w:r>
      <w:r>
        <w:rPr>
          <w:lang w:eastAsia="en-AU"/>
        </w:rPr>
        <w:t>marketing reports).</w:t>
      </w:r>
      <w:r w:rsidR="003B240B">
        <w:rPr>
          <w:lang w:eastAsia="en-AU"/>
        </w:rPr>
        <w:t xml:space="preserve"> </w:t>
      </w:r>
      <w:r>
        <w:rPr>
          <w:lang w:eastAsia="en-AU"/>
        </w:rPr>
        <w:t>This is considered to be part of routine risk minimisation and should be represented as such in the RMP.</w:t>
      </w:r>
    </w:p>
    <w:p w:rsidR="00A5363C" w:rsidRDefault="00A5363C" w:rsidP="00FA2E75">
      <w:pPr>
        <w:pStyle w:val="ListBullet"/>
        <w:rPr>
          <w:lang w:eastAsia="en-AU"/>
        </w:rPr>
      </w:pPr>
      <w:r>
        <w:rPr>
          <w:lang w:eastAsia="en-AU"/>
        </w:rPr>
        <w:t>The clinical evaluator does not support the proposed removal of the paracetamol statement from the PI.</w:t>
      </w:r>
      <w:r w:rsidR="003B240B">
        <w:rPr>
          <w:lang w:eastAsia="en-AU"/>
        </w:rPr>
        <w:t xml:space="preserve"> </w:t>
      </w:r>
      <w:r>
        <w:rPr>
          <w:lang w:eastAsia="en-AU"/>
        </w:rPr>
        <w:t>Given paracetamol is a commonly used drug and the clinical evaluator’s objection, retention of this statement is considered an important part of routine risk minimisation for this important potential interaction.</w:t>
      </w:r>
    </w:p>
    <w:p w:rsidR="00A5363C" w:rsidRDefault="00A5363C" w:rsidP="00FA2E75">
      <w:pPr>
        <w:pStyle w:val="ListBullet"/>
        <w:rPr>
          <w:lang w:eastAsia="en-AU"/>
        </w:rPr>
      </w:pPr>
      <w:r>
        <w:rPr>
          <w:lang w:eastAsia="en-AU"/>
        </w:rPr>
        <w:t xml:space="preserve">The clinical evaluator noticed that in the study supporting this application a 5 fold increase in the incidence of prostate cancer was observed in patients treated with </w:t>
      </w:r>
      <w:proofErr w:type="spellStart"/>
      <w:r>
        <w:rPr>
          <w:lang w:eastAsia="en-AU"/>
        </w:rPr>
        <w:t>imatinib</w:t>
      </w:r>
      <w:proofErr w:type="spellEnd"/>
      <w:r>
        <w:rPr>
          <w:lang w:eastAsia="en-AU"/>
        </w:rPr>
        <w:t xml:space="preserve"> for 3 years or more.</w:t>
      </w:r>
      <w:r w:rsidR="003B240B">
        <w:rPr>
          <w:lang w:eastAsia="en-AU"/>
        </w:rPr>
        <w:t xml:space="preserve"> </w:t>
      </w:r>
      <w:r>
        <w:rPr>
          <w:lang w:eastAsia="en-AU"/>
        </w:rPr>
        <w:t>Depending on the interpretation of this risk, the Delegate may wish to consider including specific risk minimisation for this safety concern as a condition of registration.</w:t>
      </w:r>
      <w:r w:rsidR="003B240B">
        <w:rPr>
          <w:lang w:eastAsia="en-AU"/>
        </w:rPr>
        <w:t xml:space="preserve"> </w:t>
      </w:r>
      <w:r>
        <w:rPr>
          <w:lang w:eastAsia="en-AU"/>
        </w:rPr>
        <w:t>This could be addressed in the form of routine risk minimisation as a statement in the PI to the satisfaction of OMA.</w:t>
      </w:r>
    </w:p>
    <w:p w:rsidR="00A5363C" w:rsidRDefault="00A5363C" w:rsidP="00A5363C">
      <w:pPr>
        <w:rPr>
          <w:lang w:eastAsia="en-AU"/>
        </w:rPr>
      </w:pPr>
      <w:r>
        <w:rPr>
          <w:lang w:eastAsia="en-AU"/>
        </w:rPr>
        <w:t xml:space="preserve">In regard to the proposed routine risk minimisation activities, it is recommended to the Delegate that the draft product information </w:t>
      </w:r>
      <w:r w:rsidR="00FA2E75">
        <w:rPr>
          <w:lang w:eastAsia="en-AU"/>
        </w:rPr>
        <w:t>document be revised as follows:</w:t>
      </w:r>
    </w:p>
    <w:p w:rsidR="00A5363C" w:rsidRDefault="00A5363C" w:rsidP="00FA2E75">
      <w:pPr>
        <w:pStyle w:val="ListBullet"/>
        <w:rPr>
          <w:lang w:eastAsia="en-AU"/>
        </w:rPr>
      </w:pPr>
      <w:r>
        <w:rPr>
          <w:lang w:eastAsia="en-AU"/>
        </w:rPr>
        <w:t>Implementation of the PI changes recommended by the clinical evaluator as appropriate</w:t>
      </w:r>
    </w:p>
    <w:p w:rsidR="00A5363C" w:rsidRDefault="00232C07" w:rsidP="00FA2E75">
      <w:pPr>
        <w:pStyle w:val="ListBullet"/>
        <w:rPr>
          <w:lang w:eastAsia="en-AU"/>
        </w:rPr>
      </w:pPr>
      <w:r>
        <w:rPr>
          <w:lang w:eastAsia="en-AU"/>
        </w:rPr>
        <w:t xml:space="preserve">The RMP </w:t>
      </w:r>
      <w:r w:rsidR="00A5363C">
        <w:rPr>
          <w:lang w:eastAsia="en-AU"/>
        </w:rPr>
        <w:t xml:space="preserve">states that across the clinical safety database for </w:t>
      </w:r>
      <w:proofErr w:type="spellStart"/>
      <w:r w:rsidR="00A5363C">
        <w:rPr>
          <w:lang w:eastAsia="en-AU"/>
        </w:rPr>
        <w:t>imatinib</w:t>
      </w:r>
      <w:proofErr w:type="spellEnd"/>
      <w:r w:rsidR="00A5363C">
        <w:rPr>
          <w:lang w:eastAsia="en-AU"/>
        </w:rPr>
        <w:t>, hypoglycaemia was observed in 44 out of 3246 patients.</w:t>
      </w:r>
      <w:r w:rsidR="003B240B">
        <w:rPr>
          <w:lang w:eastAsia="en-AU"/>
        </w:rPr>
        <w:t xml:space="preserve"> </w:t>
      </w:r>
      <w:r>
        <w:rPr>
          <w:lang w:eastAsia="en-AU"/>
        </w:rPr>
        <w:t>A total of 4</w:t>
      </w:r>
      <w:r w:rsidR="00A5363C">
        <w:rPr>
          <w:lang w:eastAsia="en-AU"/>
        </w:rPr>
        <w:t xml:space="preserve"> of these were considered to be </w:t>
      </w:r>
      <w:r w:rsidR="00A5363C">
        <w:rPr>
          <w:lang w:eastAsia="en-AU"/>
        </w:rPr>
        <w:lastRenderedPageBreak/>
        <w:t xml:space="preserve">related to </w:t>
      </w:r>
      <w:proofErr w:type="spellStart"/>
      <w:r w:rsidR="00A5363C">
        <w:rPr>
          <w:lang w:eastAsia="en-AU"/>
        </w:rPr>
        <w:t>imatinib</w:t>
      </w:r>
      <w:proofErr w:type="spellEnd"/>
      <w:r w:rsidR="00A5363C">
        <w:rPr>
          <w:lang w:eastAsia="en-AU"/>
        </w:rPr>
        <w:t>.</w:t>
      </w:r>
      <w:r w:rsidR="003B240B">
        <w:rPr>
          <w:lang w:eastAsia="en-AU"/>
        </w:rPr>
        <w:t xml:space="preserve"> </w:t>
      </w:r>
      <w:r w:rsidR="00A5363C">
        <w:rPr>
          <w:lang w:eastAsia="en-AU"/>
        </w:rPr>
        <w:t xml:space="preserve">Even though the absolute number is small, and causality cannot be absolutely established, hypoglycaemia is considered a clinically important </w:t>
      </w:r>
      <w:r>
        <w:rPr>
          <w:lang w:eastAsia="en-AU"/>
        </w:rPr>
        <w:t>AE</w:t>
      </w:r>
      <w:r w:rsidR="00A5363C">
        <w:rPr>
          <w:lang w:eastAsia="en-AU"/>
        </w:rPr>
        <w:t>. It is therefore recommended that hypoglycaemia is addressed in the PI.</w:t>
      </w:r>
      <w:r w:rsidR="003B240B">
        <w:rPr>
          <w:lang w:eastAsia="en-AU"/>
        </w:rPr>
        <w:t xml:space="preserve"> </w:t>
      </w:r>
      <w:r w:rsidR="00A5363C">
        <w:rPr>
          <w:lang w:eastAsia="en-AU"/>
        </w:rPr>
        <w:t>This would be considered a routine risk minimisation activity.</w:t>
      </w:r>
    </w:p>
    <w:p w:rsidR="008E7846" w:rsidRPr="00792A32" w:rsidRDefault="008E7846" w:rsidP="008E7846">
      <w:pPr>
        <w:pStyle w:val="Heading2"/>
      </w:pPr>
      <w:bookmarkStart w:id="94" w:name="_Toc361309727"/>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7"/>
      <w:bookmarkEnd w:id="89"/>
      <w:bookmarkEnd w:id="93"/>
      <w:bookmarkEnd w:id="94"/>
    </w:p>
    <w:p w:rsidR="008E7846" w:rsidRDefault="008E7846" w:rsidP="008E7846">
      <w:bookmarkStart w:id="95"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96" w:name="_Toc314842511"/>
      <w:bookmarkStart w:id="97" w:name="_Toc361309728"/>
      <w:r>
        <w:t>Quality</w:t>
      </w:r>
      <w:bookmarkEnd w:id="95"/>
      <w:bookmarkEnd w:id="96"/>
      <w:bookmarkEnd w:id="97"/>
    </w:p>
    <w:p w:rsidR="00E45619" w:rsidRDefault="008E7846" w:rsidP="003A7F6C">
      <w:r>
        <w:t>There was no requirement for a quality evaluation in a submission of this type.</w:t>
      </w:r>
    </w:p>
    <w:p w:rsidR="008E7846" w:rsidRDefault="008E7846" w:rsidP="008E7846">
      <w:pPr>
        <w:pStyle w:val="Heading3"/>
      </w:pPr>
      <w:bookmarkStart w:id="98" w:name="_Toc314842512"/>
      <w:bookmarkStart w:id="99" w:name="_Toc361309729"/>
      <w:r>
        <w:t>Nonclinical</w:t>
      </w:r>
      <w:bookmarkEnd w:id="98"/>
      <w:bookmarkEnd w:id="99"/>
    </w:p>
    <w:p w:rsidR="008E7846" w:rsidRDefault="008E7846" w:rsidP="008E7846">
      <w:r>
        <w:t>There was no requirement for a nonclinical evaluation in a submission of this type.</w:t>
      </w:r>
    </w:p>
    <w:p w:rsidR="008E7846" w:rsidRDefault="008E7846" w:rsidP="008E7846">
      <w:pPr>
        <w:pStyle w:val="Heading3"/>
      </w:pPr>
      <w:bookmarkStart w:id="100" w:name="_Toc247691530"/>
      <w:bookmarkStart w:id="101" w:name="_Toc314842513"/>
      <w:bookmarkStart w:id="102" w:name="_Toc361309730"/>
      <w:r>
        <w:t>Clinical</w:t>
      </w:r>
      <w:bookmarkEnd w:id="100"/>
      <w:bookmarkEnd w:id="101"/>
      <w:bookmarkEnd w:id="102"/>
    </w:p>
    <w:p w:rsidR="00351FB9" w:rsidRPr="00223D83" w:rsidRDefault="00351FB9" w:rsidP="00351FB9">
      <w:pPr>
        <w:pStyle w:val="Heading4"/>
      </w:pPr>
      <w:r w:rsidRPr="00223D83">
        <w:t>Efficacy</w:t>
      </w:r>
    </w:p>
    <w:p w:rsidR="00351FB9" w:rsidRPr="00351FB9" w:rsidRDefault="00351FB9" w:rsidP="00351FB9">
      <w:r w:rsidRPr="00351FB9">
        <w:t>A randomised, open label trial in Europe (CST1571-K2301</w:t>
      </w:r>
      <w:r w:rsidR="003C390B">
        <w:t>,</w:t>
      </w:r>
      <w:r w:rsidRPr="00351FB9">
        <w:t xml:space="preserve"> identified as SSG XVIII/AIO</w:t>
      </w:r>
      <w:r w:rsidR="00545946">
        <w:rPr>
          <w:rStyle w:val="FootnoteReference"/>
        </w:rPr>
        <w:footnoteReference w:id="5"/>
      </w:r>
      <w:r w:rsidRPr="00351FB9">
        <w:t xml:space="preserve"> in the </w:t>
      </w:r>
      <w:r w:rsidR="003C390B">
        <w:t>PI</w:t>
      </w:r>
      <w:r w:rsidRPr="00351FB9">
        <w:t xml:space="preserve">) was presented to support extension of the adjuvant treatment duration from one to three years in </w:t>
      </w:r>
      <w:r w:rsidR="00EF2E4C">
        <w:t>KIT</w:t>
      </w:r>
      <w:r w:rsidR="00DD34E7">
        <w:t xml:space="preserve"> </w:t>
      </w:r>
      <w:r w:rsidRPr="00351FB9">
        <w:t>positive GIST. The trial report has been published.</w:t>
      </w:r>
      <w:r w:rsidR="00545946">
        <w:rPr>
          <w:rStyle w:val="FootnoteReference"/>
        </w:rPr>
        <w:footnoteReference w:id="6"/>
      </w:r>
      <w:r w:rsidRPr="00351FB9">
        <w:t xml:space="preserve"> Patients with a high risk of recurrence after surgical resection received either </w:t>
      </w:r>
      <w:proofErr w:type="spellStart"/>
      <w:r w:rsidRPr="00351FB9">
        <w:t>imatinib</w:t>
      </w:r>
      <w:proofErr w:type="spellEnd"/>
      <w:r w:rsidRPr="00351FB9">
        <w:t xml:space="preserve"> 400 mg/day orally for 1 year or 3 years. High risk was defined as one of:</w:t>
      </w:r>
    </w:p>
    <w:p w:rsidR="00351FB9" w:rsidRPr="00351FB9" w:rsidRDefault="00351FB9" w:rsidP="00FA2E75">
      <w:pPr>
        <w:pStyle w:val="ListBullet"/>
      </w:pPr>
      <w:r w:rsidRPr="00351FB9">
        <w:t>Tumour diameter &gt; 10 cm</w:t>
      </w:r>
    </w:p>
    <w:p w:rsidR="00351FB9" w:rsidRPr="00351FB9" w:rsidRDefault="00351FB9" w:rsidP="00FA2E75">
      <w:pPr>
        <w:pStyle w:val="ListBullet"/>
      </w:pPr>
      <w:r w:rsidRPr="00351FB9">
        <w:t>Mitotic count &gt; 10/50 high power fields (HPF)</w:t>
      </w:r>
    </w:p>
    <w:p w:rsidR="00351FB9" w:rsidRPr="00351FB9" w:rsidRDefault="00351FB9" w:rsidP="00FA2E75">
      <w:pPr>
        <w:pStyle w:val="ListBullet"/>
      </w:pPr>
      <w:r w:rsidRPr="00351FB9">
        <w:t>Tumour diameter &gt; 5 cm and mitotic count &gt; 5/50 HPF</w:t>
      </w:r>
    </w:p>
    <w:p w:rsidR="00351FB9" w:rsidRPr="00351FB9" w:rsidRDefault="00351FB9" w:rsidP="00FA2E75">
      <w:pPr>
        <w:pStyle w:val="ListBullet"/>
      </w:pPr>
      <w:r w:rsidRPr="00351FB9">
        <w:t>Tumour rupture into the peritoneal cavity.</w:t>
      </w:r>
    </w:p>
    <w:p w:rsidR="00351FB9" w:rsidRPr="00351FB9" w:rsidRDefault="00351FB9" w:rsidP="00351FB9">
      <w:r w:rsidRPr="00351FB9">
        <w:t>The proportion of male and female patients was similar and the median age was 61 years (range 22-84).</w:t>
      </w:r>
    </w:p>
    <w:p w:rsidR="00351FB9" w:rsidRPr="00351FB9" w:rsidRDefault="00351FB9" w:rsidP="00351FB9">
      <w:r w:rsidRPr="00351FB9">
        <w:t>The primary endpoin</w:t>
      </w:r>
      <w:r w:rsidR="00D564C6">
        <w:t xml:space="preserve">t was </w:t>
      </w:r>
      <w:r w:rsidRPr="00351FB9">
        <w:t xml:space="preserve">RFS defined from date of randomisation to date of recurrence or death from any cause. Recurrence was confirmed </w:t>
      </w:r>
      <w:proofErr w:type="spellStart"/>
      <w:r w:rsidRPr="00351FB9">
        <w:t>histologically</w:t>
      </w:r>
      <w:proofErr w:type="spellEnd"/>
      <w:r w:rsidRPr="00351FB9">
        <w:t xml:space="preserve"> or </w:t>
      </w:r>
      <w:proofErr w:type="spellStart"/>
      <w:r w:rsidRPr="00351FB9">
        <w:t>radiologically</w:t>
      </w:r>
      <w:proofErr w:type="spellEnd"/>
      <w:r w:rsidRPr="00351FB9">
        <w:t xml:space="preserve">. The longer duration of treatment significantly increased RFS and also </w:t>
      </w:r>
      <w:r w:rsidR="00983E45">
        <w:t>OS</w:t>
      </w:r>
      <w:r w:rsidRPr="00351FB9">
        <w:t xml:space="preserve"> (Table </w:t>
      </w:r>
      <w:r w:rsidR="008C0543">
        <w:t>4</w:t>
      </w:r>
      <w:r w:rsidRPr="00351FB9">
        <w:t>.</w:t>
      </w:r>
    </w:p>
    <w:p w:rsidR="00351FB9" w:rsidRDefault="000454DE" w:rsidP="00FA2E75">
      <w:pPr>
        <w:pStyle w:val="TableTitle"/>
        <w:rPr>
          <w:lang w:val="en-GB"/>
        </w:rPr>
      </w:pPr>
      <w:r>
        <w:br w:type="page"/>
      </w:r>
      <w:r w:rsidR="00351FB9">
        <w:lastRenderedPageBreak/>
        <w:t xml:space="preserve">Table </w:t>
      </w:r>
      <w:r w:rsidR="008C0543">
        <w:t>4</w:t>
      </w:r>
      <w:r w:rsidR="00351FB9">
        <w:t>:</w:t>
      </w:r>
      <w:r w:rsidR="00351FB9" w:rsidRPr="004C5C28">
        <w:t xml:space="preserve"> </w:t>
      </w:r>
      <w:r w:rsidR="00351FB9" w:rsidRPr="00351FB9">
        <w:t>SSG XVIII/AIO Trial – Efficacy Results – Modified Intent-to-Treat</w:t>
      </w:r>
      <w:r w:rsidR="00351FB9">
        <w:t>.</w:t>
      </w:r>
    </w:p>
    <w:p w:rsidR="008E7846" w:rsidRDefault="002C5336" w:rsidP="00FA2E75">
      <w:r>
        <w:rPr>
          <w:noProof/>
          <w:lang w:eastAsia="en-AU"/>
        </w:rPr>
        <w:drawing>
          <wp:inline distT="0" distB="0" distL="0" distR="0">
            <wp:extent cx="5400675" cy="1724025"/>
            <wp:effectExtent l="19050" t="0" r="9525" b="0"/>
            <wp:docPr id="8" name="Picture 8" descr="Table 4: SSG XVIII/AIO Trial – Efficacy Results – Modified Intent-to-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
                    <pic:cNvPicPr>
                      <a:picLocks noChangeAspect="1" noChangeArrowheads="1"/>
                    </pic:cNvPicPr>
                  </pic:nvPicPr>
                  <pic:blipFill>
                    <a:blip r:embed="rId21" cstate="print"/>
                    <a:srcRect/>
                    <a:stretch>
                      <a:fillRect/>
                    </a:stretch>
                  </pic:blipFill>
                  <pic:spPr bwMode="auto">
                    <a:xfrm>
                      <a:off x="0" y="0"/>
                      <a:ext cx="5400675" cy="1724025"/>
                    </a:xfrm>
                    <a:prstGeom prst="rect">
                      <a:avLst/>
                    </a:prstGeom>
                    <a:noFill/>
                    <a:ln w="9525">
                      <a:noFill/>
                      <a:miter lim="800000"/>
                      <a:headEnd/>
                      <a:tailEnd/>
                    </a:ln>
                  </pic:spPr>
                </pic:pic>
              </a:graphicData>
            </a:graphic>
          </wp:inline>
        </w:drawing>
      </w:r>
    </w:p>
    <w:p w:rsidR="00351FB9" w:rsidRPr="00351FB9" w:rsidRDefault="00351FB9" w:rsidP="00351FB9">
      <w:pPr>
        <w:pStyle w:val="Notes"/>
      </w:pPr>
      <w:r>
        <w:t>T</w:t>
      </w:r>
      <w:r w:rsidRPr="00351FB9">
        <w:t>hree randomised patients (one from the 1</w:t>
      </w:r>
      <w:r w:rsidR="008C0543">
        <w:t xml:space="preserve"> </w:t>
      </w:r>
      <w:r w:rsidRPr="00351FB9">
        <w:t>year group and two from the 3</w:t>
      </w:r>
      <w:r w:rsidR="008C0543">
        <w:t xml:space="preserve"> </w:t>
      </w:r>
      <w:r w:rsidRPr="00351FB9">
        <w:t>year group) did not give informed consent and were excluded. Medians and percentages are Kaplan-Meier estimates and Hazard Ratios are Cox regression estimates (3</w:t>
      </w:r>
      <w:r w:rsidR="008C0543">
        <w:t xml:space="preserve"> </w:t>
      </w:r>
      <w:r w:rsidRPr="00351FB9">
        <w:t>year/1</w:t>
      </w:r>
      <w:r w:rsidR="008C0543">
        <w:t xml:space="preserve"> </w:t>
      </w:r>
      <w:r w:rsidRPr="00351FB9">
        <w:t>year). NR: Not Reached.</w:t>
      </w:r>
    </w:p>
    <w:p w:rsidR="00314ABA" w:rsidRPr="00314ABA" w:rsidRDefault="008C0543" w:rsidP="00314ABA">
      <w:r>
        <w:t xml:space="preserve">A total of </w:t>
      </w:r>
      <w:r w:rsidR="00314ABA" w:rsidRPr="00314ABA">
        <w:t>21% of patients in the 1</w:t>
      </w:r>
      <w:r>
        <w:t xml:space="preserve"> </w:t>
      </w:r>
      <w:r w:rsidR="00314ABA" w:rsidRPr="00314ABA">
        <w:t>year arm and 16% i</w:t>
      </w:r>
      <w:r w:rsidR="00531C3D">
        <w:t xml:space="preserve">n the 3-year arm were not “high </w:t>
      </w:r>
      <w:r w:rsidR="00314ABA" w:rsidRPr="00314ABA">
        <w:t>risk” according to the modified Fletcher classification used in the trial. Sensitivity analyses were done in patients classified as “high</w:t>
      </w:r>
      <w:r w:rsidR="00531C3D">
        <w:t xml:space="preserve"> </w:t>
      </w:r>
      <w:r w:rsidR="00314ABA" w:rsidRPr="00314ABA">
        <w:t xml:space="preserve">risk” according to central review using the modified Fletcher risk classification and the more recent </w:t>
      </w:r>
      <w:proofErr w:type="spellStart"/>
      <w:r w:rsidR="00314ABA" w:rsidRPr="00314ABA">
        <w:t>Miettinen</w:t>
      </w:r>
      <w:proofErr w:type="spellEnd"/>
      <w:r w:rsidR="00314ABA" w:rsidRPr="00314ABA">
        <w:t xml:space="preserve"> classification. Both showed a similar effect on RFS to the primary analysis: </w:t>
      </w:r>
      <w:r w:rsidR="00531C3D">
        <w:t>HR</w:t>
      </w:r>
      <w:r w:rsidR="00314ABA" w:rsidRPr="00314ABA">
        <w:t xml:space="preserve"> 0.46, 95% CI [0.32, 0.66] with the modified Fletcher classification and 0.43, 95% CI [0.30, 0.62] wit</w:t>
      </w:r>
      <w:r w:rsidR="00531C3D">
        <w:t xml:space="preserve">h the </w:t>
      </w:r>
      <w:proofErr w:type="spellStart"/>
      <w:r w:rsidR="00531C3D">
        <w:t>Miettinen</w:t>
      </w:r>
      <w:proofErr w:type="spellEnd"/>
      <w:r w:rsidR="00531C3D">
        <w:t xml:space="preserve"> classification</w:t>
      </w:r>
      <w:r w:rsidR="00314ABA" w:rsidRPr="00314ABA">
        <w:t xml:space="preserve">. The </w:t>
      </w:r>
      <w:r w:rsidR="00531C3D">
        <w:t>HRs</w:t>
      </w:r>
      <w:r w:rsidR="00314ABA" w:rsidRPr="00314ABA">
        <w:t xml:space="preserve"> for low to intermediate risk patients </w:t>
      </w:r>
      <w:proofErr w:type="gramStart"/>
      <w:r w:rsidR="00314ABA" w:rsidRPr="00314ABA">
        <w:t>were</w:t>
      </w:r>
      <w:proofErr w:type="gramEnd"/>
      <w:r w:rsidR="00314ABA" w:rsidRPr="00314ABA">
        <w:t xml:space="preserve"> unreliable due to small numbers and few recurrences. The benefit of </w:t>
      </w:r>
      <w:proofErr w:type="spellStart"/>
      <w:r w:rsidR="00314ABA" w:rsidRPr="00314ABA">
        <w:t>ima</w:t>
      </w:r>
      <w:r w:rsidR="00531C3D">
        <w:t>tinib</w:t>
      </w:r>
      <w:proofErr w:type="spellEnd"/>
      <w:r w:rsidR="00531C3D">
        <w:t xml:space="preserve"> in low to intermediate </w:t>
      </w:r>
      <w:r w:rsidR="00314ABA" w:rsidRPr="00314ABA">
        <w:t>risk pati</w:t>
      </w:r>
      <w:r w:rsidR="00531C3D">
        <w:t xml:space="preserve">ents is lower than that in high </w:t>
      </w:r>
      <w:r w:rsidR="00314ABA" w:rsidRPr="00314ABA">
        <w:t>risk patients because of the lower incidence of rec</w:t>
      </w:r>
      <w:r w:rsidR="00531C3D">
        <w:t xml:space="preserve">urrence in low to intermediate </w:t>
      </w:r>
      <w:r w:rsidR="00314ABA" w:rsidRPr="00314ABA">
        <w:t>risk patients.</w:t>
      </w:r>
    </w:p>
    <w:p w:rsidR="00314ABA" w:rsidRPr="00314ABA" w:rsidRDefault="00314ABA" w:rsidP="00314ABA">
      <w:pPr>
        <w:pStyle w:val="Heading4"/>
      </w:pPr>
      <w:r w:rsidRPr="00314ABA">
        <w:t>Safety</w:t>
      </w:r>
    </w:p>
    <w:p w:rsidR="00314ABA" w:rsidRPr="00314ABA" w:rsidRDefault="00314ABA" w:rsidP="00FA2E75">
      <w:r w:rsidRPr="00314ABA">
        <w:t>The major safety data was from the pivotal trial (SSG XVIII/AIO). The safety population consisted of patients who received at lea</w:t>
      </w:r>
      <w:r w:rsidR="00531C3D">
        <w:t xml:space="preserve">st one dose of study treatment: 194 for the 1 </w:t>
      </w:r>
      <w:r w:rsidRPr="00314ABA">
        <w:t xml:space="preserve">year </w:t>
      </w:r>
      <w:proofErr w:type="spellStart"/>
      <w:r w:rsidRPr="00314ABA">
        <w:t>i</w:t>
      </w:r>
      <w:r w:rsidR="00531C3D">
        <w:t>matinib</w:t>
      </w:r>
      <w:proofErr w:type="spellEnd"/>
      <w:r w:rsidR="00531C3D">
        <w:t xml:space="preserve"> group and 198 for the 3 </w:t>
      </w:r>
      <w:r w:rsidRPr="00314ABA">
        <w:t xml:space="preserve">year </w:t>
      </w:r>
      <w:proofErr w:type="spellStart"/>
      <w:r w:rsidRPr="00314ABA">
        <w:t>imatinib</w:t>
      </w:r>
      <w:proofErr w:type="spellEnd"/>
      <w:r w:rsidRPr="00314ABA">
        <w:t xml:space="preserve"> group. There was a higher incidence of severe (Grade 3-4) and </w:t>
      </w:r>
      <w:r w:rsidR="00531C3D">
        <w:t>SAEs</w:t>
      </w:r>
      <w:r w:rsidRPr="00314ABA">
        <w:t xml:space="preserve"> in the 3</w:t>
      </w:r>
      <w:r w:rsidR="00531C3D">
        <w:t xml:space="preserve"> </w:t>
      </w:r>
      <w:r w:rsidRPr="00314ABA">
        <w:t>year group than the 1</w:t>
      </w:r>
      <w:r w:rsidR="00531C3D">
        <w:t xml:space="preserve"> </w:t>
      </w:r>
      <w:r w:rsidRPr="00314ABA">
        <w:t xml:space="preserve">year group but this was expected because of </w:t>
      </w:r>
      <w:r w:rsidR="00531C3D">
        <w:t>the longer duration of treatment</w:t>
      </w:r>
      <w:r w:rsidRPr="00314ABA">
        <w:t xml:space="preserve">. </w:t>
      </w:r>
      <w:r w:rsidR="00531C3D">
        <w:t xml:space="preserve">Discontinuations due to AEs were also greater in the 3 year group (13.6%) than the 1 </w:t>
      </w:r>
      <w:r w:rsidR="00FA2E75">
        <w:t>year group (7.7%).</w:t>
      </w:r>
    </w:p>
    <w:p w:rsidR="00314ABA" w:rsidRPr="00314ABA" w:rsidRDefault="00EE7622" w:rsidP="00314ABA">
      <w:r>
        <w:t>AEs</w:t>
      </w:r>
      <w:r w:rsidR="00314ABA" w:rsidRPr="00314ABA">
        <w:t xml:space="preserve"> were generally consistent with the known safety profile of </w:t>
      </w:r>
      <w:proofErr w:type="spellStart"/>
      <w:r w:rsidR="00314ABA" w:rsidRPr="00314ABA">
        <w:t>imatinib</w:t>
      </w:r>
      <w:proofErr w:type="spellEnd"/>
      <w:r w:rsidR="00314ABA" w:rsidRPr="00314ABA">
        <w:t xml:space="preserve"> except for the incidences of haematological, liver and renal abnormalities in the 1</w:t>
      </w:r>
      <w:r>
        <w:t xml:space="preserve"> </w:t>
      </w:r>
      <w:r w:rsidR="00314ABA" w:rsidRPr="00314ABA">
        <w:t>year group of the pivotal trial being about twice those seen in the previous 1</w:t>
      </w:r>
      <w:r>
        <w:t xml:space="preserve"> </w:t>
      </w:r>
      <w:r w:rsidR="00314ABA" w:rsidRPr="00314ABA">
        <w:t xml:space="preserve">year adjuvant trial Z9001 (cited in the </w:t>
      </w:r>
      <w:r>
        <w:t>PI</w:t>
      </w:r>
      <w:r w:rsidR="00314ABA" w:rsidRPr="00314ABA">
        <w:t xml:space="preserve">). The incidences of these </w:t>
      </w:r>
      <w:r>
        <w:t>AEs</w:t>
      </w:r>
      <w:r w:rsidR="00314ABA" w:rsidRPr="00314ABA">
        <w:t xml:space="preserve"> were even higher in the 3</w:t>
      </w:r>
      <w:r>
        <w:t xml:space="preserve"> </w:t>
      </w:r>
      <w:r w:rsidR="00314ABA" w:rsidRPr="00314ABA">
        <w:t>year group. There was insufficient data to assess long</w:t>
      </w:r>
      <w:r>
        <w:t xml:space="preserve"> </w:t>
      </w:r>
      <w:r w:rsidR="00314ABA" w:rsidRPr="00314ABA">
        <w:t>term safety.</w:t>
      </w:r>
    </w:p>
    <w:p w:rsidR="00314ABA" w:rsidRPr="00314ABA" w:rsidRDefault="00314ABA" w:rsidP="00314ABA">
      <w:r w:rsidRPr="00314ABA">
        <w:t>There appeared to be an increased ri</w:t>
      </w:r>
      <w:r w:rsidR="00EE7622">
        <w:t xml:space="preserve">sk of prostate cancer with long </w:t>
      </w:r>
      <w:r w:rsidRPr="00314ABA">
        <w:t xml:space="preserve">term use of </w:t>
      </w:r>
      <w:proofErr w:type="spellStart"/>
      <w:r w:rsidRPr="00314ABA">
        <w:t>ima</w:t>
      </w:r>
      <w:r w:rsidR="00EE7622">
        <w:t>tinib</w:t>
      </w:r>
      <w:proofErr w:type="spellEnd"/>
      <w:r w:rsidRPr="00314ABA">
        <w:t xml:space="preserve">. The sponsor responded that the analysis had several limitations including that the study was relatively small and there were few cases of prostate cancer. An updated epidemiology report with data from several studies will be available in </w:t>
      </w:r>
      <w:r w:rsidR="00EE7622">
        <w:t>December 2012</w:t>
      </w:r>
      <w:r w:rsidRPr="00314ABA">
        <w:t>.</w:t>
      </w:r>
    </w:p>
    <w:p w:rsidR="00314ABA" w:rsidRPr="00314ABA" w:rsidRDefault="00314ABA" w:rsidP="00314ABA">
      <w:r w:rsidRPr="00314ABA">
        <w:t>The evaluator recommended approval of the new indication.</w:t>
      </w:r>
    </w:p>
    <w:p w:rsidR="008E7846" w:rsidRDefault="00386150" w:rsidP="008E7846">
      <w:pPr>
        <w:pStyle w:val="Heading3"/>
        <w:rPr>
          <w:lang w:eastAsia="en-AU"/>
        </w:rPr>
      </w:pPr>
      <w:bookmarkStart w:id="103" w:name="_Toc314842514"/>
      <w:bookmarkStart w:id="104" w:name="_Toc361309731"/>
      <w:r>
        <w:rPr>
          <w:lang w:eastAsia="en-AU"/>
        </w:rPr>
        <w:t>Risk m</w:t>
      </w:r>
      <w:r w:rsidR="008E7846">
        <w:rPr>
          <w:lang w:eastAsia="en-AU"/>
        </w:rPr>
        <w:t xml:space="preserve">anagement </w:t>
      </w:r>
      <w:r>
        <w:rPr>
          <w:lang w:eastAsia="en-AU"/>
        </w:rPr>
        <w:t>p</w:t>
      </w:r>
      <w:r w:rsidR="008E7846">
        <w:rPr>
          <w:lang w:eastAsia="en-AU"/>
        </w:rPr>
        <w:t>lan</w:t>
      </w:r>
      <w:bookmarkEnd w:id="103"/>
      <w:bookmarkEnd w:id="104"/>
    </w:p>
    <w:p w:rsidR="00D40F5C" w:rsidRPr="00D40F5C" w:rsidRDefault="00D40F5C" w:rsidP="00D40F5C">
      <w:r w:rsidRPr="00D40F5C">
        <w:t>The RMP proposed is the EU RMP version 5, data lock point 10 May 2011, and an Australian Specific Annex version 5, dated 4 November 2011. This was acceptable to the TGA</w:t>
      </w:r>
      <w:r w:rsidR="00B91D0B">
        <w:t xml:space="preserve"> OPR</w:t>
      </w:r>
      <w:r w:rsidRPr="00D40F5C">
        <w:t>.</w:t>
      </w:r>
    </w:p>
    <w:p w:rsidR="008E7846" w:rsidRDefault="00AA0ED0" w:rsidP="008E7846">
      <w:pPr>
        <w:pStyle w:val="Heading3"/>
      </w:pPr>
      <w:bookmarkStart w:id="105" w:name="_Toc247691531"/>
      <w:bookmarkStart w:id="106" w:name="_Toc314842515"/>
      <w:bookmarkStart w:id="107" w:name="_Toc196046505"/>
      <w:bookmarkStart w:id="108" w:name="_Toc196046949"/>
      <w:bookmarkStart w:id="109" w:name="_Toc361309732"/>
      <w:r>
        <w:lastRenderedPageBreak/>
        <w:t>Risk-benefit a</w:t>
      </w:r>
      <w:r w:rsidR="008E7846">
        <w:t>nalysis</w:t>
      </w:r>
      <w:bookmarkEnd w:id="105"/>
      <w:bookmarkEnd w:id="106"/>
      <w:bookmarkEnd w:id="109"/>
    </w:p>
    <w:p w:rsidR="008E7846" w:rsidRDefault="008E7846" w:rsidP="008E7846">
      <w:pPr>
        <w:pStyle w:val="Heading4"/>
      </w:pPr>
      <w:r>
        <w:t xml:space="preserve">Delegate </w:t>
      </w:r>
      <w:r w:rsidR="00ED3CAD">
        <w:t>c</w:t>
      </w:r>
      <w:r>
        <w:t>onsiderations</w:t>
      </w:r>
    </w:p>
    <w:p w:rsidR="00D40F5C" w:rsidRPr="00D40F5C" w:rsidRDefault="00D40F5C" w:rsidP="00D40F5C">
      <w:r w:rsidRPr="00D40F5C">
        <w:t xml:space="preserve">An increase in the duration of adjuvant </w:t>
      </w:r>
      <w:proofErr w:type="spellStart"/>
      <w:r w:rsidRPr="00D40F5C">
        <w:t>imatinib</w:t>
      </w:r>
      <w:proofErr w:type="spellEnd"/>
      <w:r w:rsidRPr="00D40F5C">
        <w:t xml:space="preserve"> treatment from one to three years in patients with </w:t>
      </w:r>
      <w:r w:rsidR="00AD1170">
        <w:t>KIT</w:t>
      </w:r>
      <w:r w:rsidR="00106A25">
        <w:t xml:space="preserve"> </w:t>
      </w:r>
      <w:r w:rsidRPr="00D40F5C">
        <w:t xml:space="preserve">positive GIST significantly increased RFS and </w:t>
      </w:r>
      <w:r w:rsidR="00983E45">
        <w:t>OS</w:t>
      </w:r>
      <w:r w:rsidR="00106A25">
        <w:t xml:space="preserve"> in a randomised, open </w:t>
      </w:r>
      <w:r w:rsidRPr="00D40F5C">
        <w:t xml:space="preserve">label trial (SSG XVIII/AIO). The median RFS and </w:t>
      </w:r>
      <w:r w:rsidR="00983E45">
        <w:t>OS</w:t>
      </w:r>
      <w:r w:rsidRPr="00D40F5C">
        <w:t xml:space="preserve"> in the 3</w:t>
      </w:r>
      <w:r w:rsidR="00106A25">
        <w:t xml:space="preserve"> </w:t>
      </w:r>
      <w:r w:rsidRPr="00D40F5C">
        <w:t>year group had not been reached after a median follow</w:t>
      </w:r>
      <w:r w:rsidR="00106A25">
        <w:t xml:space="preserve"> </w:t>
      </w:r>
      <w:r w:rsidRPr="00D40F5C">
        <w:t>up of 4.5 years. The majority of patients in the trial were assessed as having a high risk of disease recurrence according to the modified Fletcher criteria.</w:t>
      </w:r>
    </w:p>
    <w:p w:rsidR="00D40F5C" w:rsidRPr="00D40F5C" w:rsidRDefault="00D40F5C" w:rsidP="00D40F5C">
      <w:r w:rsidRPr="00D40F5C">
        <w:t>There was an in</w:t>
      </w:r>
      <w:r w:rsidR="00106A25">
        <w:t>creased incidence of SAEs</w:t>
      </w:r>
      <w:r w:rsidRPr="00D40F5C">
        <w:t xml:space="preserve"> with the longer duration of treatment and increased discontinuations from treatment. Deficiencies in the data precluded proper assessment of long</w:t>
      </w:r>
      <w:r w:rsidR="00106A25">
        <w:t xml:space="preserve"> </w:t>
      </w:r>
      <w:r w:rsidRPr="00D40F5C">
        <w:t>term safety.</w:t>
      </w:r>
    </w:p>
    <w:p w:rsidR="00D40F5C" w:rsidRDefault="00D40F5C" w:rsidP="00D40F5C">
      <w:r w:rsidRPr="00D40F5C">
        <w:t>The benefit-risk balance is in favour of approval of three y</w:t>
      </w:r>
      <w:r w:rsidR="00106A25">
        <w:t xml:space="preserve">ears adjuvant treatment in high </w:t>
      </w:r>
      <w:r w:rsidRPr="00D40F5C">
        <w:t>risk GI</w:t>
      </w:r>
      <w:r w:rsidR="00106A25">
        <w:t xml:space="preserve">ST patients. There were few low to intermediate </w:t>
      </w:r>
      <w:r w:rsidRPr="00D40F5C">
        <w:t>risk patients in the trial. The benefit in these patients was less certain and likely to be lower because of fewer recurrences. The toxicity of the drug is likely to outweigh the benefit in this group. The optimal duration of treatment remains to be determined</w:t>
      </w:r>
      <w:r>
        <w:t>.</w:t>
      </w:r>
    </w:p>
    <w:p w:rsidR="00D40F5C" w:rsidRDefault="00D40F5C" w:rsidP="00D40F5C">
      <w:pPr>
        <w:pStyle w:val="Heading4"/>
      </w:pPr>
      <w:r>
        <w:t>Draft decision</w:t>
      </w:r>
    </w:p>
    <w:p w:rsidR="00D40F5C" w:rsidRDefault="00106A25" w:rsidP="00D40F5C">
      <w:r>
        <w:t>The Delegate</w:t>
      </w:r>
      <w:r w:rsidR="00D40F5C">
        <w:t xml:space="preserve"> recommend</w:t>
      </w:r>
      <w:r>
        <w:t>s</w:t>
      </w:r>
      <w:r w:rsidR="00D40F5C">
        <w:t xml:space="preserve"> approval of the extension of </w:t>
      </w:r>
      <w:proofErr w:type="spellStart"/>
      <w:r w:rsidR="00D40F5C">
        <w:t>imatinib</w:t>
      </w:r>
      <w:proofErr w:type="spellEnd"/>
      <w:r w:rsidR="00D40F5C">
        <w:t xml:space="preserve"> (</w:t>
      </w:r>
      <w:proofErr w:type="spellStart"/>
      <w:r w:rsidR="00D40F5C">
        <w:t>Glivec</w:t>
      </w:r>
      <w:proofErr w:type="spellEnd"/>
      <w:r w:rsidR="00D40F5C">
        <w:t>) treatment to 3 years but with the indication restricted as follows:</w:t>
      </w:r>
    </w:p>
    <w:p w:rsidR="00D40F5C" w:rsidRDefault="00D40F5C" w:rsidP="00FA2E75">
      <w:pPr>
        <w:pStyle w:val="ListBullet"/>
      </w:pPr>
      <w:r>
        <w:t xml:space="preserve">Adjuvant treatment of adult patients at high risk of recurrence following complete gross resection of </w:t>
      </w:r>
      <w:r w:rsidR="00AD1170">
        <w:t>KIT</w:t>
      </w:r>
      <w:r>
        <w:t xml:space="preserve"> (CD117)</w:t>
      </w:r>
      <w:r w:rsidR="00106A25">
        <w:t xml:space="preserve"> </w:t>
      </w:r>
      <w:r>
        <w:t>positive primary GIST (see Clinical Trials).</w:t>
      </w:r>
    </w:p>
    <w:p w:rsidR="00D40F5C" w:rsidRDefault="00D40F5C" w:rsidP="00D40F5C">
      <w:r>
        <w:t>Approval should be subject to finalisation of the product information.</w:t>
      </w:r>
    </w:p>
    <w:p w:rsidR="00D40F5C" w:rsidRDefault="00D40F5C" w:rsidP="00D40F5C">
      <w:r>
        <w:t>Proposed conditions of registration:</w:t>
      </w:r>
    </w:p>
    <w:p w:rsidR="00D40F5C" w:rsidRDefault="00D40F5C" w:rsidP="00FA2E75">
      <w:pPr>
        <w:pStyle w:val="ListBullet"/>
      </w:pPr>
      <w:r>
        <w:t xml:space="preserve">Implementation of the EU RMP version 5, data lock point 10 May 2011, and an Australian Specific Annex version 5, dated 4 November 2011, and subsequent revisions as agreed with the </w:t>
      </w:r>
      <w:r w:rsidR="00106A25">
        <w:t>OPR</w:t>
      </w:r>
      <w:r>
        <w:t>.</w:t>
      </w:r>
    </w:p>
    <w:p w:rsidR="00D40F5C" w:rsidRDefault="00D40F5C" w:rsidP="00FA2E75">
      <w:pPr>
        <w:pStyle w:val="ListBullet"/>
      </w:pPr>
      <w:r>
        <w:t xml:space="preserve">Submission of the epidemiology report on the association between </w:t>
      </w:r>
      <w:proofErr w:type="spellStart"/>
      <w:r>
        <w:t>imatinib</w:t>
      </w:r>
      <w:proofErr w:type="spellEnd"/>
      <w:r>
        <w:t xml:space="preserve"> and prostate cancer when available (due December 2012).</w:t>
      </w:r>
    </w:p>
    <w:p w:rsidR="003E0BB9" w:rsidRPr="00D40F5C" w:rsidRDefault="003E0BB9" w:rsidP="003E0BB9">
      <w:proofErr w:type="gramStart"/>
      <w:r>
        <w:t>that</w:t>
      </w:r>
      <w:proofErr w:type="gramEnd"/>
      <w:r>
        <w:t xml:space="preserve"> were submitted to the ACPM for advice.</w:t>
      </w:r>
    </w:p>
    <w:p w:rsidR="008E7846" w:rsidRDefault="008E7846" w:rsidP="008E7846">
      <w:pPr>
        <w:pStyle w:val="Heading4"/>
      </w:pPr>
      <w:r>
        <w:t xml:space="preserve">Response from </w:t>
      </w:r>
      <w:r w:rsidR="004F0920">
        <w:t>s</w:t>
      </w:r>
      <w:r>
        <w:t>ponsor</w:t>
      </w:r>
    </w:p>
    <w:p w:rsidR="008E7846" w:rsidRDefault="00F447E5" w:rsidP="00402020">
      <w:r>
        <w:t>Presented here is the Novartis p</w:t>
      </w:r>
      <w:r w:rsidR="00402020" w:rsidRPr="00402020">
        <w:t>re</w:t>
      </w:r>
      <w:r>
        <w:t xml:space="preserve"> </w:t>
      </w:r>
      <w:r w:rsidR="00402020" w:rsidRPr="00402020">
        <w:t xml:space="preserve">ACPM </w:t>
      </w:r>
      <w:r>
        <w:t>r</w:t>
      </w:r>
      <w:r w:rsidR="00402020" w:rsidRPr="00402020">
        <w:t>esponse to the TGA Delegate’s overview</w:t>
      </w:r>
      <w:r w:rsidR="00402020">
        <w:t xml:space="preserve"> </w:t>
      </w:r>
      <w:r w:rsidR="00402020" w:rsidRPr="00402020">
        <w:t>and Request for ACPM Advice in relation to our Category 1 Application to vary the</w:t>
      </w:r>
      <w:r w:rsidR="00402020">
        <w:t xml:space="preserve"> </w:t>
      </w:r>
      <w:r w:rsidR="003E0BB9">
        <w:t xml:space="preserve">conditions of Registration for the </w:t>
      </w:r>
      <w:r w:rsidR="00402020" w:rsidRPr="00402020">
        <w:t xml:space="preserve">extension to the </w:t>
      </w:r>
      <w:r>
        <w:t xml:space="preserve">duration of treatment of </w:t>
      </w:r>
      <w:proofErr w:type="spellStart"/>
      <w:r>
        <w:t>G</w:t>
      </w:r>
      <w:r w:rsidR="00D6219D">
        <w:t>livec</w:t>
      </w:r>
      <w:proofErr w:type="spellEnd"/>
      <w:r w:rsidR="00402020">
        <w:t xml:space="preserve"> </w:t>
      </w:r>
      <w:proofErr w:type="spellStart"/>
      <w:r w:rsidR="00402020" w:rsidRPr="00402020">
        <w:t>imatinib</w:t>
      </w:r>
      <w:proofErr w:type="spellEnd"/>
      <w:r w:rsidR="00402020" w:rsidRPr="00402020">
        <w:t xml:space="preserve"> (as </w:t>
      </w:r>
      <w:proofErr w:type="spellStart"/>
      <w:r w:rsidR="00402020" w:rsidRPr="00402020">
        <w:t>mesylate</w:t>
      </w:r>
      <w:proofErr w:type="spellEnd"/>
      <w:r w:rsidR="00402020" w:rsidRPr="00402020">
        <w:t>) capsules and tablets in adult patients with adjuvant</w:t>
      </w:r>
      <w:r w:rsidR="00402020">
        <w:t xml:space="preserve"> </w:t>
      </w:r>
      <w:r w:rsidR="00402020" w:rsidRPr="00402020">
        <w:t xml:space="preserve">gastrointestinal </w:t>
      </w:r>
      <w:proofErr w:type="spellStart"/>
      <w:r w:rsidR="00402020" w:rsidRPr="00402020">
        <w:t>stromal</w:t>
      </w:r>
      <w:proofErr w:type="spellEnd"/>
      <w:r w:rsidR="00402020" w:rsidRPr="00402020">
        <w:t xml:space="preserve"> tumours (GIST). Where appropriate, our comments have been</w:t>
      </w:r>
      <w:r w:rsidR="00402020">
        <w:t xml:space="preserve"> </w:t>
      </w:r>
      <w:r w:rsidR="00402020" w:rsidRPr="00402020">
        <w:t>cross</w:t>
      </w:r>
      <w:r w:rsidR="0087675F">
        <w:t xml:space="preserve"> </w:t>
      </w:r>
      <w:r w:rsidR="00402020" w:rsidRPr="00402020">
        <w:t>referenced to the Delegate’s overview (DO), the clinical evaluation report (CER),</w:t>
      </w:r>
      <w:r w:rsidR="00402020">
        <w:t xml:space="preserve"> </w:t>
      </w:r>
      <w:r w:rsidR="00402020" w:rsidRPr="00402020">
        <w:t>nonclinical evaluation report (NER) and the risk management plan evaluation report</w:t>
      </w:r>
      <w:r w:rsidR="00402020">
        <w:t xml:space="preserve"> </w:t>
      </w:r>
      <w:r w:rsidR="00402020" w:rsidRPr="00402020">
        <w:t>(RER)</w:t>
      </w:r>
      <w:r w:rsidR="00D6219D">
        <w:t>,</w:t>
      </w:r>
      <w:r w:rsidR="00402020" w:rsidRPr="00402020">
        <w:t xml:space="preserve"> or to our submission for marketing authorisation (MA).</w:t>
      </w:r>
    </w:p>
    <w:p w:rsidR="000545B3" w:rsidRDefault="000545B3" w:rsidP="000545B3">
      <w:pPr>
        <w:pStyle w:val="Heading5"/>
        <w:rPr>
          <w:lang w:eastAsia="en-AU"/>
        </w:rPr>
      </w:pPr>
      <w:r>
        <w:rPr>
          <w:lang w:eastAsia="en-AU"/>
        </w:rPr>
        <w:t>Introduction</w:t>
      </w:r>
    </w:p>
    <w:p w:rsidR="000545B3" w:rsidRDefault="000545B3" w:rsidP="000545B3">
      <w:r w:rsidRPr="000545B3">
        <w:t>Novartis welcomes the TGA Delegate’s recommendation to approve the extension of</w:t>
      </w:r>
      <w:r>
        <w:t xml:space="preserve"> </w:t>
      </w:r>
      <w:r w:rsidRPr="000545B3">
        <w:t xml:space="preserve">treatment to 3 years with </w:t>
      </w:r>
      <w:proofErr w:type="spellStart"/>
      <w:r w:rsidR="00D6219D">
        <w:t>Glivec</w:t>
      </w:r>
      <w:proofErr w:type="spellEnd"/>
      <w:r w:rsidRPr="000545B3">
        <w:t xml:space="preserve"> in adult patients w</w:t>
      </w:r>
      <w:r>
        <w:t xml:space="preserve">ith GIST. However, the Delegate </w:t>
      </w:r>
      <w:r w:rsidRPr="000545B3">
        <w:t>recommends restricting this indication to patient</w:t>
      </w:r>
      <w:r>
        <w:t>s with high risk of recurrence.</w:t>
      </w:r>
    </w:p>
    <w:p w:rsidR="00627ED3" w:rsidRDefault="000545B3" w:rsidP="000545B3">
      <w:r w:rsidRPr="000545B3">
        <w:lastRenderedPageBreak/>
        <w:t>Novartis maintain that the data from Study CSTI571BFI03 (SSG XVIII/AIO) supports</w:t>
      </w:r>
      <w:r>
        <w:t xml:space="preserve"> </w:t>
      </w:r>
      <w:r w:rsidRPr="000545B3">
        <w:t>the treatment of patients who are also non</w:t>
      </w:r>
      <w:r w:rsidR="00627ED3">
        <w:t xml:space="preserve"> h</w:t>
      </w:r>
      <w:r w:rsidRPr="000545B3">
        <w:t xml:space="preserve">igh risk. The </w:t>
      </w:r>
      <w:r w:rsidR="00627ED3">
        <w:t>c</w:t>
      </w:r>
      <w:r w:rsidRPr="000545B3">
        <w:t xml:space="preserve">linical </w:t>
      </w:r>
      <w:r w:rsidR="00627ED3">
        <w:t>e</w:t>
      </w:r>
      <w:r w:rsidRPr="000545B3">
        <w:t>valuator has not</w:t>
      </w:r>
      <w:r>
        <w:t xml:space="preserve"> </w:t>
      </w:r>
      <w:r w:rsidRPr="000545B3">
        <w:t>recommended a restriction to high risk patients in his e</w:t>
      </w:r>
      <w:r w:rsidR="00627ED3">
        <w:t>valuation report:</w:t>
      </w:r>
    </w:p>
    <w:p w:rsidR="00627ED3" w:rsidRPr="00627ED3" w:rsidRDefault="000545B3" w:rsidP="00627ED3">
      <w:pPr>
        <w:ind w:left="720"/>
        <w:rPr>
          <w:i/>
        </w:rPr>
      </w:pPr>
      <w:r w:rsidRPr="00627ED3">
        <w:rPr>
          <w:i/>
        </w:rPr>
        <w:t>“The increase in the duration of treatment of adult patients following</w:t>
      </w:r>
      <w:r w:rsidR="00AD1170">
        <w:rPr>
          <w:i/>
        </w:rPr>
        <w:t xml:space="preserve"> complete gross resection of </w:t>
      </w:r>
      <w:r w:rsidR="00AD1170" w:rsidRPr="00AD1170">
        <w:t>KIT</w:t>
      </w:r>
      <w:r w:rsidRPr="00AD1170">
        <w:t xml:space="preserve"> </w:t>
      </w:r>
      <w:r w:rsidRPr="00627ED3">
        <w:rPr>
          <w:i/>
        </w:rPr>
        <w:t>(CD117)</w:t>
      </w:r>
      <w:r w:rsidR="00627ED3">
        <w:rPr>
          <w:i/>
        </w:rPr>
        <w:t xml:space="preserve"> </w:t>
      </w:r>
      <w:r w:rsidRPr="00627ED3">
        <w:rPr>
          <w:i/>
        </w:rPr>
        <w:t xml:space="preserve">positive primary GIST with </w:t>
      </w:r>
      <w:proofErr w:type="spellStart"/>
      <w:r w:rsidRPr="00627ED3">
        <w:rPr>
          <w:i/>
        </w:rPr>
        <w:t>Glivec</w:t>
      </w:r>
      <w:proofErr w:type="spellEnd"/>
      <w:r w:rsidRPr="00627ED3">
        <w:rPr>
          <w:i/>
        </w:rPr>
        <w:t xml:space="preserve">, 400 mg daily, </w:t>
      </w:r>
      <w:r w:rsidR="00627ED3">
        <w:rPr>
          <w:i/>
        </w:rPr>
        <w:t xml:space="preserve">from 12 </w:t>
      </w:r>
      <w:r w:rsidRPr="00627ED3">
        <w:rPr>
          <w:i/>
        </w:rPr>
        <w:t>month</w:t>
      </w:r>
      <w:r w:rsidR="00627ED3" w:rsidRPr="00627ED3">
        <w:rPr>
          <w:i/>
        </w:rPr>
        <w:t>s to 36</w:t>
      </w:r>
      <w:r w:rsidR="00627ED3">
        <w:rPr>
          <w:i/>
        </w:rPr>
        <w:t xml:space="preserve"> </w:t>
      </w:r>
      <w:r w:rsidR="00627ED3" w:rsidRPr="00627ED3">
        <w:rPr>
          <w:i/>
        </w:rPr>
        <w:t>months is acceptable.”</w:t>
      </w:r>
    </w:p>
    <w:p w:rsidR="000545B3" w:rsidRPr="000545B3" w:rsidRDefault="000545B3" w:rsidP="000545B3">
      <w:r w:rsidRPr="000545B3">
        <w:t>This is discussed further in the</w:t>
      </w:r>
      <w:r>
        <w:t xml:space="preserve"> section below. We request that </w:t>
      </w:r>
      <w:r w:rsidRPr="000545B3">
        <w:t>the committee and the Delegate not restrict the patient p</w:t>
      </w:r>
      <w:r>
        <w:t xml:space="preserve">opulation via the change to the </w:t>
      </w:r>
      <w:r w:rsidRPr="000545B3">
        <w:t xml:space="preserve">wording in the indication recommended in the </w:t>
      </w:r>
      <w:r w:rsidR="00041C4D">
        <w:t>DO</w:t>
      </w:r>
      <w:r w:rsidRPr="000545B3">
        <w:t>.</w:t>
      </w:r>
    </w:p>
    <w:p w:rsidR="00402020" w:rsidRDefault="000545B3" w:rsidP="000545B3">
      <w:r w:rsidRPr="000545B3">
        <w:t>Other issues raised by the Delegate in the DO are al</w:t>
      </w:r>
      <w:r>
        <w:t xml:space="preserve">so addressed below. For ease of </w:t>
      </w:r>
      <w:r w:rsidRPr="000545B3">
        <w:t>reference, the Delegate’s comments are transcribed in italics.</w:t>
      </w:r>
    </w:p>
    <w:p w:rsidR="000D405E" w:rsidRPr="000D405E" w:rsidRDefault="000D405E" w:rsidP="00FA2E75">
      <w:pPr>
        <w:pStyle w:val="Heading4"/>
      </w:pPr>
      <w:r w:rsidRPr="000D405E">
        <w:t>Response to issues raised in the Delegate’s overview</w:t>
      </w:r>
    </w:p>
    <w:p w:rsidR="000D405E" w:rsidRPr="000D405E" w:rsidRDefault="000D405E" w:rsidP="00FA2E75">
      <w:pPr>
        <w:pStyle w:val="Heading5"/>
      </w:pPr>
      <w:r w:rsidRPr="000D405E">
        <w:t>Indication</w:t>
      </w:r>
    </w:p>
    <w:p w:rsidR="000D405E" w:rsidRPr="000235E2" w:rsidRDefault="00EE4FA7" w:rsidP="000D405E">
      <w:pPr>
        <w:rPr>
          <w:i/>
        </w:rPr>
      </w:pPr>
      <w:r>
        <w:rPr>
          <w:i/>
        </w:rPr>
        <w:t>The Delegate</w:t>
      </w:r>
      <w:r w:rsidR="000D405E" w:rsidRPr="000235E2">
        <w:rPr>
          <w:i/>
        </w:rPr>
        <w:t xml:space="preserve"> recommend</w:t>
      </w:r>
      <w:r>
        <w:rPr>
          <w:i/>
        </w:rPr>
        <w:t>s</w:t>
      </w:r>
      <w:r w:rsidR="000D405E" w:rsidRPr="000235E2">
        <w:rPr>
          <w:i/>
        </w:rPr>
        <w:t xml:space="preserve"> approval of the extension of </w:t>
      </w:r>
      <w:proofErr w:type="spellStart"/>
      <w:r w:rsidR="000D405E" w:rsidRPr="000235E2">
        <w:rPr>
          <w:i/>
        </w:rPr>
        <w:t>imatinib</w:t>
      </w:r>
      <w:proofErr w:type="spellEnd"/>
      <w:r w:rsidR="000D405E" w:rsidRPr="000235E2">
        <w:rPr>
          <w:i/>
        </w:rPr>
        <w:t xml:space="preserve"> (</w:t>
      </w:r>
      <w:proofErr w:type="spellStart"/>
      <w:r w:rsidR="000D405E" w:rsidRPr="000235E2">
        <w:rPr>
          <w:i/>
        </w:rPr>
        <w:t>Glivec</w:t>
      </w:r>
      <w:proofErr w:type="spellEnd"/>
      <w:r w:rsidR="000D405E" w:rsidRPr="000235E2">
        <w:rPr>
          <w:i/>
        </w:rPr>
        <w:t>) treatment to 3 years but with the following indication restricted as follows: Adjuvant treatment of adult patients at high risk of recurrence following</w:t>
      </w:r>
      <w:r w:rsidR="00AD1170">
        <w:rPr>
          <w:i/>
        </w:rPr>
        <w:t xml:space="preserve"> complete gross resection of </w:t>
      </w:r>
      <w:r w:rsidR="00AD1170">
        <w:t>KIT</w:t>
      </w:r>
      <w:r>
        <w:rPr>
          <w:i/>
        </w:rPr>
        <w:t xml:space="preserve"> (CD117) </w:t>
      </w:r>
      <w:r w:rsidR="000D405E" w:rsidRPr="000235E2">
        <w:rPr>
          <w:i/>
        </w:rPr>
        <w:t>positive primary GIST (see Clinical Trials).</w:t>
      </w:r>
    </w:p>
    <w:p w:rsidR="000D405E" w:rsidRPr="000D405E" w:rsidRDefault="000D405E" w:rsidP="000F5468">
      <w:pPr>
        <w:pStyle w:val="Heading5"/>
      </w:pPr>
      <w:r w:rsidRPr="000D405E">
        <w:t>Efficacy</w:t>
      </w:r>
    </w:p>
    <w:p w:rsidR="000D405E" w:rsidRPr="000235E2" w:rsidRDefault="000D405E" w:rsidP="000D405E">
      <w:pPr>
        <w:rPr>
          <w:i/>
        </w:rPr>
      </w:pPr>
      <w:r w:rsidRPr="000235E2">
        <w:rPr>
          <w:i/>
        </w:rPr>
        <w:t xml:space="preserve">The benefit of </w:t>
      </w:r>
      <w:proofErr w:type="spellStart"/>
      <w:r w:rsidRPr="000235E2">
        <w:rPr>
          <w:i/>
        </w:rPr>
        <w:t>imatinib</w:t>
      </w:r>
      <w:proofErr w:type="spellEnd"/>
      <w:r w:rsidRPr="000235E2">
        <w:rPr>
          <w:i/>
        </w:rPr>
        <w:t xml:space="preserve"> in low</w:t>
      </w:r>
      <w:r w:rsidR="00EE4FA7">
        <w:rPr>
          <w:i/>
        </w:rPr>
        <w:t xml:space="preserve"> to intermediate </w:t>
      </w:r>
      <w:r w:rsidRPr="000235E2">
        <w:rPr>
          <w:i/>
        </w:rPr>
        <w:t>risk patients is lower than that in high</w:t>
      </w:r>
      <w:r w:rsidR="00EE4FA7">
        <w:rPr>
          <w:i/>
        </w:rPr>
        <w:t xml:space="preserve"> </w:t>
      </w:r>
      <w:r w:rsidRPr="000235E2">
        <w:rPr>
          <w:i/>
        </w:rPr>
        <w:t>risk patients because of the lower</w:t>
      </w:r>
      <w:r w:rsidR="00EE4FA7">
        <w:rPr>
          <w:i/>
        </w:rPr>
        <w:t xml:space="preserve"> incidence of recurrence in low to intermediate </w:t>
      </w:r>
      <w:r w:rsidRPr="000235E2">
        <w:rPr>
          <w:i/>
        </w:rPr>
        <w:t>risk patients.</w:t>
      </w:r>
    </w:p>
    <w:p w:rsidR="000D405E" w:rsidRPr="000D405E" w:rsidRDefault="000D405E" w:rsidP="000D405E">
      <w:pPr>
        <w:pStyle w:val="Heading6"/>
      </w:pPr>
      <w:r w:rsidRPr="000D405E">
        <w:t>Sponsor’s comment:</w:t>
      </w:r>
    </w:p>
    <w:p w:rsidR="00F65DC5" w:rsidRPr="00F65DC5" w:rsidRDefault="000D405E" w:rsidP="00F65DC5">
      <w:r w:rsidRPr="000D405E">
        <w:t>Novartis concur with the Delegate regarding the lower incidence of recurrence in low</w:t>
      </w:r>
      <w:r w:rsidR="00EE4FA7">
        <w:t xml:space="preserve"> </w:t>
      </w:r>
      <w:r w:rsidRPr="000D405E">
        <w:t>to</w:t>
      </w:r>
      <w:r>
        <w:t xml:space="preserve"> </w:t>
      </w:r>
      <w:r w:rsidR="00EE4FA7">
        <w:t xml:space="preserve">intermediate </w:t>
      </w:r>
      <w:r w:rsidRPr="000D405E">
        <w:t>risk patients. However, this does n</w:t>
      </w:r>
      <w:r>
        <w:t xml:space="preserve">ot preclude these patients from </w:t>
      </w:r>
      <w:r w:rsidRPr="000D405E">
        <w:t xml:space="preserve">recurrence or benefit from </w:t>
      </w:r>
      <w:proofErr w:type="spellStart"/>
      <w:r w:rsidRPr="000D405E">
        <w:t>imatinib</w:t>
      </w:r>
      <w:proofErr w:type="spellEnd"/>
      <w:r w:rsidRPr="000D405E">
        <w:t>. This risk</w:t>
      </w:r>
      <w:r>
        <w:t xml:space="preserve"> should be based on physician’s </w:t>
      </w:r>
      <w:r w:rsidRPr="000D405E">
        <w:t>assessment. The indication should therefore not be restricted to high risk patients only.</w:t>
      </w:r>
      <w:r>
        <w:t xml:space="preserve"> </w:t>
      </w:r>
      <w:r w:rsidRPr="000D405E">
        <w:t>The current approval in this disease is based on Study Z9001, a multicentre, double</w:t>
      </w:r>
      <w:r w:rsidR="00F65DC5">
        <w:t xml:space="preserve"> </w:t>
      </w:r>
      <w:r w:rsidR="00F65DC5" w:rsidRPr="00F65DC5">
        <w:t xml:space="preserve">blind, placebo controlled </w:t>
      </w:r>
      <w:r w:rsidR="00EE4FA7">
        <w:t>P</w:t>
      </w:r>
      <w:r w:rsidR="00F65DC5" w:rsidRPr="00F65DC5">
        <w:t>hase III study in adjuvant GIST patients. This approval</w:t>
      </w:r>
      <w:r w:rsidR="00F65DC5">
        <w:t xml:space="preserve"> </w:t>
      </w:r>
      <w:r w:rsidR="00F65DC5" w:rsidRPr="00F65DC5">
        <w:t>allows all risk categories of patients to be treated for a period of one year. The</w:t>
      </w:r>
      <w:r w:rsidR="00F65DC5">
        <w:t xml:space="preserve"> </w:t>
      </w:r>
      <w:r w:rsidR="00F65DC5" w:rsidRPr="00F65DC5">
        <w:t>Delegate has recommended a restriction of indication based on Study CSTI571BFI03,</w:t>
      </w:r>
      <w:r w:rsidR="00F65DC5">
        <w:t xml:space="preserve"> </w:t>
      </w:r>
      <w:r w:rsidR="00F65DC5" w:rsidRPr="00F65DC5">
        <w:t>an open</w:t>
      </w:r>
      <w:r w:rsidR="00EE4FA7">
        <w:t xml:space="preserve"> </w:t>
      </w:r>
      <w:r w:rsidR="00F65DC5" w:rsidRPr="00F65DC5">
        <w:t xml:space="preserve">label </w:t>
      </w:r>
      <w:r w:rsidR="00EE4FA7">
        <w:t>P</w:t>
      </w:r>
      <w:r w:rsidR="00F65DC5" w:rsidRPr="00F65DC5">
        <w:t>hase III study.</w:t>
      </w:r>
    </w:p>
    <w:p w:rsidR="00F65DC5" w:rsidRDefault="00F65DC5" w:rsidP="00F65DC5">
      <w:r w:rsidRPr="00F65DC5">
        <w:t xml:space="preserve">As identified by the </w:t>
      </w:r>
      <w:r w:rsidR="00215224">
        <w:t>c</w:t>
      </w:r>
      <w:r w:rsidRPr="00F65DC5">
        <w:t xml:space="preserve">linical </w:t>
      </w:r>
      <w:r w:rsidR="00215224">
        <w:t>e</w:t>
      </w:r>
      <w:r w:rsidRPr="00F65DC5">
        <w:t>valuator, the risk classification utilis</w:t>
      </w:r>
      <w:r>
        <w:t xml:space="preserve">ed in study </w:t>
      </w:r>
      <w:r w:rsidRPr="00F65DC5">
        <w:t>CSTI571BFI03 changed, so depending on which classif</w:t>
      </w:r>
      <w:r>
        <w:t xml:space="preserve">ication was used, the number of </w:t>
      </w:r>
      <w:r w:rsidRPr="00F65DC5">
        <w:t>high</w:t>
      </w:r>
      <w:r w:rsidR="00215224">
        <w:t xml:space="preserve"> </w:t>
      </w:r>
      <w:r w:rsidRPr="00F65DC5">
        <w:t>risk patients also changed. In this trial, using a mo</w:t>
      </w:r>
      <w:r>
        <w:t xml:space="preserve">dified Fletcher classification, </w:t>
      </w:r>
      <w:r w:rsidRPr="00F65DC5">
        <w:t xml:space="preserve">82% were high risk compared to the 66% identified under the modified </w:t>
      </w:r>
      <w:proofErr w:type="spellStart"/>
      <w:r w:rsidRPr="00F65DC5">
        <w:t>Miettenen</w:t>
      </w:r>
      <w:proofErr w:type="spellEnd"/>
      <w:r>
        <w:t xml:space="preserve"> </w:t>
      </w:r>
      <w:r w:rsidRPr="00F65DC5">
        <w:t>classification.</w:t>
      </w:r>
    </w:p>
    <w:p w:rsidR="00F65DC5" w:rsidRPr="00F65DC5" w:rsidRDefault="00F65DC5" w:rsidP="00F65DC5">
      <w:r w:rsidRPr="00F65DC5">
        <w:t>Furthermore, there is a lack of consensus regarding risk classification globally. The use</w:t>
      </w:r>
      <w:r>
        <w:t xml:space="preserve"> </w:t>
      </w:r>
      <w:r w:rsidRPr="00F65DC5">
        <w:t>of the term “high risk” to describe the patient population can have multiple</w:t>
      </w:r>
      <w:r>
        <w:t xml:space="preserve"> </w:t>
      </w:r>
      <w:r w:rsidRPr="00F65DC5">
        <w:t>interpretations, ultimately leading to confusion in terms of treatment selection. There</w:t>
      </w:r>
      <w:r>
        <w:t xml:space="preserve"> </w:t>
      </w:r>
      <w:r w:rsidRPr="00F65DC5">
        <w:t>are currently at least five classification systems used in clinical and research practice in</w:t>
      </w:r>
      <w:r>
        <w:t xml:space="preserve"> </w:t>
      </w:r>
      <w:r w:rsidRPr="00F65DC5">
        <w:t>Australia. These include the original NIH (National Institute of Health) criteria; AFIP</w:t>
      </w:r>
      <w:r>
        <w:t xml:space="preserve"> </w:t>
      </w:r>
      <w:r w:rsidRPr="00F65DC5">
        <w:t xml:space="preserve">(Armed Forces Institute of Pathology), modified NIH criteria, </w:t>
      </w:r>
      <w:proofErr w:type="spellStart"/>
      <w:r w:rsidRPr="00F65DC5">
        <w:t>Joensuu</w:t>
      </w:r>
      <w:proofErr w:type="spellEnd"/>
      <w:r w:rsidRPr="00F65DC5">
        <w:t xml:space="preserve"> classification,</w:t>
      </w:r>
      <w:r>
        <w:t xml:space="preserve"> </w:t>
      </w:r>
      <w:r w:rsidRPr="00F65DC5">
        <w:t xml:space="preserve">and the Gold </w:t>
      </w:r>
      <w:proofErr w:type="spellStart"/>
      <w:r w:rsidRPr="00F65DC5">
        <w:t>nomogram</w:t>
      </w:r>
      <w:proofErr w:type="spellEnd"/>
      <w:r w:rsidRPr="00F65DC5">
        <w:t>. Each system has its own interpretation of prognostic factors</w:t>
      </w:r>
      <w:r>
        <w:t xml:space="preserve"> </w:t>
      </w:r>
      <w:r w:rsidRPr="00F65DC5">
        <w:t>including tumour size, mitotic rate, tumour location, or presence of tumour rupture.</w:t>
      </w:r>
      <w:r>
        <w:t xml:space="preserve"> </w:t>
      </w:r>
      <w:r w:rsidRPr="00F65DC5">
        <w:t>The protocol for Study CSTI571BFI03 implemented the modified NIH consensus</w:t>
      </w:r>
      <w:r>
        <w:t xml:space="preserve"> </w:t>
      </w:r>
      <w:r w:rsidRPr="00F65DC5">
        <w:t>criteria in assessing patient eligibility for trial enrolment. Additionally, patients with</w:t>
      </w:r>
      <w:r>
        <w:t xml:space="preserve"> </w:t>
      </w:r>
      <w:r w:rsidRPr="00F65DC5">
        <w:t>tumour rupture either at or prior to surgery were deemed to be at high risk of disease</w:t>
      </w:r>
      <w:r>
        <w:t xml:space="preserve"> </w:t>
      </w:r>
      <w:r w:rsidRPr="00F65DC5">
        <w:t>recurrence, regardless of their tumour size and mitotic index. Until the protocol</w:t>
      </w:r>
      <w:r>
        <w:t xml:space="preserve"> </w:t>
      </w:r>
      <w:r w:rsidRPr="00F65DC5">
        <w:t>amendment, version 2006, patients who underwent resection of metastatic sites of</w:t>
      </w:r>
      <w:r>
        <w:t xml:space="preserve"> </w:t>
      </w:r>
      <w:r w:rsidRPr="00F65DC5">
        <w:t xml:space="preserve">disease were also allowed to enter the study. These </w:t>
      </w:r>
      <w:r w:rsidRPr="00F65DC5">
        <w:lastRenderedPageBreak/>
        <w:t>patients were regarded to be at high</w:t>
      </w:r>
      <w:r>
        <w:t xml:space="preserve"> </w:t>
      </w:r>
      <w:r w:rsidRPr="00F65DC5">
        <w:t>risk of tumour recurrence irrespective of their risk category according to the</w:t>
      </w:r>
      <w:r>
        <w:t xml:space="preserve"> </w:t>
      </w:r>
      <w:r w:rsidRPr="00F65DC5">
        <w:t>classification system.</w:t>
      </w:r>
    </w:p>
    <w:p w:rsidR="000F5468" w:rsidRDefault="00F65DC5" w:rsidP="00F65DC5">
      <w:r w:rsidRPr="00F65DC5">
        <w:t>The risk classification in GIST patients has evolved sin</w:t>
      </w:r>
      <w:r>
        <w:t xml:space="preserve">ce the initial approval in June </w:t>
      </w:r>
      <w:r w:rsidRPr="00F65DC5">
        <w:t>2</w:t>
      </w:r>
      <w:r w:rsidR="0000582E">
        <w:t>009</w:t>
      </w:r>
      <w:r w:rsidRPr="00F65DC5">
        <w:t>. Review and refinement of GIST risk classification</w:t>
      </w:r>
      <w:r>
        <w:t xml:space="preserve"> </w:t>
      </w:r>
      <w:r w:rsidRPr="00F65DC5">
        <w:t>has been the subject of a number of publications since the NIH classification was</w:t>
      </w:r>
      <w:r>
        <w:t xml:space="preserve"> </w:t>
      </w:r>
      <w:r w:rsidRPr="00F65DC5">
        <w:t>developed. It is likely that these classifications will be further refined over time for this</w:t>
      </w:r>
      <w:r>
        <w:t xml:space="preserve"> </w:t>
      </w:r>
      <w:r w:rsidRPr="00F65DC5">
        <w:t>rare disease as new prognostic factors are</w:t>
      </w:r>
      <w:r w:rsidR="0000582E">
        <w:t xml:space="preserve"> discovered and integrated (for example, </w:t>
      </w:r>
      <w:r w:rsidRPr="00F65DC5">
        <w:t>mutational</w:t>
      </w:r>
      <w:r>
        <w:t xml:space="preserve"> </w:t>
      </w:r>
      <w:r w:rsidRPr="00F65DC5">
        <w:t>analysis or tumour rupture at surgery). Since one universally accepted standard and</w:t>
      </w:r>
      <w:r>
        <w:t xml:space="preserve"> </w:t>
      </w:r>
      <w:r w:rsidRPr="00F65DC5">
        <w:t>risk assessment tool is lacking, defining a set population as “high risk” consistently will</w:t>
      </w:r>
      <w:r>
        <w:t xml:space="preserve"> </w:t>
      </w:r>
      <w:r w:rsidRPr="00F65DC5">
        <w:t>be a challenge for physicians.</w:t>
      </w:r>
    </w:p>
    <w:p w:rsidR="00957E94" w:rsidRPr="00957E94" w:rsidRDefault="00957E94" w:rsidP="00957E94">
      <w:r w:rsidRPr="00957E94">
        <w:t>Furthermore, due to the variable nature of classification of a patient’s risk of</w:t>
      </w:r>
      <w:r>
        <w:t xml:space="preserve"> </w:t>
      </w:r>
      <w:r w:rsidRPr="00957E94">
        <w:t>recurrence in the NIH classification system, risk estimation can be arbitrary. For</w:t>
      </w:r>
      <w:r>
        <w:t xml:space="preserve"> </w:t>
      </w:r>
      <w:r w:rsidRPr="00957E94">
        <w:t>example a 1 mm change in tumour size can shift a patient from a 20% risk to 80% risk</w:t>
      </w:r>
      <w:r>
        <w:t xml:space="preserve"> </w:t>
      </w:r>
      <w:r w:rsidRPr="00957E94">
        <w:t>of recurrence. Recurrence following even complete gross resection with negative</w:t>
      </w:r>
      <w:r>
        <w:t xml:space="preserve"> </w:t>
      </w:r>
      <w:r w:rsidRPr="00957E94">
        <w:t>surgical margins of primary GIST is common. Tumour rupture or intra</w:t>
      </w:r>
      <w:r w:rsidR="009630AB">
        <w:t xml:space="preserve"> </w:t>
      </w:r>
      <w:r w:rsidRPr="00957E94">
        <w:t>abdominal</w:t>
      </w:r>
      <w:r>
        <w:t xml:space="preserve"> </w:t>
      </w:r>
      <w:r w:rsidRPr="00957E94">
        <w:t>haemorrhage during surgery, incomplete resection or resection with macroscopically</w:t>
      </w:r>
      <w:r>
        <w:t xml:space="preserve"> </w:t>
      </w:r>
      <w:r w:rsidRPr="00957E94">
        <w:t>positive margins (R1), symptomatic disease presentation, male gender, older age, and</w:t>
      </w:r>
      <w:r>
        <w:t xml:space="preserve"> </w:t>
      </w:r>
      <w:r w:rsidRPr="00957E94">
        <w:t>mixed cell pathological subtype can negatively affect the di</w:t>
      </w:r>
      <w:r w:rsidR="009630AB">
        <w:t>sease free survival.</w:t>
      </w:r>
      <w:r w:rsidR="009630AB">
        <w:rPr>
          <w:rStyle w:val="FootnoteReference"/>
        </w:rPr>
        <w:footnoteReference w:id="7"/>
      </w:r>
      <w:r>
        <w:t xml:space="preserve"> </w:t>
      </w:r>
      <w:r w:rsidRPr="00957E94">
        <w:t>Novartis therefore believe that patients with a significant risk of recurrence should be</w:t>
      </w:r>
      <w:r>
        <w:t xml:space="preserve"> </w:t>
      </w:r>
      <w:r w:rsidRPr="00957E94">
        <w:t>treated, especially those patients that could be classified as having an intermediate risk.</w:t>
      </w:r>
      <w:r>
        <w:t xml:space="preserve"> </w:t>
      </w:r>
      <w:r w:rsidRPr="00957E94">
        <w:t>As these patients are currently treated based on the current approval, they should not</w:t>
      </w:r>
      <w:r>
        <w:t xml:space="preserve"> </w:t>
      </w:r>
      <w:r w:rsidRPr="00957E94">
        <w:t>be precluded from continued therapy but should be treated in-line with the physician’s</w:t>
      </w:r>
      <w:r>
        <w:t xml:space="preserve"> </w:t>
      </w:r>
      <w:r w:rsidRPr="00957E94">
        <w:t>assessment.</w:t>
      </w:r>
    </w:p>
    <w:p w:rsidR="00B74B61" w:rsidRDefault="00957E94" w:rsidP="00957E94">
      <w:r w:rsidRPr="00957E94">
        <w:t>The clini</w:t>
      </w:r>
      <w:r w:rsidR="00B74B61">
        <w:t>cal evaluator stated:</w:t>
      </w:r>
    </w:p>
    <w:p w:rsidR="00B74B61" w:rsidRPr="00B74B61" w:rsidRDefault="00957E94" w:rsidP="00B74B61">
      <w:pPr>
        <w:ind w:left="720"/>
        <w:rPr>
          <w:i/>
        </w:rPr>
      </w:pPr>
      <w:r w:rsidRPr="00B74B61">
        <w:rPr>
          <w:i/>
        </w:rPr>
        <w:t>“Overall the benefi</w:t>
      </w:r>
      <w:r w:rsidR="00B74B61" w:rsidRPr="00B74B61">
        <w:rPr>
          <w:i/>
        </w:rPr>
        <w:t xml:space="preserve">t to both high </w:t>
      </w:r>
      <w:r w:rsidRPr="00B74B61">
        <w:rPr>
          <w:i/>
        </w:rPr>
        <w:t>risk and non</w:t>
      </w:r>
      <w:r w:rsidR="00B74B61" w:rsidRPr="00B74B61">
        <w:rPr>
          <w:i/>
        </w:rPr>
        <w:t xml:space="preserve"> </w:t>
      </w:r>
      <w:r w:rsidRPr="00B74B61">
        <w:rPr>
          <w:i/>
        </w:rPr>
        <w:t xml:space="preserve">high risk patients is robust </w:t>
      </w:r>
      <w:r w:rsidR="003E0BB9">
        <w:rPr>
          <w:i/>
        </w:rPr>
        <w:t>in the prevention of recurrence but</w:t>
      </w:r>
      <w:r w:rsidRPr="00B74B61">
        <w:rPr>
          <w:i/>
        </w:rPr>
        <w:t xml:space="preserve"> less so in the increase in </w:t>
      </w:r>
      <w:r w:rsidR="00983E45" w:rsidRPr="00B74B61">
        <w:rPr>
          <w:i/>
        </w:rPr>
        <w:t>OS</w:t>
      </w:r>
      <w:r w:rsidR="00B74B61" w:rsidRPr="00B74B61">
        <w:rPr>
          <w:i/>
        </w:rPr>
        <w:t xml:space="preserve"> with respect to tumour </w:t>
      </w:r>
      <w:r w:rsidRPr="00B74B61">
        <w:rPr>
          <w:i/>
        </w:rPr>
        <w:t xml:space="preserve">associated death. The question then arises, </w:t>
      </w:r>
      <w:r w:rsidR="00B74B61" w:rsidRPr="00B74B61">
        <w:rPr>
          <w:i/>
        </w:rPr>
        <w:t xml:space="preserve">should both high risk and non </w:t>
      </w:r>
      <w:r w:rsidRPr="00B74B61">
        <w:rPr>
          <w:i/>
        </w:rPr>
        <w:t xml:space="preserve">high risk populations be treated in the same way. Since there is some doubt about risk classification in treated patients as shown by the differences in rates of recurrence, both treatment groups should be included in the </w:t>
      </w:r>
      <w:r w:rsidR="00B74B61" w:rsidRPr="00B74B61">
        <w:rPr>
          <w:i/>
        </w:rPr>
        <w:t>indication.”</w:t>
      </w:r>
    </w:p>
    <w:p w:rsidR="009C2FA6" w:rsidRDefault="00957E94" w:rsidP="00957E94">
      <w:r w:rsidRPr="00957E94">
        <w:t>We note that the current Euro</w:t>
      </w:r>
      <w:r w:rsidR="009C2FA6">
        <w:t>pean approved indication is for</w:t>
      </w:r>
    </w:p>
    <w:p w:rsidR="009C2FA6" w:rsidRPr="009C2FA6" w:rsidRDefault="00957E94" w:rsidP="009C2FA6">
      <w:pPr>
        <w:ind w:left="720"/>
        <w:rPr>
          <w:i/>
        </w:rPr>
      </w:pPr>
      <w:r w:rsidRPr="009C2FA6">
        <w:rPr>
          <w:i/>
        </w:rPr>
        <w:t>“</w:t>
      </w:r>
      <w:proofErr w:type="gramStart"/>
      <w:r w:rsidRPr="009C2FA6">
        <w:rPr>
          <w:i/>
        </w:rPr>
        <w:t>the</w:t>
      </w:r>
      <w:proofErr w:type="gramEnd"/>
      <w:r w:rsidRPr="009C2FA6">
        <w:rPr>
          <w:i/>
        </w:rPr>
        <w:t xml:space="preserve"> adjuvant treatment of adult patients who are at significant risk of relapse following resection of </w:t>
      </w:r>
      <w:r w:rsidR="00AD1170">
        <w:t>KIT</w:t>
      </w:r>
      <w:r w:rsidRPr="009C2FA6">
        <w:rPr>
          <w:i/>
        </w:rPr>
        <w:t xml:space="preserve"> (CD117)</w:t>
      </w:r>
      <w:r w:rsidR="009C2FA6">
        <w:rPr>
          <w:i/>
        </w:rPr>
        <w:t xml:space="preserve"> </w:t>
      </w:r>
      <w:r w:rsidRPr="009C2FA6">
        <w:rPr>
          <w:i/>
        </w:rPr>
        <w:t>positive GIST. Patients who have a low or very low risk of recurrence should n</w:t>
      </w:r>
      <w:r w:rsidR="009C2FA6" w:rsidRPr="009C2FA6">
        <w:rPr>
          <w:i/>
        </w:rPr>
        <w:t>ot receive adjuvant treatment.”</w:t>
      </w:r>
    </w:p>
    <w:p w:rsidR="00957E94" w:rsidRDefault="00957E94" w:rsidP="00957E94">
      <w:r w:rsidRPr="00957E94">
        <w:t>This indication is consistent with</w:t>
      </w:r>
      <w:r>
        <w:t xml:space="preserve"> </w:t>
      </w:r>
      <w:r w:rsidRPr="00957E94">
        <w:t xml:space="preserve">the view of the Delegate to limit the use of </w:t>
      </w:r>
      <w:proofErr w:type="spellStart"/>
      <w:r w:rsidRPr="00957E94">
        <w:t>Gli</w:t>
      </w:r>
      <w:r w:rsidR="002B0D5D">
        <w:t>vec</w:t>
      </w:r>
      <w:proofErr w:type="spellEnd"/>
      <w:r w:rsidR="002B0D5D">
        <w:t xml:space="preserve"> to patients where a benefit-</w:t>
      </w:r>
      <w:r w:rsidRPr="00957E94">
        <w:t>risk</w:t>
      </w:r>
      <w:r>
        <w:t xml:space="preserve"> </w:t>
      </w:r>
      <w:r w:rsidRPr="00957E94">
        <w:t>balance is more favourable. This would also closely aligned with the current treatment</w:t>
      </w:r>
      <w:r>
        <w:t xml:space="preserve"> </w:t>
      </w:r>
      <w:r w:rsidRPr="00957E94">
        <w:t>practice in Australia and remain clinically relevant amid the likely changes to risk</w:t>
      </w:r>
      <w:r>
        <w:t xml:space="preserve"> </w:t>
      </w:r>
      <w:r w:rsidRPr="00957E94">
        <w:t>classification.</w:t>
      </w:r>
    </w:p>
    <w:p w:rsidR="00DF42A6" w:rsidRPr="00DF42A6" w:rsidRDefault="00DF42A6" w:rsidP="00FA2E75">
      <w:pPr>
        <w:pStyle w:val="Heading4"/>
      </w:pPr>
      <w:r w:rsidRPr="00DF42A6">
        <w:t>Safety</w:t>
      </w:r>
    </w:p>
    <w:p w:rsidR="00DF42A6" w:rsidRPr="000235E2" w:rsidRDefault="00DF42A6" w:rsidP="00DF42A6">
      <w:pPr>
        <w:rPr>
          <w:i/>
        </w:rPr>
      </w:pPr>
      <w:r w:rsidRPr="000235E2">
        <w:rPr>
          <w:i/>
        </w:rPr>
        <w:t xml:space="preserve">There was a higher incidence of severe (Grade 3-4) and </w:t>
      </w:r>
      <w:r w:rsidR="002B0D5D">
        <w:rPr>
          <w:i/>
        </w:rPr>
        <w:t>SAEs</w:t>
      </w:r>
      <w:r w:rsidRPr="000235E2">
        <w:rPr>
          <w:i/>
        </w:rPr>
        <w:t xml:space="preserve"> in the 3</w:t>
      </w:r>
      <w:r w:rsidR="002B0D5D">
        <w:rPr>
          <w:i/>
        </w:rPr>
        <w:t xml:space="preserve"> year group than the 1 year group... </w:t>
      </w:r>
      <w:r w:rsidRPr="000235E2">
        <w:rPr>
          <w:i/>
        </w:rPr>
        <w:t xml:space="preserve">Discontinuations due to </w:t>
      </w:r>
      <w:r w:rsidR="002B0D5D">
        <w:rPr>
          <w:i/>
        </w:rPr>
        <w:t>AEs</w:t>
      </w:r>
      <w:r w:rsidRPr="000235E2">
        <w:rPr>
          <w:i/>
        </w:rPr>
        <w:t xml:space="preserve"> were also greater in the 3</w:t>
      </w:r>
      <w:r w:rsidR="002B0D5D">
        <w:rPr>
          <w:i/>
        </w:rPr>
        <w:t xml:space="preserve"> </w:t>
      </w:r>
      <w:r w:rsidRPr="000235E2">
        <w:rPr>
          <w:i/>
        </w:rPr>
        <w:t>year group (13.6</w:t>
      </w:r>
      <w:r w:rsidR="002B0D5D">
        <w:rPr>
          <w:i/>
        </w:rPr>
        <w:t>%) than the 1-year group (7.7%).</w:t>
      </w:r>
    </w:p>
    <w:p w:rsidR="00DF42A6" w:rsidRPr="00DF42A6" w:rsidRDefault="00DF42A6" w:rsidP="00FA2E75">
      <w:pPr>
        <w:pStyle w:val="Heading5"/>
      </w:pPr>
      <w:r w:rsidRPr="00DF42A6">
        <w:t>Sponsor’s comment:</w:t>
      </w:r>
    </w:p>
    <w:p w:rsidR="002B0D5D" w:rsidRDefault="00DF42A6" w:rsidP="00DF42A6">
      <w:r w:rsidRPr="00DF42A6">
        <w:t xml:space="preserve">The clinical evaluator noted that the frequency of </w:t>
      </w:r>
      <w:r>
        <w:t>SAEs in the 12</w:t>
      </w:r>
      <w:r w:rsidR="002B0D5D">
        <w:t xml:space="preserve"> </w:t>
      </w:r>
      <w:r>
        <w:t xml:space="preserve">month arm was 13 </w:t>
      </w:r>
      <w:r w:rsidRPr="00DF42A6">
        <w:t>patients and 6 patients in the first 12 months of treatment in the 36</w:t>
      </w:r>
      <w:r w:rsidR="002B0D5D">
        <w:t xml:space="preserve"> month arm.</w:t>
      </w:r>
      <w:r w:rsidRPr="00DF42A6">
        <w:t xml:space="preserve"> </w:t>
      </w:r>
      <w:r>
        <w:t xml:space="preserve">If SAEs </w:t>
      </w:r>
      <w:r w:rsidRPr="00DF42A6">
        <w:t>are examined on the basis of their relation to t</w:t>
      </w:r>
      <w:r>
        <w:t xml:space="preserve">reatment causality, the overall </w:t>
      </w:r>
      <w:r w:rsidRPr="00DF42A6">
        <w:t>number of events is relatively low and there is no significant difference between the</w:t>
      </w:r>
      <w:r>
        <w:t xml:space="preserve"> </w:t>
      </w:r>
      <w:r w:rsidRPr="00DF42A6">
        <w:t>groups (p =</w:t>
      </w:r>
      <w:r w:rsidR="002B0D5D">
        <w:t xml:space="preserve"> </w:t>
      </w:r>
      <w:r w:rsidRPr="00DF42A6">
        <w:lastRenderedPageBreak/>
        <w:t>0.1036 by two sided Fisher’s Exact test). This suggests the difference</w:t>
      </w:r>
      <w:r>
        <w:t xml:space="preserve"> </w:t>
      </w:r>
      <w:r w:rsidRPr="00DF42A6">
        <w:t>of 13 v</w:t>
      </w:r>
      <w:r w:rsidR="002B0D5D">
        <w:t>ersus</w:t>
      </w:r>
      <w:r w:rsidRPr="00DF42A6">
        <w:t xml:space="preserve"> 6 SAEs could have occurred by chance in the absence of any systematic</w:t>
      </w:r>
      <w:r>
        <w:t xml:space="preserve"> </w:t>
      </w:r>
      <w:r w:rsidRPr="00DF42A6">
        <w:t>differences between the treatment arms. Further to this, Novartis have agreed to</w:t>
      </w:r>
      <w:r>
        <w:t xml:space="preserve"> </w:t>
      </w:r>
      <w:r w:rsidRPr="00DF42A6">
        <w:t>include the text the Delegate has recommended the under the Adverse Effects section of</w:t>
      </w:r>
      <w:r>
        <w:t xml:space="preserve"> </w:t>
      </w:r>
      <w:r w:rsidR="002B0D5D">
        <w:t>the PI:</w:t>
      </w:r>
    </w:p>
    <w:p w:rsidR="00DF42A6" w:rsidRPr="002B0D5D" w:rsidRDefault="00DF42A6" w:rsidP="002B0D5D">
      <w:pPr>
        <w:ind w:left="720"/>
        <w:rPr>
          <w:i/>
        </w:rPr>
      </w:pPr>
      <w:r w:rsidRPr="002B0D5D">
        <w:rPr>
          <w:i/>
        </w:rPr>
        <w:t xml:space="preserve">“There was a higher incidence of severe (Grade 3-4) and </w:t>
      </w:r>
      <w:r w:rsidR="002B0D5D" w:rsidRPr="002B0D5D">
        <w:rPr>
          <w:i/>
        </w:rPr>
        <w:t>SAEs</w:t>
      </w:r>
      <w:r w:rsidRPr="002B0D5D">
        <w:rPr>
          <w:i/>
        </w:rPr>
        <w:t xml:space="preserve"> in the 3</w:t>
      </w:r>
      <w:r w:rsidR="002B0D5D" w:rsidRPr="002B0D5D">
        <w:rPr>
          <w:i/>
        </w:rPr>
        <w:t xml:space="preserve"> </w:t>
      </w:r>
      <w:r w:rsidRPr="002B0D5D">
        <w:rPr>
          <w:i/>
        </w:rPr>
        <w:t>year group than the 1</w:t>
      </w:r>
      <w:r w:rsidR="002B0D5D" w:rsidRPr="002B0D5D">
        <w:rPr>
          <w:i/>
        </w:rPr>
        <w:t xml:space="preserve"> </w:t>
      </w:r>
      <w:r w:rsidRPr="002B0D5D">
        <w:rPr>
          <w:i/>
        </w:rPr>
        <w:t>year group but this was expected because of the longer duration of treatment. Discontinuations due to adverse effects were also greater in the 3</w:t>
      </w:r>
      <w:r w:rsidR="002B0D5D" w:rsidRPr="002B0D5D">
        <w:rPr>
          <w:i/>
        </w:rPr>
        <w:t xml:space="preserve"> </w:t>
      </w:r>
      <w:r w:rsidRPr="002B0D5D">
        <w:rPr>
          <w:i/>
        </w:rPr>
        <w:t>year group (13.6%) than the 1</w:t>
      </w:r>
      <w:r w:rsidR="002B0D5D" w:rsidRPr="002B0D5D">
        <w:rPr>
          <w:i/>
        </w:rPr>
        <w:t xml:space="preserve"> </w:t>
      </w:r>
      <w:r w:rsidRPr="002B0D5D">
        <w:rPr>
          <w:i/>
        </w:rPr>
        <w:t>year group (7.7%).”</w:t>
      </w:r>
    </w:p>
    <w:p w:rsidR="00DF42A6" w:rsidRPr="00DF42A6" w:rsidRDefault="00DF42A6" w:rsidP="00DF42A6">
      <w:r w:rsidRPr="00DF42A6">
        <w:t>The rate of AEs in the 3</w:t>
      </w:r>
      <w:r w:rsidR="00CD28CB">
        <w:t xml:space="preserve"> </w:t>
      </w:r>
      <w:r w:rsidRPr="00DF42A6">
        <w:t xml:space="preserve">year arm of </w:t>
      </w:r>
      <w:r w:rsidR="00CD28CB">
        <w:t>S</w:t>
      </w:r>
      <w:r w:rsidRPr="00DF42A6">
        <w:t>tudy CSTI571</w:t>
      </w:r>
      <w:r w:rsidR="00CD28CB">
        <w:t>BFI03 was higher than in the 1</w:t>
      </w:r>
      <w:r>
        <w:t xml:space="preserve"> </w:t>
      </w:r>
      <w:r w:rsidRPr="00DF42A6">
        <w:t>year arm; however, the majority of these were mild in severity and easily managed. The</w:t>
      </w:r>
      <w:r>
        <w:t xml:space="preserve"> </w:t>
      </w:r>
      <w:r w:rsidRPr="00DF42A6">
        <w:t>cumulative rate of discontinuation due to AEs at 12</w:t>
      </w:r>
      <w:r w:rsidR="00CD28CB">
        <w:t xml:space="preserve"> months was lower in the 3 </w:t>
      </w:r>
      <w:r>
        <w:t xml:space="preserve">year </w:t>
      </w:r>
      <w:r w:rsidR="00CD28CB">
        <w:t>arm</w:t>
      </w:r>
      <w:r w:rsidRPr="00DF42A6">
        <w:t>, suggesting that any increase in AEs was associated with</w:t>
      </w:r>
      <w:r>
        <w:t xml:space="preserve"> </w:t>
      </w:r>
      <w:r w:rsidRPr="00DF42A6">
        <w:t>the longer duration of treatment. It is also important to note that the overall rate of</w:t>
      </w:r>
      <w:r>
        <w:t xml:space="preserve"> </w:t>
      </w:r>
      <w:r w:rsidRPr="00DF42A6">
        <w:t xml:space="preserve">AEs was similar between the two treatment groups. </w:t>
      </w:r>
      <w:r w:rsidR="00CD28CB">
        <w:t xml:space="preserve">Although more patients in the 3 </w:t>
      </w:r>
      <w:r w:rsidRPr="00DF42A6">
        <w:t>year group reported AEs, most of these events were mild to moderate in severity and it</w:t>
      </w:r>
      <w:r>
        <w:t xml:space="preserve"> </w:t>
      </w:r>
      <w:r w:rsidRPr="00DF42A6">
        <w:t>is reasonable to expect a higher rate of AEs with a longer duration of treatment. The</w:t>
      </w:r>
      <w:r>
        <w:t xml:space="preserve"> </w:t>
      </w:r>
      <w:r w:rsidRPr="00DF42A6">
        <w:t>higher risk of AEs associated with 3 years of treatment is expected to be outweighed by</w:t>
      </w:r>
      <w:r>
        <w:t xml:space="preserve"> </w:t>
      </w:r>
      <w:r w:rsidRPr="00DF42A6">
        <w:t>the additional benefits associated with a longer duration of treatment.</w:t>
      </w:r>
    </w:p>
    <w:p w:rsidR="00DF42A6" w:rsidRDefault="00DF42A6" w:rsidP="00DF42A6">
      <w:r w:rsidRPr="00DF42A6">
        <w:t>Considering the majority of AEs were not severe in na</w:t>
      </w:r>
      <w:r>
        <w:t xml:space="preserve">ture and the longer duration of </w:t>
      </w:r>
      <w:r w:rsidRPr="00DF42A6">
        <w:t>treatment resulted in significantly improved RFS and O</w:t>
      </w:r>
      <w:r>
        <w:t xml:space="preserve">S, it can be concluded that the </w:t>
      </w:r>
      <w:r w:rsidRPr="00DF42A6">
        <w:t>incremental benefits outweigh the incremental risks asso</w:t>
      </w:r>
      <w:r>
        <w:t xml:space="preserve">ciated with 3 years of adjuvant </w:t>
      </w:r>
      <w:proofErr w:type="spellStart"/>
      <w:r w:rsidRPr="00DF42A6">
        <w:t>imatinib</w:t>
      </w:r>
      <w:proofErr w:type="spellEnd"/>
      <w:r w:rsidRPr="00DF42A6">
        <w:t xml:space="preserve"> treatment.</w:t>
      </w:r>
    </w:p>
    <w:p w:rsidR="0049627D" w:rsidRPr="0049627D" w:rsidRDefault="00CD28CB" w:rsidP="0049627D">
      <w:pPr>
        <w:rPr>
          <w:i/>
        </w:rPr>
      </w:pPr>
      <w:r>
        <w:rPr>
          <w:i/>
        </w:rPr>
        <w:t>AEs</w:t>
      </w:r>
      <w:r w:rsidR="0049627D" w:rsidRPr="0049627D">
        <w:rPr>
          <w:i/>
        </w:rPr>
        <w:t xml:space="preserve"> were generally consistent with the known safety profile of </w:t>
      </w:r>
      <w:proofErr w:type="spellStart"/>
      <w:r w:rsidR="0049627D" w:rsidRPr="0049627D">
        <w:rPr>
          <w:i/>
        </w:rPr>
        <w:t>imatinib</w:t>
      </w:r>
      <w:proofErr w:type="spellEnd"/>
      <w:r w:rsidR="0049627D" w:rsidRPr="0049627D">
        <w:rPr>
          <w:i/>
        </w:rPr>
        <w:t xml:space="preserve"> except for the incidences of haematological, liver and renal abnormalities in the 1</w:t>
      </w:r>
      <w:r>
        <w:rPr>
          <w:i/>
        </w:rPr>
        <w:t xml:space="preserve"> </w:t>
      </w:r>
      <w:r w:rsidR="0049627D" w:rsidRPr="0049627D">
        <w:rPr>
          <w:i/>
        </w:rPr>
        <w:t>year group of the pivotal trial being about twice those seen in the previous 1</w:t>
      </w:r>
      <w:r>
        <w:rPr>
          <w:i/>
        </w:rPr>
        <w:t xml:space="preserve"> </w:t>
      </w:r>
      <w:r w:rsidR="0049627D" w:rsidRPr="0049627D">
        <w:rPr>
          <w:i/>
        </w:rPr>
        <w:t xml:space="preserve">year adjuvant trial Z9001...The incidences of these </w:t>
      </w:r>
      <w:r>
        <w:rPr>
          <w:i/>
        </w:rPr>
        <w:t>AEs</w:t>
      </w:r>
      <w:r w:rsidR="0049627D" w:rsidRPr="0049627D">
        <w:rPr>
          <w:i/>
        </w:rPr>
        <w:t xml:space="preserve"> were even higher in the 3</w:t>
      </w:r>
      <w:r>
        <w:rPr>
          <w:i/>
        </w:rPr>
        <w:t xml:space="preserve"> </w:t>
      </w:r>
      <w:r w:rsidR="0049627D" w:rsidRPr="0049627D">
        <w:rPr>
          <w:i/>
        </w:rPr>
        <w:t>year group. There was i</w:t>
      </w:r>
      <w:r>
        <w:rPr>
          <w:i/>
        </w:rPr>
        <w:t xml:space="preserve">nsufficient data to assess long </w:t>
      </w:r>
      <w:r w:rsidR="0049627D" w:rsidRPr="0049627D">
        <w:rPr>
          <w:i/>
        </w:rPr>
        <w:t>term safety.</w:t>
      </w:r>
    </w:p>
    <w:p w:rsidR="0049627D" w:rsidRPr="0049627D" w:rsidRDefault="0049627D" w:rsidP="00FA2E75">
      <w:pPr>
        <w:pStyle w:val="Heading5"/>
      </w:pPr>
      <w:r w:rsidRPr="0049627D">
        <w:t>Sponsor’s comment:</w:t>
      </w:r>
    </w:p>
    <w:p w:rsidR="003164DD" w:rsidRDefault="0049627D" w:rsidP="0049627D">
      <w:r w:rsidRPr="0049627D">
        <w:t>No new safety signals were identified as a result of t</w:t>
      </w:r>
      <w:r>
        <w:t xml:space="preserve">he longer duration of treatment </w:t>
      </w:r>
      <w:r w:rsidRPr="0049627D">
        <w:t xml:space="preserve">and no changes to the RMP were identified, as a result of </w:t>
      </w:r>
      <w:r w:rsidR="00BC42B9">
        <w:t>S</w:t>
      </w:r>
      <w:r w:rsidRPr="0049627D">
        <w:t>tudy CSTI571BFI03.</w:t>
      </w:r>
      <w:r>
        <w:t xml:space="preserve"> </w:t>
      </w:r>
      <w:r w:rsidRPr="0049627D">
        <w:t>Overall, 390 patients (99.5%) experienced AEs, 192 patients (99.0%) in the 12</w:t>
      </w:r>
      <w:r w:rsidR="00BC42B9">
        <w:t xml:space="preserve"> </w:t>
      </w:r>
      <w:r w:rsidRPr="0049627D">
        <w:t>month</w:t>
      </w:r>
      <w:r>
        <w:t xml:space="preserve"> </w:t>
      </w:r>
      <w:r w:rsidRPr="0049627D">
        <w:t>group and all 198 patients in the 36</w:t>
      </w:r>
      <w:r w:rsidR="00BC42B9">
        <w:t xml:space="preserve"> </w:t>
      </w:r>
      <w:r w:rsidRPr="0049627D">
        <w:t>month group. A higher frequency of AEs was</w:t>
      </w:r>
      <w:r>
        <w:t xml:space="preserve"> </w:t>
      </w:r>
      <w:r w:rsidR="00BC42B9">
        <w:t xml:space="preserve">reported in the 36 </w:t>
      </w:r>
      <w:r w:rsidRPr="0049627D">
        <w:t>month group due to the longer duration of treatment. However;</w:t>
      </w:r>
      <w:r>
        <w:t xml:space="preserve"> </w:t>
      </w:r>
      <w:r w:rsidRPr="0049627D">
        <w:t>frequencies of AEs were generally similar between the 0 to 12 months period and the</w:t>
      </w:r>
      <w:r>
        <w:t xml:space="preserve"> </w:t>
      </w:r>
      <w:r w:rsidRPr="0049627D">
        <w:t>&gt;12 to 36 months period for patient</w:t>
      </w:r>
      <w:r w:rsidR="00BC42B9">
        <w:t xml:space="preserve">s treated in the 36 </w:t>
      </w:r>
      <w:r w:rsidRPr="0049627D">
        <w:t>month arm.</w:t>
      </w:r>
    </w:p>
    <w:p w:rsidR="0049627D" w:rsidRPr="0049627D" w:rsidRDefault="0049627D" w:rsidP="0049627D">
      <w:r w:rsidRPr="0049627D">
        <w:t>During the period of 11 May 2009 to 10 May 2012, approximately 37,878 patients</w:t>
      </w:r>
      <w:r>
        <w:t xml:space="preserve"> </w:t>
      </w:r>
      <w:r w:rsidRPr="0049627D">
        <w:t xml:space="preserve">received </w:t>
      </w:r>
      <w:proofErr w:type="spellStart"/>
      <w:r w:rsidRPr="0049627D">
        <w:t>imatinib</w:t>
      </w:r>
      <w:proofErr w:type="spellEnd"/>
      <w:r w:rsidRPr="0049627D">
        <w:t xml:space="preserve"> treatment in Novartis sponsored global and local investigational</w:t>
      </w:r>
      <w:r>
        <w:t xml:space="preserve"> </w:t>
      </w:r>
      <w:r w:rsidRPr="0049627D">
        <w:t>clinical trials. Patient exposure has been calculated as approximately 402,000 patient</w:t>
      </w:r>
      <w:r>
        <w:t xml:space="preserve"> </w:t>
      </w:r>
      <w:r w:rsidRPr="0049627D">
        <w:t>years</w:t>
      </w:r>
      <w:r>
        <w:t xml:space="preserve"> </w:t>
      </w:r>
      <w:r w:rsidRPr="0049627D">
        <w:t>for this period, based on a</w:t>
      </w:r>
      <w:r w:rsidR="00BC42B9">
        <w:t>n average daily dose of 400 mg.</w:t>
      </w:r>
      <w:r w:rsidR="00BC42B9">
        <w:rPr>
          <w:rStyle w:val="FootnoteReference"/>
        </w:rPr>
        <w:footnoteReference w:id="8"/>
      </w:r>
      <w:r w:rsidRPr="0049627D">
        <w:t xml:space="preserve"> No new safety signals</w:t>
      </w:r>
      <w:r>
        <w:t xml:space="preserve"> </w:t>
      </w:r>
      <w:r w:rsidRPr="0049627D">
        <w:t>were detected during the period identified.</w:t>
      </w:r>
    </w:p>
    <w:p w:rsidR="0049627D" w:rsidRPr="0049627D" w:rsidRDefault="0049627D" w:rsidP="0049627D">
      <w:r w:rsidRPr="0049627D">
        <w:t>In regards to the long</w:t>
      </w:r>
      <w:r w:rsidR="00C24EBA">
        <w:t xml:space="preserve"> </w:t>
      </w:r>
      <w:r w:rsidRPr="0049627D">
        <w:t xml:space="preserve">term safety of </w:t>
      </w:r>
      <w:proofErr w:type="spellStart"/>
      <w:r w:rsidRPr="0049627D">
        <w:t>Glivec</w:t>
      </w:r>
      <w:proofErr w:type="spellEnd"/>
      <w:r w:rsidRPr="0049627D">
        <w:t>, follow up da</w:t>
      </w:r>
      <w:r>
        <w:t>ta of two large</w:t>
      </w:r>
      <w:r w:rsidR="00C24EBA">
        <w:t xml:space="preserve"> </w:t>
      </w:r>
      <w:r>
        <w:t xml:space="preserve">scale Phase III </w:t>
      </w:r>
      <w:r w:rsidRPr="0049627D">
        <w:t>cooperative groups (EORTC and SWOG) in adva</w:t>
      </w:r>
      <w:r w:rsidR="00C24EBA">
        <w:t>nced/</w:t>
      </w:r>
      <w:r>
        <w:t xml:space="preserve">metastatic GIST have been </w:t>
      </w:r>
      <w:r w:rsidR="00C24EBA">
        <w:t>previously reported.</w:t>
      </w:r>
      <w:r w:rsidR="00C24EBA">
        <w:rPr>
          <w:rStyle w:val="FootnoteReference"/>
        </w:rPr>
        <w:footnoteReference w:id="9"/>
      </w:r>
      <w:r w:rsidR="00C24EBA">
        <w:t xml:space="preserve"> These longer </w:t>
      </w:r>
      <w:r w:rsidRPr="0049627D">
        <w:t>term studies consiste</w:t>
      </w:r>
      <w:r>
        <w:t xml:space="preserve">d of larger cohorts of patients </w:t>
      </w:r>
      <w:r w:rsidRPr="0049627D">
        <w:lastRenderedPageBreak/>
        <w:t>with doses from 400 mg/day to 800 mg/day. The safe</w:t>
      </w:r>
      <w:r>
        <w:t xml:space="preserve">ty profile of </w:t>
      </w:r>
      <w:proofErr w:type="spellStart"/>
      <w:r>
        <w:t>imatinib</w:t>
      </w:r>
      <w:proofErr w:type="spellEnd"/>
      <w:r>
        <w:t xml:space="preserve"> in these </w:t>
      </w:r>
      <w:r w:rsidRPr="0049627D">
        <w:t xml:space="preserve">studies supported the established safety profile of </w:t>
      </w:r>
      <w:proofErr w:type="spellStart"/>
      <w:r w:rsidRPr="0049627D">
        <w:t>Glivec</w:t>
      </w:r>
      <w:proofErr w:type="spellEnd"/>
      <w:r w:rsidRPr="0049627D">
        <w:t xml:space="preserve"> and confirmed that chronic</w:t>
      </w:r>
      <w:r>
        <w:t xml:space="preserve"> </w:t>
      </w:r>
      <w:r w:rsidRPr="0049627D">
        <w:t xml:space="preserve">dosing in patients </w:t>
      </w:r>
      <w:r w:rsidR="00C24EBA">
        <w:t>with GIST is well tolerated.</w:t>
      </w:r>
      <w:r w:rsidR="00C24EBA">
        <w:rPr>
          <w:rStyle w:val="FootnoteReference"/>
        </w:rPr>
        <w:footnoteReference w:id="10"/>
      </w:r>
    </w:p>
    <w:p w:rsidR="0049627D" w:rsidRPr="0049627D" w:rsidRDefault="0049627D" w:rsidP="0049627D">
      <w:r w:rsidRPr="0049627D">
        <w:t>Furthermore, the long term efficacy of contin</w:t>
      </w:r>
      <w:r>
        <w:t xml:space="preserve">uous </w:t>
      </w:r>
      <w:proofErr w:type="spellStart"/>
      <w:r>
        <w:t>imatinib</w:t>
      </w:r>
      <w:proofErr w:type="spellEnd"/>
      <w:r>
        <w:t xml:space="preserve"> treatment is well </w:t>
      </w:r>
      <w:r w:rsidRPr="0049627D">
        <w:t xml:space="preserve">established in patients with chronic myeloid </w:t>
      </w:r>
      <w:proofErr w:type="spellStart"/>
      <w:r w:rsidRPr="0049627D">
        <w:t>leukemia</w:t>
      </w:r>
      <w:proofErr w:type="spellEnd"/>
      <w:r w:rsidRPr="0049627D">
        <w:t xml:space="preserve"> (CML) or advanced GIST treated</w:t>
      </w:r>
      <w:r>
        <w:t xml:space="preserve"> </w:t>
      </w:r>
      <w:r w:rsidR="002835EC">
        <w:t>for up to 10 years.</w:t>
      </w:r>
      <w:r w:rsidR="002835EC">
        <w:rPr>
          <w:rStyle w:val="FootnoteReference"/>
        </w:rPr>
        <w:footnoteReference w:id="11"/>
      </w:r>
      <w:r w:rsidR="002835EC">
        <w:t xml:space="preserve"> </w:t>
      </w:r>
      <w:r w:rsidRPr="0049627D">
        <w:t xml:space="preserve">Nine years of </w:t>
      </w:r>
      <w:proofErr w:type="spellStart"/>
      <w:r w:rsidRPr="0049627D">
        <w:t>imatinib</w:t>
      </w:r>
      <w:proofErr w:type="spellEnd"/>
      <w:r w:rsidRPr="0049627D">
        <w:t xml:space="preserve"> treatment resulted in estimated</w:t>
      </w:r>
      <w:r>
        <w:t xml:space="preserve"> </w:t>
      </w:r>
      <w:r w:rsidR="00BB1332">
        <w:t xml:space="preserve">progression </w:t>
      </w:r>
      <w:r w:rsidR="00AD1170">
        <w:t>free rates of 16</w:t>
      </w:r>
      <w:r w:rsidRPr="0049627D">
        <w:t>% (complete and partial responses) and 17% (stable</w:t>
      </w:r>
      <w:r>
        <w:t xml:space="preserve"> </w:t>
      </w:r>
      <w:r w:rsidRPr="0049627D">
        <w:t>disease), a</w:t>
      </w:r>
      <w:r w:rsidR="00BB1332">
        <w:t>nd an estimated OS rate of 35%.</w:t>
      </w:r>
      <w:r w:rsidR="00BB1332">
        <w:rPr>
          <w:rStyle w:val="FootnoteReference"/>
        </w:rPr>
        <w:footnoteReference w:id="12"/>
      </w:r>
      <w:r w:rsidRPr="0049627D">
        <w:t xml:space="preserve"> Data from the prospective multi-centre</w:t>
      </w:r>
      <w:r>
        <w:t xml:space="preserve"> </w:t>
      </w:r>
      <w:r w:rsidRPr="0049627D">
        <w:t xml:space="preserve">phase III study of continuous versus interrupted </w:t>
      </w:r>
      <w:proofErr w:type="spellStart"/>
      <w:r w:rsidRPr="0049627D">
        <w:t>imatinib</w:t>
      </w:r>
      <w:proofErr w:type="spellEnd"/>
      <w:r w:rsidRPr="0049627D">
        <w:t xml:space="preserve"> treatment for patients with</w:t>
      </w:r>
      <w:r>
        <w:t xml:space="preserve"> </w:t>
      </w:r>
      <w:r w:rsidR="00A543DB">
        <w:t>metastatic/</w:t>
      </w:r>
      <w:proofErr w:type="spellStart"/>
      <w:r w:rsidRPr="0049627D">
        <w:t>unresectable</w:t>
      </w:r>
      <w:proofErr w:type="spellEnd"/>
      <w:r w:rsidRPr="0049627D">
        <w:t xml:space="preserve"> GIST, confirmed that treatment with </w:t>
      </w:r>
      <w:proofErr w:type="spellStart"/>
      <w:r w:rsidRPr="0049627D">
        <w:t>imatinib</w:t>
      </w:r>
      <w:proofErr w:type="spellEnd"/>
      <w:r w:rsidRPr="0049627D">
        <w:t xml:space="preserve"> should not be</w:t>
      </w:r>
      <w:r>
        <w:t xml:space="preserve"> </w:t>
      </w:r>
      <w:r w:rsidRPr="0049627D">
        <w:t>discontinued for patients with metastatic and/or inoperable GIST, irrespective of the</w:t>
      </w:r>
      <w:r>
        <w:t xml:space="preserve"> </w:t>
      </w:r>
      <w:r w:rsidR="00BB1332">
        <w:t>level of response.</w:t>
      </w:r>
      <w:r w:rsidR="00BB1332">
        <w:rPr>
          <w:rStyle w:val="FootnoteReference"/>
        </w:rPr>
        <w:footnoteReference w:id="13"/>
      </w:r>
      <w:r w:rsidRPr="0049627D">
        <w:t xml:space="preserve"> A subsequent analysis of the same study demonstrated similar results</w:t>
      </w:r>
      <w:r>
        <w:t xml:space="preserve"> </w:t>
      </w:r>
      <w:r w:rsidRPr="0049627D">
        <w:t xml:space="preserve">for patients treated for 3 and 5 years with </w:t>
      </w:r>
      <w:proofErr w:type="spellStart"/>
      <w:r w:rsidRPr="0049627D">
        <w:t>imatinib</w:t>
      </w:r>
      <w:proofErr w:type="spellEnd"/>
      <w:r w:rsidRPr="0049627D">
        <w:t xml:space="preserve"> which reinforced the above</w:t>
      </w:r>
      <w:r>
        <w:t xml:space="preserve"> </w:t>
      </w:r>
      <w:r w:rsidRPr="0049627D">
        <w:t>recommendations.</w:t>
      </w:r>
    </w:p>
    <w:p w:rsidR="003164DD" w:rsidRDefault="0049627D" w:rsidP="0049627D">
      <w:r w:rsidRPr="0049627D">
        <w:t xml:space="preserve">In general, </w:t>
      </w:r>
      <w:proofErr w:type="spellStart"/>
      <w:r w:rsidRPr="0049627D">
        <w:t>imatinib</w:t>
      </w:r>
      <w:proofErr w:type="spellEnd"/>
      <w:r w:rsidRPr="0049627D">
        <w:t xml:space="preserve"> is well tolerated and many pat</w:t>
      </w:r>
      <w:r>
        <w:t xml:space="preserve">ients with CML or advanced GIST </w:t>
      </w:r>
      <w:r w:rsidRPr="0049627D">
        <w:t>have been taking the medicine for up to 10 years, demonstrating that prolonged</w:t>
      </w:r>
      <w:r>
        <w:t xml:space="preserve"> </w:t>
      </w:r>
      <w:r w:rsidRPr="0049627D">
        <w:t>chronic therapy is feasible and acceptable for patients wit</w:t>
      </w:r>
      <w:r w:rsidR="00181A64">
        <w:t>h life</w:t>
      </w:r>
      <w:r w:rsidR="001806E7">
        <w:t xml:space="preserve"> </w:t>
      </w:r>
      <w:r w:rsidR="00181A64">
        <w:t>threatening diseases.</w:t>
      </w:r>
      <w:r w:rsidR="00181A64">
        <w:rPr>
          <w:rStyle w:val="FootnoteReference"/>
        </w:rPr>
        <w:footnoteReference w:id="14"/>
      </w:r>
    </w:p>
    <w:p w:rsidR="001806E7" w:rsidRDefault="0049627D" w:rsidP="0049627D">
      <w:r w:rsidRPr="0049627D">
        <w:t xml:space="preserve">It is also worthwhile noting that the </w:t>
      </w:r>
      <w:r w:rsidR="001806E7">
        <w:t>c</w:t>
      </w:r>
      <w:r w:rsidRPr="0049627D">
        <w:t xml:space="preserve">linical </w:t>
      </w:r>
      <w:r w:rsidR="001806E7">
        <w:t>e</w:t>
      </w:r>
      <w:r w:rsidRPr="0049627D">
        <w:t xml:space="preserve">valuator </w:t>
      </w:r>
      <w:r w:rsidR="001806E7">
        <w:t>concluded that</w:t>
      </w:r>
    </w:p>
    <w:p w:rsidR="0049627D" w:rsidRPr="001806E7" w:rsidRDefault="001806E7" w:rsidP="001806E7">
      <w:pPr>
        <w:ind w:left="720"/>
        <w:rPr>
          <w:i/>
        </w:rPr>
      </w:pPr>
      <w:r w:rsidRPr="001806E7">
        <w:rPr>
          <w:i/>
        </w:rPr>
        <w:t>“</w:t>
      </w:r>
      <w:r w:rsidR="0049627D" w:rsidRPr="001806E7">
        <w:rPr>
          <w:i/>
        </w:rPr>
        <w:t xml:space="preserve">Based on the definite benefit as described above, and after consideration of the risks as stated, the risk-benefit balance is in favour of the proposed usage of </w:t>
      </w:r>
      <w:proofErr w:type="spellStart"/>
      <w:r w:rsidR="0049627D" w:rsidRPr="001806E7">
        <w:rPr>
          <w:i/>
        </w:rPr>
        <w:t>Glivec</w:t>
      </w:r>
      <w:proofErr w:type="spellEnd"/>
      <w:r w:rsidR="0049627D" w:rsidRPr="001806E7">
        <w:rPr>
          <w:i/>
        </w:rPr>
        <w:t xml:space="preserve"> to treat operable GIST </w:t>
      </w:r>
      <w:r w:rsidRPr="001806E7">
        <w:rPr>
          <w:i/>
        </w:rPr>
        <w:t>for 36 months’.”</w:t>
      </w:r>
    </w:p>
    <w:p w:rsidR="0049627D" w:rsidRPr="003164DD" w:rsidRDefault="003164DD" w:rsidP="003164DD">
      <w:pPr>
        <w:rPr>
          <w:i/>
        </w:rPr>
      </w:pPr>
      <w:r w:rsidRPr="003164DD">
        <w:rPr>
          <w:i/>
        </w:rPr>
        <w:t xml:space="preserve">There appeared to be an increased risk of prostate cancer </w:t>
      </w:r>
      <w:r w:rsidR="001A787B">
        <w:rPr>
          <w:i/>
        </w:rPr>
        <w:t xml:space="preserve">with long term use of </w:t>
      </w:r>
      <w:proofErr w:type="spellStart"/>
      <w:r w:rsidR="001A787B">
        <w:rPr>
          <w:i/>
        </w:rPr>
        <w:t>imatinib</w:t>
      </w:r>
      <w:proofErr w:type="spellEnd"/>
      <w:r w:rsidRPr="003164DD">
        <w:rPr>
          <w:i/>
        </w:rPr>
        <w:t>. The sponsor responded that the analysis had several limitations including that the study was relatively small and there were few cases of prostate cancer.</w:t>
      </w:r>
    </w:p>
    <w:p w:rsidR="00FA2E75" w:rsidRDefault="00FA2E75">
      <w:pPr>
        <w:spacing w:before="0" w:after="0" w:line="240" w:lineRule="auto"/>
        <w:rPr>
          <w:rFonts w:eastAsia="Times New Roman"/>
          <w:bCs/>
          <w:i/>
          <w:szCs w:val="21"/>
        </w:rPr>
      </w:pPr>
      <w:r>
        <w:br w:type="page"/>
      </w:r>
    </w:p>
    <w:p w:rsidR="000167A3" w:rsidRPr="000167A3" w:rsidRDefault="000167A3" w:rsidP="00FA2E75">
      <w:pPr>
        <w:pStyle w:val="Heading5"/>
      </w:pPr>
      <w:r w:rsidRPr="000167A3">
        <w:lastRenderedPageBreak/>
        <w:t>Sponsor’s comment:</w:t>
      </w:r>
    </w:p>
    <w:p w:rsidR="003164DD" w:rsidRDefault="000167A3" w:rsidP="000167A3">
      <w:r w:rsidRPr="000167A3">
        <w:t>As identified in our S</w:t>
      </w:r>
      <w:r w:rsidR="001A787B">
        <w:t xml:space="preserve">ection </w:t>
      </w:r>
      <w:r w:rsidRPr="000167A3">
        <w:t>31 response, the incidence of prost</w:t>
      </w:r>
      <w:r>
        <w:t xml:space="preserve">ate cancer is known to increase </w:t>
      </w:r>
      <w:r w:rsidRPr="000167A3">
        <w:t>in those over 60 years, according to SEER (Surveillance Epidemiology and End Results)</w:t>
      </w:r>
      <w:r>
        <w:t xml:space="preserve"> </w:t>
      </w:r>
      <w:r w:rsidRPr="000167A3">
        <w:t xml:space="preserve">data from the </w:t>
      </w:r>
      <w:r w:rsidR="001A787B">
        <w:t>US National Cancer Institute (Table 5)</w:t>
      </w:r>
      <w:r w:rsidRPr="000167A3">
        <w:t>. In Australia, incidence increases over the</w:t>
      </w:r>
      <w:r>
        <w:t xml:space="preserve"> </w:t>
      </w:r>
      <w:r w:rsidRPr="000167A3">
        <w:t>age of 50 years and a marked increase is observed in men over 60 years of age</w:t>
      </w:r>
      <w:r>
        <w:t xml:space="preserve"> </w:t>
      </w:r>
      <w:r w:rsidRPr="000167A3">
        <w:t>(Australian Institute of Health and Welfare, AIHW). Prostate cancer incidence</w:t>
      </w:r>
      <w:r>
        <w:t xml:space="preserve"> </w:t>
      </w:r>
      <w:r w:rsidRPr="000167A3">
        <w:t xml:space="preserve">increased sharply in patients over 60 years in the safety population in </w:t>
      </w:r>
      <w:r w:rsidR="001A787B">
        <w:t>S</w:t>
      </w:r>
      <w:r w:rsidRPr="000167A3">
        <w:t>tudy</w:t>
      </w:r>
      <w:r>
        <w:t xml:space="preserve"> </w:t>
      </w:r>
      <w:r w:rsidRPr="000167A3">
        <w:t>CSTI571BFI03, in accordance with the SEER incidence data. There is no prostate</w:t>
      </w:r>
      <w:r>
        <w:t xml:space="preserve"> </w:t>
      </w:r>
      <w:r w:rsidRPr="000167A3">
        <w:t xml:space="preserve">cancer reporting in younger age groups that might suggest that exposure to </w:t>
      </w:r>
      <w:proofErr w:type="spellStart"/>
      <w:r w:rsidRPr="000167A3">
        <w:t>imatinib</w:t>
      </w:r>
      <w:proofErr w:type="spellEnd"/>
      <w:r>
        <w:t xml:space="preserve"> </w:t>
      </w:r>
      <w:r w:rsidRPr="000167A3">
        <w:t>increases the risk of prostate cancer.</w:t>
      </w:r>
    </w:p>
    <w:p w:rsidR="00E62211" w:rsidRDefault="00E62211" w:rsidP="00FA2E75">
      <w:pPr>
        <w:pStyle w:val="TableTitle"/>
        <w:rPr>
          <w:lang w:val="en-GB"/>
        </w:rPr>
      </w:pPr>
      <w:proofErr w:type="gramStart"/>
      <w:r>
        <w:t xml:space="preserve">Table </w:t>
      </w:r>
      <w:r w:rsidR="001A787B">
        <w:t>5</w:t>
      </w:r>
      <w:r>
        <w:t>:</w:t>
      </w:r>
      <w:r w:rsidRPr="004C5C28">
        <w:t xml:space="preserve"> </w:t>
      </w:r>
      <w:r w:rsidRPr="00E62211">
        <w:t xml:space="preserve">Descriptive analysis of incidence of prostate cancer by age </w:t>
      </w:r>
      <w:proofErr w:type="spellStart"/>
      <w:r w:rsidRPr="00E62211">
        <w:t>decile</w:t>
      </w:r>
      <w:proofErr w:type="spellEnd"/>
      <w:r w:rsidRPr="00E62211">
        <w:t xml:space="preserve"> in STI571BI03 in context of corresponding SEER data by age </w:t>
      </w:r>
      <w:proofErr w:type="spellStart"/>
      <w:r w:rsidRPr="00E62211">
        <w:t>decile</w:t>
      </w:r>
      <w:proofErr w:type="spellEnd"/>
      <w:r>
        <w:t>.</w:t>
      </w:r>
      <w:proofErr w:type="gramEnd"/>
    </w:p>
    <w:p w:rsidR="000167A3" w:rsidRDefault="002C5336" w:rsidP="00FA2E75">
      <w:r>
        <w:rPr>
          <w:noProof/>
          <w:lang w:eastAsia="en-AU"/>
        </w:rPr>
        <w:drawing>
          <wp:inline distT="0" distB="0" distL="0" distR="0">
            <wp:extent cx="4705350" cy="2171700"/>
            <wp:effectExtent l="19050" t="0" r="0" b="0"/>
            <wp:docPr id="9" name="Picture 9" descr="Table 5: Descriptive analysis of incidence of prostate cancer by age decile in STI571BI03 in context of corresponding SEER data by age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
                    <pic:cNvPicPr>
                      <a:picLocks noChangeAspect="1" noChangeArrowheads="1"/>
                    </pic:cNvPicPr>
                  </pic:nvPicPr>
                  <pic:blipFill>
                    <a:blip r:embed="rId22" cstate="print"/>
                    <a:srcRect/>
                    <a:stretch>
                      <a:fillRect/>
                    </a:stretch>
                  </pic:blipFill>
                  <pic:spPr bwMode="auto">
                    <a:xfrm>
                      <a:off x="0" y="0"/>
                      <a:ext cx="4705350" cy="2171700"/>
                    </a:xfrm>
                    <a:prstGeom prst="rect">
                      <a:avLst/>
                    </a:prstGeom>
                    <a:noFill/>
                    <a:ln w="9525">
                      <a:noFill/>
                      <a:miter lim="800000"/>
                      <a:headEnd/>
                      <a:tailEnd/>
                    </a:ln>
                  </pic:spPr>
                </pic:pic>
              </a:graphicData>
            </a:graphic>
          </wp:inline>
        </w:drawing>
      </w:r>
    </w:p>
    <w:p w:rsidR="00065D89" w:rsidRPr="00065D89" w:rsidRDefault="00065D89" w:rsidP="00FA2E75">
      <w:pPr>
        <w:pStyle w:val="Notes"/>
      </w:pPr>
      <w:r w:rsidRPr="00065D89">
        <w:t>*One case is excluded as pre</w:t>
      </w:r>
      <w:r w:rsidR="001A787B">
        <w:t xml:space="preserve"> </w:t>
      </w:r>
      <w:r w:rsidRPr="00065D89">
        <w:t xml:space="preserve">existing prostate cancer: </w:t>
      </w:r>
      <w:r>
        <w:t>this p</w:t>
      </w:r>
      <w:r w:rsidRPr="00065D89">
        <w:t>atient</w:t>
      </w:r>
      <w:r>
        <w:t xml:space="preserve"> </w:t>
      </w:r>
      <w:r w:rsidRPr="00065D89">
        <w:t>had a PSA of 15.7ng</w:t>
      </w:r>
      <w:r w:rsidR="001A787B">
        <w:t xml:space="preserve">/ml prior to onset of </w:t>
      </w:r>
      <w:proofErr w:type="spellStart"/>
      <w:r w:rsidR="001A787B">
        <w:t>imatinib</w:t>
      </w:r>
      <w:proofErr w:type="spellEnd"/>
      <w:r w:rsidR="001A787B">
        <w:t xml:space="preserve">. </w:t>
      </w:r>
      <w:r w:rsidRPr="00065D89">
        <w:t xml:space="preserve">This is consistent with </w:t>
      </w:r>
      <w:r>
        <w:t>pre</w:t>
      </w:r>
      <w:r w:rsidR="001A787B">
        <w:t xml:space="preserve"> </w:t>
      </w:r>
      <w:r>
        <w:t xml:space="preserve">existing </w:t>
      </w:r>
      <w:r w:rsidRPr="00065D89">
        <w:t>prostate cancer; however the patient wa</w:t>
      </w:r>
      <w:r>
        <w:t xml:space="preserve">s reported to be diagnosed with </w:t>
      </w:r>
      <w:r w:rsidRPr="00065D89">
        <w:t xml:space="preserve">prostate cancer after start of </w:t>
      </w:r>
      <w:proofErr w:type="spellStart"/>
      <w:r w:rsidRPr="00065D89">
        <w:t>imatinib</w:t>
      </w:r>
      <w:proofErr w:type="spellEnd"/>
      <w:r w:rsidRPr="00065D89">
        <w:t xml:space="preserve"> therapy.</w:t>
      </w:r>
    </w:p>
    <w:p w:rsidR="00065D89" w:rsidRDefault="00065D89" w:rsidP="00065D89">
      <w:r w:rsidRPr="00065D89">
        <w:t>This descriptive analysis has several limitations. First, it</w:t>
      </w:r>
      <w:r>
        <w:t xml:space="preserve"> does not take into account the </w:t>
      </w:r>
      <w:r w:rsidRPr="00065D89">
        <w:t xml:space="preserve">exposure period to </w:t>
      </w:r>
      <w:proofErr w:type="spellStart"/>
      <w:r w:rsidRPr="00065D89">
        <w:t>imatinib</w:t>
      </w:r>
      <w:proofErr w:type="spellEnd"/>
      <w:r w:rsidRPr="00065D89">
        <w:t xml:space="preserve"> or the duration of ti</w:t>
      </w:r>
      <w:r>
        <w:t xml:space="preserve">me since </w:t>
      </w:r>
      <w:proofErr w:type="spellStart"/>
      <w:r>
        <w:t>imatinib</w:t>
      </w:r>
      <w:proofErr w:type="spellEnd"/>
      <w:r>
        <w:t xml:space="preserve"> was initiated </w:t>
      </w:r>
      <w:r w:rsidRPr="00065D89">
        <w:t>compared to the diagnosis of prostate cancer. Second, there is a bias in that patients in</w:t>
      </w:r>
      <w:r>
        <w:t xml:space="preserve"> </w:t>
      </w:r>
      <w:r w:rsidRPr="00065D89">
        <w:t>clinical trials are more likely to be diagnosed with concurrent medical conditions than</w:t>
      </w:r>
      <w:r>
        <w:t xml:space="preserve"> </w:t>
      </w:r>
      <w:r w:rsidRPr="00065D89">
        <w:t>the general population due to ongoing thorough medical evaluation. Third, when</w:t>
      </w:r>
      <w:r>
        <w:t xml:space="preserve"> </w:t>
      </w:r>
      <w:r w:rsidRPr="00065D89">
        <w:t>examining multiple different types of events, it is likely that some apparent associations</w:t>
      </w:r>
      <w:r>
        <w:t xml:space="preserve"> </w:t>
      </w:r>
      <w:r w:rsidRPr="00065D89">
        <w:t>might occur “by chance” due to natural variability. Finally, an interpretation of the</w:t>
      </w:r>
      <w:r>
        <w:t xml:space="preserve"> </w:t>
      </w:r>
      <w:r w:rsidRPr="00065D89">
        <w:t>observed prostate cancer incidence should also be viewed in the context of low</w:t>
      </w:r>
      <w:r>
        <w:t xml:space="preserve"> </w:t>
      </w:r>
      <w:r w:rsidRPr="00065D89">
        <w:t>absolute numbers of patients with the disease in a single, relatively small study.</w:t>
      </w:r>
      <w:r>
        <w:t xml:space="preserve"> </w:t>
      </w:r>
      <w:r w:rsidRPr="00065D89">
        <w:t>Novartis commits to providing an epidemiology report on the association between</w:t>
      </w:r>
      <w:r>
        <w:t xml:space="preserve"> </w:t>
      </w:r>
      <w:proofErr w:type="spellStart"/>
      <w:r w:rsidRPr="00065D89">
        <w:t>imatinib</w:t>
      </w:r>
      <w:proofErr w:type="spellEnd"/>
      <w:r w:rsidRPr="00065D89">
        <w:t xml:space="preserve"> and prostate cancer when this becomes available. Please note that this report</w:t>
      </w:r>
      <w:r>
        <w:t xml:space="preserve"> </w:t>
      </w:r>
      <w:r w:rsidRPr="00065D89">
        <w:t>is not specific to prostate cancer. It will contain additional data on the frequency of</w:t>
      </w:r>
      <w:r>
        <w:t xml:space="preserve"> </w:t>
      </w:r>
      <w:r w:rsidRPr="00065D89">
        <w:t>second primary malignancies including prostate cancer.</w:t>
      </w:r>
    </w:p>
    <w:p w:rsidR="00F932A0" w:rsidRPr="000D405E" w:rsidRDefault="00F932A0" w:rsidP="00F932A0">
      <w:pPr>
        <w:pStyle w:val="Heading5"/>
      </w:pPr>
      <w:r>
        <w:t>Concluding remarks</w:t>
      </w:r>
    </w:p>
    <w:p w:rsidR="00F932A0" w:rsidRDefault="00F932A0" w:rsidP="00065D89">
      <w:r>
        <w:t xml:space="preserve">Novartis welcomes the Delegate’s recommendation to approve the extension of treatment to 3 years of </w:t>
      </w:r>
      <w:proofErr w:type="spellStart"/>
      <w:r>
        <w:t>Glivec</w:t>
      </w:r>
      <w:proofErr w:type="spellEnd"/>
      <w:r>
        <w:t xml:space="preserve"> for the adjuvant treatment of adult patients following c</w:t>
      </w:r>
      <w:r w:rsidR="00AD1170">
        <w:t>omplete gross restriction of KIT</w:t>
      </w:r>
      <w:r w:rsidR="00A543DB">
        <w:t xml:space="preserve"> (CD117) positive primary G</w:t>
      </w:r>
      <w:r>
        <w:t>I</w:t>
      </w:r>
      <w:r w:rsidR="00A543DB">
        <w:t>S</w:t>
      </w:r>
      <w:r>
        <w:t>T. Novartis do not believe that the indication should be restricted to high risk patients as a benefit is also observed in patients that have a lower risk categorisation. Furthermore, we have presented a viable alternative that aligns with the treatment practice and the risk/benefit observed in the pivotal trial.</w:t>
      </w:r>
    </w:p>
    <w:p w:rsidR="00FA2E75" w:rsidRDefault="00FA2E75">
      <w:pPr>
        <w:spacing w:before="0" w:after="0" w:line="240" w:lineRule="auto"/>
        <w:rPr>
          <w:b/>
          <w:bCs/>
          <w:szCs w:val="21"/>
        </w:rPr>
      </w:pPr>
      <w:r>
        <w:br w:type="page"/>
      </w:r>
    </w:p>
    <w:p w:rsidR="008E7846" w:rsidRDefault="00206F89" w:rsidP="00FA2E75">
      <w:pPr>
        <w:pStyle w:val="Heading4"/>
      </w:pPr>
      <w:r>
        <w:lastRenderedPageBreak/>
        <w:t>Advisory c</w:t>
      </w:r>
      <w:r w:rsidR="008E7846">
        <w:t xml:space="preserve">ommittee </w:t>
      </w:r>
      <w:r>
        <w:t>c</w:t>
      </w:r>
      <w:r w:rsidR="008E7846">
        <w:t>onsiderations</w:t>
      </w:r>
    </w:p>
    <w:p w:rsidR="00797259" w:rsidRPr="000266AF" w:rsidRDefault="00797259" w:rsidP="000266AF">
      <w:r w:rsidRPr="000266AF">
        <w:t>The ACPM (which has succeeded ADEC), taking into account the submitted evidence of efficacy, safety and quality, agreed with the delegate and considered these products to h</w:t>
      </w:r>
      <w:r w:rsidR="00DD5851">
        <w:t>ave an overall positive benefit-</w:t>
      </w:r>
      <w:r w:rsidRPr="000266AF">
        <w:t>risk profile for the approved indications to include duration of treatment of up to 3 years for the restricted indications of:</w:t>
      </w:r>
    </w:p>
    <w:p w:rsidR="00797259" w:rsidRPr="000266AF" w:rsidRDefault="00797259" w:rsidP="000266AF">
      <w:pPr>
        <w:ind w:left="720"/>
        <w:rPr>
          <w:i/>
        </w:rPr>
      </w:pPr>
      <w:r w:rsidRPr="000266AF">
        <w:rPr>
          <w:i/>
        </w:rPr>
        <w:t xml:space="preserve">Adjuvant treatment of adult patients at high risk of recurrence following complete gross resection of </w:t>
      </w:r>
      <w:r w:rsidRPr="00AD1170">
        <w:t>KIT</w:t>
      </w:r>
      <w:r w:rsidRPr="000266AF">
        <w:rPr>
          <w:i/>
        </w:rPr>
        <w:t xml:space="preserve"> (CD 117) – positive pri</w:t>
      </w:r>
      <w:r w:rsidR="00FA2E75">
        <w:rPr>
          <w:i/>
        </w:rPr>
        <w:t>mary GIST (See Clinical Trials)</w:t>
      </w:r>
    </w:p>
    <w:p w:rsidR="00797259" w:rsidRPr="000266AF" w:rsidRDefault="00797259" w:rsidP="000266AF">
      <w:pPr>
        <w:rPr>
          <w:highlight w:val="yellow"/>
        </w:rPr>
      </w:pPr>
      <w:r w:rsidRPr="000266AF">
        <w:t xml:space="preserve">The ACPM agreed with the </w:t>
      </w:r>
      <w:r w:rsidR="000266AF">
        <w:t>D</w:t>
      </w:r>
      <w:r w:rsidRPr="000266AF">
        <w:t>elegate to the proposed amendme</w:t>
      </w:r>
      <w:r w:rsidR="000266AF">
        <w:t>nts to the PI</w:t>
      </w:r>
      <w:r w:rsidRPr="000266AF">
        <w:t xml:space="preserve"> and Consumer Medicine Information (CMI) and specifically advised on the inclusion of the f</w:t>
      </w:r>
      <w:r w:rsidR="00FA2E75">
        <w:t>ollowing:</w:t>
      </w:r>
    </w:p>
    <w:p w:rsidR="00797259" w:rsidRPr="000266AF" w:rsidRDefault="00797259" w:rsidP="00FA2E75">
      <w:pPr>
        <w:pStyle w:val="ListBullet"/>
      </w:pPr>
      <w:proofErr w:type="gramStart"/>
      <w:r w:rsidRPr="000266AF">
        <w:t>a</w:t>
      </w:r>
      <w:proofErr w:type="gramEnd"/>
      <w:r w:rsidRPr="000266AF">
        <w:t xml:space="preserve"> statement in the Drug Interactions section of the PI and relevant section of the CMI to reflect the poten</w:t>
      </w:r>
      <w:r w:rsidR="00FA2E75">
        <w:t>tial concerns with paracetamol.</w:t>
      </w:r>
    </w:p>
    <w:p w:rsidR="00797259" w:rsidRPr="000266AF" w:rsidRDefault="00797259" w:rsidP="000266AF">
      <w:r w:rsidRPr="000266AF">
        <w:t xml:space="preserve">The ACPM agreed with the </w:t>
      </w:r>
      <w:r w:rsidR="000266AF">
        <w:t>D</w:t>
      </w:r>
      <w:r w:rsidRPr="000266AF">
        <w:t>elegate on the proposed conditions of registration.</w:t>
      </w:r>
      <w:r w:rsidR="00334797">
        <w:t xml:space="preserve"> </w:t>
      </w:r>
      <w:r w:rsidRPr="000266AF">
        <w:t>The ACPM advised that the implementation by the sponsor of the recommendations outlined above to the satisfaction of the TGA, in addition to the evidence of efficacy and safety provided would support the safe and e</w:t>
      </w:r>
      <w:r w:rsidR="00FA2E75">
        <w:t>ffective use of these products.</w:t>
      </w:r>
    </w:p>
    <w:p w:rsidR="008E7846" w:rsidRPr="002E238E" w:rsidRDefault="008E7846" w:rsidP="00FA2E75">
      <w:pPr>
        <w:pStyle w:val="Heading3"/>
      </w:pPr>
      <w:bookmarkStart w:id="110" w:name="_Toc247691532"/>
      <w:bookmarkStart w:id="111" w:name="_Toc314842516"/>
      <w:bookmarkStart w:id="112" w:name="_Toc361309733"/>
      <w:bookmarkEnd w:id="78"/>
      <w:bookmarkEnd w:id="107"/>
      <w:bookmarkEnd w:id="108"/>
      <w:r>
        <w:t>Outcome</w:t>
      </w:r>
      <w:bookmarkEnd w:id="110"/>
      <w:bookmarkEnd w:id="111"/>
      <w:bookmarkEnd w:id="112"/>
    </w:p>
    <w:p w:rsidR="008E7846" w:rsidRDefault="008E7846" w:rsidP="00FA2E75">
      <w:r>
        <w:t xml:space="preserve">Based on a review of quality, safety and efficacy, TGA approved the registration </w:t>
      </w:r>
      <w:r w:rsidR="001B54C5">
        <w:t xml:space="preserve">of </w:t>
      </w:r>
      <w:proofErr w:type="spellStart"/>
      <w:r w:rsidR="001B54C5">
        <w:t>Glivec</w:t>
      </w:r>
      <w:proofErr w:type="spellEnd"/>
      <w:r w:rsidR="001B54C5" w:rsidRPr="001B54C5">
        <w:t xml:space="preserve"> containing </w:t>
      </w:r>
      <w:proofErr w:type="spellStart"/>
      <w:r w:rsidR="001B54C5" w:rsidRPr="001B54C5">
        <w:t>imatinib</w:t>
      </w:r>
      <w:proofErr w:type="spellEnd"/>
      <w:r w:rsidR="001B54C5" w:rsidRPr="001B54C5">
        <w:t xml:space="preserve"> (as </w:t>
      </w:r>
      <w:proofErr w:type="spellStart"/>
      <w:r w:rsidR="001B54C5" w:rsidRPr="001B54C5">
        <w:t>mesylate</w:t>
      </w:r>
      <w:proofErr w:type="spellEnd"/>
      <w:r w:rsidR="001B54C5" w:rsidRPr="001B54C5">
        <w:t xml:space="preserve">) for the new duration of adjuvant treatment in gastrointestinal </w:t>
      </w:r>
      <w:proofErr w:type="spellStart"/>
      <w:r w:rsidR="001B54C5" w:rsidRPr="001B54C5">
        <w:t>stromal</w:t>
      </w:r>
      <w:proofErr w:type="spellEnd"/>
      <w:r w:rsidR="001B54C5" w:rsidRPr="001B54C5">
        <w:t xml:space="preserve"> tumours (GIST) to </w:t>
      </w:r>
      <w:r w:rsidR="00156D51">
        <w:t>3</w:t>
      </w:r>
      <w:r w:rsidR="001B54C5" w:rsidRPr="001B54C5">
        <w:t xml:space="preserve"> years</w:t>
      </w:r>
      <w:r w:rsidR="001B54C5">
        <w:t>.</w:t>
      </w:r>
    </w:p>
    <w:p w:rsidR="008E7846" w:rsidRDefault="001B54C5" w:rsidP="00FA2E75">
      <w:r>
        <w:t>The full indications</w:t>
      </w:r>
      <w:r w:rsidR="004E28B8">
        <w:t xml:space="preserve"> are:</w:t>
      </w:r>
    </w:p>
    <w:p w:rsidR="004E28B8" w:rsidRDefault="004E28B8" w:rsidP="00FA2E75">
      <w:proofErr w:type="spellStart"/>
      <w:r>
        <w:t>Glivec</w:t>
      </w:r>
      <w:proofErr w:type="spellEnd"/>
      <w:r>
        <w:t xml:space="preserve"> is indicated for the treatment of:</w:t>
      </w:r>
    </w:p>
    <w:p w:rsidR="004E28B8" w:rsidRDefault="004E28B8" w:rsidP="00FA2E75">
      <w:pPr>
        <w:pStyle w:val="ListBullet"/>
      </w:pPr>
      <w:proofErr w:type="gramStart"/>
      <w:r>
        <w:t>patients</w:t>
      </w:r>
      <w:proofErr w:type="gramEnd"/>
      <w:r>
        <w:t xml:space="preserve"> with chronic myeloid leukaemia (CML).</w:t>
      </w:r>
    </w:p>
    <w:p w:rsidR="004E28B8" w:rsidRDefault="004E28B8" w:rsidP="00FA2E75">
      <w:pPr>
        <w:pStyle w:val="ListBullet"/>
      </w:pPr>
      <w:proofErr w:type="gramStart"/>
      <w:r>
        <w:t>patients</w:t>
      </w:r>
      <w:proofErr w:type="gramEnd"/>
      <w:r>
        <w:t xml:space="preserve"> with </w:t>
      </w:r>
      <w:r w:rsidR="00AD1170">
        <w:t>KIT</w:t>
      </w:r>
      <w:r>
        <w:t xml:space="preserve"> (CD117) positive </w:t>
      </w:r>
      <w:proofErr w:type="spellStart"/>
      <w:r>
        <w:t>unresectable</w:t>
      </w:r>
      <w:proofErr w:type="spellEnd"/>
      <w:r>
        <w:t xml:space="preserve"> and/or metastatic malignant gastrointestinal </w:t>
      </w:r>
      <w:proofErr w:type="spellStart"/>
      <w:r>
        <w:t>stromal</w:t>
      </w:r>
      <w:proofErr w:type="spellEnd"/>
      <w:r>
        <w:t xml:space="preserve"> tumours (GIST).</w:t>
      </w:r>
    </w:p>
    <w:p w:rsidR="004E28B8" w:rsidRDefault="004E28B8" w:rsidP="00FA2E75">
      <w:pPr>
        <w:pStyle w:val="ListBullet"/>
      </w:pPr>
      <w:proofErr w:type="gramStart"/>
      <w:r>
        <w:t>adjuvant</w:t>
      </w:r>
      <w:proofErr w:type="gramEnd"/>
      <w:r>
        <w:t xml:space="preserve"> treatment of adult patients at high risk of recurrence following complete gross resection of KIT (CD117)</w:t>
      </w:r>
      <w:r w:rsidR="00A9737D">
        <w:t xml:space="preserve"> </w:t>
      </w:r>
      <w:r>
        <w:t>positive primary GIST (see Dosage and Administration and Clinical Trials).</w:t>
      </w:r>
    </w:p>
    <w:p w:rsidR="004E28B8" w:rsidRDefault="004E28B8" w:rsidP="00FA2E75">
      <w:pPr>
        <w:pStyle w:val="ListBullet"/>
      </w:pPr>
      <w:proofErr w:type="gramStart"/>
      <w:r>
        <w:t>adult</w:t>
      </w:r>
      <w:proofErr w:type="gramEnd"/>
      <w:r>
        <w:t xml:space="preserve"> patients with newly diagnosed Philadelphia chromosome positive acute lymphoblastic leukaemia (Ph+ ALL) integrated with chemotherapy.</w:t>
      </w:r>
    </w:p>
    <w:p w:rsidR="004E28B8" w:rsidRDefault="004E28B8" w:rsidP="00FA2E75">
      <w:pPr>
        <w:pStyle w:val="ListBullet"/>
      </w:pPr>
      <w:proofErr w:type="gramStart"/>
      <w:r>
        <w:t>adult</w:t>
      </w:r>
      <w:proofErr w:type="gramEnd"/>
      <w:r>
        <w:t xml:space="preserve"> patients with relapsed or ref</w:t>
      </w:r>
      <w:r w:rsidR="00FA2E75">
        <w:t xml:space="preserve">ractory Ph+ ALL as </w:t>
      </w:r>
      <w:proofErr w:type="spellStart"/>
      <w:r w:rsidR="00FA2E75">
        <w:t>monotherapy</w:t>
      </w:r>
      <w:proofErr w:type="spellEnd"/>
      <w:r w:rsidR="00FA2E75">
        <w:t>.</w:t>
      </w:r>
    </w:p>
    <w:p w:rsidR="004E28B8" w:rsidRDefault="004E28B8" w:rsidP="00FA2E75">
      <w:pPr>
        <w:pStyle w:val="ListBullet"/>
      </w:pPr>
      <w:proofErr w:type="gramStart"/>
      <w:r>
        <w:t>adult</w:t>
      </w:r>
      <w:proofErr w:type="gramEnd"/>
      <w:r>
        <w:t xml:space="preserve"> patients with </w:t>
      </w:r>
      <w:proofErr w:type="spellStart"/>
      <w:r>
        <w:t>myelodysplastic</w:t>
      </w:r>
      <w:proofErr w:type="spellEnd"/>
      <w:r>
        <w:t>/</w:t>
      </w:r>
      <w:proofErr w:type="spellStart"/>
      <w:r>
        <w:t>myeloproliferative</w:t>
      </w:r>
      <w:proofErr w:type="spellEnd"/>
      <w:r>
        <w:t xml:space="preserve"> diseases (MDS/MPD) associated with platelet</w:t>
      </w:r>
      <w:r w:rsidR="00A9737D">
        <w:t xml:space="preserve"> </w:t>
      </w:r>
      <w:r>
        <w:t xml:space="preserve">derived growth </w:t>
      </w:r>
      <w:r w:rsidR="00A9737D">
        <w:t>factor receptor (PDGFR) gene re</w:t>
      </w:r>
      <w:r>
        <w:t>arrangements, where conventional therapies have failed.</w:t>
      </w:r>
    </w:p>
    <w:p w:rsidR="004E28B8" w:rsidRDefault="004E28B8" w:rsidP="00FA2E75">
      <w:pPr>
        <w:pStyle w:val="ListBullet"/>
      </w:pPr>
      <w:proofErr w:type="gramStart"/>
      <w:r>
        <w:t>adult</w:t>
      </w:r>
      <w:proofErr w:type="gramEnd"/>
      <w:r>
        <w:t xml:space="preserve"> patients with aggressive systemic </w:t>
      </w:r>
      <w:proofErr w:type="spellStart"/>
      <w:r>
        <w:t>mastocytosis</w:t>
      </w:r>
      <w:proofErr w:type="spellEnd"/>
      <w:r>
        <w:t xml:space="preserve"> (ASM) where conv</w:t>
      </w:r>
      <w:r w:rsidR="00FA2E75">
        <w:t>entional therapies have failed.</w:t>
      </w:r>
    </w:p>
    <w:p w:rsidR="004E28B8" w:rsidRDefault="004E28B8" w:rsidP="00FA2E75">
      <w:pPr>
        <w:pStyle w:val="ListBullet"/>
      </w:pPr>
      <w:proofErr w:type="gramStart"/>
      <w:r>
        <w:t>adult</w:t>
      </w:r>
      <w:proofErr w:type="gramEnd"/>
      <w:r>
        <w:t xml:space="preserve"> patients with </w:t>
      </w:r>
      <w:proofErr w:type="spellStart"/>
      <w:r>
        <w:t>hypereosinophilic</w:t>
      </w:r>
      <w:proofErr w:type="spellEnd"/>
      <w:r>
        <w:t xml:space="preserve"> syndrome (HES) and/or chronic </w:t>
      </w:r>
      <w:proofErr w:type="spellStart"/>
      <w:r>
        <w:t>eosinophilic</w:t>
      </w:r>
      <w:proofErr w:type="spellEnd"/>
      <w:r>
        <w:t xml:space="preserve"> leukaemia (CEL).</w:t>
      </w:r>
    </w:p>
    <w:p w:rsidR="001B54C5" w:rsidRDefault="004E28B8" w:rsidP="00FA2E75">
      <w:pPr>
        <w:pStyle w:val="ListBullet"/>
      </w:pPr>
      <w:proofErr w:type="gramStart"/>
      <w:r>
        <w:t>adult</w:t>
      </w:r>
      <w:proofErr w:type="gramEnd"/>
      <w:r>
        <w:t xml:space="preserve"> patients with </w:t>
      </w:r>
      <w:proofErr w:type="spellStart"/>
      <w:r>
        <w:t>unresectable</w:t>
      </w:r>
      <w:proofErr w:type="spellEnd"/>
      <w:r>
        <w:t xml:space="preserve">, recurrent and/or metastatic </w:t>
      </w:r>
      <w:proofErr w:type="spellStart"/>
      <w:r>
        <w:t>dermatofibrosarcoma</w:t>
      </w:r>
      <w:proofErr w:type="spellEnd"/>
      <w:r>
        <w:t xml:space="preserve"> </w:t>
      </w:r>
      <w:proofErr w:type="spellStart"/>
      <w:r>
        <w:t>protuberans</w:t>
      </w:r>
      <w:proofErr w:type="spellEnd"/>
      <w:r>
        <w:t xml:space="preserve"> (DFSP).</w:t>
      </w:r>
    </w:p>
    <w:p w:rsidR="00FA2E75" w:rsidRDefault="00FA2E75">
      <w:pPr>
        <w:spacing w:before="0" w:after="0" w:line="240" w:lineRule="auto"/>
        <w:rPr>
          <w:b/>
          <w:bCs/>
          <w:szCs w:val="21"/>
        </w:rPr>
      </w:pPr>
      <w:r>
        <w:br w:type="page"/>
      </w:r>
    </w:p>
    <w:p w:rsidR="00A9737D" w:rsidRPr="00EE359A" w:rsidRDefault="00A9737D" w:rsidP="00FA2E75">
      <w:pPr>
        <w:pStyle w:val="Heading4"/>
      </w:pPr>
      <w:r w:rsidRPr="00EE359A">
        <w:lastRenderedPageBreak/>
        <w:t>Specific conditions of registration applying to these therapeutic goods:</w:t>
      </w:r>
    </w:p>
    <w:p w:rsidR="00A9737D" w:rsidRDefault="00A9737D" w:rsidP="00FA2E75">
      <w:pPr>
        <w:pStyle w:val="Numberbullet0"/>
        <w:numPr>
          <w:ilvl w:val="0"/>
          <w:numId w:val="49"/>
        </w:numPr>
      </w:pPr>
      <w:r>
        <w:t xml:space="preserve">The implementation in Australia of the </w:t>
      </w:r>
      <w:proofErr w:type="spellStart"/>
      <w:r>
        <w:t>imatinib</w:t>
      </w:r>
      <w:proofErr w:type="spellEnd"/>
      <w:r>
        <w:t xml:space="preserve"> (as </w:t>
      </w:r>
      <w:proofErr w:type="spellStart"/>
      <w:r w:rsidR="0013383F">
        <w:t>mesylate</w:t>
      </w:r>
      <w:proofErr w:type="spellEnd"/>
      <w:r w:rsidR="0013383F">
        <w:t>) RMP</w:t>
      </w:r>
      <w:r>
        <w:t xml:space="preserve">, version 5, data lock point 10 May 2011, and an Australian Specific Annex version 5, dated 4 November 2011, and any subsequent revisions, as agreed with the TGA and its </w:t>
      </w:r>
      <w:r w:rsidR="0013383F">
        <w:t>OPR</w:t>
      </w:r>
      <w:r>
        <w:t>.</w:t>
      </w:r>
    </w:p>
    <w:p w:rsidR="00A9737D" w:rsidRPr="003022A6" w:rsidRDefault="00A9737D" w:rsidP="00FA2E75">
      <w:pPr>
        <w:pStyle w:val="Numberbullet0"/>
        <w:numPr>
          <w:ilvl w:val="0"/>
          <w:numId w:val="49"/>
        </w:numPr>
      </w:pPr>
      <w:r>
        <w:t xml:space="preserve">The epidemiology report on the association between </w:t>
      </w:r>
      <w:proofErr w:type="spellStart"/>
      <w:r>
        <w:t>imatinib</w:t>
      </w:r>
      <w:proofErr w:type="spellEnd"/>
      <w:r>
        <w:t xml:space="preserve"> and secondary cancers including prostate cancer is to be submitted when available (due December 2012).</w:t>
      </w:r>
    </w:p>
    <w:p w:rsidR="008E7846" w:rsidRDefault="008E7846" w:rsidP="008E7846">
      <w:pPr>
        <w:pStyle w:val="Heading2"/>
      </w:pPr>
      <w:bookmarkStart w:id="113" w:name="_Toc247691533"/>
      <w:bookmarkStart w:id="114" w:name="_Toc314842517"/>
      <w:bookmarkStart w:id="115" w:name="_Toc361309734"/>
      <w:proofErr w:type="gramStart"/>
      <w:r>
        <w:t>Attachment 1.</w:t>
      </w:r>
      <w:proofErr w:type="gramEnd"/>
      <w:r>
        <w:tab/>
        <w:t xml:space="preserve">Product </w:t>
      </w:r>
      <w:r w:rsidR="00AA0ED0">
        <w:t>I</w:t>
      </w:r>
      <w:r>
        <w:t>nformation</w:t>
      </w:r>
      <w:bookmarkEnd w:id="113"/>
      <w:bookmarkEnd w:id="114"/>
      <w:bookmarkEnd w:id="115"/>
    </w:p>
    <w:p w:rsidR="003D1E62" w:rsidRDefault="008E7846" w:rsidP="00AF50A1">
      <w:pPr>
        <w:autoSpaceDE w:val="0"/>
        <w:autoSpaceDN w:val="0"/>
        <w:adjustRightInd w:val="0"/>
        <w:spacing w:after="0"/>
        <w:rPr>
          <w:color w:val="000000"/>
          <w:lang w:eastAsia="en-AU"/>
        </w:rPr>
      </w:pPr>
      <w:r w:rsidRPr="0037352E">
        <w:t>The following Product Information was approved at the time this AusPAR was published. For the current Product Information please refer to the TGA website at</w:t>
      </w:r>
      <w:r w:rsidR="008F6943">
        <w:t xml:space="preserve"> &lt;</w:t>
      </w:r>
      <w:r w:rsidR="00722B57" w:rsidRPr="00722B57">
        <w:rPr>
          <w:rStyle w:val="Hyperlink"/>
        </w:rPr>
        <w:t>http://www.tga.gov.au/hp/information-medicines-pi.htm</w:t>
      </w:r>
      <w:hyperlink w:history="1"/>
      <w:r w:rsidR="00AF50A1">
        <w:rPr>
          <w:color w:val="000000"/>
          <w:lang w:eastAsia="en-AU"/>
        </w:rPr>
        <w:t>&gt;.</w:t>
      </w:r>
    </w:p>
    <w:p w:rsidR="005E2E01" w:rsidRDefault="005E2E01" w:rsidP="005E2E01">
      <w:pPr>
        <w:pStyle w:val="Heading2"/>
      </w:pPr>
      <w:bookmarkStart w:id="116" w:name="_Toc361309735"/>
      <w:proofErr w:type="gramStart"/>
      <w:r>
        <w:t>Attachment 2.</w:t>
      </w:r>
      <w:proofErr w:type="gramEnd"/>
      <w:r>
        <w:tab/>
        <w:t>Extract from the Clinical Evaluation Report</w:t>
      </w:r>
      <w:bookmarkEnd w:id="116"/>
    </w:p>
    <w:p w:rsidR="005E2E01" w:rsidRDefault="005E2E01" w:rsidP="00AF50A1">
      <w:pPr>
        <w:autoSpaceDE w:val="0"/>
        <w:autoSpaceDN w:val="0"/>
        <w:adjustRightInd w:val="0"/>
        <w:spacing w:after="0"/>
      </w:pPr>
    </w:p>
    <w:p w:rsidR="005E2E01" w:rsidRPr="00AF50A1" w:rsidRDefault="005E2E01" w:rsidP="00AF50A1">
      <w:pPr>
        <w:autoSpaceDE w:val="0"/>
        <w:autoSpaceDN w:val="0"/>
        <w:adjustRightInd w:val="0"/>
        <w:spacing w:after="0"/>
        <w:rPr>
          <w:color w:val="000000"/>
          <w:lang w:eastAsia="en-AU"/>
        </w:rPr>
        <w:sectPr w:rsidR="005E2E01" w:rsidRPr="00AF50A1" w:rsidSect="00B452CE">
          <w:headerReference w:type="even" r:id="rId23"/>
          <w:headerReference w:type="default" r:id="rId24"/>
          <w:footerReference w:type="default" r:id="rId25"/>
          <w:headerReference w:type="first" r:id="rId26"/>
          <w:footerReference w:type="first" r:id="rId27"/>
          <w:pgSz w:w="11906" w:h="16838" w:code="9"/>
          <w:pgMar w:top="834" w:right="1701" w:bottom="1191" w:left="1701" w:header="907" w:footer="216" w:gutter="0"/>
          <w:cols w:space="708"/>
          <w:docGrid w:linePitch="360"/>
        </w:sectPr>
      </w:pPr>
    </w:p>
    <w:p w:rsidR="00774E1D" w:rsidRPr="008A5E0B" w:rsidRDefault="00774E1D" w:rsidP="00973C1B"/>
    <w:sectPr w:rsidR="00774E1D" w:rsidRPr="008A5E0B" w:rsidSect="00E45619">
      <w:headerReference w:type="even" r:id="rId28"/>
      <w:headerReference w:type="default" r:id="rId29"/>
      <w:footerReference w:type="default" r:id="rId30"/>
      <w:headerReference w:type="first" r:id="rId31"/>
      <w:footerReference w:type="first" r:id="rId32"/>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6337" w:rsidRDefault="008B6337" w:rsidP="00C40A36">
      <w:pPr>
        <w:spacing w:after="0"/>
      </w:pPr>
      <w:r>
        <w:separator/>
      </w:r>
    </w:p>
  </w:endnote>
  <w:endnote w:type="continuationSeparator" w:id="0">
    <w:p w:rsidR="008B6337" w:rsidRDefault="008B6337"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0A3ACB" w:rsidRPr="00487162" w:rsidTr="0053625B">
      <w:trPr>
        <w:trHeight w:val="269"/>
      </w:trPr>
      <w:tc>
        <w:tcPr>
          <w:tcW w:w="7938" w:type="dxa"/>
          <w:tcMar>
            <w:top w:w="142" w:type="dxa"/>
            <w:bottom w:w="0" w:type="dxa"/>
          </w:tcMar>
        </w:tcPr>
        <w:p w:rsidR="000A3ACB" w:rsidRPr="00487162" w:rsidRDefault="000A3ACB" w:rsidP="00B3281F">
          <w:pPr>
            <w:pStyle w:val="Footer"/>
          </w:pPr>
          <w:proofErr w:type="spellStart"/>
          <w:r w:rsidRPr="00487162">
            <w:t>AusPAR</w:t>
          </w:r>
          <w:proofErr w:type="spellEnd"/>
          <w:r w:rsidRPr="00487162">
            <w:t xml:space="preserve"> </w:t>
          </w:r>
          <w:proofErr w:type="spellStart"/>
          <w:r>
            <w:t>Glivec</w:t>
          </w:r>
          <w:proofErr w:type="spellEnd"/>
          <w:r w:rsidRPr="00487162">
            <w:t xml:space="preserve"> </w:t>
          </w:r>
          <w:r w:rsidRPr="003F6FF8">
            <w:t>Novartis Pharmaceuticals Australia Pty Ltd</w:t>
          </w:r>
          <w:r>
            <w:t xml:space="preserve"> PM-2011-02797-3-4</w:t>
          </w:r>
          <w:r>
            <w:br/>
            <w:t xml:space="preserve">Final </w:t>
          </w:r>
          <w:r w:rsidR="00B3281F">
            <w:t xml:space="preserve">4 June </w:t>
          </w:r>
          <w:r>
            <w:t>2013</w:t>
          </w:r>
        </w:p>
      </w:tc>
      <w:tc>
        <w:tcPr>
          <w:tcW w:w="923" w:type="dxa"/>
          <w:tcMar>
            <w:top w:w="142" w:type="dxa"/>
            <w:bottom w:w="0" w:type="dxa"/>
          </w:tcMar>
        </w:tcPr>
        <w:p w:rsidR="000A3ACB" w:rsidRPr="00487162" w:rsidRDefault="000A3ACB" w:rsidP="00D855D4">
          <w:pPr>
            <w:pStyle w:val="Footer"/>
            <w:jc w:val="right"/>
          </w:pPr>
          <w:r w:rsidRPr="00487162">
            <w:t xml:space="preserve">Page </w:t>
          </w:r>
          <w:r>
            <w:t>2</w:t>
          </w:r>
          <w:r w:rsidRPr="00487162">
            <w:t xml:space="preserve"> of </w:t>
          </w:r>
          <w:fldSimple w:instr=" NUMPAGES  \* Arabic ">
            <w:r w:rsidR="001579CC">
              <w:rPr>
                <w:noProof/>
              </w:rPr>
              <w:t>32</w:t>
            </w:r>
          </w:fldSimple>
        </w:p>
      </w:tc>
    </w:tr>
  </w:tbl>
  <w:p w:rsidR="000A3ACB" w:rsidRDefault="000A3ACB"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ACB" w:rsidRDefault="000A3ACB" w:rsidP="00165389"/>
  <w:p w:rsidR="000A3ACB" w:rsidRDefault="000A3AC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5954"/>
      <w:gridCol w:w="2907"/>
    </w:tblGrid>
    <w:tr w:rsidR="000A3ACB" w:rsidRPr="00487162" w:rsidTr="00A92358">
      <w:trPr>
        <w:trHeight w:val="269"/>
      </w:trPr>
      <w:tc>
        <w:tcPr>
          <w:tcW w:w="5954" w:type="dxa"/>
          <w:tcMar>
            <w:top w:w="142" w:type="dxa"/>
            <w:bottom w:w="0" w:type="dxa"/>
          </w:tcMar>
        </w:tcPr>
        <w:p w:rsidR="000A3ACB" w:rsidRPr="00487162" w:rsidRDefault="000A3ACB" w:rsidP="00B3281F">
          <w:pPr>
            <w:pStyle w:val="Footer"/>
          </w:pPr>
          <w:proofErr w:type="spellStart"/>
          <w:r w:rsidRPr="00487162">
            <w:t>AusPAR</w:t>
          </w:r>
          <w:proofErr w:type="spellEnd"/>
          <w:r w:rsidRPr="00487162">
            <w:t xml:space="preserve"> </w:t>
          </w:r>
          <w:proofErr w:type="spellStart"/>
          <w:r>
            <w:t>Glivec</w:t>
          </w:r>
          <w:proofErr w:type="spellEnd"/>
          <w:r w:rsidRPr="00487162">
            <w:t xml:space="preserve"> </w:t>
          </w:r>
          <w:r w:rsidRPr="003F6FF8">
            <w:t>Novartis Pharmaceuticals Australia Pty Ltd</w:t>
          </w:r>
          <w:r>
            <w:t xml:space="preserve"> PM-2011-02797-3-4</w:t>
          </w:r>
          <w:r>
            <w:br/>
            <w:t xml:space="preserve">Final </w:t>
          </w:r>
          <w:r w:rsidR="00B3281F">
            <w:t>4 June</w:t>
          </w:r>
          <w:r>
            <w:t xml:space="preserve"> 2013</w:t>
          </w:r>
        </w:p>
      </w:tc>
      <w:tc>
        <w:tcPr>
          <w:tcW w:w="2907" w:type="dxa"/>
          <w:tcMar>
            <w:top w:w="142" w:type="dxa"/>
            <w:bottom w:w="0" w:type="dxa"/>
          </w:tcMar>
        </w:tcPr>
        <w:p w:rsidR="000A3ACB" w:rsidRPr="00487162" w:rsidRDefault="000A3ACB" w:rsidP="00E45619">
          <w:pPr>
            <w:pStyle w:val="Footer"/>
            <w:jc w:val="right"/>
          </w:pPr>
          <w:r w:rsidRPr="00487162">
            <w:t xml:space="preserve">Page </w:t>
          </w:r>
          <w:fldSimple w:instr="PAGE">
            <w:r w:rsidR="001579CC">
              <w:rPr>
                <w:noProof/>
              </w:rPr>
              <w:t>3</w:t>
            </w:r>
          </w:fldSimple>
          <w:r w:rsidRPr="00487162">
            <w:t xml:space="preserve"> of </w:t>
          </w:r>
          <w:fldSimple w:instr=" NUMPAGES  \* Arabic ">
            <w:r w:rsidR="001579CC">
              <w:rPr>
                <w:noProof/>
              </w:rPr>
              <w:t>32</w:t>
            </w:r>
          </w:fldSimple>
        </w:p>
      </w:tc>
    </w:tr>
  </w:tbl>
  <w:p w:rsidR="000A3ACB" w:rsidRDefault="000A3ACB"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0A3ACB" w:rsidRPr="00487162" w:rsidTr="00E45619">
      <w:trPr>
        <w:trHeight w:val="269"/>
      </w:trPr>
      <w:tc>
        <w:tcPr>
          <w:tcW w:w="4519" w:type="dxa"/>
          <w:tcBorders>
            <w:top w:val="single" w:sz="4" w:space="0" w:color="auto"/>
          </w:tcBorders>
          <w:tcMar>
            <w:top w:w="142" w:type="dxa"/>
            <w:bottom w:w="0" w:type="dxa"/>
          </w:tcMar>
        </w:tcPr>
        <w:p w:rsidR="000A3ACB" w:rsidRPr="00487162" w:rsidRDefault="000A3ACB" w:rsidP="00FE1DEE">
          <w:pPr>
            <w:pStyle w:val="Footer"/>
          </w:pPr>
          <w:r w:rsidRPr="00487162">
            <w:t>Document title, Part #, Section # - Section title</w:t>
          </w:r>
        </w:p>
        <w:p w:rsidR="000A3ACB" w:rsidRPr="00487162" w:rsidRDefault="000A3ACB" w:rsidP="00FE1DEE">
          <w:pPr>
            <w:pStyle w:val="Footer"/>
          </w:pPr>
          <w:r w:rsidRPr="00487162">
            <w:t>V1.0 October 2010</w:t>
          </w:r>
        </w:p>
      </w:tc>
      <w:tc>
        <w:tcPr>
          <w:tcW w:w="4342" w:type="dxa"/>
          <w:tcBorders>
            <w:top w:val="single" w:sz="4" w:space="0" w:color="auto"/>
          </w:tcBorders>
          <w:tcMar>
            <w:top w:w="142" w:type="dxa"/>
            <w:bottom w:w="0" w:type="dxa"/>
          </w:tcMar>
        </w:tcPr>
        <w:p w:rsidR="000A3ACB" w:rsidRPr="00487162" w:rsidRDefault="000A3ACB"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6</w:t>
            </w:r>
          </w:fldSimple>
        </w:p>
      </w:tc>
    </w:tr>
  </w:tbl>
  <w:p w:rsidR="000A3ACB" w:rsidRDefault="000A3AC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ACB" w:rsidRDefault="000A3ACB">
    <w:pPr>
      <w:pStyle w:val="Footer"/>
      <w:jc w:val="right"/>
    </w:pPr>
  </w:p>
  <w:tbl>
    <w:tblPr>
      <w:tblW w:w="9175" w:type="dxa"/>
      <w:tblInd w:w="-284" w:type="dxa"/>
      <w:tblLayout w:type="fixed"/>
      <w:tblCellMar>
        <w:left w:w="0" w:type="dxa"/>
        <w:right w:w="0" w:type="dxa"/>
      </w:tblCellMar>
      <w:tblLook w:val="04A0"/>
    </w:tblPr>
    <w:tblGrid>
      <w:gridCol w:w="9175"/>
    </w:tblGrid>
    <w:tr w:rsidR="000A3ACB" w:rsidRPr="00487162" w:rsidTr="00E45619">
      <w:trPr>
        <w:trHeight w:hRule="exact" w:val="704"/>
      </w:trPr>
      <w:tc>
        <w:tcPr>
          <w:tcW w:w="9175" w:type="dxa"/>
        </w:tcPr>
        <w:p w:rsidR="000A3ACB" w:rsidRPr="00487162" w:rsidRDefault="000A3ACB" w:rsidP="008E7846">
          <w:pPr>
            <w:pStyle w:val="TGASignoff"/>
          </w:pPr>
          <w:r w:rsidRPr="00487162">
            <w:t>Therapeutic Goods Administration</w:t>
          </w:r>
        </w:p>
      </w:tc>
    </w:tr>
    <w:tr w:rsidR="000A3ACB" w:rsidRPr="00487162" w:rsidTr="00E45619">
      <w:trPr>
        <w:trHeight w:val="1221"/>
      </w:trPr>
      <w:tc>
        <w:tcPr>
          <w:tcW w:w="9175" w:type="dxa"/>
          <w:tcMar>
            <w:top w:w="28" w:type="dxa"/>
          </w:tcMar>
        </w:tcPr>
        <w:p w:rsidR="000A3ACB" w:rsidRPr="00487162" w:rsidRDefault="000A3ACB" w:rsidP="00E45619">
          <w:pPr>
            <w:pStyle w:val="Address"/>
          </w:pPr>
          <w:r w:rsidRPr="00487162">
            <w:t>PO Box 100 Woden ACT 2606 Australia</w:t>
          </w:r>
        </w:p>
        <w:p w:rsidR="000A3ACB" w:rsidRPr="00487162" w:rsidRDefault="000A3ACB" w:rsidP="00E45619">
          <w:pPr>
            <w:pStyle w:val="Address"/>
          </w:pPr>
          <w:r w:rsidRPr="00487162">
            <w:t>Email: info@tga.gov.au</w:t>
          </w:r>
          <w:r>
            <w:t xml:space="preserve"> </w:t>
          </w:r>
          <w:r w:rsidRPr="00487162">
            <w:t>Phone: 1800 020 653</w:t>
          </w:r>
          <w:r>
            <w:t xml:space="preserve"> </w:t>
          </w:r>
          <w:r w:rsidRPr="00487162">
            <w:t>Fax: 02 6232 8605</w:t>
          </w:r>
        </w:p>
        <w:p w:rsidR="000A3ACB" w:rsidRPr="00112F56" w:rsidRDefault="001579CC" w:rsidP="00E45619">
          <w:pPr>
            <w:pStyle w:val="Address"/>
            <w:spacing w:line="260" w:lineRule="atLeast"/>
            <w:rPr>
              <w:rStyle w:val="Hyperlink"/>
              <w:b/>
            </w:rPr>
          </w:pPr>
          <w:hyperlink r:id="rId1" w:history="1">
            <w:r w:rsidRPr="009F1EB0">
              <w:rPr>
                <w:rStyle w:val="Hyperlink"/>
                <w:b/>
              </w:rPr>
              <w:t>http://www.tga.gov.au</w:t>
            </w:r>
          </w:hyperlink>
        </w:p>
        <w:p w:rsidR="000A3ACB" w:rsidRDefault="000A3ACB" w:rsidP="00E45619">
          <w:pPr>
            <w:pStyle w:val="Reference"/>
            <w:jc w:val="center"/>
          </w:pPr>
          <w:r w:rsidRPr="00487162">
            <w:t>Reference/Publication #</w:t>
          </w:r>
        </w:p>
        <w:p w:rsidR="000A3ACB" w:rsidRPr="00487162" w:rsidRDefault="000A3ACB" w:rsidP="00E45619">
          <w:pPr>
            <w:pStyle w:val="Reference"/>
            <w:ind w:firstLine="0"/>
          </w:pPr>
        </w:p>
      </w:tc>
    </w:tr>
  </w:tbl>
  <w:p w:rsidR="000A3ACB" w:rsidRDefault="000A3ACB" w:rsidP="008E7846">
    <w:pPr>
      <w:pStyle w:val="Notes"/>
    </w:pPr>
  </w:p>
  <w:p w:rsidR="000A3ACB" w:rsidRPr="008E7846" w:rsidRDefault="000A3ACB" w:rsidP="008E784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0A3ACB" w:rsidTr="0010601F">
      <w:trPr>
        <w:trHeight w:val="108"/>
      </w:trPr>
      <w:tc>
        <w:tcPr>
          <w:tcW w:w="8875" w:type="dxa"/>
          <w:gridSpan w:val="2"/>
          <w:tcBorders>
            <w:bottom w:val="single" w:sz="4" w:space="0" w:color="auto"/>
          </w:tcBorders>
          <w:tcMar>
            <w:right w:w="284" w:type="dxa"/>
          </w:tcMar>
        </w:tcPr>
        <w:p w:rsidR="000A3ACB" w:rsidRDefault="000A3ACB" w:rsidP="006E08B3">
          <w:pPr>
            <w:pStyle w:val="Heading3"/>
          </w:pPr>
          <w:r>
            <w:t>Copyright</w:t>
          </w:r>
        </w:p>
        <w:p w:rsidR="000A3ACB" w:rsidRDefault="000A3ACB" w:rsidP="006E08B3">
          <w:r>
            <w:rPr>
              <w:rFonts w:cs="Arial"/>
            </w:rPr>
            <w:t>©</w:t>
          </w:r>
          <w:r>
            <w:t xml:space="preserve"> Commonwealth of Australia [add year]</w:t>
          </w:r>
        </w:p>
        <w:p w:rsidR="000A3ACB" w:rsidRDefault="000A3ACB" w:rsidP="006E08B3"/>
        <w:p w:rsidR="000A3ACB" w:rsidRDefault="000A3AC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A3ACB" w:rsidRDefault="000A3ACB" w:rsidP="006E08B3"/>
        <w:p w:rsidR="000A3ACB" w:rsidRDefault="000A3ACB" w:rsidP="006E08B3">
          <w:pPr>
            <w:pStyle w:val="Heading3"/>
          </w:pPr>
          <w:r>
            <w:t>Confidentiality</w:t>
          </w:r>
        </w:p>
        <w:p w:rsidR="000A3ACB" w:rsidRDefault="000A3AC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A3ACB" w:rsidRDefault="000A3ACB" w:rsidP="006E08B3"/>
        <w:p w:rsidR="000A3ACB" w:rsidRDefault="000A3ACB" w:rsidP="006E08B3">
          <w:r>
            <w:t>For submission made by individuals, all personal details, other than your name, will be removed from your submission before it is published on the TGA’s Internet site.</w:t>
          </w:r>
        </w:p>
        <w:p w:rsidR="000A3ACB" w:rsidRDefault="000A3ACB" w:rsidP="006E08B3"/>
        <w:p w:rsidR="000A3ACB" w:rsidRDefault="000A3ACB"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0A3ACB" w:rsidTr="0010601F">
      <w:trPr>
        <w:trHeight w:val="417"/>
      </w:trPr>
      <w:tc>
        <w:tcPr>
          <w:tcW w:w="4519" w:type="dxa"/>
          <w:tcBorders>
            <w:top w:val="single" w:sz="4" w:space="0" w:color="auto"/>
          </w:tcBorders>
          <w:tcMar>
            <w:top w:w="142" w:type="dxa"/>
            <w:bottom w:w="0" w:type="dxa"/>
          </w:tcMar>
        </w:tcPr>
        <w:p w:rsidR="000A3ACB" w:rsidRDefault="000A3ACB" w:rsidP="006E08B3">
          <w:r>
            <w:t>Document title, Part #, Section # - Section title</w:t>
          </w:r>
        </w:p>
        <w:p w:rsidR="000A3ACB" w:rsidRDefault="000A3ACB" w:rsidP="006E08B3">
          <w:r>
            <w:t>V1.0 October 2010</w:t>
          </w:r>
        </w:p>
      </w:tc>
      <w:tc>
        <w:tcPr>
          <w:tcW w:w="4356" w:type="dxa"/>
          <w:tcBorders>
            <w:top w:val="single" w:sz="4" w:space="0" w:color="auto"/>
          </w:tcBorders>
          <w:tcMar>
            <w:top w:w="142" w:type="dxa"/>
            <w:bottom w:w="0" w:type="dxa"/>
          </w:tcMar>
        </w:tcPr>
        <w:p w:rsidR="000A3ACB" w:rsidRDefault="000A3ACB" w:rsidP="006E08B3">
          <w:pPr>
            <w:jc w:val="right"/>
          </w:pPr>
          <w:r>
            <w:t xml:space="preserve">Page </w:t>
          </w:r>
          <w:fldSimple w:instr=" PAGE   \* MERGEFORMAT ">
            <w:r>
              <w:rPr>
                <w:noProof/>
              </w:rPr>
              <w:t>1</w:t>
            </w:r>
          </w:fldSimple>
          <w:r>
            <w:t xml:space="preserve"> of </w:t>
          </w:r>
          <w:fldSimple w:instr=" NUMPAGES  \* Arabic ">
            <w:r>
              <w:rPr>
                <w:noProof/>
              </w:rPr>
              <w:t>1</w:t>
            </w:r>
          </w:fldSimple>
          <w:r>
            <w:t xml:space="preserve"> </w:t>
          </w:r>
        </w:p>
      </w:tc>
    </w:tr>
  </w:tbl>
  <w:p w:rsidR="000A3ACB" w:rsidRDefault="000A3AC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6337" w:rsidRDefault="008B6337" w:rsidP="00C40A36">
      <w:pPr>
        <w:spacing w:after="0"/>
      </w:pPr>
      <w:r>
        <w:separator/>
      </w:r>
    </w:p>
  </w:footnote>
  <w:footnote w:type="continuationSeparator" w:id="0">
    <w:p w:rsidR="008B6337" w:rsidRDefault="008B6337" w:rsidP="00C40A36">
      <w:pPr>
        <w:spacing w:after="0"/>
      </w:pPr>
      <w:r>
        <w:continuationSeparator/>
      </w:r>
    </w:p>
  </w:footnote>
  <w:footnote w:id="1">
    <w:p w:rsidR="000A3ACB" w:rsidRDefault="000A3ACB" w:rsidP="000A3ACB">
      <w:pPr>
        <w:pStyle w:val="Reference"/>
      </w:pPr>
      <w:r>
        <w:rPr>
          <w:rStyle w:val="FootnoteReference"/>
        </w:rPr>
        <w:footnoteRef/>
      </w:r>
      <w:r>
        <w:t xml:space="preserve">  </w:t>
      </w:r>
      <w:proofErr w:type="spellStart"/>
      <w:r w:rsidRPr="00807A95">
        <w:t>Joensuu</w:t>
      </w:r>
      <w:proofErr w:type="spellEnd"/>
      <w:r w:rsidRPr="00807A95">
        <w:t xml:space="preserve"> H, </w:t>
      </w:r>
      <w:r w:rsidRPr="00206F89">
        <w:rPr>
          <w:i/>
        </w:rPr>
        <w:t>et al.</w:t>
      </w:r>
      <w:r w:rsidRPr="00807A95">
        <w:t xml:space="preserve"> (2012) </w:t>
      </w:r>
      <w:proofErr w:type="gramStart"/>
      <w:r w:rsidRPr="00807A95">
        <w:t>One</w:t>
      </w:r>
      <w:proofErr w:type="gramEnd"/>
      <w:r w:rsidRPr="00807A95">
        <w:t xml:space="preserve"> </w:t>
      </w:r>
      <w:proofErr w:type="spellStart"/>
      <w:r w:rsidRPr="00807A95">
        <w:t>vs</w:t>
      </w:r>
      <w:proofErr w:type="spellEnd"/>
      <w:r w:rsidRPr="00807A95">
        <w:t xml:space="preserve"> three years of adjuvant </w:t>
      </w:r>
      <w:proofErr w:type="spellStart"/>
      <w:r w:rsidRPr="00807A95">
        <w:t>imatinib</w:t>
      </w:r>
      <w:proofErr w:type="spellEnd"/>
      <w:r w:rsidRPr="00807A95">
        <w:t xml:space="preserve"> for operable gastrointestinal </w:t>
      </w:r>
      <w:proofErr w:type="spellStart"/>
      <w:r w:rsidRPr="00807A95">
        <w:t>stromal</w:t>
      </w:r>
      <w:proofErr w:type="spellEnd"/>
      <w:r w:rsidRPr="00807A95">
        <w:t xml:space="preserve"> </w:t>
      </w:r>
      <w:proofErr w:type="spellStart"/>
      <w:r>
        <w:t>tumor</w:t>
      </w:r>
      <w:proofErr w:type="spellEnd"/>
      <w:r>
        <w:t xml:space="preserve">: a randomized trial. </w:t>
      </w:r>
      <w:r w:rsidRPr="00807A95">
        <w:rPr>
          <w:i/>
        </w:rPr>
        <w:t xml:space="preserve">JAMA </w:t>
      </w:r>
      <w:r>
        <w:t>307</w:t>
      </w:r>
      <w:r w:rsidRPr="00807A95">
        <w:t>:</w:t>
      </w:r>
      <w:r>
        <w:t xml:space="preserve"> </w:t>
      </w:r>
      <w:r w:rsidRPr="00807A95">
        <w:t>1265-</w:t>
      </w:r>
      <w:r>
        <w:t>12</w:t>
      </w:r>
      <w:r w:rsidRPr="00807A95">
        <w:t>72</w:t>
      </w:r>
      <w:r>
        <w:t>.</w:t>
      </w:r>
    </w:p>
  </w:footnote>
  <w:footnote w:id="2">
    <w:p w:rsidR="000A3ACB" w:rsidRDefault="000A3ACB" w:rsidP="000A3ACB">
      <w:pPr>
        <w:pStyle w:val="Reference"/>
      </w:pPr>
      <w:r>
        <w:rPr>
          <w:rStyle w:val="FootnoteReference"/>
        </w:rPr>
        <w:footnoteRef/>
      </w:r>
      <w:r>
        <w:t xml:space="preserve">  European Medicines Agency, “</w:t>
      </w:r>
      <w:r w:rsidRPr="009169E6">
        <w:t xml:space="preserve">Guideline on the evaluation of anticancer medicinal products in man </w:t>
      </w:r>
      <w:r>
        <w:t>(</w:t>
      </w:r>
      <w:r w:rsidRPr="009169E6">
        <w:t>EMA/CHMP/205/95/rev.4</w:t>
      </w:r>
      <w:r w:rsidRPr="00322BA0">
        <w:t>)”,</w:t>
      </w:r>
      <w:r>
        <w:t xml:space="preserve"> 15 December 2011</w:t>
      </w:r>
      <w:r w:rsidRPr="00322BA0">
        <w:t xml:space="preserve">, Web, accessed </w:t>
      </w:r>
      <w:r>
        <w:t>19 February 2013 &lt;</w:t>
      </w:r>
      <w:r w:rsidRPr="00206F89">
        <w:rPr>
          <w:color w:val="0000FF"/>
          <w:u w:val="single"/>
        </w:rPr>
        <w:t>www.ema.europa.eu/docs/en_GB/document_library/Scientific_guideline/2011/12/WC500119966.pdf</w:t>
      </w:r>
      <w:r w:rsidRPr="00322BA0">
        <w:t>&gt;.</w:t>
      </w:r>
    </w:p>
  </w:footnote>
  <w:footnote w:id="3">
    <w:p w:rsidR="000A3ACB" w:rsidRDefault="000A3ACB" w:rsidP="000A3ACB">
      <w:pPr>
        <w:pStyle w:val="Reference"/>
      </w:pPr>
      <w:r>
        <w:rPr>
          <w:rStyle w:val="FootnoteReference"/>
        </w:rPr>
        <w:footnoteRef/>
      </w:r>
      <w:r>
        <w:t xml:space="preserve">  </w:t>
      </w:r>
      <w:proofErr w:type="spellStart"/>
      <w:r w:rsidRPr="00D73E11">
        <w:t>Joensuu</w:t>
      </w:r>
      <w:proofErr w:type="spellEnd"/>
      <w:r w:rsidRPr="00D73E11">
        <w:t xml:space="preserve"> H. (2008) Risk stratification of patients diagnosed with gastrointestinal </w:t>
      </w:r>
      <w:proofErr w:type="spellStart"/>
      <w:r w:rsidRPr="00D73E11">
        <w:t>stromal</w:t>
      </w:r>
      <w:proofErr w:type="spellEnd"/>
      <w:r w:rsidRPr="00D73E11">
        <w:t xml:space="preserve"> </w:t>
      </w:r>
      <w:proofErr w:type="spellStart"/>
      <w:r w:rsidRPr="00D73E11">
        <w:t>tumor</w:t>
      </w:r>
      <w:proofErr w:type="spellEnd"/>
      <w:r w:rsidRPr="00D73E11">
        <w:t xml:space="preserve">. </w:t>
      </w:r>
      <w:r w:rsidRPr="00D73E11">
        <w:rPr>
          <w:i/>
        </w:rPr>
        <w:t xml:space="preserve">Hum </w:t>
      </w:r>
      <w:proofErr w:type="spellStart"/>
      <w:r w:rsidRPr="00D73E11">
        <w:rPr>
          <w:i/>
        </w:rPr>
        <w:t>Pathol</w:t>
      </w:r>
      <w:proofErr w:type="spellEnd"/>
      <w:r w:rsidRPr="00D73E11">
        <w:rPr>
          <w:i/>
        </w:rPr>
        <w:t>.</w:t>
      </w:r>
      <w:r>
        <w:t xml:space="preserve"> 39: 1411-1419.</w:t>
      </w:r>
    </w:p>
  </w:footnote>
  <w:footnote w:id="4">
    <w:p w:rsidR="000A3ACB" w:rsidRDefault="000A3ACB" w:rsidP="00FA2E75">
      <w:pPr>
        <w:pStyle w:val="Reference"/>
      </w:pPr>
      <w:r>
        <w:rPr>
          <w:rStyle w:val="FootnoteReference"/>
        </w:rPr>
        <w:footnoteRef/>
      </w:r>
      <w:r>
        <w:t xml:space="preserve"> </w:t>
      </w:r>
      <w:r w:rsidR="00FA2E75">
        <w:t xml:space="preserve"> </w:t>
      </w:r>
      <w:proofErr w:type="spellStart"/>
      <w:r w:rsidRPr="00315352">
        <w:t>Demetri</w:t>
      </w:r>
      <w:proofErr w:type="spellEnd"/>
      <w:r w:rsidRPr="00315352">
        <w:t xml:space="preserve"> GD, </w:t>
      </w:r>
      <w:r w:rsidRPr="00FA2E75">
        <w:rPr>
          <w:i/>
        </w:rPr>
        <w:t>et al</w:t>
      </w:r>
      <w:r w:rsidRPr="00315352">
        <w:t xml:space="preserve">. (2007) NCCN Task Force report: management of patients with gastrointestinal </w:t>
      </w:r>
      <w:proofErr w:type="spellStart"/>
      <w:r w:rsidRPr="00315352">
        <w:t>stromal</w:t>
      </w:r>
      <w:proofErr w:type="spellEnd"/>
      <w:r w:rsidRPr="00315352">
        <w:t xml:space="preserve"> </w:t>
      </w:r>
      <w:proofErr w:type="spellStart"/>
      <w:r w:rsidRPr="00315352">
        <w:t>tumor</w:t>
      </w:r>
      <w:proofErr w:type="spellEnd"/>
      <w:r w:rsidRPr="00315352">
        <w:t xml:space="preserve"> (GIST)--update of the NCCN clinical practice guidelines. </w:t>
      </w:r>
      <w:proofErr w:type="gramStart"/>
      <w:r w:rsidRPr="00315352">
        <w:rPr>
          <w:i/>
        </w:rPr>
        <w:t xml:space="preserve">J </w:t>
      </w:r>
      <w:proofErr w:type="spellStart"/>
      <w:r w:rsidRPr="00315352">
        <w:rPr>
          <w:i/>
        </w:rPr>
        <w:t>Natl</w:t>
      </w:r>
      <w:proofErr w:type="spellEnd"/>
      <w:r w:rsidRPr="00315352">
        <w:rPr>
          <w:i/>
        </w:rPr>
        <w:t xml:space="preserve"> </w:t>
      </w:r>
      <w:proofErr w:type="spellStart"/>
      <w:r w:rsidRPr="00315352">
        <w:rPr>
          <w:i/>
        </w:rPr>
        <w:t>Compr</w:t>
      </w:r>
      <w:proofErr w:type="spellEnd"/>
      <w:r w:rsidRPr="00315352">
        <w:rPr>
          <w:i/>
        </w:rPr>
        <w:t xml:space="preserve"> </w:t>
      </w:r>
      <w:proofErr w:type="spellStart"/>
      <w:r w:rsidRPr="00315352">
        <w:rPr>
          <w:i/>
        </w:rPr>
        <w:t>Canc</w:t>
      </w:r>
      <w:proofErr w:type="spellEnd"/>
      <w:r w:rsidRPr="00315352">
        <w:rPr>
          <w:i/>
        </w:rPr>
        <w:t xml:space="preserve"> </w:t>
      </w:r>
      <w:proofErr w:type="spellStart"/>
      <w:r w:rsidRPr="00315352">
        <w:rPr>
          <w:i/>
        </w:rPr>
        <w:t>Netw</w:t>
      </w:r>
      <w:proofErr w:type="spellEnd"/>
      <w:r w:rsidRPr="00315352">
        <w:rPr>
          <w:i/>
        </w:rPr>
        <w:t>.</w:t>
      </w:r>
      <w:proofErr w:type="gramEnd"/>
      <w:r>
        <w:t xml:space="preserve"> </w:t>
      </w:r>
      <w:r w:rsidRPr="00315352">
        <w:t xml:space="preserve">5 </w:t>
      </w:r>
      <w:proofErr w:type="spellStart"/>
      <w:r w:rsidRPr="00315352">
        <w:t>Suppl</w:t>
      </w:r>
      <w:proofErr w:type="spellEnd"/>
      <w:r w:rsidRPr="00315352">
        <w:t xml:space="preserve"> 2:S1-29; quiz S30</w:t>
      </w:r>
      <w:r>
        <w:t xml:space="preserve">; </w:t>
      </w:r>
      <w:proofErr w:type="spellStart"/>
      <w:r w:rsidRPr="007934AA">
        <w:t>DeMatteo</w:t>
      </w:r>
      <w:proofErr w:type="spellEnd"/>
      <w:r w:rsidRPr="007934AA">
        <w:t xml:space="preserve"> RP, </w:t>
      </w:r>
      <w:r w:rsidRPr="00FA2E75">
        <w:rPr>
          <w:i/>
        </w:rPr>
        <w:t>et al</w:t>
      </w:r>
      <w:r>
        <w:t xml:space="preserve">. (2000) </w:t>
      </w:r>
      <w:r w:rsidRPr="007934AA">
        <w:t xml:space="preserve">Two hundred gastrointestinal </w:t>
      </w:r>
      <w:proofErr w:type="spellStart"/>
      <w:r w:rsidRPr="007934AA">
        <w:t>stromal</w:t>
      </w:r>
      <w:proofErr w:type="spellEnd"/>
      <w:r w:rsidRPr="007934AA">
        <w:t xml:space="preserve"> </w:t>
      </w:r>
      <w:proofErr w:type="spellStart"/>
      <w:r w:rsidRPr="007934AA">
        <w:t>tumors</w:t>
      </w:r>
      <w:proofErr w:type="spellEnd"/>
      <w:r w:rsidRPr="007934AA">
        <w:t xml:space="preserve">: recurrence patterns and prognostic factors for survival. </w:t>
      </w:r>
      <w:r w:rsidRPr="007934AA">
        <w:rPr>
          <w:i/>
        </w:rPr>
        <w:t>Ann Surg.</w:t>
      </w:r>
      <w:r w:rsidRPr="007934AA">
        <w:t xml:space="preserve"> 231: 51-</w:t>
      </w:r>
      <w:r>
        <w:t>5</w:t>
      </w:r>
      <w:r w:rsidRPr="007934AA">
        <w:t>8</w:t>
      </w:r>
      <w:r>
        <w:t>.</w:t>
      </w:r>
    </w:p>
  </w:footnote>
  <w:footnote w:id="5">
    <w:p w:rsidR="000A3ACB" w:rsidRDefault="000A3ACB" w:rsidP="00FA2E75">
      <w:pPr>
        <w:pStyle w:val="Reference"/>
      </w:pPr>
      <w:r>
        <w:rPr>
          <w:rStyle w:val="FootnoteReference"/>
        </w:rPr>
        <w:footnoteRef/>
      </w:r>
      <w:r>
        <w:t xml:space="preserve"> </w:t>
      </w:r>
      <w:r w:rsidR="00FA2E75">
        <w:t xml:space="preserve"> </w:t>
      </w:r>
      <w:r>
        <w:t xml:space="preserve">SSG: Swedish Sarcoma Group. AIO: Sarcoma Group of the </w:t>
      </w:r>
      <w:proofErr w:type="spellStart"/>
      <w:r>
        <w:t>Arbeitsgemeinschaft</w:t>
      </w:r>
      <w:proofErr w:type="spellEnd"/>
      <w:r>
        <w:t xml:space="preserve"> </w:t>
      </w:r>
      <w:proofErr w:type="spellStart"/>
      <w:r>
        <w:t>Internistische</w:t>
      </w:r>
      <w:proofErr w:type="spellEnd"/>
      <w:r>
        <w:t xml:space="preserve"> </w:t>
      </w:r>
      <w:proofErr w:type="spellStart"/>
      <w:r>
        <w:t>Onkologie</w:t>
      </w:r>
      <w:proofErr w:type="spellEnd"/>
      <w:r>
        <w:t xml:space="preserve"> (German Association of Oncology Physicians).</w:t>
      </w:r>
    </w:p>
  </w:footnote>
  <w:footnote w:id="6">
    <w:p w:rsidR="000A3ACB" w:rsidRDefault="000A3ACB" w:rsidP="00FA2E75">
      <w:pPr>
        <w:pStyle w:val="Reference"/>
      </w:pPr>
      <w:r>
        <w:rPr>
          <w:rStyle w:val="FootnoteReference"/>
        </w:rPr>
        <w:footnoteRef/>
      </w:r>
      <w:r>
        <w:t xml:space="preserve"> </w:t>
      </w:r>
      <w:r w:rsidR="00FA2E75">
        <w:t xml:space="preserve"> </w:t>
      </w:r>
      <w:proofErr w:type="spellStart"/>
      <w:r w:rsidRPr="00807A95">
        <w:t>Joensuu</w:t>
      </w:r>
      <w:proofErr w:type="spellEnd"/>
      <w:r w:rsidRPr="00807A95">
        <w:t xml:space="preserve"> H, </w:t>
      </w:r>
      <w:r w:rsidRPr="00FA2E75">
        <w:rPr>
          <w:i/>
        </w:rPr>
        <w:t>et al</w:t>
      </w:r>
      <w:r w:rsidRPr="00807A95">
        <w:t xml:space="preserve">. (2012) </w:t>
      </w:r>
      <w:proofErr w:type="gramStart"/>
      <w:r w:rsidRPr="00807A95">
        <w:t>One</w:t>
      </w:r>
      <w:proofErr w:type="gramEnd"/>
      <w:r w:rsidRPr="00807A95">
        <w:t xml:space="preserve"> </w:t>
      </w:r>
      <w:proofErr w:type="spellStart"/>
      <w:r w:rsidRPr="00807A95">
        <w:t>vs</w:t>
      </w:r>
      <w:proofErr w:type="spellEnd"/>
      <w:r w:rsidRPr="00807A95">
        <w:t xml:space="preserve"> three years of adjuvant </w:t>
      </w:r>
      <w:proofErr w:type="spellStart"/>
      <w:r w:rsidRPr="00807A95">
        <w:t>imatinib</w:t>
      </w:r>
      <w:proofErr w:type="spellEnd"/>
      <w:r w:rsidRPr="00807A95">
        <w:t xml:space="preserve"> for operable gastrointestinal </w:t>
      </w:r>
      <w:proofErr w:type="spellStart"/>
      <w:r w:rsidRPr="00807A95">
        <w:t>stromal</w:t>
      </w:r>
      <w:proofErr w:type="spellEnd"/>
      <w:r w:rsidRPr="00807A95">
        <w:t xml:space="preserve"> </w:t>
      </w:r>
      <w:proofErr w:type="spellStart"/>
      <w:r>
        <w:t>tumor</w:t>
      </w:r>
      <w:proofErr w:type="spellEnd"/>
      <w:r>
        <w:t xml:space="preserve">: a randomized trial. </w:t>
      </w:r>
      <w:r w:rsidRPr="00807A95">
        <w:rPr>
          <w:i/>
        </w:rPr>
        <w:t xml:space="preserve">JAMA </w:t>
      </w:r>
      <w:r>
        <w:t>307</w:t>
      </w:r>
      <w:r w:rsidRPr="00807A95">
        <w:t>:</w:t>
      </w:r>
      <w:r>
        <w:t xml:space="preserve"> </w:t>
      </w:r>
      <w:r w:rsidRPr="00807A95">
        <w:t>1265-</w:t>
      </w:r>
      <w:r>
        <w:t>12</w:t>
      </w:r>
      <w:r w:rsidRPr="00807A95">
        <w:t>72</w:t>
      </w:r>
      <w:r>
        <w:t>.</w:t>
      </w:r>
    </w:p>
  </w:footnote>
  <w:footnote w:id="7">
    <w:p w:rsidR="000A3ACB" w:rsidRDefault="000A3ACB" w:rsidP="00FA2E75">
      <w:pPr>
        <w:pStyle w:val="Reference"/>
      </w:pPr>
      <w:r>
        <w:rPr>
          <w:rStyle w:val="FootnoteReference"/>
        </w:rPr>
        <w:footnoteRef/>
      </w:r>
      <w:r w:rsidR="00FA2E75">
        <w:t xml:space="preserve"> </w:t>
      </w:r>
      <w:r>
        <w:t xml:space="preserve"> </w:t>
      </w:r>
      <w:r w:rsidRPr="009630AB">
        <w:t xml:space="preserve">Hassan I, </w:t>
      </w:r>
      <w:r w:rsidRPr="00FA2E75">
        <w:rPr>
          <w:i/>
        </w:rPr>
        <w:t>et al</w:t>
      </w:r>
      <w:r w:rsidRPr="009630AB">
        <w:t xml:space="preserve">. (2008) </w:t>
      </w:r>
      <w:proofErr w:type="gramStart"/>
      <w:r w:rsidRPr="009630AB">
        <w:t>Surgically</w:t>
      </w:r>
      <w:proofErr w:type="gramEnd"/>
      <w:r w:rsidRPr="009630AB">
        <w:t xml:space="preserve"> managed gastrointestinal </w:t>
      </w:r>
      <w:proofErr w:type="spellStart"/>
      <w:r w:rsidRPr="009630AB">
        <w:t>stromal</w:t>
      </w:r>
      <w:proofErr w:type="spellEnd"/>
      <w:r w:rsidRPr="009630AB">
        <w:t xml:space="preserve"> </w:t>
      </w:r>
      <w:proofErr w:type="spellStart"/>
      <w:r w:rsidRPr="009630AB">
        <w:t>tumors</w:t>
      </w:r>
      <w:proofErr w:type="spellEnd"/>
      <w:r w:rsidRPr="009630AB">
        <w:t>: a comparative and prognostic analysis</w:t>
      </w:r>
      <w:r>
        <w:t xml:space="preserve">. </w:t>
      </w:r>
      <w:r w:rsidRPr="009630AB">
        <w:rPr>
          <w:i/>
        </w:rPr>
        <w:t xml:space="preserve">Ann Surg </w:t>
      </w:r>
      <w:proofErr w:type="spellStart"/>
      <w:r w:rsidRPr="009630AB">
        <w:rPr>
          <w:i/>
        </w:rPr>
        <w:t>Oncol</w:t>
      </w:r>
      <w:proofErr w:type="spellEnd"/>
      <w:r w:rsidRPr="009630AB">
        <w:rPr>
          <w:i/>
        </w:rPr>
        <w:t>.</w:t>
      </w:r>
      <w:r>
        <w:t xml:space="preserve"> 15</w:t>
      </w:r>
      <w:r w:rsidRPr="009630AB">
        <w:t>:</w:t>
      </w:r>
      <w:r>
        <w:t xml:space="preserve"> </w:t>
      </w:r>
      <w:r w:rsidRPr="009630AB">
        <w:t>52-</w:t>
      </w:r>
      <w:r>
        <w:t>5</w:t>
      </w:r>
      <w:r w:rsidRPr="009630AB">
        <w:t>9.</w:t>
      </w:r>
    </w:p>
  </w:footnote>
  <w:footnote w:id="8">
    <w:p w:rsidR="000A3ACB" w:rsidRDefault="000A3ACB" w:rsidP="00FA2E75">
      <w:pPr>
        <w:pStyle w:val="Reference"/>
      </w:pPr>
      <w:r>
        <w:rPr>
          <w:rStyle w:val="FootnoteReference"/>
        </w:rPr>
        <w:footnoteRef/>
      </w:r>
      <w:r w:rsidR="00FA2E75">
        <w:t xml:space="preserve"> </w:t>
      </w:r>
      <w:r>
        <w:t xml:space="preserve"> </w:t>
      </w:r>
      <w:proofErr w:type="spellStart"/>
      <w:r>
        <w:t>Glivec</w:t>
      </w:r>
      <w:proofErr w:type="spellEnd"/>
      <w:r>
        <w:t xml:space="preserve"> PSUR, 2 July 2012.</w:t>
      </w:r>
    </w:p>
  </w:footnote>
  <w:footnote w:id="9">
    <w:p w:rsidR="000A3ACB" w:rsidRDefault="000A3ACB" w:rsidP="00FA2E75">
      <w:pPr>
        <w:pStyle w:val="Reference"/>
      </w:pPr>
      <w:r>
        <w:rPr>
          <w:rStyle w:val="FootnoteReference"/>
        </w:rPr>
        <w:footnoteRef/>
      </w:r>
      <w:r>
        <w:t xml:space="preserve"> </w:t>
      </w:r>
      <w:r w:rsidR="00FA2E75">
        <w:t xml:space="preserve"> </w:t>
      </w:r>
      <w:proofErr w:type="gramStart"/>
      <w:r>
        <w:t>van</w:t>
      </w:r>
      <w:proofErr w:type="gramEnd"/>
      <w:r>
        <w:t xml:space="preserve"> </w:t>
      </w:r>
      <w:proofErr w:type="spellStart"/>
      <w:r>
        <w:t>Glabbeke</w:t>
      </w:r>
      <w:proofErr w:type="spellEnd"/>
      <w:r>
        <w:t xml:space="preserve"> MM, </w:t>
      </w:r>
      <w:r w:rsidRPr="00FA2E75">
        <w:rPr>
          <w:i/>
        </w:rPr>
        <w:t>et al</w:t>
      </w:r>
      <w:r>
        <w:t xml:space="preserve">. (2007) Comparison of two doses of </w:t>
      </w:r>
      <w:proofErr w:type="spellStart"/>
      <w:r>
        <w:t>imatinib</w:t>
      </w:r>
      <w:proofErr w:type="spellEnd"/>
      <w:r>
        <w:t xml:space="preserve"> for the treatment of </w:t>
      </w:r>
      <w:proofErr w:type="spellStart"/>
      <w:r>
        <w:t>unresectable</w:t>
      </w:r>
      <w:proofErr w:type="spellEnd"/>
      <w:r>
        <w:t xml:space="preserve"> or metastatic gastrointestinal </w:t>
      </w:r>
      <w:proofErr w:type="spellStart"/>
      <w:r>
        <w:t>stromal</w:t>
      </w:r>
      <w:proofErr w:type="spellEnd"/>
      <w:r>
        <w:t xml:space="preserve"> </w:t>
      </w:r>
      <w:proofErr w:type="spellStart"/>
      <w:r>
        <w:t>tumors</w:t>
      </w:r>
      <w:proofErr w:type="spellEnd"/>
      <w:r>
        <w:t xml:space="preserve"> (GIST): A meta-analysis based on 1,640 patients (pts) [abstract]. </w:t>
      </w:r>
      <w:proofErr w:type="gramStart"/>
      <w:r w:rsidRPr="00C24EBA">
        <w:rPr>
          <w:i/>
        </w:rPr>
        <w:t xml:space="preserve">J </w:t>
      </w:r>
      <w:proofErr w:type="spellStart"/>
      <w:r w:rsidRPr="00C24EBA">
        <w:rPr>
          <w:i/>
        </w:rPr>
        <w:t>Clin</w:t>
      </w:r>
      <w:proofErr w:type="spellEnd"/>
      <w:r w:rsidRPr="00C24EBA">
        <w:rPr>
          <w:i/>
        </w:rPr>
        <w:t xml:space="preserve"> </w:t>
      </w:r>
      <w:proofErr w:type="spellStart"/>
      <w:r w:rsidRPr="00C24EBA">
        <w:rPr>
          <w:i/>
        </w:rPr>
        <w:t>Oncol</w:t>
      </w:r>
      <w:proofErr w:type="spellEnd"/>
      <w:r w:rsidRPr="00C24EBA">
        <w:rPr>
          <w:i/>
        </w:rPr>
        <w:t>.</w:t>
      </w:r>
      <w:proofErr w:type="gramEnd"/>
      <w:r w:rsidRPr="00C24EBA">
        <w:rPr>
          <w:i/>
        </w:rPr>
        <w:t xml:space="preserve"> </w:t>
      </w:r>
      <w:r>
        <w:t xml:space="preserve">25 (18S June 20 </w:t>
      </w:r>
      <w:proofErr w:type="spellStart"/>
      <w:r>
        <w:t>Suppl</w:t>
      </w:r>
      <w:proofErr w:type="spellEnd"/>
      <w:r>
        <w:t xml:space="preserve">): 10004; </w:t>
      </w:r>
      <w:proofErr w:type="spellStart"/>
      <w:r w:rsidRPr="00085AF6">
        <w:t>Blanke</w:t>
      </w:r>
      <w:proofErr w:type="spellEnd"/>
      <w:r w:rsidRPr="00085AF6">
        <w:t xml:space="preserve"> CD, </w:t>
      </w:r>
      <w:r w:rsidRPr="00FA2E75">
        <w:rPr>
          <w:i/>
        </w:rPr>
        <w:t>et al</w:t>
      </w:r>
      <w:r w:rsidRPr="00085AF6">
        <w:t>. (2</w:t>
      </w:r>
      <w:r w:rsidR="0091157B">
        <w:t>008</w:t>
      </w:r>
      <w:r w:rsidRPr="00085AF6">
        <w:t>)</w:t>
      </w:r>
      <w:r w:rsidR="0091157B">
        <w:t xml:space="preserve"> </w:t>
      </w:r>
      <w:r w:rsidRPr="00085AF6">
        <w:t xml:space="preserve">Phase III randomized, intergroup trial assessing </w:t>
      </w:r>
      <w:proofErr w:type="spellStart"/>
      <w:r w:rsidRPr="00085AF6">
        <w:t>imatinib</w:t>
      </w:r>
      <w:proofErr w:type="spellEnd"/>
      <w:r w:rsidRPr="00085AF6">
        <w:t xml:space="preserve"> </w:t>
      </w:r>
      <w:proofErr w:type="spellStart"/>
      <w:r w:rsidRPr="00085AF6">
        <w:t>mesylate</w:t>
      </w:r>
      <w:proofErr w:type="spellEnd"/>
      <w:r w:rsidRPr="00085AF6">
        <w:t xml:space="preserve"> at two dose levels in patients with </w:t>
      </w:r>
      <w:proofErr w:type="spellStart"/>
      <w:r w:rsidRPr="00085AF6">
        <w:t>unresectable</w:t>
      </w:r>
      <w:proofErr w:type="spellEnd"/>
      <w:r w:rsidRPr="00085AF6">
        <w:t xml:space="preserve"> or metastatic gastrointestinal </w:t>
      </w:r>
      <w:proofErr w:type="spellStart"/>
      <w:r w:rsidRPr="00085AF6">
        <w:t>stromal</w:t>
      </w:r>
      <w:proofErr w:type="spellEnd"/>
      <w:r w:rsidRPr="00085AF6">
        <w:t xml:space="preserve"> </w:t>
      </w:r>
      <w:proofErr w:type="spellStart"/>
      <w:r w:rsidRPr="00085AF6">
        <w:t>tumors</w:t>
      </w:r>
      <w:proofErr w:type="spellEnd"/>
      <w:r w:rsidRPr="00085AF6">
        <w:t xml:space="preserve"> expressing the kit receptor tyrosine </w:t>
      </w:r>
      <w:proofErr w:type="spellStart"/>
      <w:r w:rsidRPr="00085AF6">
        <w:t>kinase</w:t>
      </w:r>
      <w:proofErr w:type="spellEnd"/>
      <w:r w:rsidRPr="00085AF6">
        <w:t>: S0033</w:t>
      </w:r>
      <w:r>
        <w:t xml:space="preserve">. </w:t>
      </w:r>
      <w:proofErr w:type="gramStart"/>
      <w:r w:rsidRPr="00085AF6">
        <w:rPr>
          <w:i/>
        </w:rPr>
        <w:t xml:space="preserve">J </w:t>
      </w:r>
      <w:proofErr w:type="spellStart"/>
      <w:r w:rsidRPr="00085AF6">
        <w:rPr>
          <w:i/>
        </w:rPr>
        <w:t>Clin</w:t>
      </w:r>
      <w:proofErr w:type="spellEnd"/>
      <w:r w:rsidRPr="00085AF6">
        <w:rPr>
          <w:i/>
        </w:rPr>
        <w:t xml:space="preserve"> </w:t>
      </w:r>
      <w:proofErr w:type="spellStart"/>
      <w:r w:rsidRPr="00085AF6">
        <w:rPr>
          <w:i/>
        </w:rPr>
        <w:t>Oncol</w:t>
      </w:r>
      <w:proofErr w:type="spellEnd"/>
      <w:r w:rsidRPr="00085AF6">
        <w:rPr>
          <w:i/>
        </w:rPr>
        <w:t>.</w:t>
      </w:r>
      <w:proofErr w:type="gramEnd"/>
      <w:r w:rsidRPr="00085AF6">
        <w:rPr>
          <w:i/>
        </w:rPr>
        <w:t xml:space="preserve"> </w:t>
      </w:r>
      <w:r>
        <w:t>26</w:t>
      </w:r>
      <w:r w:rsidRPr="00085AF6">
        <w:t>:</w:t>
      </w:r>
      <w:r>
        <w:t xml:space="preserve"> </w:t>
      </w:r>
      <w:r w:rsidRPr="00085AF6">
        <w:t>626-</w:t>
      </w:r>
      <w:r>
        <w:t>6</w:t>
      </w:r>
      <w:r w:rsidRPr="00085AF6">
        <w:t>32</w:t>
      </w:r>
      <w:r>
        <w:t>.</w:t>
      </w:r>
    </w:p>
  </w:footnote>
  <w:footnote w:id="10">
    <w:p w:rsidR="000A3ACB" w:rsidRDefault="000A3ACB">
      <w:pPr>
        <w:pStyle w:val="FootnoteText"/>
      </w:pPr>
      <w:r>
        <w:rPr>
          <w:rStyle w:val="FootnoteReference"/>
        </w:rPr>
        <w:footnoteRef/>
      </w:r>
      <w:r>
        <w:t xml:space="preserve"> </w:t>
      </w:r>
      <w:proofErr w:type="gramStart"/>
      <w:r>
        <w:t>van</w:t>
      </w:r>
      <w:proofErr w:type="gramEnd"/>
      <w:r>
        <w:t xml:space="preserve"> </w:t>
      </w:r>
      <w:proofErr w:type="spellStart"/>
      <w:r>
        <w:t>Glabbeke</w:t>
      </w:r>
      <w:proofErr w:type="spellEnd"/>
      <w:r>
        <w:t xml:space="preserve"> MM, </w:t>
      </w:r>
      <w:r w:rsidRPr="00206F89">
        <w:rPr>
          <w:i/>
        </w:rPr>
        <w:t>et al.</w:t>
      </w:r>
      <w:r>
        <w:t xml:space="preserve"> (2007) Comparison of two doses of </w:t>
      </w:r>
      <w:proofErr w:type="spellStart"/>
      <w:r>
        <w:t>imatinib</w:t>
      </w:r>
      <w:proofErr w:type="spellEnd"/>
      <w:r>
        <w:t xml:space="preserve"> for the treatment of </w:t>
      </w:r>
      <w:proofErr w:type="spellStart"/>
      <w:r>
        <w:t>unresectable</w:t>
      </w:r>
      <w:proofErr w:type="spellEnd"/>
      <w:r>
        <w:t xml:space="preserve"> or metastatic gastrointestinal </w:t>
      </w:r>
      <w:proofErr w:type="spellStart"/>
      <w:r>
        <w:t>stromal</w:t>
      </w:r>
      <w:proofErr w:type="spellEnd"/>
      <w:r>
        <w:t xml:space="preserve"> </w:t>
      </w:r>
      <w:proofErr w:type="spellStart"/>
      <w:r>
        <w:t>tumors</w:t>
      </w:r>
      <w:proofErr w:type="spellEnd"/>
      <w:r>
        <w:t xml:space="preserve"> (GIST): A meta-analysis based on 1,640 patients (pts) [abstract]. </w:t>
      </w:r>
      <w:proofErr w:type="gramStart"/>
      <w:r w:rsidRPr="00C24EBA">
        <w:rPr>
          <w:i/>
        </w:rPr>
        <w:t xml:space="preserve">J </w:t>
      </w:r>
      <w:proofErr w:type="spellStart"/>
      <w:r w:rsidRPr="00C24EBA">
        <w:rPr>
          <w:i/>
        </w:rPr>
        <w:t>Clin</w:t>
      </w:r>
      <w:proofErr w:type="spellEnd"/>
      <w:r w:rsidRPr="00C24EBA">
        <w:rPr>
          <w:i/>
        </w:rPr>
        <w:t xml:space="preserve"> </w:t>
      </w:r>
      <w:proofErr w:type="spellStart"/>
      <w:r w:rsidRPr="00C24EBA">
        <w:rPr>
          <w:i/>
        </w:rPr>
        <w:t>Oncol</w:t>
      </w:r>
      <w:proofErr w:type="spellEnd"/>
      <w:r w:rsidRPr="00C24EBA">
        <w:rPr>
          <w:i/>
        </w:rPr>
        <w:t>.</w:t>
      </w:r>
      <w:proofErr w:type="gramEnd"/>
      <w:r w:rsidRPr="00C24EBA">
        <w:rPr>
          <w:i/>
        </w:rPr>
        <w:t xml:space="preserve"> </w:t>
      </w:r>
      <w:r>
        <w:t xml:space="preserve">25 (18S June 20 </w:t>
      </w:r>
      <w:proofErr w:type="spellStart"/>
      <w:r>
        <w:t>Suppl</w:t>
      </w:r>
      <w:proofErr w:type="spellEnd"/>
      <w:r>
        <w:t xml:space="preserve">): 10004; </w:t>
      </w:r>
      <w:proofErr w:type="spellStart"/>
      <w:r w:rsidRPr="00085AF6">
        <w:t>Blanke</w:t>
      </w:r>
      <w:proofErr w:type="spellEnd"/>
      <w:r w:rsidRPr="00085AF6">
        <w:t xml:space="preserve"> CD, </w:t>
      </w:r>
      <w:r w:rsidRPr="00206F89">
        <w:rPr>
          <w:i/>
        </w:rPr>
        <w:t>et al.</w:t>
      </w:r>
      <w:r w:rsidRPr="00085AF6">
        <w:t xml:space="preserve"> (2008 )Phase III randomized, intergroup trial assessing </w:t>
      </w:r>
      <w:proofErr w:type="spellStart"/>
      <w:r w:rsidRPr="00085AF6">
        <w:t>imatinib</w:t>
      </w:r>
      <w:proofErr w:type="spellEnd"/>
      <w:r w:rsidRPr="00085AF6">
        <w:t xml:space="preserve"> </w:t>
      </w:r>
      <w:proofErr w:type="spellStart"/>
      <w:r w:rsidRPr="00085AF6">
        <w:t>mesylate</w:t>
      </w:r>
      <w:proofErr w:type="spellEnd"/>
      <w:r w:rsidRPr="00085AF6">
        <w:t xml:space="preserve"> at two dose levels in patients with </w:t>
      </w:r>
      <w:proofErr w:type="spellStart"/>
      <w:r w:rsidRPr="00085AF6">
        <w:t>unresectable</w:t>
      </w:r>
      <w:proofErr w:type="spellEnd"/>
      <w:r w:rsidRPr="00085AF6">
        <w:t xml:space="preserve"> or metastatic gastrointestinal </w:t>
      </w:r>
      <w:proofErr w:type="spellStart"/>
      <w:r w:rsidRPr="00085AF6">
        <w:t>stromal</w:t>
      </w:r>
      <w:proofErr w:type="spellEnd"/>
      <w:r w:rsidRPr="00085AF6">
        <w:t xml:space="preserve"> </w:t>
      </w:r>
      <w:proofErr w:type="spellStart"/>
      <w:r w:rsidRPr="00085AF6">
        <w:t>tumors</w:t>
      </w:r>
      <w:proofErr w:type="spellEnd"/>
      <w:r w:rsidRPr="00085AF6">
        <w:t xml:space="preserve"> expressing the kit receptor tyrosine </w:t>
      </w:r>
      <w:proofErr w:type="spellStart"/>
      <w:r w:rsidRPr="00085AF6">
        <w:t>kinase</w:t>
      </w:r>
      <w:proofErr w:type="spellEnd"/>
      <w:r w:rsidRPr="00085AF6">
        <w:t>: S0033</w:t>
      </w:r>
      <w:r>
        <w:t xml:space="preserve">. </w:t>
      </w:r>
      <w:proofErr w:type="gramStart"/>
      <w:r w:rsidRPr="00085AF6">
        <w:rPr>
          <w:i/>
        </w:rPr>
        <w:t xml:space="preserve">J </w:t>
      </w:r>
      <w:proofErr w:type="spellStart"/>
      <w:r w:rsidRPr="00085AF6">
        <w:rPr>
          <w:i/>
        </w:rPr>
        <w:t>Clin</w:t>
      </w:r>
      <w:proofErr w:type="spellEnd"/>
      <w:r w:rsidRPr="00085AF6">
        <w:rPr>
          <w:i/>
        </w:rPr>
        <w:t xml:space="preserve"> </w:t>
      </w:r>
      <w:proofErr w:type="spellStart"/>
      <w:r w:rsidRPr="00085AF6">
        <w:rPr>
          <w:i/>
        </w:rPr>
        <w:t>Oncol</w:t>
      </w:r>
      <w:proofErr w:type="spellEnd"/>
      <w:r w:rsidRPr="00085AF6">
        <w:rPr>
          <w:i/>
        </w:rPr>
        <w:t>.</w:t>
      </w:r>
      <w:proofErr w:type="gramEnd"/>
      <w:r w:rsidRPr="00085AF6">
        <w:rPr>
          <w:i/>
        </w:rPr>
        <w:t xml:space="preserve"> </w:t>
      </w:r>
      <w:r>
        <w:t>26</w:t>
      </w:r>
      <w:r w:rsidRPr="00085AF6">
        <w:t>:</w:t>
      </w:r>
      <w:r>
        <w:t xml:space="preserve"> </w:t>
      </w:r>
      <w:r w:rsidRPr="00085AF6">
        <w:t>626-</w:t>
      </w:r>
      <w:r>
        <w:t>6</w:t>
      </w:r>
      <w:r w:rsidRPr="00085AF6">
        <w:t>32</w:t>
      </w:r>
      <w:r>
        <w:t>.</w:t>
      </w:r>
    </w:p>
  </w:footnote>
  <w:footnote w:id="11">
    <w:p w:rsidR="000A3ACB" w:rsidRDefault="000A3ACB">
      <w:pPr>
        <w:pStyle w:val="FootnoteText"/>
      </w:pPr>
      <w:r>
        <w:rPr>
          <w:rStyle w:val="FootnoteReference"/>
        </w:rPr>
        <w:footnoteRef/>
      </w:r>
      <w:r>
        <w:t xml:space="preserve"> </w:t>
      </w:r>
      <w:proofErr w:type="spellStart"/>
      <w:r w:rsidRPr="00306A4C">
        <w:t>Blanke</w:t>
      </w:r>
      <w:proofErr w:type="spellEnd"/>
      <w:r w:rsidRPr="00306A4C">
        <w:t xml:space="preserve"> CD, </w:t>
      </w:r>
      <w:r w:rsidRPr="00206F89">
        <w:rPr>
          <w:i/>
        </w:rPr>
        <w:t>et al.</w:t>
      </w:r>
      <w:r w:rsidRPr="00306A4C">
        <w:t xml:space="preserve"> (2008) Long-term results from a randomized phase II trial of standard- versus higher-dose </w:t>
      </w:r>
      <w:proofErr w:type="spellStart"/>
      <w:r w:rsidRPr="00306A4C">
        <w:t>imatinib</w:t>
      </w:r>
      <w:proofErr w:type="spellEnd"/>
      <w:r w:rsidRPr="00306A4C">
        <w:t xml:space="preserve"> </w:t>
      </w:r>
      <w:proofErr w:type="spellStart"/>
      <w:r w:rsidRPr="00306A4C">
        <w:t>mesylate</w:t>
      </w:r>
      <w:proofErr w:type="spellEnd"/>
      <w:r w:rsidRPr="00306A4C">
        <w:t xml:space="preserve"> for patients with </w:t>
      </w:r>
      <w:proofErr w:type="spellStart"/>
      <w:r w:rsidRPr="00306A4C">
        <w:t>unresectable</w:t>
      </w:r>
      <w:proofErr w:type="spellEnd"/>
      <w:r w:rsidRPr="00306A4C">
        <w:t xml:space="preserve"> or metastatic gastrointestinal </w:t>
      </w:r>
      <w:proofErr w:type="spellStart"/>
      <w:r w:rsidRPr="00306A4C">
        <w:t>stromal</w:t>
      </w:r>
      <w:proofErr w:type="spellEnd"/>
      <w:r w:rsidRPr="00306A4C">
        <w:t xml:space="preserve"> </w:t>
      </w:r>
      <w:proofErr w:type="spellStart"/>
      <w:r w:rsidRPr="00306A4C">
        <w:t>tumors</w:t>
      </w:r>
      <w:proofErr w:type="spellEnd"/>
      <w:r w:rsidRPr="00306A4C">
        <w:t xml:space="preserve"> expressing KIT</w:t>
      </w:r>
      <w:r>
        <w:t xml:space="preserve">. </w:t>
      </w:r>
      <w:proofErr w:type="gramStart"/>
      <w:r w:rsidRPr="00306A4C">
        <w:rPr>
          <w:i/>
        </w:rPr>
        <w:t xml:space="preserve">J </w:t>
      </w:r>
      <w:proofErr w:type="spellStart"/>
      <w:r w:rsidRPr="00306A4C">
        <w:rPr>
          <w:i/>
        </w:rPr>
        <w:t>Clin</w:t>
      </w:r>
      <w:proofErr w:type="spellEnd"/>
      <w:r w:rsidRPr="00306A4C">
        <w:rPr>
          <w:i/>
        </w:rPr>
        <w:t xml:space="preserve"> </w:t>
      </w:r>
      <w:proofErr w:type="spellStart"/>
      <w:r w:rsidRPr="00306A4C">
        <w:rPr>
          <w:i/>
        </w:rPr>
        <w:t>Oncol</w:t>
      </w:r>
      <w:proofErr w:type="spellEnd"/>
      <w:r w:rsidRPr="00306A4C">
        <w:rPr>
          <w:i/>
        </w:rPr>
        <w:t>.</w:t>
      </w:r>
      <w:proofErr w:type="gramEnd"/>
      <w:r w:rsidRPr="00306A4C">
        <w:rPr>
          <w:i/>
        </w:rPr>
        <w:t xml:space="preserve"> </w:t>
      </w:r>
      <w:r>
        <w:t>26</w:t>
      </w:r>
      <w:r w:rsidRPr="00306A4C">
        <w:t>:</w:t>
      </w:r>
      <w:r>
        <w:t xml:space="preserve"> </w:t>
      </w:r>
      <w:r w:rsidRPr="00306A4C">
        <w:t>620-</w:t>
      </w:r>
      <w:r>
        <w:t>62</w:t>
      </w:r>
      <w:r w:rsidRPr="00306A4C">
        <w:t>5</w:t>
      </w:r>
      <w:r>
        <w:t xml:space="preserve">; </w:t>
      </w:r>
      <w:proofErr w:type="spellStart"/>
      <w:r>
        <w:t>Deininger</w:t>
      </w:r>
      <w:proofErr w:type="spellEnd"/>
      <w:r>
        <w:t xml:space="preserve"> M, </w:t>
      </w:r>
      <w:r w:rsidRPr="00206F89">
        <w:rPr>
          <w:i/>
        </w:rPr>
        <w:t>et al.</w:t>
      </w:r>
      <w:r>
        <w:t xml:space="preserve"> (2009) International randomized study of </w:t>
      </w:r>
      <w:proofErr w:type="spellStart"/>
      <w:r>
        <w:t>interferons</w:t>
      </w:r>
      <w:proofErr w:type="spellEnd"/>
      <w:r>
        <w:t xml:space="preserve"> </w:t>
      </w:r>
      <w:proofErr w:type="spellStart"/>
      <w:r>
        <w:t>vs</w:t>
      </w:r>
      <w:proofErr w:type="spellEnd"/>
      <w:r>
        <w:t xml:space="preserve"> STI571 (IRIS) 8-year follow up: Sustained survival and low risk for progression or events in patients with newly diagnosed chronic myeloid </w:t>
      </w:r>
      <w:proofErr w:type="spellStart"/>
      <w:r>
        <w:t>leukemia</w:t>
      </w:r>
      <w:proofErr w:type="spellEnd"/>
      <w:r>
        <w:t xml:space="preserve"> in chronic phase (CML-CP) treated with </w:t>
      </w:r>
      <w:proofErr w:type="spellStart"/>
      <w:r>
        <w:t>imatinib</w:t>
      </w:r>
      <w:proofErr w:type="spellEnd"/>
      <w:r>
        <w:t xml:space="preserve">. </w:t>
      </w:r>
      <w:r w:rsidRPr="00B44302">
        <w:rPr>
          <w:i/>
        </w:rPr>
        <w:t>Blood</w:t>
      </w:r>
      <w:r>
        <w:t xml:space="preserve"> (ASH Annual Meeting Abstracts) 114: Abstract 1126; van </w:t>
      </w:r>
      <w:proofErr w:type="spellStart"/>
      <w:r>
        <w:t>Mehren</w:t>
      </w:r>
      <w:proofErr w:type="spellEnd"/>
      <w:r>
        <w:t xml:space="preserve"> M, </w:t>
      </w:r>
      <w:r w:rsidRPr="00206F89">
        <w:rPr>
          <w:i/>
        </w:rPr>
        <w:t>et al.</w:t>
      </w:r>
      <w:r>
        <w:t xml:space="preserve"> (2011) Follow-up results after 9 years of the ongoing phase II B2222 trial of </w:t>
      </w:r>
      <w:proofErr w:type="spellStart"/>
      <w:r>
        <w:t>imatinib</w:t>
      </w:r>
      <w:proofErr w:type="spellEnd"/>
      <w:r>
        <w:t xml:space="preserve"> </w:t>
      </w:r>
      <w:proofErr w:type="spellStart"/>
      <w:r>
        <w:t>mesylate</w:t>
      </w:r>
      <w:proofErr w:type="spellEnd"/>
      <w:r>
        <w:t xml:space="preserve"> in patients with metastatic or </w:t>
      </w:r>
      <w:proofErr w:type="spellStart"/>
      <w:r>
        <w:t>unresectable</w:t>
      </w:r>
      <w:proofErr w:type="spellEnd"/>
      <w:r>
        <w:t xml:space="preserve"> KIT+ gastrointestinal </w:t>
      </w:r>
      <w:proofErr w:type="spellStart"/>
      <w:r>
        <w:t>stromal</w:t>
      </w:r>
      <w:proofErr w:type="spellEnd"/>
      <w:r>
        <w:t xml:space="preserve"> </w:t>
      </w:r>
      <w:proofErr w:type="spellStart"/>
      <w:r>
        <w:t>tumors</w:t>
      </w:r>
      <w:proofErr w:type="spellEnd"/>
      <w:r>
        <w:t xml:space="preserve"> (GIST) [poster], 47th Annual Meeting of the American Society of Clinical Oncology, 3-7 June, Chicago (IL) USA.</w:t>
      </w:r>
    </w:p>
  </w:footnote>
  <w:footnote w:id="12">
    <w:p w:rsidR="000A3ACB" w:rsidRDefault="000A3ACB">
      <w:pPr>
        <w:pStyle w:val="FootnoteText"/>
      </w:pPr>
      <w:r>
        <w:rPr>
          <w:rStyle w:val="FootnoteReference"/>
        </w:rPr>
        <w:footnoteRef/>
      </w:r>
      <w:r>
        <w:t xml:space="preserve"> </w:t>
      </w:r>
      <w:proofErr w:type="gramStart"/>
      <w:r>
        <w:t>van</w:t>
      </w:r>
      <w:proofErr w:type="gramEnd"/>
      <w:r>
        <w:t xml:space="preserve"> </w:t>
      </w:r>
      <w:proofErr w:type="spellStart"/>
      <w:r>
        <w:t>Mehren</w:t>
      </w:r>
      <w:proofErr w:type="spellEnd"/>
      <w:r>
        <w:t xml:space="preserve"> M, </w:t>
      </w:r>
      <w:r w:rsidRPr="00206F89">
        <w:rPr>
          <w:i/>
        </w:rPr>
        <w:t>et al.</w:t>
      </w:r>
      <w:r>
        <w:t xml:space="preserve"> (2011) Follow-up results after 9 years of the ongoing phase II B2222 trial of </w:t>
      </w:r>
      <w:proofErr w:type="spellStart"/>
      <w:r>
        <w:t>imatinib</w:t>
      </w:r>
      <w:proofErr w:type="spellEnd"/>
      <w:r>
        <w:t xml:space="preserve"> </w:t>
      </w:r>
      <w:proofErr w:type="spellStart"/>
      <w:r>
        <w:t>mesylate</w:t>
      </w:r>
      <w:proofErr w:type="spellEnd"/>
      <w:r>
        <w:t xml:space="preserve"> in patients with metastatic or </w:t>
      </w:r>
      <w:proofErr w:type="spellStart"/>
      <w:r>
        <w:t>unresectable</w:t>
      </w:r>
      <w:proofErr w:type="spellEnd"/>
      <w:r>
        <w:t xml:space="preserve"> KIT+ gastrointestinal </w:t>
      </w:r>
      <w:proofErr w:type="spellStart"/>
      <w:r>
        <w:t>stromal</w:t>
      </w:r>
      <w:proofErr w:type="spellEnd"/>
      <w:r>
        <w:t xml:space="preserve"> </w:t>
      </w:r>
      <w:proofErr w:type="spellStart"/>
      <w:r>
        <w:t>tumors</w:t>
      </w:r>
      <w:proofErr w:type="spellEnd"/>
      <w:r>
        <w:t xml:space="preserve"> (GIST) [poster], 47th Annual Meeting of the American Society of Clinical Oncology, 3-7 June, Chicago (IL) USA.</w:t>
      </w:r>
    </w:p>
  </w:footnote>
  <w:footnote w:id="13">
    <w:p w:rsidR="000A3ACB" w:rsidRDefault="000A3ACB">
      <w:pPr>
        <w:pStyle w:val="FootnoteText"/>
      </w:pPr>
      <w:r>
        <w:rPr>
          <w:rStyle w:val="FootnoteReference"/>
        </w:rPr>
        <w:footnoteRef/>
      </w:r>
      <w:r>
        <w:t xml:space="preserve"> </w:t>
      </w:r>
      <w:proofErr w:type="spellStart"/>
      <w:r w:rsidRPr="00BB1332">
        <w:t>Blay</w:t>
      </w:r>
      <w:proofErr w:type="spellEnd"/>
      <w:r w:rsidRPr="00BB1332">
        <w:t xml:space="preserve"> JY, </w:t>
      </w:r>
      <w:r w:rsidRPr="00206F89">
        <w:rPr>
          <w:i/>
        </w:rPr>
        <w:t>et al</w:t>
      </w:r>
      <w:r w:rsidRPr="00BB1332">
        <w:t xml:space="preserve">. (2007) Prospective </w:t>
      </w:r>
      <w:proofErr w:type="spellStart"/>
      <w:r w:rsidRPr="00BB1332">
        <w:t>multicentric</w:t>
      </w:r>
      <w:proofErr w:type="spellEnd"/>
      <w:r w:rsidRPr="00BB1332">
        <w:t xml:space="preserve"> randomized phase III study of </w:t>
      </w:r>
      <w:proofErr w:type="spellStart"/>
      <w:r w:rsidRPr="00BB1332">
        <w:t>imatinib</w:t>
      </w:r>
      <w:proofErr w:type="spellEnd"/>
      <w:r w:rsidRPr="00BB1332">
        <w:t xml:space="preserve"> in patients with advanced gastrointestinal </w:t>
      </w:r>
      <w:proofErr w:type="spellStart"/>
      <w:r w:rsidRPr="00BB1332">
        <w:t>stromal</w:t>
      </w:r>
      <w:proofErr w:type="spellEnd"/>
      <w:r w:rsidRPr="00BB1332">
        <w:t xml:space="preserve"> </w:t>
      </w:r>
      <w:proofErr w:type="spellStart"/>
      <w:r w:rsidRPr="00BB1332">
        <w:t>tumors</w:t>
      </w:r>
      <w:proofErr w:type="spellEnd"/>
      <w:r w:rsidRPr="00BB1332">
        <w:t xml:space="preserve"> comparing interruption versus continuation of treatment beyond 1 year: the French Sarcoma Group.</w:t>
      </w:r>
      <w:r>
        <w:t xml:space="preserve"> </w:t>
      </w:r>
      <w:proofErr w:type="gramStart"/>
      <w:r w:rsidRPr="00D37C0A">
        <w:rPr>
          <w:i/>
        </w:rPr>
        <w:t xml:space="preserve">J </w:t>
      </w:r>
      <w:proofErr w:type="spellStart"/>
      <w:r w:rsidRPr="00D37C0A">
        <w:rPr>
          <w:i/>
        </w:rPr>
        <w:t>Clin</w:t>
      </w:r>
      <w:proofErr w:type="spellEnd"/>
      <w:r w:rsidRPr="00D37C0A">
        <w:rPr>
          <w:i/>
        </w:rPr>
        <w:t xml:space="preserve"> </w:t>
      </w:r>
      <w:proofErr w:type="spellStart"/>
      <w:r w:rsidRPr="00D37C0A">
        <w:rPr>
          <w:i/>
        </w:rPr>
        <w:t>Oncol</w:t>
      </w:r>
      <w:proofErr w:type="spellEnd"/>
      <w:r w:rsidRPr="00D37C0A">
        <w:rPr>
          <w:i/>
        </w:rPr>
        <w:t>.</w:t>
      </w:r>
      <w:proofErr w:type="gramEnd"/>
      <w:r>
        <w:t xml:space="preserve"> 25</w:t>
      </w:r>
      <w:r w:rsidRPr="00BB1332">
        <w:t>:</w:t>
      </w:r>
      <w:r>
        <w:t xml:space="preserve"> </w:t>
      </w:r>
      <w:r w:rsidRPr="00BB1332">
        <w:t>1107-</w:t>
      </w:r>
      <w:r>
        <w:t>11</w:t>
      </w:r>
      <w:r w:rsidRPr="00BB1332">
        <w:t>13</w:t>
      </w:r>
      <w:r>
        <w:t>.</w:t>
      </w:r>
    </w:p>
  </w:footnote>
  <w:footnote w:id="14">
    <w:p w:rsidR="000A3ACB" w:rsidRDefault="000A3ACB">
      <w:pPr>
        <w:pStyle w:val="FootnoteText"/>
      </w:pPr>
      <w:r>
        <w:rPr>
          <w:rStyle w:val="FootnoteReference"/>
        </w:rPr>
        <w:footnoteRef/>
      </w:r>
      <w:r>
        <w:t xml:space="preserve"> </w:t>
      </w:r>
      <w:proofErr w:type="spellStart"/>
      <w:r w:rsidRPr="00306A4C">
        <w:t>Blanke</w:t>
      </w:r>
      <w:proofErr w:type="spellEnd"/>
      <w:r w:rsidRPr="00306A4C">
        <w:t xml:space="preserve"> CD, </w:t>
      </w:r>
      <w:r w:rsidRPr="00206F89">
        <w:rPr>
          <w:i/>
        </w:rPr>
        <w:t>et al.</w:t>
      </w:r>
      <w:r w:rsidRPr="00306A4C">
        <w:t xml:space="preserve"> (2008) Long-term results from a randomized phase II trial of standard- versus higher-dose </w:t>
      </w:r>
      <w:proofErr w:type="spellStart"/>
      <w:r w:rsidRPr="00306A4C">
        <w:t>imatinib</w:t>
      </w:r>
      <w:proofErr w:type="spellEnd"/>
      <w:r w:rsidRPr="00306A4C">
        <w:t xml:space="preserve"> </w:t>
      </w:r>
      <w:proofErr w:type="spellStart"/>
      <w:r w:rsidRPr="00306A4C">
        <w:t>mesylate</w:t>
      </w:r>
      <w:proofErr w:type="spellEnd"/>
      <w:r w:rsidRPr="00306A4C">
        <w:t xml:space="preserve"> for patients with </w:t>
      </w:r>
      <w:proofErr w:type="spellStart"/>
      <w:r w:rsidRPr="00306A4C">
        <w:t>unresectable</w:t>
      </w:r>
      <w:proofErr w:type="spellEnd"/>
      <w:r w:rsidRPr="00306A4C">
        <w:t xml:space="preserve"> or metastatic gastrointestinal </w:t>
      </w:r>
      <w:proofErr w:type="spellStart"/>
      <w:r w:rsidRPr="00306A4C">
        <w:t>stromal</w:t>
      </w:r>
      <w:proofErr w:type="spellEnd"/>
      <w:r w:rsidRPr="00306A4C">
        <w:t xml:space="preserve"> </w:t>
      </w:r>
      <w:proofErr w:type="spellStart"/>
      <w:r w:rsidRPr="00306A4C">
        <w:t>tumors</w:t>
      </w:r>
      <w:proofErr w:type="spellEnd"/>
      <w:r w:rsidRPr="00306A4C">
        <w:t xml:space="preserve"> expressing KIT</w:t>
      </w:r>
      <w:r>
        <w:t xml:space="preserve">. </w:t>
      </w:r>
      <w:proofErr w:type="gramStart"/>
      <w:r w:rsidRPr="00306A4C">
        <w:rPr>
          <w:i/>
        </w:rPr>
        <w:t xml:space="preserve">J </w:t>
      </w:r>
      <w:proofErr w:type="spellStart"/>
      <w:r w:rsidRPr="00306A4C">
        <w:rPr>
          <w:i/>
        </w:rPr>
        <w:t>Clin</w:t>
      </w:r>
      <w:proofErr w:type="spellEnd"/>
      <w:r w:rsidRPr="00306A4C">
        <w:rPr>
          <w:i/>
        </w:rPr>
        <w:t xml:space="preserve"> </w:t>
      </w:r>
      <w:proofErr w:type="spellStart"/>
      <w:r w:rsidRPr="00306A4C">
        <w:rPr>
          <w:i/>
        </w:rPr>
        <w:t>Oncol</w:t>
      </w:r>
      <w:proofErr w:type="spellEnd"/>
      <w:r w:rsidRPr="00306A4C">
        <w:rPr>
          <w:i/>
        </w:rPr>
        <w:t>.</w:t>
      </w:r>
      <w:proofErr w:type="gramEnd"/>
      <w:r w:rsidRPr="00306A4C">
        <w:rPr>
          <w:i/>
        </w:rPr>
        <w:t xml:space="preserve"> </w:t>
      </w:r>
      <w:r>
        <w:t>26</w:t>
      </w:r>
      <w:r w:rsidRPr="00306A4C">
        <w:t>:</w:t>
      </w:r>
      <w:r>
        <w:t xml:space="preserve"> </w:t>
      </w:r>
      <w:r w:rsidRPr="00306A4C">
        <w:t>620-</w:t>
      </w:r>
      <w:r>
        <w:t>62</w:t>
      </w:r>
      <w:r w:rsidRPr="00306A4C">
        <w:t>5</w:t>
      </w:r>
      <w:r>
        <w:t xml:space="preserve">; </w:t>
      </w:r>
      <w:proofErr w:type="spellStart"/>
      <w:r>
        <w:t>Deininger</w:t>
      </w:r>
      <w:proofErr w:type="spellEnd"/>
      <w:r>
        <w:t xml:space="preserve"> M, </w:t>
      </w:r>
      <w:r w:rsidRPr="00206F89">
        <w:rPr>
          <w:i/>
        </w:rPr>
        <w:t>et al.</w:t>
      </w:r>
      <w:r>
        <w:t xml:space="preserve"> (2009) International randomized study of </w:t>
      </w:r>
      <w:proofErr w:type="spellStart"/>
      <w:r>
        <w:t>interferons</w:t>
      </w:r>
      <w:proofErr w:type="spellEnd"/>
      <w:r>
        <w:t xml:space="preserve"> </w:t>
      </w:r>
      <w:proofErr w:type="spellStart"/>
      <w:r>
        <w:t>vs</w:t>
      </w:r>
      <w:proofErr w:type="spellEnd"/>
      <w:r>
        <w:t xml:space="preserve"> STI571 (IRIS) 8-year follow up: Sustained survival and low risk for progression or events in patients with newly diagnosed chronic myeloid </w:t>
      </w:r>
      <w:proofErr w:type="spellStart"/>
      <w:r>
        <w:t>leukemia</w:t>
      </w:r>
      <w:proofErr w:type="spellEnd"/>
      <w:r>
        <w:t xml:space="preserve"> in chronic phase (CML-CP) treated with </w:t>
      </w:r>
      <w:proofErr w:type="spellStart"/>
      <w:r>
        <w:t>imatinib</w:t>
      </w:r>
      <w:proofErr w:type="spellEnd"/>
      <w:r>
        <w:t xml:space="preserve">. </w:t>
      </w:r>
      <w:r w:rsidRPr="00B44302">
        <w:rPr>
          <w:i/>
        </w:rPr>
        <w:t>Blood</w:t>
      </w:r>
      <w:r>
        <w:t xml:space="preserve"> (ASH Annual Meeting Abstracts) 114: Abstract 1126.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ACB" w:rsidRDefault="000A3ACB"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ACB" w:rsidRDefault="000A3ACB">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-584835</wp:posOffset>
          </wp:positionV>
          <wp:extent cx="7572375" cy="10710545"/>
          <wp:effectExtent l="19050" t="0" r="9525" b="0"/>
          <wp:wrapNone/>
          <wp:docPr id="1" name="Picture 1" descr="Therapeutic Goods Administration.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eutic Goods Administration. Health, Safety, Regulation"/>
                  <pic:cNvPicPr>
                    <a:picLocks noChangeAspect="1" noChangeArrowheads="1"/>
                  </pic:cNvPicPr>
                </pic:nvPicPr>
                <pic:blipFill>
                  <a:blip r:embed="rId1"/>
                  <a:srcRect/>
                  <a:stretch>
                    <a:fillRect/>
                  </a:stretch>
                </pic:blipFill>
                <pic:spPr bwMode="auto">
                  <a:xfrm>
                    <a:off x="0" y="0"/>
                    <a:ext cx="7572375" cy="10710545"/>
                  </a:xfrm>
                  <a:prstGeom prst="rect">
                    <a:avLst/>
                  </a:prstGeom>
                  <a:noFill/>
                </pic:spPr>
              </pic:pic>
            </a:graphicData>
          </a:graphic>
        </wp:anchor>
      </w:drawing>
    </w:r>
  </w:p>
  <w:p w:rsidR="000A3ACB" w:rsidRDefault="000A3ACB" w:rsidP="00593AD1">
    <w:pPr>
      <w:pStyle w:val="HeaderNoLine"/>
    </w:pPr>
    <w:r>
      <w:rPr>
        <w:noProof/>
        <w:lang w:eastAsia="en-AU"/>
      </w:rPr>
      <w:drawing>
        <wp:inline distT="0" distB="0" distL="0" distR="0">
          <wp:extent cx="5400675" cy="7639050"/>
          <wp:effectExtent l="19050" t="0" r="9525" b="0"/>
          <wp:docPr id="10" name="Picture 10"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ghtblue.jpg"/>
                  <pic:cNvPicPr>
                    <a:picLocks noChangeAspect="1" noChangeArrowheads="1"/>
                  </pic:cNvPicPr>
                </pic:nvPicPr>
                <pic:blipFill>
                  <a:blip r:embed="rId2"/>
                  <a:srcRect/>
                  <a:stretch>
                    <a:fillRect/>
                  </a:stretch>
                </pic:blipFill>
                <pic:spPr bwMode="auto">
                  <a:xfrm>
                    <a:off x="0" y="0"/>
                    <a:ext cx="5400675" cy="763905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ACB" w:rsidRDefault="000A3AC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ACB" w:rsidRDefault="000A3ACB">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ACB" w:rsidRDefault="000A3ACB">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ACB" w:rsidRDefault="000A3AC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ACB" w:rsidRDefault="000A3ACB">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ACB" w:rsidRDefault="000A3ACB" w:rsidP="006E08B3">
    <w:r>
      <w:t>Therapeutic Goods Administration</w:t>
    </w:r>
  </w:p>
  <w:p w:rsidR="000A3ACB" w:rsidRDefault="000A3ACB"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167725E"/>
    <w:multiLevelType w:val="hybridMultilevel"/>
    <w:tmpl w:val="B1626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3D77D0D"/>
    <w:multiLevelType w:val="hybridMultilevel"/>
    <w:tmpl w:val="7408C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4CA7623"/>
    <w:multiLevelType w:val="hybridMultilevel"/>
    <w:tmpl w:val="EBC69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4D62AF6"/>
    <w:multiLevelType w:val="hybridMultilevel"/>
    <w:tmpl w:val="2E144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6A46984"/>
    <w:multiLevelType w:val="hybridMultilevel"/>
    <w:tmpl w:val="94E20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9355E1E"/>
    <w:multiLevelType w:val="hybridMultilevel"/>
    <w:tmpl w:val="EAFA0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nsid w:val="13915FDF"/>
    <w:multiLevelType w:val="hybridMultilevel"/>
    <w:tmpl w:val="729AF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59C40B1"/>
    <w:multiLevelType w:val="hybridMultilevel"/>
    <w:tmpl w:val="2E886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236474CA"/>
    <w:multiLevelType w:val="hybridMultilevel"/>
    <w:tmpl w:val="7A08FC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E70362D"/>
    <w:multiLevelType w:val="hybridMultilevel"/>
    <w:tmpl w:val="50DA4268"/>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6">
    <w:nsid w:val="3066740A"/>
    <w:multiLevelType w:val="hybridMultilevel"/>
    <w:tmpl w:val="0214F256"/>
    <w:lvl w:ilvl="0" w:tplc="938CC730">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7">
    <w:nsid w:val="33B26FB2"/>
    <w:multiLevelType w:val="hybridMultilevel"/>
    <w:tmpl w:val="859E6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9D44AB2"/>
    <w:multiLevelType w:val="hybridMultilevel"/>
    <w:tmpl w:val="A8F8D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AC02909"/>
    <w:multiLevelType w:val="hybridMultilevel"/>
    <w:tmpl w:val="AC8CF608"/>
    <w:lvl w:ilvl="0" w:tplc="1AC8D040">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0">
    <w:nsid w:val="4033325D"/>
    <w:multiLevelType w:val="hybridMultilevel"/>
    <w:tmpl w:val="8A52D08E"/>
    <w:lvl w:ilvl="0" w:tplc="67BE599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5807F2C"/>
    <w:multiLevelType w:val="hybridMultilevel"/>
    <w:tmpl w:val="0426A2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43B6F1B"/>
    <w:multiLevelType w:val="hybridMultilevel"/>
    <w:tmpl w:val="38604C8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062"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BCC3C7F"/>
    <w:multiLevelType w:val="hybridMultilevel"/>
    <w:tmpl w:val="C59A4B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6EDA5D79"/>
    <w:multiLevelType w:val="hybridMultilevel"/>
    <w:tmpl w:val="95F0C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2B42263"/>
    <w:multiLevelType w:val="hybridMultilevel"/>
    <w:tmpl w:val="C860A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8371562"/>
    <w:multiLevelType w:val="hybridMultilevel"/>
    <w:tmpl w:val="2794C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98F2B04"/>
    <w:multiLevelType w:val="hybridMultilevel"/>
    <w:tmpl w:val="D3783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CE129C4"/>
    <w:multiLevelType w:val="hybridMultilevel"/>
    <w:tmpl w:val="FB92B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E9D2CF3"/>
    <w:multiLevelType w:val="singleLevel"/>
    <w:tmpl w:val="0C090001"/>
    <w:lvl w:ilvl="0">
      <w:start w:val="1"/>
      <w:numFmt w:val="bullet"/>
      <w:lvlText w:val=""/>
      <w:lvlJc w:val="left"/>
      <w:pPr>
        <w:ind w:left="720" w:hanging="360"/>
      </w:pPr>
      <w:rPr>
        <w:rFonts w:ascii="Symbol" w:hAnsi="Symbol" w:hint="default"/>
      </w:rPr>
    </w:lvl>
  </w:abstractNum>
  <w:num w:numId="1">
    <w:abstractNumId w:val="2"/>
  </w:num>
  <w:num w:numId="2">
    <w:abstractNumId w:val="1"/>
  </w:num>
  <w:num w:numId="3">
    <w:abstractNumId w:val="13"/>
  </w:num>
  <w:num w:numId="4">
    <w:abstractNumId w:val="13"/>
  </w:num>
  <w:num w:numId="5">
    <w:abstractNumId w:val="0"/>
  </w:num>
  <w:num w:numId="6">
    <w:abstractNumId w:val="13"/>
  </w:num>
  <w:num w:numId="7">
    <w:abstractNumId w:val="13"/>
  </w:num>
  <w:num w:numId="8">
    <w:abstractNumId w:val="10"/>
  </w:num>
  <w:num w:numId="9">
    <w:abstractNumId w:val="10"/>
  </w:num>
  <w:num w:numId="10">
    <w:abstractNumId w:val="10"/>
  </w:num>
  <w:num w:numId="11">
    <w:abstractNumId w:val="10"/>
  </w:num>
  <w:num w:numId="12">
    <w:abstractNumId w:val="3"/>
    <w:lvlOverride w:ilvl="0">
      <w:lvl w:ilvl="0">
        <w:numFmt w:val="bullet"/>
        <w:lvlText w:val="•"/>
        <w:legacy w:legacy="1" w:legacySpace="0" w:legacyIndent="0"/>
        <w:lvlJc w:val="left"/>
        <w:rPr>
          <w:rFonts w:ascii="Helv" w:hAnsi="Helv" w:hint="default"/>
        </w:rPr>
      </w:lvl>
    </w:lvlOverride>
  </w:num>
  <w:num w:numId="13">
    <w:abstractNumId w:val="13"/>
  </w:num>
  <w:num w:numId="14">
    <w:abstractNumId w:val="13"/>
  </w:num>
  <w:num w:numId="15">
    <w:abstractNumId w:val="13"/>
  </w:num>
  <w:num w:numId="16">
    <w:abstractNumId w:val="10"/>
  </w:num>
  <w:num w:numId="17">
    <w:abstractNumId w:val="10"/>
  </w:num>
  <w:num w:numId="18">
    <w:abstractNumId w:val="10"/>
  </w:num>
  <w:num w:numId="19">
    <w:abstractNumId w:val="13"/>
  </w:num>
  <w:num w:numId="20">
    <w:abstractNumId w:val="13"/>
  </w:num>
  <w:num w:numId="21">
    <w:abstractNumId w:val="13"/>
  </w:num>
  <w:num w:numId="22">
    <w:abstractNumId w:val="10"/>
  </w:num>
  <w:num w:numId="23">
    <w:abstractNumId w:val="10"/>
  </w:num>
  <w:num w:numId="24">
    <w:abstractNumId w:val="10"/>
  </w:num>
  <w:num w:numId="25">
    <w:abstractNumId w:val="22"/>
  </w:num>
  <w:num w:numId="26">
    <w:abstractNumId w:val="7"/>
  </w:num>
  <w:num w:numId="27">
    <w:abstractNumId w:val="15"/>
  </w:num>
  <w:num w:numId="28">
    <w:abstractNumId w:val="9"/>
  </w:num>
  <w:num w:numId="29">
    <w:abstractNumId w:val="29"/>
  </w:num>
  <w:num w:numId="30">
    <w:abstractNumId w:val="26"/>
  </w:num>
  <w:num w:numId="31">
    <w:abstractNumId w:val="24"/>
  </w:num>
  <w:num w:numId="32">
    <w:abstractNumId w:val="28"/>
  </w:num>
  <w:num w:numId="33">
    <w:abstractNumId w:val="6"/>
  </w:num>
  <w:num w:numId="34">
    <w:abstractNumId w:val="17"/>
  </w:num>
  <w:num w:numId="35">
    <w:abstractNumId w:val="27"/>
  </w:num>
  <w:num w:numId="36">
    <w:abstractNumId w:val="18"/>
  </w:num>
  <w:num w:numId="37">
    <w:abstractNumId w:val="4"/>
  </w:num>
  <w:num w:numId="38">
    <w:abstractNumId w:val="25"/>
  </w:num>
  <w:num w:numId="39">
    <w:abstractNumId w:val="23"/>
  </w:num>
  <w:num w:numId="40">
    <w:abstractNumId w:val="21"/>
  </w:num>
  <w:num w:numId="41">
    <w:abstractNumId w:val="16"/>
  </w:num>
  <w:num w:numId="42">
    <w:abstractNumId w:val="19"/>
  </w:num>
  <w:num w:numId="43">
    <w:abstractNumId w:val="8"/>
  </w:num>
  <w:num w:numId="44">
    <w:abstractNumId w:val="12"/>
  </w:num>
  <w:num w:numId="45">
    <w:abstractNumId w:val="5"/>
  </w:num>
  <w:num w:numId="46">
    <w:abstractNumId w:val="11"/>
  </w:num>
  <w:num w:numId="47">
    <w:abstractNumId w:val="14"/>
  </w:num>
  <w:num w:numId="48">
    <w:abstractNumId w:val="20"/>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isplayBackgroundShape/>
  <w:proofState w:spelling="clean" w:grammar="clean"/>
  <w:stylePaneFormatFilter w:val="1001"/>
  <w:stylePaneSortMethod w:val="0000"/>
  <w:defaultTabStop w:val="720"/>
  <w:defaultTableStyle w:val="TableTGAblack"/>
  <w:drawingGridHorizontalSpacing w:val="110"/>
  <w:displayHorizontalDrawingGridEvery w:val="2"/>
  <w:characterSpacingControl w:val="doNotCompress"/>
  <w:hdrShapeDefaults>
    <o:shapedefaults v:ext="edit" spidmax="58369">
      <o:colormenu v:ext="edit" fillcolor="none [3206]"/>
    </o:shapedefaults>
  </w:hdrShapeDefaults>
  <w:footnotePr>
    <w:footnote w:id="-1"/>
    <w:footnote w:id="0"/>
  </w:footnotePr>
  <w:endnotePr>
    <w:endnote w:id="-1"/>
    <w:endnote w:id="0"/>
  </w:endnotePr>
  <w:compat/>
  <w:rsids>
    <w:rsidRoot w:val="00C70D53"/>
    <w:rsid w:val="00002031"/>
    <w:rsid w:val="00004734"/>
    <w:rsid w:val="0000582E"/>
    <w:rsid w:val="00006B22"/>
    <w:rsid w:val="0001248D"/>
    <w:rsid w:val="0001276A"/>
    <w:rsid w:val="000167A3"/>
    <w:rsid w:val="000235E2"/>
    <w:rsid w:val="000246AE"/>
    <w:rsid w:val="00025C67"/>
    <w:rsid w:val="000266AF"/>
    <w:rsid w:val="000320A8"/>
    <w:rsid w:val="00041C4D"/>
    <w:rsid w:val="000454DE"/>
    <w:rsid w:val="000545B3"/>
    <w:rsid w:val="0005559E"/>
    <w:rsid w:val="0006557B"/>
    <w:rsid w:val="00065D89"/>
    <w:rsid w:val="00076D3B"/>
    <w:rsid w:val="00077775"/>
    <w:rsid w:val="00084A64"/>
    <w:rsid w:val="00085AF6"/>
    <w:rsid w:val="0008650D"/>
    <w:rsid w:val="00090471"/>
    <w:rsid w:val="0009105C"/>
    <w:rsid w:val="000A3ACB"/>
    <w:rsid w:val="000A6D0F"/>
    <w:rsid w:val="000B3532"/>
    <w:rsid w:val="000B3A75"/>
    <w:rsid w:val="000C690F"/>
    <w:rsid w:val="000D1295"/>
    <w:rsid w:val="000D391B"/>
    <w:rsid w:val="000D3D6D"/>
    <w:rsid w:val="000D405E"/>
    <w:rsid w:val="000D4FC7"/>
    <w:rsid w:val="000E558F"/>
    <w:rsid w:val="000F38A0"/>
    <w:rsid w:val="000F4869"/>
    <w:rsid w:val="000F5468"/>
    <w:rsid w:val="000F5B42"/>
    <w:rsid w:val="000F6E6F"/>
    <w:rsid w:val="0010601F"/>
    <w:rsid w:val="00106A25"/>
    <w:rsid w:val="0010788A"/>
    <w:rsid w:val="00107A31"/>
    <w:rsid w:val="00110EA5"/>
    <w:rsid w:val="00112F56"/>
    <w:rsid w:val="00123304"/>
    <w:rsid w:val="00125318"/>
    <w:rsid w:val="001305A2"/>
    <w:rsid w:val="00133238"/>
    <w:rsid w:val="0013383F"/>
    <w:rsid w:val="00134868"/>
    <w:rsid w:val="0014197B"/>
    <w:rsid w:val="001447CD"/>
    <w:rsid w:val="001463C5"/>
    <w:rsid w:val="001516B1"/>
    <w:rsid w:val="00153980"/>
    <w:rsid w:val="00154EBB"/>
    <w:rsid w:val="00156316"/>
    <w:rsid w:val="00156D51"/>
    <w:rsid w:val="001579CC"/>
    <w:rsid w:val="00165389"/>
    <w:rsid w:val="0017649C"/>
    <w:rsid w:val="0017693F"/>
    <w:rsid w:val="001806E7"/>
    <w:rsid w:val="0018110E"/>
    <w:rsid w:val="00181684"/>
    <w:rsid w:val="00181A64"/>
    <w:rsid w:val="001843C6"/>
    <w:rsid w:val="001850E0"/>
    <w:rsid w:val="001A2158"/>
    <w:rsid w:val="001A3D61"/>
    <w:rsid w:val="001A525F"/>
    <w:rsid w:val="001A787B"/>
    <w:rsid w:val="001B09F9"/>
    <w:rsid w:val="001B54C5"/>
    <w:rsid w:val="001B6448"/>
    <w:rsid w:val="001E07CF"/>
    <w:rsid w:val="001E59F1"/>
    <w:rsid w:val="001F356F"/>
    <w:rsid w:val="001F49EB"/>
    <w:rsid w:val="001F6CBA"/>
    <w:rsid w:val="00201D4E"/>
    <w:rsid w:val="00202183"/>
    <w:rsid w:val="00206F89"/>
    <w:rsid w:val="00215224"/>
    <w:rsid w:val="002172E7"/>
    <w:rsid w:val="00220B8A"/>
    <w:rsid w:val="00222C59"/>
    <w:rsid w:val="002257F3"/>
    <w:rsid w:val="00226311"/>
    <w:rsid w:val="0023112D"/>
    <w:rsid w:val="00232C07"/>
    <w:rsid w:val="00233456"/>
    <w:rsid w:val="002339A5"/>
    <w:rsid w:val="00257205"/>
    <w:rsid w:val="00257848"/>
    <w:rsid w:val="00266A71"/>
    <w:rsid w:val="0027084A"/>
    <w:rsid w:val="002816F5"/>
    <w:rsid w:val="002835EC"/>
    <w:rsid w:val="00286434"/>
    <w:rsid w:val="00286C59"/>
    <w:rsid w:val="002942D1"/>
    <w:rsid w:val="0029501A"/>
    <w:rsid w:val="002B0D5D"/>
    <w:rsid w:val="002B1638"/>
    <w:rsid w:val="002C5336"/>
    <w:rsid w:val="002E4C9A"/>
    <w:rsid w:val="002F11F8"/>
    <w:rsid w:val="002F3F56"/>
    <w:rsid w:val="002F44B5"/>
    <w:rsid w:val="00306A4C"/>
    <w:rsid w:val="00311AC0"/>
    <w:rsid w:val="00313E21"/>
    <w:rsid w:val="00314ABA"/>
    <w:rsid w:val="00315352"/>
    <w:rsid w:val="003164DD"/>
    <w:rsid w:val="003173D7"/>
    <w:rsid w:val="00322997"/>
    <w:rsid w:val="00323F41"/>
    <w:rsid w:val="0032583B"/>
    <w:rsid w:val="00327883"/>
    <w:rsid w:val="003321F0"/>
    <w:rsid w:val="00334797"/>
    <w:rsid w:val="00335504"/>
    <w:rsid w:val="00337351"/>
    <w:rsid w:val="00345CA4"/>
    <w:rsid w:val="00351FB9"/>
    <w:rsid w:val="003521E8"/>
    <w:rsid w:val="003728F3"/>
    <w:rsid w:val="00373C9C"/>
    <w:rsid w:val="0037496E"/>
    <w:rsid w:val="00386150"/>
    <w:rsid w:val="003874CE"/>
    <w:rsid w:val="00390900"/>
    <w:rsid w:val="003A42E4"/>
    <w:rsid w:val="003A7F6C"/>
    <w:rsid w:val="003B240B"/>
    <w:rsid w:val="003B31F5"/>
    <w:rsid w:val="003B395C"/>
    <w:rsid w:val="003B4D60"/>
    <w:rsid w:val="003B5D5E"/>
    <w:rsid w:val="003B70C4"/>
    <w:rsid w:val="003B7E39"/>
    <w:rsid w:val="003C3240"/>
    <w:rsid w:val="003C390B"/>
    <w:rsid w:val="003C58DC"/>
    <w:rsid w:val="003D1AE5"/>
    <w:rsid w:val="003D1E62"/>
    <w:rsid w:val="003D31AC"/>
    <w:rsid w:val="003E0BB9"/>
    <w:rsid w:val="003E2486"/>
    <w:rsid w:val="003E3208"/>
    <w:rsid w:val="003F09C9"/>
    <w:rsid w:val="003F0B04"/>
    <w:rsid w:val="003F6FF8"/>
    <w:rsid w:val="0040134E"/>
    <w:rsid w:val="00402020"/>
    <w:rsid w:val="00405593"/>
    <w:rsid w:val="00432401"/>
    <w:rsid w:val="00432FB9"/>
    <w:rsid w:val="00440A2D"/>
    <w:rsid w:val="00442253"/>
    <w:rsid w:val="00444893"/>
    <w:rsid w:val="004564A7"/>
    <w:rsid w:val="004617BF"/>
    <w:rsid w:val="00463658"/>
    <w:rsid w:val="004722CC"/>
    <w:rsid w:val="0047387D"/>
    <w:rsid w:val="004936E4"/>
    <w:rsid w:val="00494E60"/>
    <w:rsid w:val="0049627D"/>
    <w:rsid w:val="00497487"/>
    <w:rsid w:val="004B7B76"/>
    <w:rsid w:val="004C2DCA"/>
    <w:rsid w:val="004C7FCB"/>
    <w:rsid w:val="004D1156"/>
    <w:rsid w:val="004D1412"/>
    <w:rsid w:val="004D2870"/>
    <w:rsid w:val="004D66DC"/>
    <w:rsid w:val="004E28B8"/>
    <w:rsid w:val="004E3459"/>
    <w:rsid w:val="004E6F65"/>
    <w:rsid w:val="004F0920"/>
    <w:rsid w:val="004F0F38"/>
    <w:rsid w:val="00501921"/>
    <w:rsid w:val="00522AE9"/>
    <w:rsid w:val="00525645"/>
    <w:rsid w:val="00530354"/>
    <w:rsid w:val="00531C3D"/>
    <w:rsid w:val="0053625B"/>
    <w:rsid w:val="005434C6"/>
    <w:rsid w:val="00543B39"/>
    <w:rsid w:val="00545946"/>
    <w:rsid w:val="00550096"/>
    <w:rsid w:val="00557FF9"/>
    <w:rsid w:val="005650C2"/>
    <w:rsid w:val="00565EFB"/>
    <w:rsid w:val="00576378"/>
    <w:rsid w:val="0057747C"/>
    <w:rsid w:val="00577945"/>
    <w:rsid w:val="00577E38"/>
    <w:rsid w:val="00580110"/>
    <w:rsid w:val="00582EDF"/>
    <w:rsid w:val="00585322"/>
    <w:rsid w:val="005857C6"/>
    <w:rsid w:val="00592BB8"/>
    <w:rsid w:val="00592F6E"/>
    <w:rsid w:val="00593AD1"/>
    <w:rsid w:val="005963DF"/>
    <w:rsid w:val="005A15CA"/>
    <w:rsid w:val="005A3438"/>
    <w:rsid w:val="005A68B6"/>
    <w:rsid w:val="005C5570"/>
    <w:rsid w:val="005C6157"/>
    <w:rsid w:val="005C79A4"/>
    <w:rsid w:val="005D5442"/>
    <w:rsid w:val="005E2E01"/>
    <w:rsid w:val="005E4397"/>
    <w:rsid w:val="00603F32"/>
    <w:rsid w:val="00604C6C"/>
    <w:rsid w:val="00611356"/>
    <w:rsid w:val="00616685"/>
    <w:rsid w:val="00620370"/>
    <w:rsid w:val="00627ED3"/>
    <w:rsid w:val="00632398"/>
    <w:rsid w:val="00632946"/>
    <w:rsid w:val="006348F3"/>
    <w:rsid w:val="00640FC3"/>
    <w:rsid w:val="00641104"/>
    <w:rsid w:val="00642020"/>
    <w:rsid w:val="00645460"/>
    <w:rsid w:val="00647A67"/>
    <w:rsid w:val="0065337B"/>
    <w:rsid w:val="0065419D"/>
    <w:rsid w:val="006571E6"/>
    <w:rsid w:val="006604D8"/>
    <w:rsid w:val="00664A5B"/>
    <w:rsid w:val="00664E30"/>
    <w:rsid w:val="00675BD2"/>
    <w:rsid w:val="006763D2"/>
    <w:rsid w:val="00680C08"/>
    <w:rsid w:val="0068660A"/>
    <w:rsid w:val="00687B3E"/>
    <w:rsid w:val="006931B1"/>
    <w:rsid w:val="00694EE6"/>
    <w:rsid w:val="00695BC1"/>
    <w:rsid w:val="00695EF1"/>
    <w:rsid w:val="006A15C0"/>
    <w:rsid w:val="006B4EE5"/>
    <w:rsid w:val="006C3E2A"/>
    <w:rsid w:val="006C4127"/>
    <w:rsid w:val="006C642F"/>
    <w:rsid w:val="006D03E5"/>
    <w:rsid w:val="006D5D3E"/>
    <w:rsid w:val="006E08B3"/>
    <w:rsid w:val="006E4716"/>
    <w:rsid w:val="006F17AC"/>
    <w:rsid w:val="006F572E"/>
    <w:rsid w:val="007046D6"/>
    <w:rsid w:val="00705DB0"/>
    <w:rsid w:val="00706BD5"/>
    <w:rsid w:val="00716724"/>
    <w:rsid w:val="00722B57"/>
    <w:rsid w:val="00731304"/>
    <w:rsid w:val="0074253D"/>
    <w:rsid w:val="0074429B"/>
    <w:rsid w:val="0075324E"/>
    <w:rsid w:val="007615BC"/>
    <w:rsid w:val="00762F05"/>
    <w:rsid w:val="00763A70"/>
    <w:rsid w:val="00765132"/>
    <w:rsid w:val="007652FF"/>
    <w:rsid w:val="00770B9A"/>
    <w:rsid w:val="00770EF1"/>
    <w:rsid w:val="00773EF7"/>
    <w:rsid w:val="00774E1D"/>
    <w:rsid w:val="0077675A"/>
    <w:rsid w:val="00780355"/>
    <w:rsid w:val="00785721"/>
    <w:rsid w:val="007934AA"/>
    <w:rsid w:val="00793A59"/>
    <w:rsid w:val="00793CDA"/>
    <w:rsid w:val="00797259"/>
    <w:rsid w:val="007B6E9F"/>
    <w:rsid w:val="007C1216"/>
    <w:rsid w:val="007C1AF7"/>
    <w:rsid w:val="007D42AF"/>
    <w:rsid w:val="007E5E31"/>
    <w:rsid w:val="00805D27"/>
    <w:rsid w:val="00806FFF"/>
    <w:rsid w:val="00807A95"/>
    <w:rsid w:val="0081473F"/>
    <w:rsid w:val="00815D47"/>
    <w:rsid w:val="00821776"/>
    <w:rsid w:val="008321F5"/>
    <w:rsid w:val="00832369"/>
    <w:rsid w:val="00834660"/>
    <w:rsid w:val="00836BC2"/>
    <w:rsid w:val="00840057"/>
    <w:rsid w:val="0084561D"/>
    <w:rsid w:val="0085641B"/>
    <w:rsid w:val="00857136"/>
    <w:rsid w:val="0087675F"/>
    <w:rsid w:val="00885D40"/>
    <w:rsid w:val="00886D15"/>
    <w:rsid w:val="00887DD8"/>
    <w:rsid w:val="00896018"/>
    <w:rsid w:val="008960DD"/>
    <w:rsid w:val="0089635C"/>
    <w:rsid w:val="008A2B9D"/>
    <w:rsid w:val="008A5E0B"/>
    <w:rsid w:val="008A663E"/>
    <w:rsid w:val="008A6D59"/>
    <w:rsid w:val="008B277B"/>
    <w:rsid w:val="008B4B03"/>
    <w:rsid w:val="008B596F"/>
    <w:rsid w:val="008B5FFF"/>
    <w:rsid w:val="008B6337"/>
    <w:rsid w:val="008C0543"/>
    <w:rsid w:val="008C0ABD"/>
    <w:rsid w:val="008C159F"/>
    <w:rsid w:val="008C1623"/>
    <w:rsid w:val="008C31E5"/>
    <w:rsid w:val="008C51A9"/>
    <w:rsid w:val="008D7BAE"/>
    <w:rsid w:val="008E7846"/>
    <w:rsid w:val="008F1CCC"/>
    <w:rsid w:val="008F2967"/>
    <w:rsid w:val="008F6943"/>
    <w:rsid w:val="00902A21"/>
    <w:rsid w:val="00904DD9"/>
    <w:rsid w:val="0091157B"/>
    <w:rsid w:val="009169E6"/>
    <w:rsid w:val="00920330"/>
    <w:rsid w:val="009219D7"/>
    <w:rsid w:val="00921C20"/>
    <w:rsid w:val="00922D53"/>
    <w:rsid w:val="00923B70"/>
    <w:rsid w:val="00924482"/>
    <w:rsid w:val="00930237"/>
    <w:rsid w:val="009421E0"/>
    <w:rsid w:val="00946EA5"/>
    <w:rsid w:val="00957E94"/>
    <w:rsid w:val="009630AB"/>
    <w:rsid w:val="0096398A"/>
    <w:rsid w:val="00963C08"/>
    <w:rsid w:val="00967863"/>
    <w:rsid w:val="00973C1B"/>
    <w:rsid w:val="00982030"/>
    <w:rsid w:val="00983E45"/>
    <w:rsid w:val="0098585A"/>
    <w:rsid w:val="00986654"/>
    <w:rsid w:val="009A0244"/>
    <w:rsid w:val="009A4B13"/>
    <w:rsid w:val="009A4CED"/>
    <w:rsid w:val="009A577A"/>
    <w:rsid w:val="009A690D"/>
    <w:rsid w:val="009B1D12"/>
    <w:rsid w:val="009B416B"/>
    <w:rsid w:val="009C2FA6"/>
    <w:rsid w:val="009C3925"/>
    <w:rsid w:val="009C4BD5"/>
    <w:rsid w:val="009D0ECA"/>
    <w:rsid w:val="009D7B77"/>
    <w:rsid w:val="009E0BB0"/>
    <w:rsid w:val="009E1510"/>
    <w:rsid w:val="009E3FBB"/>
    <w:rsid w:val="009F10C5"/>
    <w:rsid w:val="00A102E4"/>
    <w:rsid w:val="00A12C42"/>
    <w:rsid w:val="00A14DF7"/>
    <w:rsid w:val="00A15988"/>
    <w:rsid w:val="00A20B85"/>
    <w:rsid w:val="00A26077"/>
    <w:rsid w:val="00A3246D"/>
    <w:rsid w:val="00A36FA7"/>
    <w:rsid w:val="00A43077"/>
    <w:rsid w:val="00A4705F"/>
    <w:rsid w:val="00A475B7"/>
    <w:rsid w:val="00A47AF7"/>
    <w:rsid w:val="00A47C3E"/>
    <w:rsid w:val="00A50226"/>
    <w:rsid w:val="00A5363C"/>
    <w:rsid w:val="00A543DB"/>
    <w:rsid w:val="00A60BAD"/>
    <w:rsid w:val="00A73BA8"/>
    <w:rsid w:val="00A7767E"/>
    <w:rsid w:val="00A84D39"/>
    <w:rsid w:val="00A92358"/>
    <w:rsid w:val="00A964D1"/>
    <w:rsid w:val="00A9737D"/>
    <w:rsid w:val="00AA0ED0"/>
    <w:rsid w:val="00AA4D20"/>
    <w:rsid w:val="00AB0A4B"/>
    <w:rsid w:val="00AB4BCF"/>
    <w:rsid w:val="00AB61D7"/>
    <w:rsid w:val="00AB7F64"/>
    <w:rsid w:val="00AC2B40"/>
    <w:rsid w:val="00AC2BB2"/>
    <w:rsid w:val="00AC2C3C"/>
    <w:rsid w:val="00AC512D"/>
    <w:rsid w:val="00AD1170"/>
    <w:rsid w:val="00AD6B0E"/>
    <w:rsid w:val="00AD7102"/>
    <w:rsid w:val="00AE65EB"/>
    <w:rsid w:val="00AE67A7"/>
    <w:rsid w:val="00AF1D94"/>
    <w:rsid w:val="00AF2E7B"/>
    <w:rsid w:val="00AF50A1"/>
    <w:rsid w:val="00AF5838"/>
    <w:rsid w:val="00AF60C5"/>
    <w:rsid w:val="00B009C6"/>
    <w:rsid w:val="00B01548"/>
    <w:rsid w:val="00B12F65"/>
    <w:rsid w:val="00B21D29"/>
    <w:rsid w:val="00B25034"/>
    <w:rsid w:val="00B3281F"/>
    <w:rsid w:val="00B33588"/>
    <w:rsid w:val="00B33863"/>
    <w:rsid w:val="00B37D17"/>
    <w:rsid w:val="00B4175E"/>
    <w:rsid w:val="00B41CB7"/>
    <w:rsid w:val="00B44302"/>
    <w:rsid w:val="00B452CE"/>
    <w:rsid w:val="00B54C25"/>
    <w:rsid w:val="00B74B61"/>
    <w:rsid w:val="00B763AC"/>
    <w:rsid w:val="00B76B91"/>
    <w:rsid w:val="00B77EB1"/>
    <w:rsid w:val="00B811C6"/>
    <w:rsid w:val="00B860E3"/>
    <w:rsid w:val="00B91D0B"/>
    <w:rsid w:val="00B92E08"/>
    <w:rsid w:val="00BA361E"/>
    <w:rsid w:val="00BB1332"/>
    <w:rsid w:val="00BB72B6"/>
    <w:rsid w:val="00BC42B9"/>
    <w:rsid w:val="00BC622A"/>
    <w:rsid w:val="00BE0A78"/>
    <w:rsid w:val="00BE3126"/>
    <w:rsid w:val="00BE79F0"/>
    <w:rsid w:val="00BF046D"/>
    <w:rsid w:val="00BF0B03"/>
    <w:rsid w:val="00BF5D04"/>
    <w:rsid w:val="00BF6DA2"/>
    <w:rsid w:val="00C1164D"/>
    <w:rsid w:val="00C16861"/>
    <w:rsid w:val="00C21FB9"/>
    <w:rsid w:val="00C24EBA"/>
    <w:rsid w:val="00C27750"/>
    <w:rsid w:val="00C404A6"/>
    <w:rsid w:val="00C40A36"/>
    <w:rsid w:val="00C44419"/>
    <w:rsid w:val="00C45E7B"/>
    <w:rsid w:val="00C471B1"/>
    <w:rsid w:val="00C53E26"/>
    <w:rsid w:val="00C55DE3"/>
    <w:rsid w:val="00C6316B"/>
    <w:rsid w:val="00C634A9"/>
    <w:rsid w:val="00C63EE7"/>
    <w:rsid w:val="00C64586"/>
    <w:rsid w:val="00C65FFC"/>
    <w:rsid w:val="00C70D53"/>
    <w:rsid w:val="00C725E9"/>
    <w:rsid w:val="00C73D0B"/>
    <w:rsid w:val="00C772FF"/>
    <w:rsid w:val="00C801AF"/>
    <w:rsid w:val="00C80256"/>
    <w:rsid w:val="00C92745"/>
    <w:rsid w:val="00C93E24"/>
    <w:rsid w:val="00C94450"/>
    <w:rsid w:val="00C97793"/>
    <w:rsid w:val="00CA5504"/>
    <w:rsid w:val="00CB6BC0"/>
    <w:rsid w:val="00CC0AD4"/>
    <w:rsid w:val="00CC1B7C"/>
    <w:rsid w:val="00CC727F"/>
    <w:rsid w:val="00CD28CB"/>
    <w:rsid w:val="00CE60AF"/>
    <w:rsid w:val="00CF11EA"/>
    <w:rsid w:val="00CF15C3"/>
    <w:rsid w:val="00CF2B6F"/>
    <w:rsid w:val="00CF58B6"/>
    <w:rsid w:val="00CF6956"/>
    <w:rsid w:val="00CF7238"/>
    <w:rsid w:val="00D017ED"/>
    <w:rsid w:val="00D040D3"/>
    <w:rsid w:val="00D04C65"/>
    <w:rsid w:val="00D13D7F"/>
    <w:rsid w:val="00D224FE"/>
    <w:rsid w:val="00D37C0A"/>
    <w:rsid w:val="00D40F5C"/>
    <w:rsid w:val="00D43666"/>
    <w:rsid w:val="00D5618D"/>
    <w:rsid w:val="00D564C6"/>
    <w:rsid w:val="00D6219D"/>
    <w:rsid w:val="00D6493E"/>
    <w:rsid w:val="00D65560"/>
    <w:rsid w:val="00D7301E"/>
    <w:rsid w:val="00D73E11"/>
    <w:rsid w:val="00D76E2E"/>
    <w:rsid w:val="00D813DB"/>
    <w:rsid w:val="00D83AE1"/>
    <w:rsid w:val="00D855D4"/>
    <w:rsid w:val="00D8693B"/>
    <w:rsid w:val="00D92838"/>
    <w:rsid w:val="00D93466"/>
    <w:rsid w:val="00DA0227"/>
    <w:rsid w:val="00DA1124"/>
    <w:rsid w:val="00DA4360"/>
    <w:rsid w:val="00DA6EA6"/>
    <w:rsid w:val="00DB0504"/>
    <w:rsid w:val="00DB75B7"/>
    <w:rsid w:val="00DB7B8E"/>
    <w:rsid w:val="00DC1A6A"/>
    <w:rsid w:val="00DC6E02"/>
    <w:rsid w:val="00DD34E7"/>
    <w:rsid w:val="00DD5851"/>
    <w:rsid w:val="00DE02AE"/>
    <w:rsid w:val="00DF1D7F"/>
    <w:rsid w:val="00DF42A6"/>
    <w:rsid w:val="00DF4BE4"/>
    <w:rsid w:val="00E01D0E"/>
    <w:rsid w:val="00E02FB4"/>
    <w:rsid w:val="00E0525C"/>
    <w:rsid w:val="00E113EB"/>
    <w:rsid w:val="00E1574B"/>
    <w:rsid w:val="00E20571"/>
    <w:rsid w:val="00E235F7"/>
    <w:rsid w:val="00E23659"/>
    <w:rsid w:val="00E239D4"/>
    <w:rsid w:val="00E25A96"/>
    <w:rsid w:val="00E26130"/>
    <w:rsid w:val="00E3105D"/>
    <w:rsid w:val="00E40B22"/>
    <w:rsid w:val="00E45619"/>
    <w:rsid w:val="00E4588F"/>
    <w:rsid w:val="00E46DA3"/>
    <w:rsid w:val="00E50011"/>
    <w:rsid w:val="00E51BB1"/>
    <w:rsid w:val="00E56E65"/>
    <w:rsid w:val="00E62211"/>
    <w:rsid w:val="00E624A5"/>
    <w:rsid w:val="00E7344E"/>
    <w:rsid w:val="00E815A7"/>
    <w:rsid w:val="00E844C7"/>
    <w:rsid w:val="00EA6A93"/>
    <w:rsid w:val="00EB0798"/>
    <w:rsid w:val="00EB40AD"/>
    <w:rsid w:val="00EB586E"/>
    <w:rsid w:val="00EB5FC8"/>
    <w:rsid w:val="00EB608D"/>
    <w:rsid w:val="00ED3CAD"/>
    <w:rsid w:val="00ED5A41"/>
    <w:rsid w:val="00EE1DE8"/>
    <w:rsid w:val="00EE43D6"/>
    <w:rsid w:val="00EE4FA7"/>
    <w:rsid w:val="00EE7622"/>
    <w:rsid w:val="00EF2E4C"/>
    <w:rsid w:val="00F033EC"/>
    <w:rsid w:val="00F038DA"/>
    <w:rsid w:val="00F04F68"/>
    <w:rsid w:val="00F12670"/>
    <w:rsid w:val="00F14B27"/>
    <w:rsid w:val="00F17386"/>
    <w:rsid w:val="00F27287"/>
    <w:rsid w:val="00F3148D"/>
    <w:rsid w:val="00F325C5"/>
    <w:rsid w:val="00F32FE0"/>
    <w:rsid w:val="00F330A2"/>
    <w:rsid w:val="00F35298"/>
    <w:rsid w:val="00F447E5"/>
    <w:rsid w:val="00F47333"/>
    <w:rsid w:val="00F47E37"/>
    <w:rsid w:val="00F5095F"/>
    <w:rsid w:val="00F53C07"/>
    <w:rsid w:val="00F54B65"/>
    <w:rsid w:val="00F640B6"/>
    <w:rsid w:val="00F65DC5"/>
    <w:rsid w:val="00F7386E"/>
    <w:rsid w:val="00F80E40"/>
    <w:rsid w:val="00F80F69"/>
    <w:rsid w:val="00F848D9"/>
    <w:rsid w:val="00F8777C"/>
    <w:rsid w:val="00F932A0"/>
    <w:rsid w:val="00F95855"/>
    <w:rsid w:val="00FA0838"/>
    <w:rsid w:val="00FA2E75"/>
    <w:rsid w:val="00FA5511"/>
    <w:rsid w:val="00FA5B82"/>
    <w:rsid w:val="00FA639E"/>
    <w:rsid w:val="00FC1718"/>
    <w:rsid w:val="00FC25E4"/>
    <w:rsid w:val="00FC4EF7"/>
    <w:rsid w:val="00FD29F4"/>
    <w:rsid w:val="00FE1DEE"/>
    <w:rsid w:val="00FE7536"/>
    <w:rsid w:val="00FE7AA8"/>
    <w:rsid w:val="00FF2126"/>
    <w:rsid w:val="00FF5755"/>
    <w:rsid w:val="00FF69BE"/>
    <w:rsid w:val="00FF77EB"/>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8369">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ListParagraph">
    <w:name w:val="List Paragraph"/>
    <w:basedOn w:val="Normal"/>
    <w:uiPriority w:val="34"/>
    <w:qFormat/>
    <w:rsid w:val="00797259"/>
    <w:pPr>
      <w:adjustRightInd w:val="0"/>
      <w:snapToGrid w:val="0"/>
      <w:spacing w:before="0" w:after="0"/>
      <w:ind w:left="720"/>
      <w:contextualSpacing/>
    </w:pPr>
    <w:rPr>
      <w:rFonts w:eastAsia="MS Mincho"/>
      <w:szCs w:val="20"/>
      <w:lang w:eastAsia="ja-JP"/>
    </w:rPr>
  </w:style>
  <w:style w:type="paragraph" w:styleId="FootnoteText">
    <w:name w:val="footnote text"/>
    <w:basedOn w:val="Normal"/>
    <w:link w:val="FootnoteTextChar"/>
    <w:semiHidden/>
    <w:rsid w:val="00351FB9"/>
    <w:pPr>
      <w:spacing w:before="0" w:after="0" w:line="240" w:lineRule="auto"/>
    </w:pPr>
    <w:rPr>
      <w:rFonts w:ascii="Times New Roman" w:eastAsia="MS Mincho" w:hAnsi="Times New Roman"/>
      <w:sz w:val="20"/>
      <w:szCs w:val="20"/>
      <w:lang w:eastAsia="ja-JP"/>
    </w:rPr>
  </w:style>
  <w:style w:type="character" w:customStyle="1" w:styleId="FootnoteTextChar">
    <w:name w:val="Footnote Text Char"/>
    <w:basedOn w:val="DefaultParagraphFont"/>
    <w:link w:val="FootnoteText"/>
    <w:semiHidden/>
    <w:rsid w:val="00351FB9"/>
    <w:rPr>
      <w:rFonts w:ascii="Times New Roman" w:eastAsia="MS Mincho" w:hAnsi="Times New Roman"/>
      <w:lang w:eastAsia="ja-JP"/>
    </w:rPr>
  </w:style>
  <w:style w:type="character" w:styleId="FootnoteReference">
    <w:name w:val="footnote reference"/>
    <w:basedOn w:val="DefaultParagraphFont"/>
    <w:semiHidden/>
    <w:rsid w:val="00351FB9"/>
    <w:rPr>
      <w:vertAlign w:val="superscript"/>
    </w:rPr>
  </w:style>
  <w:style w:type="paragraph" w:customStyle="1" w:styleId="Bullet1">
    <w:name w:val="Bullet 1"/>
    <w:basedOn w:val="Normal"/>
    <w:rsid w:val="004E3459"/>
    <w:pPr>
      <w:numPr>
        <w:numId w:val="41"/>
      </w:numPr>
      <w:spacing w:after="0" w:line="240" w:lineRule="auto"/>
    </w:pPr>
    <w:rPr>
      <w:rFonts w:eastAsia="Times New Roman"/>
      <w:kern w:val="24"/>
      <w:sz w:val="24"/>
      <w:szCs w:val="24"/>
      <w:lang w:eastAsia="en-AU"/>
    </w:rPr>
  </w:style>
  <w:style w:type="paragraph" w:customStyle="1" w:styleId="Bullet2">
    <w:name w:val="Bullet 2"/>
    <w:basedOn w:val="Bullet1"/>
    <w:rsid w:val="004E3459"/>
    <w:pPr>
      <w:numPr>
        <w:numId w:val="42"/>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4.xml"/><Relationship Id="rId30"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746CD-0109-459D-9763-021F6DAD5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32</Pages>
  <Words>11222</Words>
  <Characters>61834</Characters>
  <Application>Microsoft Office Word</Application>
  <DocSecurity>0</DocSecurity>
  <Lines>1166</Lines>
  <Paragraphs>598</Paragraphs>
  <ScaleCrop>false</ScaleCrop>
  <HeadingPairs>
    <vt:vector size="2" baseType="variant">
      <vt:variant>
        <vt:lpstr>Title</vt:lpstr>
      </vt:variant>
      <vt:variant>
        <vt:i4>1</vt:i4>
      </vt:variant>
    </vt:vector>
  </HeadingPairs>
  <TitlesOfParts>
    <vt:vector size="1" baseType="lpstr">
      <vt:lpstr>Australian public assessment for imatinib (as mesylate)</vt:lpstr>
    </vt:vector>
  </TitlesOfParts>
  <Company>TGA</Company>
  <LinksUpToDate>false</LinksUpToDate>
  <CharactersWithSpaces>72458</CharactersWithSpaces>
  <SharedDoc>false</SharedDoc>
  <HLinks>
    <vt:vector size="180" baseType="variant">
      <vt:variant>
        <vt:i4>2031665</vt:i4>
      </vt:variant>
      <vt:variant>
        <vt:i4>164</vt:i4>
      </vt:variant>
      <vt:variant>
        <vt:i4>0</vt:i4>
      </vt:variant>
      <vt:variant>
        <vt:i4>5</vt:i4>
      </vt:variant>
      <vt:variant>
        <vt:lpwstr/>
      </vt:variant>
      <vt:variant>
        <vt:lpwstr>_Toc350861449</vt:lpwstr>
      </vt:variant>
      <vt:variant>
        <vt:i4>2031665</vt:i4>
      </vt:variant>
      <vt:variant>
        <vt:i4>158</vt:i4>
      </vt:variant>
      <vt:variant>
        <vt:i4>0</vt:i4>
      </vt:variant>
      <vt:variant>
        <vt:i4>5</vt:i4>
      </vt:variant>
      <vt:variant>
        <vt:lpwstr/>
      </vt:variant>
      <vt:variant>
        <vt:lpwstr>_Toc350861448</vt:lpwstr>
      </vt:variant>
      <vt:variant>
        <vt:i4>2031665</vt:i4>
      </vt:variant>
      <vt:variant>
        <vt:i4>152</vt:i4>
      </vt:variant>
      <vt:variant>
        <vt:i4>0</vt:i4>
      </vt:variant>
      <vt:variant>
        <vt:i4>5</vt:i4>
      </vt:variant>
      <vt:variant>
        <vt:lpwstr/>
      </vt:variant>
      <vt:variant>
        <vt:lpwstr>_Toc350861447</vt:lpwstr>
      </vt:variant>
      <vt:variant>
        <vt:i4>2031665</vt:i4>
      </vt:variant>
      <vt:variant>
        <vt:i4>146</vt:i4>
      </vt:variant>
      <vt:variant>
        <vt:i4>0</vt:i4>
      </vt:variant>
      <vt:variant>
        <vt:i4>5</vt:i4>
      </vt:variant>
      <vt:variant>
        <vt:lpwstr/>
      </vt:variant>
      <vt:variant>
        <vt:lpwstr>_Toc350861446</vt:lpwstr>
      </vt:variant>
      <vt:variant>
        <vt:i4>2031665</vt:i4>
      </vt:variant>
      <vt:variant>
        <vt:i4>140</vt:i4>
      </vt:variant>
      <vt:variant>
        <vt:i4>0</vt:i4>
      </vt:variant>
      <vt:variant>
        <vt:i4>5</vt:i4>
      </vt:variant>
      <vt:variant>
        <vt:lpwstr/>
      </vt:variant>
      <vt:variant>
        <vt:lpwstr>_Toc350861445</vt:lpwstr>
      </vt:variant>
      <vt:variant>
        <vt:i4>2031665</vt:i4>
      </vt:variant>
      <vt:variant>
        <vt:i4>134</vt:i4>
      </vt:variant>
      <vt:variant>
        <vt:i4>0</vt:i4>
      </vt:variant>
      <vt:variant>
        <vt:i4>5</vt:i4>
      </vt:variant>
      <vt:variant>
        <vt:lpwstr/>
      </vt:variant>
      <vt:variant>
        <vt:lpwstr>_Toc350861444</vt:lpwstr>
      </vt:variant>
      <vt:variant>
        <vt:i4>2031665</vt:i4>
      </vt:variant>
      <vt:variant>
        <vt:i4>128</vt:i4>
      </vt:variant>
      <vt:variant>
        <vt:i4>0</vt:i4>
      </vt:variant>
      <vt:variant>
        <vt:i4>5</vt:i4>
      </vt:variant>
      <vt:variant>
        <vt:lpwstr/>
      </vt:variant>
      <vt:variant>
        <vt:lpwstr>_Toc350861443</vt:lpwstr>
      </vt:variant>
      <vt:variant>
        <vt:i4>2031665</vt:i4>
      </vt:variant>
      <vt:variant>
        <vt:i4>122</vt:i4>
      </vt:variant>
      <vt:variant>
        <vt:i4>0</vt:i4>
      </vt:variant>
      <vt:variant>
        <vt:i4>5</vt:i4>
      </vt:variant>
      <vt:variant>
        <vt:lpwstr/>
      </vt:variant>
      <vt:variant>
        <vt:lpwstr>_Toc350861442</vt:lpwstr>
      </vt:variant>
      <vt:variant>
        <vt:i4>2031665</vt:i4>
      </vt:variant>
      <vt:variant>
        <vt:i4>116</vt:i4>
      </vt:variant>
      <vt:variant>
        <vt:i4>0</vt:i4>
      </vt:variant>
      <vt:variant>
        <vt:i4>5</vt:i4>
      </vt:variant>
      <vt:variant>
        <vt:lpwstr/>
      </vt:variant>
      <vt:variant>
        <vt:lpwstr>_Toc350861441</vt:lpwstr>
      </vt:variant>
      <vt:variant>
        <vt:i4>2031665</vt:i4>
      </vt:variant>
      <vt:variant>
        <vt:i4>110</vt:i4>
      </vt:variant>
      <vt:variant>
        <vt:i4>0</vt:i4>
      </vt:variant>
      <vt:variant>
        <vt:i4>5</vt:i4>
      </vt:variant>
      <vt:variant>
        <vt:lpwstr/>
      </vt:variant>
      <vt:variant>
        <vt:lpwstr>_Toc350861440</vt:lpwstr>
      </vt:variant>
      <vt:variant>
        <vt:i4>1572913</vt:i4>
      </vt:variant>
      <vt:variant>
        <vt:i4>104</vt:i4>
      </vt:variant>
      <vt:variant>
        <vt:i4>0</vt:i4>
      </vt:variant>
      <vt:variant>
        <vt:i4>5</vt:i4>
      </vt:variant>
      <vt:variant>
        <vt:lpwstr/>
      </vt:variant>
      <vt:variant>
        <vt:lpwstr>_Toc350861439</vt:lpwstr>
      </vt:variant>
      <vt:variant>
        <vt:i4>1572913</vt:i4>
      </vt:variant>
      <vt:variant>
        <vt:i4>98</vt:i4>
      </vt:variant>
      <vt:variant>
        <vt:i4>0</vt:i4>
      </vt:variant>
      <vt:variant>
        <vt:i4>5</vt:i4>
      </vt:variant>
      <vt:variant>
        <vt:lpwstr/>
      </vt:variant>
      <vt:variant>
        <vt:lpwstr>_Toc350861438</vt:lpwstr>
      </vt:variant>
      <vt:variant>
        <vt:i4>1572913</vt:i4>
      </vt:variant>
      <vt:variant>
        <vt:i4>92</vt:i4>
      </vt:variant>
      <vt:variant>
        <vt:i4>0</vt:i4>
      </vt:variant>
      <vt:variant>
        <vt:i4>5</vt:i4>
      </vt:variant>
      <vt:variant>
        <vt:lpwstr/>
      </vt:variant>
      <vt:variant>
        <vt:lpwstr>_Toc350861437</vt:lpwstr>
      </vt:variant>
      <vt:variant>
        <vt:i4>1572913</vt:i4>
      </vt:variant>
      <vt:variant>
        <vt:i4>86</vt:i4>
      </vt:variant>
      <vt:variant>
        <vt:i4>0</vt:i4>
      </vt:variant>
      <vt:variant>
        <vt:i4>5</vt:i4>
      </vt:variant>
      <vt:variant>
        <vt:lpwstr/>
      </vt:variant>
      <vt:variant>
        <vt:lpwstr>_Toc350861436</vt:lpwstr>
      </vt:variant>
      <vt:variant>
        <vt:i4>1572913</vt:i4>
      </vt:variant>
      <vt:variant>
        <vt:i4>80</vt:i4>
      </vt:variant>
      <vt:variant>
        <vt:i4>0</vt:i4>
      </vt:variant>
      <vt:variant>
        <vt:i4>5</vt:i4>
      </vt:variant>
      <vt:variant>
        <vt:lpwstr/>
      </vt:variant>
      <vt:variant>
        <vt:lpwstr>_Toc350861435</vt:lpwstr>
      </vt:variant>
      <vt:variant>
        <vt:i4>1572913</vt:i4>
      </vt:variant>
      <vt:variant>
        <vt:i4>74</vt:i4>
      </vt:variant>
      <vt:variant>
        <vt:i4>0</vt:i4>
      </vt:variant>
      <vt:variant>
        <vt:i4>5</vt:i4>
      </vt:variant>
      <vt:variant>
        <vt:lpwstr/>
      </vt:variant>
      <vt:variant>
        <vt:lpwstr>_Toc350861434</vt:lpwstr>
      </vt:variant>
      <vt:variant>
        <vt:i4>1572913</vt:i4>
      </vt:variant>
      <vt:variant>
        <vt:i4>68</vt:i4>
      </vt:variant>
      <vt:variant>
        <vt:i4>0</vt:i4>
      </vt:variant>
      <vt:variant>
        <vt:i4>5</vt:i4>
      </vt:variant>
      <vt:variant>
        <vt:lpwstr/>
      </vt:variant>
      <vt:variant>
        <vt:lpwstr>_Toc350861433</vt:lpwstr>
      </vt:variant>
      <vt:variant>
        <vt:i4>1572913</vt:i4>
      </vt:variant>
      <vt:variant>
        <vt:i4>62</vt:i4>
      </vt:variant>
      <vt:variant>
        <vt:i4>0</vt:i4>
      </vt:variant>
      <vt:variant>
        <vt:i4>5</vt:i4>
      </vt:variant>
      <vt:variant>
        <vt:lpwstr/>
      </vt:variant>
      <vt:variant>
        <vt:lpwstr>_Toc350861432</vt:lpwstr>
      </vt:variant>
      <vt:variant>
        <vt:i4>1572913</vt:i4>
      </vt:variant>
      <vt:variant>
        <vt:i4>56</vt:i4>
      </vt:variant>
      <vt:variant>
        <vt:i4>0</vt:i4>
      </vt:variant>
      <vt:variant>
        <vt:i4>5</vt:i4>
      </vt:variant>
      <vt:variant>
        <vt:lpwstr/>
      </vt:variant>
      <vt:variant>
        <vt:lpwstr>_Toc350861431</vt:lpwstr>
      </vt:variant>
      <vt:variant>
        <vt:i4>1572913</vt:i4>
      </vt:variant>
      <vt:variant>
        <vt:i4>50</vt:i4>
      </vt:variant>
      <vt:variant>
        <vt:i4>0</vt:i4>
      </vt:variant>
      <vt:variant>
        <vt:i4>5</vt:i4>
      </vt:variant>
      <vt:variant>
        <vt:lpwstr/>
      </vt:variant>
      <vt:variant>
        <vt:lpwstr>_Toc350861430</vt:lpwstr>
      </vt:variant>
      <vt:variant>
        <vt:i4>1638449</vt:i4>
      </vt:variant>
      <vt:variant>
        <vt:i4>44</vt:i4>
      </vt:variant>
      <vt:variant>
        <vt:i4>0</vt:i4>
      </vt:variant>
      <vt:variant>
        <vt:i4>5</vt:i4>
      </vt:variant>
      <vt:variant>
        <vt:lpwstr/>
      </vt:variant>
      <vt:variant>
        <vt:lpwstr>_Toc350861429</vt:lpwstr>
      </vt:variant>
      <vt:variant>
        <vt:i4>1638449</vt:i4>
      </vt:variant>
      <vt:variant>
        <vt:i4>38</vt:i4>
      </vt:variant>
      <vt:variant>
        <vt:i4>0</vt:i4>
      </vt:variant>
      <vt:variant>
        <vt:i4>5</vt:i4>
      </vt:variant>
      <vt:variant>
        <vt:lpwstr/>
      </vt:variant>
      <vt:variant>
        <vt:lpwstr>_Toc350861428</vt:lpwstr>
      </vt:variant>
      <vt:variant>
        <vt:i4>1638449</vt:i4>
      </vt:variant>
      <vt:variant>
        <vt:i4>32</vt:i4>
      </vt:variant>
      <vt:variant>
        <vt:i4>0</vt:i4>
      </vt:variant>
      <vt:variant>
        <vt:i4>5</vt:i4>
      </vt:variant>
      <vt:variant>
        <vt:lpwstr/>
      </vt:variant>
      <vt:variant>
        <vt:lpwstr>_Toc350861427</vt:lpwstr>
      </vt:variant>
      <vt:variant>
        <vt:i4>1638449</vt:i4>
      </vt:variant>
      <vt:variant>
        <vt:i4>26</vt:i4>
      </vt:variant>
      <vt:variant>
        <vt:i4>0</vt:i4>
      </vt:variant>
      <vt:variant>
        <vt:i4>5</vt:i4>
      </vt:variant>
      <vt:variant>
        <vt:lpwstr/>
      </vt:variant>
      <vt:variant>
        <vt:lpwstr>_Toc350861426</vt:lpwstr>
      </vt:variant>
      <vt:variant>
        <vt:i4>1638449</vt:i4>
      </vt:variant>
      <vt:variant>
        <vt:i4>20</vt:i4>
      </vt:variant>
      <vt:variant>
        <vt:i4>0</vt:i4>
      </vt:variant>
      <vt:variant>
        <vt:i4>5</vt:i4>
      </vt:variant>
      <vt:variant>
        <vt:lpwstr/>
      </vt:variant>
      <vt:variant>
        <vt:lpwstr>_Toc350861425</vt:lpwstr>
      </vt:variant>
      <vt:variant>
        <vt:i4>1638449</vt:i4>
      </vt:variant>
      <vt:variant>
        <vt:i4>14</vt:i4>
      </vt:variant>
      <vt:variant>
        <vt:i4>0</vt:i4>
      </vt:variant>
      <vt:variant>
        <vt:i4>5</vt:i4>
      </vt:variant>
      <vt:variant>
        <vt:lpwstr/>
      </vt:variant>
      <vt:variant>
        <vt:lpwstr>_Toc350861424</vt:lpwstr>
      </vt:variant>
      <vt:variant>
        <vt:i4>1638449</vt:i4>
      </vt:variant>
      <vt:variant>
        <vt:i4>8</vt:i4>
      </vt:variant>
      <vt:variant>
        <vt:i4>0</vt:i4>
      </vt:variant>
      <vt:variant>
        <vt:i4>5</vt:i4>
      </vt:variant>
      <vt:variant>
        <vt:lpwstr/>
      </vt:variant>
      <vt:variant>
        <vt:lpwstr>_Toc350861423</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15</vt:i4>
      </vt:variant>
      <vt:variant>
        <vt:i4>0</vt:i4>
      </vt:variant>
      <vt:variant>
        <vt:i4>5</vt:i4>
      </vt:variant>
      <vt:variant>
        <vt:lpwstr>http://www.tga.gov.au/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imatinib (as mesylate)</dc:title>
  <dc:subject>prescription medicine regulation</dc:subject>
  <dc:creator>Therapeutic Goods Administration</dc:creator>
  <cp:keywords>auspar, prescription, medicine, assessment, regulation, australia, imatinib, as mesylate, glivec</cp:keywords>
  <cp:lastModifiedBy>Sheppard, Fran</cp:lastModifiedBy>
  <cp:revision>19</cp:revision>
  <cp:lastPrinted>2010-12-20T21:59:00Z</cp:lastPrinted>
  <dcterms:created xsi:type="dcterms:W3CDTF">2013-04-03T03:54:00Z</dcterms:created>
  <dcterms:modified xsi:type="dcterms:W3CDTF">2013-07-11T02:40:00Z</dcterms:modified>
</cp:coreProperties>
</file>