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402E5" w:rsidP="005402E5">
            <w:pPr>
              <w:rPr>
                <w:rFonts w:ascii="Arial" w:hAnsi="Arial" w:cs="Arial"/>
                <w:b/>
                <w:color w:val="002C47"/>
                <w:sz w:val="36"/>
                <w:szCs w:val="36"/>
              </w:rPr>
            </w:pPr>
            <w:r>
              <w:rPr>
                <w:rFonts w:ascii="Arial" w:hAnsi="Arial" w:cs="Arial"/>
                <w:b/>
                <w:color w:val="002C47"/>
                <w:sz w:val="36"/>
                <w:szCs w:val="36"/>
              </w:rPr>
              <w:t>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932F1">
            <w:pPr>
              <w:pStyle w:val="Title"/>
              <w:rPr>
                <w:color w:val="FFFFFF" w:themeColor="background1"/>
              </w:rPr>
            </w:pPr>
            <w:r w:rsidRPr="00A964D1">
              <w:rPr>
                <w:color w:val="FFFFFF" w:themeColor="background1"/>
              </w:rPr>
              <w:t>Australian Publ</w:t>
            </w:r>
            <w:r w:rsidR="005932F1">
              <w:rPr>
                <w:color w:val="FFFFFF" w:themeColor="background1"/>
              </w:rPr>
              <w:t>i</w:t>
            </w:r>
            <w:r w:rsidRPr="00A964D1">
              <w:rPr>
                <w:color w:val="FFFFFF" w:themeColor="background1"/>
              </w:rPr>
              <w:t xml:space="preserve">c Assessment Report for </w:t>
            </w:r>
            <w:r w:rsidR="00695E7A">
              <w:rPr>
                <w:color w:val="FFFFFF" w:themeColor="background1"/>
              </w:rPr>
              <w:t>I</w:t>
            </w:r>
            <w:r w:rsidR="00E30AC4">
              <w:rPr>
                <w:color w:val="FFFFFF" w:themeColor="background1"/>
              </w:rPr>
              <w:t>matinib</w:t>
            </w:r>
          </w:p>
        </w:tc>
      </w:tr>
      <w:tr w:rsidR="0032583B" w:rsidRPr="00B64760" w:rsidTr="0032583B">
        <w:tc>
          <w:tcPr>
            <w:tcW w:w="9079" w:type="dxa"/>
          </w:tcPr>
          <w:p w:rsidR="0032583B" w:rsidRPr="008E7846" w:rsidRDefault="0032583B" w:rsidP="00E30AC4">
            <w:pPr>
              <w:pStyle w:val="Subtitle"/>
              <w:rPr>
                <w:color w:val="FFFFFF" w:themeColor="background1"/>
              </w:rPr>
            </w:pPr>
            <w:r w:rsidRPr="008E7846">
              <w:rPr>
                <w:color w:val="FFFFFF" w:themeColor="background1"/>
              </w:rPr>
              <w:t xml:space="preserve">Proprietary Product Name: </w:t>
            </w:r>
            <w:r w:rsidR="00E30AC4">
              <w:rPr>
                <w:color w:val="FFFFFF" w:themeColor="background1"/>
              </w:rPr>
              <w:t>Glivec</w:t>
            </w:r>
          </w:p>
        </w:tc>
      </w:tr>
      <w:tr w:rsidR="0032583B" w:rsidRPr="00B64760" w:rsidTr="0032583B">
        <w:trPr>
          <w:trHeight w:val="486"/>
        </w:trPr>
        <w:tc>
          <w:tcPr>
            <w:tcW w:w="9079" w:type="dxa"/>
          </w:tcPr>
          <w:p w:rsidR="0032583B" w:rsidRPr="008E7846" w:rsidRDefault="0032583B" w:rsidP="00DA7CD5">
            <w:pPr>
              <w:pStyle w:val="Subtitle"/>
              <w:rPr>
                <w:color w:val="FFFFFF" w:themeColor="background1"/>
              </w:rPr>
            </w:pPr>
            <w:r w:rsidRPr="008E7846">
              <w:rPr>
                <w:color w:val="FFFFFF" w:themeColor="background1"/>
              </w:rPr>
              <w:t xml:space="preserve">Sponsor: </w:t>
            </w:r>
            <w:r w:rsidR="00E30AC4" w:rsidRPr="00E30AC4">
              <w:rPr>
                <w:color w:val="FFFFFF" w:themeColor="background1"/>
                <w:lang w:val="pt-BR"/>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402E5">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A7630" w:rsidRDefault="00427FA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2572879" w:history="1">
            <w:r w:rsidR="00DA7630" w:rsidRPr="00AD58DB">
              <w:rPr>
                <w:rStyle w:val="Hyperlink"/>
                <w:noProof/>
              </w:rPr>
              <w:t>I. Introduction to product submission</w:t>
            </w:r>
            <w:r w:rsidR="00DA7630">
              <w:rPr>
                <w:noProof/>
                <w:webHidden/>
              </w:rPr>
              <w:tab/>
            </w:r>
            <w:r w:rsidR="00DA7630">
              <w:rPr>
                <w:noProof/>
                <w:webHidden/>
              </w:rPr>
              <w:fldChar w:fldCharType="begin"/>
            </w:r>
            <w:r w:rsidR="00DA7630">
              <w:rPr>
                <w:noProof/>
                <w:webHidden/>
              </w:rPr>
              <w:instrText xml:space="preserve"> PAGEREF _Toc382572879 \h </w:instrText>
            </w:r>
            <w:r w:rsidR="00DA7630">
              <w:rPr>
                <w:noProof/>
                <w:webHidden/>
              </w:rPr>
            </w:r>
            <w:r w:rsidR="00DA7630">
              <w:rPr>
                <w:noProof/>
                <w:webHidden/>
              </w:rPr>
              <w:fldChar w:fldCharType="separate"/>
            </w:r>
            <w:r w:rsidR="00DA7630">
              <w:rPr>
                <w:noProof/>
                <w:webHidden/>
              </w:rPr>
              <w:t>4</w:t>
            </w:r>
            <w:r w:rsidR="00DA7630">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0" w:history="1">
            <w:r w:rsidRPr="00AD58DB">
              <w:rPr>
                <w:rStyle w:val="Hyperlink"/>
                <w:noProof/>
                <w:lang w:eastAsia="en-AU"/>
              </w:rPr>
              <w:t>Submission details</w:t>
            </w:r>
            <w:r>
              <w:rPr>
                <w:noProof/>
                <w:webHidden/>
              </w:rPr>
              <w:tab/>
            </w:r>
            <w:r>
              <w:rPr>
                <w:noProof/>
                <w:webHidden/>
              </w:rPr>
              <w:fldChar w:fldCharType="begin"/>
            </w:r>
            <w:r>
              <w:rPr>
                <w:noProof/>
                <w:webHidden/>
              </w:rPr>
              <w:instrText xml:space="preserve"> PAGEREF _Toc382572880 \h </w:instrText>
            </w:r>
            <w:r>
              <w:rPr>
                <w:noProof/>
                <w:webHidden/>
              </w:rPr>
            </w:r>
            <w:r>
              <w:rPr>
                <w:noProof/>
                <w:webHidden/>
              </w:rPr>
              <w:fldChar w:fldCharType="separate"/>
            </w:r>
            <w:r>
              <w:rPr>
                <w:noProof/>
                <w:webHidden/>
              </w:rPr>
              <w:t>4</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1" w:history="1">
            <w:r w:rsidRPr="00AD58DB">
              <w:rPr>
                <w:rStyle w:val="Hyperlink"/>
                <w:noProof/>
              </w:rPr>
              <w:t>Product background</w:t>
            </w:r>
            <w:r>
              <w:rPr>
                <w:noProof/>
                <w:webHidden/>
              </w:rPr>
              <w:tab/>
            </w:r>
            <w:r>
              <w:rPr>
                <w:noProof/>
                <w:webHidden/>
              </w:rPr>
              <w:fldChar w:fldCharType="begin"/>
            </w:r>
            <w:r>
              <w:rPr>
                <w:noProof/>
                <w:webHidden/>
              </w:rPr>
              <w:instrText xml:space="preserve"> PAGEREF _Toc382572881 \h </w:instrText>
            </w:r>
            <w:r>
              <w:rPr>
                <w:noProof/>
                <w:webHidden/>
              </w:rPr>
            </w:r>
            <w:r>
              <w:rPr>
                <w:noProof/>
                <w:webHidden/>
              </w:rPr>
              <w:fldChar w:fldCharType="separate"/>
            </w:r>
            <w:r>
              <w:rPr>
                <w:noProof/>
                <w:webHidden/>
              </w:rPr>
              <w:t>4</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2" w:history="1">
            <w:r w:rsidRPr="00AD58DB">
              <w:rPr>
                <w:rStyle w:val="Hyperlink"/>
                <w:noProof/>
              </w:rPr>
              <w:t>Regulatory status</w:t>
            </w:r>
            <w:r>
              <w:rPr>
                <w:noProof/>
                <w:webHidden/>
              </w:rPr>
              <w:tab/>
            </w:r>
            <w:r>
              <w:rPr>
                <w:noProof/>
                <w:webHidden/>
              </w:rPr>
              <w:fldChar w:fldCharType="begin"/>
            </w:r>
            <w:r>
              <w:rPr>
                <w:noProof/>
                <w:webHidden/>
              </w:rPr>
              <w:instrText xml:space="preserve"> PAGEREF _Toc382572882 \h </w:instrText>
            </w:r>
            <w:r>
              <w:rPr>
                <w:noProof/>
                <w:webHidden/>
              </w:rPr>
            </w:r>
            <w:r>
              <w:rPr>
                <w:noProof/>
                <w:webHidden/>
              </w:rPr>
              <w:fldChar w:fldCharType="separate"/>
            </w:r>
            <w:r>
              <w:rPr>
                <w:noProof/>
                <w:webHidden/>
              </w:rPr>
              <w:t>5</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3" w:history="1">
            <w:r w:rsidRPr="00AD58DB">
              <w:rPr>
                <w:rStyle w:val="Hyperlink"/>
                <w:noProof/>
              </w:rPr>
              <w:t>Product Information</w:t>
            </w:r>
            <w:r>
              <w:rPr>
                <w:noProof/>
                <w:webHidden/>
              </w:rPr>
              <w:tab/>
            </w:r>
            <w:r>
              <w:rPr>
                <w:noProof/>
                <w:webHidden/>
              </w:rPr>
              <w:fldChar w:fldCharType="begin"/>
            </w:r>
            <w:r>
              <w:rPr>
                <w:noProof/>
                <w:webHidden/>
              </w:rPr>
              <w:instrText xml:space="preserve"> PAGEREF _Toc382572883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884" w:history="1">
            <w:r w:rsidRPr="00AD58DB">
              <w:rPr>
                <w:rStyle w:val="Hyperlink"/>
                <w:noProof/>
              </w:rPr>
              <w:t>II. Quality findings</w:t>
            </w:r>
            <w:r>
              <w:rPr>
                <w:noProof/>
                <w:webHidden/>
              </w:rPr>
              <w:tab/>
            </w:r>
            <w:r>
              <w:rPr>
                <w:noProof/>
                <w:webHidden/>
              </w:rPr>
              <w:fldChar w:fldCharType="begin"/>
            </w:r>
            <w:r>
              <w:rPr>
                <w:noProof/>
                <w:webHidden/>
              </w:rPr>
              <w:instrText xml:space="preserve"> PAGEREF _Toc382572884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885" w:history="1">
            <w:r w:rsidRPr="00AD58DB">
              <w:rPr>
                <w:rStyle w:val="Hyperlink"/>
                <w:noProof/>
              </w:rPr>
              <w:t>III. Nonclinical findings</w:t>
            </w:r>
            <w:r>
              <w:rPr>
                <w:noProof/>
                <w:webHidden/>
              </w:rPr>
              <w:tab/>
            </w:r>
            <w:r>
              <w:rPr>
                <w:noProof/>
                <w:webHidden/>
              </w:rPr>
              <w:fldChar w:fldCharType="begin"/>
            </w:r>
            <w:r>
              <w:rPr>
                <w:noProof/>
                <w:webHidden/>
              </w:rPr>
              <w:instrText xml:space="preserve"> PAGEREF _Toc382572885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886" w:history="1">
            <w:r w:rsidRPr="00AD58DB">
              <w:rPr>
                <w:rStyle w:val="Hyperlink"/>
                <w:noProof/>
              </w:rPr>
              <w:t>IV. Clinical findings</w:t>
            </w:r>
            <w:r>
              <w:rPr>
                <w:noProof/>
                <w:webHidden/>
              </w:rPr>
              <w:tab/>
            </w:r>
            <w:r>
              <w:rPr>
                <w:noProof/>
                <w:webHidden/>
              </w:rPr>
              <w:fldChar w:fldCharType="begin"/>
            </w:r>
            <w:r>
              <w:rPr>
                <w:noProof/>
                <w:webHidden/>
              </w:rPr>
              <w:instrText xml:space="preserve"> PAGEREF _Toc382572886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7" w:history="1">
            <w:r w:rsidRPr="00AD58DB">
              <w:rPr>
                <w:rStyle w:val="Hyperlink"/>
                <w:noProof/>
              </w:rPr>
              <w:t>Introduction</w:t>
            </w:r>
            <w:r>
              <w:rPr>
                <w:noProof/>
                <w:webHidden/>
              </w:rPr>
              <w:tab/>
            </w:r>
            <w:r>
              <w:rPr>
                <w:noProof/>
                <w:webHidden/>
              </w:rPr>
              <w:fldChar w:fldCharType="begin"/>
            </w:r>
            <w:r>
              <w:rPr>
                <w:noProof/>
                <w:webHidden/>
              </w:rPr>
              <w:instrText xml:space="preserve"> PAGEREF _Toc382572887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8" w:history="1">
            <w:r w:rsidRPr="00AD58DB">
              <w:rPr>
                <w:rStyle w:val="Hyperlink"/>
                <w:noProof/>
              </w:rPr>
              <w:t>Scope of the clinical dossier</w:t>
            </w:r>
            <w:r>
              <w:rPr>
                <w:noProof/>
                <w:webHidden/>
              </w:rPr>
              <w:tab/>
            </w:r>
            <w:r>
              <w:rPr>
                <w:noProof/>
                <w:webHidden/>
              </w:rPr>
              <w:fldChar w:fldCharType="begin"/>
            </w:r>
            <w:r>
              <w:rPr>
                <w:noProof/>
                <w:webHidden/>
              </w:rPr>
              <w:instrText xml:space="preserve"> PAGEREF _Toc382572888 \h </w:instrText>
            </w:r>
            <w:r>
              <w:rPr>
                <w:noProof/>
                <w:webHidden/>
              </w:rPr>
            </w:r>
            <w:r>
              <w:rPr>
                <w:noProof/>
                <w:webHidden/>
              </w:rPr>
              <w:fldChar w:fldCharType="separate"/>
            </w:r>
            <w:r>
              <w:rPr>
                <w:noProof/>
                <w:webHidden/>
              </w:rPr>
              <w:t>6</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89" w:history="1">
            <w:r w:rsidRPr="00AD58DB">
              <w:rPr>
                <w:rStyle w:val="Hyperlink"/>
                <w:noProof/>
              </w:rPr>
              <w:t>Pharmacokinetics</w:t>
            </w:r>
            <w:r>
              <w:rPr>
                <w:noProof/>
                <w:webHidden/>
              </w:rPr>
              <w:tab/>
            </w:r>
            <w:r>
              <w:rPr>
                <w:noProof/>
                <w:webHidden/>
              </w:rPr>
              <w:fldChar w:fldCharType="begin"/>
            </w:r>
            <w:r>
              <w:rPr>
                <w:noProof/>
                <w:webHidden/>
              </w:rPr>
              <w:instrText xml:space="preserve"> PAGEREF _Toc382572889 \h </w:instrText>
            </w:r>
            <w:r>
              <w:rPr>
                <w:noProof/>
                <w:webHidden/>
              </w:rPr>
            </w:r>
            <w:r>
              <w:rPr>
                <w:noProof/>
                <w:webHidden/>
              </w:rPr>
              <w:fldChar w:fldCharType="separate"/>
            </w:r>
            <w:r>
              <w:rPr>
                <w:noProof/>
                <w:webHidden/>
              </w:rPr>
              <w:t>7</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0" w:history="1">
            <w:r w:rsidRPr="00AD58DB">
              <w:rPr>
                <w:rStyle w:val="Hyperlink"/>
                <w:noProof/>
              </w:rPr>
              <w:t>Pharmacodynamics</w:t>
            </w:r>
            <w:r>
              <w:rPr>
                <w:noProof/>
                <w:webHidden/>
              </w:rPr>
              <w:tab/>
            </w:r>
            <w:r>
              <w:rPr>
                <w:noProof/>
                <w:webHidden/>
              </w:rPr>
              <w:fldChar w:fldCharType="begin"/>
            </w:r>
            <w:r>
              <w:rPr>
                <w:noProof/>
                <w:webHidden/>
              </w:rPr>
              <w:instrText xml:space="preserve"> PAGEREF _Toc382572890 \h </w:instrText>
            </w:r>
            <w:r>
              <w:rPr>
                <w:noProof/>
                <w:webHidden/>
              </w:rPr>
            </w:r>
            <w:r>
              <w:rPr>
                <w:noProof/>
                <w:webHidden/>
              </w:rPr>
              <w:fldChar w:fldCharType="separate"/>
            </w:r>
            <w:r>
              <w:rPr>
                <w:noProof/>
                <w:webHidden/>
              </w:rPr>
              <w:t>9</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1" w:history="1">
            <w:r w:rsidRPr="00AD58DB">
              <w:rPr>
                <w:rStyle w:val="Hyperlink"/>
                <w:noProof/>
              </w:rPr>
              <w:t>Dosage selection for the pivotal studies</w:t>
            </w:r>
            <w:r>
              <w:rPr>
                <w:noProof/>
                <w:webHidden/>
              </w:rPr>
              <w:tab/>
            </w:r>
            <w:r>
              <w:rPr>
                <w:noProof/>
                <w:webHidden/>
              </w:rPr>
              <w:fldChar w:fldCharType="begin"/>
            </w:r>
            <w:r>
              <w:rPr>
                <w:noProof/>
                <w:webHidden/>
              </w:rPr>
              <w:instrText xml:space="preserve"> PAGEREF _Toc382572891 \h </w:instrText>
            </w:r>
            <w:r>
              <w:rPr>
                <w:noProof/>
                <w:webHidden/>
              </w:rPr>
            </w:r>
            <w:r>
              <w:rPr>
                <w:noProof/>
                <w:webHidden/>
              </w:rPr>
              <w:fldChar w:fldCharType="separate"/>
            </w:r>
            <w:r>
              <w:rPr>
                <w:noProof/>
                <w:webHidden/>
              </w:rPr>
              <w:t>9</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2" w:history="1">
            <w:r w:rsidRPr="00AD58DB">
              <w:rPr>
                <w:rStyle w:val="Hyperlink"/>
                <w:noProof/>
              </w:rPr>
              <w:t>Efficacy</w:t>
            </w:r>
            <w:r>
              <w:rPr>
                <w:noProof/>
                <w:webHidden/>
              </w:rPr>
              <w:tab/>
            </w:r>
            <w:r>
              <w:rPr>
                <w:noProof/>
                <w:webHidden/>
              </w:rPr>
              <w:fldChar w:fldCharType="begin"/>
            </w:r>
            <w:r>
              <w:rPr>
                <w:noProof/>
                <w:webHidden/>
              </w:rPr>
              <w:instrText xml:space="preserve"> PAGEREF _Toc382572892 \h </w:instrText>
            </w:r>
            <w:r>
              <w:rPr>
                <w:noProof/>
                <w:webHidden/>
              </w:rPr>
            </w:r>
            <w:r>
              <w:rPr>
                <w:noProof/>
                <w:webHidden/>
              </w:rPr>
              <w:fldChar w:fldCharType="separate"/>
            </w:r>
            <w:r>
              <w:rPr>
                <w:noProof/>
                <w:webHidden/>
              </w:rPr>
              <w:t>9</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3" w:history="1">
            <w:r w:rsidRPr="00AD58DB">
              <w:rPr>
                <w:rStyle w:val="Hyperlink"/>
                <w:noProof/>
              </w:rPr>
              <w:t>Safety</w:t>
            </w:r>
            <w:r>
              <w:rPr>
                <w:noProof/>
                <w:webHidden/>
              </w:rPr>
              <w:tab/>
            </w:r>
            <w:r>
              <w:rPr>
                <w:noProof/>
                <w:webHidden/>
              </w:rPr>
              <w:fldChar w:fldCharType="begin"/>
            </w:r>
            <w:r>
              <w:rPr>
                <w:noProof/>
                <w:webHidden/>
              </w:rPr>
              <w:instrText xml:space="preserve"> PAGEREF _Toc382572893 \h </w:instrText>
            </w:r>
            <w:r>
              <w:rPr>
                <w:noProof/>
                <w:webHidden/>
              </w:rPr>
            </w:r>
            <w:r>
              <w:rPr>
                <w:noProof/>
                <w:webHidden/>
              </w:rPr>
              <w:fldChar w:fldCharType="separate"/>
            </w:r>
            <w:r>
              <w:rPr>
                <w:noProof/>
                <w:webHidden/>
              </w:rPr>
              <w:t>15</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4" w:history="1">
            <w:r w:rsidRPr="00AD58DB">
              <w:rPr>
                <w:rStyle w:val="Hyperlink"/>
                <w:noProof/>
              </w:rPr>
              <w:t>First round benefit-risk assessment</w:t>
            </w:r>
            <w:r>
              <w:rPr>
                <w:noProof/>
                <w:webHidden/>
              </w:rPr>
              <w:tab/>
            </w:r>
            <w:r>
              <w:rPr>
                <w:noProof/>
                <w:webHidden/>
              </w:rPr>
              <w:fldChar w:fldCharType="begin"/>
            </w:r>
            <w:r>
              <w:rPr>
                <w:noProof/>
                <w:webHidden/>
              </w:rPr>
              <w:instrText xml:space="preserve"> PAGEREF _Toc382572894 \h </w:instrText>
            </w:r>
            <w:r>
              <w:rPr>
                <w:noProof/>
                <w:webHidden/>
              </w:rPr>
            </w:r>
            <w:r>
              <w:rPr>
                <w:noProof/>
                <w:webHidden/>
              </w:rPr>
              <w:fldChar w:fldCharType="separate"/>
            </w:r>
            <w:r>
              <w:rPr>
                <w:noProof/>
                <w:webHidden/>
              </w:rPr>
              <w:t>22</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5" w:history="1">
            <w:r w:rsidRPr="00AD58DB">
              <w:rPr>
                <w:rStyle w:val="Hyperlink"/>
                <w:noProof/>
              </w:rPr>
              <w:t>First round recommendation regarding authorisation</w:t>
            </w:r>
            <w:r>
              <w:rPr>
                <w:noProof/>
                <w:webHidden/>
              </w:rPr>
              <w:tab/>
            </w:r>
            <w:r>
              <w:rPr>
                <w:noProof/>
                <w:webHidden/>
              </w:rPr>
              <w:fldChar w:fldCharType="begin"/>
            </w:r>
            <w:r>
              <w:rPr>
                <w:noProof/>
                <w:webHidden/>
              </w:rPr>
              <w:instrText xml:space="preserve"> PAGEREF _Toc382572895 \h </w:instrText>
            </w:r>
            <w:r>
              <w:rPr>
                <w:noProof/>
                <w:webHidden/>
              </w:rPr>
            </w:r>
            <w:r>
              <w:rPr>
                <w:noProof/>
                <w:webHidden/>
              </w:rPr>
              <w:fldChar w:fldCharType="separate"/>
            </w:r>
            <w:r>
              <w:rPr>
                <w:noProof/>
                <w:webHidden/>
              </w:rPr>
              <w:t>23</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6" w:history="1">
            <w:r w:rsidRPr="00AD58DB">
              <w:rPr>
                <w:rStyle w:val="Hyperlink"/>
                <w:noProof/>
              </w:rPr>
              <w:t>Clinical questions</w:t>
            </w:r>
            <w:r>
              <w:rPr>
                <w:noProof/>
                <w:webHidden/>
              </w:rPr>
              <w:tab/>
            </w:r>
            <w:r>
              <w:rPr>
                <w:noProof/>
                <w:webHidden/>
              </w:rPr>
              <w:fldChar w:fldCharType="begin"/>
            </w:r>
            <w:r>
              <w:rPr>
                <w:noProof/>
                <w:webHidden/>
              </w:rPr>
              <w:instrText xml:space="preserve"> PAGEREF _Toc382572896 \h </w:instrText>
            </w:r>
            <w:r>
              <w:rPr>
                <w:noProof/>
                <w:webHidden/>
              </w:rPr>
            </w:r>
            <w:r>
              <w:rPr>
                <w:noProof/>
                <w:webHidden/>
              </w:rPr>
              <w:fldChar w:fldCharType="separate"/>
            </w:r>
            <w:r>
              <w:rPr>
                <w:noProof/>
                <w:webHidden/>
              </w:rPr>
              <w:t>23</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7" w:history="1">
            <w:r w:rsidRPr="00AD58D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_Toc382572897 \h </w:instrText>
            </w:r>
            <w:r>
              <w:rPr>
                <w:noProof/>
                <w:webHidden/>
              </w:rPr>
            </w:r>
            <w:r>
              <w:rPr>
                <w:noProof/>
                <w:webHidden/>
              </w:rPr>
              <w:fldChar w:fldCharType="separate"/>
            </w:r>
            <w:r>
              <w:rPr>
                <w:noProof/>
                <w:webHidden/>
              </w:rPr>
              <w:t>24</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898" w:history="1">
            <w:r w:rsidRPr="00AD58DB">
              <w:rPr>
                <w:rStyle w:val="Hyperlink"/>
                <w:noProof/>
              </w:rPr>
              <w:t>V. Pharmacovigilance findings</w:t>
            </w:r>
            <w:r>
              <w:rPr>
                <w:noProof/>
                <w:webHidden/>
              </w:rPr>
              <w:tab/>
            </w:r>
            <w:r>
              <w:rPr>
                <w:noProof/>
                <w:webHidden/>
              </w:rPr>
              <w:fldChar w:fldCharType="begin"/>
            </w:r>
            <w:r>
              <w:rPr>
                <w:noProof/>
                <w:webHidden/>
              </w:rPr>
              <w:instrText xml:space="preserve"> PAGEREF _Toc382572898 \h </w:instrText>
            </w:r>
            <w:r>
              <w:rPr>
                <w:noProof/>
                <w:webHidden/>
              </w:rPr>
            </w:r>
            <w:r>
              <w:rPr>
                <w:noProof/>
                <w:webHidden/>
              </w:rPr>
              <w:fldChar w:fldCharType="separate"/>
            </w:r>
            <w:r>
              <w:rPr>
                <w:noProof/>
                <w:webHidden/>
              </w:rPr>
              <w:t>26</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899" w:history="1">
            <w:r w:rsidRPr="00AD58DB">
              <w:rPr>
                <w:rStyle w:val="Hyperlink"/>
                <w:noProof/>
                <w:lang w:eastAsia="en-AU"/>
              </w:rPr>
              <w:t>Risk management plan</w:t>
            </w:r>
            <w:r>
              <w:rPr>
                <w:noProof/>
                <w:webHidden/>
              </w:rPr>
              <w:tab/>
            </w:r>
            <w:r>
              <w:rPr>
                <w:noProof/>
                <w:webHidden/>
              </w:rPr>
              <w:fldChar w:fldCharType="begin"/>
            </w:r>
            <w:r>
              <w:rPr>
                <w:noProof/>
                <w:webHidden/>
              </w:rPr>
              <w:instrText xml:space="preserve"> PAGEREF _Toc382572899 \h </w:instrText>
            </w:r>
            <w:r>
              <w:rPr>
                <w:noProof/>
                <w:webHidden/>
              </w:rPr>
            </w:r>
            <w:r>
              <w:rPr>
                <w:noProof/>
                <w:webHidden/>
              </w:rPr>
              <w:fldChar w:fldCharType="separate"/>
            </w:r>
            <w:r>
              <w:rPr>
                <w:noProof/>
                <w:webHidden/>
              </w:rPr>
              <w:t>26</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900" w:history="1">
            <w:r w:rsidRPr="00AD58DB">
              <w:rPr>
                <w:rStyle w:val="Hyperlink"/>
                <w:noProof/>
              </w:rPr>
              <w:t>VI. Overall conclusion and risk/benefit assessment</w:t>
            </w:r>
            <w:r>
              <w:rPr>
                <w:noProof/>
                <w:webHidden/>
              </w:rPr>
              <w:tab/>
            </w:r>
            <w:r>
              <w:rPr>
                <w:noProof/>
                <w:webHidden/>
              </w:rPr>
              <w:fldChar w:fldCharType="begin"/>
            </w:r>
            <w:r>
              <w:rPr>
                <w:noProof/>
                <w:webHidden/>
              </w:rPr>
              <w:instrText xml:space="preserve"> PAGEREF _Toc382572900 \h </w:instrText>
            </w:r>
            <w:r>
              <w:rPr>
                <w:noProof/>
                <w:webHidden/>
              </w:rPr>
            </w:r>
            <w:r>
              <w:rPr>
                <w:noProof/>
                <w:webHidden/>
              </w:rPr>
              <w:fldChar w:fldCharType="separate"/>
            </w:r>
            <w:r>
              <w:rPr>
                <w:noProof/>
                <w:webHidden/>
              </w:rPr>
              <w:t>29</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1" w:history="1">
            <w:r w:rsidRPr="00AD58DB">
              <w:rPr>
                <w:rStyle w:val="Hyperlink"/>
                <w:noProof/>
              </w:rPr>
              <w:t>Quality</w:t>
            </w:r>
            <w:r>
              <w:rPr>
                <w:noProof/>
                <w:webHidden/>
              </w:rPr>
              <w:tab/>
            </w:r>
            <w:r>
              <w:rPr>
                <w:noProof/>
                <w:webHidden/>
              </w:rPr>
              <w:fldChar w:fldCharType="begin"/>
            </w:r>
            <w:r>
              <w:rPr>
                <w:noProof/>
                <w:webHidden/>
              </w:rPr>
              <w:instrText xml:space="preserve"> PAGEREF _Toc382572901 \h </w:instrText>
            </w:r>
            <w:r>
              <w:rPr>
                <w:noProof/>
                <w:webHidden/>
              </w:rPr>
            </w:r>
            <w:r>
              <w:rPr>
                <w:noProof/>
                <w:webHidden/>
              </w:rPr>
              <w:fldChar w:fldCharType="separate"/>
            </w:r>
            <w:r>
              <w:rPr>
                <w:noProof/>
                <w:webHidden/>
              </w:rPr>
              <w:t>30</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2" w:history="1">
            <w:r w:rsidRPr="00AD58DB">
              <w:rPr>
                <w:rStyle w:val="Hyperlink"/>
                <w:noProof/>
              </w:rPr>
              <w:t>Nonclinical</w:t>
            </w:r>
            <w:r>
              <w:rPr>
                <w:noProof/>
                <w:webHidden/>
              </w:rPr>
              <w:tab/>
            </w:r>
            <w:r>
              <w:rPr>
                <w:noProof/>
                <w:webHidden/>
              </w:rPr>
              <w:fldChar w:fldCharType="begin"/>
            </w:r>
            <w:r>
              <w:rPr>
                <w:noProof/>
                <w:webHidden/>
              </w:rPr>
              <w:instrText xml:space="preserve"> PAGEREF _Toc382572902 \h </w:instrText>
            </w:r>
            <w:r>
              <w:rPr>
                <w:noProof/>
                <w:webHidden/>
              </w:rPr>
            </w:r>
            <w:r>
              <w:rPr>
                <w:noProof/>
                <w:webHidden/>
              </w:rPr>
              <w:fldChar w:fldCharType="separate"/>
            </w:r>
            <w:r>
              <w:rPr>
                <w:noProof/>
                <w:webHidden/>
              </w:rPr>
              <w:t>30</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3" w:history="1">
            <w:r w:rsidRPr="00AD58DB">
              <w:rPr>
                <w:rStyle w:val="Hyperlink"/>
                <w:noProof/>
              </w:rPr>
              <w:t>Clinical</w:t>
            </w:r>
            <w:r>
              <w:rPr>
                <w:noProof/>
                <w:webHidden/>
              </w:rPr>
              <w:tab/>
            </w:r>
            <w:r>
              <w:rPr>
                <w:noProof/>
                <w:webHidden/>
              </w:rPr>
              <w:fldChar w:fldCharType="begin"/>
            </w:r>
            <w:r>
              <w:rPr>
                <w:noProof/>
                <w:webHidden/>
              </w:rPr>
              <w:instrText xml:space="preserve"> PAGEREF _Toc382572903 \h </w:instrText>
            </w:r>
            <w:r>
              <w:rPr>
                <w:noProof/>
                <w:webHidden/>
              </w:rPr>
            </w:r>
            <w:r>
              <w:rPr>
                <w:noProof/>
                <w:webHidden/>
              </w:rPr>
              <w:fldChar w:fldCharType="separate"/>
            </w:r>
            <w:r>
              <w:rPr>
                <w:noProof/>
                <w:webHidden/>
              </w:rPr>
              <w:t>30</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4" w:history="1">
            <w:r w:rsidRPr="00AD58DB">
              <w:rPr>
                <w:rStyle w:val="Hyperlink"/>
                <w:noProof/>
                <w:lang w:eastAsia="en-AU"/>
              </w:rPr>
              <w:t>Risk management plan</w:t>
            </w:r>
            <w:r>
              <w:rPr>
                <w:noProof/>
                <w:webHidden/>
              </w:rPr>
              <w:tab/>
            </w:r>
            <w:r>
              <w:rPr>
                <w:noProof/>
                <w:webHidden/>
              </w:rPr>
              <w:fldChar w:fldCharType="begin"/>
            </w:r>
            <w:r>
              <w:rPr>
                <w:noProof/>
                <w:webHidden/>
              </w:rPr>
              <w:instrText xml:space="preserve"> PAGEREF _Toc382572904 \h </w:instrText>
            </w:r>
            <w:r>
              <w:rPr>
                <w:noProof/>
                <w:webHidden/>
              </w:rPr>
            </w:r>
            <w:r>
              <w:rPr>
                <w:noProof/>
                <w:webHidden/>
              </w:rPr>
              <w:fldChar w:fldCharType="separate"/>
            </w:r>
            <w:r>
              <w:rPr>
                <w:noProof/>
                <w:webHidden/>
              </w:rPr>
              <w:t>37</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5" w:history="1">
            <w:r w:rsidRPr="00AD58DB">
              <w:rPr>
                <w:rStyle w:val="Hyperlink"/>
                <w:noProof/>
              </w:rPr>
              <w:t>Risk-benefit analysis</w:t>
            </w:r>
            <w:r>
              <w:rPr>
                <w:noProof/>
                <w:webHidden/>
              </w:rPr>
              <w:tab/>
            </w:r>
            <w:r>
              <w:rPr>
                <w:noProof/>
                <w:webHidden/>
              </w:rPr>
              <w:fldChar w:fldCharType="begin"/>
            </w:r>
            <w:r>
              <w:rPr>
                <w:noProof/>
                <w:webHidden/>
              </w:rPr>
              <w:instrText xml:space="preserve"> PAGEREF _Toc382572905 \h </w:instrText>
            </w:r>
            <w:r>
              <w:rPr>
                <w:noProof/>
                <w:webHidden/>
              </w:rPr>
            </w:r>
            <w:r>
              <w:rPr>
                <w:noProof/>
                <w:webHidden/>
              </w:rPr>
              <w:fldChar w:fldCharType="separate"/>
            </w:r>
            <w:r>
              <w:rPr>
                <w:noProof/>
                <w:webHidden/>
              </w:rPr>
              <w:t>37</w:t>
            </w:r>
            <w:r>
              <w:rPr>
                <w:noProof/>
                <w:webHidden/>
              </w:rPr>
              <w:fldChar w:fldCharType="end"/>
            </w:r>
          </w:hyperlink>
        </w:p>
        <w:p w:rsidR="00DA7630" w:rsidRDefault="00DA7630">
          <w:pPr>
            <w:pStyle w:val="TOC3"/>
            <w:rPr>
              <w:rFonts w:asciiTheme="minorHAnsi" w:eastAsiaTheme="minorEastAsia" w:hAnsiTheme="minorHAnsi" w:cstheme="minorBidi"/>
              <w:noProof/>
              <w:lang w:eastAsia="en-AU"/>
            </w:rPr>
          </w:pPr>
          <w:hyperlink w:anchor="_Toc382572906" w:history="1">
            <w:r w:rsidRPr="00AD58DB">
              <w:rPr>
                <w:rStyle w:val="Hyperlink"/>
                <w:noProof/>
              </w:rPr>
              <w:t>Outcome</w:t>
            </w:r>
            <w:r>
              <w:rPr>
                <w:noProof/>
                <w:webHidden/>
              </w:rPr>
              <w:tab/>
            </w:r>
            <w:r>
              <w:rPr>
                <w:noProof/>
                <w:webHidden/>
              </w:rPr>
              <w:fldChar w:fldCharType="begin"/>
            </w:r>
            <w:r>
              <w:rPr>
                <w:noProof/>
                <w:webHidden/>
              </w:rPr>
              <w:instrText xml:space="preserve"> PAGEREF _Toc382572906 \h </w:instrText>
            </w:r>
            <w:r>
              <w:rPr>
                <w:noProof/>
                <w:webHidden/>
              </w:rPr>
            </w:r>
            <w:r>
              <w:rPr>
                <w:noProof/>
                <w:webHidden/>
              </w:rPr>
              <w:fldChar w:fldCharType="separate"/>
            </w:r>
            <w:r>
              <w:rPr>
                <w:noProof/>
                <w:webHidden/>
              </w:rPr>
              <w:t>40</w:t>
            </w:r>
            <w:r>
              <w:rPr>
                <w:noProof/>
                <w:webHidden/>
              </w:rPr>
              <w:fldChar w:fldCharType="end"/>
            </w:r>
          </w:hyperlink>
        </w:p>
        <w:p w:rsidR="00DA7630" w:rsidRDefault="00DA7630">
          <w:pPr>
            <w:pStyle w:val="TOC2"/>
            <w:rPr>
              <w:rFonts w:asciiTheme="minorHAnsi" w:eastAsiaTheme="minorEastAsia" w:hAnsiTheme="minorHAnsi" w:cstheme="minorBidi"/>
              <w:b w:val="0"/>
              <w:noProof/>
              <w:sz w:val="22"/>
              <w:lang w:eastAsia="en-AU"/>
            </w:rPr>
          </w:pPr>
          <w:hyperlink w:anchor="_Toc382572907" w:history="1">
            <w:r w:rsidRPr="00AD58DB">
              <w:rPr>
                <w:rStyle w:val="Hyperlink"/>
                <w:noProof/>
              </w:rPr>
              <w:t>Attachment 1: Product Information</w:t>
            </w:r>
            <w:r>
              <w:rPr>
                <w:noProof/>
                <w:webHidden/>
              </w:rPr>
              <w:tab/>
            </w:r>
            <w:r>
              <w:rPr>
                <w:noProof/>
                <w:webHidden/>
              </w:rPr>
              <w:fldChar w:fldCharType="begin"/>
            </w:r>
            <w:r>
              <w:rPr>
                <w:noProof/>
                <w:webHidden/>
              </w:rPr>
              <w:instrText xml:space="preserve"> PAGEREF _Toc382572907 \h </w:instrText>
            </w:r>
            <w:r>
              <w:rPr>
                <w:noProof/>
                <w:webHidden/>
              </w:rPr>
            </w:r>
            <w:r>
              <w:rPr>
                <w:noProof/>
                <w:webHidden/>
              </w:rPr>
              <w:fldChar w:fldCharType="separate"/>
            </w:r>
            <w:r>
              <w:rPr>
                <w:noProof/>
                <w:webHidden/>
              </w:rPr>
              <w:t>41</w:t>
            </w:r>
            <w:r>
              <w:rPr>
                <w:noProof/>
                <w:webHidden/>
              </w:rPr>
              <w:fldChar w:fldCharType="end"/>
            </w:r>
          </w:hyperlink>
        </w:p>
        <w:p w:rsidR="003A7F6C" w:rsidRPr="00B811C6" w:rsidRDefault="00DA7630" w:rsidP="00DA7CD5">
          <w:pPr>
            <w:pStyle w:val="TOC2"/>
          </w:pPr>
          <w:r w:rsidRPr="00AD58DB">
            <w:rPr>
              <w:rStyle w:val="Hyperlink"/>
              <w:noProof/>
            </w:rPr>
            <w:fldChar w:fldCharType="begin"/>
          </w:r>
          <w:r w:rsidRPr="00AD58DB">
            <w:rPr>
              <w:rStyle w:val="Hyperlink"/>
              <w:noProof/>
            </w:rPr>
            <w:instrText xml:space="preserve"> </w:instrText>
          </w:r>
          <w:r>
            <w:rPr>
              <w:noProof/>
            </w:rPr>
            <w:instrText>HYPERLINK \l "_Toc382572908"</w:instrText>
          </w:r>
          <w:r w:rsidRPr="00AD58DB">
            <w:rPr>
              <w:rStyle w:val="Hyperlink"/>
              <w:noProof/>
            </w:rPr>
            <w:instrText xml:space="preserve"> </w:instrText>
          </w:r>
          <w:r w:rsidRPr="00AD58DB">
            <w:rPr>
              <w:rStyle w:val="Hyperlink"/>
              <w:noProof/>
            </w:rPr>
          </w:r>
          <w:r w:rsidRPr="00AD58DB">
            <w:rPr>
              <w:rStyle w:val="Hyperlink"/>
              <w:noProof/>
            </w:rPr>
            <w:fldChar w:fldCharType="separate"/>
          </w:r>
          <w:r w:rsidRPr="00AD58D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_Toc382572908 \h </w:instrText>
          </w:r>
          <w:r>
            <w:rPr>
              <w:noProof/>
              <w:webHidden/>
            </w:rPr>
          </w:r>
          <w:r>
            <w:rPr>
              <w:noProof/>
              <w:webHidden/>
            </w:rPr>
            <w:fldChar w:fldCharType="separate"/>
          </w:r>
          <w:r>
            <w:rPr>
              <w:noProof/>
              <w:webHidden/>
            </w:rPr>
            <w:t>41</w:t>
          </w:r>
          <w:r>
            <w:rPr>
              <w:noProof/>
              <w:webHidden/>
            </w:rPr>
            <w:fldChar w:fldCharType="end"/>
          </w:r>
          <w:r w:rsidRPr="00AD58DB">
            <w:rPr>
              <w:rStyle w:val="Hyperlink"/>
              <w:noProof/>
            </w:rPr>
            <w:fldChar w:fldCharType="end"/>
          </w:r>
          <w:r w:rsidR="00427FA6">
            <w:fldChar w:fldCharType="end"/>
          </w:r>
        </w:p>
        <w:bookmarkStart w:id="2" w:name="_GoBack" w:displacedByCustomXml="next"/>
        <w:bookmarkEnd w:id="2" w:displacedByCustomXml="next"/>
      </w:sdtContent>
    </w:sdt>
    <w:bookmarkStart w:id="3" w:name="_Toc314842482" w:displacedByCustomXml="prev"/>
    <w:p w:rsidR="008E7846" w:rsidRPr="00DA7CD5" w:rsidRDefault="00F53C07" w:rsidP="00DA7CD5">
      <w:pPr>
        <w:pStyle w:val="Heading2"/>
      </w:pPr>
      <w:bookmarkStart w:id="4" w:name="_Toc382572879"/>
      <w:r>
        <w:lastRenderedPageBreak/>
        <w:t>I.</w:t>
      </w:r>
      <w:r w:rsidR="008E7846">
        <w:t xml:space="preserve"> Introduction to product </w:t>
      </w:r>
      <w:r w:rsidR="008E7846" w:rsidRPr="00DA7CD5">
        <w:t>submission</w:t>
      </w:r>
      <w:bookmarkEnd w:id="3"/>
      <w:bookmarkEnd w:id="0"/>
      <w:bookmarkEnd w:id="4"/>
    </w:p>
    <w:p w:rsidR="008E7846" w:rsidRPr="00DA7CD5" w:rsidRDefault="008E7846" w:rsidP="00DA7CD5">
      <w:pPr>
        <w:pStyle w:val="Heading3"/>
      </w:pPr>
      <w:bookmarkStart w:id="5" w:name="_Toc247691502"/>
      <w:bookmarkStart w:id="6" w:name="_Toc314842483"/>
      <w:bookmarkStart w:id="7" w:name="_Toc382572880"/>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70761E">
        <w:trPr>
          <w:trHeight w:hRule="exact" w:val="454"/>
        </w:trPr>
        <w:tc>
          <w:tcPr>
            <w:tcW w:w="2907" w:type="dxa"/>
          </w:tcPr>
          <w:p w:rsidR="008E7846" w:rsidRPr="003D1E62" w:rsidRDefault="008E7846" w:rsidP="00DA7CD5">
            <w:pPr>
              <w:rPr>
                <w:i/>
              </w:rPr>
            </w:pPr>
            <w:r w:rsidRPr="003D1E62">
              <w:rPr>
                <w:i/>
              </w:rPr>
              <w:t xml:space="preserve">Type of </w:t>
            </w:r>
            <w:r w:rsidR="00DA7CD5">
              <w:rPr>
                <w:i/>
              </w:rPr>
              <w:t>s</w:t>
            </w:r>
            <w:r w:rsidRPr="003D1E62">
              <w:rPr>
                <w:i/>
              </w:rPr>
              <w:t>ubmission</w:t>
            </w:r>
            <w:r w:rsidR="00695E7A">
              <w:rPr>
                <w:i/>
              </w:rPr>
              <w:t>:</w:t>
            </w:r>
          </w:p>
        </w:tc>
        <w:tc>
          <w:tcPr>
            <w:tcW w:w="6590" w:type="dxa"/>
            <w:gridSpan w:val="2"/>
          </w:tcPr>
          <w:p w:rsidR="008E7846" w:rsidRPr="003D1E62" w:rsidRDefault="00E30AC4" w:rsidP="00E30AC4">
            <w:r>
              <w:t>Extension of Indications</w:t>
            </w:r>
          </w:p>
        </w:tc>
      </w:tr>
      <w:tr w:rsidR="008E7846" w:rsidRPr="003D1E62" w:rsidTr="0070761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E30AC4">
            <w:r w:rsidRPr="003D1E62">
              <w:t>Approved</w:t>
            </w:r>
          </w:p>
        </w:tc>
      </w:tr>
      <w:tr w:rsidR="008E7846" w:rsidRPr="003D1E62" w:rsidTr="0070761E">
        <w:trPr>
          <w:trHeight w:hRule="exact" w:val="454"/>
        </w:trPr>
        <w:tc>
          <w:tcPr>
            <w:tcW w:w="2907" w:type="dxa"/>
          </w:tcPr>
          <w:p w:rsidR="008E7846" w:rsidRPr="003D1E62" w:rsidRDefault="008E7846" w:rsidP="00DA7CD5">
            <w:pPr>
              <w:rPr>
                <w:i/>
              </w:rPr>
            </w:pPr>
            <w:r w:rsidRPr="003D1E62">
              <w:rPr>
                <w:i/>
              </w:rPr>
              <w:t xml:space="preserve">Date of </w:t>
            </w:r>
            <w:r w:rsidR="00DA7CD5">
              <w:rPr>
                <w:i/>
              </w:rPr>
              <w:t>d</w:t>
            </w:r>
            <w:r w:rsidRPr="003D1E62">
              <w:rPr>
                <w:i/>
              </w:rPr>
              <w:t>ecision:</w:t>
            </w:r>
          </w:p>
        </w:tc>
        <w:tc>
          <w:tcPr>
            <w:tcW w:w="6590" w:type="dxa"/>
            <w:gridSpan w:val="2"/>
          </w:tcPr>
          <w:p w:rsidR="008E7846" w:rsidRPr="003D1E62" w:rsidRDefault="00E30AC4" w:rsidP="00E30AC4">
            <w:r>
              <w:t>21 August 2013</w:t>
            </w:r>
          </w:p>
        </w:tc>
      </w:tr>
      <w:tr w:rsidR="008E7846" w:rsidRPr="00487162" w:rsidTr="0070761E">
        <w:trPr>
          <w:gridAfter w:val="1"/>
          <w:wAfter w:w="283" w:type="dxa"/>
        </w:trPr>
        <w:tc>
          <w:tcPr>
            <w:tcW w:w="2907" w:type="dxa"/>
          </w:tcPr>
          <w:p w:rsidR="008E7846" w:rsidRPr="00487162" w:rsidRDefault="00DA7CD5" w:rsidP="00FD752D">
            <w:pPr>
              <w:rPr>
                <w:i/>
              </w:rPr>
            </w:pPr>
            <w:r>
              <w:rPr>
                <w:i/>
              </w:rPr>
              <w:t>Active ingredient:</w:t>
            </w:r>
          </w:p>
        </w:tc>
        <w:tc>
          <w:tcPr>
            <w:tcW w:w="6307" w:type="dxa"/>
          </w:tcPr>
          <w:p w:rsidR="008E7846" w:rsidRPr="00487162" w:rsidRDefault="00BD75F9" w:rsidP="00E30AC4">
            <w:r>
              <w:t>I</w:t>
            </w:r>
            <w:r w:rsidR="00E30AC4" w:rsidRPr="00E30AC4">
              <w:t>matinib</w:t>
            </w:r>
          </w:p>
        </w:tc>
      </w:tr>
      <w:tr w:rsidR="008E7846" w:rsidRPr="00487162" w:rsidTr="0070761E">
        <w:trPr>
          <w:gridAfter w:val="1"/>
          <w:wAfter w:w="283" w:type="dxa"/>
        </w:trPr>
        <w:tc>
          <w:tcPr>
            <w:tcW w:w="2907" w:type="dxa"/>
          </w:tcPr>
          <w:p w:rsidR="008E7846" w:rsidRPr="00487162" w:rsidRDefault="008E7846" w:rsidP="00DA7CD5">
            <w:pPr>
              <w:rPr>
                <w:i/>
              </w:rPr>
            </w:pPr>
            <w:r w:rsidRPr="00487162">
              <w:rPr>
                <w:i/>
              </w:rPr>
              <w:t xml:space="preserve">Product </w:t>
            </w:r>
            <w:r w:rsidR="00DA7CD5">
              <w:rPr>
                <w:i/>
              </w:rPr>
              <w:t>n</w:t>
            </w:r>
            <w:r w:rsidRPr="00487162">
              <w:rPr>
                <w:i/>
              </w:rPr>
              <w:t xml:space="preserve">ame: </w:t>
            </w:r>
          </w:p>
        </w:tc>
        <w:tc>
          <w:tcPr>
            <w:tcW w:w="6307" w:type="dxa"/>
          </w:tcPr>
          <w:p w:rsidR="008E7846" w:rsidRPr="00487162" w:rsidRDefault="00E30AC4" w:rsidP="007407FF">
            <w:proofErr w:type="spellStart"/>
            <w:r w:rsidRPr="00E30AC4">
              <w:t>G</w:t>
            </w:r>
            <w:r w:rsidR="007407FF">
              <w:t>livec</w:t>
            </w:r>
            <w:proofErr w:type="spellEnd"/>
          </w:p>
        </w:tc>
      </w:tr>
      <w:tr w:rsidR="008E7846" w:rsidRPr="00487162" w:rsidTr="0070761E">
        <w:trPr>
          <w:gridAfter w:val="1"/>
          <w:wAfter w:w="283" w:type="dxa"/>
        </w:trPr>
        <w:tc>
          <w:tcPr>
            <w:tcW w:w="2907" w:type="dxa"/>
          </w:tcPr>
          <w:p w:rsidR="008E7846" w:rsidRPr="00487162" w:rsidRDefault="008E7846" w:rsidP="00DA7CD5">
            <w:pPr>
              <w:rPr>
                <w:i/>
              </w:rPr>
            </w:pPr>
            <w:r w:rsidRPr="00487162">
              <w:rPr>
                <w:i/>
              </w:rPr>
              <w:t xml:space="preserve">Sponsor’s </w:t>
            </w:r>
            <w:r w:rsidR="00DA7CD5">
              <w:rPr>
                <w:i/>
              </w:rPr>
              <w:t>n</w:t>
            </w:r>
            <w:r w:rsidRPr="00487162">
              <w:rPr>
                <w:i/>
              </w:rPr>
              <w:t xml:space="preserve">ame and </w:t>
            </w:r>
            <w:r w:rsidR="00DA7CD5">
              <w:rPr>
                <w:i/>
              </w:rPr>
              <w:t>a</w:t>
            </w:r>
            <w:r w:rsidRPr="00487162">
              <w:rPr>
                <w:i/>
              </w:rPr>
              <w:t>ddress:</w:t>
            </w:r>
          </w:p>
        </w:tc>
        <w:tc>
          <w:tcPr>
            <w:tcW w:w="6307" w:type="dxa"/>
          </w:tcPr>
          <w:p w:rsidR="0087605D" w:rsidRPr="00487162" w:rsidRDefault="0087605D" w:rsidP="00DA7CD5">
            <w:r w:rsidRPr="0087605D">
              <w:rPr>
                <w:lang w:val="pt-BR"/>
              </w:rPr>
              <w:t>Novartis Pharmaceuticals Australia Pty Ltd</w:t>
            </w:r>
            <w:r w:rsidR="00DA7CD5">
              <w:rPr>
                <w:lang w:val="pt-BR"/>
              </w:rPr>
              <w:br/>
            </w:r>
            <w:r w:rsidR="003966A5">
              <w:rPr>
                <w:lang w:val="pt-BR"/>
              </w:rPr>
              <w:t>54 Waterloo Road</w:t>
            </w:r>
            <w:r w:rsidR="00DA7CD5">
              <w:rPr>
                <w:lang w:val="pt-BR"/>
              </w:rPr>
              <w:br/>
            </w:r>
            <w:r w:rsidR="003966A5">
              <w:rPr>
                <w:lang w:val="pt-BR"/>
              </w:rPr>
              <w:t>NORTH RYDE NSW 2113</w:t>
            </w:r>
          </w:p>
        </w:tc>
      </w:tr>
      <w:tr w:rsidR="008E7846" w:rsidRPr="00487162" w:rsidTr="0070761E">
        <w:trPr>
          <w:gridAfter w:val="1"/>
          <w:wAfter w:w="283" w:type="dxa"/>
        </w:trPr>
        <w:tc>
          <w:tcPr>
            <w:tcW w:w="2907" w:type="dxa"/>
          </w:tcPr>
          <w:p w:rsidR="008E7846" w:rsidRPr="00487162" w:rsidRDefault="00FD752D" w:rsidP="00FD752D">
            <w:pPr>
              <w:rPr>
                <w:i/>
              </w:rPr>
            </w:pPr>
            <w:r>
              <w:rPr>
                <w:i/>
              </w:rPr>
              <w:t>Dose form</w:t>
            </w:r>
            <w:r w:rsidR="00DA7CD5">
              <w:rPr>
                <w:i/>
              </w:rPr>
              <w:t>s:</w:t>
            </w:r>
          </w:p>
        </w:tc>
        <w:tc>
          <w:tcPr>
            <w:tcW w:w="6307" w:type="dxa"/>
          </w:tcPr>
          <w:p w:rsidR="008E7846" w:rsidRPr="00487162" w:rsidRDefault="007635CB" w:rsidP="007635CB">
            <w:r>
              <w:t>Hard gelatine c</w:t>
            </w:r>
            <w:r w:rsidR="009B3E7E">
              <w:t xml:space="preserve">apsules, </w:t>
            </w:r>
            <w:r>
              <w:t xml:space="preserve">film-coated </w:t>
            </w:r>
            <w:r w:rsidR="009B3E7E">
              <w:t>tablets</w:t>
            </w:r>
          </w:p>
        </w:tc>
      </w:tr>
      <w:tr w:rsidR="008E7846" w:rsidRPr="00487162" w:rsidTr="0070761E">
        <w:trPr>
          <w:gridAfter w:val="1"/>
          <w:wAfter w:w="283" w:type="dxa"/>
        </w:trPr>
        <w:tc>
          <w:tcPr>
            <w:tcW w:w="2907" w:type="dxa"/>
          </w:tcPr>
          <w:p w:rsidR="008E7846" w:rsidRPr="00487162" w:rsidRDefault="00DA7CD5" w:rsidP="00FD752D">
            <w:pPr>
              <w:rPr>
                <w:i/>
              </w:rPr>
            </w:pPr>
            <w:r>
              <w:rPr>
                <w:i/>
              </w:rPr>
              <w:t>Strengths:</w:t>
            </w:r>
          </w:p>
        </w:tc>
        <w:tc>
          <w:tcPr>
            <w:tcW w:w="6307" w:type="dxa"/>
          </w:tcPr>
          <w:p w:rsidR="008E7846" w:rsidRPr="00487162" w:rsidRDefault="009B3E7E" w:rsidP="007635CB">
            <w:r w:rsidRPr="009B3E7E">
              <w:t>50 mg and 100 mg capsules; 100 mg and 400 mg tablets</w:t>
            </w:r>
          </w:p>
        </w:tc>
      </w:tr>
      <w:tr w:rsidR="008E7846" w:rsidRPr="00487162" w:rsidTr="0070761E">
        <w:trPr>
          <w:gridAfter w:val="1"/>
          <w:wAfter w:w="283" w:type="dxa"/>
        </w:trPr>
        <w:tc>
          <w:tcPr>
            <w:tcW w:w="2907" w:type="dxa"/>
          </w:tcPr>
          <w:p w:rsidR="008E7846" w:rsidRPr="00487162" w:rsidRDefault="008E7846" w:rsidP="00657B04">
            <w:pPr>
              <w:rPr>
                <w:i/>
              </w:rPr>
            </w:pPr>
            <w:r w:rsidRPr="00487162">
              <w:rPr>
                <w:i/>
              </w:rPr>
              <w:t>Container:</w:t>
            </w:r>
          </w:p>
        </w:tc>
        <w:tc>
          <w:tcPr>
            <w:tcW w:w="6307" w:type="dxa"/>
          </w:tcPr>
          <w:p w:rsidR="008E7846" w:rsidRPr="00487162" w:rsidRDefault="00657B04" w:rsidP="00657B04">
            <w:r>
              <w:t>Blister pack</w:t>
            </w:r>
          </w:p>
        </w:tc>
      </w:tr>
      <w:tr w:rsidR="008E7846" w:rsidRPr="00487162" w:rsidTr="0070761E">
        <w:trPr>
          <w:gridAfter w:val="1"/>
          <w:wAfter w:w="283" w:type="dxa"/>
        </w:trPr>
        <w:tc>
          <w:tcPr>
            <w:tcW w:w="2907" w:type="dxa"/>
          </w:tcPr>
          <w:p w:rsidR="008E7846" w:rsidRPr="00487162" w:rsidRDefault="008E7846" w:rsidP="0070761E">
            <w:pPr>
              <w:rPr>
                <w:i/>
              </w:rPr>
            </w:pPr>
            <w:r w:rsidRPr="00487162">
              <w:rPr>
                <w:i/>
              </w:rPr>
              <w:t>Pack sizes:</w:t>
            </w:r>
          </w:p>
        </w:tc>
        <w:tc>
          <w:tcPr>
            <w:tcW w:w="6307" w:type="dxa"/>
          </w:tcPr>
          <w:p w:rsidR="00657B04" w:rsidRPr="00487162" w:rsidRDefault="00657B04" w:rsidP="00B3402A">
            <w:r w:rsidRPr="00657B04">
              <w:t>78441</w:t>
            </w:r>
            <w:r>
              <w:t xml:space="preserve">: </w:t>
            </w:r>
            <w:r w:rsidR="00420BB3">
              <w:t xml:space="preserve">24, 48, 96, 120 and </w:t>
            </w:r>
            <w:r>
              <w:t>180 capsules</w:t>
            </w:r>
            <w:r w:rsidR="00420BB3">
              <w:t xml:space="preserve">; 78442: 30 capsules; </w:t>
            </w:r>
            <w:r w:rsidRPr="00657B04">
              <w:t xml:space="preserve">94216: 60 </w:t>
            </w:r>
            <w:r w:rsidR="00B3402A">
              <w:t>and</w:t>
            </w:r>
            <w:r w:rsidRPr="00657B04">
              <w:t xml:space="preserve"> 180 tablets; 94217: 30 tablets</w:t>
            </w:r>
            <w:r w:rsidR="00420BB3">
              <w:t>.</w:t>
            </w:r>
          </w:p>
        </w:tc>
      </w:tr>
      <w:tr w:rsidR="008E7846" w:rsidRPr="00487162" w:rsidTr="0070761E">
        <w:trPr>
          <w:gridAfter w:val="1"/>
          <w:wAfter w:w="283" w:type="dxa"/>
        </w:trPr>
        <w:tc>
          <w:tcPr>
            <w:tcW w:w="2907" w:type="dxa"/>
          </w:tcPr>
          <w:p w:rsidR="008E7846" w:rsidRPr="00487162" w:rsidRDefault="00695E7A" w:rsidP="00DA7CD5">
            <w:pPr>
              <w:rPr>
                <w:i/>
              </w:rPr>
            </w:pPr>
            <w:r>
              <w:rPr>
                <w:i/>
              </w:rPr>
              <w:t xml:space="preserve">New </w:t>
            </w:r>
            <w:r w:rsidR="00DA7CD5">
              <w:rPr>
                <w:i/>
              </w:rPr>
              <w:t>a</w:t>
            </w:r>
            <w:r w:rsidR="008E7846" w:rsidRPr="00487162">
              <w:rPr>
                <w:i/>
              </w:rPr>
              <w:t xml:space="preserve">pproved </w:t>
            </w:r>
            <w:r w:rsidR="00DA7CD5">
              <w:rPr>
                <w:i/>
              </w:rPr>
              <w:t>t</w:t>
            </w:r>
            <w:r w:rsidR="008E7846" w:rsidRPr="00487162">
              <w:rPr>
                <w:i/>
              </w:rPr>
              <w:t>herapeutic use:</w:t>
            </w:r>
          </w:p>
        </w:tc>
        <w:tc>
          <w:tcPr>
            <w:tcW w:w="6307" w:type="dxa"/>
          </w:tcPr>
          <w:p w:rsidR="00420BB3" w:rsidRPr="00487162" w:rsidRDefault="00420BB3" w:rsidP="00695E7A">
            <w:pPr>
              <w:rPr>
                <w:rFonts w:eastAsia="MS Mincho"/>
                <w:lang w:eastAsia="ja-JP"/>
              </w:rPr>
            </w:pPr>
            <w:r w:rsidRPr="00420BB3">
              <w:t>Treatment of paediatric patients with newly diagnosed Philadelphia chromosome positive acute lymphoblastic leukaemia (Ph+</w:t>
            </w:r>
            <w:r w:rsidR="0009482A">
              <w:t xml:space="preserve"> </w:t>
            </w:r>
            <w:r w:rsidRPr="00420BB3">
              <w:t>ALL</w:t>
            </w:r>
            <w:r w:rsidR="00DA7CD5">
              <w:t>) integrated with chemotherapy.</w:t>
            </w:r>
          </w:p>
        </w:tc>
      </w:tr>
      <w:tr w:rsidR="008E7846" w:rsidRPr="00487162" w:rsidTr="0070761E">
        <w:trPr>
          <w:gridAfter w:val="1"/>
          <w:wAfter w:w="283" w:type="dxa"/>
        </w:trPr>
        <w:tc>
          <w:tcPr>
            <w:tcW w:w="2907" w:type="dxa"/>
          </w:tcPr>
          <w:p w:rsidR="008E7846" w:rsidRPr="00487162" w:rsidRDefault="008E7846" w:rsidP="00420BB3">
            <w:pPr>
              <w:rPr>
                <w:i/>
              </w:rPr>
            </w:pPr>
            <w:r w:rsidRPr="00487162">
              <w:rPr>
                <w:i/>
              </w:rPr>
              <w:t>Route of administration:</w:t>
            </w:r>
          </w:p>
        </w:tc>
        <w:tc>
          <w:tcPr>
            <w:tcW w:w="6307" w:type="dxa"/>
          </w:tcPr>
          <w:p w:rsidR="008E7846" w:rsidRPr="00487162" w:rsidRDefault="00A97451" w:rsidP="00A97451">
            <w:r>
              <w:t>Oral</w:t>
            </w:r>
          </w:p>
        </w:tc>
      </w:tr>
      <w:tr w:rsidR="008E7846" w:rsidRPr="00487162" w:rsidTr="0070761E">
        <w:trPr>
          <w:gridAfter w:val="1"/>
          <w:wAfter w:w="283" w:type="dxa"/>
        </w:trPr>
        <w:tc>
          <w:tcPr>
            <w:tcW w:w="2907" w:type="dxa"/>
          </w:tcPr>
          <w:p w:rsidR="008E7846" w:rsidRPr="00487162" w:rsidRDefault="008E7846" w:rsidP="00E45619">
            <w:pPr>
              <w:rPr>
                <w:i/>
              </w:rPr>
            </w:pPr>
            <w:r w:rsidRPr="00487162">
              <w:rPr>
                <w:i/>
              </w:rPr>
              <w:t>Dosage</w:t>
            </w:r>
            <w:r w:rsidR="00695E7A">
              <w:rPr>
                <w:i/>
              </w:rPr>
              <w:t xml:space="preserve"> (abbreviated)</w:t>
            </w:r>
            <w:r w:rsidRPr="00487162">
              <w:rPr>
                <w:i/>
              </w:rPr>
              <w:t>:</w:t>
            </w:r>
          </w:p>
        </w:tc>
        <w:tc>
          <w:tcPr>
            <w:tcW w:w="6307" w:type="dxa"/>
          </w:tcPr>
          <w:p w:rsidR="008E7846" w:rsidRPr="00487162" w:rsidRDefault="007818D9" w:rsidP="00E8093F">
            <w:r w:rsidRPr="007818D9">
              <w:t>A dose of 340mg/m</w:t>
            </w:r>
            <w:r w:rsidRPr="007818D9">
              <w:rPr>
                <w:vertAlign w:val="superscript"/>
              </w:rPr>
              <w:t>2</w:t>
            </w:r>
            <w:r w:rsidRPr="007818D9">
              <w:t xml:space="preserve"> daily is recommended for children with </w:t>
            </w:r>
            <w:r w:rsidR="00377778">
              <w:t>Ph+ ALL</w:t>
            </w:r>
            <w:r w:rsidRPr="007818D9">
              <w:t xml:space="preserve"> not to exceed a total dose of 600mg</w:t>
            </w:r>
            <w:r>
              <w:t>/</w:t>
            </w:r>
            <w:r w:rsidRPr="007818D9">
              <w:t>day. Treatment can</w:t>
            </w:r>
            <w:r w:rsidR="00DA7CD5">
              <w:t xml:space="preserve"> be given as a once daily dose.</w:t>
            </w:r>
          </w:p>
        </w:tc>
      </w:tr>
      <w:tr w:rsidR="008E7846" w:rsidRPr="00487162" w:rsidTr="0070761E">
        <w:trPr>
          <w:gridAfter w:val="1"/>
          <w:wAfter w:w="283" w:type="dxa"/>
        </w:trPr>
        <w:tc>
          <w:tcPr>
            <w:tcW w:w="2907" w:type="dxa"/>
          </w:tcPr>
          <w:p w:rsidR="008E7846" w:rsidRPr="00487162" w:rsidRDefault="008E7846" w:rsidP="00DA7CD5">
            <w:pPr>
              <w:rPr>
                <w:i/>
              </w:rPr>
            </w:pPr>
            <w:r w:rsidRPr="00487162">
              <w:rPr>
                <w:i/>
              </w:rPr>
              <w:t xml:space="preserve">ARTG </w:t>
            </w:r>
            <w:r w:rsidR="00DA7CD5">
              <w:rPr>
                <w:i/>
              </w:rPr>
              <w:t>n</w:t>
            </w:r>
            <w:r w:rsidRPr="00487162">
              <w:rPr>
                <w:i/>
              </w:rPr>
              <w:t>umbers</w:t>
            </w:r>
            <w:r w:rsidR="00695E7A">
              <w:rPr>
                <w:i/>
              </w:rPr>
              <w:t>:</w:t>
            </w:r>
          </w:p>
        </w:tc>
        <w:tc>
          <w:tcPr>
            <w:tcW w:w="6307" w:type="dxa"/>
          </w:tcPr>
          <w:p w:rsidR="008E7846" w:rsidRPr="00487162" w:rsidRDefault="00420BB3" w:rsidP="00420BB3">
            <w:r w:rsidRPr="00420BB3">
              <w:t>78441</w:t>
            </w:r>
            <w:r>
              <w:t xml:space="preserve">, </w:t>
            </w:r>
            <w:r w:rsidRPr="00420BB3">
              <w:t>78442</w:t>
            </w:r>
            <w:r>
              <w:t xml:space="preserve">, 94216 and </w:t>
            </w:r>
            <w:r w:rsidRPr="00420BB3">
              <w:t>94217</w:t>
            </w:r>
          </w:p>
        </w:tc>
      </w:tr>
    </w:tbl>
    <w:p w:rsidR="008E7846" w:rsidRPr="00CC04DE" w:rsidRDefault="008E7846" w:rsidP="00CC04DE">
      <w:pPr>
        <w:pStyle w:val="Heading3"/>
      </w:pPr>
      <w:bookmarkStart w:id="8" w:name="_Toc247691503"/>
      <w:bookmarkStart w:id="9" w:name="_Toc314842484"/>
      <w:bookmarkStart w:id="10" w:name="_Toc382572881"/>
      <w:r>
        <w:t>Product background</w:t>
      </w:r>
      <w:bookmarkEnd w:id="8"/>
      <w:bookmarkEnd w:id="9"/>
      <w:bookmarkEnd w:id="10"/>
    </w:p>
    <w:p w:rsidR="00695E7A" w:rsidRPr="00695E7A" w:rsidRDefault="00695E7A" w:rsidP="00CC04DE">
      <w:proofErr w:type="spellStart"/>
      <w:r w:rsidRPr="00695E7A">
        <w:t>Imatinib</w:t>
      </w:r>
      <w:proofErr w:type="spellEnd"/>
      <w:r w:rsidRPr="00695E7A">
        <w:t xml:space="preserve"> is a small molecule protein tyrosine kinase inhibitor. It inhibits the activity of several tyrosine kinases</w:t>
      </w:r>
      <w:r w:rsidR="007C4C3D">
        <w:t>:</w:t>
      </w:r>
      <w:r w:rsidRPr="00695E7A">
        <w:t xml:space="preserve"> c-Kit, the receptor for stem cell factor coded by the c-Kit proto-oncogene; the platelet derived growth factor receptors alpha and beta (PDGFR alpha and PDGFR beta); the Abelson Murine </w:t>
      </w:r>
      <w:proofErr w:type="spellStart"/>
      <w:r w:rsidRPr="00695E7A">
        <w:t>Leukemia</w:t>
      </w:r>
      <w:proofErr w:type="spellEnd"/>
      <w:r w:rsidRPr="00695E7A">
        <w:t xml:space="preserve"> viral oncogene homolog (ABL) family of non-receptor tyrosine kinases consisting of ABL1 and ABL2</w:t>
      </w:r>
      <w:r w:rsidR="007C4C3D">
        <w:t>;</w:t>
      </w:r>
      <w:r w:rsidRPr="00695E7A">
        <w:t xml:space="preserve"> the </w:t>
      </w:r>
      <w:proofErr w:type="spellStart"/>
      <w:r w:rsidRPr="00695E7A">
        <w:t>discoidin</w:t>
      </w:r>
      <w:proofErr w:type="spellEnd"/>
      <w:r w:rsidRPr="00695E7A">
        <w:t xml:space="preserve"> domain receptors DDR1 and DDR2 which are receptors for collagen; and c-</w:t>
      </w:r>
      <w:proofErr w:type="spellStart"/>
      <w:r w:rsidRPr="00695E7A">
        <w:t>Fms</w:t>
      </w:r>
      <w:proofErr w:type="spellEnd"/>
      <w:r w:rsidRPr="00695E7A">
        <w:t xml:space="preserve"> the receptor for</w:t>
      </w:r>
      <w:r w:rsidR="004704D9">
        <w:t xml:space="preserve"> macrophage stimulating factor.</w:t>
      </w:r>
    </w:p>
    <w:p w:rsidR="001A5ED8" w:rsidRDefault="00695E7A" w:rsidP="00CC04DE">
      <w:r w:rsidRPr="00695E7A">
        <w:t xml:space="preserve">Imatinib was first registered on 13 August 2001 and has been approved in Australia for the treatment of a number of solid tumour and haematological conditions where tyrosine kinases play a role in the disease. </w:t>
      </w:r>
      <w:r>
        <w:t xml:space="preserve">The </w:t>
      </w:r>
      <w:r w:rsidR="001A5ED8">
        <w:t>indications approved currently are:</w:t>
      </w:r>
    </w:p>
    <w:p w:rsidR="001A5ED8" w:rsidRPr="001A5ED8" w:rsidRDefault="001A5ED8" w:rsidP="00CC04DE">
      <w:r w:rsidRPr="001A5ED8">
        <w:t>Glivec</w:t>
      </w:r>
      <w:r w:rsidR="004704D9">
        <w:t xml:space="preserve"> is indicated for the:</w:t>
      </w:r>
    </w:p>
    <w:p w:rsidR="001A5ED8" w:rsidRPr="001A5ED8" w:rsidRDefault="001A5ED8" w:rsidP="00CC04DE">
      <w:pPr>
        <w:pStyle w:val="ListBullet"/>
      </w:pPr>
      <w:r w:rsidRPr="001A5ED8">
        <w:t xml:space="preserve">treatment of </w:t>
      </w:r>
      <w:r w:rsidRPr="00CC04DE">
        <w:t>patients</w:t>
      </w:r>
      <w:r w:rsidRPr="001A5ED8">
        <w:t xml:space="preserve"> with </w:t>
      </w:r>
      <w:r w:rsidR="004704D9">
        <w:t>chronic myeloid leukaemia (CML)</w:t>
      </w:r>
    </w:p>
    <w:p w:rsidR="001A5ED8" w:rsidRPr="001A5ED8" w:rsidRDefault="001A5ED8" w:rsidP="00CC04DE">
      <w:pPr>
        <w:pStyle w:val="ListBullet"/>
      </w:pPr>
      <w:r w:rsidRPr="001A5ED8">
        <w:lastRenderedPageBreak/>
        <w:t xml:space="preserve">treatment of adult patients with newly diagnosed Philadelphia chromosome positive acute lymphoblastic leukaemia (Ph+ ALL) integrated with </w:t>
      </w:r>
      <w:r w:rsidRPr="004704D9">
        <w:t>chemotherapy</w:t>
      </w:r>
    </w:p>
    <w:p w:rsidR="001A5ED8" w:rsidRPr="001A5ED8" w:rsidRDefault="001A5ED8" w:rsidP="00CC04DE">
      <w:pPr>
        <w:pStyle w:val="ListBullet"/>
      </w:pPr>
      <w:r w:rsidRPr="001A5ED8">
        <w:t xml:space="preserve">treatment of adult patients with relapsed or refractory </w:t>
      </w:r>
      <w:proofErr w:type="spellStart"/>
      <w:r w:rsidRPr="001A5ED8">
        <w:t>Ph</w:t>
      </w:r>
      <w:proofErr w:type="spellEnd"/>
      <w:r w:rsidRPr="001A5ED8">
        <w:t xml:space="preserve">+ ALL as </w:t>
      </w:r>
      <w:proofErr w:type="spellStart"/>
      <w:r w:rsidRPr="004704D9">
        <w:t>monotherapy</w:t>
      </w:r>
      <w:proofErr w:type="spellEnd"/>
    </w:p>
    <w:p w:rsidR="001A5ED8" w:rsidRPr="001A5ED8" w:rsidRDefault="001A5ED8" w:rsidP="004704D9">
      <w:pPr>
        <w:pStyle w:val="ListBullet"/>
      </w:pPr>
      <w:r w:rsidRPr="001A5ED8">
        <w:t xml:space="preserve">treatment of adult patients with </w:t>
      </w:r>
      <w:proofErr w:type="spellStart"/>
      <w:r w:rsidRPr="001A5ED8">
        <w:t>myelodysplastic</w:t>
      </w:r>
      <w:proofErr w:type="spellEnd"/>
      <w:r w:rsidRPr="001A5ED8">
        <w:t>/</w:t>
      </w:r>
      <w:proofErr w:type="spellStart"/>
      <w:r w:rsidRPr="001A5ED8">
        <w:t>myeloproliferative</w:t>
      </w:r>
      <w:proofErr w:type="spellEnd"/>
      <w:r w:rsidRPr="001A5ED8">
        <w:t xml:space="preserve"> diseases (MDS/MPD) associated with platelet-derived growth factor receptor (PDGFR) gene re-arrangements, where conventional ther</w:t>
      </w:r>
      <w:r w:rsidR="004704D9">
        <w:t>apies have failed</w:t>
      </w:r>
    </w:p>
    <w:p w:rsidR="001A5ED8" w:rsidRPr="001A5ED8" w:rsidRDefault="001A5ED8" w:rsidP="00CC04DE">
      <w:pPr>
        <w:pStyle w:val="ListBullet"/>
      </w:pPr>
      <w:r w:rsidRPr="001A5ED8">
        <w:t xml:space="preserve">treatment of adult patients with aggressive systemic </w:t>
      </w:r>
      <w:proofErr w:type="spellStart"/>
      <w:r w:rsidRPr="001A5ED8">
        <w:t>mastocytosis</w:t>
      </w:r>
      <w:proofErr w:type="spellEnd"/>
      <w:r w:rsidRPr="001A5ED8">
        <w:t xml:space="preserve"> (ASM), where con</w:t>
      </w:r>
      <w:r w:rsidR="004704D9">
        <w:t>ventional therapies have failed</w:t>
      </w:r>
    </w:p>
    <w:p w:rsidR="001A5ED8" w:rsidRPr="001A5ED8" w:rsidRDefault="001A5ED8" w:rsidP="00CC04DE">
      <w:pPr>
        <w:pStyle w:val="ListBullet"/>
      </w:pPr>
      <w:r w:rsidRPr="001A5ED8">
        <w:t xml:space="preserve">treatment of adult patients with </w:t>
      </w:r>
      <w:proofErr w:type="spellStart"/>
      <w:r w:rsidRPr="001A5ED8">
        <w:t>hypereosinophilic</w:t>
      </w:r>
      <w:proofErr w:type="spellEnd"/>
      <w:r w:rsidRPr="001A5ED8">
        <w:t xml:space="preserve"> syndrome (HES) and/or chron</w:t>
      </w:r>
      <w:r w:rsidR="004704D9">
        <w:t xml:space="preserve">ic </w:t>
      </w:r>
      <w:proofErr w:type="spellStart"/>
      <w:r w:rsidR="004704D9">
        <w:t>eosinophilic</w:t>
      </w:r>
      <w:proofErr w:type="spellEnd"/>
      <w:r w:rsidR="004704D9">
        <w:t xml:space="preserve"> leukaemia (CEL)</w:t>
      </w:r>
    </w:p>
    <w:p w:rsidR="001A5ED8" w:rsidRPr="001A5ED8" w:rsidRDefault="001A5ED8" w:rsidP="00CC04DE">
      <w:pPr>
        <w:pStyle w:val="ListBullet"/>
      </w:pPr>
      <w:r w:rsidRPr="001A5ED8">
        <w:t xml:space="preserve">treatment of </w:t>
      </w:r>
      <w:r w:rsidRPr="00CC04DE">
        <w:t>patients</w:t>
      </w:r>
      <w:r w:rsidRPr="001A5ED8">
        <w:t xml:space="preserve"> with Kit (CD117) positive </w:t>
      </w:r>
      <w:proofErr w:type="spellStart"/>
      <w:r w:rsidRPr="001A5ED8">
        <w:t>unresectable</w:t>
      </w:r>
      <w:proofErr w:type="spellEnd"/>
      <w:r w:rsidRPr="001A5ED8">
        <w:t xml:space="preserve"> and/or metastatic malignant gastroin</w:t>
      </w:r>
      <w:r w:rsidR="004704D9">
        <w:t>testinal stromal tumours (GIST)</w:t>
      </w:r>
    </w:p>
    <w:p w:rsidR="001A5ED8" w:rsidRPr="001A5ED8" w:rsidRDefault="001A5ED8" w:rsidP="00CC04DE">
      <w:pPr>
        <w:pStyle w:val="ListBullet"/>
      </w:pPr>
      <w:r w:rsidRPr="001A5ED8">
        <w:t xml:space="preserve">adjuvant treatment of adult patients at high risk of recurrence following complete gross resection of KIT (CD117)-positive primary GIST (see </w:t>
      </w:r>
      <w:r w:rsidRPr="006451D0">
        <w:rPr>
          <w:i/>
          <w:iCs/>
        </w:rPr>
        <w:t>Dosage and Administration</w:t>
      </w:r>
      <w:r w:rsidRPr="001A5ED8">
        <w:t xml:space="preserve"> and </w:t>
      </w:r>
      <w:r w:rsidRPr="006451D0">
        <w:rPr>
          <w:i/>
          <w:iCs/>
        </w:rPr>
        <w:t>Clinical Trials</w:t>
      </w:r>
      <w:r w:rsidR="004704D9">
        <w:t>)</w:t>
      </w:r>
    </w:p>
    <w:p w:rsidR="001A5ED8" w:rsidRPr="001A5ED8" w:rsidRDefault="001A5ED8" w:rsidP="00CC04DE">
      <w:pPr>
        <w:pStyle w:val="ListBullet"/>
      </w:pPr>
      <w:proofErr w:type="gramStart"/>
      <w:r w:rsidRPr="001A5ED8">
        <w:t>adult</w:t>
      </w:r>
      <w:proofErr w:type="gramEnd"/>
      <w:r w:rsidRPr="001A5ED8">
        <w:t xml:space="preserve"> patients with </w:t>
      </w:r>
      <w:proofErr w:type="spellStart"/>
      <w:r w:rsidRPr="001A5ED8">
        <w:t>unresectable</w:t>
      </w:r>
      <w:proofErr w:type="spellEnd"/>
      <w:r w:rsidRPr="001A5ED8">
        <w:t xml:space="preserve">, recurrent and/or metastatic </w:t>
      </w:r>
      <w:proofErr w:type="spellStart"/>
      <w:r w:rsidRPr="001A5ED8">
        <w:t>dermatof</w:t>
      </w:r>
      <w:r w:rsidR="004704D9">
        <w:t>ibrosarcoma</w:t>
      </w:r>
      <w:proofErr w:type="spellEnd"/>
      <w:r w:rsidR="004704D9">
        <w:t xml:space="preserve"> </w:t>
      </w:r>
      <w:proofErr w:type="spellStart"/>
      <w:r w:rsidR="004704D9">
        <w:t>protuberans</w:t>
      </w:r>
      <w:proofErr w:type="spellEnd"/>
      <w:r w:rsidR="004704D9">
        <w:t xml:space="preserve"> (DFSP).</w:t>
      </w:r>
    </w:p>
    <w:p w:rsidR="007635CB" w:rsidRPr="004704D9" w:rsidRDefault="00A363CB" w:rsidP="00CC04DE">
      <w:r w:rsidRPr="00A363CB">
        <w:t xml:space="preserve">Use of Glivec for the treatment of patients with newly diagnosed PH+ ALL is already approved in adult patients (see above). </w:t>
      </w:r>
      <w:r w:rsidR="00002EF9">
        <w:t xml:space="preserve">This </w:t>
      </w:r>
      <w:proofErr w:type="spellStart"/>
      <w:r w:rsidR="00002EF9">
        <w:t>AusPAR</w:t>
      </w:r>
      <w:proofErr w:type="spellEnd"/>
      <w:r w:rsidR="00002EF9">
        <w:t xml:space="preserve"> describes the application by </w:t>
      </w:r>
      <w:r w:rsidR="007635CB">
        <w:t xml:space="preserve">Novartis Pharmaceuticals Australia Pty Ltd </w:t>
      </w:r>
      <w:r w:rsidR="00224037">
        <w:t xml:space="preserve">(the sponsor) </w:t>
      </w:r>
      <w:r w:rsidR="00002EF9">
        <w:t xml:space="preserve">to extend the use of Glivec </w:t>
      </w:r>
      <w:r w:rsidR="0009482A">
        <w:t xml:space="preserve">in </w:t>
      </w:r>
      <w:r w:rsidR="00002EF9">
        <w:t xml:space="preserve">the treatment of </w:t>
      </w:r>
      <w:r w:rsidR="00002EF9" w:rsidRPr="00002EF9">
        <w:t xml:space="preserve">Ph+ ALL </w:t>
      </w:r>
      <w:r w:rsidR="00002EF9">
        <w:t xml:space="preserve">to paediatric patients. The proposed additional </w:t>
      </w:r>
      <w:r>
        <w:t>i</w:t>
      </w:r>
      <w:r w:rsidR="004704D9">
        <w:t>ndication is as follows:</w:t>
      </w:r>
    </w:p>
    <w:p w:rsidR="00002EF9" w:rsidRPr="00CC04DE" w:rsidRDefault="007635CB" w:rsidP="00CC04DE">
      <w:pPr>
        <w:ind w:left="720"/>
        <w:rPr>
          <w:i/>
        </w:rPr>
      </w:pPr>
      <w:proofErr w:type="gramStart"/>
      <w:r w:rsidRPr="00CC04DE">
        <w:rPr>
          <w:i/>
        </w:rPr>
        <w:t>treatment</w:t>
      </w:r>
      <w:proofErr w:type="gramEnd"/>
      <w:r w:rsidRPr="00CC04DE">
        <w:rPr>
          <w:i/>
        </w:rPr>
        <w:t xml:space="preserve"> of </w:t>
      </w:r>
      <w:r w:rsidR="00002EF9" w:rsidRPr="00CC04DE">
        <w:rPr>
          <w:i/>
        </w:rPr>
        <w:t xml:space="preserve">paediatric patients with newly diagnosed </w:t>
      </w:r>
      <w:r w:rsidRPr="00CC04DE">
        <w:rPr>
          <w:i/>
        </w:rPr>
        <w:t>Philadelphia chromosome positive acute lymphoblastic leukaemia</w:t>
      </w:r>
      <w:r w:rsidR="00002EF9" w:rsidRPr="00CC04DE">
        <w:rPr>
          <w:i/>
        </w:rPr>
        <w:t xml:space="preserve"> (Ph+ ALL) integrated with chemotherapy</w:t>
      </w:r>
    </w:p>
    <w:p w:rsidR="00A363CB" w:rsidRPr="00A363CB" w:rsidRDefault="00A363CB" w:rsidP="00CC04DE">
      <w:r w:rsidRPr="00A363CB">
        <w:t xml:space="preserve">ALL is the most common malignancy in children, accounting for 25% of paediatric cancers. Ph+ ALL is characterised by presence of the Philadelphia chromosome, that is, reciprocal translocation </w:t>
      </w:r>
      <w:proofErr w:type="gramStart"/>
      <w:r w:rsidRPr="00A363CB">
        <w:t>t(</w:t>
      </w:r>
      <w:proofErr w:type="gramEnd"/>
      <w:r w:rsidRPr="00A363CB">
        <w:t>9;22)(q34;q11), resulting in the BCR-ABL fusion gene and expression of the BCR-ABL protein. Ph+ ALL accounts for up to 5% of paediatric ALL.</w:t>
      </w:r>
    </w:p>
    <w:p w:rsidR="007635CB" w:rsidRPr="00002EF9" w:rsidRDefault="00002EF9" w:rsidP="00CC04DE">
      <w:r>
        <w:t>Imatinib (Glivec) f</w:t>
      </w:r>
      <w:r w:rsidRPr="00002EF9">
        <w:t xml:space="preserve">or the </w:t>
      </w:r>
      <w:r w:rsidRPr="00002EF9">
        <w:rPr>
          <w:i/>
          <w:iCs/>
        </w:rPr>
        <w:t>treatment of Philadelphia-positive acute lymphoblastic leukaemia (Ph+ ALL)</w:t>
      </w:r>
      <w:r w:rsidRPr="00002EF9">
        <w:t xml:space="preserve"> </w:t>
      </w:r>
      <w:r>
        <w:t>was designated an Orphan Drug by the TGA in May 2006</w:t>
      </w:r>
      <w:r w:rsidR="004704D9">
        <w:t>.</w:t>
      </w:r>
    </w:p>
    <w:p w:rsidR="008E7846" w:rsidRPr="00CC04DE" w:rsidRDefault="00386150" w:rsidP="00CC04DE">
      <w:pPr>
        <w:pStyle w:val="Heading3"/>
      </w:pPr>
      <w:bookmarkStart w:id="11" w:name="_Toc314842485"/>
      <w:bookmarkStart w:id="12" w:name="_Toc247691504"/>
      <w:bookmarkStart w:id="13" w:name="_Toc382572882"/>
      <w:r>
        <w:t>Regulatory s</w:t>
      </w:r>
      <w:r w:rsidR="008E7846">
        <w:t>tatus</w:t>
      </w:r>
      <w:bookmarkEnd w:id="11"/>
      <w:bookmarkEnd w:id="12"/>
      <w:bookmarkEnd w:id="13"/>
    </w:p>
    <w:p w:rsidR="0000261C" w:rsidRDefault="008E7846" w:rsidP="00CC04DE">
      <w:r>
        <w:t xml:space="preserve">The product received initial </w:t>
      </w:r>
      <w:r w:rsidR="00C532B4">
        <w:t>registration on the Australian Register of Therapeutic Goods (</w:t>
      </w:r>
      <w:r>
        <w:t>ARTG</w:t>
      </w:r>
      <w:r w:rsidR="00C532B4">
        <w:t>)</w:t>
      </w:r>
      <w:r>
        <w:t xml:space="preserve"> on</w:t>
      </w:r>
      <w:r w:rsidR="0000261C">
        <w:t xml:space="preserve"> 13 A</w:t>
      </w:r>
      <w:r w:rsidR="00224037">
        <w:t>ugust</w:t>
      </w:r>
      <w:r w:rsidR="0000261C">
        <w:t xml:space="preserve"> 2001.</w:t>
      </w:r>
    </w:p>
    <w:p w:rsidR="0000261C" w:rsidRDefault="00C532B4" w:rsidP="00CC04DE">
      <w:r>
        <w:t>The overseas status for similar applications at the time the TGA considered this a</w:t>
      </w:r>
      <w:r w:rsidR="004704D9">
        <w:t>pplication is shown in Table 1.</w:t>
      </w:r>
    </w:p>
    <w:p w:rsidR="0000261C" w:rsidRPr="00CC04DE" w:rsidRDefault="0000261C" w:rsidP="00CC04DE">
      <w:pPr>
        <w:pStyle w:val="TableTitle"/>
      </w:pPr>
      <w:r w:rsidRPr="000D1E58">
        <w:t>Table 1: International regulatory status</w:t>
      </w:r>
    </w:p>
    <w:p w:rsidR="0000261C" w:rsidRDefault="0000261C" w:rsidP="00CC04DE">
      <w:r>
        <w:rPr>
          <w:noProof/>
          <w:lang w:eastAsia="en-AU"/>
        </w:rPr>
        <w:drawing>
          <wp:inline distT="0" distB="0" distL="0" distR="0" wp14:anchorId="7EE3151A" wp14:editId="68AD8466">
            <wp:extent cx="5400040" cy="1514816"/>
            <wp:effectExtent l="19050" t="0" r="0" b="0"/>
            <wp:docPr id="2"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0040" cy="1514816"/>
                    </a:xfrm>
                    <a:prstGeom prst="rect">
                      <a:avLst/>
                    </a:prstGeom>
                    <a:noFill/>
                    <a:ln w="9525">
                      <a:noFill/>
                      <a:miter lim="800000"/>
                      <a:headEnd/>
                      <a:tailEnd/>
                    </a:ln>
                  </pic:spPr>
                </pic:pic>
              </a:graphicData>
            </a:graphic>
          </wp:inline>
        </w:drawing>
      </w:r>
      <w:bookmarkStart w:id="14" w:name="_Toc247691505"/>
      <w:bookmarkStart w:id="15" w:name="_Toc314842486"/>
    </w:p>
    <w:p w:rsidR="008E7846" w:rsidRPr="00CC04DE" w:rsidRDefault="008E7846" w:rsidP="00CC04DE">
      <w:pPr>
        <w:pStyle w:val="Heading3"/>
      </w:pPr>
      <w:bookmarkStart w:id="16" w:name="_Toc382572883"/>
      <w:r>
        <w:lastRenderedPageBreak/>
        <w:t>Product Information</w:t>
      </w:r>
      <w:bookmarkEnd w:id="14"/>
      <w:bookmarkEnd w:id="15"/>
      <w:bookmarkEnd w:id="16"/>
    </w:p>
    <w:p w:rsidR="008E7846" w:rsidRDefault="008E7846" w:rsidP="00CC04DE">
      <w:r>
        <w:t xml:space="preserve">The approved Product Information (PI) current at the time this </w:t>
      </w:r>
      <w:proofErr w:type="spellStart"/>
      <w:r>
        <w:t>AusPAR</w:t>
      </w:r>
      <w:proofErr w:type="spellEnd"/>
      <w:r>
        <w:t xml:space="preserve"> was prepared can be found as Attachment 1.</w:t>
      </w:r>
      <w:bookmarkStart w:id="17" w:name="_Toc247691506"/>
      <w:bookmarkStart w:id="18" w:name="_Toc314842487"/>
    </w:p>
    <w:p w:rsidR="008E7846" w:rsidRPr="003602A9" w:rsidRDefault="008E7846" w:rsidP="00CC04DE">
      <w:pPr>
        <w:pStyle w:val="Heading2"/>
      </w:pPr>
      <w:bookmarkStart w:id="19" w:name="_Toc382572884"/>
      <w:r>
        <w:t>II. Quality</w:t>
      </w:r>
      <w:bookmarkEnd w:id="1"/>
      <w:r>
        <w:t xml:space="preserve"> </w:t>
      </w:r>
      <w:r w:rsidRPr="00CC04DE">
        <w:t>findings</w:t>
      </w:r>
      <w:bookmarkEnd w:id="17"/>
      <w:bookmarkEnd w:id="18"/>
      <w:bookmarkEnd w:id="19"/>
    </w:p>
    <w:p w:rsidR="008E7846" w:rsidRDefault="008E7846" w:rsidP="00CC04DE">
      <w:r>
        <w:t>There was no requirement for a quality evaluation in a submission of this type.</w:t>
      </w:r>
    </w:p>
    <w:p w:rsidR="008E7846" w:rsidRDefault="008E7846" w:rsidP="00CC04DE">
      <w:pPr>
        <w:pStyle w:val="Heading2"/>
      </w:pPr>
      <w:bookmarkStart w:id="20" w:name="_Toc196046439"/>
      <w:bookmarkStart w:id="21" w:name="_Toc247691510"/>
      <w:bookmarkStart w:id="22" w:name="_Toc314842494"/>
      <w:bookmarkStart w:id="23" w:name="_Toc382572885"/>
      <w:r>
        <w:t xml:space="preserve">III. </w:t>
      </w:r>
      <w:r w:rsidRPr="00CC04DE">
        <w:t>Nonclinical</w:t>
      </w:r>
      <w:bookmarkEnd w:id="20"/>
      <w:r>
        <w:t xml:space="preserve"> findings</w:t>
      </w:r>
      <w:bookmarkEnd w:id="21"/>
      <w:bookmarkEnd w:id="22"/>
      <w:bookmarkEnd w:id="23"/>
    </w:p>
    <w:p w:rsidR="008E7846" w:rsidRDefault="008E7846" w:rsidP="00CC04DE">
      <w:r>
        <w:t>There was no requirement for a nonclinical evaluation in a submission of this type.</w:t>
      </w:r>
    </w:p>
    <w:p w:rsidR="008E7846" w:rsidRPr="00254787" w:rsidRDefault="008E7846" w:rsidP="00CC04DE">
      <w:pPr>
        <w:pStyle w:val="Heading2"/>
      </w:pPr>
      <w:bookmarkStart w:id="24" w:name="_Toc196046462"/>
      <w:bookmarkStart w:id="25" w:name="_Toc247691516"/>
      <w:bookmarkStart w:id="26" w:name="_Toc314842500"/>
      <w:bookmarkStart w:id="27" w:name="_Toc163441353"/>
      <w:bookmarkStart w:id="28" w:name="_Toc163441348"/>
      <w:bookmarkStart w:id="29" w:name="_Toc382572886"/>
      <w:r>
        <w:t xml:space="preserve">IV. </w:t>
      </w:r>
      <w:r w:rsidRPr="00254787">
        <w:t>Clinical</w:t>
      </w:r>
      <w:bookmarkEnd w:id="24"/>
      <w:r>
        <w:t xml:space="preserve"> </w:t>
      </w:r>
      <w:r w:rsidR="003A7F6C" w:rsidRPr="00CC04DE">
        <w:t>f</w:t>
      </w:r>
      <w:r w:rsidRPr="00CC04DE">
        <w:t>indings</w:t>
      </w:r>
      <w:bookmarkEnd w:id="25"/>
      <w:bookmarkEnd w:id="26"/>
      <w:bookmarkEnd w:id="29"/>
    </w:p>
    <w:p w:rsidR="00C80137" w:rsidRPr="0070761E" w:rsidRDefault="00C80137" w:rsidP="00CC04DE">
      <w:bookmarkStart w:id="30" w:name="_Toc196046463"/>
      <w:r w:rsidRPr="0070761E">
        <w:t>A summary of the clinical findings is presented in this section. Further details of these clinical findings can be found in Attachment 2.</w:t>
      </w:r>
    </w:p>
    <w:p w:rsidR="008E7846" w:rsidRPr="00CC04DE" w:rsidRDefault="008E7846" w:rsidP="00CC04DE">
      <w:pPr>
        <w:pStyle w:val="Heading3"/>
      </w:pPr>
      <w:bookmarkStart w:id="31" w:name="_Toc247691517"/>
      <w:bookmarkStart w:id="32" w:name="_Toc314842501"/>
      <w:bookmarkStart w:id="33" w:name="_Toc382572887"/>
      <w:r w:rsidRPr="00254787">
        <w:t>Introduction</w:t>
      </w:r>
      <w:bookmarkEnd w:id="30"/>
      <w:bookmarkEnd w:id="31"/>
      <w:bookmarkEnd w:id="32"/>
      <w:bookmarkEnd w:id="33"/>
    </w:p>
    <w:p w:rsidR="0070761E" w:rsidRDefault="0070761E" w:rsidP="00CC04DE">
      <w:proofErr w:type="spellStart"/>
      <w:r w:rsidRPr="0070761E">
        <w:t>Imatinib</w:t>
      </w:r>
      <w:proofErr w:type="spellEnd"/>
      <w:r w:rsidRPr="0070761E">
        <w:t xml:space="preserve"> is currently approved in over 110 countries for the treatment of both haematological or malignancies in solid tumours. Imatinib is already approved in a paediatric indication namely Philadelphia chromosome positive chronic </w:t>
      </w:r>
      <w:proofErr w:type="spellStart"/>
      <w:r w:rsidRPr="0070761E">
        <w:t>myelogenous</w:t>
      </w:r>
      <w:proofErr w:type="spellEnd"/>
      <w:r w:rsidRPr="0070761E">
        <w:t xml:space="preserve"> leukaemia (</w:t>
      </w:r>
      <w:proofErr w:type="spellStart"/>
      <w:r w:rsidR="00102FEC">
        <w:t>P</w:t>
      </w:r>
      <w:r w:rsidR="00E8093F">
        <w:t>h</w:t>
      </w:r>
      <w:proofErr w:type="spellEnd"/>
      <w:r w:rsidR="00102FEC">
        <w:t>+</w:t>
      </w:r>
      <w:r w:rsidR="006451D0">
        <w:t xml:space="preserve"> </w:t>
      </w:r>
      <w:r w:rsidRPr="0070761E">
        <w:t>CML) in blast crisis, accelerated phase or chronic phase after failure of Interferon</w:t>
      </w:r>
      <w:r w:rsidR="00102FEC">
        <w:t>/</w:t>
      </w:r>
      <w:r w:rsidRPr="0070761E">
        <w:t>alpha therapy. The recommended dose is 340</w:t>
      </w:r>
      <w:r w:rsidR="0009482A">
        <w:t xml:space="preserve"> </w:t>
      </w:r>
      <w:r w:rsidRPr="0070761E">
        <w:t>mg/m</w:t>
      </w:r>
      <w:r w:rsidRPr="0070761E">
        <w:rPr>
          <w:vertAlign w:val="superscript"/>
        </w:rPr>
        <w:t>2</w:t>
      </w:r>
      <w:r w:rsidRPr="0070761E">
        <w:t xml:space="preserve"> daily. Imatinib is also currently approved in the European Union (EU) for the treatment of adult patients with newly diagnosed P</w:t>
      </w:r>
      <w:r w:rsidR="00E8093F">
        <w:t>h</w:t>
      </w:r>
      <w:r w:rsidR="00102FEC">
        <w:t>+</w:t>
      </w:r>
      <w:r w:rsidR="006451D0">
        <w:t xml:space="preserve"> </w:t>
      </w:r>
      <w:r w:rsidRPr="0070761E">
        <w:t>ALL integrated with chemotherapy at a recommend dose of 600</w:t>
      </w:r>
      <w:r w:rsidR="0009482A">
        <w:t xml:space="preserve"> </w:t>
      </w:r>
      <w:r w:rsidRPr="0070761E">
        <w:t>mg</w:t>
      </w:r>
      <w:r w:rsidR="00102FEC">
        <w:t>/</w:t>
      </w:r>
      <w:r w:rsidRPr="0070761E">
        <w:t xml:space="preserve">day. Imatinib is also approved in the EU and the US for the treatment of adult patients with relapsed or refractory </w:t>
      </w:r>
      <w:proofErr w:type="spellStart"/>
      <w:r w:rsidRPr="0070761E">
        <w:t>Ph</w:t>
      </w:r>
      <w:proofErr w:type="spellEnd"/>
      <w:r w:rsidR="00102FEC">
        <w:t>+</w:t>
      </w:r>
      <w:r w:rsidR="0009482A">
        <w:t xml:space="preserve"> </w:t>
      </w:r>
      <w:r w:rsidR="00102FEC">
        <w:t>A</w:t>
      </w:r>
      <w:r w:rsidR="00DD0993">
        <w:t>LL.</w:t>
      </w:r>
    </w:p>
    <w:p w:rsidR="0070761E" w:rsidRPr="0070761E" w:rsidRDefault="0009482A" w:rsidP="00CC04DE">
      <w:r>
        <w:t>T</w:t>
      </w:r>
      <w:r w:rsidR="0070761E" w:rsidRPr="0070761E">
        <w:t xml:space="preserve">he pivotal </w:t>
      </w:r>
      <w:r w:rsidR="00102FEC">
        <w:t>S</w:t>
      </w:r>
      <w:r w:rsidR="0070761E" w:rsidRPr="0070761E">
        <w:t>tudy ST1571I2301 (</w:t>
      </w:r>
      <w:r w:rsidR="00224037">
        <w:t xml:space="preserve">Study </w:t>
      </w:r>
      <w:r w:rsidR="0070761E" w:rsidRPr="0070761E">
        <w:t xml:space="preserve">2301) is presented as a pivotal study supporting efficacy and safety in the treatment of newly diagnosed ALL </w:t>
      </w:r>
      <w:r w:rsidR="00DB5A6E">
        <w:t xml:space="preserve">in </w:t>
      </w:r>
      <w:r w:rsidR="0070761E" w:rsidRPr="0070761E">
        <w:t xml:space="preserve">very high risk </w:t>
      </w:r>
      <w:r w:rsidR="00224037">
        <w:t xml:space="preserve">(VHR) </w:t>
      </w:r>
      <w:r w:rsidR="0070761E" w:rsidRPr="0070761E">
        <w:t xml:space="preserve">paediatric patients. Also presented as a supportive study, </w:t>
      </w:r>
      <w:r w:rsidR="00102FEC">
        <w:t>S</w:t>
      </w:r>
      <w:r w:rsidR="0070761E" w:rsidRPr="0070761E">
        <w:t>tudy A1T07 was undertaken with newly diagnosed P</w:t>
      </w:r>
      <w:r w:rsidR="00E8093F">
        <w:t>h</w:t>
      </w:r>
      <w:r w:rsidR="00102FEC">
        <w:t>+</w:t>
      </w:r>
      <w:r w:rsidR="006451D0">
        <w:t xml:space="preserve"> </w:t>
      </w:r>
      <w:r w:rsidR="0070761E" w:rsidRPr="0070761E">
        <w:t xml:space="preserve">ALL patients who were both good and poor risk. However because of problems with randomisation and patient accrual the study has been determined as appropriate for assessment for safety </w:t>
      </w:r>
      <w:r w:rsidR="00DD0993">
        <w:t>only in the present submission.</w:t>
      </w:r>
    </w:p>
    <w:p w:rsidR="0070761E" w:rsidRPr="00CC04DE" w:rsidRDefault="0070761E" w:rsidP="00CC04DE">
      <w:pPr>
        <w:pStyle w:val="Heading3"/>
      </w:pPr>
      <w:bookmarkStart w:id="34" w:name="_Toc373825781"/>
      <w:bookmarkStart w:id="35" w:name="_Toc382572888"/>
      <w:r w:rsidRPr="0070761E">
        <w:t>Scope of the clinical dossier</w:t>
      </w:r>
      <w:bookmarkEnd w:id="34"/>
      <w:bookmarkEnd w:id="35"/>
    </w:p>
    <w:p w:rsidR="0070761E" w:rsidRPr="0070761E" w:rsidRDefault="0070761E" w:rsidP="00CC04DE">
      <w:r w:rsidRPr="0070761E">
        <w:t>The submission contained the following clinical information:</w:t>
      </w:r>
    </w:p>
    <w:p w:rsidR="0070761E" w:rsidRPr="0070761E" w:rsidRDefault="00102FEC" w:rsidP="00CC04DE">
      <w:r>
        <w:t>A</w:t>
      </w:r>
      <w:r w:rsidR="0070761E" w:rsidRPr="0070761E">
        <w:t xml:space="preserve"> pooled population </w:t>
      </w:r>
      <w:r>
        <w:t>pharmacokinetic (</w:t>
      </w:r>
      <w:proofErr w:type="spellStart"/>
      <w:r>
        <w:t>Pop</w:t>
      </w:r>
      <w:r w:rsidR="0070761E" w:rsidRPr="0070761E">
        <w:t>PK</w:t>
      </w:r>
      <w:proofErr w:type="spellEnd"/>
      <w:r>
        <w:t xml:space="preserve">) </w:t>
      </w:r>
      <w:r w:rsidR="0070761E" w:rsidRPr="0070761E">
        <w:t>analysis from four studies involving patients with P</w:t>
      </w:r>
      <w:r w:rsidR="000C0DAE">
        <w:t>h</w:t>
      </w:r>
      <w:r>
        <w:t>+</w:t>
      </w:r>
      <w:r w:rsidR="006451D0">
        <w:t xml:space="preserve"> </w:t>
      </w:r>
      <w:r w:rsidR="0070761E" w:rsidRPr="0070761E">
        <w:t>CML, P</w:t>
      </w:r>
      <w:r w:rsidR="000C0DAE">
        <w:t>h</w:t>
      </w:r>
      <w:r>
        <w:t>+</w:t>
      </w:r>
      <w:r w:rsidR="006451D0">
        <w:t xml:space="preserve"> </w:t>
      </w:r>
      <w:r w:rsidR="0070761E" w:rsidRPr="0070761E">
        <w:t xml:space="preserve">ALL and other haematological disorders as indicated in Table </w:t>
      </w:r>
      <w:r w:rsidR="00B03F32">
        <w:t>2</w:t>
      </w:r>
      <w:r w:rsidR="0070761E" w:rsidRPr="0070761E">
        <w:t xml:space="preserve">. Also provided is a physiologically based PK (PBPK) model involving paediatric patients </w:t>
      </w:r>
      <w:r w:rsidR="00BC1242">
        <w:t>f</w:t>
      </w:r>
      <w:r w:rsidR="00DD0993">
        <w:t>rom the ages of 1 to 18 years.</w:t>
      </w:r>
    </w:p>
    <w:p w:rsidR="0070761E" w:rsidRPr="00CC04DE" w:rsidRDefault="0070761E" w:rsidP="00CC04DE">
      <w:pPr>
        <w:pStyle w:val="TableTitle"/>
      </w:pPr>
      <w:r w:rsidRPr="0070761E">
        <w:lastRenderedPageBreak/>
        <w:t xml:space="preserve">Table </w:t>
      </w:r>
      <w:r w:rsidR="00474EAF">
        <w:t>2</w:t>
      </w:r>
      <w:r w:rsidRPr="0070761E">
        <w:t>: Summary of clinical and PK studies and PBPK analyses included in the submission</w:t>
      </w:r>
    </w:p>
    <w:p w:rsidR="0070761E" w:rsidRPr="0070761E" w:rsidRDefault="0070761E" w:rsidP="00CC04DE">
      <w:r w:rsidRPr="0070761E">
        <w:rPr>
          <w:noProof/>
          <w:lang w:eastAsia="en-AU"/>
        </w:rPr>
        <w:drawing>
          <wp:inline distT="0" distB="0" distL="0" distR="0" wp14:anchorId="19774395" wp14:editId="0F687131">
            <wp:extent cx="5400040" cy="2268017"/>
            <wp:effectExtent l="19050" t="0" r="0" b="0"/>
            <wp:docPr id="1" name="Picture 80" descr="Table 2: Summary of clinical and PK studies and PBPK analyses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a:stretch>
                      <a:fillRect/>
                    </a:stretch>
                  </pic:blipFill>
                  <pic:spPr bwMode="auto">
                    <a:xfrm>
                      <a:off x="0" y="0"/>
                      <a:ext cx="5400040" cy="2268017"/>
                    </a:xfrm>
                    <a:prstGeom prst="rect">
                      <a:avLst/>
                    </a:prstGeom>
                    <a:noFill/>
                    <a:ln w="9525">
                      <a:noFill/>
                      <a:miter lim="800000"/>
                      <a:headEnd/>
                      <a:tailEnd/>
                    </a:ln>
                  </pic:spPr>
                </pic:pic>
              </a:graphicData>
            </a:graphic>
          </wp:inline>
        </w:drawing>
      </w:r>
    </w:p>
    <w:p w:rsidR="006451D0" w:rsidRDefault="0070761E" w:rsidP="00CC04DE">
      <w:r w:rsidRPr="0070761E">
        <w:t>The pivotal study for evaluation of efficacy and safety was</w:t>
      </w:r>
      <w:r w:rsidR="00102FEC">
        <w:t xml:space="preserve"> S</w:t>
      </w:r>
      <w:r w:rsidRPr="0070761E">
        <w:t>tudy 2301 in newly diagnosed ALL</w:t>
      </w:r>
      <w:r w:rsidR="00DB5A6E">
        <w:t>,</w:t>
      </w:r>
      <w:r w:rsidRPr="0070761E">
        <w:t xml:space="preserve"> </w:t>
      </w:r>
      <w:r w:rsidR="00F96D85">
        <w:t>VHR</w:t>
      </w:r>
      <w:r w:rsidR="00DD0993">
        <w:t xml:space="preserve"> patients.</w:t>
      </w:r>
    </w:p>
    <w:p w:rsidR="0070761E" w:rsidRPr="0070761E" w:rsidRDefault="0070761E" w:rsidP="00CC04DE">
      <w:r w:rsidRPr="0070761E">
        <w:t xml:space="preserve">Also provided is a supportive </w:t>
      </w:r>
      <w:r w:rsidR="00102FEC">
        <w:t>S</w:t>
      </w:r>
      <w:r w:rsidRPr="0070761E">
        <w:t>tudy A1T07 which was in newly diagnosed P</w:t>
      </w:r>
      <w:r w:rsidR="000C0DAE">
        <w:t>h</w:t>
      </w:r>
      <w:r w:rsidR="00102FEC">
        <w:t>+</w:t>
      </w:r>
      <w:r w:rsidR="006451D0">
        <w:t xml:space="preserve"> </w:t>
      </w:r>
      <w:r w:rsidRPr="0070761E">
        <w:t xml:space="preserve">ALL patients of both good and poor risk. </w:t>
      </w:r>
      <w:r w:rsidR="006451D0">
        <w:t>T</w:t>
      </w:r>
      <w:r w:rsidRPr="0070761E">
        <w:t xml:space="preserve">he data provided in relation to efficacy for the supportive study is extremely limited and </w:t>
      </w:r>
      <w:r w:rsidR="006451D0">
        <w:t xml:space="preserve">was </w:t>
      </w:r>
      <w:r w:rsidRPr="0070761E">
        <w:t>therefore not considered to be satisfactory for evaluation. The safety</w:t>
      </w:r>
      <w:r w:rsidR="00DD0993">
        <w:t xml:space="preserve"> data is considered pertinent.</w:t>
      </w:r>
    </w:p>
    <w:p w:rsidR="0070761E" w:rsidRPr="00CC04DE" w:rsidRDefault="0070761E" w:rsidP="00CC04DE">
      <w:pPr>
        <w:pStyle w:val="Heading4"/>
      </w:pPr>
      <w:bookmarkStart w:id="36" w:name="_Toc373825782"/>
      <w:r w:rsidRPr="0070761E">
        <w:t>Paediatric data</w:t>
      </w:r>
      <w:bookmarkEnd w:id="36"/>
    </w:p>
    <w:p w:rsidR="0070761E" w:rsidRPr="0070761E" w:rsidRDefault="0070761E" w:rsidP="00CC04DE">
      <w:r w:rsidRPr="0070761E">
        <w:t xml:space="preserve">All the data presented in this submission </w:t>
      </w:r>
      <w:r w:rsidR="00B03F32">
        <w:t>is</w:t>
      </w:r>
      <w:r w:rsidRPr="0070761E">
        <w:t xml:space="preserve"> in relation to paediatric patients. This includes all pharmacological analyses together with the data from the pivotal </w:t>
      </w:r>
      <w:r w:rsidR="00102FEC">
        <w:t>S</w:t>
      </w:r>
      <w:r w:rsidRPr="0070761E">
        <w:t>tudy 2301 and various supportive studies.</w:t>
      </w:r>
    </w:p>
    <w:p w:rsidR="0070761E" w:rsidRPr="00DD0993" w:rsidRDefault="0070761E" w:rsidP="00CC04DE">
      <w:pPr>
        <w:pStyle w:val="Heading4"/>
      </w:pPr>
      <w:bookmarkStart w:id="37" w:name="_Toc373825783"/>
      <w:r w:rsidRPr="0070761E">
        <w:t xml:space="preserve">Good clinical </w:t>
      </w:r>
      <w:r w:rsidRPr="00CC04DE">
        <w:t>practice</w:t>
      </w:r>
      <w:bookmarkEnd w:id="37"/>
    </w:p>
    <w:p w:rsidR="0070761E" w:rsidRPr="0070761E" w:rsidRDefault="0070761E" w:rsidP="00CC04DE">
      <w:r w:rsidRPr="0070761E">
        <w:t>All aspects of good clinical practice have been observed in the pivotal study and supportive studies.</w:t>
      </w:r>
    </w:p>
    <w:p w:rsidR="008E7846" w:rsidRPr="00DD0993" w:rsidRDefault="008E7846" w:rsidP="00CC04DE">
      <w:pPr>
        <w:pStyle w:val="Heading3"/>
      </w:pPr>
      <w:bookmarkStart w:id="38" w:name="_Toc196046464"/>
      <w:bookmarkStart w:id="39" w:name="_Toc247691518"/>
      <w:bookmarkStart w:id="40" w:name="_Toc314842502"/>
      <w:bookmarkStart w:id="41" w:name="_Toc382572889"/>
      <w:r w:rsidRPr="00CC04DE">
        <w:t>Pharmacokinetics</w:t>
      </w:r>
      <w:bookmarkEnd w:id="27"/>
      <w:bookmarkEnd w:id="38"/>
      <w:bookmarkEnd w:id="39"/>
      <w:bookmarkEnd w:id="40"/>
      <w:bookmarkEnd w:id="41"/>
    </w:p>
    <w:p w:rsidR="00474EAF" w:rsidRPr="00474EAF" w:rsidRDefault="00474EAF" w:rsidP="00CC04DE">
      <w:pPr>
        <w:pStyle w:val="Heading4"/>
      </w:pPr>
      <w:bookmarkStart w:id="42" w:name="_Ref271017296"/>
      <w:bookmarkStart w:id="43" w:name="_Ref271018924"/>
      <w:bookmarkStart w:id="44" w:name="_Ref271018934"/>
      <w:bookmarkStart w:id="45" w:name="_Toc272414614"/>
      <w:bookmarkStart w:id="46" w:name="_Toc290846238"/>
      <w:bookmarkStart w:id="47" w:name="_Toc338331089"/>
      <w:bookmarkStart w:id="48" w:name="_Toc373395166"/>
      <w:bookmarkStart w:id="49" w:name="_Toc373825785"/>
      <w:r w:rsidRPr="00474EAF">
        <w:t>Studies</w:t>
      </w:r>
      <w:bookmarkEnd w:id="42"/>
      <w:bookmarkEnd w:id="43"/>
      <w:bookmarkEnd w:id="44"/>
      <w:r w:rsidRPr="00474EAF">
        <w:t xml:space="preserve"> providing </w:t>
      </w:r>
      <w:r w:rsidRPr="00DD0993">
        <w:t>pharmacokinetic</w:t>
      </w:r>
      <w:r w:rsidRPr="00474EAF">
        <w:t xml:space="preserve"> data</w:t>
      </w:r>
      <w:bookmarkEnd w:id="45"/>
      <w:bookmarkEnd w:id="46"/>
      <w:bookmarkEnd w:id="47"/>
      <w:bookmarkEnd w:id="48"/>
      <w:bookmarkEnd w:id="49"/>
    </w:p>
    <w:p w:rsidR="00474EAF" w:rsidRPr="00474EAF" w:rsidRDefault="00474EAF" w:rsidP="00CC04DE">
      <w:r w:rsidRPr="00474EAF">
        <w:t xml:space="preserve">The clinical pharmacology of imatinib has previously been extensively described in </w:t>
      </w:r>
      <w:r w:rsidR="00DB5A6E">
        <w:t xml:space="preserve">previous applications for </w:t>
      </w:r>
      <w:r w:rsidRPr="00474EAF">
        <w:t xml:space="preserve">imatinib </w:t>
      </w:r>
      <w:r w:rsidR="00DB5A6E">
        <w:t xml:space="preserve">in </w:t>
      </w:r>
      <w:r w:rsidRPr="00474EAF">
        <w:t xml:space="preserve">newly diagnosed CML in adult and paediatric patients and patients with </w:t>
      </w:r>
      <w:r w:rsidR="006451D0" w:rsidRPr="006451D0">
        <w:t xml:space="preserve">gastrointestinal stromal tumours </w:t>
      </w:r>
      <w:r w:rsidR="006451D0">
        <w:t>(</w:t>
      </w:r>
      <w:r w:rsidR="00B03F32">
        <w:t>GIST</w:t>
      </w:r>
      <w:r w:rsidR="006451D0">
        <w:t>)</w:t>
      </w:r>
      <w:r w:rsidRPr="00474EAF">
        <w:t xml:space="preserve">. </w:t>
      </w:r>
      <w:r w:rsidR="006451D0">
        <w:t>A</w:t>
      </w:r>
      <w:r w:rsidRPr="00474EAF">
        <w:t>n overview of the studies which support the clinical pharmacology of imatinib in the paediatric Ph</w:t>
      </w:r>
      <w:r>
        <w:t>+</w:t>
      </w:r>
      <w:r w:rsidR="006451D0">
        <w:t xml:space="preserve"> </w:t>
      </w:r>
      <w:r w:rsidRPr="00474EAF">
        <w:t>ALL indication</w:t>
      </w:r>
      <w:r w:rsidR="006451D0">
        <w:t xml:space="preserve"> is shown </w:t>
      </w:r>
      <w:r w:rsidRPr="00474EAF">
        <w:t xml:space="preserve">in Table </w:t>
      </w:r>
      <w:r>
        <w:t>3</w:t>
      </w:r>
      <w:r w:rsidR="00DD0993">
        <w:t>.</w:t>
      </w:r>
    </w:p>
    <w:p w:rsidR="009014A2" w:rsidRDefault="00474EAF" w:rsidP="00CC04DE">
      <w:pPr>
        <w:pStyle w:val="TableTitle"/>
      </w:pPr>
      <w:r w:rsidRPr="00474EAF">
        <w:lastRenderedPageBreak/>
        <w:t xml:space="preserve">Table </w:t>
      </w:r>
      <w:r>
        <w:t>3</w:t>
      </w:r>
      <w:r w:rsidRPr="00474EAF">
        <w:t>: Summary of clinical studies included in the previous submission and this submission</w:t>
      </w:r>
    </w:p>
    <w:p w:rsidR="00474EAF" w:rsidRPr="00474EAF" w:rsidRDefault="00474EAF" w:rsidP="00CC04DE">
      <w:r w:rsidRPr="00474EAF">
        <w:rPr>
          <w:noProof/>
          <w:lang w:eastAsia="en-AU"/>
        </w:rPr>
        <w:drawing>
          <wp:inline distT="0" distB="0" distL="0" distR="0" wp14:anchorId="34CB11E9" wp14:editId="6D7AD874">
            <wp:extent cx="5155622" cy="2244323"/>
            <wp:effectExtent l="19050" t="0" r="6928" b="0"/>
            <wp:docPr id="5" name="Picture 77" descr="Table 3: Summary of clinical studies included in the previous submission and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5164124" cy="2248024"/>
                    </a:xfrm>
                    <a:prstGeom prst="rect">
                      <a:avLst/>
                    </a:prstGeom>
                    <a:noFill/>
                    <a:ln w="9525">
                      <a:noFill/>
                      <a:miter lim="800000"/>
                      <a:headEnd/>
                      <a:tailEnd/>
                    </a:ln>
                  </pic:spPr>
                </pic:pic>
              </a:graphicData>
            </a:graphic>
          </wp:inline>
        </w:drawing>
      </w:r>
    </w:p>
    <w:p w:rsidR="006451D0" w:rsidRDefault="00E8093F" w:rsidP="00CC04DE">
      <w:r w:rsidRPr="00E8093F">
        <w:t xml:space="preserve">The </w:t>
      </w:r>
      <w:proofErr w:type="spellStart"/>
      <w:r>
        <w:t>P</w:t>
      </w:r>
      <w:r w:rsidRPr="00E8093F">
        <w:t>op</w:t>
      </w:r>
      <w:r>
        <w:t>PK</w:t>
      </w:r>
      <w:proofErr w:type="spellEnd"/>
      <w:r w:rsidRPr="00E8093F">
        <w:t xml:space="preserve"> analysis was</w:t>
      </w:r>
      <w:r>
        <w:t xml:space="preserve"> </w:t>
      </w:r>
      <w:r w:rsidRPr="00E8093F">
        <w:t>conducted in p</w:t>
      </w:r>
      <w:r>
        <w:t>a</w:t>
      </w:r>
      <w:r w:rsidRPr="00E8093F">
        <w:t>ediatric patients aged 2 to 18 years with h</w:t>
      </w:r>
      <w:r>
        <w:t>a</w:t>
      </w:r>
      <w:r w:rsidRPr="00E8093F">
        <w:t>ematological disorders including</w:t>
      </w:r>
      <w:r>
        <w:t xml:space="preserve"> </w:t>
      </w:r>
      <w:r w:rsidRPr="00E8093F">
        <w:t>CML, P</w:t>
      </w:r>
      <w:r w:rsidR="000C0DAE">
        <w:t>h</w:t>
      </w:r>
      <w:r w:rsidRPr="00E8093F">
        <w:t>+</w:t>
      </w:r>
      <w:r w:rsidR="006451D0">
        <w:t xml:space="preserve"> </w:t>
      </w:r>
      <w:r w:rsidRPr="00E8093F">
        <w:t>ALL, or other</w:t>
      </w:r>
      <w:r w:rsidR="00DB5A6E">
        <w:t xml:space="preserve"> imatinib-</w:t>
      </w:r>
      <w:r w:rsidRPr="00E8093F">
        <w:t>indicated h</w:t>
      </w:r>
      <w:r>
        <w:t>a</w:t>
      </w:r>
      <w:r w:rsidRPr="00E8093F">
        <w:t>ematological disorders in four clinical studies:</w:t>
      </w:r>
      <w:r>
        <w:t xml:space="preserve"> </w:t>
      </w:r>
      <w:r w:rsidRPr="00E8093F">
        <w:t>CSTI571A0103, CSTI57103001, CSTI571A2108, and CSTI571A2110. Since the 100 mg and</w:t>
      </w:r>
      <w:r>
        <w:t xml:space="preserve"> </w:t>
      </w:r>
      <w:r w:rsidRPr="00E8093F">
        <w:t>400 mg tablet formulations were bioequivalent with the 100 mg hard gelatin</w:t>
      </w:r>
      <w:r w:rsidR="000C0DAE">
        <w:t>e</w:t>
      </w:r>
      <w:r w:rsidRPr="00E8093F">
        <w:t xml:space="preserve"> capsule, it is</w:t>
      </w:r>
      <w:r>
        <w:t xml:space="preserve"> </w:t>
      </w:r>
      <w:r w:rsidRPr="00E8093F">
        <w:t xml:space="preserve">appropriate to pool PK data from the above </w:t>
      </w:r>
      <w:r w:rsidR="000C0DAE">
        <w:t>four</w:t>
      </w:r>
      <w:r w:rsidRPr="00E8093F">
        <w:t xml:space="preserve"> studies into a single </w:t>
      </w:r>
      <w:proofErr w:type="spellStart"/>
      <w:r w:rsidR="000C0DAE">
        <w:t>P</w:t>
      </w:r>
      <w:r w:rsidR="009014A2">
        <w:t>opPK</w:t>
      </w:r>
      <w:proofErr w:type="spellEnd"/>
      <w:r w:rsidR="009014A2">
        <w:t xml:space="preserve"> analysis.</w:t>
      </w:r>
    </w:p>
    <w:p w:rsidR="00E8093F" w:rsidRPr="00E8093F" w:rsidRDefault="00E8093F" w:rsidP="00CC04DE">
      <w:r w:rsidRPr="00E8093F">
        <w:t xml:space="preserve">The </w:t>
      </w:r>
      <w:r>
        <w:t>P</w:t>
      </w:r>
      <w:r w:rsidRPr="00E8093F">
        <w:t>BPK</w:t>
      </w:r>
      <w:r>
        <w:t xml:space="preserve"> </w:t>
      </w:r>
      <w:r w:rsidRPr="00E8093F">
        <w:t>model</w:t>
      </w:r>
      <w:r>
        <w:t>l</w:t>
      </w:r>
      <w:r w:rsidRPr="00E8093F">
        <w:t>ing report did not use any clinical data and was based on physiological simulation.</w:t>
      </w:r>
      <w:r>
        <w:t xml:space="preserve"> </w:t>
      </w:r>
      <w:r w:rsidR="000C0DAE">
        <w:t xml:space="preserve">The </w:t>
      </w:r>
      <w:r w:rsidRPr="00E8093F">
        <w:t>PBPK model quantitatively assessed the effect of developmental pharmacology on systemic</w:t>
      </w:r>
      <w:r>
        <w:t xml:space="preserve"> </w:t>
      </w:r>
      <w:r w:rsidRPr="00E8093F">
        <w:t>exposure of imatinib in p</w:t>
      </w:r>
      <w:r>
        <w:t>a</w:t>
      </w:r>
      <w:r w:rsidRPr="00E8093F">
        <w:t>ediatric patients. The objectives of the PBPK mode</w:t>
      </w:r>
      <w:r>
        <w:t>l</w:t>
      </w:r>
      <w:r w:rsidRPr="00E8093F">
        <w:t>ling report were:</w:t>
      </w:r>
    </w:p>
    <w:p w:rsidR="00E8093F" w:rsidRDefault="00E8093F" w:rsidP="00CC04DE">
      <w:pPr>
        <w:pStyle w:val="ListBullet"/>
      </w:pPr>
      <w:r w:rsidRPr="00E8093F">
        <w:t>to predict p</w:t>
      </w:r>
      <w:r w:rsidR="000C0DAE">
        <w:t>a</w:t>
      </w:r>
      <w:r w:rsidRPr="00E8093F">
        <w:t xml:space="preserve">ediatric PK using the PBPK approach based </w:t>
      </w:r>
      <w:r w:rsidRPr="00CC04DE">
        <w:t>on</w:t>
      </w:r>
      <w:r w:rsidRPr="00E8093F">
        <w:t xml:space="preserve"> the imatinib clearance in adult</w:t>
      </w:r>
      <w:r>
        <w:t xml:space="preserve"> </w:t>
      </w:r>
      <w:r w:rsidRPr="00E8093F">
        <w:t xml:space="preserve">population, then compare the results with the </w:t>
      </w:r>
      <w:r w:rsidR="009014A2">
        <w:t>experimentally observed values;</w:t>
      </w:r>
    </w:p>
    <w:p w:rsidR="00E8093F" w:rsidRDefault="00E8093F" w:rsidP="00CC04DE">
      <w:pPr>
        <w:pStyle w:val="ListBullet"/>
      </w:pPr>
      <w:r w:rsidRPr="00E8093F">
        <w:t>to predict</w:t>
      </w:r>
      <w:r>
        <w:t xml:space="preserve"> </w:t>
      </w:r>
      <w:r w:rsidRPr="00E8093F">
        <w:t xml:space="preserve">imatinib plasma concentration-time profiles in plasma and tissue in </w:t>
      </w:r>
      <w:r w:rsidR="000C0DAE">
        <w:t>pa</w:t>
      </w:r>
      <w:r w:rsidRPr="00E8093F">
        <w:t>ediatric subjects, and to</w:t>
      </w:r>
      <w:r>
        <w:t xml:space="preserve"> </w:t>
      </w:r>
      <w:r w:rsidRPr="00E8093F">
        <w:t>assess the effect of p</w:t>
      </w:r>
      <w:r w:rsidR="000C0DAE">
        <w:t>a</w:t>
      </w:r>
      <w:r w:rsidRPr="00E8093F">
        <w:t xml:space="preserve">ediatric growth processes </w:t>
      </w:r>
      <w:r w:rsidR="009014A2">
        <w:t>using the PBPK model developed;</w:t>
      </w:r>
    </w:p>
    <w:p w:rsidR="00E8093F" w:rsidRDefault="00E8093F" w:rsidP="00CC04DE">
      <w:pPr>
        <w:pStyle w:val="ListBullet"/>
      </w:pPr>
      <w:proofErr w:type="gramStart"/>
      <w:r w:rsidRPr="00E8093F">
        <w:t>to</w:t>
      </w:r>
      <w:proofErr w:type="gramEnd"/>
      <w:r>
        <w:t xml:space="preserve"> </w:t>
      </w:r>
      <w:r w:rsidRPr="00E8093F">
        <w:t xml:space="preserve">evaluate factors </w:t>
      </w:r>
      <w:r w:rsidRPr="009014A2">
        <w:t>influencing</w:t>
      </w:r>
      <w:r w:rsidRPr="00E8093F">
        <w:t xml:space="preserve"> imatinib exposure in </w:t>
      </w:r>
      <w:r w:rsidRPr="00CC04DE">
        <w:t>p</w:t>
      </w:r>
      <w:r w:rsidR="000C0DAE" w:rsidRPr="00CC04DE">
        <w:t>a</w:t>
      </w:r>
      <w:r w:rsidRPr="00CC04DE">
        <w:t>ediatric</w:t>
      </w:r>
      <w:r w:rsidRPr="00E8093F">
        <w:t xml:space="preserve"> patients, with particular attention to</w:t>
      </w:r>
      <w:r>
        <w:t xml:space="preserve"> </w:t>
      </w:r>
      <w:r w:rsidRPr="00E8093F">
        <w:t>children in the age range of 1-2 years.</w:t>
      </w:r>
    </w:p>
    <w:p w:rsidR="000C0DAE" w:rsidRPr="00CC04DE" w:rsidRDefault="000C0DAE" w:rsidP="00CC04DE">
      <w:pPr>
        <w:pStyle w:val="Heading5"/>
      </w:pPr>
      <w:bookmarkStart w:id="50" w:name="_Toc373395167"/>
      <w:bookmarkStart w:id="51" w:name="_Toc373825786"/>
      <w:r w:rsidRPr="00FC19B4">
        <w:t xml:space="preserve">Pooled population </w:t>
      </w:r>
      <w:r w:rsidRPr="009014A2">
        <w:t>pharmacokinetic</w:t>
      </w:r>
      <w:r w:rsidRPr="00FC19B4">
        <w:t xml:space="preserve"> modelling report:</w:t>
      </w:r>
      <w:bookmarkEnd w:id="50"/>
      <w:bookmarkEnd w:id="51"/>
    </w:p>
    <w:p w:rsidR="000C0DAE" w:rsidRPr="00FC19B4" w:rsidRDefault="000C0DAE" w:rsidP="00CC04DE">
      <w:r w:rsidRPr="00FC19B4">
        <w:t xml:space="preserve">Clearance of </w:t>
      </w:r>
      <w:proofErr w:type="spellStart"/>
      <w:r w:rsidRPr="00FC19B4">
        <w:t>imatinib</w:t>
      </w:r>
      <w:proofErr w:type="spellEnd"/>
      <w:r w:rsidRPr="00FC19B4">
        <w:t xml:space="preserve"> was found to increase with increasing </w:t>
      </w:r>
      <w:r w:rsidR="00FC19B4" w:rsidRPr="00FC19B4">
        <w:t>body surface area (</w:t>
      </w:r>
      <w:r w:rsidRPr="00FC19B4">
        <w:t>BSA</w:t>
      </w:r>
      <w:r w:rsidR="00FC19B4" w:rsidRPr="00FC19B4">
        <w:t>)</w:t>
      </w:r>
      <w:r w:rsidRPr="00FC19B4">
        <w:t xml:space="preserve"> supporting a BSA based dosing scheme for imatinib in paediatric patients. The various cohorts analysed did not have clinically significant effects after correcting for BSA effects. This model corresponds well with the observed data when compared to an adult model and shows that the final model is able to successfully extrapolate to younger children between the ages of 2 and 4 years as well as adults. It is therefore reasonable to conclude that the current dosing schemes of 260</w:t>
      </w:r>
      <w:r w:rsidR="006451D0">
        <w:t xml:space="preserve"> </w:t>
      </w:r>
      <w:r w:rsidRPr="00FC19B4">
        <w:t>mg/m</w:t>
      </w:r>
      <w:r w:rsidRPr="006451D0">
        <w:rPr>
          <w:vertAlign w:val="superscript"/>
        </w:rPr>
        <w:t>2</w:t>
      </w:r>
      <w:r w:rsidRPr="00FC19B4">
        <w:t xml:space="preserve"> or 340</w:t>
      </w:r>
      <w:r w:rsidR="006451D0">
        <w:t xml:space="preserve"> </w:t>
      </w:r>
      <w:r w:rsidRPr="00FC19B4">
        <w:t>mg/m</w:t>
      </w:r>
      <w:r w:rsidRPr="006451D0">
        <w:rPr>
          <w:vertAlign w:val="superscript"/>
        </w:rPr>
        <w:t>2</w:t>
      </w:r>
      <w:r w:rsidRPr="00FC19B4">
        <w:t>, not to exceed 400</w:t>
      </w:r>
      <w:r w:rsidR="006451D0">
        <w:t xml:space="preserve"> </w:t>
      </w:r>
      <w:r w:rsidRPr="00FC19B4">
        <w:t>mg or 600</w:t>
      </w:r>
      <w:r w:rsidR="006451D0">
        <w:t xml:space="preserve"> </w:t>
      </w:r>
      <w:r w:rsidRPr="00FC19B4">
        <w:t xml:space="preserve">mg, respectively, are applicable for </w:t>
      </w:r>
      <w:r w:rsidR="009014A2">
        <w:t>patients aged 1 year or older.</w:t>
      </w:r>
    </w:p>
    <w:p w:rsidR="00FC19B4" w:rsidRPr="00CC04DE" w:rsidRDefault="00976082" w:rsidP="00CC04DE">
      <w:pPr>
        <w:pStyle w:val="Heading5"/>
      </w:pPr>
      <w:bookmarkStart w:id="52" w:name="_Toc373395168"/>
      <w:bookmarkStart w:id="53" w:name="_Toc373825787"/>
      <w:r>
        <w:t>P</w:t>
      </w:r>
      <w:r w:rsidRPr="00976082">
        <w:t>hysiologically</w:t>
      </w:r>
      <w:r w:rsidR="00FC19B4">
        <w:t xml:space="preserve"> </w:t>
      </w:r>
      <w:r w:rsidR="00FC19B4" w:rsidRPr="00FC19B4">
        <w:t>based PK model</w:t>
      </w:r>
      <w:r w:rsidR="00FC19B4">
        <w:t>l</w:t>
      </w:r>
      <w:r w:rsidR="00FC19B4" w:rsidRPr="00FC19B4">
        <w:t>ing</w:t>
      </w:r>
      <w:bookmarkEnd w:id="52"/>
      <w:bookmarkEnd w:id="53"/>
      <w:r w:rsidR="00FC19B4" w:rsidRPr="00FC19B4">
        <w:t xml:space="preserve"> report</w:t>
      </w:r>
    </w:p>
    <w:p w:rsidR="00FC19B4" w:rsidRPr="00FC19B4" w:rsidRDefault="00FC19B4" w:rsidP="00CC04DE">
      <w:r w:rsidRPr="00FC19B4">
        <w:t>The projection of paediatric exposure to imatinib using a PBPK model was generally in good agreement with the actual measured PK exposure values in a limited number of paediatric patients ranging from age 2 to 18 years. Incorporation of the PK parameters and maturation processes within the model gave reasonable description of imatinib PK in p</w:t>
      </w:r>
      <w:r>
        <w:t xml:space="preserve">aediatrics from 2 to 18 years. </w:t>
      </w:r>
      <w:r w:rsidRPr="00FC19B4">
        <w:t xml:space="preserve">The exposure for a </w:t>
      </w:r>
      <w:r>
        <w:t>1</w:t>
      </w:r>
      <w:r w:rsidRPr="00FC19B4">
        <w:t xml:space="preserve"> year subject is likely to be over predicted using the PBPK model based on some bias seen in predictions for age</w:t>
      </w:r>
      <w:r>
        <w:t>s</w:t>
      </w:r>
      <w:r w:rsidRPr="00FC19B4">
        <w:t xml:space="preserve"> 2 and 3 </w:t>
      </w:r>
      <w:r w:rsidRPr="00FC19B4">
        <w:lastRenderedPageBreak/>
        <w:t>years. No major exposure–related safety concerns would be expected in dos</w:t>
      </w:r>
      <w:r w:rsidR="009014A2">
        <w:t>ing if dosed according to BSA.</w:t>
      </w:r>
    </w:p>
    <w:p w:rsidR="00FC19B4" w:rsidRPr="00CC04DE" w:rsidRDefault="00FC19B4" w:rsidP="00CC04DE">
      <w:pPr>
        <w:pStyle w:val="Heading5"/>
      </w:pPr>
      <w:bookmarkStart w:id="54" w:name="_Toc373395169"/>
      <w:bookmarkStart w:id="55" w:name="_Toc373825788"/>
      <w:r w:rsidRPr="00FC19B4">
        <w:rPr>
          <w:lang w:val="en-US"/>
        </w:rPr>
        <w:t>Study A2110</w:t>
      </w:r>
      <w:bookmarkEnd w:id="54"/>
      <w:bookmarkEnd w:id="55"/>
    </w:p>
    <w:p w:rsidR="00FC19B4" w:rsidRPr="00FC19B4" w:rsidRDefault="00FC19B4" w:rsidP="00CC04DE">
      <w:r w:rsidRPr="00FC19B4">
        <w:t xml:space="preserve">The </w:t>
      </w:r>
      <w:r w:rsidR="005551A9">
        <w:t>minimum concentration (</w:t>
      </w:r>
      <w:proofErr w:type="spellStart"/>
      <w:r w:rsidRPr="00FC19B4">
        <w:t>Cmin</w:t>
      </w:r>
      <w:proofErr w:type="spellEnd"/>
      <w:r w:rsidR="005551A9">
        <w:t>)</w:t>
      </w:r>
      <w:r w:rsidRPr="00FC19B4">
        <w:t xml:space="preserve"> values from this study in the three paediatric patients were consistent with simulated values from the </w:t>
      </w:r>
      <w:proofErr w:type="spellStart"/>
      <w:r w:rsidR="005551A9">
        <w:t>PopP</w:t>
      </w:r>
      <w:r w:rsidR="009014A2">
        <w:t>K</w:t>
      </w:r>
      <w:proofErr w:type="spellEnd"/>
      <w:r w:rsidR="009014A2">
        <w:t xml:space="preserve"> model.</w:t>
      </w:r>
    </w:p>
    <w:p w:rsidR="008E7846" w:rsidRPr="009014A2" w:rsidRDefault="008E7846" w:rsidP="00CC04DE">
      <w:pPr>
        <w:pStyle w:val="Heading3"/>
      </w:pPr>
      <w:bookmarkStart w:id="56" w:name="_Toc196046481"/>
      <w:bookmarkStart w:id="57" w:name="_Toc247691520"/>
      <w:bookmarkStart w:id="58" w:name="_Toc314842503"/>
      <w:bookmarkStart w:id="59" w:name="_Toc382572890"/>
      <w:r w:rsidRPr="00CC04DE">
        <w:t>Pharmacodynamics</w:t>
      </w:r>
      <w:bookmarkEnd w:id="28"/>
      <w:bookmarkEnd w:id="56"/>
      <w:bookmarkEnd w:id="57"/>
      <w:bookmarkEnd w:id="58"/>
      <w:bookmarkEnd w:id="59"/>
    </w:p>
    <w:p w:rsidR="007C5D6E" w:rsidRPr="009014A2" w:rsidRDefault="007C5D6E" w:rsidP="00CC04DE">
      <w:pPr>
        <w:pStyle w:val="Heading4"/>
      </w:pPr>
      <w:bookmarkStart w:id="60" w:name="_Toc373395171"/>
      <w:bookmarkStart w:id="61" w:name="_Toc338331107"/>
      <w:bookmarkStart w:id="62" w:name="_Toc290846260"/>
      <w:bookmarkStart w:id="63" w:name="_Toc272414637"/>
      <w:bookmarkStart w:id="64" w:name="_Toc373825790"/>
      <w:bookmarkStart w:id="65" w:name="_Toc163441372"/>
      <w:bookmarkStart w:id="66" w:name="_Toc196046485"/>
      <w:bookmarkStart w:id="67" w:name="_Toc247691521"/>
      <w:bookmarkStart w:id="68" w:name="_Toc314842504"/>
      <w:r w:rsidRPr="007C5D6E">
        <w:t xml:space="preserve">Studies </w:t>
      </w:r>
      <w:r w:rsidRPr="00CC04DE">
        <w:t>providing</w:t>
      </w:r>
      <w:r w:rsidRPr="007C5D6E">
        <w:t xml:space="preserve"> </w:t>
      </w:r>
      <w:proofErr w:type="spellStart"/>
      <w:r w:rsidRPr="007C5D6E">
        <w:t>pharmacodynamic</w:t>
      </w:r>
      <w:proofErr w:type="spellEnd"/>
      <w:r w:rsidRPr="007C5D6E">
        <w:t xml:space="preserve"> data</w:t>
      </w:r>
      <w:bookmarkEnd w:id="60"/>
      <w:bookmarkEnd w:id="61"/>
      <w:bookmarkEnd w:id="62"/>
      <w:bookmarkEnd w:id="63"/>
      <w:bookmarkEnd w:id="64"/>
    </w:p>
    <w:p w:rsidR="007C5D6E" w:rsidRDefault="007C5D6E" w:rsidP="00CC04DE">
      <w:r w:rsidRPr="007C5D6E">
        <w:t xml:space="preserve">No new </w:t>
      </w:r>
      <w:proofErr w:type="spellStart"/>
      <w:r w:rsidRPr="007C5D6E">
        <w:t>pharmacodynamic</w:t>
      </w:r>
      <w:proofErr w:type="spellEnd"/>
      <w:r w:rsidRPr="007C5D6E">
        <w:t xml:space="preserve"> data in relation to paediatric patients was undertaken or</w:t>
      </w:r>
      <w:r w:rsidR="009014A2">
        <w:t xml:space="preserve"> determined in this evaluation.</w:t>
      </w:r>
    </w:p>
    <w:p w:rsidR="007C5D6E" w:rsidRPr="007C5D6E" w:rsidRDefault="007C5D6E" w:rsidP="00CC04DE">
      <w:pPr>
        <w:pStyle w:val="Heading3"/>
      </w:pPr>
      <w:bookmarkStart w:id="69" w:name="_Toc373825791"/>
      <w:bookmarkStart w:id="70" w:name="_Toc382572891"/>
      <w:r w:rsidRPr="007C5D6E">
        <w:t xml:space="preserve">Dosage </w:t>
      </w:r>
      <w:r w:rsidRPr="00CC04DE">
        <w:t>selection</w:t>
      </w:r>
      <w:r w:rsidRPr="007C5D6E">
        <w:t xml:space="preserve"> for the </w:t>
      </w:r>
      <w:r w:rsidRPr="009014A2">
        <w:t>pivotal</w:t>
      </w:r>
      <w:r w:rsidRPr="007C5D6E">
        <w:t xml:space="preserve"> studies</w:t>
      </w:r>
      <w:bookmarkEnd w:id="69"/>
      <w:bookmarkEnd w:id="70"/>
    </w:p>
    <w:p w:rsidR="007C5D6E" w:rsidRPr="007C5D6E" w:rsidRDefault="007C5D6E" w:rsidP="00CC04DE">
      <w:r w:rsidRPr="007C5D6E">
        <w:t xml:space="preserve">No specific dose finding data was performed in the </w:t>
      </w:r>
      <w:r w:rsidR="00377778">
        <w:t>Ph+ ALL</w:t>
      </w:r>
      <w:r w:rsidRPr="007C5D6E">
        <w:t xml:space="preserve"> setting. The choice of once daily dosing with imatinib 340</w:t>
      </w:r>
      <w:r w:rsidR="00377778">
        <w:t xml:space="preserve"> </w:t>
      </w:r>
      <w:r w:rsidRPr="007C5D6E">
        <w:t>mg/m</w:t>
      </w:r>
      <w:r w:rsidRPr="007C5D6E">
        <w:rPr>
          <w:vertAlign w:val="superscript"/>
        </w:rPr>
        <w:t>2</w:t>
      </w:r>
      <w:r w:rsidRPr="007C5D6E">
        <w:t xml:space="preserve"> for the pivotal study was based on the results of a </w:t>
      </w:r>
      <w:r>
        <w:t>Central On</w:t>
      </w:r>
      <w:r w:rsidRPr="007C5D6E">
        <w:t xml:space="preserve">cology </w:t>
      </w:r>
      <w:r>
        <w:t>G</w:t>
      </w:r>
      <w:r w:rsidRPr="007C5D6E">
        <w:t xml:space="preserve">roup </w:t>
      </w:r>
      <w:r>
        <w:t>(</w:t>
      </w:r>
      <w:r w:rsidRPr="007C5D6E">
        <w:t>COG</w:t>
      </w:r>
      <w:r>
        <w:t>)</w:t>
      </w:r>
      <w:r w:rsidRPr="007C5D6E">
        <w:t xml:space="preserve"> paediatric </w:t>
      </w:r>
      <w:r>
        <w:t>P</w:t>
      </w:r>
      <w:r w:rsidRPr="007C5D6E">
        <w:t xml:space="preserve">hase </w:t>
      </w:r>
      <w:r>
        <w:t>I</w:t>
      </w:r>
      <w:r w:rsidRPr="007C5D6E">
        <w:t xml:space="preserve"> study in P</w:t>
      </w:r>
      <w:r>
        <w:t>h+</w:t>
      </w:r>
      <w:r w:rsidRPr="007C5D6E">
        <w:t xml:space="preserve"> leukaemia which included 14 chronic phase CML patients, seven </w:t>
      </w:r>
      <w:r>
        <w:t>acute myeloid leukaemia (</w:t>
      </w:r>
      <w:r w:rsidRPr="007C5D6E">
        <w:t>AML</w:t>
      </w:r>
      <w:r>
        <w:t>)</w:t>
      </w:r>
      <w:r w:rsidRPr="007C5D6E">
        <w:t xml:space="preserve"> patients and 10 ALL patients. Among the 10 ALL patients </w:t>
      </w:r>
      <w:r>
        <w:t>seven</w:t>
      </w:r>
      <w:r w:rsidRPr="007C5D6E">
        <w:t xml:space="preserve"> achieved an M1</w:t>
      </w:r>
      <w:r w:rsidR="00B12C50">
        <w:rPr>
          <w:rStyle w:val="FootnoteReference"/>
        </w:rPr>
        <w:footnoteReference w:id="1"/>
      </w:r>
      <w:r w:rsidRPr="007C5D6E">
        <w:t xml:space="preserve"> marrow response and one achieved an M2 marrow response with the recommended dose. P</w:t>
      </w:r>
      <w:r w:rsidR="00242067">
        <w:t>K</w:t>
      </w:r>
      <w:r w:rsidRPr="007C5D6E">
        <w:t xml:space="preserve"> analyses showed that the doses of 260</w:t>
      </w:r>
      <w:r w:rsidR="00377778">
        <w:t xml:space="preserve"> </w:t>
      </w:r>
      <w:r w:rsidRPr="007C5D6E">
        <w:t>mg and 340</w:t>
      </w:r>
      <w:r w:rsidR="00377778">
        <w:t xml:space="preserve"> </w:t>
      </w:r>
      <w:r w:rsidRPr="007C5D6E">
        <w:t>mg/m</w:t>
      </w:r>
      <w:r w:rsidRPr="007C5D6E">
        <w:rPr>
          <w:vertAlign w:val="superscript"/>
        </w:rPr>
        <w:t>2</w:t>
      </w:r>
      <w:r w:rsidRPr="007C5D6E">
        <w:t xml:space="preserve"> had exposures similar to those observed in adults treated daily at 400</w:t>
      </w:r>
      <w:r w:rsidR="00377778">
        <w:t xml:space="preserve"> </w:t>
      </w:r>
      <w:r w:rsidRPr="007C5D6E">
        <w:t>mg and 600</w:t>
      </w:r>
      <w:r w:rsidR="00377778">
        <w:t xml:space="preserve"> </w:t>
      </w:r>
      <w:r w:rsidRPr="007C5D6E">
        <w:t>mg. The study also showed that daily oral imatinib was well tolerated in children at doses ranging from 260 to 570</w:t>
      </w:r>
      <w:r w:rsidR="00377778">
        <w:t xml:space="preserve"> </w:t>
      </w:r>
      <w:r w:rsidRPr="007C5D6E">
        <w:t>mg/m</w:t>
      </w:r>
      <w:r w:rsidRPr="007C5D6E">
        <w:rPr>
          <w:vertAlign w:val="superscript"/>
        </w:rPr>
        <w:t>2</w:t>
      </w:r>
      <w:r w:rsidRPr="007C5D6E">
        <w:t>. An intermediate dose of 340</w:t>
      </w:r>
      <w:r w:rsidR="00377778">
        <w:t xml:space="preserve"> </w:t>
      </w:r>
      <w:r w:rsidRPr="007C5D6E">
        <w:t>mg/m</w:t>
      </w:r>
      <w:r w:rsidRPr="007C5D6E">
        <w:rPr>
          <w:vertAlign w:val="superscript"/>
        </w:rPr>
        <w:t>2</w:t>
      </w:r>
      <w:r w:rsidRPr="007C5D6E">
        <w:t xml:space="preserve"> was the</w:t>
      </w:r>
      <w:r>
        <w:t>refore adopted for the pivotal S</w:t>
      </w:r>
      <w:r w:rsidR="009014A2">
        <w:t>tudy 2301.</w:t>
      </w:r>
    </w:p>
    <w:p w:rsidR="007C5D6E" w:rsidRPr="007C5D6E" w:rsidRDefault="007C5D6E" w:rsidP="00CC04DE">
      <w:r w:rsidRPr="007C5D6E">
        <w:t xml:space="preserve">It was also noted that from the </w:t>
      </w:r>
      <w:proofErr w:type="spellStart"/>
      <w:r w:rsidR="00B12C50">
        <w:t>P</w:t>
      </w:r>
      <w:r w:rsidRPr="007C5D6E">
        <w:t>opPK</w:t>
      </w:r>
      <w:proofErr w:type="spellEnd"/>
      <w:r w:rsidRPr="007C5D6E">
        <w:t xml:space="preserve"> modelling</w:t>
      </w:r>
      <w:r w:rsidR="00B12C50">
        <w:t>,</w:t>
      </w:r>
      <w:r w:rsidRPr="007C5D6E">
        <w:t xml:space="preserve"> the model based simulation of various dosing schemes confirmed that the exposure of imatinib in paediatric patients receiving 260</w:t>
      </w:r>
      <w:r w:rsidR="00377778">
        <w:t xml:space="preserve"> </w:t>
      </w:r>
      <w:r w:rsidRPr="007C5D6E">
        <w:t>mg/m</w:t>
      </w:r>
      <w:r w:rsidRPr="007C5D6E">
        <w:rPr>
          <w:vertAlign w:val="superscript"/>
        </w:rPr>
        <w:t>2</w:t>
      </w:r>
      <w:r w:rsidRPr="007C5D6E">
        <w:t xml:space="preserve"> not exceeding 400</w:t>
      </w:r>
      <w:r w:rsidR="00377778">
        <w:t xml:space="preserve"> </w:t>
      </w:r>
      <w:r w:rsidRPr="007C5D6E">
        <w:t>mg once daily or 340mg/m</w:t>
      </w:r>
      <w:r w:rsidRPr="007C5D6E">
        <w:rPr>
          <w:vertAlign w:val="superscript"/>
        </w:rPr>
        <w:t>2</w:t>
      </w:r>
      <w:r w:rsidRPr="007C5D6E">
        <w:t xml:space="preserve"> once daily not exceeding 600</w:t>
      </w:r>
      <w:r w:rsidR="00377778">
        <w:t xml:space="preserve"> </w:t>
      </w:r>
      <w:r w:rsidRPr="007C5D6E">
        <w:t xml:space="preserve">mg once daily </w:t>
      </w:r>
      <w:r w:rsidR="00DB5A6E">
        <w:t xml:space="preserve">is </w:t>
      </w:r>
      <w:r w:rsidRPr="007C5D6E">
        <w:t>comparable to those in adult patients receiving 400</w:t>
      </w:r>
      <w:r w:rsidR="00377778">
        <w:t xml:space="preserve"> </w:t>
      </w:r>
      <w:r w:rsidRPr="007C5D6E">
        <w:t>mg or 600</w:t>
      </w:r>
      <w:r w:rsidR="00377778">
        <w:t xml:space="preserve"> </w:t>
      </w:r>
      <w:r w:rsidRPr="007C5D6E">
        <w:t>mg once daily</w:t>
      </w:r>
      <w:r w:rsidR="00DB5A6E">
        <w:t>,</w:t>
      </w:r>
      <w:r w:rsidR="009014A2">
        <w:t xml:space="preserve"> respectively.</w:t>
      </w:r>
    </w:p>
    <w:p w:rsidR="008E7846" w:rsidRPr="00CC04DE" w:rsidRDefault="008E7846" w:rsidP="00CC04DE">
      <w:pPr>
        <w:pStyle w:val="Heading3"/>
      </w:pPr>
      <w:bookmarkStart w:id="71" w:name="_Toc382572892"/>
      <w:r w:rsidRPr="00254787">
        <w:t>Efficacy</w:t>
      </w:r>
      <w:bookmarkEnd w:id="65"/>
      <w:bookmarkEnd w:id="66"/>
      <w:bookmarkEnd w:id="67"/>
      <w:bookmarkEnd w:id="68"/>
      <w:bookmarkEnd w:id="71"/>
    </w:p>
    <w:p w:rsidR="00B12C50" w:rsidRPr="00CC04DE" w:rsidRDefault="00B12C50" w:rsidP="00CC04DE">
      <w:pPr>
        <w:pStyle w:val="Heading4"/>
      </w:pPr>
      <w:bookmarkStart w:id="72" w:name="_Toc373825793"/>
      <w:bookmarkStart w:id="73" w:name="_Toc184439992"/>
      <w:bookmarkStart w:id="74" w:name="_Toc184440279"/>
      <w:bookmarkStart w:id="75" w:name="_Toc184444657"/>
      <w:bookmarkStart w:id="76" w:name="_Toc196046487"/>
      <w:r w:rsidRPr="00B12C50">
        <w:t>Studies providing efficacy data</w:t>
      </w:r>
      <w:bookmarkEnd w:id="72"/>
    </w:p>
    <w:p w:rsidR="004B4115" w:rsidRDefault="00B12C50" w:rsidP="00CC04DE">
      <w:r w:rsidRPr="00B12C50">
        <w:t>Th</w:t>
      </w:r>
      <w:r w:rsidR="00242067">
        <w:t xml:space="preserve">e </w:t>
      </w:r>
      <w:r w:rsidRPr="00B12C50">
        <w:t xml:space="preserve">submission </w:t>
      </w:r>
      <w:r w:rsidR="00242067">
        <w:t>was</w:t>
      </w:r>
      <w:r w:rsidRPr="00B12C50">
        <w:t xml:space="preserve"> based on efficacy and safety data from the pivotal </w:t>
      </w:r>
      <w:r>
        <w:t>P</w:t>
      </w:r>
      <w:r w:rsidRPr="00B12C50">
        <w:t xml:space="preserve">hase </w:t>
      </w:r>
      <w:r>
        <w:t>III</w:t>
      </w:r>
      <w:r w:rsidRPr="00B12C50">
        <w:t xml:space="preserve"> </w:t>
      </w:r>
      <w:r>
        <w:t>S</w:t>
      </w:r>
      <w:r w:rsidR="009014A2">
        <w:t>tudy 2301.</w:t>
      </w:r>
    </w:p>
    <w:p w:rsidR="00B12C50" w:rsidRDefault="004B4115" w:rsidP="00CC04DE">
      <w:r>
        <w:t>A</w:t>
      </w:r>
      <w:r w:rsidR="00B12C50" w:rsidRPr="00B12C50">
        <w:t xml:space="preserve"> further </w:t>
      </w:r>
      <w:r w:rsidR="00B12C50">
        <w:t>S</w:t>
      </w:r>
      <w:r w:rsidR="00B12C50" w:rsidRPr="00B12C50">
        <w:t xml:space="preserve">tudy AIT07 (a </w:t>
      </w:r>
      <w:r w:rsidR="00B12C50">
        <w:t>P</w:t>
      </w:r>
      <w:r w:rsidR="00B12C50" w:rsidRPr="00B12C50">
        <w:t>hase</w:t>
      </w:r>
      <w:r w:rsidR="00B12C50">
        <w:t xml:space="preserve"> II</w:t>
      </w:r>
      <w:r>
        <w:t>/</w:t>
      </w:r>
      <w:r w:rsidR="00B12C50">
        <w:t>P</w:t>
      </w:r>
      <w:r w:rsidR="00B12C50" w:rsidRPr="00B12C50">
        <w:t xml:space="preserve">hase </w:t>
      </w:r>
      <w:r w:rsidR="00B12C50">
        <w:t>III</w:t>
      </w:r>
      <w:r w:rsidR="00B12C50" w:rsidRPr="00B12C50">
        <w:t xml:space="preserve"> trial) was a multi-centre study initially designed as an open label randomised study to determine whether the addition of imatinib to standard chemotherapy extended disease free survival (DFS) in paediatric patients with </w:t>
      </w:r>
      <w:r w:rsidR="00377778">
        <w:t>Ph+ ALL</w:t>
      </w:r>
      <w:r w:rsidR="00B12C50" w:rsidRPr="00B12C50">
        <w:t xml:space="preserve">. However after the publication of the results from </w:t>
      </w:r>
      <w:r w:rsidR="00C94D34">
        <w:t>S</w:t>
      </w:r>
      <w:r w:rsidR="00B12C50" w:rsidRPr="00B12C50">
        <w:t xml:space="preserve">tudy 2301 demonstrating a significant benefit of adding imatinib to chemotherapy for paediatric patients of all risk for </w:t>
      </w:r>
      <w:r w:rsidR="00377778">
        <w:t>Ph+ ALL</w:t>
      </w:r>
      <w:r w:rsidR="00B12C50" w:rsidRPr="00B12C50">
        <w:t xml:space="preserve">, the participating groups considered it unacceptable to </w:t>
      </w:r>
      <w:r w:rsidR="00B12C50" w:rsidRPr="00B12C50">
        <w:lastRenderedPageBreak/>
        <w:t xml:space="preserve">randomise patients into chemotherapy only arms. The protocol was therefore amended so that patients received imatinib regardless of risk category. This meant the sample size is inadequate to properly test for the primary efficacy analysis. </w:t>
      </w:r>
      <w:r w:rsidR="00DB5A6E">
        <w:t>T</w:t>
      </w:r>
      <w:r w:rsidR="00242067">
        <w:t xml:space="preserve">he </w:t>
      </w:r>
      <w:r w:rsidR="00B12C50" w:rsidRPr="00B12C50">
        <w:t>sponsor ha</w:t>
      </w:r>
      <w:r w:rsidR="00242067">
        <w:t>s</w:t>
      </w:r>
      <w:r w:rsidR="00B12C50" w:rsidRPr="00B12C50">
        <w:t xml:space="preserve"> not included this study in the efficacy evaluation. Th</w:t>
      </w:r>
      <w:r w:rsidR="00C94D34">
        <w:t>e</w:t>
      </w:r>
      <w:r w:rsidR="00B12C50" w:rsidRPr="00B12C50">
        <w:t xml:space="preserve"> </w:t>
      </w:r>
      <w:r>
        <w:t xml:space="preserve">clinical </w:t>
      </w:r>
      <w:r w:rsidR="00B12C50" w:rsidRPr="00B12C50">
        <w:t>evaluator include</w:t>
      </w:r>
      <w:r w:rsidR="00C94D34">
        <w:t>d</w:t>
      </w:r>
      <w:r w:rsidR="00B12C50" w:rsidRPr="00B12C50">
        <w:t xml:space="preserve"> the efficacy</w:t>
      </w:r>
      <w:r>
        <w:t xml:space="preserve"> data available but accepted</w:t>
      </w:r>
      <w:r w:rsidR="00B12C50" w:rsidRPr="00B12C50">
        <w:t xml:space="preserve"> the fact that it represents very limited value in terms of determining the role of imatinib in the treatment of paediatric patients with </w:t>
      </w:r>
      <w:proofErr w:type="spellStart"/>
      <w:r w:rsidR="00377778">
        <w:t>Ph</w:t>
      </w:r>
      <w:proofErr w:type="spellEnd"/>
      <w:r w:rsidR="00377778">
        <w:t>+ ALL</w:t>
      </w:r>
      <w:r w:rsidR="00E51D40">
        <w:t>.</w:t>
      </w:r>
    </w:p>
    <w:p w:rsidR="00082516" w:rsidRPr="00CC04DE" w:rsidRDefault="00082516" w:rsidP="00CC04DE">
      <w:pPr>
        <w:pStyle w:val="Heading5"/>
      </w:pPr>
      <w:bookmarkStart w:id="77" w:name="_Toc373825794"/>
      <w:r w:rsidRPr="00082516">
        <w:t xml:space="preserve">Pivotal efficacy </w:t>
      </w:r>
      <w:r w:rsidR="00242067">
        <w:t>S</w:t>
      </w:r>
      <w:r w:rsidRPr="00082516">
        <w:t xml:space="preserve">tudy </w:t>
      </w:r>
      <w:r w:rsidR="00242067">
        <w:t>2</w:t>
      </w:r>
      <w:r w:rsidRPr="00082516">
        <w:t>301</w:t>
      </w:r>
      <w:bookmarkEnd w:id="77"/>
    </w:p>
    <w:p w:rsidR="00082516" w:rsidRPr="00082516" w:rsidRDefault="00082516" w:rsidP="00CC04DE">
      <w:r w:rsidRPr="00082516">
        <w:t xml:space="preserve">The pivotal </w:t>
      </w:r>
      <w:r>
        <w:t>S</w:t>
      </w:r>
      <w:r w:rsidRPr="00082516">
        <w:t xml:space="preserve">tudy 2301 was sponsored, designed and conducted by the cooperative group COG. The primary objective of this study was to determine the feasibility of patient equivalent toxicity of an intensified chemotherapy regimen and incorporating novel agents for the treatment of children and young adults with </w:t>
      </w:r>
      <w:r w:rsidR="00F96D85">
        <w:t>VHR</w:t>
      </w:r>
      <w:r w:rsidRPr="00082516">
        <w:t xml:space="preserve"> ALL including </w:t>
      </w:r>
      <w:r w:rsidR="00377778">
        <w:t>Ph+ ALL</w:t>
      </w:r>
      <w:r w:rsidRPr="00082516">
        <w:t xml:space="preserve">. The study consisted of five cohorts each receiving the same intensive chemotherapy regimen back bone post-induction therapy that varied in the integration of imatinib treatment by increasing exposure in five sequential cohorts and is indicated in Table </w:t>
      </w:r>
      <w:r w:rsidR="00242067">
        <w:t>4</w:t>
      </w:r>
      <w:r w:rsidRPr="00082516">
        <w:t>.</w:t>
      </w:r>
    </w:p>
    <w:p w:rsidR="00082516" w:rsidRPr="00082516" w:rsidRDefault="00082516" w:rsidP="00CC04DE">
      <w:pPr>
        <w:pStyle w:val="TableTitle"/>
      </w:pPr>
      <w:r w:rsidRPr="00082516">
        <w:t xml:space="preserve">Table </w:t>
      </w:r>
      <w:r w:rsidR="00900539">
        <w:t>4</w:t>
      </w:r>
      <w:r w:rsidRPr="00082516">
        <w:t xml:space="preserve">: Integration of </w:t>
      </w:r>
      <w:proofErr w:type="spellStart"/>
      <w:r w:rsidRPr="00082516">
        <w:t>imatinib</w:t>
      </w:r>
      <w:proofErr w:type="spellEnd"/>
      <w:r w:rsidRPr="00082516">
        <w:t xml:space="preserve"> into </w:t>
      </w:r>
      <w:r w:rsidRPr="00CC04DE">
        <w:t>successive</w:t>
      </w:r>
      <w:r w:rsidRPr="00082516">
        <w:t xml:space="preserve"> blocks of therapy (STI571I2301)</w:t>
      </w:r>
    </w:p>
    <w:p w:rsidR="00082516" w:rsidRPr="00082516" w:rsidRDefault="00082516" w:rsidP="00CC04DE">
      <w:r w:rsidRPr="00082516">
        <w:rPr>
          <w:noProof/>
          <w:lang w:eastAsia="en-AU"/>
        </w:rPr>
        <w:drawing>
          <wp:inline distT="0" distB="0" distL="0" distR="0" wp14:anchorId="07E23126" wp14:editId="0B84447E">
            <wp:extent cx="5402035" cy="3289173"/>
            <wp:effectExtent l="19050" t="0" r="8165" b="0"/>
            <wp:docPr id="3" name="Picture 1" descr="Table 4: Integration of imatinib into successive blocks of therapy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02812" cy="3289646"/>
                    </a:xfrm>
                    <a:prstGeom prst="rect">
                      <a:avLst/>
                    </a:prstGeom>
                    <a:noFill/>
                    <a:ln w="9525">
                      <a:noFill/>
                      <a:miter lim="800000"/>
                      <a:headEnd/>
                      <a:tailEnd/>
                    </a:ln>
                  </pic:spPr>
                </pic:pic>
              </a:graphicData>
            </a:graphic>
          </wp:inline>
        </w:drawing>
      </w:r>
    </w:p>
    <w:p w:rsidR="008F0BD3" w:rsidRPr="008F0BD3" w:rsidRDefault="008F0BD3" w:rsidP="00CC04DE">
      <w:r w:rsidRPr="008F0BD3">
        <w:t xml:space="preserve">Positive interim results showed acceptable tolerability and superior efficacy for patients in </w:t>
      </w:r>
      <w:r>
        <w:t>C</w:t>
      </w:r>
      <w:r w:rsidRPr="008F0BD3">
        <w:t xml:space="preserve">ohort 5 which led to an amendment </w:t>
      </w:r>
      <w:r w:rsidR="00891E0E">
        <w:t>that increased</w:t>
      </w:r>
      <w:r w:rsidRPr="008F0BD3">
        <w:t xml:space="preserve"> the sample size in the group of </w:t>
      </w:r>
      <w:r w:rsidR="00377778">
        <w:t>Ph+ ALL</w:t>
      </w:r>
      <w:r w:rsidRPr="008F0BD3">
        <w:t xml:space="preserve"> patients receiving continuous imatinib treatment. A subsequent interim analysis demonstrated that earlier administration and higher cumulative doses of </w:t>
      </w:r>
      <w:r>
        <w:t>i</w:t>
      </w:r>
      <w:r w:rsidRPr="008F0BD3">
        <w:t xml:space="preserve">matinib were associated with improved </w:t>
      </w:r>
      <w:r>
        <w:t>one</w:t>
      </w:r>
      <w:r w:rsidRPr="008F0BD3">
        <w:t xml:space="preserve"> year event free survival (EFS</w:t>
      </w:r>
      <w:r w:rsidR="00891E0E">
        <w:t xml:space="preserve">; </w:t>
      </w:r>
      <w:r w:rsidR="00891E0E" w:rsidRPr="00891E0E">
        <w:t>defined as relapse at any site, secondary malignancy, and death from</w:t>
      </w:r>
      <w:r w:rsidR="00891E0E">
        <w:t xml:space="preserve"> any cause after study entry</w:t>
      </w:r>
      <w:r w:rsidRPr="008F0BD3">
        <w:t xml:space="preserve">) in all cohorts with the best results being observed in patients treated with continuous dosing in </w:t>
      </w:r>
      <w:r w:rsidR="00242067">
        <w:t>C</w:t>
      </w:r>
      <w:r w:rsidRPr="008F0BD3">
        <w:t xml:space="preserve">ohort 5 (95.3%, n = 50) which was higher than </w:t>
      </w:r>
      <w:r w:rsidR="00891E0E">
        <w:t xml:space="preserve">that in </w:t>
      </w:r>
      <w:r w:rsidRPr="008F0BD3">
        <w:t xml:space="preserve">the historical controls </w:t>
      </w:r>
      <w:r w:rsidR="00891E0E">
        <w:t>(</w:t>
      </w:r>
      <w:r w:rsidRPr="008F0BD3">
        <w:t>65.7%</w:t>
      </w:r>
      <w:r w:rsidR="00891E0E">
        <w:t>,</w:t>
      </w:r>
      <w:r w:rsidRPr="008F0BD3">
        <w:t xml:space="preserve"> n = 56). At a later date COG performed another analysis at the cut off date of 31 October 2008 with a primary end point of </w:t>
      </w:r>
      <w:r w:rsidR="00242067">
        <w:t>three</w:t>
      </w:r>
      <w:r w:rsidRPr="008F0BD3">
        <w:t xml:space="preserve"> years EFS in </w:t>
      </w:r>
      <w:r w:rsidR="00377778">
        <w:t>Ph+ ALL</w:t>
      </w:r>
      <w:r w:rsidRPr="008F0BD3">
        <w:t xml:space="preserve"> patients. This demonstrated three year EFS results for </w:t>
      </w:r>
      <w:r w:rsidR="00242067">
        <w:t>C</w:t>
      </w:r>
      <w:r w:rsidRPr="008F0BD3">
        <w:t>ohort 5 at 80% with observed EFS rate more than twice that of histori</w:t>
      </w:r>
      <w:r w:rsidR="00E51D40">
        <w:t>cal controls at 35% (n = 120).</w:t>
      </w:r>
    </w:p>
    <w:p w:rsidR="008F0BD3" w:rsidRPr="008F0BD3" w:rsidRDefault="008F0BD3" w:rsidP="00CC04DE">
      <w:r w:rsidRPr="008F0BD3">
        <w:t xml:space="preserve">Accordingly a statistical analysis plan in December 2009 performed additional analyses in </w:t>
      </w:r>
      <w:r>
        <w:t>C</w:t>
      </w:r>
      <w:r w:rsidRPr="008F0BD3">
        <w:t xml:space="preserve">ohort 5 with a cut off date of 5 September 2009 with a primary end point of EFS and this was assessed in the context of </w:t>
      </w:r>
      <w:r w:rsidR="00E51D40">
        <w:t>data from historical controls.</w:t>
      </w:r>
    </w:p>
    <w:p w:rsidR="008F0BD3" w:rsidRDefault="008F0BD3" w:rsidP="00CC04DE">
      <w:r w:rsidRPr="008F0BD3">
        <w:lastRenderedPageBreak/>
        <w:t xml:space="preserve">The pivotal </w:t>
      </w:r>
      <w:r>
        <w:t>S</w:t>
      </w:r>
      <w:r w:rsidRPr="008F0BD3">
        <w:t xml:space="preserve">tudy 2301 was a multi-centre </w:t>
      </w:r>
      <w:r>
        <w:t>P</w:t>
      </w:r>
      <w:r w:rsidRPr="008F0BD3">
        <w:t xml:space="preserve">hase </w:t>
      </w:r>
      <w:r>
        <w:t>III</w:t>
      </w:r>
      <w:r w:rsidRPr="008F0BD3">
        <w:t xml:space="preserve"> open label sequential cohort non-randomised study which involved paediatric and young adult patients of less than 22 years with </w:t>
      </w:r>
      <w:r w:rsidR="00F96D85">
        <w:t>VHR</w:t>
      </w:r>
      <w:r w:rsidRPr="008F0BD3">
        <w:t xml:space="preserve"> ALL defined as five year </w:t>
      </w:r>
      <w:r w:rsidR="00242067">
        <w:t>EFS</w:t>
      </w:r>
      <w:r w:rsidRPr="008F0BD3">
        <w:t xml:space="preserve"> of less than 45% the large majority of whom had the Ph</w:t>
      </w:r>
      <w:r>
        <w:t>+</w:t>
      </w:r>
      <w:r w:rsidRPr="008F0BD3">
        <w:t xml:space="preserve"> subtypes. A summary of study end points is indicated in Table </w:t>
      </w:r>
      <w:r>
        <w:t>5</w:t>
      </w:r>
      <w:r w:rsidR="00E51D40">
        <w:t>.</w:t>
      </w:r>
    </w:p>
    <w:p w:rsidR="008F0BD3" w:rsidRPr="008F0BD3" w:rsidRDefault="008F0BD3" w:rsidP="00CC04DE">
      <w:pPr>
        <w:pStyle w:val="TableTitle"/>
      </w:pPr>
      <w:r w:rsidRPr="008F0BD3">
        <w:t xml:space="preserve">Table </w:t>
      </w:r>
      <w:r>
        <w:t>5:</w:t>
      </w:r>
      <w:r w:rsidRPr="008F0BD3">
        <w:t xml:space="preserve"> Summary of endpoints for Study </w:t>
      </w:r>
      <w:r w:rsidRPr="00CC04DE">
        <w:t>STI571I2301</w:t>
      </w:r>
    </w:p>
    <w:p w:rsidR="008F0BD3" w:rsidRPr="008F0BD3" w:rsidRDefault="008F0BD3" w:rsidP="00CC04DE">
      <w:r w:rsidRPr="008F0BD3">
        <w:rPr>
          <w:noProof/>
          <w:lang w:eastAsia="en-AU"/>
        </w:rPr>
        <w:drawing>
          <wp:inline distT="0" distB="0" distL="0" distR="0" wp14:anchorId="6C444666" wp14:editId="124DB2D7">
            <wp:extent cx="5173435" cy="3605438"/>
            <wp:effectExtent l="19050" t="0" r="8165" b="0"/>
            <wp:docPr id="13" name="Picture 4" descr="Table 5: Summary of endpoints for Study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177279" cy="3608117"/>
                    </a:xfrm>
                    <a:prstGeom prst="rect">
                      <a:avLst/>
                    </a:prstGeom>
                    <a:noFill/>
                    <a:ln w="9525">
                      <a:noFill/>
                      <a:miter lim="800000"/>
                      <a:headEnd/>
                      <a:tailEnd/>
                    </a:ln>
                  </pic:spPr>
                </pic:pic>
              </a:graphicData>
            </a:graphic>
          </wp:inline>
        </w:drawing>
      </w:r>
    </w:p>
    <w:p w:rsidR="008F0BD3" w:rsidRPr="008F0BD3" w:rsidRDefault="008F0BD3" w:rsidP="00CC04DE">
      <w:r w:rsidRPr="008F0BD3">
        <w:t>The study d</w:t>
      </w:r>
      <w:r w:rsidR="00E51D40">
        <w:t>esign is indicated in Figure 1:</w:t>
      </w:r>
    </w:p>
    <w:p w:rsidR="008F0BD3" w:rsidRPr="00CC04DE" w:rsidRDefault="008F0BD3" w:rsidP="00CC04DE">
      <w:pPr>
        <w:pStyle w:val="FigureTitle"/>
      </w:pPr>
      <w:r w:rsidRPr="008F0BD3">
        <w:lastRenderedPageBreak/>
        <w:t xml:space="preserve">Figure </w:t>
      </w:r>
      <w:r>
        <w:t>1</w:t>
      </w:r>
      <w:r w:rsidRPr="008F0BD3">
        <w:t>: Study design STI571I2301</w:t>
      </w:r>
    </w:p>
    <w:p w:rsidR="008F0BD3" w:rsidRPr="008F0BD3" w:rsidRDefault="008F0BD3" w:rsidP="00CC04DE">
      <w:r w:rsidRPr="008F0BD3">
        <w:rPr>
          <w:noProof/>
          <w:lang w:eastAsia="en-AU"/>
        </w:rPr>
        <w:drawing>
          <wp:inline distT="0" distB="0" distL="0" distR="0" wp14:anchorId="49D29847" wp14:editId="2F28C225">
            <wp:extent cx="5002199" cy="5382491"/>
            <wp:effectExtent l="19050" t="0" r="7951" b="0"/>
            <wp:docPr id="10" name="Picture 7" descr="Figure 1: Study design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06792" cy="5387433"/>
                    </a:xfrm>
                    <a:prstGeom prst="rect">
                      <a:avLst/>
                    </a:prstGeom>
                    <a:noFill/>
                    <a:ln w="9525">
                      <a:noFill/>
                      <a:miter lim="800000"/>
                      <a:headEnd/>
                      <a:tailEnd/>
                    </a:ln>
                  </pic:spPr>
                </pic:pic>
              </a:graphicData>
            </a:graphic>
          </wp:inline>
        </w:drawing>
      </w:r>
    </w:p>
    <w:p w:rsidR="005E672F" w:rsidRDefault="005E672F" w:rsidP="00CC04DE">
      <w:r w:rsidRPr="005E672F">
        <w:t xml:space="preserve">Breakdown of the population analysis for the 160 patients initially entered on to trial is indicated in Figure </w:t>
      </w:r>
      <w:r>
        <w:t>2</w:t>
      </w:r>
      <w:r w:rsidRPr="005E672F">
        <w:t>:</w:t>
      </w:r>
    </w:p>
    <w:p w:rsidR="005E672F" w:rsidRPr="00CC04DE" w:rsidRDefault="005E672F" w:rsidP="00CC04DE">
      <w:pPr>
        <w:pStyle w:val="FigureTitle"/>
      </w:pPr>
      <w:r>
        <w:lastRenderedPageBreak/>
        <w:t>Figure 2: P</w:t>
      </w:r>
      <w:r w:rsidR="00E51D40">
        <w:t>atient Population in Study 2301</w:t>
      </w:r>
    </w:p>
    <w:p w:rsidR="005E672F" w:rsidRDefault="005E672F" w:rsidP="00CC04DE">
      <w:r>
        <w:rPr>
          <w:noProof/>
          <w:lang w:eastAsia="en-AU"/>
        </w:rPr>
        <w:drawing>
          <wp:inline distT="0" distB="0" distL="0" distR="0" wp14:anchorId="49ACE3ED" wp14:editId="08B0D6D0">
            <wp:extent cx="4963926" cy="3145143"/>
            <wp:effectExtent l="19050" t="0" r="8124" b="0"/>
            <wp:docPr id="14" name="Picture 2" descr="Figure 2: Patient Population in Study 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962093" cy="3143981"/>
                    </a:xfrm>
                    <a:prstGeom prst="rect">
                      <a:avLst/>
                    </a:prstGeom>
                    <a:noFill/>
                    <a:ln w="9525">
                      <a:noFill/>
                      <a:miter lim="800000"/>
                      <a:headEnd/>
                      <a:tailEnd/>
                    </a:ln>
                  </pic:spPr>
                </pic:pic>
              </a:graphicData>
            </a:graphic>
          </wp:inline>
        </w:drawing>
      </w:r>
    </w:p>
    <w:p w:rsidR="00900539" w:rsidRPr="00900539" w:rsidRDefault="00900539" w:rsidP="00CC04DE">
      <w:r w:rsidRPr="00900539">
        <w:t>All patients in this study received an initial intensive chemotherapy regimen. The Ph</w:t>
      </w:r>
      <w:r>
        <w:t xml:space="preserve">+ </w:t>
      </w:r>
      <w:r w:rsidRPr="00900539">
        <w:t xml:space="preserve">patients received imatinib integrated with intensive chemotherapy in successive blocks of increasing imatinib exposure depending on the cohort as indicated in Table </w:t>
      </w:r>
      <w:r>
        <w:t>4</w:t>
      </w:r>
      <w:r w:rsidRPr="00900539">
        <w:t xml:space="preserve">. In </w:t>
      </w:r>
      <w:r>
        <w:t>C</w:t>
      </w:r>
      <w:r w:rsidRPr="00900539">
        <w:t>ohorts 1 to 4 imatinib was given at 340</w:t>
      </w:r>
      <w:r w:rsidR="00FF627D">
        <w:t xml:space="preserve"> </w:t>
      </w:r>
      <w:r w:rsidRPr="00900539">
        <w:t>mg/m</w:t>
      </w:r>
      <w:r w:rsidRPr="00900539">
        <w:rPr>
          <w:vertAlign w:val="superscript"/>
        </w:rPr>
        <w:t>2</w:t>
      </w:r>
      <w:r w:rsidRPr="00900539">
        <w:t xml:space="preserve"> in three week blocks while in </w:t>
      </w:r>
      <w:r>
        <w:t>C</w:t>
      </w:r>
      <w:r w:rsidRPr="00900539">
        <w:t>ohort 5 imatinib was given at 340mg/m</w:t>
      </w:r>
      <w:r w:rsidRPr="00900539">
        <w:rPr>
          <w:vertAlign w:val="superscript"/>
        </w:rPr>
        <w:t>2</w:t>
      </w:r>
      <w:r w:rsidRPr="00900539">
        <w:t xml:space="preserve"> per day continuously except during </w:t>
      </w:r>
      <w:r w:rsidR="00242067">
        <w:t>M</w:t>
      </w:r>
      <w:r w:rsidRPr="00900539">
        <w:t xml:space="preserve">aintenance </w:t>
      </w:r>
      <w:r>
        <w:t>B</w:t>
      </w:r>
      <w:r w:rsidRPr="00900539">
        <w:t>locks 5 through 12 which consisted of two week imatinib blocks every four weeks.</w:t>
      </w:r>
    </w:p>
    <w:p w:rsidR="00900539" w:rsidRPr="00900539" w:rsidRDefault="00900539" w:rsidP="00CC04DE">
      <w:r w:rsidRPr="00900539">
        <w:t xml:space="preserve">The historical control data set for the analyses presented in this submission included 120 </w:t>
      </w:r>
      <w:r w:rsidR="00377778">
        <w:t>Ph+ ALL</w:t>
      </w:r>
      <w:r w:rsidRPr="00900539">
        <w:t xml:space="preserve"> patients previously enrolled in five clinica</w:t>
      </w:r>
      <w:r w:rsidR="00E51D40">
        <w:t>l trials performed by the COG.</w:t>
      </w:r>
    </w:p>
    <w:p w:rsidR="00A90FB4" w:rsidRDefault="00900539" w:rsidP="00CC04DE">
      <w:r w:rsidRPr="00900539">
        <w:t xml:space="preserve">Imatinib had its highest impact on EFS in patients with </w:t>
      </w:r>
      <w:r w:rsidR="00377778">
        <w:t>Ph+ ALL</w:t>
      </w:r>
      <w:r w:rsidRPr="00900539">
        <w:t xml:space="preserve"> when administered early on in the course of treatment and for a longer duration, with the best results noted in </w:t>
      </w:r>
      <w:r w:rsidR="00A90FB4">
        <w:t>C</w:t>
      </w:r>
      <w:r w:rsidRPr="00900539">
        <w:t xml:space="preserve">ohort 5 (n=50): the 48 month EFS rate for </w:t>
      </w:r>
      <w:r w:rsidR="00A90FB4">
        <w:t>C</w:t>
      </w:r>
      <w:r w:rsidRPr="00900539">
        <w:t>ohort 5 was 69.6% which was more than twice that of the historical controls with 31.6% and a</w:t>
      </w:r>
      <w:r w:rsidR="00A90FB4">
        <w:t xml:space="preserve"> hazard ratio (</w:t>
      </w:r>
      <w:r w:rsidRPr="00900539">
        <w:t>HR</w:t>
      </w:r>
      <w:r w:rsidR="00A90FB4">
        <w:t>)</w:t>
      </w:r>
      <w:r w:rsidRPr="00900539">
        <w:t xml:space="preserve"> 0.28% log rank P </w:t>
      </w:r>
      <w:r w:rsidR="00A90FB4">
        <w:t xml:space="preserve">&lt; 0.0001 as indicated in Table </w:t>
      </w:r>
      <w:r w:rsidR="003F753F">
        <w:t>6</w:t>
      </w:r>
      <w:r w:rsidR="00A90FB4">
        <w:t>.</w:t>
      </w:r>
    </w:p>
    <w:p w:rsidR="00E51D40" w:rsidRPr="00CC04DE" w:rsidRDefault="00900539" w:rsidP="00CC04DE">
      <w:pPr>
        <w:pStyle w:val="TableTitle"/>
      </w:pPr>
      <w:r w:rsidRPr="00900539">
        <w:lastRenderedPageBreak/>
        <w:t xml:space="preserve">Table </w:t>
      </w:r>
      <w:r w:rsidR="003F753F">
        <w:t>6</w:t>
      </w:r>
      <w:r w:rsidRPr="00900539">
        <w:t xml:space="preserve">: Event-free survival in </w:t>
      </w:r>
      <w:r w:rsidR="00A90FB4">
        <w:t>C</w:t>
      </w:r>
      <w:r w:rsidRPr="00900539">
        <w:t>ohort 5 (Efficacy set – STI571I2301) and in historical control</w:t>
      </w:r>
    </w:p>
    <w:p w:rsidR="00900539" w:rsidRPr="00900539" w:rsidRDefault="00900539" w:rsidP="00CC04DE">
      <w:r w:rsidRPr="00900539">
        <w:rPr>
          <w:noProof/>
          <w:lang w:eastAsia="en-AU"/>
        </w:rPr>
        <w:drawing>
          <wp:inline distT="0" distB="0" distL="0" distR="0" wp14:anchorId="032DA9A1" wp14:editId="09D14495">
            <wp:extent cx="5043855" cy="2928257"/>
            <wp:effectExtent l="19050" t="0" r="4395" b="0"/>
            <wp:docPr id="6" name="Picture 31" descr="Table 6: Event-free survival in cohort 5 (Efficacy set – STI571I2301) and in historical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043789" cy="2928219"/>
                    </a:xfrm>
                    <a:prstGeom prst="rect">
                      <a:avLst/>
                    </a:prstGeom>
                    <a:noFill/>
                    <a:ln w="9525">
                      <a:noFill/>
                      <a:miter lim="800000"/>
                      <a:headEnd/>
                      <a:tailEnd/>
                    </a:ln>
                  </pic:spPr>
                </pic:pic>
              </a:graphicData>
            </a:graphic>
          </wp:inline>
        </w:drawing>
      </w:r>
    </w:p>
    <w:p w:rsidR="00A90FB4" w:rsidRDefault="00A90FB4" w:rsidP="00CC04DE">
      <w:bookmarkStart w:id="78" w:name="_Toc373825795"/>
      <w:r w:rsidRPr="00A90FB4">
        <w:t xml:space="preserve">Comparison of overall survival </w:t>
      </w:r>
      <w:r w:rsidR="00242067">
        <w:t xml:space="preserve">(OS) </w:t>
      </w:r>
      <w:r w:rsidRPr="00A90FB4">
        <w:t xml:space="preserve">for the various cohorts compared to the historical controls is summarised in Table </w:t>
      </w:r>
      <w:r w:rsidR="003F753F">
        <w:t>7</w:t>
      </w:r>
      <w:r w:rsidRPr="00A90FB4">
        <w:t xml:space="preserve">. The estimated overall 48 month survival rate in </w:t>
      </w:r>
      <w:r>
        <w:t>C</w:t>
      </w:r>
      <w:r w:rsidRPr="00A90FB4">
        <w:t>ohort 5 was 83.6% compared to a rate of 44.8% for the historical controls</w:t>
      </w:r>
      <w:r>
        <w:t>.</w:t>
      </w:r>
      <w:r w:rsidRPr="00A90FB4">
        <w:t xml:space="preserve"> This compared to an </w:t>
      </w:r>
      <w:r w:rsidR="00242067">
        <w:t>OS</w:t>
      </w:r>
      <w:r w:rsidRPr="00A90FB4">
        <w:t xml:space="preserve"> at 48 months of 49.2% for </w:t>
      </w:r>
      <w:r w:rsidR="00242067">
        <w:t>C</w:t>
      </w:r>
      <w:r w:rsidRPr="00A90FB4">
        <w:t xml:space="preserve">ohorts 1 </w:t>
      </w:r>
      <w:r w:rsidR="00242067">
        <w:t xml:space="preserve">and </w:t>
      </w:r>
      <w:r w:rsidRPr="00A90FB4">
        <w:t xml:space="preserve">2 and 74.7% for </w:t>
      </w:r>
      <w:r w:rsidR="00242067">
        <w:t>C</w:t>
      </w:r>
      <w:r w:rsidRPr="00A90FB4">
        <w:t xml:space="preserve">ohorts 3 </w:t>
      </w:r>
      <w:r w:rsidR="00242067">
        <w:t>and</w:t>
      </w:r>
      <w:r w:rsidR="00E51D40">
        <w:t xml:space="preserve"> 4.</w:t>
      </w:r>
    </w:p>
    <w:p w:rsidR="00A90FB4" w:rsidRPr="00A90FB4" w:rsidRDefault="00A90FB4" w:rsidP="00CC04DE">
      <w:pPr>
        <w:pStyle w:val="TableTitle"/>
      </w:pPr>
      <w:r w:rsidRPr="00A90FB4">
        <w:t xml:space="preserve">Table </w:t>
      </w:r>
      <w:r w:rsidR="003F753F">
        <w:t>7</w:t>
      </w:r>
      <w:r w:rsidRPr="00A90FB4">
        <w:t xml:space="preserve">: Overall survival in Ph+ cohorts (Efficacy set – STI571I2301) and </w:t>
      </w:r>
      <w:r w:rsidRPr="00CC04DE">
        <w:t>historical</w:t>
      </w:r>
      <w:r w:rsidRPr="00A90FB4">
        <w:t xml:space="preserve"> control</w:t>
      </w:r>
    </w:p>
    <w:p w:rsidR="00A90FB4" w:rsidRPr="00A90FB4" w:rsidRDefault="00A90FB4" w:rsidP="00CC04DE">
      <w:r w:rsidRPr="00A90FB4">
        <w:rPr>
          <w:noProof/>
          <w:lang w:eastAsia="en-AU"/>
        </w:rPr>
        <w:drawing>
          <wp:inline distT="0" distB="0" distL="0" distR="0" wp14:anchorId="3C40B95C" wp14:editId="1A13D5DB">
            <wp:extent cx="5113020" cy="3321050"/>
            <wp:effectExtent l="19050" t="0" r="0" b="0"/>
            <wp:docPr id="7" name="Picture 46" descr="Table 7: Overall survival in Ph+ cohorts (Efficacy set – STI571I2301) and historic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113020" cy="3321050"/>
                    </a:xfrm>
                    <a:prstGeom prst="rect">
                      <a:avLst/>
                    </a:prstGeom>
                    <a:noFill/>
                    <a:ln w="9525">
                      <a:noFill/>
                      <a:miter lim="800000"/>
                      <a:headEnd/>
                      <a:tailEnd/>
                    </a:ln>
                  </pic:spPr>
                </pic:pic>
              </a:graphicData>
            </a:graphic>
          </wp:inline>
        </w:drawing>
      </w:r>
    </w:p>
    <w:p w:rsidR="00EA0E7F" w:rsidRPr="00CC04DE" w:rsidRDefault="00EA0E7F" w:rsidP="00CC04DE">
      <w:pPr>
        <w:pStyle w:val="Heading5"/>
      </w:pPr>
      <w:r w:rsidRPr="00EA0E7F">
        <w:t xml:space="preserve">Evaluator’s conclusions on pivotal efficacy </w:t>
      </w:r>
      <w:r w:rsidR="00E51D40" w:rsidRPr="00E51D40">
        <w:t>s</w:t>
      </w:r>
      <w:r w:rsidRPr="00E51D40">
        <w:t>tudy</w:t>
      </w:r>
      <w:r w:rsidRPr="00EA0E7F">
        <w:t xml:space="preserve"> STI571I2301</w:t>
      </w:r>
      <w:bookmarkEnd w:id="78"/>
    </w:p>
    <w:p w:rsidR="00EA0E7F" w:rsidRPr="00EA0E7F" w:rsidRDefault="00EA0E7F" w:rsidP="00CC04DE">
      <w:r w:rsidRPr="00EA0E7F">
        <w:t>Th</w:t>
      </w:r>
      <w:r w:rsidR="003B2C8B">
        <w:t>ese</w:t>
      </w:r>
      <w:r w:rsidRPr="00EA0E7F">
        <w:t xml:space="preserve"> data ha</w:t>
      </w:r>
      <w:r w:rsidR="003B2C8B">
        <w:t>ve</w:t>
      </w:r>
      <w:r w:rsidRPr="00EA0E7F">
        <w:t xml:space="preserve"> clearly shown that for patients in </w:t>
      </w:r>
      <w:r w:rsidR="00034560">
        <w:t>C</w:t>
      </w:r>
      <w:r w:rsidRPr="00EA0E7F">
        <w:t xml:space="preserve">ohort 5 of the pivotal study there was a highly significant benefit for the use of imatinib plus chemotherapy compared to the historical controls in relation to both </w:t>
      </w:r>
      <w:r w:rsidR="00034560">
        <w:t xml:space="preserve">EFS </w:t>
      </w:r>
      <w:r w:rsidR="00A90FB4">
        <w:t xml:space="preserve">and </w:t>
      </w:r>
      <w:r w:rsidR="00034560">
        <w:t>OS</w:t>
      </w:r>
      <w:r w:rsidRPr="00EA0E7F">
        <w:t>. Sub-group</w:t>
      </w:r>
      <w:r w:rsidR="00034560">
        <w:t xml:space="preserve"> analyses confirmed this data. </w:t>
      </w:r>
      <w:r w:rsidRPr="00EA0E7F">
        <w:t xml:space="preserve">There was also a lesser but again significant benefit between </w:t>
      </w:r>
      <w:r w:rsidR="00034560">
        <w:t>C</w:t>
      </w:r>
      <w:r w:rsidRPr="00EA0E7F">
        <w:t xml:space="preserve">ohort 5 and </w:t>
      </w:r>
      <w:r w:rsidR="00034560">
        <w:t>C</w:t>
      </w:r>
      <w:r w:rsidRPr="00EA0E7F">
        <w:t xml:space="preserve">ohorts 1 + 2 who only had limited exposure to imatinib. The </w:t>
      </w:r>
      <w:r w:rsidR="00034560">
        <w:t xml:space="preserve">evaluator </w:t>
      </w:r>
      <w:r w:rsidRPr="00EA0E7F">
        <w:t>recognise</w:t>
      </w:r>
      <w:r w:rsidR="00A90FB4">
        <w:t>d</w:t>
      </w:r>
      <w:r w:rsidRPr="00EA0E7F">
        <w:t xml:space="preserve"> the fact that this is a relatively uncommon disease and that an appropriately randomised study would have </w:t>
      </w:r>
      <w:r w:rsidRPr="00EA0E7F">
        <w:lastRenderedPageBreak/>
        <w:t>been very difficult to conduct. The choice of historical controls however does raise some concerns particularly in the context that these came from various COG studies involving earlier chemotherapy protocols. The chemotherapy involved in induction for patients on</w:t>
      </w:r>
      <w:r w:rsidR="00516BC3">
        <w:t xml:space="preserve"> S</w:t>
      </w:r>
      <w:r w:rsidRPr="00EA0E7F">
        <w:t xml:space="preserve">tudy 2301 was extremely intensive involving quite a large number of agents which raises the question whether the intensity of induction therapy may not have been a significant factor in determining </w:t>
      </w:r>
      <w:r w:rsidR="00516BC3">
        <w:t xml:space="preserve">EFS </w:t>
      </w:r>
      <w:r w:rsidRPr="00EA0E7F">
        <w:t xml:space="preserve">and </w:t>
      </w:r>
      <w:r w:rsidR="00516BC3">
        <w:t>OS</w:t>
      </w:r>
      <w:r w:rsidRPr="00EA0E7F">
        <w:t xml:space="preserve"> irrespective of the role of imatinib. This would be</w:t>
      </w:r>
      <w:r w:rsidR="00E51D40">
        <w:t>nefit from further evaluation.</w:t>
      </w:r>
    </w:p>
    <w:p w:rsidR="001C29EA" w:rsidRPr="00CC04DE" w:rsidRDefault="001C29EA" w:rsidP="00CC04DE">
      <w:pPr>
        <w:pStyle w:val="Heading4"/>
      </w:pPr>
      <w:bookmarkStart w:id="79" w:name="_Toc373825796"/>
      <w:r w:rsidRPr="00260427">
        <w:t xml:space="preserve">Supportive </w:t>
      </w:r>
      <w:r w:rsidR="000C5298">
        <w:t>s</w:t>
      </w:r>
      <w:r w:rsidRPr="00260427">
        <w:t>tudy AIT07</w:t>
      </w:r>
      <w:bookmarkEnd w:id="79"/>
    </w:p>
    <w:p w:rsidR="001C29EA" w:rsidRPr="001C29EA" w:rsidRDefault="00670CFF" w:rsidP="00CC04DE">
      <w:r>
        <w:t>S</w:t>
      </w:r>
      <w:r w:rsidR="001C29EA" w:rsidRPr="001C29EA">
        <w:t xml:space="preserve">tudy AIT07 was an open labelled randomised </w:t>
      </w:r>
      <w:r>
        <w:t>P</w:t>
      </w:r>
      <w:r w:rsidR="001C29EA" w:rsidRPr="001C29EA">
        <w:t xml:space="preserve">hase </w:t>
      </w:r>
      <w:r>
        <w:t>II</w:t>
      </w:r>
      <w:r w:rsidR="001C29EA" w:rsidRPr="001C29EA">
        <w:t>/</w:t>
      </w:r>
      <w:r>
        <w:t>III</w:t>
      </w:r>
      <w:r w:rsidR="001C29EA" w:rsidRPr="001C29EA">
        <w:t xml:space="preserve"> </w:t>
      </w:r>
      <w:r>
        <w:t>S</w:t>
      </w:r>
      <w:r w:rsidR="001C29EA" w:rsidRPr="001C29EA">
        <w:t xml:space="preserve">tudy assessing safety and efficacy of imatinib with chemotherapy in paediatric patients with </w:t>
      </w:r>
      <w:r w:rsidR="00377778">
        <w:t>Ph+ ALL</w:t>
      </w:r>
      <w:r w:rsidR="001C29EA" w:rsidRPr="001C29EA">
        <w:t xml:space="preserve"> and was performed between January 2004 and November 2010 involving </w:t>
      </w:r>
      <w:r>
        <w:t>10</w:t>
      </w:r>
      <w:r w:rsidR="001C29EA" w:rsidRPr="001C29EA">
        <w:t xml:space="preserve"> paediatric leukaemia study groups. The primary objective of this </w:t>
      </w:r>
      <w:r w:rsidR="00891E0E">
        <w:t>s</w:t>
      </w:r>
      <w:r w:rsidR="001C29EA" w:rsidRPr="001C29EA">
        <w:t xml:space="preserve">tudy was to evaluate the </w:t>
      </w:r>
      <w:r>
        <w:t>DFS</w:t>
      </w:r>
      <w:r w:rsidR="001C29EA" w:rsidRPr="001C29EA">
        <w:t xml:space="preserve"> in the good risk group of patients treated either with or without imatinib in correlation with intensive chemotherapy including the option of </w:t>
      </w:r>
      <w:r w:rsidR="00501076" w:rsidRPr="00501076">
        <w:t xml:space="preserve">hematopoietic stem cell transplant </w:t>
      </w:r>
      <w:r w:rsidR="00501076">
        <w:t>(</w:t>
      </w:r>
      <w:r w:rsidR="001C29EA" w:rsidRPr="001C29EA">
        <w:t>HSCT</w:t>
      </w:r>
      <w:r w:rsidR="00501076">
        <w:t>)</w:t>
      </w:r>
      <w:r w:rsidR="001C29EA" w:rsidRPr="001C29EA">
        <w:t>. The randomisation component involved chemotherapy plus imatinib or chemotherapy alone for the good risk patients. A total of 229 patients who were randomised were registered for the study and among the 213 eligible patients 35 were not entered onto the study. Of the 178 eligible patients 108 were good risk patients. Of these 108 patients 18 were not randomised due to clinical decision and patient refusal and only 90 patients were randomised to imatinib plus chem</w:t>
      </w:r>
      <w:r w:rsidR="000C5298">
        <w:t>otherapy or chemotherapy alone.</w:t>
      </w:r>
    </w:p>
    <w:p w:rsidR="001C29EA" w:rsidRPr="001C29EA" w:rsidRDefault="001C29EA" w:rsidP="00CC04DE">
      <w:r w:rsidRPr="001C29EA">
        <w:t>Th</w:t>
      </w:r>
      <w:r w:rsidR="00670CFF">
        <w:t>e</w:t>
      </w:r>
      <w:r w:rsidRPr="001C29EA">
        <w:t xml:space="preserve"> study was terminated early because of recognition of the results from the pivotal </w:t>
      </w:r>
      <w:r w:rsidR="00670CFF">
        <w:t>S</w:t>
      </w:r>
      <w:r w:rsidRPr="001C29EA">
        <w:t xml:space="preserve">tudy 2301 and a decision that no further randomisation was appropriate. This resulted in an insufficient sample size to properly test for the primary efficacy analysis. Nevertheless in relation to the primary end point of </w:t>
      </w:r>
      <w:r w:rsidR="00670CFF">
        <w:t>DFS</w:t>
      </w:r>
      <w:r w:rsidRPr="001C29EA">
        <w:t>,</w:t>
      </w:r>
      <w:r w:rsidR="00670CFF">
        <w:t xml:space="preserve"> six</w:t>
      </w:r>
      <w:r w:rsidRPr="001C29EA">
        <w:t xml:space="preserve"> out of 44 or 14% of chemotherapy alone patients and </w:t>
      </w:r>
      <w:r w:rsidR="00670CFF">
        <w:t>four</w:t>
      </w:r>
      <w:r w:rsidRPr="001C29EA">
        <w:t xml:space="preserve"> out of 46 or 9% of chemotherapy plus imatinib patients had a </w:t>
      </w:r>
      <w:r w:rsidR="00670CFF">
        <w:t>DFS</w:t>
      </w:r>
      <w:r w:rsidRPr="001C29EA">
        <w:t xml:space="preserve"> event. This was not statistically significantly different</w:t>
      </w:r>
      <w:r w:rsidR="00670CFF">
        <w:t>.</w:t>
      </w:r>
      <w:r w:rsidRPr="001C29EA">
        <w:t xml:space="preserve"> The estimated DFS rates at 24 months were comparable in the </w:t>
      </w:r>
      <w:r w:rsidR="00670CFF">
        <w:t>g</w:t>
      </w:r>
      <w:r w:rsidRPr="001C29EA">
        <w:t>ood</w:t>
      </w:r>
      <w:r w:rsidR="00670CFF">
        <w:t>-</w:t>
      </w:r>
      <w:r w:rsidRPr="001C29EA">
        <w:t>risk</w:t>
      </w:r>
      <w:r w:rsidR="00670CFF">
        <w:t>/</w:t>
      </w:r>
      <w:r w:rsidRPr="001C29EA">
        <w:t xml:space="preserve">no imatinib arm (65%) and </w:t>
      </w:r>
      <w:r w:rsidR="00670CFF">
        <w:t>g</w:t>
      </w:r>
      <w:r w:rsidRPr="001C29EA">
        <w:t>ood</w:t>
      </w:r>
      <w:r w:rsidR="00670CFF">
        <w:t>-</w:t>
      </w:r>
      <w:r w:rsidRPr="001C29EA">
        <w:t>risk</w:t>
      </w:r>
      <w:r w:rsidR="00670CFF">
        <w:t>/</w:t>
      </w:r>
      <w:r w:rsidRPr="001C29EA">
        <w:t xml:space="preserve">imatinib arm (81%), with very similar and wide confidence intervals of the </w:t>
      </w:r>
      <w:r w:rsidR="000C5298">
        <w:t>estimated rates in both groups.</w:t>
      </w:r>
    </w:p>
    <w:p w:rsidR="001C29EA" w:rsidRPr="001C29EA" w:rsidRDefault="001C29EA" w:rsidP="00CC04DE">
      <w:r w:rsidRPr="001C29EA">
        <w:t xml:space="preserve">It is noted that over 80% of patients had undergone HSCT significantly influencing the results, but when </w:t>
      </w:r>
      <w:r w:rsidR="0048523F">
        <w:t>DFS</w:t>
      </w:r>
      <w:r w:rsidRPr="001C29EA">
        <w:t xml:space="preserve"> was assessed not censoring for HSCT</w:t>
      </w:r>
      <w:r w:rsidR="00501076">
        <w:t>,</w:t>
      </w:r>
      <w:r w:rsidRPr="001C29EA">
        <w:t xml:space="preserve"> 16 of 44 or 36% of the good risk patients receiving chemotherapy alone and 12 of 46 or 26% receiving chemotherapy plus imatinib had a DFS event</w:t>
      </w:r>
      <w:r w:rsidR="0048523F">
        <w:t>.</w:t>
      </w:r>
      <w:r w:rsidRPr="001C29EA">
        <w:t xml:space="preserve"> At the end of 24 months the estimated DFS rate was 68% in non-imatinib ar</w:t>
      </w:r>
      <w:r w:rsidR="000C5298">
        <w:t xml:space="preserve">m and 79% in the </w:t>
      </w:r>
      <w:proofErr w:type="spellStart"/>
      <w:r w:rsidR="000C5298">
        <w:t>Imatinib</w:t>
      </w:r>
      <w:proofErr w:type="spellEnd"/>
      <w:r w:rsidR="000C5298">
        <w:t xml:space="preserve"> arm.</w:t>
      </w:r>
    </w:p>
    <w:p w:rsidR="001C29EA" w:rsidRPr="001C29EA" w:rsidRDefault="001C29EA" w:rsidP="00CC04DE">
      <w:r w:rsidRPr="001C29EA">
        <w:t xml:space="preserve">In relation to </w:t>
      </w:r>
      <w:r w:rsidR="00242067">
        <w:t>OS</w:t>
      </w:r>
      <w:r w:rsidRPr="001C29EA">
        <w:t xml:space="preserve"> at 48 months, in the good risk </w:t>
      </w:r>
      <w:r w:rsidR="00501076">
        <w:t>i</w:t>
      </w:r>
      <w:r w:rsidRPr="001C29EA">
        <w:t>matinib patients it was 85% which was slightly higher than the non-imatinib patients at 73%</w:t>
      </w:r>
      <w:r w:rsidR="0048523F">
        <w:t>.</w:t>
      </w:r>
    </w:p>
    <w:p w:rsidR="001C29EA" w:rsidRPr="00CC04DE" w:rsidRDefault="001C29EA" w:rsidP="00CC04DE">
      <w:pPr>
        <w:pStyle w:val="Heading5"/>
      </w:pPr>
      <w:bookmarkStart w:id="80" w:name="_Toc373825797"/>
      <w:r w:rsidRPr="001C29EA">
        <w:t xml:space="preserve">Evaluator’s </w:t>
      </w:r>
      <w:r w:rsidR="00501076">
        <w:t>c</w:t>
      </w:r>
      <w:r w:rsidRPr="001C29EA">
        <w:t>onclusions on</w:t>
      </w:r>
      <w:r w:rsidR="00501076">
        <w:t xml:space="preserve"> s</w:t>
      </w:r>
      <w:r w:rsidRPr="001C29EA">
        <w:t xml:space="preserve">upportive </w:t>
      </w:r>
      <w:r w:rsidR="000C5298" w:rsidRPr="000C5298">
        <w:t>s</w:t>
      </w:r>
      <w:r w:rsidRPr="000C5298">
        <w:t>tudy</w:t>
      </w:r>
      <w:r w:rsidRPr="001C29EA">
        <w:t xml:space="preserve"> AIT07</w:t>
      </w:r>
      <w:bookmarkEnd w:id="80"/>
    </w:p>
    <w:p w:rsidR="001C29EA" w:rsidRPr="001C29EA" w:rsidRDefault="001C29EA" w:rsidP="00CC04DE">
      <w:r w:rsidRPr="001C29EA">
        <w:t xml:space="preserve">These data did not provide any further evidence supporting the role of imatinib in the maintenance phase of patients having undergone intensive chemotherapy induction </w:t>
      </w:r>
      <w:r w:rsidR="0048523F">
        <w:t>f</w:t>
      </w:r>
      <w:r w:rsidRPr="001C29EA">
        <w:t xml:space="preserve">or </w:t>
      </w:r>
      <w:r w:rsidR="00377778">
        <w:t>Ph+ ALL</w:t>
      </w:r>
      <w:r w:rsidRPr="001C29EA">
        <w:t>. Nevertheless</w:t>
      </w:r>
      <w:r w:rsidR="000D1E58">
        <w:t>,</w:t>
      </w:r>
      <w:r w:rsidRPr="001C29EA">
        <w:t xml:space="preserve"> as determined by the sponsor and investigators</w:t>
      </w:r>
      <w:r w:rsidR="000D1E58">
        <w:t>,</w:t>
      </w:r>
      <w:r w:rsidRPr="001C29EA">
        <w:t xml:space="preserve"> the data </w:t>
      </w:r>
      <w:r w:rsidR="003B2C8B">
        <w:t>are</w:t>
      </w:r>
      <w:r w:rsidRPr="001C29EA">
        <w:t xml:space="preserve"> difficult to interpret and thereby provides little to </w:t>
      </w:r>
      <w:r w:rsidR="0048523F">
        <w:t>t</w:t>
      </w:r>
      <w:r w:rsidRPr="001C29EA">
        <w:t xml:space="preserve">he significance of the results from the pivotal </w:t>
      </w:r>
      <w:r w:rsidR="0048523F">
        <w:t>Study</w:t>
      </w:r>
      <w:r w:rsidRPr="001C29EA">
        <w:t xml:space="preserve"> 2301.</w:t>
      </w:r>
    </w:p>
    <w:p w:rsidR="008E7846" w:rsidRPr="00CC04DE" w:rsidRDefault="008E7846" w:rsidP="00CC04DE">
      <w:pPr>
        <w:pStyle w:val="Heading3"/>
      </w:pPr>
      <w:bookmarkStart w:id="81" w:name="_Toc163441378"/>
      <w:bookmarkStart w:id="82" w:name="_Toc196046495"/>
      <w:bookmarkStart w:id="83" w:name="_Toc247691522"/>
      <w:bookmarkStart w:id="84" w:name="_Toc314842505"/>
      <w:bookmarkStart w:id="85" w:name="_Toc382572893"/>
      <w:bookmarkEnd w:id="73"/>
      <w:bookmarkEnd w:id="74"/>
      <w:bookmarkEnd w:id="75"/>
      <w:bookmarkEnd w:id="76"/>
      <w:r w:rsidRPr="002E238E">
        <w:t>Safety</w:t>
      </w:r>
      <w:bookmarkEnd w:id="81"/>
      <w:bookmarkEnd w:id="82"/>
      <w:bookmarkEnd w:id="83"/>
      <w:bookmarkEnd w:id="84"/>
      <w:bookmarkEnd w:id="85"/>
    </w:p>
    <w:p w:rsidR="000D1E58" w:rsidRPr="000D1E58" w:rsidRDefault="000D1E58" w:rsidP="00CC04DE">
      <w:pPr>
        <w:pStyle w:val="Heading4"/>
      </w:pPr>
      <w:bookmarkStart w:id="86" w:name="_Toc373825799"/>
      <w:bookmarkStart w:id="87" w:name="_Toc184440288"/>
      <w:bookmarkStart w:id="88" w:name="_Toc184444666"/>
      <w:bookmarkStart w:id="89" w:name="_Toc196046496"/>
      <w:r w:rsidRPr="00CC04DE">
        <w:t>Studies</w:t>
      </w:r>
      <w:r w:rsidRPr="000D1E58">
        <w:t xml:space="preserve"> providing safety data</w:t>
      </w:r>
      <w:bookmarkEnd w:id="86"/>
    </w:p>
    <w:p w:rsidR="000D1E58" w:rsidRPr="000D1E58" w:rsidRDefault="000D1E58" w:rsidP="00CC04DE">
      <w:r w:rsidRPr="000D1E58">
        <w:t>Th</w:t>
      </w:r>
      <w:r w:rsidR="008520E1">
        <w:t>e</w:t>
      </w:r>
      <w:r w:rsidRPr="000D1E58">
        <w:t xml:space="preserve"> submission present</w:t>
      </w:r>
      <w:r w:rsidR="008520E1">
        <w:t>ed</w:t>
      </w:r>
      <w:r w:rsidRPr="000D1E58">
        <w:t xml:space="preserve"> safety data from 220 </w:t>
      </w:r>
      <w:r w:rsidR="00377778">
        <w:t>Ph+ ALL</w:t>
      </w:r>
      <w:r w:rsidRPr="000D1E58">
        <w:t xml:space="preserve"> paediatric patients treated with imatinib from two studies</w:t>
      </w:r>
      <w:r w:rsidR="00443EFF">
        <w:t xml:space="preserve">, that is, </w:t>
      </w:r>
      <w:r w:rsidRPr="000D1E58">
        <w:t xml:space="preserve">the pivotal </w:t>
      </w:r>
      <w:r w:rsidR="008520E1">
        <w:t>S</w:t>
      </w:r>
      <w:r w:rsidRPr="000D1E58">
        <w:t xml:space="preserve">tudy 2301 involving 92 imatinib treated </w:t>
      </w:r>
      <w:r w:rsidRPr="000D1E58">
        <w:lastRenderedPageBreak/>
        <w:t xml:space="preserve">patients and a supportive </w:t>
      </w:r>
      <w:r w:rsidR="008520E1">
        <w:t>S</w:t>
      </w:r>
      <w:r w:rsidRPr="000D1E58">
        <w:t xml:space="preserve">tudy AIT07 involving 128 </w:t>
      </w:r>
      <w:r>
        <w:t>i</w:t>
      </w:r>
      <w:r w:rsidRPr="000D1E58">
        <w:t>matinib treated patients. As there was substantial differences in design for the two studies</w:t>
      </w:r>
      <w:r>
        <w:t>,</w:t>
      </w:r>
      <w:r w:rsidRPr="000D1E58">
        <w:t xml:space="preserve"> data regarding safety are presented separately. The safety population was defined as patients who received at least one dose of study drug. The safety population was 92 patients for</w:t>
      </w:r>
      <w:r>
        <w:t xml:space="preserve"> S</w:t>
      </w:r>
      <w:r w:rsidRPr="000D1E58">
        <w:t xml:space="preserve">tudy 2301 and 128 for </w:t>
      </w:r>
      <w:r>
        <w:t xml:space="preserve">Study </w:t>
      </w:r>
      <w:r w:rsidRPr="000D1E58">
        <w:t>AIT07. The study design and population for the pivotal study ha</w:t>
      </w:r>
      <w:r w:rsidR="00277ECF">
        <w:t>ve</w:t>
      </w:r>
      <w:r w:rsidRPr="000D1E58">
        <w:t xml:space="preserve"> been presented </w:t>
      </w:r>
      <w:r w:rsidR="008520E1">
        <w:t xml:space="preserve">(Figure 1 and </w:t>
      </w:r>
      <w:r w:rsidR="00277ECF">
        <w:t>Figure 2)</w:t>
      </w:r>
      <w:r w:rsidR="008520E1">
        <w:t xml:space="preserve"> </w:t>
      </w:r>
      <w:r w:rsidRPr="000D1E58">
        <w:t xml:space="preserve">and for the supportive </w:t>
      </w:r>
      <w:r w:rsidR="00083B27">
        <w:t>S</w:t>
      </w:r>
      <w:r w:rsidRPr="000D1E58">
        <w:t xml:space="preserve">tudy AI07 these are indicated in Table </w:t>
      </w:r>
      <w:r w:rsidR="003F753F">
        <w:t>8</w:t>
      </w:r>
      <w:r>
        <w:t>.</w:t>
      </w:r>
    </w:p>
    <w:p w:rsidR="000D1E58" w:rsidRPr="00CC04DE" w:rsidRDefault="000D1E58" w:rsidP="00CC04DE">
      <w:pPr>
        <w:pStyle w:val="TableTitle"/>
      </w:pPr>
      <w:r w:rsidRPr="000D1E58">
        <w:lastRenderedPageBreak/>
        <w:t xml:space="preserve">Table </w:t>
      </w:r>
      <w:r w:rsidR="003F753F">
        <w:t>8</w:t>
      </w:r>
      <w:r w:rsidRPr="000D1E58">
        <w:t>: Summary of study STI571AI07</w:t>
      </w:r>
    </w:p>
    <w:p w:rsidR="000D1E58" w:rsidRPr="000D1E58" w:rsidRDefault="000D1E58" w:rsidP="00CC04DE">
      <w:r w:rsidRPr="000D1E58">
        <w:rPr>
          <w:noProof/>
          <w:lang w:eastAsia="en-AU"/>
        </w:rPr>
        <w:drawing>
          <wp:inline distT="0" distB="0" distL="0" distR="0" wp14:anchorId="0752BC5E" wp14:editId="0C1111E2">
            <wp:extent cx="4989195" cy="7695565"/>
            <wp:effectExtent l="19050" t="0" r="1905" b="0"/>
            <wp:docPr id="8" name="Picture 58" descr="Table 8: Summary of study STI571A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989195" cy="7695565"/>
                    </a:xfrm>
                    <a:prstGeom prst="rect">
                      <a:avLst/>
                    </a:prstGeom>
                    <a:noFill/>
                    <a:ln w="9525">
                      <a:noFill/>
                      <a:miter lim="800000"/>
                      <a:headEnd/>
                      <a:tailEnd/>
                    </a:ln>
                  </pic:spPr>
                </pic:pic>
              </a:graphicData>
            </a:graphic>
          </wp:inline>
        </w:drawing>
      </w:r>
    </w:p>
    <w:p w:rsidR="00EC7CE3" w:rsidRPr="00CC04DE" w:rsidRDefault="00EC7CE3" w:rsidP="00CC04DE">
      <w:pPr>
        <w:pStyle w:val="Heading4"/>
      </w:pPr>
      <w:bookmarkStart w:id="90" w:name="_Toc373825800"/>
      <w:r>
        <w:t>Summary of patient/drug e</w:t>
      </w:r>
      <w:r w:rsidRPr="00EC7CE3">
        <w:t>xposure</w:t>
      </w:r>
      <w:bookmarkEnd w:id="90"/>
    </w:p>
    <w:p w:rsidR="00EC7CE3" w:rsidRPr="00EC7CE3" w:rsidRDefault="00EC7CE3" w:rsidP="00CC04DE">
      <w:r w:rsidRPr="00EC7CE3">
        <w:t>In relation to exposure in the pivotal study</w:t>
      </w:r>
      <w:r>
        <w:t>,</w:t>
      </w:r>
      <w:r w:rsidRPr="00EC7CE3">
        <w:t xml:space="preserve"> median exposure to </w:t>
      </w:r>
      <w:r>
        <w:t>i</w:t>
      </w:r>
      <w:r w:rsidRPr="00EC7CE3">
        <w:t xml:space="preserve">matinib for </w:t>
      </w:r>
      <w:r>
        <w:t>C</w:t>
      </w:r>
      <w:r w:rsidRPr="00EC7CE3">
        <w:t xml:space="preserve">ohorts 1 to </w:t>
      </w:r>
      <w:r>
        <w:t>C</w:t>
      </w:r>
      <w:r w:rsidRPr="00EC7CE3">
        <w:t>ohort 5 among patients who did not undergo HSCT</w:t>
      </w:r>
      <w:r>
        <w:t>,</w:t>
      </w:r>
      <w:r w:rsidRPr="00EC7CE3">
        <w:t xml:space="preserve"> range from 176 days for </w:t>
      </w:r>
      <w:r>
        <w:t>C</w:t>
      </w:r>
      <w:r w:rsidRPr="00EC7CE3">
        <w:t xml:space="preserve">ohort 1 to </w:t>
      </w:r>
      <w:r w:rsidRPr="00EC7CE3">
        <w:lastRenderedPageBreak/>
        <w:t xml:space="preserve">708 days for </w:t>
      </w:r>
      <w:r>
        <w:t>C</w:t>
      </w:r>
      <w:r w:rsidRPr="00EC7CE3">
        <w:t>ohort 5. In the non HSCT Ph</w:t>
      </w:r>
      <w:r w:rsidR="00D96EBB">
        <w:t xml:space="preserve"> </w:t>
      </w:r>
      <w:r w:rsidRPr="00EC7CE3">
        <w:t>negative</w:t>
      </w:r>
      <w:r w:rsidR="005932F1">
        <w:t xml:space="preserve"> (Ph-)</w:t>
      </w:r>
      <w:r w:rsidRPr="00EC7CE3">
        <w:t xml:space="preserve"> patients the median exposure to chemotherapy was 783 days and this is illustrated in Table </w:t>
      </w:r>
      <w:r w:rsidR="00D96EBB">
        <w:t>9</w:t>
      </w:r>
      <w:r w:rsidRPr="00EC7CE3">
        <w:t>.</w:t>
      </w:r>
    </w:p>
    <w:p w:rsidR="00EC7CE3" w:rsidRPr="00EC7CE3" w:rsidRDefault="00EC7CE3" w:rsidP="00CC04DE">
      <w:pPr>
        <w:pStyle w:val="TableTitle"/>
      </w:pPr>
      <w:r w:rsidRPr="00EC7CE3">
        <w:t xml:space="preserve">Table </w:t>
      </w:r>
      <w:r w:rsidR="00D96EBB">
        <w:t>9</w:t>
      </w:r>
      <w:r w:rsidRPr="00EC7CE3">
        <w:t xml:space="preserve">: Overall </w:t>
      </w:r>
      <w:r w:rsidRPr="00CC04DE">
        <w:t>exposure</w:t>
      </w:r>
      <w:r w:rsidRPr="00EC7CE3">
        <w:t xml:space="preserve"> to </w:t>
      </w:r>
      <w:proofErr w:type="spellStart"/>
      <w:r w:rsidRPr="00EC7CE3">
        <w:t>imatinib</w:t>
      </w:r>
      <w:proofErr w:type="spellEnd"/>
      <w:r w:rsidRPr="00EC7CE3">
        <w:t>/chemotherapy (Safety set excluding HSCT patients – STI571I2301)</w:t>
      </w:r>
    </w:p>
    <w:p w:rsidR="00EC7CE3" w:rsidRPr="00EC7CE3" w:rsidRDefault="00EC7CE3" w:rsidP="00CC04DE">
      <w:r w:rsidRPr="00EC7CE3">
        <w:rPr>
          <w:noProof/>
          <w:lang w:eastAsia="en-AU"/>
        </w:rPr>
        <w:drawing>
          <wp:inline distT="0" distB="0" distL="0" distR="0" wp14:anchorId="05E7B344" wp14:editId="24D4F8F8">
            <wp:extent cx="5260521" cy="2238349"/>
            <wp:effectExtent l="19050" t="0" r="0" b="0"/>
            <wp:docPr id="16" name="Picture 6" descr="Table 9: Overall exposure to imatinib/chemotherapy (Safety set excluding HSCT patients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66088" cy="2240718"/>
                    </a:xfrm>
                    <a:prstGeom prst="rect">
                      <a:avLst/>
                    </a:prstGeom>
                    <a:noFill/>
                    <a:ln w="9525">
                      <a:noFill/>
                      <a:miter lim="800000"/>
                      <a:headEnd/>
                      <a:tailEnd/>
                    </a:ln>
                  </pic:spPr>
                </pic:pic>
              </a:graphicData>
            </a:graphic>
          </wp:inline>
        </w:drawing>
      </w:r>
    </w:p>
    <w:p w:rsidR="00EC7CE3" w:rsidRPr="00EC7CE3" w:rsidRDefault="00EC7CE3" w:rsidP="00CC04DE">
      <w:r w:rsidRPr="00EC7CE3">
        <w:t xml:space="preserve">Among the </w:t>
      </w:r>
      <w:r w:rsidR="00377778">
        <w:t>PH+ ALL</w:t>
      </w:r>
      <w:r w:rsidRPr="00EC7CE3">
        <w:t xml:space="preserve"> patients receiving per protocol HSCT the overall median intermittent exposure prior to HSCT was 42 days and with a range of 21 to 77 days and median exposure to </w:t>
      </w:r>
      <w:r w:rsidR="00D96EBB">
        <w:t>i</w:t>
      </w:r>
      <w:r w:rsidRPr="00EC7CE3">
        <w:t>matinib following HSCT was 169 days with a range of 14 to 192 days. Among the Ph</w:t>
      </w:r>
      <w:r w:rsidR="00D96EBB">
        <w:t>+</w:t>
      </w:r>
      <w:r w:rsidRPr="00EC7CE3">
        <w:t xml:space="preserve"> patients the overall median </w:t>
      </w:r>
      <w:r w:rsidR="00D96EBB">
        <w:t>i</w:t>
      </w:r>
      <w:r w:rsidRPr="00EC7CE3">
        <w:t>matinib exposure prior to patients receiving off protocol HSCT was 53 days with a range of 28 to 165 days.</w:t>
      </w:r>
    </w:p>
    <w:p w:rsidR="00D96EBB" w:rsidRPr="00F70A36" w:rsidRDefault="00D96EBB" w:rsidP="00CC04DE">
      <w:r w:rsidRPr="00D96EBB">
        <w:t xml:space="preserve">In relation to </w:t>
      </w:r>
      <w:r>
        <w:t>S</w:t>
      </w:r>
      <w:r w:rsidRPr="00D96EBB">
        <w:t xml:space="preserve">tudy AIT07 overall treatment exposure for </w:t>
      </w:r>
      <w:r>
        <w:t>i</w:t>
      </w:r>
      <w:r w:rsidRPr="00D96EBB">
        <w:t xml:space="preserve">matinib plus chemotherapy or chemotherapy alone is summarised in Table </w:t>
      </w:r>
      <w:r>
        <w:t>10</w:t>
      </w:r>
      <w:r w:rsidRPr="00D96EBB">
        <w:t>. Median duration of treatment was s</w:t>
      </w:r>
      <w:r w:rsidR="00B7229F">
        <w:t>imilar for all patient groups.</w:t>
      </w:r>
    </w:p>
    <w:p w:rsidR="00D96EBB" w:rsidRPr="00D96EBB" w:rsidRDefault="00D96EBB" w:rsidP="00CC04DE">
      <w:pPr>
        <w:pStyle w:val="TableTitle"/>
      </w:pPr>
      <w:r w:rsidRPr="00D96EBB">
        <w:t xml:space="preserve">Table 10: Overall </w:t>
      </w:r>
      <w:r w:rsidRPr="00CC04DE">
        <w:t>treatment</w:t>
      </w:r>
      <w:r w:rsidRPr="00D96EBB">
        <w:t xml:space="preserve"> exposure* (Safety set </w:t>
      </w:r>
      <w:r w:rsidR="002A7F43" w:rsidRPr="002A7F43">
        <w:rPr>
          <w:bCs/>
        </w:rPr>
        <w:t>STI571AIT07)</w:t>
      </w:r>
    </w:p>
    <w:p w:rsidR="00D96EBB" w:rsidRPr="00D96EBB" w:rsidRDefault="00D96EBB" w:rsidP="00CC04DE">
      <w:pPr>
        <w:rPr>
          <w:b/>
        </w:rPr>
      </w:pPr>
      <w:r w:rsidRPr="00D96EBB">
        <w:rPr>
          <w:noProof/>
          <w:lang w:eastAsia="en-AU"/>
        </w:rPr>
        <w:drawing>
          <wp:inline distT="0" distB="0" distL="0" distR="0" wp14:anchorId="195FFD97" wp14:editId="129045E0">
            <wp:extent cx="5260521" cy="3232369"/>
            <wp:effectExtent l="19050" t="0" r="0" b="0"/>
            <wp:docPr id="19" name="Picture 21" descr="Table 10. Overall treatment exposure* (Safety set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264292" cy="3234686"/>
                    </a:xfrm>
                    <a:prstGeom prst="rect">
                      <a:avLst/>
                    </a:prstGeom>
                    <a:noFill/>
                    <a:ln w="9525">
                      <a:noFill/>
                      <a:miter lim="800000"/>
                      <a:headEnd/>
                      <a:tailEnd/>
                    </a:ln>
                  </pic:spPr>
                </pic:pic>
              </a:graphicData>
            </a:graphic>
          </wp:inline>
        </w:drawing>
      </w:r>
    </w:p>
    <w:p w:rsidR="00F70A36" w:rsidRPr="00F70A36" w:rsidRDefault="00F70A36" w:rsidP="00CC04DE">
      <w:r w:rsidRPr="00F70A36">
        <w:t>Overall 24 or 77.4% of the good risk patients who received chemotherapy alone, 48 or 82.8% of the good risk patients</w:t>
      </w:r>
      <w:r w:rsidR="00277ECF">
        <w:t xml:space="preserve"> who </w:t>
      </w:r>
      <w:r w:rsidRPr="00F70A36">
        <w:t xml:space="preserve">received </w:t>
      </w:r>
      <w:r>
        <w:t>i</w:t>
      </w:r>
      <w:r w:rsidRPr="00F70A36">
        <w:t xml:space="preserve">matinib plus chemotherapy and 61 or 87.1% of the poor risk patients who received </w:t>
      </w:r>
      <w:r>
        <w:t>i</w:t>
      </w:r>
      <w:r w:rsidRPr="00F70A36">
        <w:t>matinib plus chemotherapy underwent HSCT. In total</w:t>
      </w:r>
      <w:r w:rsidR="00277ECF">
        <w:t>,</w:t>
      </w:r>
      <w:r w:rsidRPr="00F70A36">
        <w:t xml:space="preserve"> 109 or 85.2% of patients who received </w:t>
      </w:r>
      <w:r>
        <w:t>i</w:t>
      </w:r>
      <w:r w:rsidRPr="00F70A36">
        <w:t xml:space="preserve">matinib plus chemotherapy in both </w:t>
      </w:r>
      <w:r w:rsidRPr="00F70A36">
        <w:lastRenderedPageBreak/>
        <w:t xml:space="preserve">good and poor risk patients underwent HSCT in this study. Patients undergoing HSCT did not receive </w:t>
      </w:r>
      <w:r>
        <w:t>i</w:t>
      </w:r>
      <w:r w:rsidRPr="00F70A36">
        <w:t>matinib post HSCT.</w:t>
      </w:r>
    </w:p>
    <w:p w:rsidR="00F70A36" w:rsidRPr="00F70A36" w:rsidRDefault="00F70A36" w:rsidP="00CC04DE">
      <w:r w:rsidRPr="00F70A36">
        <w:t xml:space="preserve">The median duration of follow up was similar for good risk patients receiving chemotherapy alone at 38 months with a range </w:t>
      </w:r>
      <w:r w:rsidR="00277ECF">
        <w:t>two</w:t>
      </w:r>
      <w:r w:rsidRPr="00F70A36">
        <w:t xml:space="preserve"> to 72 and patients receiving </w:t>
      </w:r>
      <w:r>
        <w:t>i</w:t>
      </w:r>
      <w:r w:rsidRPr="00F70A36">
        <w:t>matinib plus chemotherapy at 35 months with a range of 2 to 79. As expected</w:t>
      </w:r>
      <w:r>
        <w:t>,</w:t>
      </w:r>
      <w:r w:rsidRPr="00F70A36">
        <w:t xml:space="preserve"> follow time was poor for the poor risk patients at 23 months with a range of </w:t>
      </w:r>
      <w:r w:rsidR="00277ECF">
        <w:t>four</w:t>
      </w:r>
      <w:r w:rsidRPr="00F70A36">
        <w:t xml:space="preserve"> to 79 months. Patients who received </w:t>
      </w:r>
      <w:r>
        <w:t>i</w:t>
      </w:r>
      <w:r w:rsidRPr="00F70A36">
        <w:t>matinib from start of study treatment were followed up to a maximum of 79 months with a median of 30 months.</w:t>
      </w:r>
    </w:p>
    <w:p w:rsidR="0073004F" w:rsidRPr="00CC04DE" w:rsidRDefault="0073004F" w:rsidP="00CC04DE">
      <w:pPr>
        <w:pStyle w:val="Heading4"/>
      </w:pPr>
      <w:r w:rsidRPr="0073004F">
        <w:t>Deaths</w:t>
      </w:r>
      <w:r w:rsidR="00B7229F">
        <w:t xml:space="preserve"> and serious adverse events</w:t>
      </w:r>
    </w:p>
    <w:p w:rsidR="008029E8" w:rsidRPr="00CC04DE" w:rsidRDefault="008029E8" w:rsidP="00CC04DE">
      <w:pPr>
        <w:pStyle w:val="Heading5"/>
      </w:pPr>
      <w:r>
        <w:t>Deaths</w:t>
      </w:r>
    </w:p>
    <w:p w:rsidR="0073004F" w:rsidRPr="0073004F" w:rsidRDefault="0073004F" w:rsidP="00CC04DE">
      <w:r w:rsidRPr="0073004F">
        <w:t xml:space="preserve">In relation to deaths, in </w:t>
      </w:r>
      <w:r w:rsidR="008029E8">
        <w:t>S</w:t>
      </w:r>
      <w:r w:rsidRPr="0073004F">
        <w:t>tudy 2301 the deaths and reasons for</w:t>
      </w:r>
      <w:r w:rsidR="008029E8">
        <w:t xml:space="preserve"> these are indicated in Tables 1</w:t>
      </w:r>
      <w:r w:rsidRPr="0073004F">
        <w:t xml:space="preserve">1 and </w:t>
      </w:r>
      <w:r w:rsidR="008029E8">
        <w:t>1</w:t>
      </w:r>
      <w:r w:rsidR="00B7229F">
        <w:t>2.</w:t>
      </w:r>
    </w:p>
    <w:p w:rsidR="0073004F" w:rsidRPr="0073004F" w:rsidRDefault="0073004F" w:rsidP="00CC04DE">
      <w:pPr>
        <w:pStyle w:val="TableTitle"/>
      </w:pPr>
      <w:r w:rsidRPr="0073004F">
        <w:t>Tabl</w:t>
      </w:r>
      <w:r w:rsidR="008029E8">
        <w:t>e 1</w:t>
      </w:r>
      <w:r w:rsidRPr="0073004F">
        <w:t xml:space="preserve">1: Deaths (Safety set – </w:t>
      </w:r>
      <w:r w:rsidRPr="00CC04DE">
        <w:t>STI571I2301</w:t>
      </w:r>
      <w:r w:rsidRPr="0073004F">
        <w:t>)</w:t>
      </w:r>
    </w:p>
    <w:p w:rsidR="0073004F" w:rsidRPr="0073004F" w:rsidRDefault="0073004F" w:rsidP="00CC04DE">
      <w:r w:rsidRPr="0073004F">
        <w:rPr>
          <w:noProof/>
          <w:lang w:eastAsia="en-AU"/>
        </w:rPr>
        <w:drawing>
          <wp:inline distT="0" distB="0" distL="0" distR="0" wp14:anchorId="43D568CF" wp14:editId="6D229D25">
            <wp:extent cx="5053693" cy="1057749"/>
            <wp:effectExtent l="19050" t="0" r="0" b="0"/>
            <wp:docPr id="20" name="Picture 53" descr="Table 11: Deaths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a:stretch>
                      <a:fillRect/>
                    </a:stretch>
                  </pic:blipFill>
                  <pic:spPr bwMode="auto">
                    <a:xfrm>
                      <a:off x="0" y="0"/>
                      <a:ext cx="5076658" cy="1062556"/>
                    </a:xfrm>
                    <a:prstGeom prst="rect">
                      <a:avLst/>
                    </a:prstGeom>
                    <a:noFill/>
                    <a:ln w="9525">
                      <a:noFill/>
                      <a:miter lim="800000"/>
                      <a:headEnd/>
                      <a:tailEnd/>
                    </a:ln>
                  </pic:spPr>
                </pic:pic>
              </a:graphicData>
            </a:graphic>
          </wp:inline>
        </w:drawing>
      </w:r>
    </w:p>
    <w:p w:rsidR="0073004F" w:rsidRPr="0073004F" w:rsidRDefault="0073004F" w:rsidP="00CC04DE">
      <w:pPr>
        <w:pStyle w:val="TableTitle"/>
      </w:pPr>
      <w:r w:rsidRPr="0073004F">
        <w:t xml:space="preserve">Table </w:t>
      </w:r>
      <w:r w:rsidR="008029E8">
        <w:t>1</w:t>
      </w:r>
      <w:r w:rsidRPr="0073004F">
        <w:t>2: Primary cause of death (</w:t>
      </w:r>
      <w:r w:rsidRPr="00CC04DE">
        <w:t>Safety</w:t>
      </w:r>
      <w:r w:rsidRPr="0073004F">
        <w:t xml:space="preserve"> set - </w:t>
      </w:r>
      <w:r w:rsidRPr="0073004F">
        <w:rPr>
          <w:bCs/>
        </w:rPr>
        <w:t>STI571I2301)</w:t>
      </w:r>
    </w:p>
    <w:p w:rsidR="0073004F" w:rsidRPr="0073004F" w:rsidRDefault="0073004F" w:rsidP="00CC04DE">
      <w:r w:rsidRPr="0073004F">
        <w:rPr>
          <w:noProof/>
          <w:lang w:eastAsia="en-AU"/>
        </w:rPr>
        <w:drawing>
          <wp:inline distT="0" distB="0" distL="0" distR="0" wp14:anchorId="63F38D60" wp14:editId="11837C29">
            <wp:extent cx="5053693" cy="2314807"/>
            <wp:effectExtent l="19050" t="0" r="0" b="0"/>
            <wp:docPr id="22" name="Picture 54" descr="Table 12: Primary cause of death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t="2620" r="471"/>
                    <a:stretch>
                      <a:fillRect/>
                    </a:stretch>
                  </pic:blipFill>
                  <pic:spPr bwMode="auto">
                    <a:xfrm>
                      <a:off x="0" y="0"/>
                      <a:ext cx="5054778" cy="2315304"/>
                    </a:xfrm>
                    <a:prstGeom prst="rect">
                      <a:avLst/>
                    </a:prstGeom>
                    <a:noFill/>
                    <a:ln w="9525">
                      <a:noFill/>
                      <a:miter lim="800000"/>
                      <a:headEnd/>
                      <a:tailEnd/>
                    </a:ln>
                  </pic:spPr>
                </pic:pic>
              </a:graphicData>
            </a:graphic>
          </wp:inline>
        </w:drawing>
      </w:r>
    </w:p>
    <w:p w:rsidR="0073004F" w:rsidRPr="0073004F" w:rsidRDefault="00891E0E" w:rsidP="00CC04DE">
      <w:r>
        <w:t>F</w:t>
      </w:r>
      <w:r w:rsidR="0073004F" w:rsidRPr="0073004F">
        <w:t xml:space="preserve">our </w:t>
      </w:r>
      <w:r w:rsidR="00642405">
        <w:t xml:space="preserve">deaths </w:t>
      </w:r>
      <w:r w:rsidR="0073004F" w:rsidRPr="0073004F">
        <w:t xml:space="preserve">occurred on therapy or within 30 days of the last treatment. Of these, two were in patients who were receiving chemotherapy and </w:t>
      </w:r>
      <w:r w:rsidR="008029E8">
        <w:t>i</w:t>
      </w:r>
      <w:r w:rsidR="0073004F" w:rsidRPr="0073004F">
        <w:t>matinib and both were related to infection. A further death was related to infection together with respiratory haemorrhage and failure. The final death was also associat</w:t>
      </w:r>
      <w:r w:rsidR="00B7229F">
        <w:t xml:space="preserve">ed with </w:t>
      </w:r>
      <w:proofErr w:type="spellStart"/>
      <w:r w:rsidR="00B7229F">
        <w:t>neutropenic</w:t>
      </w:r>
      <w:proofErr w:type="spellEnd"/>
      <w:r w:rsidR="00B7229F">
        <w:t xml:space="preserve"> infection.</w:t>
      </w:r>
    </w:p>
    <w:p w:rsidR="0073004F" w:rsidRPr="0073004F" w:rsidRDefault="00891E0E" w:rsidP="00CC04DE">
      <w:r>
        <w:t>T</w:t>
      </w:r>
      <w:r w:rsidR="0073004F" w:rsidRPr="0073004F">
        <w:t>he most common cause of death was progression of malignancy and in particular this was three times more common in the Ph</w:t>
      </w:r>
      <w:r w:rsidR="00642405">
        <w:t>-</w:t>
      </w:r>
      <w:r w:rsidR="0073004F" w:rsidRPr="0073004F">
        <w:t xml:space="preserve"> patients. It is also noted that patients in </w:t>
      </w:r>
      <w:r w:rsidR="008029E8">
        <w:t>C</w:t>
      </w:r>
      <w:r w:rsidR="0073004F" w:rsidRPr="0073004F">
        <w:t xml:space="preserve">ohort 5 with the longest duration of </w:t>
      </w:r>
      <w:r w:rsidR="008029E8">
        <w:t>i</w:t>
      </w:r>
      <w:r w:rsidR="0073004F" w:rsidRPr="0073004F">
        <w:t xml:space="preserve">matinib exposure experienced a lower incidence of deaths than patients in the other </w:t>
      </w:r>
      <w:r w:rsidR="00277ECF">
        <w:t>four</w:t>
      </w:r>
      <w:r w:rsidR="0073004F" w:rsidRPr="0073004F">
        <w:t xml:space="preserve"> cohorts including those deaths related to progressive disease, infection, h</w:t>
      </w:r>
      <w:r w:rsidR="00B7229F">
        <w:t>aemorrhage and unknown.</w:t>
      </w:r>
    </w:p>
    <w:p w:rsidR="0073004F" w:rsidRPr="0073004F" w:rsidRDefault="0073004F" w:rsidP="00CC04DE">
      <w:r w:rsidRPr="0073004F">
        <w:t xml:space="preserve">In relation to </w:t>
      </w:r>
      <w:r w:rsidR="008029E8">
        <w:t>S</w:t>
      </w:r>
      <w:r w:rsidRPr="0073004F">
        <w:t xml:space="preserve">tudy AIT07 as indicated in Table </w:t>
      </w:r>
      <w:r w:rsidR="008029E8">
        <w:t>1</w:t>
      </w:r>
      <w:r w:rsidRPr="0073004F">
        <w:t xml:space="preserve">3 a total of 41 deaths occurred during the study with a higher frequency in the poor risk patients (34.3%) compared to the good risk with no </w:t>
      </w:r>
      <w:r w:rsidR="008029E8">
        <w:t>i</w:t>
      </w:r>
      <w:r w:rsidRPr="0073004F">
        <w:t xml:space="preserve">matinib (25.8%) or in good risk with </w:t>
      </w:r>
      <w:r w:rsidR="008029E8">
        <w:t>i</w:t>
      </w:r>
      <w:r w:rsidRPr="0073004F">
        <w:t xml:space="preserve">matinib (15.5%). The reasons for the deaths were generally similar across treatment groups. Again the most common was </w:t>
      </w:r>
      <w:r w:rsidR="00B7229F">
        <w:t>progressive malignant disease.</w:t>
      </w:r>
    </w:p>
    <w:p w:rsidR="0073004F" w:rsidRPr="0073004F" w:rsidRDefault="0073004F" w:rsidP="00CC04DE">
      <w:pPr>
        <w:pStyle w:val="TableTitle"/>
      </w:pPr>
      <w:r w:rsidRPr="0073004F">
        <w:lastRenderedPageBreak/>
        <w:t xml:space="preserve">Table </w:t>
      </w:r>
      <w:r w:rsidR="008029E8">
        <w:t>1</w:t>
      </w:r>
      <w:r w:rsidRPr="0073004F">
        <w:t xml:space="preserve">3: Deaths and cause of death by Risk and </w:t>
      </w:r>
      <w:r w:rsidRPr="00CC04DE">
        <w:t>treatment</w:t>
      </w:r>
      <w:r w:rsidRPr="0073004F">
        <w:t xml:space="preserve"> group (Safety Set – STI571AIT07)</w:t>
      </w:r>
    </w:p>
    <w:p w:rsidR="0073004F" w:rsidRPr="0073004F" w:rsidRDefault="0073004F" w:rsidP="00CC04DE">
      <w:r w:rsidRPr="0073004F">
        <w:rPr>
          <w:noProof/>
          <w:lang w:eastAsia="en-AU"/>
        </w:rPr>
        <w:drawing>
          <wp:inline distT="0" distB="0" distL="0" distR="0" wp14:anchorId="7C3EF407" wp14:editId="1624A728">
            <wp:extent cx="4862537" cy="3245081"/>
            <wp:effectExtent l="19050" t="0" r="0" b="0"/>
            <wp:docPr id="23" name="Picture 57" descr="Table 13: Deaths and cause of death by Risk and treatment group (Safety Set –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4860052" cy="3243422"/>
                    </a:xfrm>
                    <a:prstGeom prst="rect">
                      <a:avLst/>
                    </a:prstGeom>
                    <a:noFill/>
                    <a:ln w="9525">
                      <a:noFill/>
                      <a:miter lim="800000"/>
                      <a:headEnd/>
                      <a:tailEnd/>
                    </a:ln>
                  </pic:spPr>
                </pic:pic>
              </a:graphicData>
            </a:graphic>
          </wp:inline>
        </w:drawing>
      </w:r>
    </w:p>
    <w:p w:rsidR="0073004F" w:rsidRPr="00CC04DE" w:rsidRDefault="0073004F" w:rsidP="00CC04DE">
      <w:pPr>
        <w:pStyle w:val="Heading5"/>
      </w:pPr>
      <w:r w:rsidRPr="0073004F">
        <w:t>Serious adverse events</w:t>
      </w:r>
    </w:p>
    <w:p w:rsidR="0073004F" w:rsidRPr="0073004F" w:rsidRDefault="0073004F" w:rsidP="00CC04DE">
      <w:r w:rsidRPr="0073004F">
        <w:t xml:space="preserve">In relation to serious adverse events </w:t>
      </w:r>
      <w:r w:rsidR="00642405">
        <w:t xml:space="preserve">(SAEs) </w:t>
      </w:r>
      <w:r w:rsidRPr="0073004F">
        <w:t xml:space="preserve">the frequency of these by system organ class </w:t>
      </w:r>
      <w:r w:rsidR="008029E8">
        <w:t xml:space="preserve">(SOC) </w:t>
      </w:r>
      <w:r w:rsidRPr="0073004F">
        <w:t xml:space="preserve">for the pivotal </w:t>
      </w:r>
      <w:r w:rsidR="008029E8">
        <w:t>S</w:t>
      </w:r>
      <w:r w:rsidRPr="0073004F">
        <w:t xml:space="preserve">tudy 2301 was higher for </w:t>
      </w:r>
      <w:r w:rsidR="008029E8">
        <w:t>C</w:t>
      </w:r>
      <w:r w:rsidRPr="0073004F">
        <w:t xml:space="preserve">ohort 5 patients excluding HSCT at 50% and for all cohort patients who received per protocol HSCT at 33.3% and indicated in Table </w:t>
      </w:r>
      <w:r w:rsidR="008029E8">
        <w:t>14</w:t>
      </w:r>
      <w:r w:rsidR="00277ECF">
        <w:t>:</w:t>
      </w:r>
      <w:r w:rsidRPr="0073004F">
        <w:t xml:space="preserve"> Adverse Event Expedited Reporting System</w:t>
      </w:r>
      <w:r w:rsidR="00EB3BA0">
        <w:t xml:space="preserve"> </w:t>
      </w:r>
      <w:r w:rsidR="00EB3BA0" w:rsidRPr="00EB3BA0">
        <w:t>(</w:t>
      </w:r>
      <w:proofErr w:type="spellStart"/>
      <w:r w:rsidR="00EB3BA0" w:rsidRPr="00EB3BA0">
        <w:t>AdEERS</w:t>
      </w:r>
      <w:proofErr w:type="spellEnd"/>
      <w:r w:rsidR="00B7229F">
        <w:t>).</w:t>
      </w:r>
    </w:p>
    <w:p w:rsidR="0073004F" w:rsidRPr="00CC04DE" w:rsidRDefault="0073004F" w:rsidP="00CC04DE">
      <w:pPr>
        <w:pStyle w:val="TableTitle"/>
      </w:pPr>
      <w:r w:rsidRPr="0073004F">
        <w:t xml:space="preserve">Table </w:t>
      </w:r>
      <w:r w:rsidR="008029E8">
        <w:t>1</w:t>
      </w:r>
      <w:r w:rsidRPr="0073004F">
        <w:t xml:space="preserve">4: </w:t>
      </w:r>
      <w:proofErr w:type="spellStart"/>
      <w:r w:rsidRPr="0073004F">
        <w:t>AdEERS</w:t>
      </w:r>
      <w:proofErr w:type="spellEnd"/>
      <w:r w:rsidRPr="0073004F">
        <w:t xml:space="preserve"> by system organ class in </w:t>
      </w:r>
      <w:r w:rsidR="008029E8">
        <w:t>C</w:t>
      </w:r>
      <w:r w:rsidRPr="0073004F">
        <w:t>ohort 5 excluding HSCT v</w:t>
      </w:r>
      <w:r w:rsidR="008029E8">
        <w:t>ersu</w:t>
      </w:r>
      <w:r w:rsidRPr="0073004F">
        <w:t>s all cohorts per protocol HSCT (Safety Set – STI571I2301)</w:t>
      </w:r>
    </w:p>
    <w:p w:rsidR="0073004F" w:rsidRPr="0073004F" w:rsidRDefault="0073004F" w:rsidP="00CC04DE">
      <w:r w:rsidRPr="0073004F">
        <w:rPr>
          <w:noProof/>
          <w:lang w:eastAsia="en-AU"/>
        </w:rPr>
        <w:drawing>
          <wp:inline distT="0" distB="0" distL="0" distR="0" wp14:anchorId="172D71B1" wp14:editId="456F43B4">
            <wp:extent cx="4633367" cy="3215184"/>
            <wp:effectExtent l="19050" t="0" r="0" b="0"/>
            <wp:docPr id="24" name="Picture 60" descr="Table 14: AdEERS by system organ class in cohort 5 excluding HSCT vs. all cohorts per protocol HSCT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a:stretch>
                      <a:fillRect/>
                    </a:stretch>
                  </pic:blipFill>
                  <pic:spPr bwMode="auto">
                    <a:xfrm>
                      <a:off x="0" y="0"/>
                      <a:ext cx="4635476" cy="3216647"/>
                    </a:xfrm>
                    <a:prstGeom prst="rect">
                      <a:avLst/>
                    </a:prstGeom>
                    <a:noFill/>
                    <a:ln w="9525">
                      <a:noFill/>
                      <a:miter lim="800000"/>
                      <a:headEnd/>
                      <a:tailEnd/>
                    </a:ln>
                  </pic:spPr>
                </pic:pic>
              </a:graphicData>
            </a:graphic>
          </wp:inline>
        </w:drawing>
      </w:r>
    </w:p>
    <w:p w:rsidR="0073004F" w:rsidRPr="0073004F" w:rsidRDefault="0073004F" w:rsidP="00CC04DE">
      <w:r w:rsidRPr="0073004F">
        <w:t xml:space="preserve">In relation to </w:t>
      </w:r>
      <w:r w:rsidR="00642405">
        <w:t>SAE</w:t>
      </w:r>
      <w:r w:rsidRPr="0073004F">
        <w:t xml:space="preserve">s for </w:t>
      </w:r>
      <w:r w:rsidR="008029E8">
        <w:t>S</w:t>
      </w:r>
      <w:r w:rsidRPr="0073004F">
        <w:t xml:space="preserve">tudy AIT07 the proportion of patients who experienced </w:t>
      </w:r>
      <w:r w:rsidR="00642405">
        <w:t>SAE</w:t>
      </w:r>
      <w:r w:rsidRPr="0073004F">
        <w:t>s w</w:t>
      </w:r>
      <w:r w:rsidR="00277ECF">
        <w:t>as</w:t>
      </w:r>
      <w:r w:rsidRPr="0073004F">
        <w:t xml:space="preserve"> similar for patients who received </w:t>
      </w:r>
      <w:r w:rsidR="008029E8">
        <w:t>i</w:t>
      </w:r>
      <w:r w:rsidRPr="0073004F">
        <w:t xml:space="preserve">matinib at 31.3% versus 32.3% for patients not treated with </w:t>
      </w:r>
      <w:r w:rsidR="008029E8">
        <w:t>i</w:t>
      </w:r>
      <w:r w:rsidRPr="0073004F">
        <w:t xml:space="preserve">matinib. The proportion of patients experiencing </w:t>
      </w:r>
      <w:r w:rsidR="00642405">
        <w:t>SAE</w:t>
      </w:r>
      <w:r w:rsidRPr="0073004F">
        <w:t xml:space="preserve">s was lower in the good risk </w:t>
      </w:r>
      <w:r w:rsidR="008029E8">
        <w:t>i</w:t>
      </w:r>
      <w:r w:rsidRPr="0073004F">
        <w:t xml:space="preserve">matinib group at 27.6% than in the good risk no </w:t>
      </w:r>
      <w:r w:rsidR="008029E8">
        <w:t>i</w:t>
      </w:r>
      <w:r w:rsidRPr="0073004F">
        <w:t xml:space="preserve">matinib group at 32.3%. This latter </w:t>
      </w:r>
      <w:r w:rsidRPr="0073004F">
        <w:lastRenderedPageBreak/>
        <w:t xml:space="preserve">figure was similar to that for the poor risk group at 34.3% all who had received </w:t>
      </w:r>
      <w:r w:rsidR="008029E8">
        <w:t>i</w:t>
      </w:r>
      <w:r w:rsidRPr="0073004F">
        <w:t xml:space="preserve">matinib. This is illustrated in Table </w:t>
      </w:r>
      <w:r w:rsidR="008029E8">
        <w:t>1</w:t>
      </w:r>
      <w:r w:rsidRPr="0073004F">
        <w:t>5</w:t>
      </w:r>
      <w:r w:rsidR="008029E8">
        <w:t xml:space="preserve">. </w:t>
      </w:r>
      <w:r w:rsidRPr="0073004F">
        <w:t xml:space="preserve">Infections were the most commonly reported </w:t>
      </w:r>
      <w:r w:rsidR="00642405">
        <w:t>SAE</w:t>
      </w:r>
      <w:r w:rsidR="00B7229F">
        <w:t>s in both risk groups.</w:t>
      </w:r>
    </w:p>
    <w:p w:rsidR="0073004F" w:rsidRPr="0073004F" w:rsidRDefault="0073004F" w:rsidP="00CC04DE">
      <w:pPr>
        <w:pStyle w:val="TableTitle"/>
      </w:pPr>
      <w:r w:rsidRPr="0073004F">
        <w:t xml:space="preserve">Table </w:t>
      </w:r>
      <w:r w:rsidR="008029E8">
        <w:t>1</w:t>
      </w:r>
      <w:r w:rsidRPr="0073004F">
        <w:t>5: Serious adverse events regardless of study drug relationship by system organ class and preferred term (Safety set –</w:t>
      </w:r>
      <w:r w:rsidRPr="00CC04DE">
        <w:t>STI571AIT07</w:t>
      </w:r>
      <w:r w:rsidRPr="0073004F">
        <w:t>)</w:t>
      </w:r>
    </w:p>
    <w:p w:rsidR="0073004F" w:rsidRPr="0073004F" w:rsidRDefault="0073004F" w:rsidP="00CC04DE">
      <w:r w:rsidRPr="0073004F">
        <w:rPr>
          <w:noProof/>
          <w:lang w:eastAsia="en-AU"/>
        </w:rPr>
        <w:drawing>
          <wp:inline distT="0" distB="0" distL="0" distR="0" wp14:anchorId="58853744" wp14:editId="09A6149B">
            <wp:extent cx="4975961" cy="5110843"/>
            <wp:effectExtent l="19050" t="0" r="0" b="0"/>
            <wp:docPr id="26" name="Picture 63" descr="Table 15: Serious adverse events regardless of study drug relationship by system organ class and preferred term (Safety set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4973807" cy="5108631"/>
                    </a:xfrm>
                    <a:prstGeom prst="rect">
                      <a:avLst/>
                    </a:prstGeom>
                    <a:noFill/>
                    <a:ln w="9525">
                      <a:noFill/>
                      <a:miter lim="800000"/>
                      <a:headEnd/>
                      <a:tailEnd/>
                    </a:ln>
                  </pic:spPr>
                </pic:pic>
              </a:graphicData>
            </a:graphic>
          </wp:inline>
        </w:drawing>
      </w:r>
    </w:p>
    <w:p w:rsidR="007B6420" w:rsidRPr="00B7229F" w:rsidRDefault="007B6420" w:rsidP="00CC04DE">
      <w:pPr>
        <w:pStyle w:val="Heading4"/>
      </w:pPr>
      <w:bookmarkStart w:id="91" w:name="_Toc373825804"/>
      <w:r w:rsidRPr="007B6420">
        <w:t xml:space="preserve">Post-marketing </w:t>
      </w:r>
      <w:r w:rsidRPr="00CC04DE">
        <w:t>data</w:t>
      </w:r>
      <w:bookmarkEnd w:id="91"/>
    </w:p>
    <w:p w:rsidR="007B6420" w:rsidRPr="007B6420" w:rsidRDefault="007B6420" w:rsidP="00CC04DE">
      <w:r w:rsidRPr="007B6420">
        <w:t xml:space="preserve">In relation to post-marketing data a worldwide literature search was performed to capture any investigator reports on safety aspects which were not included in study reports. This did not provide any evidence of unexpected or unknown events that would be attributable to treatment with </w:t>
      </w:r>
      <w:r>
        <w:t>i</w:t>
      </w:r>
      <w:r w:rsidRPr="007B6420">
        <w:t xml:space="preserve">matinib, confirming </w:t>
      </w:r>
      <w:r>
        <w:t xml:space="preserve">its </w:t>
      </w:r>
      <w:r w:rsidRPr="007B6420">
        <w:t>established s</w:t>
      </w:r>
      <w:r w:rsidR="00B7229F">
        <w:t>afety and tolerability profile.</w:t>
      </w:r>
    </w:p>
    <w:p w:rsidR="007B6420" w:rsidRPr="007B6420" w:rsidRDefault="007B6420" w:rsidP="00CC04DE">
      <w:pPr>
        <w:pStyle w:val="Heading4"/>
      </w:pPr>
      <w:bookmarkStart w:id="92" w:name="_Toc373825805"/>
      <w:r w:rsidRPr="007B6420">
        <w:t xml:space="preserve">Evaluator’s </w:t>
      </w:r>
      <w:r w:rsidRPr="00CC04DE">
        <w:t>conclusions</w:t>
      </w:r>
      <w:r w:rsidRPr="007B6420">
        <w:t xml:space="preserve"> on safety</w:t>
      </w:r>
      <w:bookmarkEnd w:id="92"/>
    </w:p>
    <w:p w:rsidR="007B6420" w:rsidRPr="007B6420" w:rsidRDefault="007B6420" w:rsidP="00CC04DE">
      <w:r w:rsidRPr="007B6420">
        <w:t xml:space="preserve">These two studies have essentially shown that the principal impact of </w:t>
      </w:r>
      <w:r w:rsidR="005932F1">
        <w:t>AEs</w:t>
      </w:r>
      <w:r w:rsidRPr="007B6420">
        <w:t xml:space="preserve"> relates to the intensive chemotherapy received by the patient. The addition of </w:t>
      </w:r>
      <w:r>
        <w:t>i</w:t>
      </w:r>
      <w:r w:rsidRPr="007B6420">
        <w:t xml:space="preserve">matinib resulted in a small increase in potential for selected toxicities in the pivotal </w:t>
      </w:r>
      <w:r>
        <w:t>S</w:t>
      </w:r>
      <w:r w:rsidRPr="007B6420">
        <w:t xml:space="preserve">tudy 2301 but not noted in </w:t>
      </w:r>
      <w:r>
        <w:t>S</w:t>
      </w:r>
      <w:r w:rsidRPr="007B6420">
        <w:t>tudy AIT07. Overall the safety profile of</w:t>
      </w:r>
      <w:r>
        <w:t xml:space="preserve"> i</w:t>
      </w:r>
      <w:r w:rsidRPr="007B6420">
        <w:t xml:space="preserve">matinib when used in combination with chemotherapy appears to be consistent with the known safety profile of </w:t>
      </w:r>
      <w:r>
        <w:t>i</w:t>
      </w:r>
      <w:r w:rsidRPr="007B6420">
        <w:t xml:space="preserve">matinib and consistent with that previously determined for those adult patients with </w:t>
      </w:r>
      <w:r w:rsidR="00377778">
        <w:t>Ph+ ALL</w:t>
      </w:r>
      <w:r w:rsidRPr="007B6420">
        <w:t xml:space="preserve"> </w:t>
      </w:r>
      <w:r w:rsidRPr="007B6420">
        <w:lastRenderedPageBreak/>
        <w:t xml:space="preserve">receiving </w:t>
      </w:r>
      <w:r>
        <w:t>i</w:t>
      </w:r>
      <w:r w:rsidRPr="007B6420">
        <w:t xml:space="preserve">matinib in conjunction with chemotherapy. There was no evidence that younger patients less than 4 years experienced a greater potential for </w:t>
      </w:r>
      <w:r w:rsidR="005932F1">
        <w:t>AEs</w:t>
      </w:r>
      <w:r w:rsidRPr="007B6420">
        <w:t xml:space="preserve"> in relation to the use of</w:t>
      </w:r>
      <w:r>
        <w:t xml:space="preserve"> i</w:t>
      </w:r>
      <w:r w:rsidR="00B7229F">
        <w:t>matinib.</w:t>
      </w:r>
    </w:p>
    <w:p w:rsidR="006B5DDB" w:rsidRDefault="006B5DDB" w:rsidP="00CC04DE">
      <w:pPr>
        <w:pStyle w:val="Heading3"/>
      </w:pPr>
      <w:bookmarkStart w:id="93" w:name="_Toc373825806"/>
      <w:bookmarkStart w:id="94" w:name="_Toc247691523"/>
      <w:bookmarkStart w:id="95" w:name="_Toc314842507"/>
      <w:bookmarkStart w:id="96" w:name="_Toc184440295"/>
      <w:bookmarkStart w:id="97" w:name="_Toc184444673"/>
      <w:bookmarkStart w:id="98" w:name="_Toc196046503"/>
      <w:bookmarkStart w:id="99" w:name="_Toc382572894"/>
      <w:bookmarkEnd w:id="87"/>
      <w:bookmarkEnd w:id="88"/>
      <w:bookmarkEnd w:id="89"/>
      <w:r>
        <w:t xml:space="preserve">First round benefit-risk </w:t>
      </w:r>
      <w:r w:rsidRPr="00CC04DE">
        <w:t>assessment</w:t>
      </w:r>
      <w:bookmarkEnd w:id="93"/>
      <w:bookmarkEnd w:id="99"/>
    </w:p>
    <w:p w:rsidR="006B5DDB" w:rsidRPr="00DB781D" w:rsidRDefault="006B5DDB" w:rsidP="00CC04DE">
      <w:pPr>
        <w:pStyle w:val="Heading4"/>
      </w:pPr>
      <w:bookmarkStart w:id="100" w:name="_Toc373825807"/>
      <w:r w:rsidRPr="00DB781D">
        <w:t>Fir</w:t>
      </w:r>
      <w:r>
        <w:t xml:space="preserve">st round assessment of </w:t>
      </w:r>
      <w:r w:rsidRPr="00CC04DE">
        <w:t>benefits</w:t>
      </w:r>
      <w:bookmarkEnd w:id="100"/>
    </w:p>
    <w:p w:rsidR="006B5DDB" w:rsidRPr="00DB781D" w:rsidRDefault="006B5DDB" w:rsidP="00CC04DE">
      <w:r w:rsidRPr="00DB781D">
        <w:t xml:space="preserve">The pivotal </w:t>
      </w:r>
      <w:r>
        <w:t>S</w:t>
      </w:r>
      <w:r w:rsidRPr="00DB781D">
        <w:t>tudy 2301 demonstrated evidence that the addition of</w:t>
      </w:r>
      <w:r>
        <w:t xml:space="preserve"> i</w:t>
      </w:r>
      <w:r w:rsidRPr="00DB781D">
        <w:t xml:space="preserve">matinib to chemotherapy following initial induction was associated with a prolongation in </w:t>
      </w:r>
      <w:r>
        <w:t>EFS</w:t>
      </w:r>
      <w:r w:rsidRPr="00DB781D">
        <w:t xml:space="preserve"> as the primary end point of this trial. Greater efficacy was apparent for the longer</w:t>
      </w:r>
      <w:r>
        <w:t xml:space="preserve"> duration of administration of i</w:t>
      </w:r>
      <w:r w:rsidRPr="00DB781D">
        <w:t xml:space="preserve">matinib as determined within </w:t>
      </w:r>
      <w:r>
        <w:t>C</w:t>
      </w:r>
      <w:r w:rsidRPr="00DB781D">
        <w:t xml:space="preserve">ohort 5 and the estimated 48 month </w:t>
      </w:r>
      <w:r>
        <w:t>EFS</w:t>
      </w:r>
      <w:r w:rsidRPr="00DB781D">
        <w:t xml:space="preserve"> for this </w:t>
      </w:r>
      <w:r>
        <w:t>C</w:t>
      </w:r>
      <w:r w:rsidRPr="00DB781D">
        <w:t>ohort</w:t>
      </w:r>
      <w:r w:rsidR="00277ECF">
        <w:t>, 69.6%,</w:t>
      </w:r>
      <w:r w:rsidRPr="00DB781D">
        <w:t xml:space="preserve"> was more</w:t>
      </w:r>
      <w:r>
        <w:t xml:space="preserve"> than twice</w:t>
      </w:r>
      <w:r w:rsidR="00277ECF">
        <w:t xml:space="preserve"> t</w:t>
      </w:r>
      <w:r w:rsidRPr="00DB781D">
        <w:t xml:space="preserve">hat of historical controls </w:t>
      </w:r>
      <w:r>
        <w:t>which were</w:t>
      </w:r>
      <w:r w:rsidRPr="00DB781D">
        <w:t xml:space="preserve"> 31.6% with an HR</w:t>
      </w:r>
      <w:r w:rsidR="00242067">
        <w:t xml:space="preserve"> of</w:t>
      </w:r>
      <w:r w:rsidRPr="00DB781D">
        <w:t xml:space="preserve"> 0.28 and log rank P &lt; 0.0001. There was also evidence of prolongation of </w:t>
      </w:r>
      <w:r>
        <w:t>OS</w:t>
      </w:r>
      <w:r w:rsidRPr="00DB781D">
        <w:t xml:space="preserve"> at 48 months in relation to </w:t>
      </w:r>
      <w:r>
        <w:t>C</w:t>
      </w:r>
      <w:r w:rsidRPr="00DB781D">
        <w:t>ohort 5 compared to historical controls</w:t>
      </w:r>
      <w:r>
        <w:t>;</w:t>
      </w:r>
      <w:r w:rsidRPr="00DB781D">
        <w:t xml:space="preserve"> 83.6% versus 44.8% with an HR of 0.23 and log rank P &lt; 0.0001. There also </w:t>
      </w:r>
      <w:r>
        <w:t>appears to be sig</w:t>
      </w:r>
      <w:r w:rsidRPr="00DB781D">
        <w:t xml:space="preserve">nificant benefit for patients receiving the longest duration of </w:t>
      </w:r>
      <w:r>
        <w:t>i</w:t>
      </w:r>
      <w:r w:rsidRPr="00DB781D">
        <w:t xml:space="preserve">matinib as in </w:t>
      </w:r>
      <w:r>
        <w:t>C</w:t>
      </w:r>
      <w:r w:rsidRPr="00DB781D">
        <w:t xml:space="preserve">ohort 5 when compared with shorter durations in </w:t>
      </w:r>
      <w:r>
        <w:t>C</w:t>
      </w:r>
      <w:r w:rsidRPr="00DB781D">
        <w:t>ohorts 1 and 2</w:t>
      </w:r>
      <w:r>
        <w:t>,</w:t>
      </w:r>
      <w:r w:rsidRPr="00DB781D">
        <w:t xml:space="preserve"> with values being 0.0101 and also similarly for </w:t>
      </w:r>
      <w:r>
        <w:t>OS</w:t>
      </w:r>
      <w:r w:rsidRPr="00DB781D">
        <w:t xml:space="preserve"> with a P value at 0.0091. It is of interest that there was a difference </w:t>
      </w:r>
      <w:r w:rsidR="00277ECF">
        <w:t>in</w:t>
      </w:r>
      <w:r w:rsidRPr="00DB781D">
        <w:t xml:space="preserve"> </w:t>
      </w:r>
      <w:r>
        <w:t>OS</w:t>
      </w:r>
      <w:r w:rsidRPr="00DB781D">
        <w:t xml:space="preserve"> in favour of </w:t>
      </w:r>
      <w:r>
        <w:t>C</w:t>
      </w:r>
      <w:r w:rsidRPr="00DB781D">
        <w:t xml:space="preserve">ohort 5 excluding HSCT versus HSCT overall at the cohorts both off protocol HSCT and all HSCT showing that the therapeutic benefits in </w:t>
      </w:r>
      <w:r w:rsidR="00034FB0">
        <w:t>Co</w:t>
      </w:r>
      <w:r w:rsidRPr="00DB781D">
        <w:t xml:space="preserve">hort 5 did not result from a therapeutic effect of HSCT and patients undergoing HSCT did not have better outcomes than patients receiving </w:t>
      </w:r>
      <w:r w:rsidR="00034FB0">
        <w:t>i</w:t>
      </w:r>
      <w:r w:rsidRPr="00DB781D">
        <w:t>matinib in addition to chemotherapy alone</w:t>
      </w:r>
      <w:r w:rsidR="00277ECF">
        <w:t>.</w:t>
      </w:r>
    </w:p>
    <w:p w:rsidR="006B5DDB" w:rsidRPr="00DB781D" w:rsidRDefault="006B5DDB" w:rsidP="00CC04DE">
      <w:r w:rsidRPr="00DB781D">
        <w:t xml:space="preserve">The data for patients with </w:t>
      </w:r>
      <w:r w:rsidR="00377778">
        <w:t>Ph+ ALL</w:t>
      </w:r>
      <w:r w:rsidRPr="00DB781D">
        <w:t xml:space="preserve"> following on </w:t>
      </w:r>
      <w:r w:rsidR="00646582">
        <w:t xml:space="preserve">from </w:t>
      </w:r>
      <w:r w:rsidRPr="00DB781D">
        <w:t>earlier studies demonstrat</w:t>
      </w:r>
      <w:r w:rsidR="00034FB0">
        <w:t>ed</w:t>
      </w:r>
      <w:r w:rsidRPr="00DB781D">
        <w:t xml:space="preserve"> benefit for the addition of </w:t>
      </w:r>
      <w:r w:rsidR="00034FB0">
        <w:t>i</w:t>
      </w:r>
      <w:r w:rsidRPr="00DB781D">
        <w:t>matinib in Ph</w:t>
      </w:r>
      <w:r w:rsidR="00034FB0">
        <w:t>+</w:t>
      </w:r>
      <w:r w:rsidR="00891E0E">
        <w:t xml:space="preserve"> </w:t>
      </w:r>
      <w:r w:rsidRPr="00DB781D">
        <w:t>CML in the paediatric population. Nevertheless th</w:t>
      </w:r>
      <w:r w:rsidR="00034FB0">
        <w:t>e</w:t>
      </w:r>
      <w:r w:rsidRPr="00DB781D">
        <w:t xml:space="preserve"> evaluator still ha</w:t>
      </w:r>
      <w:r w:rsidR="00646582">
        <w:t>d</w:t>
      </w:r>
      <w:r w:rsidRPr="00DB781D">
        <w:t xml:space="preserve"> concerns regarding the evidence of benefit for </w:t>
      </w:r>
      <w:r w:rsidR="00034FB0">
        <w:t>i</w:t>
      </w:r>
      <w:r w:rsidRPr="00DB781D">
        <w:t>matinib in the pivotal study</w:t>
      </w:r>
      <w:r w:rsidR="00B23545">
        <w:t xml:space="preserve"> as</w:t>
      </w:r>
      <w:r w:rsidRPr="00DB781D">
        <w:t xml:space="preserve"> the comparison is with historical controls which were conducted by the COG various years earlier and information regarding the nature and intensity of induction therapies for these studies is not provided</w:t>
      </w:r>
      <w:r w:rsidR="00B23545">
        <w:t>. T</w:t>
      </w:r>
      <w:r w:rsidRPr="00DB781D">
        <w:t xml:space="preserve">his raises the question as to whether the historical controls represent a comparable </w:t>
      </w:r>
      <w:r w:rsidR="00CC04DE">
        <w:t>group to the study population.</w:t>
      </w:r>
    </w:p>
    <w:p w:rsidR="006B5DDB" w:rsidRPr="00CC04DE" w:rsidRDefault="006B5DDB" w:rsidP="00CC04DE">
      <w:pPr>
        <w:pStyle w:val="Heading4"/>
      </w:pPr>
      <w:bookmarkStart w:id="101" w:name="_Toc373825808"/>
      <w:r>
        <w:t>First round assessment of risk</w:t>
      </w:r>
      <w:bookmarkEnd w:id="101"/>
    </w:p>
    <w:p w:rsidR="006B5DDB" w:rsidRPr="00DB781D" w:rsidRDefault="006B5DDB" w:rsidP="00CC04DE">
      <w:r w:rsidRPr="00DB781D">
        <w:t>The safety profile of</w:t>
      </w:r>
      <w:r w:rsidR="00B23545">
        <w:t xml:space="preserve"> i</w:t>
      </w:r>
      <w:r w:rsidRPr="00DB781D">
        <w:t>matinib observed in</w:t>
      </w:r>
      <w:r w:rsidR="005140BB">
        <w:t xml:space="preserve"> S</w:t>
      </w:r>
      <w:r w:rsidRPr="00DB781D">
        <w:t>tudies 2301 and AIT07 w</w:t>
      </w:r>
      <w:r w:rsidR="00277ECF">
        <w:t>as</w:t>
      </w:r>
      <w:r w:rsidRPr="00DB781D">
        <w:t xml:space="preserve"> consistent with the known safety profile for this agent. The </w:t>
      </w:r>
      <w:r w:rsidR="00646582">
        <w:t>AEs</w:t>
      </w:r>
      <w:r w:rsidRPr="00DB781D">
        <w:t xml:space="preserve"> observed also confirmed that the </w:t>
      </w:r>
      <w:r w:rsidR="005140BB">
        <w:t>i</w:t>
      </w:r>
      <w:r w:rsidRPr="00DB781D">
        <w:t>matinib dosing regimen w</w:t>
      </w:r>
      <w:r w:rsidR="005140BB">
        <w:t>as</w:t>
      </w:r>
      <w:r w:rsidRPr="00DB781D">
        <w:t xml:space="preserve"> therapeutically appropriate for the paediatric patient population and did not adversely impact known drug </w:t>
      </w:r>
      <w:r w:rsidR="00646582">
        <w:t>AE</w:t>
      </w:r>
      <w:r w:rsidR="00CC04DE">
        <w:t xml:space="preserve"> characteristics.</w:t>
      </w:r>
    </w:p>
    <w:p w:rsidR="006B5DDB" w:rsidRPr="00DB781D" w:rsidRDefault="006B5DDB" w:rsidP="00CC04DE">
      <w:r w:rsidRPr="00DB781D">
        <w:t xml:space="preserve">In </w:t>
      </w:r>
      <w:r w:rsidR="005140BB">
        <w:t>S</w:t>
      </w:r>
      <w:r w:rsidRPr="00DB781D">
        <w:t xml:space="preserve">tudy 2301 the overall incidence of preselected targeted toxicities and non-targeted </w:t>
      </w:r>
      <w:r w:rsidR="00646582">
        <w:t>AEs</w:t>
      </w:r>
      <w:r w:rsidRPr="00DB781D">
        <w:t xml:space="preserve"> were higher in the </w:t>
      </w:r>
      <w:r w:rsidR="00377778">
        <w:t>Ph+ ALL</w:t>
      </w:r>
      <w:r w:rsidRPr="00DB781D">
        <w:t xml:space="preserve"> patients receiving chemotherapy plus </w:t>
      </w:r>
      <w:r w:rsidR="005140BB">
        <w:t>i</w:t>
      </w:r>
      <w:r w:rsidRPr="00DB781D">
        <w:t>matinib compared with Ph</w:t>
      </w:r>
      <w:r w:rsidR="005140BB">
        <w:t>-</w:t>
      </w:r>
      <w:r w:rsidRPr="00DB781D">
        <w:t xml:space="preserve"> patients receiving chemotherapy alone. There was however an overall lower frequency of death</w:t>
      </w:r>
      <w:r w:rsidR="005140BB">
        <w:t>, that is,</w:t>
      </w:r>
      <w:r w:rsidRPr="00DB781D">
        <w:t xml:space="preserve"> 2</w:t>
      </w:r>
      <w:r w:rsidR="005140BB">
        <w:t>3.9% for patients who received i</w:t>
      </w:r>
      <w:r w:rsidRPr="00DB781D">
        <w:t xml:space="preserve">matinib in contrast with the control group that did not receive </w:t>
      </w:r>
      <w:r w:rsidR="005140BB">
        <w:t xml:space="preserve">imatinib at 44.6%. </w:t>
      </w:r>
      <w:r w:rsidRPr="00DB781D">
        <w:t xml:space="preserve">There were no clinically relevant differences in the development of targeted toxicities and non-targeted </w:t>
      </w:r>
      <w:r w:rsidR="00646582">
        <w:t>AEs</w:t>
      </w:r>
      <w:r w:rsidRPr="00DB781D">
        <w:t xml:space="preserve"> between </w:t>
      </w:r>
      <w:proofErr w:type="spellStart"/>
      <w:r w:rsidRPr="00DB781D">
        <w:t>Ph</w:t>
      </w:r>
      <w:proofErr w:type="spellEnd"/>
      <w:r w:rsidR="005140BB">
        <w:t>+</w:t>
      </w:r>
      <w:r w:rsidRPr="00DB781D">
        <w:t xml:space="preserve"> and </w:t>
      </w:r>
      <w:proofErr w:type="spellStart"/>
      <w:r w:rsidRPr="00DB781D">
        <w:t>Ph</w:t>
      </w:r>
      <w:proofErr w:type="spellEnd"/>
      <w:r w:rsidR="005140BB">
        <w:t>-A</w:t>
      </w:r>
      <w:r w:rsidR="00CC04DE">
        <w:t>LL patients.</w:t>
      </w:r>
    </w:p>
    <w:p w:rsidR="006B5DDB" w:rsidRPr="00DB781D" w:rsidRDefault="006B5DDB" w:rsidP="00CC04DE">
      <w:r w:rsidRPr="00DB781D">
        <w:t xml:space="preserve">In </w:t>
      </w:r>
      <w:r w:rsidR="00962F2D">
        <w:t>S</w:t>
      </w:r>
      <w:r w:rsidRPr="00DB781D">
        <w:t xml:space="preserve">tudy AIT07 the overall frequency of </w:t>
      </w:r>
      <w:r w:rsidR="00962F2D">
        <w:t>AEs</w:t>
      </w:r>
      <w:r w:rsidRPr="00DB781D">
        <w:t xml:space="preserve"> including those serious and non-serious </w:t>
      </w:r>
      <w:r w:rsidR="00962F2D">
        <w:t>was</w:t>
      </w:r>
      <w:r w:rsidRPr="00DB781D">
        <w:t xml:space="preserve"> similar between those patients receiving chemotherapy alone versus those who received chemotherapy plus </w:t>
      </w:r>
      <w:r w:rsidR="00962F2D">
        <w:t>i</w:t>
      </w:r>
      <w:r w:rsidRPr="00DB781D">
        <w:t>matinib. There were no clinically relevant differe</w:t>
      </w:r>
      <w:r w:rsidR="00C62EC6">
        <w:t>nces observed in the nature of AEs</w:t>
      </w:r>
      <w:r w:rsidRPr="00DB781D">
        <w:t xml:space="preserve"> across patient groups. There was a small increase in the frequency of </w:t>
      </w:r>
      <w:r w:rsidR="00C62EC6">
        <w:t>AEs</w:t>
      </w:r>
      <w:r w:rsidRPr="00DB781D">
        <w:t xml:space="preserve"> between 5 to 10% when comparing the patients treated with </w:t>
      </w:r>
      <w:r w:rsidR="00C62EC6">
        <w:t>i</w:t>
      </w:r>
      <w:r w:rsidRPr="00DB781D">
        <w:t xml:space="preserve">matinib plus chemotherapy to those patients who received chemotherapy alone however the proportion of good risk patients experiencing </w:t>
      </w:r>
      <w:r w:rsidR="00C62EC6">
        <w:t>SAE</w:t>
      </w:r>
      <w:r w:rsidRPr="00DB781D">
        <w:t>s was 27.6% and deaths 15.5% which was</w:t>
      </w:r>
      <w:r w:rsidR="00C62EC6">
        <w:t xml:space="preserve"> lower (in the </w:t>
      </w:r>
      <w:r w:rsidR="00C62EC6">
        <w:lastRenderedPageBreak/>
        <w:t>population with i</w:t>
      </w:r>
      <w:r w:rsidRPr="00DB781D">
        <w:t>matinib) then the population with chemotherapy alon</w:t>
      </w:r>
      <w:r w:rsidR="00CC04DE">
        <w:t>e at 32% and 25% respectively.</w:t>
      </w:r>
    </w:p>
    <w:p w:rsidR="006B5DDB" w:rsidRPr="00DB781D" w:rsidRDefault="006B5DDB" w:rsidP="00CC04DE">
      <w:r w:rsidRPr="00DB781D">
        <w:t>It is worth commenting that the four year evaluation data from the pivotal study has not shown any evidence</w:t>
      </w:r>
      <w:r w:rsidR="00C62EC6">
        <w:t xml:space="preserve"> of development of longer term AEs</w:t>
      </w:r>
      <w:r w:rsidRPr="00DB781D">
        <w:t xml:space="preserve"> for this paediatric population. Nevertheless</w:t>
      </w:r>
      <w:r w:rsidR="00C62EC6">
        <w:t>,</w:t>
      </w:r>
      <w:r w:rsidRPr="00DB781D">
        <w:t xml:space="preserve"> ongoing review of thes</w:t>
      </w:r>
      <w:r w:rsidR="00CC04DE">
        <w:t>e patients remains appropriate.</w:t>
      </w:r>
    </w:p>
    <w:p w:rsidR="006B5DDB" w:rsidRPr="00CE2502" w:rsidRDefault="006B5DDB" w:rsidP="00CC04DE">
      <w:pPr>
        <w:rPr>
          <w:lang w:val="en-US" w:eastAsia="ja-JP"/>
        </w:rPr>
      </w:pPr>
      <w:r w:rsidRPr="00DB781D">
        <w:t xml:space="preserve">It is also noted that the optimum long term duration of administration of </w:t>
      </w:r>
      <w:r w:rsidR="00C62EC6">
        <w:t>i</w:t>
      </w:r>
      <w:r w:rsidRPr="00DB781D">
        <w:t xml:space="preserve">matinib still remains somewhat uncertain both in terms of its potential use in induction as well as longer maintenance therapies for patients with </w:t>
      </w:r>
      <w:proofErr w:type="spellStart"/>
      <w:r w:rsidR="00377778">
        <w:t>Ph</w:t>
      </w:r>
      <w:proofErr w:type="spellEnd"/>
      <w:r w:rsidR="00377778">
        <w:t>+ ALL</w:t>
      </w:r>
      <w:r w:rsidRPr="00DB781D">
        <w:t>.</w:t>
      </w:r>
    </w:p>
    <w:p w:rsidR="006B5DDB" w:rsidRPr="00CC04DE" w:rsidRDefault="006B5DDB" w:rsidP="00CC04DE">
      <w:pPr>
        <w:pStyle w:val="Heading4"/>
      </w:pPr>
      <w:bookmarkStart w:id="102" w:name="_Toc373825809"/>
      <w:r w:rsidRPr="00DB781D">
        <w:rPr>
          <w:lang w:val="en-US"/>
        </w:rPr>
        <w:t>First round ass</w:t>
      </w:r>
      <w:r>
        <w:rPr>
          <w:lang w:val="en-US"/>
        </w:rPr>
        <w:t>essment of benefit/risk balance</w:t>
      </w:r>
      <w:bookmarkEnd w:id="102"/>
    </w:p>
    <w:p w:rsidR="006B5DDB" w:rsidRPr="00DB781D" w:rsidRDefault="006B5DDB" w:rsidP="00CC04DE">
      <w:r w:rsidRPr="00DB781D">
        <w:t xml:space="preserve">The efficacy results from the pivotal </w:t>
      </w:r>
      <w:r w:rsidR="006C4D92">
        <w:t>S</w:t>
      </w:r>
      <w:r w:rsidRPr="00DB781D">
        <w:t>tudy 2301 ha</w:t>
      </w:r>
      <w:r w:rsidR="006C4D92">
        <w:t>ve</w:t>
      </w:r>
      <w:r w:rsidRPr="00DB781D">
        <w:t xml:space="preserve"> shown benefit for the addition of </w:t>
      </w:r>
      <w:r w:rsidR="006C4D92">
        <w:t>i</w:t>
      </w:r>
      <w:r w:rsidRPr="00DB781D">
        <w:t xml:space="preserve">matinib in improving both EFS and </w:t>
      </w:r>
      <w:r w:rsidR="006C4D92">
        <w:t>OS</w:t>
      </w:r>
      <w:r w:rsidRPr="00DB781D">
        <w:t xml:space="preserve"> when compared to historical control. This was most apparent in those who received </w:t>
      </w:r>
      <w:r w:rsidR="006C4D92">
        <w:t>i</w:t>
      </w:r>
      <w:r w:rsidRPr="00DB781D">
        <w:t>matinib for the longest duration of time. These favourable data are in line with that previously observed for paediatric patients with Ph</w:t>
      </w:r>
      <w:r w:rsidR="006C4D92">
        <w:t>+</w:t>
      </w:r>
      <w:r w:rsidR="00891E0E">
        <w:t xml:space="preserve"> </w:t>
      </w:r>
      <w:r w:rsidRPr="00DB781D">
        <w:t xml:space="preserve">CML and adult patients with </w:t>
      </w:r>
      <w:r w:rsidR="00377778">
        <w:t>Ph+ ALL</w:t>
      </w:r>
      <w:r w:rsidRPr="00DB781D">
        <w:t>. Nevertheless</w:t>
      </w:r>
      <w:r w:rsidR="006C4D92">
        <w:t>,</w:t>
      </w:r>
      <w:r w:rsidRPr="00DB781D">
        <w:t xml:space="preserve"> th</w:t>
      </w:r>
      <w:r w:rsidR="006C4D92">
        <w:t xml:space="preserve">e </w:t>
      </w:r>
      <w:r w:rsidRPr="00DB781D">
        <w:t>evaluator ha</w:t>
      </w:r>
      <w:r w:rsidR="006C4D92">
        <w:t>d</w:t>
      </w:r>
      <w:r w:rsidRPr="00DB781D">
        <w:t xml:space="preserve"> some reservation in relation to </w:t>
      </w:r>
      <w:r w:rsidR="006C4D92">
        <w:t>S</w:t>
      </w:r>
      <w:r w:rsidRPr="00DB781D">
        <w:t>tudy 2301 in regards to the precise comparability of the historical co</w:t>
      </w:r>
      <w:r w:rsidR="00CC04DE">
        <w:t>ntrol group to the study group.</w:t>
      </w:r>
    </w:p>
    <w:p w:rsidR="006B5DDB" w:rsidRPr="00DB781D" w:rsidRDefault="006B5DDB" w:rsidP="00CC04DE">
      <w:r w:rsidRPr="00DB781D">
        <w:t xml:space="preserve">Evaluation of </w:t>
      </w:r>
      <w:r w:rsidR="006C4D92">
        <w:t>AE</w:t>
      </w:r>
      <w:r w:rsidRPr="00DB781D">
        <w:t xml:space="preserve">s from both the pivotal </w:t>
      </w:r>
      <w:r w:rsidR="006C4D92">
        <w:t>S</w:t>
      </w:r>
      <w:r w:rsidRPr="00DB781D">
        <w:t xml:space="preserve">tudy 2301 and the supportive </w:t>
      </w:r>
      <w:r w:rsidR="006C4D92">
        <w:t>S</w:t>
      </w:r>
      <w:r w:rsidRPr="00DB781D">
        <w:t>tudy AIT07 have shown no evidence of an increase</w:t>
      </w:r>
      <w:r w:rsidR="006C4D92">
        <w:t>d</w:t>
      </w:r>
      <w:r w:rsidRPr="00DB781D">
        <w:t xml:space="preserve"> potential for </w:t>
      </w:r>
      <w:r w:rsidR="006C4D92">
        <w:t>AEs</w:t>
      </w:r>
      <w:r w:rsidRPr="00DB781D">
        <w:t xml:space="preserve"> in the paediatric population receiving </w:t>
      </w:r>
      <w:r w:rsidR="006C4D92">
        <w:t>i</w:t>
      </w:r>
      <w:r w:rsidRPr="00DB781D">
        <w:t xml:space="preserve">matinib compared to the known toxicity profile for </w:t>
      </w:r>
      <w:r w:rsidR="006C4D92">
        <w:t>i</w:t>
      </w:r>
      <w:r w:rsidRPr="00DB781D">
        <w:t>matinib in other paediatric populations and adult populations receiving this agent. There is</w:t>
      </w:r>
      <w:r w:rsidR="006C4D92">
        <w:t>,</w:t>
      </w:r>
      <w:r w:rsidRPr="00DB781D">
        <w:t xml:space="preserve"> if anything</w:t>
      </w:r>
      <w:r w:rsidR="006C4D92">
        <w:t>,</w:t>
      </w:r>
      <w:r w:rsidRPr="00DB781D">
        <w:t xml:space="preserve"> some evidence that </w:t>
      </w:r>
      <w:r w:rsidR="006C4D92">
        <w:t xml:space="preserve">SAEs </w:t>
      </w:r>
      <w:r w:rsidRPr="00DB781D">
        <w:t xml:space="preserve">and deaths are perhaps reduced by the influence of </w:t>
      </w:r>
      <w:r w:rsidR="006C4D92">
        <w:t>i</w:t>
      </w:r>
      <w:r w:rsidRPr="00DB781D">
        <w:t>matinib in combination with chemotherapy for this</w:t>
      </w:r>
      <w:r w:rsidR="00CC04DE">
        <w:t xml:space="preserve"> paediatric patient population.</w:t>
      </w:r>
    </w:p>
    <w:p w:rsidR="006B5DDB" w:rsidRPr="00CC04DE" w:rsidRDefault="006B5DDB" w:rsidP="00CC04DE">
      <w:pPr>
        <w:pStyle w:val="Heading3"/>
      </w:pPr>
      <w:bookmarkStart w:id="103" w:name="_Toc373825810"/>
      <w:bookmarkStart w:id="104" w:name="_Toc382572895"/>
      <w:r>
        <w:t>First round recommendation regarding authorisation</w:t>
      </w:r>
      <w:bookmarkEnd w:id="103"/>
      <w:bookmarkEnd w:id="104"/>
    </w:p>
    <w:p w:rsidR="006B5DDB" w:rsidRPr="00DB781D" w:rsidRDefault="006B5DDB" w:rsidP="00CC04DE">
      <w:r w:rsidRPr="00DB781D">
        <w:t>On balance th</w:t>
      </w:r>
      <w:r w:rsidR="005932F1">
        <w:t xml:space="preserve">e </w:t>
      </w:r>
      <w:r w:rsidRPr="00DB781D">
        <w:t>evaluator consider</w:t>
      </w:r>
      <w:r w:rsidR="005932F1">
        <w:t>ed</w:t>
      </w:r>
      <w:r w:rsidRPr="00DB781D">
        <w:t xml:space="preserve"> it appropriate to approve</w:t>
      </w:r>
      <w:r w:rsidR="005932F1">
        <w:t xml:space="preserve"> i</w:t>
      </w:r>
      <w:r w:rsidRPr="00DB781D">
        <w:t xml:space="preserve">matinib for the proposed new indication for the treatment of adult and paediatric patients with newly diagnosed </w:t>
      </w:r>
      <w:r w:rsidR="00377778">
        <w:t>Ph+ ALL</w:t>
      </w:r>
      <w:r w:rsidRPr="00DB781D">
        <w:t xml:space="preserve"> integrated with chemotherapy. This recommendation is made on the basis of the efficacy results and their comparability with adult patients with </w:t>
      </w:r>
      <w:r w:rsidR="00377778">
        <w:t>Ph+ ALL</w:t>
      </w:r>
      <w:r w:rsidRPr="00DB781D">
        <w:t xml:space="preserve"> with the addition of</w:t>
      </w:r>
      <w:r w:rsidR="005932F1">
        <w:t xml:space="preserve"> i</w:t>
      </w:r>
      <w:r w:rsidRPr="00DB781D">
        <w:t>matinib and the paediatric population with Ph</w:t>
      </w:r>
      <w:r w:rsidR="005932F1">
        <w:t>+</w:t>
      </w:r>
      <w:r w:rsidR="00891E0E">
        <w:t xml:space="preserve"> </w:t>
      </w:r>
      <w:r w:rsidRPr="00DB781D">
        <w:t xml:space="preserve">CML with the addition of </w:t>
      </w:r>
      <w:r w:rsidR="005932F1">
        <w:t>i</w:t>
      </w:r>
      <w:r w:rsidRPr="00DB781D">
        <w:t>matinib. Nevertheless</w:t>
      </w:r>
      <w:r w:rsidR="005932F1">
        <w:t>,</w:t>
      </w:r>
      <w:r w:rsidRPr="00DB781D">
        <w:t xml:space="preserve"> the reservations as stated above in relation to the historical control group remain. </w:t>
      </w:r>
      <w:r w:rsidR="005932F1">
        <w:t>T</w:t>
      </w:r>
      <w:r w:rsidRPr="00DB781D">
        <w:t xml:space="preserve">here is no evidence from evaluation of </w:t>
      </w:r>
      <w:r w:rsidR="005932F1">
        <w:t>AEs</w:t>
      </w:r>
      <w:r w:rsidRPr="00DB781D">
        <w:t xml:space="preserve"> from the two studies assessed to raise extra concerns regarding the role of </w:t>
      </w:r>
      <w:r w:rsidR="005932F1">
        <w:t>i</w:t>
      </w:r>
      <w:r w:rsidRPr="00DB781D">
        <w:t xml:space="preserve">matinib for the </w:t>
      </w:r>
      <w:proofErr w:type="spellStart"/>
      <w:r w:rsidR="00377778">
        <w:t>Ph</w:t>
      </w:r>
      <w:proofErr w:type="spellEnd"/>
      <w:r w:rsidR="00377778">
        <w:t>+ ALL</w:t>
      </w:r>
      <w:r w:rsidR="00CC04DE">
        <w:t xml:space="preserve"> paediatric population.</w:t>
      </w:r>
    </w:p>
    <w:p w:rsidR="005932F1" w:rsidRPr="00CC04DE" w:rsidRDefault="005932F1" w:rsidP="00CC04DE">
      <w:pPr>
        <w:pStyle w:val="Heading3"/>
      </w:pPr>
      <w:bookmarkStart w:id="105" w:name="_Toc373825811"/>
      <w:bookmarkStart w:id="106" w:name="_Toc382572896"/>
      <w:r w:rsidRPr="005932F1">
        <w:t>Clinical questions</w:t>
      </w:r>
      <w:bookmarkEnd w:id="105"/>
      <w:bookmarkEnd w:id="106"/>
    </w:p>
    <w:p w:rsidR="005932F1" w:rsidRPr="005932F1" w:rsidRDefault="005932F1" w:rsidP="00CC04DE">
      <w:pPr>
        <w:pStyle w:val="Numberbullet0"/>
      </w:pPr>
      <w:r>
        <w:t xml:space="preserve">The </w:t>
      </w:r>
      <w:r w:rsidRPr="005932F1">
        <w:t>evaluator s</w:t>
      </w:r>
      <w:r>
        <w:t xml:space="preserve">ought </w:t>
      </w:r>
      <w:r w:rsidRPr="005932F1">
        <w:t>additional information regarding the nature of induction chemotherapy for the various COG studies utili</w:t>
      </w:r>
      <w:r>
        <w:t>s</w:t>
      </w:r>
      <w:r w:rsidRPr="005932F1">
        <w:t xml:space="preserve">ed as historical controls for the pivotal </w:t>
      </w:r>
      <w:r>
        <w:t xml:space="preserve">Study </w:t>
      </w:r>
      <w:r w:rsidRPr="005932F1">
        <w:t>2301.</w:t>
      </w:r>
    </w:p>
    <w:p w:rsidR="005932F1" w:rsidRPr="005932F1" w:rsidRDefault="005932F1" w:rsidP="00CC04DE">
      <w:pPr>
        <w:pStyle w:val="Numberbullet0"/>
      </w:pPr>
      <w:r w:rsidRPr="005932F1">
        <w:t xml:space="preserve">Further information on the longer term influence of </w:t>
      </w:r>
      <w:r>
        <w:t>i</w:t>
      </w:r>
      <w:r w:rsidRPr="005932F1">
        <w:t xml:space="preserve">matinib administration </w:t>
      </w:r>
      <w:r w:rsidRPr="00CC04DE">
        <w:t>both</w:t>
      </w:r>
      <w:r w:rsidRPr="005932F1">
        <w:t xml:space="preserve"> as part of induction therapy and maintenance therapy for </w:t>
      </w:r>
      <w:r w:rsidR="00377778">
        <w:t>Ph+ ALL</w:t>
      </w:r>
      <w:r w:rsidRPr="005932F1">
        <w:t xml:space="preserve"> would be of interest.</w:t>
      </w:r>
    </w:p>
    <w:p w:rsidR="005932F1" w:rsidRPr="005932F1" w:rsidRDefault="005932F1" w:rsidP="00CC04DE">
      <w:pPr>
        <w:pStyle w:val="Heading3"/>
      </w:pPr>
      <w:bookmarkStart w:id="107" w:name="_Toc373825812"/>
      <w:bookmarkStart w:id="108" w:name="_Toc382572897"/>
      <w:r w:rsidRPr="005932F1">
        <w:lastRenderedPageBreak/>
        <w:t xml:space="preserve">Second round evaluation of clinical data submitted in response to </w:t>
      </w:r>
      <w:r w:rsidRPr="00CC04DE">
        <w:t>questions</w:t>
      </w:r>
      <w:bookmarkEnd w:id="107"/>
      <w:bookmarkEnd w:id="108"/>
    </w:p>
    <w:p w:rsidR="00BA5447" w:rsidRPr="00CC04DE" w:rsidRDefault="00BA5447" w:rsidP="00A5586C">
      <w:pPr>
        <w:pStyle w:val="Heading4"/>
      </w:pPr>
      <w:r w:rsidRPr="00CC04DE">
        <w:t>Clinical Question 1:</w:t>
      </w:r>
      <w:r w:rsidR="00AA7812" w:rsidRPr="00CC04DE">
        <w:t xml:space="preserve"> </w:t>
      </w:r>
      <w:r w:rsidRPr="00CC04DE">
        <w:t>The evaluator seeks additional information regarding the nature of induction chemotherapy for the various COG studies utili</w:t>
      </w:r>
      <w:r w:rsidR="00242067" w:rsidRPr="00CC04DE">
        <w:t>s</w:t>
      </w:r>
      <w:r w:rsidRPr="00CC04DE">
        <w:t>ed as historical controls for the pivotal trial 2301.</w:t>
      </w:r>
    </w:p>
    <w:p w:rsidR="00BA5447" w:rsidRPr="00BA5447" w:rsidRDefault="00BA5447" w:rsidP="00CC04DE">
      <w:r w:rsidRPr="00BA5447">
        <w:t xml:space="preserve">The historical control data used in </w:t>
      </w:r>
      <w:r>
        <w:t xml:space="preserve">Study </w:t>
      </w:r>
      <w:r w:rsidRPr="00BA5447">
        <w:t>2301 included 120 newly diagnosed ALL</w:t>
      </w:r>
      <w:r>
        <w:t xml:space="preserve"> </w:t>
      </w:r>
      <w:r w:rsidRPr="00BA5447">
        <w:t xml:space="preserve">patients previously enrolled in </w:t>
      </w:r>
      <w:r>
        <w:t xml:space="preserve">five </w:t>
      </w:r>
      <w:r w:rsidRPr="00BA5447">
        <w:t>clinical studies performed by COG</w:t>
      </w:r>
      <w:r>
        <w:t xml:space="preserve"> and its</w:t>
      </w:r>
      <w:r w:rsidRPr="00BA5447">
        <w:t xml:space="preserve"> precursor organi</w:t>
      </w:r>
      <w:r w:rsidR="00242067">
        <w:t>s</w:t>
      </w:r>
      <w:r w:rsidRPr="00BA5447">
        <w:t xml:space="preserve">ation, the </w:t>
      </w:r>
      <w:r w:rsidR="00E96D00">
        <w:t xml:space="preserve">Paediatric Oncology Group (POG), </w:t>
      </w:r>
      <w:r w:rsidRPr="00BA5447">
        <w:t>POG 8602 (34 patients),</w:t>
      </w:r>
      <w:r>
        <w:t xml:space="preserve"> </w:t>
      </w:r>
      <w:r w:rsidRPr="00BA5447">
        <w:t>POG 9005 (13 patients), POG 9006 (23 patients), POG 9405 (1 patient), and POG 9406 (49</w:t>
      </w:r>
      <w:r>
        <w:t xml:space="preserve"> </w:t>
      </w:r>
      <w:r w:rsidRPr="00BA5447">
        <w:t xml:space="preserve">patients), conducted between 1988 and 1995 (Land </w:t>
      </w:r>
      <w:r w:rsidRPr="007841AC">
        <w:rPr>
          <w:i/>
        </w:rPr>
        <w:t>et al</w:t>
      </w:r>
      <w:r w:rsidRPr="00BA5447">
        <w:t xml:space="preserve"> 1994</w:t>
      </w:r>
      <w:r w:rsidR="009B2FA0">
        <w:rPr>
          <w:rStyle w:val="FootnoteReference"/>
        </w:rPr>
        <w:footnoteReference w:id="2"/>
      </w:r>
      <w:r w:rsidRPr="00BA5447">
        <w:t xml:space="preserve">, Mahoney </w:t>
      </w:r>
      <w:r w:rsidRPr="007841AC">
        <w:rPr>
          <w:i/>
        </w:rPr>
        <w:t>et al</w:t>
      </w:r>
      <w:r w:rsidRPr="00BA5447">
        <w:t xml:space="preserve"> 1998</w:t>
      </w:r>
      <w:r w:rsidR="007841AC">
        <w:rPr>
          <w:rStyle w:val="FootnoteReference"/>
        </w:rPr>
        <w:footnoteReference w:id="3"/>
      </w:r>
      <w:r w:rsidRPr="00BA5447">
        <w:t xml:space="preserve">, Lauer </w:t>
      </w:r>
      <w:r w:rsidRPr="007841AC">
        <w:rPr>
          <w:i/>
        </w:rPr>
        <w:t xml:space="preserve">et al </w:t>
      </w:r>
      <w:r w:rsidRPr="00BA5447">
        <w:t>2001</w:t>
      </w:r>
      <w:r w:rsidR="007841AC">
        <w:rPr>
          <w:rStyle w:val="FootnoteReference"/>
        </w:rPr>
        <w:footnoteReference w:id="4"/>
      </w:r>
      <w:r w:rsidRPr="00BA5447">
        <w:t>)</w:t>
      </w:r>
      <w:r>
        <w:t>.</w:t>
      </w:r>
    </w:p>
    <w:p w:rsidR="00BA5447" w:rsidRDefault="00BA5447" w:rsidP="00CC04DE">
      <w:r w:rsidRPr="00BA5447">
        <w:t>In all POG/COG protocols (including the pivotal</w:t>
      </w:r>
      <w:r>
        <w:t xml:space="preserve"> S</w:t>
      </w:r>
      <w:r w:rsidRPr="00BA5447">
        <w:t>tudy 2301), patients received</w:t>
      </w:r>
      <w:r>
        <w:t xml:space="preserve"> </w:t>
      </w:r>
      <w:r w:rsidRPr="00BA5447">
        <w:t>chemotherapy treatment blocks consisting of induction, intensive</w:t>
      </w:r>
      <w:r>
        <w:t xml:space="preserve"> </w:t>
      </w:r>
      <w:r w:rsidRPr="00BA5447">
        <w:t>continuation/consolidation, and</w:t>
      </w:r>
      <w:r>
        <w:t xml:space="preserve"> </w:t>
      </w:r>
      <w:r w:rsidRPr="00BA5447">
        <w:t>maintenance. These chemotherapy regimens were not identical; however induction chemotherapy</w:t>
      </w:r>
      <w:r>
        <w:t xml:space="preserve"> </w:t>
      </w:r>
      <w:r w:rsidRPr="00BA5447">
        <w:t>regimens were very similar across the studies used as historical controls and the pivotal study. As</w:t>
      </w:r>
      <w:r>
        <w:t xml:space="preserve"> </w:t>
      </w:r>
      <w:r w:rsidRPr="00BA5447">
        <w:t xml:space="preserve">shown in </w:t>
      </w:r>
      <w:r>
        <w:t>T</w:t>
      </w:r>
      <w:r w:rsidRPr="00BA5447">
        <w:t xml:space="preserve">able </w:t>
      </w:r>
      <w:r>
        <w:t xml:space="preserve">16 </w:t>
      </w:r>
      <w:r w:rsidRPr="00BA5447">
        <w:t>below, three chemotherapy drugs (prednisone, vincristine and L-</w:t>
      </w:r>
      <w:proofErr w:type="spellStart"/>
      <w:r w:rsidRPr="00BA5447">
        <w:t>asparaginase</w:t>
      </w:r>
      <w:proofErr w:type="spellEnd"/>
      <w:r w:rsidRPr="00BA5447">
        <w:t>),</w:t>
      </w:r>
      <w:r>
        <w:t xml:space="preserve"> </w:t>
      </w:r>
      <w:r w:rsidRPr="00BA5447">
        <w:t>which are widely considered to be the crucial basis of ALL chemotherapy, were consistently used</w:t>
      </w:r>
      <w:r>
        <w:t xml:space="preserve"> </w:t>
      </w:r>
      <w:r w:rsidRPr="00BA5447">
        <w:t>in all studies, with the addition of a fourth drug (</w:t>
      </w:r>
      <w:proofErr w:type="spellStart"/>
      <w:r w:rsidRPr="00BA5447">
        <w:t>daunomycin</w:t>
      </w:r>
      <w:proofErr w:type="spellEnd"/>
      <w:r w:rsidRPr="00BA5447">
        <w:t>) in some patients.</w:t>
      </w:r>
    </w:p>
    <w:p w:rsidR="00BA5447" w:rsidRPr="00BA5447" w:rsidRDefault="00BA5447" w:rsidP="00CC04DE">
      <w:pPr>
        <w:pStyle w:val="TableTitle"/>
      </w:pPr>
      <w:r>
        <w:t>Table 16: Chemotherapy drugs used in studies</w:t>
      </w:r>
    </w:p>
    <w:p w:rsidR="00BA5447" w:rsidRDefault="00BA5447" w:rsidP="00CC04DE">
      <w:r>
        <w:rPr>
          <w:noProof/>
          <w:lang w:eastAsia="en-AU"/>
        </w:rPr>
        <w:drawing>
          <wp:inline distT="0" distB="0" distL="0" distR="0" wp14:anchorId="021C7AD3" wp14:editId="19A0A8ED">
            <wp:extent cx="5400040" cy="2072820"/>
            <wp:effectExtent l="19050" t="0" r="0" b="0"/>
            <wp:docPr id="9" name="Picture 2" descr="Table 16: Chemotherapy drugs used 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400040" cy="2072820"/>
                    </a:xfrm>
                    <a:prstGeom prst="rect">
                      <a:avLst/>
                    </a:prstGeom>
                    <a:noFill/>
                    <a:ln w="9525">
                      <a:noFill/>
                      <a:miter lim="800000"/>
                      <a:headEnd/>
                      <a:tailEnd/>
                    </a:ln>
                  </pic:spPr>
                </pic:pic>
              </a:graphicData>
            </a:graphic>
          </wp:inline>
        </w:drawing>
      </w:r>
    </w:p>
    <w:p w:rsidR="00BA5447" w:rsidRPr="00BA5447" w:rsidRDefault="00BA5447" w:rsidP="00CC04DE">
      <w:r w:rsidRPr="00BA5447">
        <w:t>This three-drug induction regimen has historically resulted in high rates of ALL remission and</w:t>
      </w:r>
      <w:r w:rsidR="00431325">
        <w:t xml:space="preserve"> </w:t>
      </w:r>
      <w:r w:rsidRPr="00BA5447">
        <w:t xml:space="preserve">was subsequently used in Study </w:t>
      </w:r>
      <w:r w:rsidR="00431325">
        <w:t>2</w:t>
      </w:r>
      <w:r w:rsidRPr="00BA5447">
        <w:t>301.</w:t>
      </w:r>
    </w:p>
    <w:p w:rsidR="00BA5447" w:rsidRPr="00CC04DE" w:rsidRDefault="00431325" w:rsidP="00A5586C">
      <w:pPr>
        <w:pStyle w:val="Heading4"/>
      </w:pPr>
      <w:r w:rsidRPr="00CC04DE">
        <w:lastRenderedPageBreak/>
        <w:t xml:space="preserve">Clinical </w:t>
      </w:r>
      <w:r w:rsidR="00BA5447" w:rsidRPr="00CC04DE">
        <w:t>Question 2</w:t>
      </w:r>
      <w:r w:rsidR="00AA7812" w:rsidRPr="00CC04DE">
        <w:t xml:space="preserve">: </w:t>
      </w:r>
      <w:r w:rsidR="00BA5447" w:rsidRPr="00CC04DE">
        <w:t>Further information on the longer term influence of imatinib administration both as part of</w:t>
      </w:r>
      <w:r w:rsidRPr="00CC04DE">
        <w:t xml:space="preserve"> </w:t>
      </w:r>
      <w:r w:rsidR="00BA5447" w:rsidRPr="00CC04DE">
        <w:t>induction therapy and maintenance therapy for Ph positive ALL would be of interest.</w:t>
      </w:r>
    </w:p>
    <w:p w:rsidR="00BA5447" w:rsidRPr="00BA5447" w:rsidRDefault="00BA5447" w:rsidP="00A5586C">
      <w:pPr>
        <w:pStyle w:val="Heading5"/>
      </w:pPr>
      <w:r w:rsidRPr="00BA5447">
        <w:t>Study 2301</w:t>
      </w:r>
    </w:p>
    <w:p w:rsidR="00BA5447" w:rsidRPr="00BA5447" w:rsidRDefault="00BA5447" w:rsidP="00CC04DE">
      <w:r w:rsidRPr="00BA5447">
        <w:t>The following information is an update on efficacy. Novartis does not have any data and did not</w:t>
      </w:r>
      <w:r w:rsidR="00431325">
        <w:t xml:space="preserve"> </w:t>
      </w:r>
      <w:r w:rsidRPr="00BA5447">
        <w:t xml:space="preserve">conduct any additional analyses beyond the </w:t>
      </w:r>
      <w:r w:rsidR="00431325">
        <w:t>four</w:t>
      </w:r>
      <w:r w:rsidRPr="00BA5447">
        <w:t xml:space="preserve"> year cut-off presented in the submission. COG</w:t>
      </w:r>
      <w:r w:rsidR="00431325">
        <w:t xml:space="preserve"> </w:t>
      </w:r>
      <w:r w:rsidRPr="00BA5447">
        <w:t xml:space="preserve">conducted analyses with </w:t>
      </w:r>
      <w:r w:rsidR="00431325">
        <w:t>five</w:t>
      </w:r>
      <w:r w:rsidRPr="00BA5447">
        <w:t xml:space="preserve"> year follow-up and a manuscript with these data is being prepared.</w:t>
      </w:r>
      <w:r w:rsidR="00431325">
        <w:t xml:space="preserve"> </w:t>
      </w:r>
      <w:r w:rsidRPr="00BA5447">
        <w:t xml:space="preserve">COG confirmed their </w:t>
      </w:r>
      <w:r w:rsidR="00431325">
        <w:t>five</w:t>
      </w:r>
      <w:r w:rsidRPr="00BA5447">
        <w:t xml:space="preserve"> year analyses contain only efficacy data and there is no update on safety.</w:t>
      </w:r>
      <w:r w:rsidR="00431325">
        <w:t xml:space="preserve"> </w:t>
      </w:r>
      <w:r w:rsidRPr="00BA5447">
        <w:t xml:space="preserve">Upon request, COG provided the </w:t>
      </w:r>
      <w:r w:rsidR="00431325">
        <w:t>five</w:t>
      </w:r>
      <w:r w:rsidRPr="00BA5447">
        <w:t xml:space="preserve"> year Kaplan-Meier estimates comparing EFS in patients receiving imatinib and chemotherapy with patients receiving related or unrelated</w:t>
      </w:r>
      <w:r w:rsidR="00431325">
        <w:t xml:space="preserve"> </w:t>
      </w:r>
      <w:r w:rsidRPr="00BA5447">
        <w:t xml:space="preserve">bone marrow transplant. Figure </w:t>
      </w:r>
      <w:r w:rsidR="00B131EE">
        <w:t>3</w:t>
      </w:r>
      <w:r w:rsidRPr="00BA5447">
        <w:t xml:space="preserve"> compares patients in cohort 5 without HSCT with patients in all cohorts with related or unrelated HSCT. Figure </w:t>
      </w:r>
      <w:r w:rsidR="00B131EE">
        <w:t>4</w:t>
      </w:r>
      <w:r w:rsidRPr="00BA5447">
        <w:t xml:space="preserve"> compares</w:t>
      </w:r>
      <w:r w:rsidR="00431325">
        <w:t xml:space="preserve"> </w:t>
      </w:r>
      <w:r w:rsidRPr="00BA5447">
        <w:t xml:space="preserve">patients exclusively within </w:t>
      </w:r>
      <w:r w:rsidR="00431325">
        <w:t>C</w:t>
      </w:r>
      <w:r w:rsidRPr="00BA5447">
        <w:t>ohort 5—those without HSCT and those with related or unrelated</w:t>
      </w:r>
      <w:r w:rsidR="00431325">
        <w:t xml:space="preserve"> </w:t>
      </w:r>
      <w:r w:rsidRPr="00BA5447">
        <w:t>HSCT. Please note the terms related and unrelated bone marrow transplant (BMT) used by COG</w:t>
      </w:r>
      <w:r w:rsidR="00431325">
        <w:t xml:space="preserve"> </w:t>
      </w:r>
      <w:r w:rsidRPr="00BA5447">
        <w:t>in the figures below correspond to the definition of per protocol and off-protocol definitions in</w:t>
      </w:r>
      <w:r w:rsidR="00431325">
        <w:t xml:space="preserve"> Study </w:t>
      </w:r>
      <w:r w:rsidRPr="00BA5447">
        <w:t xml:space="preserve">2301, respectively. Per protocol HSCT are HSCT with a HLA-matched or </w:t>
      </w:r>
      <w:r w:rsidR="00431325">
        <w:t xml:space="preserve">one </w:t>
      </w:r>
      <w:r w:rsidRPr="00BA5447">
        <w:t>antigen mismatched related donor and off-protocol HSCT are the remainder.</w:t>
      </w:r>
    </w:p>
    <w:p w:rsidR="00BA5447" w:rsidRPr="00BA5447" w:rsidRDefault="00BA5447" w:rsidP="00CC04DE">
      <w:pPr>
        <w:pStyle w:val="FigureTitle"/>
      </w:pPr>
      <w:r w:rsidRPr="00BA5447">
        <w:t xml:space="preserve">Figure </w:t>
      </w:r>
      <w:r w:rsidR="00277ECF">
        <w:t>3</w:t>
      </w:r>
      <w:r w:rsidRPr="00BA5447">
        <w:t xml:space="preserve">: </w:t>
      </w:r>
      <w:r w:rsidR="00431325">
        <w:t>Five</w:t>
      </w:r>
      <w:r w:rsidRPr="00BA5447">
        <w:t xml:space="preserve"> year estimated EFS </w:t>
      </w:r>
      <w:r w:rsidRPr="00CC04DE">
        <w:t>for</w:t>
      </w:r>
      <w:r w:rsidRPr="00BA5447">
        <w:t xml:space="preserve"> patients in </w:t>
      </w:r>
      <w:r w:rsidR="00431325">
        <w:t>C</w:t>
      </w:r>
      <w:r w:rsidRPr="00BA5447">
        <w:t>ohort 5 without HSCT, patients in all cohorts with</w:t>
      </w:r>
      <w:r w:rsidR="00431325">
        <w:t xml:space="preserve"> </w:t>
      </w:r>
      <w:r w:rsidRPr="00BA5447">
        <w:t>related HSCT and patients in all cohorts with unrelated HSCT.</w:t>
      </w:r>
    </w:p>
    <w:p w:rsidR="00431325" w:rsidRDefault="00431325" w:rsidP="00CC04DE">
      <w:r>
        <w:rPr>
          <w:noProof/>
          <w:lang w:eastAsia="en-AU"/>
        </w:rPr>
        <w:drawing>
          <wp:inline distT="0" distB="0" distL="0" distR="0" wp14:anchorId="437D4F63" wp14:editId="395B57CA">
            <wp:extent cx="3094264" cy="2802148"/>
            <wp:effectExtent l="19050" t="0" r="0" b="0"/>
            <wp:docPr id="11" name="Picture 5" descr="Figure 3: Five year estimated EFS for patients in Cohort 5 without HSCT, patients in all cohorts with related HSCT and patients in all cohorts with unrelated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094264" cy="2802148"/>
                    </a:xfrm>
                    <a:prstGeom prst="rect">
                      <a:avLst/>
                    </a:prstGeom>
                    <a:noFill/>
                    <a:ln w="9525">
                      <a:noFill/>
                      <a:miter lim="800000"/>
                      <a:headEnd/>
                      <a:tailEnd/>
                    </a:ln>
                  </pic:spPr>
                </pic:pic>
              </a:graphicData>
            </a:graphic>
          </wp:inline>
        </w:drawing>
      </w:r>
    </w:p>
    <w:p w:rsidR="00BA5447" w:rsidRDefault="00BA5447" w:rsidP="00CC04DE">
      <w:pPr>
        <w:pStyle w:val="FigureTitle"/>
      </w:pPr>
      <w:r w:rsidRPr="00BA5447">
        <w:lastRenderedPageBreak/>
        <w:t xml:space="preserve">Figure </w:t>
      </w:r>
      <w:r w:rsidR="00277ECF">
        <w:t>4</w:t>
      </w:r>
      <w:r w:rsidRPr="00BA5447">
        <w:t xml:space="preserve">: </w:t>
      </w:r>
      <w:r w:rsidR="00431325">
        <w:t>Five</w:t>
      </w:r>
      <w:r w:rsidRPr="00BA5447">
        <w:t xml:space="preserve"> year estimated EFS for patients in </w:t>
      </w:r>
      <w:r w:rsidR="00431325">
        <w:t>C</w:t>
      </w:r>
      <w:r w:rsidRPr="00BA5447">
        <w:t xml:space="preserve">ohort 5 without HSCT, patients in </w:t>
      </w:r>
      <w:r w:rsidR="00431325">
        <w:t>C</w:t>
      </w:r>
      <w:r w:rsidRPr="00BA5447">
        <w:t>ohort 5 with</w:t>
      </w:r>
      <w:r w:rsidR="00431325">
        <w:t xml:space="preserve"> </w:t>
      </w:r>
      <w:r w:rsidRPr="00BA5447">
        <w:t xml:space="preserve">related HSCT and patients in </w:t>
      </w:r>
      <w:r w:rsidR="00431325">
        <w:t>C</w:t>
      </w:r>
      <w:r w:rsidRPr="00BA5447">
        <w:t>ohort 5 with unrelated HSCT</w:t>
      </w:r>
    </w:p>
    <w:p w:rsidR="00431325" w:rsidRDefault="00431325" w:rsidP="00CC04DE">
      <w:r>
        <w:rPr>
          <w:noProof/>
          <w:lang w:eastAsia="en-AU"/>
        </w:rPr>
        <w:drawing>
          <wp:inline distT="0" distB="0" distL="0" distR="0" wp14:anchorId="0043BD86" wp14:editId="41CA68B0">
            <wp:extent cx="3475264" cy="3393733"/>
            <wp:effectExtent l="19050" t="0" r="0" b="0"/>
            <wp:docPr id="12" name="Picture 8" descr="Figure 4: Five year estimated EFS for patients in Cohort 5 without HSCT, patients in Cohort 5 with related HSCT and patients in Cohort 5 with unrelated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479742" cy="3398106"/>
                    </a:xfrm>
                    <a:prstGeom prst="rect">
                      <a:avLst/>
                    </a:prstGeom>
                    <a:noFill/>
                    <a:ln w="9525">
                      <a:noFill/>
                      <a:miter lim="800000"/>
                      <a:headEnd/>
                      <a:tailEnd/>
                    </a:ln>
                  </pic:spPr>
                </pic:pic>
              </a:graphicData>
            </a:graphic>
          </wp:inline>
        </w:drawing>
      </w:r>
    </w:p>
    <w:p w:rsidR="00BA5447" w:rsidRPr="00BA5447" w:rsidRDefault="00BA5447" w:rsidP="00CC04DE">
      <w:r w:rsidRPr="00BA5447">
        <w:t xml:space="preserve">The </w:t>
      </w:r>
      <w:r w:rsidR="00431325">
        <w:t xml:space="preserve">five </w:t>
      </w:r>
      <w:r w:rsidRPr="00BA5447">
        <w:t>year update on efficacy shows that the probability of EFS is comparable between patients</w:t>
      </w:r>
      <w:r w:rsidR="00431325">
        <w:t xml:space="preserve"> </w:t>
      </w:r>
      <w:r w:rsidRPr="00BA5447">
        <w:t xml:space="preserve">receiving only imatinib </w:t>
      </w:r>
      <w:r w:rsidR="00431325">
        <w:t>plus</w:t>
      </w:r>
      <w:r w:rsidRPr="00BA5447">
        <w:t xml:space="preserve"> chemotherapy v</w:t>
      </w:r>
      <w:r w:rsidR="00431325">
        <w:t>ersu</w:t>
      </w:r>
      <w:r w:rsidRPr="00BA5447">
        <w:t>s patients receiving related HSCT v</w:t>
      </w:r>
      <w:r w:rsidR="00431325">
        <w:t>ersu</w:t>
      </w:r>
      <w:r w:rsidRPr="00BA5447">
        <w:t>s patients receiving</w:t>
      </w:r>
      <w:r w:rsidR="00431325">
        <w:t xml:space="preserve"> </w:t>
      </w:r>
      <w:r w:rsidRPr="00BA5447">
        <w:t>unrelated HSCT. With one additional year of follow-up it is confirmed that the addition of</w:t>
      </w:r>
      <w:r w:rsidR="00431325">
        <w:t xml:space="preserve"> </w:t>
      </w:r>
      <w:r w:rsidRPr="00BA5447">
        <w:t>imatinib to chemotherapy results in comparable long term outcomes to those with HSCT.</w:t>
      </w:r>
    </w:p>
    <w:p w:rsidR="00BA5447" w:rsidRPr="00BA5447" w:rsidRDefault="00BA5447" w:rsidP="00CC04DE">
      <w:r w:rsidRPr="00BA5447">
        <w:t>No other efficacy updates were provided. No safety updates are available.</w:t>
      </w:r>
    </w:p>
    <w:p w:rsidR="00BA5447" w:rsidRPr="00BA5447" w:rsidRDefault="00BA5447" w:rsidP="00A5586C">
      <w:pPr>
        <w:pStyle w:val="Heading5"/>
      </w:pPr>
      <w:r w:rsidRPr="00BA5447">
        <w:t>Study AIT07</w:t>
      </w:r>
    </w:p>
    <w:p w:rsidR="00BA5447" w:rsidRDefault="00DF2F03" w:rsidP="00CC04DE">
      <w:r>
        <w:t xml:space="preserve">The </w:t>
      </w:r>
      <w:r w:rsidRPr="00DF2F03">
        <w:t xml:space="preserve">European Intergroup Study on post induction treatment of </w:t>
      </w:r>
      <w:proofErr w:type="spellStart"/>
      <w:r w:rsidR="00377778">
        <w:t>Ph</w:t>
      </w:r>
      <w:proofErr w:type="spellEnd"/>
      <w:r w:rsidR="00377778">
        <w:t>+ ALL</w:t>
      </w:r>
      <w:r w:rsidRPr="00DF2F03">
        <w:t xml:space="preserve"> with </w:t>
      </w:r>
      <w:proofErr w:type="spellStart"/>
      <w:r w:rsidRPr="00DF2F03">
        <w:t>imatinib</w:t>
      </w:r>
      <w:proofErr w:type="spellEnd"/>
      <w:r w:rsidRPr="00DF2F03">
        <w:t xml:space="preserve"> </w:t>
      </w:r>
      <w:r>
        <w:t>(</w:t>
      </w:r>
      <w:proofErr w:type="spellStart"/>
      <w:r w:rsidR="00BA5447" w:rsidRPr="00BA5447">
        <w:t>EsPhALL</w:t>
      </w:r>
      <w:proofErr w:type="spellEnd"/>
      <w:r>
        <w:t>)</w:t>
      </w:r>
      <w:r w:rsidR="00BA5447" w:rsidRPr="00BA5447">
        <w:t xml:space="preserve"> confirmed that currently there are no plans to analy</w:t>
      </w:r>
      <w:r w:rsidR="00431325">
        <w:t>s</w:t>
      </w:r>
      <w:r w:rsidR="00BA5447" w:rsidRPr="00BA5447">
        <w:t>e efficacy or safety data with</w:t>
      </w:r>
      <w:r w:rsidR="00431325">
        <w:t xml:space="preserve"> </w:t>
      </w:r>
      <w:r w:rsidR="00BA5447" w:rsidRPr="00BA5447">
        <w:t>longer follow-up.</w:t>
      </w:r>
    </w:p>
    <w:p w:rsidR="005932F1" w:rsidRDefault="005932F1" w:rsidP="00CC04DE">
      <w:r w:rsidRPr="005932F1">
        <w:t>The sponsor’s response to the clinical questions w</w:t>
      </w:r>
      <w:r>
        <w:t>as</w:t>
      </w:r>
      <w:r w:rsidRPr="005932F1">
        <w:t xml:space="preserve"> evaluated by the Delegate in the Overview for this application (see section on Risk-Benefit Analysis in the </w:t>
      </w:r>
      <w:proofErr w:type="spellStart"/>
      <w:r w:rsidRPr="005932F1">
        <w:t>AusPAR</w:t>
      </w:r>
      <w:proofErr w:type="spellEnd"/>
      <w:r w:rsidR="00431325">
        <w:t>).</w:t>
      </w:r>
    </w:p>
    <w:p w:rsidR="008E7846" w:rsidRPr="00E41208" w:rsidRDefault="008E7846" w:rsidP="00CC04DE">
      <w:pPr>
        <w:pStyle w:val="Heading2"/>
      </w:pPr>
      <w:bookmarkStart w:id="109" w:name="_Toc247691524"/>
      <w:bookmarkStart w:id="110" w:name="_Toc314842508"/>
      <w:bookmarkStart w:id="111" w:name="_Toc196046504"/>
      <w:bookmarkStart w:id="112" w:name="_Toc163441390"/>
      <w:bookmarkStart w:id="113" w:name="_Toc382572898"/>
      <w:bookmarkEnd w:id="94"/>
      <w:bookmarkEnd w:id="95"/>
      <w:bookmarkEnd w:id="96"/>
      <w:bookmarkEnd w:id="97"/>
      <w:bookmarkEnd w:id="98"/>
      <w:r w:rsidRPr="00E41208">
        <w:t xml:space="preserve">V. </w:t>
      </w:r>
      <w:proofErr w:type="spellStart"/>
      <w:r w:rsidRPr="00E41208">
        <w:t>Pharmacovigilance</w:t>
      </w:r>
      <w:proofErr w:type="spellEnd"/>
      <w:r w:rsidRPr="00E41208">
        <w:t xml:space="preserve"> </w:t>
      </w:r>
      <w:r w:rsidRPr="00CC04DE">
        <w:t>findings</w:t>
      </w:r>
      <w:bookmarkEnd w:id="109"/>
      <w:bookmarkEnd w:id="110"/>
      <w:bookmarkEnd w:id="113"/>
    </w:p>
    <w:p w:rsidR="008E7846" w:rsidRDefault="00386150" w:rsidP="00A5586C">
      <w:pPr>
        <w:pStyle w:val="Heading3"/>
        <w:rPr>
          <w:lang w:eastAsia="en-AU"/>
        </w:rPr>
      </w:pPr>
      <w:bookmarkStart w:id="114" w:name="_Toc247691526"/>
      <w:bookmarkStart w:id="115" w:name="_Toc314842509"/>
      <w:bookmarkStart w:id="116" w:name="_Toc382572899"/>
      <w:r>
        <w:rPr>
          <w:lang w:eastAsia="en-AU"/>
        </w:rPr>
        <w:t>Risk m</w:t>
      </w:r>
      <w:r w:rsidR="008E7846">
        <w:rPr>
          <w:lang w:eastAsia="en-AU"/>
        </w:rPr>
        <w:t xml:space="preserve">anagement </w:t>
      </w:r>
      <w:r>
        <w:rPr>
          <w:lang w:eastAsia="en-AU"/>
        </w:rPr>
        <w:t>p</w:t>
      </w:r>
      <w:r w:rsidR="008E7846">
        <w:rPr>
          <w:lang w:eastAsia="en-AU"/>
        </w:rPr>
        <w:t>lan</w:t>
      </w:r>
      <w:bookmarkEnd w:id="114"/>
      <w:bookmarkEnd w:id="115"/>
      <w:bookmarkEnd w:id="116"/>
    </w:p>
    <w:p w:rsidR="008E7846" w:rsidRDefault="008E7846" w:rsidP="00A5586C">
      <w:pPr>
        <w:rPr>
          <w:lang w:eastAsia="en-AU"/>
        </w:rPr>
      </w:pPr>
      <w:r>
        <w:rPr>
          <w:lang w:eastAsia="en-AU"/>
        </w:rPr>
        <w:t xml:space="preserve">The sponsor submitted a Risk Management Plan </w:t>
      </w:r>
      <w:r w:rsidR="00FF27E4">
        <w:rPr>
          <w:lang w:eastAsia="en-AU"/>
        </w:rPr>
        <w:t>(</w:t>
      </w:r>
      <w:r w:rsidR="00AA7812">
        <w:rPr>
          <w:lang w:eastAsia="en-AU"/>
        </w:rPr>
        <w:t>RMP; Im</w:t>
      </w:r>
      <w:r w:rsidR="00AA7812" w:rsidRPr="00FF27E4">
        <w:rPr>
          <w:lang w:eastAsia="en-AU"/>
        </w:rPr>
        <w:t>atini</w:t>
      </w:r>
      <w:r w:rsidR="00AA7812">
        <w:rPr>
          <w:lang w:eastAsia="en-AU"/>
        </w:rPr>
        <w:t>b Safety Risk Management Plan (V</w:t>
      </w:r>
      <w:r w:rsidR="00AA7812" w:rsidRPr="00FF27E4">
        <w:rPr>
          <w:lang w:eastAsia="en-AU"/>
        </w:rPr>
        <w:t xml:space="preserve">ersion 5, release date 16 March 2012) </w:t>
      </w:r>
      <w:r w:rsidR="00AA7812">
        <w:rPr>
          <w:lang w:eastAsia="en-AU"/>
        </w:rPr>
        <w:t>and</w:t>
      </w:r>
      <w:r w:rsidR="00AA7812" w:rsidRPr="00FF27E4">
        <w:rPr>
          <w:lang w:eastAsia="en-AU"/>
        </w:rPr>
        <w:t xml:space="preserve"> Australian</w:t>
      </w:r>
      <w:r w:rsidR="00AA7812">
        <w:rPr>
          <w:lang w:eastAsia="en-AU"/>
        </w:rPr>
        <w:t xml:space="preserve"> S</w:t>
      </w:r>
      <w:r w:rsidR="00AA7812" w:rsidRPr="00FF27E4">
        <w:rPr>
          <w:lang w:eastAsia="en-AU"/>
        </w:rPr>
        <w:t xml:space="preserve">pecific Annex </w:t>
      </w:r>
      <w:r w:rsidR="00AA7812">
        <w:rPr>
          <w:lang w:eastAsia="en-AU"/>
        </w:rPr>
        <w:t>(ASA) V</w:t>
      </w:r>
      <w:r w:rsidR="00AA7812" w:rsidRPr="00FF27E4">
        <w:rPr>
          <w:lang w:eastAsia="en-AU"/>
        </w:rPr>
        <w:t>ersion 2, release date 26 September 2012</w:t>
      </w:r>
      <w:r w:rsidR="00FF27E4">
        <w:rPr>
          <w:lang w:eastAsia="en-AU"/>
        </w:rPr>
        <w:t xml:space="preserve">) </w:t>
      </w:r>
      <w:r>
        <w:rPr>
          <w:lang w:eastAsia="en-AU"/>
        </w:rPr>
        <w:t>which was reviewed by the TGA’s Office of Product Review (OPR).</w:t>
      </w:r>
    </w:p>
    <w:p w:rsidR="008E7846" w:rsidRDefault="003A7F6C" w:rsidP="00A5586C">
      <w:pPr>
        <w:pStyle w:val="Heading4"/>
        <w:rPr>
          <w:lang w:eastAsia="en-AU"/>
        </w:rPr>
      </w:pPr>
      <w:r>
        <w:rPr>
          <w:lang w:eastAsia="en-AU"/>
        </w:rPr>
        <w:t xml:space="preserve">Safety </w:t>
      </w:r>
      <w:r w:rsidRPr="00A5586C">
        <w:t>s</w:t>
      </w:r>
      <w:r w:rsidR="008E7846" w:rsidRPr="00A5586C">
        <w:t>pecification</w:t>
      </w:r>
    </w:p>
    <w:p w:rsidR="00FF27E4" w:rsidRDefault="007A7286" w:rsidP="00A5586C">
      <w:r>
        <w:t>Subject to the evaluation of the clinical aspects of the Safety Specification (SS) by t</w:t>
      </w:r>
      <w:r w:rsidR="00FF27E4" w:rsidRPr="00FF27E4">
        <w:t>he TGA’s Office of Medicines Authorisation (OMA)</w:t>
      </w:r>
      <w:r>
        <w:t>, the summa</w:t>
      </w:r>
      <w:r w:rsidR="00FF27E4" w:rsidRPr="00FF27E4">
        <w:t>ry of the Ongoing Safety Concerns as specified by the sponsor</w:t>
      </w:r>
      <w:r>
        <w:t xml:space="preserve"> is as follows:</w:t>
      </w:r>
    </w:p>
    <w:p w:rsidR="000044DF" w:rsidRPr="00FF27E4" w:rsidRDefault="000044DF" w:rsidP="00A5586C">
      <w:pPr>
        <w:pStyle w:val="TableTitle"/>
      </w:pPr>
      <w:r>
        <w:lastRenderedPageBreak/>
        <w:t>Table 1</w:t>
      </w:r>
      <w:r w:rsidR="00650F23">
        <w:t>7</w:t>
      </w:r>
      <w:r>
        <w:t>: Summary of ongoing safety concerns</w:t>
      </w:r>
    </w:p>
    <w:tbl>
      <w:tblPr>
        <w:tblStyle w:val="TableTGAblue"/>
        <w:tblW w:w="0" w:type="auto"/>
        <w:tblLook w:val="06A0" w:firstRow="1" w:lastRow="0" w:firstColumn="1" w:lastColumn="0" w:noHBand="1" w:noVBand="1"/>
      </w:tblPr>
      <w:tblGrid>
        <w:gridCol w:w="4360"/>
        <w:gridCol w:w="4360"/>
      </w:tblGrid>
      <w:tr w:rsidR="007A7286" w:rsidTr="00B56074">
        <w:trPr>
          <w:cnfStyle w:val="100000000000" w:firstRow="1" w:lastRow="0" w:firstColumn="0" w:lastColumn="0" w:oddVBand="0" w:evenVBand="0" w:oddHBand="0" w:evenHBand="0" w:firstRowFirstColumn="0" w:firstRowLastColumn="0" w:lastRowFirstColumn="0" w:lastRowLastColumn="0"/>
        </w:trPr>
        <w:tc>
          <w:tcPr>
            <w:tcW w:w="4360" w:type="dxa"/>
          </w:tcPr>
          <w:p w:rsidR="007A7286" w:rsidRPr="007A7286" w:rsidRDefault="007A7286" w:rsidP="00B56074">
            <w:pPr>
              <w:ind w:left="0" w:right="33"/>
            </w:pPr>
            <w:r w:rsidRPr="007A7286">
              <w:t>Summary of ongoing safety concerns</w:t>
            </w:r>
          </w:p>
        </w:tc>
        <w:tc>
          <w:tcPr>
            <w:tcW w:w="4360" w:type="dxa"/>
          </w:tcPr>
          <w:p w:rsidR="007A7286" w:rsidRDefault="007A7286" w:rsidP="00B56074">
            <w:pPr>
              <w:ind w:left="35" w:right="0"/>
              <w:rPr>
                <w:bCs/>
              </w:rPr>
            </w:pPr>
          </w:p>
        </w:tc>
      </w:tr>
      <w:tr w:rsidR="007A7286" w:rsidTr="00B56074">
        <w:tc>
          <w:tcPr>
            <w:tcW w:w="4360" w:type="dxa"/>
          </w:tcPr>
          <w:p w:rsidR="007A7286" w:rsidRPr="00B56074" w:rsidRDefault="007A7286" w:rsidP="00B56074">
            <w:pPr>
              <w:ind w:left="0" w:right="33"/>
              <w:rPr>
                <w:b/>
                <w:bCs/>
              </w:rPr>
            </w:pPr>
            <w:r w:rsidRPr="00B56074">
              <w:rPr>
                <w:b/>
              </w:rPr>
              <w:t>Important identified risks</w:t>
            </w:r>
          </w:p>
        </w:tc>
        <w:tc>
          <w:tcPr>
            <w:tcW w:w="4360" w:type="dxa"/>
          </w:tcPr>
          <w:p w:rsidR="007A7286" w:rsidRDefault="007A7286" w:rsidP="00B56074">
            <w:pPr>
              <w:ind w:left="35" w:right="0"/>
            </w:pPr>
            <w:r w:rsidRPr="007A7286">
              <w:t>Hepatotoxicity</w:t>
            </w:r>
          </w:p>
          <w:p w:rsidR="007A7286" w:rsidRPr="007A7286" w:rsidRDefault="007A7286" w:rsidP="00B56074">
            <w:pPr>
              <w:ind w:left="35" w:right="0"/>
            </w:pPr>
            <w:r w:rsidRPr="007A7286">
              <w:t>Cardiac Failure</w:t>
            </w:r>
          </w:p>
          <w:p w:rsidR="007A7286" w:rsidRPr="007A7286" w:rsidRDefault="007A7286" w:rsidP="00B56074">
            <w:pPr>
              <w:ind w:left="35" w:right="0"/>
            </w:pPr>
            <w:r w:rsidRPr="007A7286">
              <w:t>Severe Respiratory Adverse Reactions</w:t>
            </w:r>
          </w:p>
          <w:p w:rsidR="007A7286" w:rsidRPr="007A7286" w:rsidRDefault="007A7286" w:rsidP="00B56074">
            <w:pPr>
              <w:ind w:left="35" w:right="0"/>
              <w:rPr>
                <w:bCs/>
              </w:rPr>
            </w:pPr>
            <w:r w:rsidRPr="007A7286">
              <w:t xml:space="preserve">Tumour </w:t>
            </w:r>
            <w:proofErr w:type="spellStart"/>
            <w:r w:rsidRPr="007A7286">
              <w:t>Lysis</w:t>
            </w:r>
            <w:proofErr w:type="spellEnd"/>
            <w:r w:rsidRPr="007A7286">
              <w:t xml:space="preserve"> Syndrome</w:t>
            </w:r>
          </w:p>
          <w:p w:rsidR="007A7286" w:rsidRDefault="007A7286" w:rsidP="00B56074">
            <w:pPr>
              <w:ind w:left="35" w:right="0"/>
              <w:rPr>
                <w:bCs/>
              </w:rPr>
            </w:pPr>
            <w:r w:rsidRPr="007A7286">
              <w:t>Growth Retardation in Children</w:t>
            </w:r>
          </w:p>
        </w:tc>
      </w:tr>
      <w:tr w:rsidR="007A7286" w:rsidTr="00B56074">
        <w:tc>
          <w:tcPr>
            <w:tcW w:w="4360" w:type="dxa"/>
          </w:tcPr>
          <w:p w:rsidR="007A7286" w:rsidRPr="00B56074" w:rsidRDefault="007A7286" w:rsidP="00B56074">
            <w:pPr>
              <w:ind w:left="0" w:right="33"/>
              <w:rPr>
                <w:b/>
                <w:bCs/>
              </w:rPr>
            </w:pPr>
            <w:r w:rsidRPr="00B56074">
              <w:rPr>
                <w:b/>
              </w:rPr>
              <w:t>Important potential risks</w:t>
            </w:r>
          </w:p>
        </w:tc>
        <w:tc>
          <w:tcPr>
            <w:tcW w:w="4360" w:type="dxa"/>
          </w:tcPr>
          <w:p w:rsidR="007A7286" w:rsidRDefault="007A7286" w:rsidP="00B56074">
            <w:pPr>
              <w:ind w:left="35" w:right="0"/>
            </w:pPr>
            <w:r w:rsidRPr="007A7286">
              <w:t>Second Malignancies in Survivors</w:t>
            </w:r>
          </w:p>
          <w:p w:rsidR="007A7286" w:rsidRPr="007A7286" w:rsidRDefault="007A7286" w:rsidP="00B56074">
            <w:pPr>
              <w:ind w:left="35" w:right="0"/>
            </w:pPr>
            <w:r w:rsidRPr="007A7286">
              <w:t>Hypoglyc</w:t>
            </w:r>
            <w:r w:rsidR="000044DF">
              <w:t>a</w:t>
            </w:r>
            <w:r w:rsidRPr="007A7286">
              <w:t>emia</w:t>
            </w:r>
          </w:p>
          <w:p w:rsidR="007A7286" w:rsidRDefault="007A7286" w:rsidP="00B56074">
            <w:pPr>
              <w:ind w:left="35" w:right="0"/>
              <w:rPr>
                <w:bCs/>
              </w:rPr>
            </w:pPr>
            <w:r w:rsidRPr="007A7286">
              <w:t>Tolerability during Pregnancy and Pregnancy Outcomes</w:t>
            </w:r>
          </w:p>
        </w:tc>
      </w:tr>
      <w:tr w:rsidR="007A7286" w:rsidTr="00B56074">
        <w:tc>
          <w:tcPr>
            <w:tcW w:w="4360" w:type="dxa"/>
          </w:tcPr>
          <w:p w:rsidR="007A7286" w:rsidRPr="00B56074" w:rsidRDefault="007A7286" w:rsidP="00B56074">
            <w:pPr>
              <w:ind w:left="0" w:right="33"/>
              <w:rPr>
                <w:b/>
                <w:bCs/>
              </w:rPr>
            </w:pPr>
            <w:r w:rsidRPr="00B56074">
              <w:rPr>
                <w:b/>
              </w:rPr>
              <w:t>Important identified interactions</w:t>
            </w:r>
          </w:p>
        </w:tc>
        <w:tc>
          <w:tcPr>
            <w:tcW w:w="4360" w:type="dxa"/>
          </w:tcPr>
          <w:p w:rsidR="007A7286" w:rsidRPr="007A7286" w:rsidRDefault="007A7286" w:rsidP="00B56074">
            <w:pPr>
              <w:ind w:left="35" w:right="0"/>
            </w:pPr>
            <w:r w:rsidRPr="007A7286">
              <w:t>Strong CYP3A4 inhibitors</w:t>
            </w:r>
          </w:p>
          <w:p w:rsidR="007A7286" w:rsidRPr="007A7286" w:rsidRDefault="007A7286" w:rsidP="00B56074">
            <w:pPr>
              <w:ind w:left="35" w:right="0"/>
            </w:pPr>
            <w:r w:rsidRPr="007A7286">
              <w:t>Strong CYP3A4 inducers</w:t>
            </w:r>
          </w:p>
          <w:p w:rsidR="007A7286" w:rsidRDefault="007A7286" w:rsidP="00B56074">
            <w:pPr>
              <w:ind w:left="35" w:right="0"/>
              <w:rPr>
                <w:bCs/>
              </w:rPr>
            </w:pPr>
            <w:r w:rsidRPr="007A7286">
              <w:t>Drugs eliminated by CYP3A4</w:t>
            </w:r>
          </w:p>
        </w:tc>
      </w:tr>
      <w:tr w:rsidR="007A7286" w:rsidTr="00B56074">
        <w:tc>
          <w:tcPr>
            <w:tcW w:w="4360" w:type="dxa"/>
          </w:tcPr>
          <w:p w:rsidR="007A7286" w:rsidRPr="00B56074" w:rsidRDefault="007A7286" w:rsidP="00B56074">
            <w:pPr>
              <w:ind w:left="0" w:right="33"/>
              <w:rPr>
                <w:b/>
                <w:bCs/>
              </w:rPr>
            </w:pPr>
            <w:r w:rsidRPr="00B56074">
              <w:rPr>
                <w:b/>
              </w:rPr>
              <w:t>Important potential interactions</w:t>
            </w:r>
          </w:p>
        </w:tc>
        <w:tc>
          <w:tcPr>
            <w:tcW w:w="4360" w:type="dxa"/>
          </w:tcPr>
          <w:p w:rsidR="007A7286" w:rsidRPr="007A7286" w:rsidRDefault="007A7286" w:rsidP="00B56074">
            <w:pPr>
              <w:ind w:left="35" w:right="0"/>
            </w:pPr>
            <w:r w:rsidRPr="007A7286">
              <w:t>Drugs eliminated by CYP2C9, CYP2C19 and CYP2D6</w:t>
            </w:r>
          </w:p>
          <w:p w:rsidR="007A7286" w:rsidRDefault="007A7286" w:rsidP="00B56074">
            <w:pPr>
              <w:ind w:left="35" w:right="0"/>
              <w:rPr>
                <w:bCs/>
              </w:rPr>
            </w:pPr>
            <w:r w:rsidRPr="007A7286">
              <w:t>Acetaminophen/paracetamol</w:t>
            </w:r>
          </w:p>
        </w:tc>
      </w:tr>
      <w:tr w:rsidR="007A7286" w:rsidTr="00B56074">
        <w:tc>
          <w:tcPr>
            <w:tcW w:w="4360" w:type="dxa"/>
          </w:tcPr>
          <w:p w:rsidR="007A7286" w:rsidRPr="00B56074" w:rsidRDefault="007A7286" w:rsidP="00B56074">
            <w:pPr>
              <w:ind w:left="0" w:right="33"/>
              <w:rPr>
                <w:b/>
                <w:bCs/>
              </w:rPr>
            </w:pPr>
            <w:r w:rsidRPr="00B56074">
              <w:rPr>
                <w:b/>
              </w:rPr>
              <w:t>Important missing information</w:t>
            </w:r>
          </w:p>
        </w:tc>
        <w:tc>
          <w:tcPr>
            <w:tcW w:w="4360" w:type="dxa"/>
          </w:tcPr>
          <w:p w:rsidR="007A7286" w:rsidRPr="007A7286" w:rsidRDefault="007A7286" w:rsidP="00B56074">
            <w:pPr>
              <w:ind w:left="35" w:right="0"/>
            </w:pPr>
            <w:r w:rsidRPr="007A7286">
              <w:t>P</w:t>
            </w:r>
            <w:r w:rsidR="00B658CA">
              <w:t>a</w:t>
            </w:r>
            <w:r w:rsidRPr="007A7286">
              <w:t>ediatric Patients:</w:t>
            </w:r>
            <w:r w:rsidR="000044DF">
              <w:t xml:space="preserve"> </w:t>
            </w:r>
            <w:r w:rsidRPr="007A7286">
              <w:t>long term follow</w:t>
            </w:r>
            <w:r w:rsidR="000044DF">
              <w:t xml:space="preserve"> </w:t>
            </w:r>
            <w:r w:rsidRPr="007A7286">
              <w:t>up</w:t>
            </w:r>
          </w:p>
          <w:p w:rsidR="007A7286" w:rsidRPr="007A7286" w:rsidRDefault="007A7286" w:rsidP="00B56074">
            <w:pPr>
              <w:ind w:left="35" w:right="0"/>
            </w:pPr>
            <w:r w:rsidRPr="007A7286">
              <w:t>P</w:t>
            </w:r>
            <w:r w:rsidR="00B658CA">
              <w:t>a</w:t>
            </w:r>
            <w:r w:rsidRPr="007A7286">
              <w:t>ediatric patients below 2 years of age</w:t>
            </w:r>
          </w:p>
          <w:p w:rsidR="007A7286" w:rsidRPr="007A7286" w:rsidRDefault="007A7286" w:rsidP="00B56074">
            <w:pPr>
              <w:ind w:left="35" w:right="0"/>
            </w:pPr>
            <w:r w:rsidRPr="007A7286">
              <w:t>Renal Impairment</w:t>
            </w:r>
          </w:p>
          <w:p w:rsidR="007A7286" w:rsidRPr="007A7286" w:rsidRDefault="007A7286" w:rsidP="00B56074">
            <w:pPr>
              <w:ind w:left="35" w:right="0"/>
            </w:pPr>
            <w:r w:rsidRPr="007A7286">
              <w:t>Hepatic Impairment</w:t>
            </w:r>
          </w:p>
          <w:p w:rsidR="007A7286" w:rsidRDefault="007A7286" w:rsidP="00B56074">
            <w:pPr>
              <w:ind w:left="35" w:right="0"/>
              <w:rPr>
                <w:bCs/>
              </w:rPr>
            </w:pPr>
            <w:r w:rsidRPr="007A7286">
              <w:t>Elderly Patients</w:t>
            </w:r>
          </w:p>
        </w:tc>
      </w:tr>
    </w:tbl>
    <w:p w:rsidR="000044DF" w:rsidRPr="000044DF" w:rsidRDefault="000044DF" w:rsidP="00B56074">
      <w:r w:rsidRPr="000044DF">
        <w:t xml:space="preserve">It is noted that the summary of ongoing safety concerns has significantly changed compared to the previous version of the RMP (as recently evaluated for a separate application). </w:t>
      </w:r>
      <w:r w:rsidR="00B131EE">
        <w:t>The</w:t>
      </w:r>
      <w:r w:rsidRPr="000044DF">
        <w:t xml:space="preserve"> current RMP states:</w:t>
      </w:r>
    </w:p>
    <w:p w:rsidR="000044DF" w:rsidRPr="00143C64" w:rsidRDefault="000044DF" w:rsidP="00B56074">
      <w:pPr>
        <w:ind w:left="720"/>
      </w:pPr>
      <w:r w:rsidRPr="00143C64">
        <w:t xml:space="preserve">As agreed by European Medicines Agency (EMA), the following important identified and potential risks have been demoted and therefore deleted from all the sections in this RMP: </w:t>
      </w:r>
      <w:proofErr w:type="spellStart"/>
      <w:r w:rsidRPr="00143C64">
        <w:t>Myelosuppression</w:t>
      </w:r>
      <w:proofErr w:type="spellEnd"/>
      <w:r w:rsidRPr="00143C64">
        <w:t xml:space="preserve">, Oedema and Fluid retention, </w:t>
      </w:r>
      <w:r w:rsidR="00951B9D" w:rsidRPr="00143C64">
        <w:t>central nervous system (</w:t>
      </w:r>
      <w:r w:rsidRPr="00143C64">
        <w:t>CNS</w:t>
      </w:r>
      <w:r w:rsidR="00951B9D" w:rsidRPr="00143C64">
        <w:t>)</w:t>
      </w:r>
      <w:r w:rsidRPr="00143C64">
        <w:t xml:space="preserve"> and GI haemorrhage, GI obstruction, perforation or ulceration, Skin Rashes and Severe Cutaneous reaction, Hypothyroidism, Hypophosphatemia, Acute renal failure, </w:t>
      </w:r>
      <w:proofErr w:type="spellStart"/>
      <w:r w:rsidRPr="00143C64">
        <w:t>Rhabdomyolysis</w:t>
      </w:r>
      <w:proofErr w:type="spellEnd"/>
      <w:r w:rsidRPr="00143C64">
        <w:t xml:space="preserve"> and myopathy, Ovarian haemorrhage and hemorrhagic ovarian cyst, Disseminated intravascular coagulation, and </w:t>
      </w:r>
      <w:proofErr w:type="spellStart"/>
      <w:r w:rsidRPr="00143C64">
        <w:t>Suicidality</w:t>
      </w:r>
      <w:proofErr w:type="spellEnd"/>
      <w:r w:rsidRPr="00143C64">
        <w:t>.</w:t>
      </w:r>
    </w:p>
    <w:p w:rsidR="000044DF" w:rsidRPr="000044DF" w:rsidRDefault="000044DF" w:rsidP="00B56074">
      <w:r w:rsidRPr="000044DF">
        <w:t xml:space="preserve">In their response </w:t>
      </w:r>
      <w:r>
        <w:t xml:space="preserve">to TGA’s request for further information, </w:t>
      </w:r>
      <w:r w:rsidRPr="000044DF">
        <w:t>the sponsor should provide more information as to why these previous safety concerns have been deleted from the RMP.</w:t>
      </w:r>
    </w:p>
    <w:p w:rsidR="00FF27E4" w:rsidRPr="000044DF" w:rsidRDefault="000044DF" w:rsidP="00B56074">
      <w:r w:rsidRPr="000044DF">
        <w:t>The sponsor should also confirm that the RMP provided with this submission is the current RMP approved by the EMA.</w:t>
      </w:r>
    </w:p>
    <w:p w:rsidR="008E7846" w:rsidRPr="00B56074" w:rsidRDefault="008E7846" w:rsidP="00B56074">
      <w:pPr>
        <w:pStyle w:val="Heading4"/>
      </w:pPr>
      <w:proofErr w:type="spellStart"/>
      <w:r>
        <w:rPr>
          <w:lang w:eastAsia="en-AU"/>
        </w:rPr>
        <w:lastRenderedPageBreak/>
        <w:t>Pharmacovigilance</w:t>
      </w:r>
      <w:proofErr w:type="spellEnd"/>
      <w:r>
        <w:rPr>
          <w:lang w:eastAsia="en-AU"/>
        </w:rPr>
        <w:t xml:space="preserve"> </w:t>
      </w:r>
      <w:r w:rsidR="003A7F6C">
        <w:rPr>
          <w:lang w:eastAsia="en-AU"/>
        </w:rPr>
        <w:t>p</w:t>
      </w:r>
      <w:r>
        <w:rPr>
          <w:lang w:eastAsia="en-AU"/>
        </w:rPr>
        <w:t>lan</w:t>
      </w:r>
    </w:p>
    <w:p w:rsidR="005410F5" w:rsidRPr="00E106BC" w:rsidRDefault="005410F5" w:rsidP="00B56074">
      <w:r w:rsidRPr="00E106BC">
        <w:t xml:space="preserve">Routine </w:t>
      </w:r>
      <w:proofErr w:type="spellStart"/>
      <w:r w:rsidRPr="00E106BC">
        <w:t>pharmacovigilance</w:t>
      </w:r>
      <w:proofErr w:type="spellEnd"/>
      <w:r w:rsidRPr="00E106BC">
        <w:t xml:space="preserve"> is proposed to monitor all safety concerns.</w:t>
      </w:r>
    </w:p>
    <w:p w:rsidR="005410F5" w:rsidRPr="00E106BC" w:rsidRDefault="005410F5" w:rsidP="00B56074">
      <w:r w:rsidRPr="00E106BC">
        <w:t xml:space="preserve">Additional </w:t>
      </w:r>
      <w:proofErr w:type="spellStart"/>
      <w:r w:rsidRPr="00E106BC">
        <w:t>pharmacovigilance</w:t>
      </w:r>
      <w:proofErr w:type="spellEnd"/>
      <w:r w:rsidRPr="00E106BC">
        <w:t xml:space="preserve"> activities include the following studies:</w:t>
      </w:r>
    </w:p>
    <w:p w:rsidR="005410F5" w:rsidRPr="00E106BC" w:rsidRDefault="005410F5" w:rsidP="00B56074">
      <w:pPr>
        <w:pStyle w:val="ListBullet"/>
      </w:pPr>
      <w:r w:rsidRPr="00E106BC">
        <w:t>For the important identified risk ‘</w:t>
      </w:r>
      <w:r w:rsidRPr="00E106BC">
        <w:rPr>
          <w:i/>
        </w:rPr>
        <w:t>cardiac failure’</w:t>
      </w:r>
      <w:r w:rsidRPr="00E106BC">
        <w:t xml:space="preserve"> subclinical left ventricular dysfunction will be monitored by </w:t>
      </w:r>
      <w:r w:rsidRPr="00B56074">
        <w:t>echocardiography</w:t>
      </w:r>
      <w:r w:rsidRPr="00E106BC">
        <w:t xml:space="preserve"> in the </w:t>
      </w:r>
      <w:proofErr w:type="spellStart"/>
      <w:r w:rsidRPr="00E106BC">
        <w:t>nilotinib</w:t>
      </w:r>
      <w:proofErr w:type="spellEnd"/>
      <w:r w:rsidRPr="00E106BC">
        <w:t xml:space="preserve"> registration </w:t>
      </w:r>
      <w:r w:rsidR="00E106BC">
        <w:t>S</w:t>
      </w:r>
      <w:r w:rsidRPr="00E106BC">
        <w:t>tudy CAMN107A2303 with imatinib as an active comparator.</w:t>
      </w:r>
    </w:p>
    <w:p w:rsidR="005410F5" w:rsidRPr="00E106BC" w:rsidRDefault="005410F5" w:rsidP="00B56074">
      <w:pPr>
        <w:pStyle w:val="ListBullet"/>
      </w:pPr>
      <w:r w:rsidRPr="00E106BC">
        <w:t>For the important identified risk ‘</w:t>
      </w:r>
      <w:r w:rsidRPr="00E106BC">
        <w:rPr>
          <w:i/>
        </w:rPr>
        <w:t>growth retardation in children’</w:t>
      </w:r>
      <w:r w:rsidRPr="00E106BC">
        <w:t xml:space="preserve"> and important missing information ‘</w:t>
      </w:r>
      <w:r w:rsidRPr="00E106BC">
        <w:rPr>
          <w:i/>
        </w:rPr>
        <w:t>p</w:t>
      </w:r>
      <w:r w:rsidR="00E106BC" w:rsidRPr="00E106BC">
        <w:rPr>
          <w:i/>
        </w:rPr>
        <w:t>a</w:t>
      </w:r>
      <w:r w:rsidRPr="00E106BC">
        <w:rPr>
          <w:i/>
        </w:rPr>
        <w:t>ediatric patients: long-term follow up’</w:t>
      </w:r>
      <w:r w:rsidRPr="00E106BC">
        <w:t xml:space="preserve"> data will be obtained in the CML registry </w:t>
      </w:r>
      <w:r w:rsidR="00E106BC">
        <w:t>S</w:t>
      </w:r>
      <w:r w:rsidRPr="00E106BC">
        <w:t xml:space="preserve">tudy CSTI571A2405 </w:t>
      </w:r>
      <w:r w:rsidRPr="00B56074">
        <w:t>regarding</w:t>
      </w:r>
      <w:r w:rsidRPr="00E106BC">
        <w:t xml:space="preserve"> the long-term effects of imatinib treatment on growth, sexual characteristic acquisition and fertility for paediatric patients.</w:t>
      </w:r>
    </w:p>
    <w:p w:rsidR="005410F5" w:rsidRPr="00E106BC" w:rsidRDefault="005410F5" w:rsidP="00B56074">
      <w:pPr>
        <w:pStyle w:val="ListBullet"/>
      </w:pPr>
      <w:r w:rsidRPr="00E106BC">
        <w:t>For the important potential risk ‘</w:t>
      </w:r>
      <w:r w:rsidRPr="00E106BC">
        <w:rPr>
          <w:i/>
        </w:rPr>
        <w:t>second malignancies in survivors’</w:t>
      </w:r>
      <w:r w:rsidRPr="00E106BC">
        <w:t xml:space="preserve"> there will be extended data collection up to 11 year</w:t>
      </w:r>
      <w:r w:rsidR="00E106BC">
        <w:t xml:space="preserve">s in a </w:t>
      </w:r>
      <w:r w:rsidR="00E106BC" w:rsidRPr="00B56074">
        <w:t>designated</w:t>
      </w:r>
      <w:r w:rsidR="00E106BC">
        <w:t xml:space="preserve"> registration S</w:t>
      </w:r>
      <w:r w:rsidRPr="00E106BC">
        <w:t>tudy CSTI571A0106.</w:t>
      </w:r>
    </w:p>
    <w:p w:rsidR="005410F5" w:rsidRPr="00E106BC" w:rsidRDefault="005410F5" w:rsidP="00B56074">
      <w:pPr>
        <w:pStyle w:val="ListBullet"/>
      </w:pPr>
      <w:r w:rsidRPr="00E106BC">
        <w:t xml:space="preserve">For the important potential risk </w:t>
      </w:r>
      <w:r w:rsidRPr="00E106BC">
        <w:rPr>
          <w:i/>
        </w:rPr>
        <w:t xml:space="preserve">‘tolerability during pregnancy and pregnancy outcomes’ </w:t>
      </w:r>
      <w:r w:rsidRPr="00E106BC">
        <w:t xml:space="preserve">there is an ongoing pregnancy </w:t>
      </w:r>
      <w:r w:rsidRPr="00B56074">
        <w:t>registry</w:t>
      </w:r>
      <w:r w:rsidRPr="00E106BC">
        <w:t xml:space="preserve"> CSTI571A2403.</w:t>
      </w:r>
    </w:p>
    <w:p w:rsidR="005410F5" w:rsidRPr="00E106BC" w:rsidRDefault="005410F5" w:rsidP="00B56074">
      <w:r w:rsidRPr="00E106BC">
        <w:t xml:space="preserve">Australian patients are included in the above protocols. As these studies are ongoing they have not been reviewed in detail for the purposes of this report. However it is expected that results will be forwarded to the TGA when available and included in </w:t>
      </w:r>
      <w:r w:rsidR="00E106BC">
        <w:t>Periodic Safety Update Reports (</w:t>
      </w:r>
      <w:r w:rsidRPr="00E106BC">
        <w:t>PSURs</w:t>
      </w:r>
      <w:r w:rsidR="00E106BC">
        <w:t>)</w:t>
      </w:r>
      <w:r w:rsidRPr="00E106BC">
        <w:t xml:space="preserve"> accordingly.</w:t>
      </w:r>
    </w:p>
    <w:p w:rsidR="008E7846" w:rsidRDefault="008E7846" w:rsidP="00B56074">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C07C7" w:rsidRPr="000C07C7" w:rsidRDefault="000C07C7" w:rsidP="00B56074">
      <w:pPr>
        <w:rPr>
          <w:lang w:eastAsia="en-AU"/>
        </w:rPr>
      </w:pPr>
      <w:bookmarkStart w:id="117" w:name="_Toc247691527"/>
      <w:r w:rsidRPr="000C07C7">
        <w:rPr>
          <w:lang w:eastAsia="en-AU"/>
        </w:rPr>
        <w:t>Routine risk minimisation</w:t>
      </w:r>
      <w:r>
        <w:rPr>
          <w:lang w:eastAsia="en-AU"/>
        </w:rPr>
        <w:t xml:space="preserve">, that is, </w:t>
      </w:r>
      <w:r w:rsidRPr="000C07C7">
        <w:rPr>
          <w:lang w:eastAsia="en-AU"/>
        </w:rPr>
        <w:t>product labelling</w:t>
      </w:r>
      <w:r>
        <w:rPr>
          <w:lang w:eastAsia="en-AU"/>
        </w:rPr>
        <w:t>,</w:t>
      </w:r>
      <w:r w:rsidRPr="000C07C7">
        <w:rPr>
          <w:lang w:eastAsia="en-AU"/>
        </w:rPr>
        <w:t xml:space="preserve"> is proposed to mitigate the risks associated with imatinib. This is consistent with the RMP previously evaluated and accepted by OPR and the evaluator has no objection to this approach.</w:t>
      </w:r>
    </w:p>
    <w:p w:rsidR="000C07C7" w:rsidRDefault="000C07C7" w:rsidP="00B56074">
      <w:pPr>
        <w:pStyle w:val="Heading4"/>
        <w:rPr>
          <w:lang w:eastAsia="en-AU"/>
        </w:rPr>
      </w:pPr>
      <w:r>
        <w:rPr>
          <w:lang w:eastAsia="en-AU"/>
        </w:rPr>
        <w:t>S</w:t>
      </w:r>
      <w:r w:rsidR="008E7846">
        <w:rPr>
          <w:lang w:eastAsia="en-AU"/>
        </w:rPr>
        <w:t xml:space="preserve">ummary of </w:t>
      </w:r>
      <w:r w:rsidR="003A7F6C" w:rsidRPr="00B56074">
        <w:t>r</w:t>
      </w:r>
      <w:r w:rsidR="008E7846" w:rsidRPr="00B56074">
        <w:t>ecommendations</w:t>
      </w:r>
      <w:bookmarkStart w:id="118" w:name="_Toc314842510"/>
    </w:p>
    <w:p w:rsidR="000C07C7" w:rsidRPr="000C07C7" w:rsidRDefault="000C07C7" w:rsidP="00B56074">
      <w:r w:rsidRPr="000C07C7">
        <w:t>The OPR provides these recommendations in the context that the submitted RMP is supportive to the application; the implementation of the Imatini</w:t>
      </w:r>
      <w:r w:rsidR="00125EC4">
        <w:t>b Safety Risk Management Plan (V</w:t>
      </w:r>
      <w:r w:rsidRPr="000C07C7">
        <w:t>ersion 5, release date 16 March 2012) and any future updates is imposed as a condition of registration; and the submitted EU-RMP is applicable without modification in Australia unless so qualified:</w:t>
      </w:r>
    </w:p>
    <w:p w:rsidR="000C07C7" w:rsidRPr="000C07C7" w:rsidRDefault="000C07C7" w:rsidP="00B56074">
      <w:pPr>
        <w:pStyle w:val="Numberbullet0"/>
        <w:numPr>
          <w:ilvl w:val="0"/>
          <w:numId w:val="36"/>
        </w:numPr>
      </w:pPr>
      <w:r w:rsidRPr="000C07C7">
        <w:t xml:space="preserve">Safety considerations may be raised by the clinical evaluator through the consolidated </w:t>
      </w:r>
      <w:r w:rsidR="00663C45">
        <w:t xml:space="preserve">TGA </w:t>
      </w:r>
      <w:r>
        <w:t xml:space="preserve">request for further information </w:t>
      </w:r>
      <w:r w:rsidRPr="000C07C7">
        <w:t>and/or the clinical evaluation report respectively. It is important to ensure that the information provided in response to these includes consideration of the relevance for the R</w:t>
      </w:r>
      <w:r>
        <w:t>MP</w:t>
      </w:r>
      <w:r w:rsidRPr="000C07C7">
        <w:t xml:space="preserve">, and any specific information needed </w:t>
      </w:r>
      <w:r w:rsidRPr="00B56074">
        <w:t>to</w:t>
      </w:r>
      <w:r w:rsidRPr="000C07C7">
        <w:t xml:space="preserve"> address this issue in the RMP. For any safety considerations so raised, please provide information that is relevant and necessary to address the issue in the RMP.</w:t>
      </w:r>
    </w:p>
    <w:p w:rsidR="000C07C7" w:rsidRPr="000C07C7" w:rsidRDefault="000C07C7" w:rsidP="00B56074">
      <w:pPr>
        <w:pStyle w:val="Numberbullet0"/>
      </w:pPr>
      <w:r w:rsidRPr="000C07C7">
        <w:t>In their</w:t>
      </w:r>
      <w:r>
        <w:t xml:space="preserve"> response to </w:t>
      </w:r>
      <w:r w:rsidRPr="00B56074">
        <w:t>the</w:t>
      </w:r>
      <w:r>
        <w:t xml:space="preserve"> TGA’s request for further information, </w:t>
      </w:r>
      <w:r w:rsidRPr="000C07C7">
        <w:t>the sponsor should provide the TGA with more information as to why the previous safety concerns have been deleted from this version of the RMP.</w:t>
      </w:r>
    </w:p>
    <w:p w:rsidR="000C07C7" w:rsidRPr="000C07C7" w:rsidRDefault="000C07C7" w:rsidP="00B56074">
      <w:pPr>
        <w:pStyle w:val="Numberbullet0"/>
      </w:pPr>
      <w:r w:rsidRPr="000C07C7">
        <w:t xml:space="preserve">The sponsor should </w:t>
      </w:r>
      <w:r w:rsidRPr="00B56074">
        <w:t>also</w:t>
      </w:r>
      <w:r w:rsidRPr="000C07C7">
        <w:t xml:space="preserve"> confirm that the RM</w:t>
      </w:r>
      <w:r w:rsidR="00125EC4">
        <w:t>P provided in this submission (V</w:t>
      </w:r>
      <w:r w:rsidRPr="000C07C7">
        <w:t>ersion 5) is the current RMP approved by the EMA.</w:t>
      </w:r>
    </w:p>
    <w:p w:rsidR="000C07C7" w:rsidRDefault="006B4D2F" w:rsidP="00B56074">
      <w:r>
        <w:t xml:space="preserve">The OPR reviewer also recommended revisions of the PI and CMI; details of these are beyond the scope of this </w:t>
      </w:r>
      <w:proofErr w:type="spellStart"/>
      <w:r>
        <w:t>AusPAR</w:t>
      </w:r>
      <w:proofErr w:type="spellEnd"/>
      <w:r w:rsidR="000C07C7" w:rsidRPr="000C07C7">
        <w:t>.</w:t>
      </w:r>
    </w:p>
    <w:p w:rsidR="00755268" w:rsidRDefault="00755268" w:rsidP="00B56074">
      <w:pPr>
        <w:pStyle w:val="Heading4"/>
      </w:pPr>
      <w:r>
        <w:lastRenderedPageBreak/>
        <w:t xml:space="preserve">Sponsor’s response to the </w:t>
      </w:r>
      <w:r w:rsidR="00B56074">
        <w:t>s</w:t>
      </w:r>
      <w:r>
        <w:t xml:space="preserve">ummary of </w:t>
      </w:r>
      <w:r w:rsidR="00B56074">
        <w:t>r</w:t>
      </w:r>
      <w:r>
        <w:t>ecommendations</w:t>
      </w:r>
    </w:p>
    <w:p w:rsidR="00755268" w:rsidRPr="00755268" w:rsidRDefault="00755268" w:rsidP="00B56074">
      <w:pPr>
        <w:pStyle w:val="Heading5"/>
      </w:pPr>
      <w:r>
        <w:t xml:space="preserve">Recommendation </w:t>
      </w:r>
      <w:r w:rsidRPr="00755268">
        <w:t>1</w:t>
      </w:r>
      <w:r w:rsidR="00AA7812">
        <w:t>:</w:t>
      </w:r>
    </w:p>
    <w:p w:rsidR="00755268" w:rsidRPr="00755268" w:rsidRDefault="00755268" w:rsidP="00B56074">
      <w:r>
        <w:t>A</w:t>
      </w:r>
      <w:r w:rsidRPr="00755268">
        <w:t>ny safety issues raised by TGA will be addressed accordingly and in consideration of the RMP.</w:t>
      </w:r>
      <w:r>
        <w:t xml:space="preserve"> </w:t>
      </w:r>
      <w:r w:rsidRPr="00755268">
        <w:t>There are no plans to analyse new efficacy or new safety data with longer follow-up</w:t>
      </w:r>
      <w:r>
        <w:t xml:space="preserve"> </w:t>
      </w:r>
      <w:r w:rsidRPr="00755268">
        <w:t>considerations raised in the RMP.</w:t>
      </w:r>
    </w:p>
    <w:p w:rsidR="00755268" w:rsidRPr="00755268" w:rsidRDefault="00755268" w:rsidP="00B56074">
      <w:pPr>
        <w:pStyle w:val="Heading5"/>
      </w:pPr>
      <w:r>
        <w:t>Recommendation 2:</w:t>
      </w:r>
    </w:p>
    <w:p w:rsidR="00755268" w:rsidRPr="00755268" w:rsidRDefault="00755268" w:rsidP="00B56074">
      <w:r w:rsidRPr="00755268">
        <w:t>The previous safety concern</w:t>
      </w:r>
      <w:r w:rsidR="00663C45">
        <w:t>s have been deleted in the RMP Ve</w:t>
      </w:r>
      <w:r w:rsidRPr="00755268">
        <w:t>rsion 5 due to a misunderstanding</w:t>
      </w:r>
      <w:r>
        <w:t xml:space="preserve"> </w:t>
      </w:r>
      <w:r w:rsidRPr="00755268">
        <w:t xml:space="preserve">of the risk demotions. The RMP </w:t>
      </w:r>
      <w:r w:rsidR="00663C45">
        <w:t>V</w:t>
      </w:r>
      <w:r w:rsidRPr="00755268">
        <w:t>ersion 6 has therefore been updated with reinstating risks in the</w:t>
      </w:r>
      <w:r>
        <w:t xml:space="preserve"> </w:t>
      </w:r>
      <w:r w:rsidRPr="00755268">
        <w:t xml:space="preserve">previous RMP submission. Glivec RMP </w:t>
      </w:r>
      <w:r w:rsidR="00663C45">
        <w:t xml:space="preserve">Version </w:t>
      </w:r>
      <w:r w:rsidRPr="00755268">
        <w:t xml:space="preserve">6 has reinstated the following </w:t>
      </w:r>
      <w:r w:rsidR="00125EC4">
        <w:t xml:space="preserve">demoted </w:t>
      </w:r>
      <w:r w:rsidRPr="00755268">
        <w:t>risks:</w:t>
      </w:r>
    </w:p>
    <w:p w:rsidR="00755268" w:rsidRPr="00755268" w:rsidRDefault="00755268" w:rsidP="00B56074">
      <w:proofErr w:type="spellStart"/>
      <w:r w:rsidRPr="00755268">
        <w:t>Myelosuppresion</w:t>
      </w:r>
      <w:proofErr w:type="spellEnd"/>
      <w:r w:rsidRPr="00755268">
        <w:t>, Oedema and Fluid retention, CNS and GI haemorrhage, GI</w:t>
      </w:r>
      <w:r>
        <w:t xml:space="preserve"> </w:t>
      </w:r>
      <w:r w:rsidRPr="00755268">
        <w:t>obstruction, perforation or ulceration, Skin Rashes and Severe Cutaneous reaction,</w:t>
      </w:r>
      <w:r>
        <w:t xml:space="preserve"> </w:t>
      </w:r>
      <w:r w:rsidRPr="00755268">
        <w:t xml:space="preserve">Hypothyroidism, Hypophosphatemia, Acute renal failure, </w:t>
      </w:r>
      <w:proofErr w:type="spellStart"/>
      <w:r w:rsidRPr="00755268">
        <w:t>Rhabdomyolysis</w:t>
      </w:r>
      <w:proofErr w:type="spellEnd"/>
      <w:r w:rsidRPr="00755268">
        <w:t xml:space="preserve"> and myopathy,</w:t>
      </w:r>
      <w:r>
        <w:t xml:space="preserve"> </w:t>
      </w:r>
      <w:r w:rsidRPr="00755268">
        <w:t>Ovarian haemorrhage and hemorrhagic ovarian cyst, Disseminated intravascular coagulation, and</w:t>
      </w:r>
      <w:r>
        <w:t xml:space="preserve"> </w:t>
      </w:r>
      <w:proofErr w:type="spellStart"/>
      <w:r w:rsidRPr="00755268">
        <w:t>Suicidality</w:t>
      </w:r>
      <w:proofErr w:type="spellEnd"/>
      <w:r w:rsidRPr="00755268">
        <w:t>.</w:t>
      </w:r>
    </w:p>
    <w:p w:rsidR="00755268" w:rsidRPr="00755268" w:rsidRDefault="00755268" w:rsidP="00B56074">
      <w:r w:rsidRPr="00755268">
        <w:t>As agreed by European Medicines Agency (EMA), the important identified and potential risks</w:t>
      </w:r>
      <w:r>
        <w:t xml:space="preserve"> </w:t>
      </w:r>
      <w:r w:rsidRPr="00755268">
        <w:t>which were demoted previously (RMP sent in July 2012) were re-instated in the updated RMP</w:t>
      </w:r>
      <w:r>
        <w:t xml:space="preserve"> </w:t>
      </w:r>
      <w:r w:rsidRPr="00755268">
        <w:t>(Version 6 updated with reinstated risks dated 27-Aug 2012).</w:t>
      </w:r>
    </w:p>
    <w:p w:rsidR="00755268" w:rsidRPr="00755268" w:rsidRDefault="00DF6339" w:rsidP="00B56074">
      <w:pPr>
        <w:pStyle w:val="Heading5"/>
      </w:pPr>
      <w:r>
        <w:t xml:space="preserve">Recommendation </w:t>
      </w:r>
      <w:r w:rsidR="00755268" w:rsidRPr="00755268">
        <w:t>3</w:t>
      </w:r>
      <w:r w:rsidR="00AA7812">
        <w:t>:</w:t>
      </w:r>
    </w:p>
    <w:p w:rsidR="00755268" w:rsidRDefault="00755268" w:rsidP="00B56074">
      <w:r w:rsidRPr="00755268">
        <w:t xml:space="preserve">The current RMP </w:t>
      </w:r>
      <w:r w:rsidR="00125EC4">
        <w:t>approved by the EMA is the RMP V</w:t>
      </w:r>
      <w:r w:rsidRPr="00755268">
        <w:t>ersion 6 updated. However another updated</w:t>
      </w:r>
      <w:r w:rsidR="00DF6339">
        <w:t xml:space="preserve"> </w:t>
      </w:r>
      <w:r w:rsidRPr="00755268">
        <w:t>RMP (Version 7) is planned to be dispatched this year to include the new RMP template.</w:t>
      </w:r>
    </w:p>
    <w:p w:rsidR="00930027" w:rsidRPr="00930027" w:rsidRDefault="00930027" w:rsidP="00B56074">
      <w:pPr>
        <w:pStyle w:val="Heading4"/>
      </w:pPr>
      <w:r w:rsidRPr="00930027">
        <w:t xml:space="preserve">Reconciliation of </w:t>
      </w:r>
      <w:r w:rsidRPr="00B56074">
        <w:t>issues</w:t>
      </w:r>
      <w:r w:rsidRPr="00930027">
        <w:t xml:space="preserve"> outlined in </w:t>
      </w:r>
      <w:r>
        <w:t>OPR Recommendations</w:t>
      </w:r>
    </w:p>
    <w:p w:rsidR="00930027" w:rsidRDefault="00930027" w:rsidP="00B56074">
      <w:r>
        <w:t xml:space="preserve">The sponsor’s responses to the issues outlined in the OPR recommendations was reviewed by the </w:t>
      </w:r>
      <w:r w:rsidR="00B56074">
        <w:t>OPR and found to be acceptable.</w:t>
      </w:r>
    </w:p>
    <w:p w:rsidR="00AA7812" w:rsidRPr="00B56074" w:rsidRDefault="00A363CB" w:rsidP="00B56074">
      <w:pPr>
        <w:pStyle w:val="Heading4"/>
      </w:pPr>
      <w:r>
        <w:t>Final r</w:t>
      </w:r>
      <w:r w:rsidR="00AA7812">
        <w:t>ecommendation</w:t>
      </w:r>
    </w:p>
    <w:p w:rsidR="00AA7812" w:rsidRPr="00755268" w:rsidRDefault="00AA7812" w:rsidP="00B56074">
      <w:r>
        <w:t>Implement RMP (</w:t>
      </w:r>
      <w:r w:rsidR="00192867">
        <w:t>V</w:t>
      </w:r>
      <w:r>
        <w:t>ersion 6, dated 27 August 2012) with Australian Specific Annex (</w:t>
      </w:r>
      <w:r w:rsidR="00192867">
        <w:t>V</w:t>
      </w:r>
      <w:r>
        <w:t xml:space="preserve">ersion 2, release date 26 September 2012) and any future updates </w:t>
      </w:r>
      <w:r w:rsidR="00B56074">
        <w:t>as a condition of registration.</w:t>
      </w:r>
    </w:p>
    <w:p w:rsidR="008E7846" w:rsidRPr="00792A32" w:rsidRDefault="008E7846" w:rsidP="00B56074">
      <w:pPr>
        <w:pStyle w:val="Heading2"/>
      </w:pPr>
      <w:bookmarkStart w:id="119" w:name="_Toc382572900"/>
      <w:r>
        <w:t xml:space="preserve">VI. </w:t>
      </w:r>
      <w:r w:rsidRPr="00B56074">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11"/>
      <w:bookmarkEnd w:id="117"/>
      <w:bookmarkEnd w:id="118"/>
      <w:bookmarkEnd w:id="119"/>
    </w:p>
    <w:p w:rsidR="008E7846" w:rsidRDefault="008E7846" w:rsidP="00B56074">
      <w:bookmarkStart w:id="120" w:name="_Toc247691528"/>
      <w:r>
        <w:t xml:space="preserve">The submission was summarised in the following </w:t>
      </w:r>
      <w:r w:rsidRPr="00EF5C48">
        <w:t xml:space="preserve">Delegate’s </w:t>
      </w:r>
      <w:r>
        <w:t>overview</w:t>
      </w:r>
      <w:r w:rsidRPr="00EF5C48">
        <w:t xml:space="preserve"> and recommendation</w:t>
      </w:r>
      <w:r>
        <w:t>s:</w:t>
      </w:r>
    </w:p>
    <w:p w:rsidR="00EB106D" w:rsidRPr="00EB106D" w:rsidRDefault="00EB106D" w:rsidP="00B56074">
      <w:pPr>
        <w:pStyle w:val="Heading4"/>
      </w:pPr>
      <w:r w:rsidRPr="00B56074">
        <w:t>Background</w:t>
      </w:r>
    </w:p>
    <w:p w:rsidR="00EB106D" w:rsidRPr="00EB106D" w:rsidRDefault="00EB106D" w:rsidP="00B56074">
      <w:r w:rsidRPr="00EB106D">
        <w:t>This application seeks an extension of the ‘newly diagnosed Ph+ ALL’ indication for imatinib to include chil</w:t>
      </w:r>
      <w:r w:rsidR="00143C64">
        <w:t>dren. The amendment</w:t>
      </w:r>
      <w:r w:rsidRPr="00EB106D">
        <w:t xml:space="preserve"> </w:t>
      </w:r>
      <w:r w:rsidR="00143C64">
        <w:t xml:space="preserve">(in bold text) to the </w:t>
      </w:r>
      <w:r w:rsidRPr="00EB106D">
        <w:t>indication proposed by the sponsor is:</w:t>
      </w:r>
    </w:p>
    <w:p w:rsidR="00EB106D" w:rsidRPr="00B56074" w:rsidRDefault="00EB106D" w:rsidP="00B56074">
      <w:pPr>
        <w:ind w:left="720"/>
        <w:rPr>
          <w:i/>
        </w:rPr>
      </w:pPr>
      <w:r w:rsidRPr="00B56074">
        <w:rPr>
          <w:i/>
        </w:rPr>
        <w:t xml:space="preserve">Treatment of adult </w:t>
      </w:r>
      <w:r w:rsidRPr="00B56074">
        <w:rPr>
          <w:b/>
          <w:bCs/>
          <w:i/>
        </w:rPr>
        <w:t>and paediatric</w:t>
      </w:r>
      <w:r w:rsidRPr="00B56074">
        <w:rPr>
          <w:i/>
        </w:rPr>
        <w:t xml:space="preserve"> patients with newly diagnosed Philadelphia chromosome positive acute lymphoblastic leukaemia (Ph+ AL</w:t>
      </w:r>
      <w:r w:rsidR="00B56074">
        <w:rPr>
          <w:i/>
        </w:rPr>
        <w:t>L) integrated with chemotherapy</w:t>
      </w:r>
    </w:p>
    <w:p w:rsidR="00EB106D" w:rsidRPr="00EB106D" w:rsidRDefault="00EB106D" w:rsidP="00B56074">
      <w:r w:rsidRPr="00EB106D">
        <w:t>The proposed paediatric dose is 340 mg/m</w:t>
      </w:r>
      <w:r w:rsidRPr="00EB106D">
        <w:rPr>
          <w:vertAlign w:val="superscript"/>
        </w:rPr>
        <w:t>2</w:t>
      </w:r>
      <w:r w:rsidRPr="00EB106D">
        <w:t>/day, not to exceed 600 mg/day (which is the adult dose), and given as a once daily dose.</w:t>
      </w:r>
    </w:p>
    <w:p w:rsidR="00EB106D" w:rsidRPr="00EB106D" w:rsidRDefault="00EB106D" w:rsidP="00B56074">
      <w:r w:rsidRPr="00EB106D">
        <w:lastRenderedPageBreak/>
        <w:t>Imatinib has been registered in Australia since 2001. The Ph+ ALL indication for adults was approved in 2007. Paediatric use for CML was approved in 2003 and a new paediatric dosage regimen – 340 mg/m</w:t>
      </w:r>
      <w:r w:rsidRPr="00EB106D">
        <w:rPr>
          <w:vertAlign w:val="superscript"/>
        </w:rPr>
        <w:t>2</w:t>
      </w:r>
      <w:r w:rsidRPr="00EB106D">
        <w:t>/day, up from 260 mg/m</w:t>
      </w:r>
      <w:r w:rsidRPr="00EB106D">
        <w:rPr>
          <w:vertAlign w:val="superscript"/>
        </w:rPr>
        <w:t>2</w:t>
      </w:r>
      <w:r w:rsidRPr="00EB106D">
        <w:t>/day in chroni</w:t>
      </w:r>
      <w:r w:rsidR="00B56074">
        <w:t>c phase – was approved in 2010.</w:t>
      </w:r>
    </w:p>
    <w:p w:rsidR="00EB106D" w:rsidRPr="00EB106D" w:rsidRDefault="00EB106D" w:rsidP="00B56074">
      <w:r w:rsidRPr="00EB106D">
        <w:t>Highly relevant EU guidelines include:</w:t>
      </w:r>
    </w:p>
    <w:p w:rsidR="00A363CB" w:rsidRPr="00EB106D" w:rsidRDefault="00A363CB" w:rsidP="00B56074">
      <w:pPr>
        <w:pStyle w:val="ListBullet"/>
      </w:pPr>
      <w:r w:rsidRPr="00EB106D">
        <w:t xml:space="preserve">Guideline on </w:t>
      </w:r>
      <w:r w:rsidRPr="00B56074">
        <w:t>the</w:t>
      </w:r>
      <w:r w:rsidRPr="00EB106D">
        <w:t xml:space="preserve"> evaluation of anticancer medicinal products in m</w:t>
      </w:r>
      <w:r w:rsidR="00EB106D">
        <w:t>an; CPMP/EWP/205/95/Rev.3/Corr.</w:t>
      </w:r>
      <w:r w:rsidRPr="00EB106D">
        <w:t>, and appendices, including:</w:t>
      </w:r>
    </w:p>
    <w:p w:rsidR="00A363CB" w:rsidRPr="00EB106D" w:rsidRDefault="00A363CB" w:rsidP="00B56074">
      <w:pPr>
        <w:pStyle w:val="ListBullet"/>
      </w:pPr>
      <w:r w:rsidRPr="00EB106D">
        <w:t>Appendix 2 to the Guideline on the evaluation of Anticancer Medicinal Products in Man (CPMP/EWP/205/95 Rev. 3) on Confirmatory studies in Haematological Malignancies</w:t>
      </w:r>
    </w:p>
    <w:p w:rsidR="00A363CB" w:rsidRPr="00EB106D" w:rsidRDefault="00271D11" w:rsidP="00B56074">
      <w:pPr>
        <w:pStyle w:val="ListBullet"/>
      </w:pPr>
      <w:r w:rsidRPr="00EB106D">
        <w:t xml:space="preserve">Reflection </w:t>
      </w:r>
      <w:r w:rsidRPr="00B56074">
        <w:t>paper</w:t>
      </w:r>
      <w:r w:rsidRPr="00EB106D">
        <w:t>: formulations of choice for the paediatric population</w:t>
      </w:r>
      <w:r w:rsidR="00A363CB" w:rsidRPr="00EB106D">
        <w:t>; EMEA/CHMP/PEG/194810/2005</w:t>
      </w:r>
    </w:p>
    <w:p w:rsidR="008E7846" w:rsidRPr="00B56074" w:rsidRDefault="008E7846" w:rsidP="00B56074">
      <w:pPr>
        <w:pStyle w:val="Heading3"/>
      </w:pPr>
      <w:bookmarkStart w:id="121" w:name="_Toc314842511"/>
      <w:bookmarkStart w:id="122" w:name="_Toc382572901"/>
      <w:r>
        <w:t>Quality</w:t>
      </w:r>
      <w:bookmarkEnd w:id="120"/>
      <w:bookmarkEnd w:id="121"/>
      <w:bookmarkEnd w:id="122"/>
    </w:p>
    <w:p w:rsidR="00E45619" w:rsidRDefault="008E7846" w:rsidP="00B56074">
      <w:r>
        <w:t>There was no requirement for a quality evaluation in a submission of this type.</w:t>
      </w:r>
    </w:p>
    <w:p w:rsidR="008E7846" w:rsidRPr="00B56074" w:rsidRDefault="008E7846" w:rsidP="00B56074">
      <w:pPr>
        <w:pStyle w:val="Heading3"/>
      </w:pPr>
      <w:bookmarkStart w:id="123" w:name="_Toc314842512"/>
      <w:bookmarkStart w:id="124" w:name="_Toc382572902"/>
      <w:r>
        <w:t>Nonclinical</w:t>
      </w:r>
      <w:bookmarkEnd w:id="123"/>
      <w:bookmarkEnd w:id="124"/>
    </w:p>
    <w:p w:rsidR="008E7846" w:rsidRDefault="008E7846" w:rsidP="00B56074">
      <w:r>
        <w:t>There was no requirement for a nonclinical evaluation in a submission of this type.</w:t>
      </w:r>
    </w:p>
    <w:p w:rsidR="008E7846" w:rsidRPr="00B56074" w:rsidRDefault="008E7846" w:rsidP="00B56074">
      <w:pPr>
        <w:pStyle w:val="Heading3"/>
      </w:pPr>
      <w:bookmarkStart w:id="125" w:name="_Toc247691530"/>
      <w:bookmarkStart w:id="126" w:name="_Toc314842513"/>
      <w:bookmarkStart w:id="127" w:name="_Toc382572903"/>
      <w:r>
        <w:t>Clinical</w:t>
      </w:r>
      <w:bookmarkEnd w:id="125"/>
      <w:bookmarkEnd w:id="126"/>
      <w:bookmarkEnd w:id="127"/>
    </w:p>
    <w:p w:rsidR="006B4D2F" w:rsidRPr="00B56074" w:rsidRDefault="006B4D2F" w:rsidP="00B56074">
      <w:pPr>
        <w:pStyle w:val="Heading4"/>
      </w:pPr>
      <w:r w:rsidRPr="006B4D2F">
        <w:t>Overview of data</w:t>
      </w:r>
    </w:p>
    <w:p w:rsidR="006B4D2F" w:rsidRPr="006B4D2F" w:rsidRDefault="006B4D2F" w:rsidP="00B56074">
      <w:pPr>
        <w:pStyle w:val="ListBullet"/>
      </w:pPr>
      <w:proofErr w:type="spellStart"/>
      <w:r w:rsidRPr="006B4D2F">
        <w:t>PopPK</w:t>
      </w:r>
      <w:proofErr w:type="spellEnd"/>
      <w:r w:rsidRPr="006B4D2F">
        <w:t xml:space="preserve"> </w:t>
      </w:r>
      <w:r w:rsidRPr="00B56074">
        <w:t>analysis</w:t>
      </w:r>
      <w:r w:rsidRPr="006B4D2F">
        <w:t xml:space="preserve"> from </w:t>
      </w:r>
      <w:r>
        <w:t>four</w:t>
      </w:r>
      <w:r w:rsidRPr="006B4D2F">
        <w:t xml:space="preserve"> studies involving 67 patients with Ph+</w:t>
      </w:r>
      <w:r w:rsidR="00A363CB">
        <w:t xml:space="preserve"> </w:t>
      </w:r>
      <w:r w:rsidRPr="006B4D2F">
        <w:t xml:space="preserve">CML (n=46), </w:t>
      </w:r>
      <w:r w:rsidR="00377778">
        <w:t>Ph+ ALL</w:t>
      </w:r>
      <w:r w:rsidRPr="006B4D2F">
        <w:t xml:space="preserve"> (n=12) and other haematological disorders (n=9).</w:t>
      </w:r>
    </w:p>
    <w:p w:rsidR="006B4D2F" w:rsidRPr="006B4D2F" w:rsidRDefault="006B4D2F" w:rsidP="00B56074">
      <w:pPr>
        <w:pStyle w:val="ListBullet"/>
      </w:pPr>
      <w:r w:rsidRPr="006B4D2F">
        <w:t>P</w:t>
      </w:r>
      <w:r w:rsidR="006C4309">
        <w:t>K</w:t>
      </w:r>
      <w:r w:rsidRPr="006B4D2F">
        <w:t xml:space="preserve"> modelling </w:t>
      </w:r>
      <w:r w:rsidRPr="00B56074">
        <w:t>for</w:t>
      </w:r>
      <w:r w:rsidRPr="006B4D2F">
        <w:t xml:space="preserve"> patients 1-18 y</w:t>
      </w:r>
      <w:r w:rsidR="00EB106D">
        <w:t>ea</w:t>
      </w:r>
      <w:r w:rsidRPr="006B4D2F">
        <w:t>rs of age.</w:t>
      </w:r>
    </w:p>
    <w:p w:rsidR="006B4D2F" w:rsidRPr="006B4D2F" w:rsidRDefault="006B4D2F" w:rsidP="006B4D2F">
      <w:pPr>
        <w:pStyle w:val="ListBullet"/>
      </w:pPr>
      <w:r w:rsidRPr="006B4D2F">
        <w:t>STI571A2110: uncontrolled, open label, paediatric PK study</w:t>
      </w:r>
    </w:p>
    <w:p w:rsidR="006B4D2F" w:rsidRPr="006B4D2F" w:rsidRDefault="006B4D2F" w:rsidP="00B56074">
      <w:pPr>
        <w:pStyle w:val="ListBullet"/>
      </w:pPr>
      <w:r w:rsidRPr="006B4D2F">
        <w:t xml:space="preserve">STI571I2301: non-randomised, open label, sequential cohort study of newly diagnosed </w:t>
      </w:r>
      <w:r w:rsidR="00F96D85">
        <w:t>VHR</w:t>
      </w:r>
      <w:r w:rsidRPr="006B4D2F">
        <w:t xml:space="preserve"> patients 1-22 y</w:t>
      </w:r>
      <w:r w:rsidR="00EB106D">
        <w:t>ea</w:t>
      </w:r>
      <w:r w:rsidRPr="006B4D2F">
        <w:t xml:space="preserve">rs of age with ALL; considered pivotal by the sponsor. 92 subjects had </w:t>
      </w:r>
      <w:proofErr w:type="spellStart"/>
      <w:r w:rsidR="00377778" w:rsidRPr="00B56074">
        <w:t>Ph</w:t>
      </w:r>
      <w:proofErr w:type="spellEnd"/>
      <w:r w:rsidR="00377778">
        <w:t>+ ALL</w:t>
      </w:r>
      <w:r w:rsidRPr="006B4D2F">
        <w:t xml:space="preserve"> (65 had Ph- ALL).</w:t>
      </w:r>
    </w:p>
    <w:p w:rsidR="006B4D2F" w:rsidRPr="006B4D2F" w:rsidRDefault="006B4D2F" w:rsidP="00B56074">
      <w:pPr>
        <w:pStyle w:val="ListBullet"/>
      </w:pPr>
      <w:r w:rsidRPr="006B4D2F">
        <w:t>STI571AIT07: ‘initially randomised’, open label study of imatinib v</w:t>
      </w:r>
      <w:r>
        <w:t>ersu</w:t>
      </w:r>
      <w:r w:rsidRPr="006B4D2F">
        <w:t xml:space="preserve">s chemotherapy in newly diagnosed </w:t>
      </w:r>
      <w:r w:rsidR="00377778">
        <w:t>Ph+ ALL</w:t>
      </w:r>
      <w:r w:rsidRPr="006B4D2F">
        <w:t xml:space="preserve"> (n=90 good risk and n=70 poor risk; 128/160 received imatinib); considered by the sponsor to contribute safety data only.</w:t>
      </w:r>
    </w:p>
    <w:p w:rsidR="006B4D2F" w:rsidRPr="00B56074" w:rsidRDefault="00B56074" w:rsidP="00B56074">
      <w:pPr>
        <w:pStyle w:val="Heading4"/>
      </w:pPr>
      <w:r>
        <w:t>Pharmacokinetics</w:t>
      </w:r>
    </w:p>
    <w:p w:rsidR="006B4D2F" w:rsidRPr="006B4D2F" w:rsidRDefault="006B4D2F" w:rsidP="00B56074">
      <w:r w:rsidRPr="006B4D2F">
        <w:t>The</w:t>
      </w:r>
      <w:r>
        <w:t xml:space="preserve"> </w:t>
      </w:r>
      <w:proofErr w:type="spellStart"/>
      <w:r w:rsidRPr="006B4D2F">
        <w:t>PopPK</w:t>
      </w:r>
      <w:proofErr w:type="spellEnd"/>
      <w:r w:rsidRPr="006B4D2F">
        <w:t xml:space="preserve"> analysis pooled data from </w:t>
      </w:r>
      <w:r>
        <w:t>S</w:t>
      </w:r>
      <w:r w:rsidRPr="006B4D2F">
        <w:t>tudies A2110, A2108, 03001 and A0103, all of imatinib in children 2-22 y</w:t>
      </w:r>
      <w:r w:rsidR="00A363CB">
        <w:t>ea</w:t>
      </w:r>
      <w:r w:rsidRPr="006B4D2F">
        <w:t xml:space="preserve">rs with haematological disorders. The pool consisted of 67 children; </w:t>
      </w:r>
      <w:r>
        <w:t>nine</w:t>
      </w:r>
      <w:r w:rsidRPr="006B4D2F">
        <w:t xml:space="preserve"> were &lt;4 y</w:t>
      </w:r>
      <w:r w:rsidR="00EB106D">
        <w:t>ea</w:t>
      </w:r>
      <w:r w:rsidRPr="006B4D2F">
        <w:t>rs of age</w:t>
      </w:r>
      <w:r>
        <w:t xml:space="preserve">; 46 </w:t>
      </w:r>
      <w:r w:rsidRPr="006B4D2F">
        <w:t>had Ph+ CML</w:t>
      </w:r>
      <w:r>
        <w:t xml:space="preserve">; </w:t>
      </w:r>
      <w:r w:rsidRPr="006B4D2F">
        <w:t xml:space="preserve">12 had </w:t>
      </w:r>
      <w:r w:rsidR="00377778">
        <w:t>Ph+ ALL</w:t>
      </w:r>
      <w:r>
        <w:t xml:space="preserve"> and nine </w:t>
      </w:r>
      <w:r w:rsidRPr="006B4D2F">
        <w:t>had other conditions. Imatinib and its active metabolite CGP74588 were modelled.</w:t>
      </w:r>
    </w:p>
    <w:p w:rsidR="006B4D2F" w:rsidRPr="006B4D2F" w:rsidRDefault="006B4D2F" w:rsidP="00B56074">
      <w:r w:rsidRPr="006B4D2F">
        <w:t xml:space="preserve">BSA was a covariate on apparent clearance and apparent </w:t>
      </w:r>
      <w:r w:rsidR="002E699C">
        <w:t xml:space="preserve">volume of distribution. </w:t>
      </w:r>
      <w:r w:rsidRPr="006B4D2F">
        <w:t>Clearance increased with increasing BSA.</w:t>
      </w:r>
    </w:p>
    <w:p w:rsidR="006B4D2F" w:rsidRDefault="006B4D2F" w:rsidP="00B56074">
      <w:r w:rsidRPr="006B4D2F">
        <w:t xml:space="preserve">Based on this </w:t>
      </w:r>
      <w:proofErr w:type="spellStart"/>
      <w:r w:rsidR="002E699C">
        <w:t>P</w:t>
      </w:r>
      <w:r w:rsidRPr="006B4D2F">
        <w:t>opPK</w:t>
      </w:r>
      <w:proofErr w:type="spellEnd"/>
      <w:r w:rsidRPr="006B4D2F">
        <w:t xml:space="preserve"> modelling, </w:t>
      </w:r>
      <w:r w:rsidR="002E699C">
        <w:t>the area under the curve (</w:t>
      </w:r>
      <w:r w:rsidRPr="006B4D2F">
        <w:t>AUC</w:t>
      </w:r>
      <w:r w:rsidR="002E699C">
        <w:t>)</w:t>
      </w:r>
      <w:r w:rsidRPr="006B4D2F">
        <w:t xml:space="preserve"> is predicted to be slightly lower at younger ages, as shown below </w:t>
      </w:r>
      <w:r w:rsidR="00125EC4">
        <w:t>in Table 18</w:t>
      </w:r>
      <w:r w:rsidR="002E699C">
        <w:t xml:space="preserve"> </w:t>
      </w:r>
      <w:r w:rsidRPr="006B4D2F">
        <w:t>for 340 mg/m</w:t>
      </w:r>
      <w:r w:rsidRPr="006B4D2F">
        <w:rPr>
          <w:vertAlign w:val="superscript"/>
        </w:rPr>
        <w:t>2</w:t>
      </w:r>
      <w:r w:rsidRPr="006B4D2F">
        <w:t xml:space="preserve"> dosing not exceeding 600 mg. This suggests lower exposure in young children, relative to older children and adults.</w:t>
      </w:r>
    </w:p>
    <w:p w:rsidR="002E699C" w:rsidRPr="006B4D2F" w:rsidRDefault="002E699C" w:rsidP="00B56074">
      <w:pPr>
        <w:pStyle w:val="TableTitle"/>
      </w:pPr>
      <w:r>
        <w:lastRenderedPageBreak/>
        <w:t>Table 1</w:t>
      </w:r>
      <w:r w:rsidR="007841AC">
        <w:t>8</w:t>
      </w:r>
      <w:r>
        <w:t>: Imatinib AUC for children 1-18 years</w:t>
      </w:r>
    </w:p>
    <w:p w:rsidR="006B4D2F" w:rsidRPr="006B4D2F" w:rsidRDefault="006B4D2F" w:rsidP="009A762B">
      <w:r w:rsidRPr="006B4D2F">
        <w:rPr>
          <w:noProof/>
          <w:lang w:eastAsia="en-AU"/>
        </w:rPr>
        <w:drawing>
          <wp:inline distT="0" distB="0" distL="0" distR="0" wp14:anchorId="2276AE27" wp14:editId="3E03C64A">
            <wp:extent cx="2638425" cy="2162175"/>
            <wp:effectExtent l="19050" t="0" r="9525" b="0"/>
            <wp:docPr id="31" name="Picture 10" descr="Table 18: Imatinib AUC for children 1-1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cstate="print"/>
                    <a:srcRect t="2041" b="5306"/>
                    <a:stretch>
                      <a:fillRect/>
                    </a:stretch>
                  </pic:blipFill>
                  <pic:spPr>
                    <a:xfrm>
                      <a:off x="0" y="0"/>
                      <a:ext cx="2638425" cy="2162175"/>
                    </a:xfrm>
                    <a:prstGeom prst="rect">
                      <a:avLst/>
                    </a:prstGeom>
                  </pic:spPr>
                </pic:pic>
              </a:graphicData>
            </a:graphic>
          </wp:inline>
        </w:drawing>
      </w:r>
    </w:p>
    <w:p w:rsidR="006B4D2F" w:rsidRPr="006B4D2F" w:rsidRDefault="006B4D2F" w:rsidP="009A762B">
      <w:r w:rsidRPr="006B4D2F">
        <w:t>The model was built based on subjects</w:t>
      </w:r>
      <w:r w:rsidR="00976006">
        <w:t xml:space="preserve"> </w:t>
      </w:r>
      <w:r w:rsidR="002E699C">
        <w:t>≥</w:t>
      </w:r>
      <w:r w:rsidRPr="006B4D2F">
        <w:t>4 y</w:t>
      </w:r>
      <w:r w:rsidR="00EB106D">
        <w:t>ea</w:t>
      </w:r>
      <w:r w:rsidRPr="006B4D2F">
        <w:t>rs of age, and used to predict AUC in children &lt;4 y</w:t>
      </w:r>
      <w:r w:rsidR="00EB106D">
        <w:t>ea</w:t>
      </w:r>
      <w:r w:rsidRPr="006B4D2F">
        <w:t>rs of age (‘</w:t>
      </w:r>
      <w:r w:rsidRPr="00976006">
        <w:rPr>
          <w:i/>
        </w:rPr>
        <w:t>external validation’</w:t>
      </w:r>
      <w:r w:rsidRPr="006B4D2F">
        <w:t xml:space="preserve">). Observed concentrations were often within the model-predicted range of inter-individual variability but of the </w:t>
      </w:r>
      <w:r w:rsidR="002E699C">
        <w:t>nine</w:t>
      </w:r>
      <w:r w:rsidRPr="006B4D2F">
        <w:t xml:space="preserve"> subjects &lt;4 y</w:t>
      </w:r>
      <w:r w:rsidR="00EB106D">
        <w:t>ea</w:t>
      </w:r>
      <w:r w:rsidRPr="006B4D2F">
        <w:t xml:space="preserve">rs, </w:t>
      </w:r>
      <w:r w:rsidR="002E699C">
        <w:t xml:space="preserve">five </w:t>
      </w:r>
      <w:r w:rsidRPr="006B4D2F">
        <w:t>had some observed values clearly lower than predicted and none clearly higher than predicted</w:t>
      </w:r>
      <w:r w:rsidR="002E699C">
        <w:t>.</w:t>
      </w:r>
      <w:r w:rsidRPr="006B4D2F">
        <w:t xml:space="preserve"> Dosing was not uniformly at the recommended dose level.</w:t>
      </w:r>
    </w:p>
    <w:p w:rsidR="006B4D2F" w:rsidRPr="006B4D2F" w:rsidRDefault="002E699C" w:rsidP="009A762B">
      <w:r>
        <w:rPr>
          <w:b/>
        </w:rPr>
        <w:t>PB</w:t>
      </w:r>
      <w:r w:rsidR="006B4D2F" w:rsidRPr="002E699C">
        <w:rPr>
          <w:b/>
        </w:rPr>
        <w:t>PK modelling</w:t>
      </w:r>
      <w:r w:rsidR="006B4D2F" w:rsidRPr="006B4D2F">
        <w:t xml:space="preserve"> (assessing effects of paediatric growth on imatinib PK; without input of clinical data) resulted in findings consistent with the </w:t>
      </w:r>
      <w:proofErr w:type="spellStart"/>
      <w:r>
        <w:t>Pop</w:t>
      </w:r>
      <w:r w:rsidR="006B4D2F" w:rsidRPr="006B4D2F">
        <w:t>PK</w:t>
      </w:r>
      <w:proofErr w:type="spellEnd"/>
      <w:r w:rsidR="006B4D2F" w:rsidRPr="006B4D2F">
        <w:t xml:space="preserve"> modelling.</w:t>
      </w:r>
    </w:p>
    <w:p w:rsidR="006B4D2F" w:rsidRPr="006B4D2F" w:rsidRDefault="006B4D2F" w:rsidP="009A762B">
      <w:r w:rsidRPr="002E699C">
        <w:rPr>
          <w:b/>
        </w:rPr>
        <w:t>Study A2110</w:t>
      </w:r>
      <w:r w:rsidRPr="006B4D2F">
        <w:t xml:space="preserve"> studied </w:t>
      </w:r>
      <w:r w:rsidR="002E699C" w:rsidRPr="002E699C">
        <w:t>three</w:t>
      </w:r>
      <w:r w:rsidRPr="006B4D2F">
        <w:t xml:space="preserve"> children aged 2-3 y</w:t>
      </w:r>
      <w:r w:rsidR="00EB106D">
        <w:t>ea</w:t>
      </w:r>
      <w:r w:rsidRPr="006B4D2F">
        <w:t xml:space="preserve">rs with </w:t>
      </w:r>
      <w:r w:rsidR="00377778">
        <w:t>Ph+ ALL</w:t>
      </w:r>
      <w:r w:rsidRPr="006B4D2F">
        <w:t xml:space="preserve"> (n=2) or chronic </w:t>
      </w:r>
      <w:proofErr w:type="spellStart"/>
      <w:r w:rsidRPr="006B4D2F">
        <w:t>eosinophilic</w:t>
      </w:r>
      <w:proofErr w:type="spellEnd"/>
      <w:r w:rsidRPr="006B4D2F">
        <w:t xml:space="preserve"> leukaemia (n=1). One patient was dosed at 91 mg/m</w:t>
      </w:r>
      <w:r w:rsidRPr="006B4D2F">
        <w:rPr>
          <w:vertAlign w:val="superscript"/>
        </w:rPr>
        <w:t>2</w:t>
      </w:r>
      <w:r w:rsidRPr="006B4D2F">
        <w:t>. It is difficult to extract helpful information from the study</w:t>
      </w:r>
      <w:r w:rsidR="002E699C">
        <w:t xml:space="preserve">, minimum concentration </w:t>
      </w:r>
      <w:proofErr w:type="gramStart"/>
      <w:r w:rsidR="002E699C">
        <w:t>(</w:t>
      </w:r>
      <w:r w:rsidRPr="006B4D2F">
        <w:t xml:space="preserve"> </w:t>
      </w:r>
      <w:proofErr w:type="spellStart"/>
      <w:r w:rsidRPr="006B4D2F">
        <w:t>C</w:t>
      </w:r>
      <w:r w:rsidRPr="006B4D2F">
        <w:rPr>
          <w:vertAlign w:val="subscript"/>
        </w:rPr>
        <w:t>min</w:t>
      </w:r>
      <w:proofErr w:type="spellEnd"/>
      <w:proofErr w:type="gramEnd"/>
      <w:r w:rsidR="002E699C">
        <w:t>) v</w:t>
      </w:r>
      <w:r w:rsidRPr="006B4D2F">
        <w:t xml:space="preserve">alues achieved were in keeping with simulated values from the </w:t>
      </w:r>
      <w:proofErr w:type="spellStart"/>
      <w:r w:rsidR="00976006">
        <w:t>Pop</w:t>
      </w:r>
      <w:r w:rsidRPr="006B4D2F">
        <w:t>PK</w:t>
      </w:r>
      <w:proofErr w:type="spellEnd"/>
      <w:r w:rsidRPr="006B4D2F">
        <w:t xml:space="preserve"> model.</w:t>
      </w:r>
    </w:p>
    <w:p w:rsidR="006B4D2F" w:rsidRPr="006B4D2F" w:rsidRDefault="006B4D2F" w:rsidP="009A762B">
      <w:r w:rsidRPr="002E699C">
        <w:t>No PK data exist for 12 to &lt;24 month olds</w:t>
      </w:r>
      <w:r w:rsidR="002E699C">
        <w:t>.</w:t>
      </w:r>
      <w:r w:rsidRPr="002E699C">
        <w:t xml:space="preserve"> Of</w:t>
      </w:r>
      <w:r w:rsidRPr="006B4D2F">
        <w:t xml:space="preserve"> note:</w:t>
      </w:r>
    </w:p>
    <w:p w:rsidR="006B4D2F" w:rsidRPr="002E699C" w:rsidRDefault="006B4D2F" w:rsidP="009A762B">
      <w:pPr>
        <w:pStyle w:val="ListBullet"/>
      </w:pPr>
      <w:r w:rsidRPr="002E699C">
        <w:t xml:space="preserve">Extent of absorption from the </w:t>
      </w:r>
      <w:r w:rsidR="00125EC4">
        <w:t>GI</w:t>
      </w:r>
      <w:r w:rsidRPr="002E699C">
        <w:t xml:space="preserve"> tract is uncertain in the very </w:t>
      </w:r>
      <w:r w:rsidRPr="009A762B">
        <w:t>young</w:t>
      </w:r>
      <w:r w:rsidRPr="002E699C">
        <w:t>.</w:t>
      </w:r>
    </w:p>
    <w:p w:rsidR="006B4D2F" w:rsidRPr="002E699C" w:rsidRDefault="006B4D2F" w:rsidP="009A762B">
      <w:pPr>
        <w:pStyle w:val="ListBullet"/>
      </w:pPr>
      <w:r w:rsidRPr="002E699C">
        <w:t xml:space="preserve">Imatinib is mainly metabolised by CYP3A4/5; expression of </w:t>
      </w:r>
      <w:r w:rsidRPr="009A762B">
        <w:t>CYP3A</w:t>
      </w:r>
      <w:r w:rsidRPr="002E699C">
        <w:t xml:space="preserve"> reaches near adult levels 1-2 y</w:t>
      </w:r>
      <w:r w:rsidR="00EB106D">
        <w:t>ea</w:t>
      </w:r>
      <w:r w:rsidRPr="002E699C">
        <w:t>rs after birth.</w:t>
      </w:r>
    </w:p>
    <w:p w:rsidR="006B4D2F" w:rsidRPr="002E699C" w:rsidRDefault="002E699C" w:rsidP="009A762B">
      <w:pPr>
        <w:pStyle w:val="ListBullet"/>
      </w:pPr>
      <w:proofErr w:type="gramStart"/>
      <w:r>
        <w:t>α</w:t>
      </w:r>
      <w:r w:rsidR="006B4D2F" w:rsidRPr="002E699C">
        <w:t>-glycoprotein</w:t>
      </w:r>
      <w:proofErr w:type="gramEnd"/>
      <w:r w:rsidR="006B4D2F" w:rsidRPr="002E699C">
        <w:t xml:space="preserve"> is the major binding protein for imatinib and this reaches 87-91% of adult levels by 1-2 y</w:t>
      </w:r>
      <w:r w:rsidR="00EB106D">
        <w:t>ea</w:t>
      </w:r>
      <w:r w:rsidR="006B4D2F" w:rsidRPr="002E699C">
        <w:t>rs. This may also vary with disease state.</w:t>
      </w:r>
    </w:p>
    <w:p w:rsidR="006B4D2F" w:rsidRPr="006B4D2F" w:rsidRDefault="006B4D2F" w:rsidP="009A762B">
      <w:r w:rsidRPr="006B4D2F">
        <w:t>This suggests uncertainty in imatinib exposure for some younger children (especially near 1 y</w:t>
      </w:r>
      <w:r w:rsidR="00EB106D">
        <w:t>ea</w:t>
      </w:r>
      <w:r w:rsidRPr="006B4D2F">
        <w:t xml:space="preserve">r of age) if dosed based on what is appropriate for older children. Nevertheless, the </w:t>
      </w:r>
      <w:proofErr w:type="spellStart"/>
      <w:r w:rsidR="002E699C">
        <w:t>Pop</w:t>
      </w:r>
      <w:r w:rsidRPr="006B4D2F">
        <w:t>PK</w:t>
      </w:r>
      <w:proofErr w:type="spellEnd"/>
      <w:r w:rsidRPr="006B4D2F">
        <w:t xml:space="preserve"> model was used to extrapolate AUC </w:t>
      </w:r>
      <w:r w:rsidR="009A762B">
        <w:t>for imatinib to this age group.</w:t>
      </w:r>
    </w:p>
    <w:p w:rsidR="006B4D2F" w:rsidRPr="009A762B" w:rsidRDefault="006B4D2F" w:rsidP="009A762B">
      <w:pPr>
        <w:pStyle w:val="Heading4"/>
      </w:pPr>
      <w:r w:rsidRPr="005C67F5">
        <w:t>Efficacy</w:t>
      </w:r>
    </w:p>
    <w:p w:rsidR="006B4D2F" w:rsidRPr="006B4D2F" w:rsidRDefault="006B4D2F" w:rsidP="009A762B">
      <w:r w:rsidRPr="006B4D2F">
        <w:t>Sources of efficacy evidence were Study I2301 (pivotal) and Study AIT07 (supportive).</w:t>
      </w:r>
    </w:p>
    <w:p w:rsidR="006B4D2F" w:rsidRPr="009A762B" w:rsidRDefault="00976006" w:rsidP="009A762B">
      <w:pPr>
        <w:pStyle w:val="Heading5"/>
      </w:pPr>
      <w:r>
        <w:t xml:space="preserve">Study </w:t>
      </w:r>
      <w:r w:rsidR="006B4D2F" w:rsidRPr="006B4D2F">
        <w:t>2301</w:t>
      </w:r>
    </w:p>
    <w:p w:rsidR="006B4D2F" w:rsidRPr="006B4D2F" w:rsidRDefault="006B4D2F" w:rsidP="009A762B">
      <w:r w:rsidRPr="006B4D2F">
        <w:t>This was an open label, sequential cohort study of 160 VHR paediatric/young adult (1 to &lt;</w:t>
      </w:r>
      <w:r w:rsidR="00EB106D">
        <w:t> </w:t>
      </w:r>
      <w:r w:rsidRPr="006B4D2F">
        <w:t>22 y</w:t>
      </w:r>
      <w:r w:rsidR="00EB106D">
        <w:t>ea</w:t>
      </w:r>
      <w:r w:rsidRPr="006B4D2F">
        <w:t xml:space="preserve">rs of age) patients with ALL. There were 5 </w:t>
      </w:r>
      <w:r w:rsidR="006C4309">
        <w:t>c</w:t>
      </w:r>
      <w:r w:rsidRPr="006B4D2F">
        <w:t xml:space="preserve">ohorts, distinguished by increasing imatinib exposure. The study period was 2002 to 2006. The </w:t>
      </w:r>
      <w:r w:rsidR="006C4309">
        <w:t>s</w:t>
      </w:r>
      <w:r w:rsidRPr="006B4D2F">
        <w:t>tudy was run by the COG.</w:t>
      </w:r>
    </w:p>
    <w:p w:rsidR="006B4D2F" w:rsidRPr="006B4D2F" w:rsidRDefault="006B4D2F" w:rsidP="009A762B">
      <w:r w:rsidRPr="006B4D2F">
        <w:t xml:space="preserve">Paediatric </w:t>
      </w:r>
      <w:r w:rsidR="00377778">
        <w:t>Ph+ ALL</w:t>
      </w:r>
      <w:r w:rsidRPr="006B4D2F">
        <w:t xml:space="preserve"> is a subtype of VHR ALL. 92/160 enrolled patients had </w:t>
      </w:r>
      <w:r w:rsidR="00377778">
        <w:t>Ph+ ALL</w:t>
      </w:r>
      <w:r w:rsidRPr="006B4D2F">
        <w:t>; for this subset, the study assessed safety and efficacy of adding imatinib to other treatment</w:t>
      </w:r>
      <w:r w:rsidR="00976006">
        <w:t>s.</w:t>
      </w:r>
      <w:r w:rsidRPr="006B4D2F">
        <w:t xml:space="preserve"> 65/160 other subjects were evaluable for safety comparison purposes, having Ph- ALL. These subjects had other characteristics conferring a broadly similar</w:t>
      </w:r>
      <w:r w:rsidR="006C4309">
        <w:t xml:space="preserve">, </w:t>
      </w:r>
      <w:r w:rsidRPr="006B4D2F">
        <w:t>poor</w:t>
      </w:r>
      <w:r w:rsidR="006C4309">
        <w:t xml:space="preserve">, </w:t>
      </w:r>
      <w:r w:rsidRPr="006B4D2F">
        <w:t xml:space="preserve">prognosis. Expected </w:t>
      </w:r>
      <w:r w:rsidR="006C4309">
        <w:t>five year</w:t>
      </w:r>
      <w:r w:rsidRPr="006B4D2F">
        <w:t xml:space="preserve"> </w:t>
      </w:r>
      <w:r w:rsidR="006C4309">
        <w:t>EFS</w:t>
      </w:r>
      <w:r w:rsidRPr="006B4D2F">
        <w:t xml:space="preserve"> for enrolled patients was &lt;45%.</w:t>
      </w:r>
    </w:p>
    <w:p w:rsidR="006B4D2F" w:rsidRPr="006B4D2F" w:rsidRDefault="006B4D2F" w:rsidP="009A762B">
      <w:r w:rsidRPr="006B4D2F">
        <w:lastRenderedPageBreak/>
        <w:t xml:space="preserve">Patients had already received </w:t>
      </w:r>
      <w:r w:rsidR="006C4309">
        <w:t>four to six we</w:t>
      </w:r>
      <w:r w:rsidRPr="006B4D2F">
        <w:t xml:space="preserve">eks of an initial </w:t>
      </w:r>
      <w:r w:rsidR="006C4309">
        <w:t xml:space="preserve">three to four </w:t>
      </w:r>
      <w:r w:rsidRPr="006B4D2F">
        <w:t>drug induction regimen</w:t>
      </w:r>
      <w:r w:rsidR="006C4309">
        <w:t xml:space="preserve"> (plus </w:t>
      </w:r>
      <w:proofErr w:type="spellStart"/>
      <w:r w:rsidR="006C4309">
        <w:t>intrathecal</w:t>
      </w:r>
      <w:proofErr w:type="spellEnd"/>
      <w:r w:rsidR="006C4309">
        <w:t xml:space="preserve"> therapy)</w:t>
      </w:r>
      <w:r w:rsidR="00E41445">
        <w:t xml:space="preserve"> as outlined in </w:t>
      </w:r>
      <w:r w:rsidR="00E41445" w:rsidRPr="00E41445">
        <w:t>Figure 1</w:t>
      </w:r>
      <w:r w:rsidR="00EB106D">
        <w:t>, above</w:t>
      </w:r>
      <w:r w:rsidR="00222D95">
        <w:t>. P</w:t>
      </w:r>
      <w:r w:rsidRPr="006B4D2F">
        <w:t xml:space="preserve">atients who failed induction </w:t>
      </w:r>
      <w:r w:rsidRPr="00EB106D">
        <w:t>(“IF”)</w:t>
      </w:r>
      <w:r w:rsidRPr="006B4D2F">
        <w:t xml:space="preserve"> (or who failed extended induction) could be included in the study; there were 10 such patients out of 92 (including </w:t>
      </w:r>
      <w:r w:rsidR="006C4309">
        <w:t>six</w:t>
      </w:r>
      <w:r w:rsidRPr="006B4D2F">
        <w:t xml:space="preserve"> in Cohort 5).</w:t>
      </w:r>
    </w:p>
    <w:p w:rsidR="006B4D2F" w:rsidRPr="006B4D2F" w:rsidRDefault="006B4D2F" w:rsidP="009A762B">
      <w:r w:rsidRPr="006B4D2F">
        <w:t xml:space="preserve">The same post-induction intensive chemotherapy regimen was given to patients in all cohorts. </w:t>
      </w:r>
      <w:r w:rsidR="00377778">
        <w:t>Ph+ ALL</w:t>
      </w:r>
      <w:r w:rsidRPr="006B4D2F">
        <w:t xml:space="preserve"> patients could also receive imatinib, from as early as </w:t>
      </w:r>
      <w:r w:rsidR="00222D95">
        <w:t>C</w:t>
      </w:r>
      <w:r w:rsidRPr="006B4D2F">
        <w:t xml:space="preserve">onsolidation </w:t>
      </w:r>
      <w:r w:rsidR="006C4309">
        <w:t>B</w:t>
      </w:r>
      <w:r w:rsidRPr="006B4D2F">
        <w:t>lock 1. The dose was 340 mg/m</w:t>
      </w:r>
      <w:r w:rsidRPr="006B4D2F">
        <w:rPr>
          <w:vertAlign w:val="superscript"/>
        </w:rPr>
        <w:t>2</w:t>
      </w:r>
      <w:r w:rsidRPr="006B4D2F">
        <w:t>/day, reduced to 230 mg/m</w:t>
      </w:r>
      <w:r w:rsidRPr="006B4D2F">
        <w:rPr>
          <w:vertAlign w:val="superscript"/>
        </w:rPr>
        <w:t>2</w:t>
      </w:r>
      <w:r w:rsidRPr="006B4D2F">
        <w:t>/day if dose-limiting toxicity was observed.</w:t>
      </w:r>
    </w:p>
    <w:p w:rsidR="006B4D2F" w:rsidRPr="006B4D2F" w:rsidRDefault="006B4D2F" w:rsidP="009A762B">
      <w:r w:rsidRPr="006B4D2F">
        <w:t>Number of days of exposure to imatinib was increased in 5 sequential cohorts of increasing treatment blocks,</w:t>
      </w:r>
      <w:r w:rsidR="00E41445">
        <w:t xml:space="preserve"> as outlined in Table 4, </w:t>
      </w:r>
      <w:r w:rsidR="001F2596">
        <w:t xml:space="preserve">above, </w:t>
      </w:r>
      <w:r w:rsidRPr="006B4D2F">
        <w:t xml:space="preserve">so that patients in </w:t>
      </w:r>
      <w:r w:rsidR="006C4309">
        <w:t>C</w:t>
      </w:r>
      <w:r w:rsidRPr="006B4D2F">
        <w:t xml:space="preserve">ohort 5 underwent continuous dosing with imatinib (except in </w:t>
      </w:r>
      <w:r w:rsidR="00222D95">
        <w:t>M</w:t>
      </w:r>
      <w:r w:rsidRPr="006B4D2F">
        <w:t xml:space="preserve">aintenance </w:t>
      </w:r>
      <w:r w:rsidR="00E41445">
        <w:t>B</w:t>
      </w:r>
      <w:r w:rsidRPr="006B4D2F">
        <w:t>locks 5-12).</w:t>
      </w:r>
    </w:p>
    <w:p w:rsidR="006B4D2F" w:rsidRPr="006B4D2F" w:rsidRDefault="006B4D2F" w:rsidP="009A762B">
      <w:r w:rsidRPr="006B4D2F">
        <w:t xml:space="preserve">Patients with </w:t>
      </w:r>
      <w:r w:rsidR="00E41445">
        <w:t>human leukocyte antigen</w:t>
      </w:r>
      <w:r w:rsidR="00222D95">
        <w:t xml:space="preserve"> (HLA)</w:t>
      </w:r>
      <w:r w:rsidRPr="006B4D2F">
        <w:t xml:space="preserve">-matched related donors or </w:t>
      </w:r>
      <w:r w:rsidR="00222D95">
        <w:t xml:space="preserve">one </w:t>
      </w:r>
      <w:r w:rsidRPr="006B4D2F">
        <w:t>antigen-mismatched (excluding HLA-DR mismatched) related donors could receive HSCT after Consolidation Block 2. A total of 34 patients received HSCT: 21 received this per protocol and 13 received HSCT off-protocol. (Information about off-protocol HSCT and imatinib treatment given after off-protocol HSCT was not provided as patients ‘discontinued’ the study.) Patients with per-protocol HSCT received imatinib for 24 weeks after a 16-24 week interval from time of HSCT (230 mg/m</w:t>
      </w:r>
      <w:r w:rsidRPr="006B4D2F">
        <w:rPr>
          <w:vertAlign w:val="superscript"/>
        </w:rPr>
        <w:t>2</w:t>
      </w:r>
      <w:r w:rsidRPr="006B4D2F">
        <w:t>/day, to 340 mg/m</w:t>
      </w:r>
      <w:r w:rsidRPr="006B4D2F">
        <w:rPr>
          <w:vertAlign w:val="superscript"/>
        </w:rPr>
        <w:t>2</w:t>
      </w:r>
      <w:r w:rsidRPr="006B4D2F">
        <w:t xml:space="preserve">/day if there were no severe toxicities after </w:t>
      </w:r>
      <w:r w:rsidR="00222D95">
        <w:t>four</w:t>
      </w:r>
      <w:r w:rsidRPr="006B4D2F">
        <w:t xml:space="preserve"> weeks).</w:t>
      </w:r>
    </w:p>
    <w:p w:rsidR="006B4D2F" w:rsidRDefault="006B4D2F" w:rsidP="009A762B">
      <w:r w:rsidRPr="006B4D2F">
        <w:t>Patient status in this study is described in the following flow-chart:</w:t>
      </w:r>
    </w:p>
    <w:p w:rsidR="00222D95" w:rsidRPr="009A762B" w:rsidRDefault="00222D95" w:rsidP="009A762B">
      <w:pPr>
        <w:pStyle w:val="FigureTitle"/>
      </w:pPr>
      <w:r>
        <w:t xml:space="preserve">Figure </w:t>
      </w:r>
      <w:r w:rsidR="00277ECF">
        <w:t>5</w:t>
      </w:r>
      <w:r>
        <w:t>: Patient status in Study 2301</w:t>
      </w:r>
    </w:p>
    <w:p w:rsidR="006B4D2F" w:rsidRPr="006B4D2F" w:rsidRDefault="006B4D2F" w:rsidP="009A762B">
      <w:r w:rsidRPr="006B4D2F">
        <w:rPr>
          <w:noProof/>
          <w:lang w:eastAsia="en-AU"/>
        </w:rPr>
        <w:drawing>
          <wp:inline distT="0" distB="0" distL="0" distR="0" wp14:anchorId="31DAE099" wp14:editId="34E70DA6">
            <wp:extent cx="4295042" cy="2748047"/>
            <wp:effectExtent l="19050" t="0" r="0" b="0"/>
            <wp:docPr id="32" name="Picture 2" descr="Figure 5: Patient status in Study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cstate="print"/>
                    <a:stretch>
                      <a:fillRect/>
                    </a:stretch>
                  </pic:blipFill>
                  <pic:spPr>
                    <a:xfrm>
                      <a:off x="0" y="0"/>
                      <a:ext cx="4295276" cy="2748197"/>
                    </a:xfrm>
                    <a:prstGeom prst="rect">
                      <a:avLst/>
                    </a:prstGeom>
                  </pic:spPr>
                </pic:pic>
              </a:graphicData>
            </a:graphic>
          </wp:inline>
        </w:drawing>
      </w:r>
    </w:p>
    <w:p w:rsidR="006B4D2F" w:rsidRPr="006B4D2F" w:rsidRDefault="006B4D2F" w:rsidP="009A762B">
      <w:r w:rsidRPr="006B4D2F">
        <w:t>There were some differences in patient/treatment characteristics across cohorts.</w:t>
      </w:r>
    </w:p>
    <w:p w:rsidR="006B4D2F" w:rsidRPr="001F2596" w:rsidRDefault="006B4D2F" w:rsidP="009A762B">
      <w:r w:rsidRPr="001F2596">
        <w:t xml:space="preserve">Patients in different cohorts differed with regard to initial induction; in </w:t>
      </w:r>
      <w:r w:rsidR="00222D95" w:rsidRPr="001F2596">
        <w:t>C</w:t>
      </w:r>
      <w:r w:rsidRPr="001F2596">
        <w:t>ohorts 1, 2, 3, 4 and 5, induction was in ‘frontline studies’ in 14.3%, 16.7%, 45.5%, 91.7% and 76.0% respectively (otherwise, induction was with ‘similar therapies’). Also, HSCT was used in 25-29% for Cohorts 1-3, but 40-50% for Cohorts 4-5.</w:t>
      </w:r>
    </w:p>
    <w:p w:rsidR="006B4D2F" w:rsidRPr="006B4D2F" w:rsidRDefault="006B4D2F" w:rsidP="009A762B">
      <w:r w:rsidRPr="006B4D2F">
        <w:t xml:space="preserve">There were more patients with minimal residual disease ≤0.01% in higher cohorts: for </w:t>
      </w:r>
      <w:r w:rsidR="00222D95">
        <w:t>C</w:t>
      </w:r>
      <w:r w:rsidRPr="006B4D2F">
        <w:t>ohorts 1, 2, 3, 4 and 5, the proportion of these patients was 0%, 0%, 18.2%, 25% and 36% respectively.</w:t>
      </w:r>
    </w:p>
    <w:p w:rsidR="006B4D2F" w:rsidRDefault="006B4D2F" w:rsidP="009A762B">
      <w:r w:rsidRPr="006B4D2F">
        <w:t xml:space="preserve">Demographics were broadly similar (see </w:t>
      </w:r>
      <w:r w:rsidR="00222D95">
        <w:t xml:space="preserve">Table </w:t>
      </w:r>
      <w:r w:rsidR="00976006">
        <w:t>19</w:t>
      </w:r>
      <w:r w:rsidRPr="006B4D2F">
        <w:t>). Two patients were &lt;2 y</w:t>
      </w:r>
      <w:r w:rsidR="00EB106D">
        <w:t>ea</w:t>
      </w:r>
      <w:r w:rsidRPr="006B4D2F">
        <w:t>rs of age; both were in Cohort 5.</w:t>
      </w:r>
    </w:p>
    <w:p w:rsidR="00976006" w:rsidRDefault="00976006" w:rsidP="009A762B">
      <w:pPr>
        <w:pStyle w:val="TableTitle"/>
      </w:pPr>
      <w:r>
        <w:lastRenderedPageBreak/>
        <w:t>Table 19: Patient Demographics in Study 2301</w:t>
      </w:r>
    </w:p>
    <w:p w:rsidR="00976006" w:rsidRDefault="00976006" w:rsidP="009A762B">
      <w:r>
        <w:rPr>
          <w:noProof/>
          <w:lang w:eastAsia="en-AU"/>
        </w:rPr>
        <w:drawing>
          <wp:inline distT="0" distB="0" distL="0" distR="0" wp14:anchorId="1F035866" wp14:editId="5E62F248">
            <wp:extent cx="4834979" cy="5508705"/>
            <wp:effectExtent l="19050" t="0" r="3721" b="0"/>
            <wp:docPr id="15" name="Picture 5" descr="Table 19: Patient Demographics in Study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836864" cy="5510852"/>
                    </a:xfrm>
                    <a:prstGeom prst="rect">
                      <a:avLst/>
                    </a:prstGeom>
                    <a:noFill/>
                    <a:ln w="9525">
                      <a:noFill/>
                      <a:miter lim="800000"/>
                      <a:headEnd/>
                      <a:tailEnd/>
                    </a:ln>
                  </pic:spPr>
                </pic:pic>
              </a:graphicData>
            </a:graphic>
          </wp:inline>
        </w:drawing>
      </w:r>
    </w:p>
    <w:p w:rsidR="006B4D2F" w:rsidRPr="00222D95" w:rsidRDefault="006B4D2F" w:rsidP="009A762B">
      <w:pPr>
        <w:pStyle w:val="Heading4"/>
      </w:pPr>
      <w:r w:rsidRPr="00222D95">
        <w:t>Results</w:t>
      </w:r>
    </w:p>
    <w:p w:rsidR="006B4D2F" w:rsidRPr="006B4D2F" w:rsidRDefault="006B4D2F" w:rsidP="009A762B">
      <w:r w:rsidRPr="006B4D2F">
        <w:t xml:space="preserve">The primary patient cohort for efficacy analysis was </w:t>
      </w:r>
      <w:r w:rsidR="00222D95">
        <w:t>C</w:t>
      </w:r>
      <w:r w:rsidRPr="006B4D2F">
        <w:t>ohort 5 (initially daily imatinib therapy).</w:t>
      </w:r>
    </w:p>
    <w:p w:rsidR="00976006" w:rsidRDefault="006B4D2F" w:rsidP="009A762B">
      <w:r w:rsidRPr="006B4D2F">
        <w:t xml:space="preserve">The primary efficacy endpoint was EFS; an event could be relapse, secondary malignancy or death. 48 month EFS rate per cohort is shown in </w:t>
      </w:r>
      <w:r w:rsidR="00624A91">
        <w:t xml:space="preserve">Table </w:t>
      </w:r>
      <w:r w:rsidR="00976006">
        <w:t>20</w:t>
      </w:r>
      <w:r w:rsidR="00624A91">
        <w:t xml:space="preserve"> </w:t>
      </w:r>
      <w:r w:rsidR="00951B9D">
        <w:t>–</w:t>
      </w:r>
      <w:r w:rsidRPr="006B4D2F">
        <w:t xml:space="preserve"> </w:t>
      </w:r>
      <w:r w:rsidR="00951B9D">
        <w:t xml:space="preserve">EFS </w:t>
      </w:r>
      <w:r w:rsidRPr="006B4D2F">
        <w:t xml:space="preserve">results; the rate in </w:t>
      </w:r>
      <w:r w:rsidR="00624A91">
        <w:t>C</w:t>
      </w:r>
      <w:r w:rsidRPr="006B4D2F">
        <w:t xml:space="preserve">ohort 5 was 69.6% which was higher than rates in other cohorts (the trend across cohorts was maintained when cohorts were analysed individually; but that analysis revealed a much lower EFS rate in </w:t>
      </w:r>
      <w:r w:rsidR="00624A91">
        <w:t>C</w:t>
      </w:r>
      <w:r w:rsidRPr="006B4D2F">
        <w:t>ohort 1).</w:t>
      </w:r>
    </w:p>
    <w:p w:rsidR="00976006" w:rsidRDefault="00976006" w:rsidP="009A762B">
      <w:pPr>
        <w:pStyle w:val="TableTitle"/>
      </w:pPr>
      <w:r>
        <w:lastRenderedPageBreak/>
        <w:t>Table 20: EFS results (</w:t>
      </w:r>
      <w:r w:rsidR="00377778">
        <w:t>Ph+ ALL</w:t>
      </w:r>
      <w:r>
        <w:t xml:space="preserve"> efficacy set in 2301 and in historical controls)</w:t>
      </w:r>
    </w:p>
    <w:p w:rsidR="00976006" w:rsidRDefault="00976006" w:rsidP="009A762B">
      <w:r>
        <w:rPr>
          <w:noProof/>
          <w:lang w:eastAsia="en-AU"/>
        </w:rPr>
        <w:drawing>
          <wp:inline distT="0" distB="0" distL="0" distR="0" wp14:anchorId="14F59AF6" wp14:editId="2D468AF0">
            <wp:extent cx="4667250" cy="1826877"/>
            <wp:effectExtent l="19050" t="0" r="0" b="0"/>
            <wp:docPr id="17" name="Picture 8" descr="Table 20: EFS results (Ph+ALL efficacy set in 2301 and in historical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671405" cy="1828503"/>
                    </a:xfrm>
                    <a:prstGeom prst="rect">
                      <a:avLst/>
                    </a:prstGeom>
                    <a:noFill/>
                    <a:ln w="9525">
                      <a:noFill/>
                      <a:miter lim="800000"/>
                      <a:headEnd/>
                      <a:tailEnd/>
                    </a:ln>
                  </pic:spPr>
                </pic:pic>
              </a:graphicData>
            </a:graphic>
          </wp:inline>
        </w:drawing>
      </w:r>
    </w:p>
    <w:p w:rsidR="006B4D2F" w:rsidRPr="006B4D2F" w:rsidRDefault="006B4D2F" w:rsidP="009A762B">
      <w:r w:rsidRPr="006B4D2F">
        <w:t>Analysis of EFS by HSCT status suggested HSCT status was not t</w:t>
      </w:r>
      <w:r w:rsidR="00624A91">
        <w:t>he explanation for high EFS in C</w:t>
      </w:r>
      <w:r w:rsidRPr="006B4D2F">
        <w:t xml:space="preserve">ohort 5. 30 patients in </w:t>
      </w:r>
      <w:r w:rsidR="00624A91">
        <w:t>C</w:t>
      </w:r>
      <w:r w:rsidRPr="006B4D2F">
        <w:t>ohort 5 did not receive HSCT; 48 month EFS in that sub-group was 73.7%. This compares with a rate of 65.3% in 21 subjects who received per-protocol HSCT. Confounding may be at play here.</w:t>
      </w:r>
    </w:p>
    <w:p w:rsidR="006B4D2F" w:rsidRPr="006B4D2F" w:rsidRDefault="006B4D2F" w:rsidP="009A762B">
      <w:r w:rsidRPr="006B4D2F">
        <w:t xml:space="preserve">Results were compared with those from a historical control dataset (n=120), from </w:t>
      </w:r>
      <w:r w:rsidR="00E927B7">
        <w:t>five</w:t>
      </w:r>
      <w:r w:rsidRPr="006B4D2F">
        <w:t xml:space="preserve"> studies conducted by COG or its precursor POG between </w:t>
      </w:r>
      <w:r w:rsidRPr="001D6E90">
        <w:t>1988 and 1995</w:t>
      </w:r>
      <w:r w:rsidRPr="006B4D2F">
        <w:t xml:space="preserve">. Patients had newly diagnosed </w:t>
      </w:r>
      <w:r w:rsidR="00377778">
        <w:t>Ph+ ALL</w:t>
      </w:r>
      <w:r w:rsidRPr="006B4D2F">
        <w:t xml:space="preserve"> treated with chemotherapy </w:t>
      </w:r>
      <w:r w:rsidR="001D6E90">
        <w:t>±</w:t>
      </w:r>
      <w:r w:rsidRPr="006B4D2F">
        <w:t xml:space="preserve"> HSCT (an unknown number received HSCT). The control group did not include patients with induction failure (</w:t>
      </w:r>
      <w:r w:rsidR="001D6E90">
        <w:t xml:space="preserve">a marker for worse prognosis). </w:t>
      </w:r>
      <w:r w:rsidRPr="006B4D2F">
        <w:t>Only estimated EFS rates were available, so no formal comparisons were made. Multivariate Cox proportional regression analysis for EFS (</w:t>
      </w:r>
      <w:r w:rsidR="001D6E90">
        <w:t>C</w:t>
      </w:r>
      <w:r w:rsidRPr="006B4D2F">
        <w:t>ohort 5 v</w:t>
      </w:r>
      <w:r w:rsidR="001D6E90">
        <w:t>ersu</w:t>
      </w:r>
      <w:r w:rsidRPr="006B4D2F">
        <w:t xml:space="preserve">s historical control group) was performed using age, gender and </w:t>
      </w:r>
      <w:r w:rsidR="001D6E90">
        <w:t>white blood cell (</w:t>
      </w:r>
      <w:r w:rsidRPr="006B4D2F">
        <w:t>WBC</w:t>
      </w:r>
      <w:r w:rsidR="001D6E90">
        <w:t>)</w:t>
      </w:r>
      <w:r w:rsidRPr="006B4D2F">
        <w:t xml:space="preserve"> as covariates (but not status of minimal residual disease, CNS involvement or induction failure, despite these being important risks). The adjusted </w:t>
      </w:r>
      <w:r w:rsidR="00242067">
        <w:t>HR</w:t>
      </w:r>
      <w:r w:rsidRPr="006B4D2F">
        <w:t xml:space="preserve"> remained in favour of </w:t>
      </w:r>
      <w:r w:rsidR="001D6E90">
        <w:t>C</w:t>
      </w:r>
      <w:r w:rsidRPr="006B4D2F">
        <w:t>ohort 5 (HR 0.28, log-rank p&lt;0.0001).</w:t>
      </w:r>
    </w:p>
    <w:p w:rsidR="006B4D2F" w:rsidRPr="006B4D2F" w:rsidRDefault="001D6E90" w:rsidP="009A762B">
      <w:r>
        <w:t xml:space="preserve">Five year </w:t>
      </w:r>
      <w:r w:rsidR="006B4D2F" w:rsidRPr="006B4D2F">
        <w:t xml:space="preserve">EFS was calculated by COG and reported to Novartis. Within </w:t>
      </w:r>
      <w:r>
        <w:t>C</w:t>
      </w:r>
      <w:r w:rsidR="006B4D2F" w:rsidRPr="006B4D2F">
        <w:t xml:space="preserve">ohort 5, EFS to </w:t>
      </w:r>
      <w:r>
        <w:t>five years</w:t>
      </w:r>
      <w:r w:rsidR="006B4D2F" w:rsidRPr="006B4D2F">
        <w:t xml:space="preserve"> was similar in patients receiving chemotherapy (including imatinib) only, patients receiving related HSCT and patients receiving unrelated HSCT.</w:t>
      </w:r>
    </w:p>
    <w:p w:rsidR="006B4D2F" w:rsidRDefault="006B4D2F" w:rsidP="009A762B">
      <w:r w:rsidRPr="006B4D2F">
        <w:t>A secondary endpoint was OS</w:t>
      </w:r>
      <w:r w:rsidR="008734D8">
        <w:t xml:space="preserve"> - results, T</w:t>
      </w:r>
      <w:r w:rsidR="001D6E90">
        <w:t xml:space="preserve">able </w:t>
      </w:r>
      <w:r w:rsidR="008734D8">
        <w:t>21</w:t>
      </w:r>
      <w:r w:rsidRPr="006B4D2F">
        <w:t xml:space="preserve">. Results clearly favoured </w:t>
      </w:r>
      <w:r w:rsidR="001D6E90">
        <w:t>C</w:t>
      </w:r>
      <w:r w:rsidRPr="006B4D2F">
        <w:t xml:space="preserve">ohort 5 over historical controls, to 48 months. Results for </w:t>
      </w:r>
      <w:r w:rsidR="001D6E90">
        <w:t>C</w:t>
      </w:r>
      <w:r w:rsidRPr="006B4D2F">
        <w:t>ohorts 3</w:t>
      </w:r>
      <w:r w:rsidR="00067A00">
        <w:t xml:space="preserve"> and 4</w:t>
      </w:r>
      <w:r w:rsidRPr="006B4D2F">
        <w:t xml:space="preserve"> v</w:t>
      </w:r>
      <w:r w:rsidR="001D6E90">
        <w:t>ersus</w:t>
      </w:r>
      <w:r w:rsidRPr="006B4D2F">
        <w:t xml:space="preserve"> </w:t>
      </w:r>
      <w:r w:rsidR="001D6E90">
        <w:t>C</w:t>
      </w:r>
      <w:r w:rsidRPr="006B4D2F">
        <w:t>ohort 5 were closely comparable given the sample sizes involved (HR not statistically significantly different from 1, at 0.74 [95% CI 0.24, 2.26]).</w:t>
      </w:r>
    </w:p>
    <w:p w:rsidR="008734D8" w:rsidRDefault="008734D8" w:rsidP="009A762B">
      <w:pPr>
        <w:pStyle w:val="TableTitle"/>
      </w:pPr>
      <w:r>
        <w:t>Table 21: OS results (Ph+ and PH- ALL efficacy sets in 2301 and in historical controls</w:t>
      </w:r>
    </w:p>
    <w:p w:rsidR="008734D8" w:rsidRDefault="008734D8" w:rsidP="009A762B">
      <w:r>
        <w:rPr>
          <w:noProof/>
          <w:lang w:eastAsia="en-AU"/>
        </w:rPr>
        <w:drawing>
          <wp:inline distT="0" distB="0" distL="0" distR="0" wp14:anchorId="064CDC2D" wp14:editId="4DA76CA9">
            <wp:extent cx="4667250" cy="1822146"/>
            <wp:effectExtent l="19050" t="0" r="0" b="0"/>
            <wp:docPr id="18" name="Picture 11" descr="Table 21: OS results (Ph+ and PH- ALL efficacy sets in 2301 and in historical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4671349" cy="1823746"/>
                    </a:xfrm>
                    <a:prstGeom prst="rect">
                      <a:avLst/>
                    </a:prstGeom>
                    <a:noFill/>
                    <a:ln w="9525">
                      <a:noFill/>
                      <a:miter lim="800000"/>
                      <a:headEnd/>
                      <a:tailEnd/>
                    </a:ln>
                  </pic:spPr>
                </pic:pic>
              </a:graphicData>
            </a:graphic>
          </wp:inline>
        </w:drawing>
      </w:r>
    </w:p>
    <w:p w:rsidR="006B4D2F" w:rsidRPr="009A762B" w:rsidRDefault="006B4D2F" w:rsidP="009A762B">
      <w:pPr>
        <w:pStyle w:val="Heading5"/>
      </w:pPr>
      <w:r w:rsidRPr="006B4D2F">
        <w:t>Study AIT07</w:t>
      </w:r>
    </w:p>
    <w:p w:rsidR="006B4D2F" w:rsidRPr="006B4D2F" w:rsidRDefault="006B4D2F" w:rsidP="009A762B">
      <w:r w:rsidRPr="006B4D2F">
        <w:t xml:space="preserve">This was run by 10 national paediatric leukaemia study groups in Europe </w:t>
      </w:r>
      <w:r w:rsidR="00DF2F03">
        <w:t>(</w:t>
      </w:r>
      <w:proofErr w:type="spellStart"/>
      <w:r w:rsidRPr="006B4D2F">
        <w:t>EsPhALL</w:t>
      </w:r>
      <w:proofErr w:type="spellEnd"/>
      <w:r w:rsidRPr="006B4D2F">
        <w:t>), with financial support from Novartis.</w:t>
      </w:r>
    </w:p>
    <w:p w:rsidR="00DF2F03" w:rsidRDefault="006B4D2F" w:rsidP="009A762B">
      <w:r w:rsidRPr="006B4D2F">
        <w:t xml:space="preserve">Subjects had </w:t>
      </w:r>
      <w:r w:rsidR="00377778">
        <w:t>Ph+ ALL</w:t>
      </w:r>
      <w:r w:rsidRPr="006B4D2F">
        <w:t xml:space="preserve"> and were further classified as good v</w:t>
      </w:r>
      <w:r w:rsidR="00067A00">
        <w:t>ersu</w:t>
      </w:r>
      <w:r w:rsidRPr="006B4D2F">
        <w:t>s poor risk (</w:t>
      </w:r>
      <w:r w:rsidR="00067A00">
        <w:t xml:space="preserve">Table </w:t>
      </w:r>
      <w:r w:rsidR="00DF2F03">
        <w:t>22</w:t>
      </w:r>
      <w:r w:rsidR="009A762B">
        <w:t>).</w:t>
      </w:r>
    </w:p>
    <w:p w:rsidR="00DF2F03" w:rsidRDefault="00DF2F03" w:rsidP="009A762B">
      <w:pPr>
        <w:pStyle w:val="TableTitle"/>
      </w:pPr>
      <w:r>
        <w:lastRenderedPageBreak/>
        <w:t>Table 22: Study AIT07 – study design and patient disposition</w:t>
      </w:r>
    </w:p>
    <w:p w:rsidR="006E13E2" w:rsidRDefault="006E13E2" w:rsidP="009A762B">
      <w:r>
        <w:rPr>
          <w:noProof/>
          <w:lang w:eastAsia="en-AU"/>
        </w:rPr>
        <w:drawing>
          <wp:inline distT="0" distB="0" distL="0" distR="0" wp14:anchorId="2B005FB8" wp14:editId="4864E4E5">
            <wp:extent cx="4563835" cy="2537328"/>
            <wp:effectExtent l="0" t="0" r="0" b="0"/>
            <wp:docPr id="25" name="Picture 2" descr="Table 22: Study AIT07 – study design and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566001" cy="2538532"/>
                    </a:xfrm>
                    <a:prstGeom prst="rect">
                      <a:avLst/>
                    </a:prstGeom>
                    <a:noFill/>
                    <a:ln w="9525">
                      <a:noFill/>
                      <a:miter lim="800000"/>
                      <a:headEnd/>
                      <a:tailEnd/>
                    </a:ln>
                  </pic:spPr>
                </pic:pic>
              </a:graphicData>
            </a:graphic>
          </wp:inline>
        </w:drawing>
      </w:r>
    </w:p>
    <w:p w:rsidR="006B4D2F" w:rsidRPr="006B4D2F" w:rsidRDefault="006B4D2F" w:rsidP="009A762B">
      <w:r w:rsidRPr="006B4D2F">
        <w:t>Patients who achieved complete remission following frontline induction therapy were ‘</w:t>
      </w:r>
      <w:r w:rsidRPr="00067A00">
        <w:rPr>
          <w:i/>
        </w:rPr>
        <w:t>good risk’</w:t>
      </w:r>
      <w:r w:rsidRPr="006B4D2F">
        <w:t xml:space="preserve"> (and were randomised to chemotherapy or chemotherapy </w:t>
      </w:r>
      <w:r w:rsidR="004351F7">
        <w:t>plus</w:t>
      </w:r>
      <w:r w:rsidRPr="006B4D2F">
        <w:t xml:space="preserve"> imatinib). Patients who did not achieve complete remission following frontline induction therapy were ‘</w:t>
      </w:r>
      <w:r w:rsidRPr="00067A00">
        <w:rPr>
          <w:i/>
        </w:rPr>
        <w:t>poor risk’</w:t>
      </w:r>
      <w:r w:rsidRPr="006B4D2F">
        <w:t xml:space="preserve">; all these patients received chemotherapy </w:t>
      </w:r>
      <w:r w:rsidR="004351F7">
        <w:t>plus</w:t>
      </w:r>
      <w:r w:rsidRPr="006B4D2F">
        <w:t xml:space="preserve"> imatinib.</w:t>
      </w:r>
    </w:p>
    <w:p w:rsidR="006B4D2F" w:rsidRPr="006B4D2F" w:rsidRDefault="006B4D2F" w:rsidP="009A762B">
      <w:r w:rsidRPr="006B4D2F">
        <w:t>The sponsor considered that this study provided safety data only, for the following reasons:</w:t>
      </w:r>
    </w:p>
    <w:p w:rsidR="006B4D2F" w:rsidRPr="004351F7" w:rsidRDefault="006B4D2F" w:rsidP="009A762B">
      <w:pPr>
        <w:pStyle w:val="ListBullet"/>
      </w:pPr>
      <w:r w:rsidRPr="004351F7">
        <w:t>After pub</w:t>
      </w:r>
      <w:r w:rsidR="00DF2F03">
        <w:t xml:space="preserve">lication of results from Study </w:t>
      </w:r>
      <w:r w:rsidRPr="004351F7">
        <w:t>2301, all patients were given imatinib.</w:t>
      </w:r>
    </w:p>
    <w:p w:rsidR="006B4D2F" w:rsidRPr="004351F7" w:rsidRDefault="006B4D2F" w:rsidP="009A762B">
      <w:pPr>
        <w:pStyle w:val="ListBullet"/>
      </w:pPr>
      <w:r w:rsidRPr="004351F7">
        <w:t>Additionally, 12/44 subjects randomised to receive chemotherapy only, were switched to receive imatinib prior to the amendment.</w:t>
      </w:r>
    </w:p>
    <w:p w:rsidR="006B4D2F" w:rsidRPr="004351F7" w:rsidRDefault="006B4D2F" w:rsidP="009A762B">
      <w:pPr>
        <w:pStyle w:val="ListBullet"/>
      </w:pPr>
      <w:r w:rsidRPr="004351F7">
        <w:t>A high percentage (82.5%) of subjects received HSCT during the study (</w:t>
      </w:r>
      <w:r w:rsidRPr="009A762B">
        <w:t>efficacy</w:t>
      </w:r>
      <w:r w:rsidRPr="004351F7">
        <w:t xml:space="preserve"> of HSCT would confound assessment of add-on </w:t>
      </w:r>
      <w:proofErr w:type="spellStart"/>
      <w:r w:rsidRPr="004351F7">
        <w:t>imatinib’s</w:t>
      </w:r>
      <w:proofErr w:type="spellEnd"/>
      <w:r w:rsidRPr="004351F7">
        <w:t xml:space="preserve"> efficacy)</w:t>
      </w:r>
      <w:r w:rsidR="00DF2F03">
        <w:t>.</w:t>
      </w:r>
    </w:p>
    <w:p w:rsidR="006B4D2F" w:rsidRPr="006B4D2F" w:rsidRDefault="006B4D2F" w:rsidP="009A762B">
      <w:r w:rsidRPr="006B4D2F">
        <w:t>This position appears reasonable. There was no overtly negative efficacy outcome in the imatinib, good risk arm.</w:t>
      </w:r>
    </w:p>
    <w:p w:rsidR="006B4D2F" w:rsidRPr="009A762B" w:rsidRDefault="006B4D2F" w:rsidP="009A762B">
      <w:pPr>
        <w:pStyle w:val="Heading4"/>
      </w:pPr>
      <w:r w:rsidRPr="006B4D2F">
        <w:t>Safety</w:t>
      </w:r>
    </w:p>
    <w:p w:rsidR="006B4D2F" w:rsidRPr="009A762B" w:rsidRDefault="006B4D2F" w:rsidP="009A762B">
      <w:pPr>
        <w:pStyle w:val="Heading5"/>
      </w:pPr>
      <w:r w:rsidRPr="006B4D2F">
        <w:t>Exposure</w:t>
      </w:r>
    </w:p>
    <w:p w:rsidR="006B4D2F" w:rsidRPr="006B4D2F" w:rsidRDefault="006B4D2F" w:rsidP="009A762B">
      <w:r w:rsidRPr="006B4D2F">
        <w:t xml:space="preserve">Study 2301 contributed 93 Ph+ patients to safety analysis (exposure varied from a median of 176 days in </w:t>
      </w:r>
      <w:r w:rsidR="004351F7">
        <w:t>C</w:t>
      </w:r>
      <w:r w:rsidRPr="006B4D2F">
        <w:t xml:space="preserve">ohort 1 to a median of 708 days in </w:t>
      </w:r>
      <w:r w:rsidR="004351F7">
        <w:t>C</w:t>
      </w:r>
      <w:r w:rsidRPr="006B4D2F">
        <w:t>ohort 5), and Study AIT07 contributed 159 Ph+ patients. In AIT07, 58 good risk patients received 300 mg/m</w:t>
      </w:r>
      <w:r w:rsidRPr="006B4D2F">
        <w:rPr>
          <w:vertAlign w:val="superscript"/>
        </w:rPr>
        <w:t>2</w:t>
      </w:r>
      <w:r w:rsidRPr="006B4D2F">
        <w:t xml:space="preserve">/day </w:t>
      </w:r>
      <w:r w:rsidR="004351F7">
        <w:t>plus</w:t>
      </w:r>
      <w:r w:rsidRPr="006B4D2F">
        <w:t xml:space="preserve"> chemotherapy, 31 good risk patients received chemotherapy alone, and 70 poor risk patients received imatinib </w:t>
      </w:r>
      <w:r w:rsidR="004351F7">
        <w:t>plus</w:t>
      </w:r>
      <w:r w:rsidRPr="006B4D2F">
        <w:t xml:space="preserve"> chemot</w:t>
      </w:r>
      <w:r w:rsidR="006879E2">
        <w:t>herapy. Imatinib was given for about</w:t>
      </w:r>
      <w:r w:rsidRPr="006B4D2F">
        <w:t>120 days.</w:t>
      </w:r>
    </w:p>
    <w:p w:rsidR="006B4D2F" w:rsidRPr="006B4D2F" w:rsidRDefault="006B4D2F" w:rsidP="009A762B">
      <w:r w:rsidRPr="006B4D2F">
        <w:t xml:space="preserve">Median follow-up time in </w:t>
      </w:r>
      <w:r w:rsidR="00CE0791">
        <w:t xml:space="preserve">Study </w:t>
      </w:r>
      <w:r w:rsidRPr="006B4D2F">
        <w:t>2301 was 40.5 months for</w:t>
      </w:r>
      <w:r w:rsidR="004351F7">
        <w:t xml:space="preserve"> C</w:t>
      </w:r>
      <w:r w:rsidRPr="006B4D2F">
        <w:t xml:space="preserve">ohort 5, and in </w:t>
      </w:r>
      <w:r w:rsidR="00CE0791">
        <w:t xml:space="preserve">Study </w:t>
      </w:r>
      <w:r w:rsidRPr="006B4D2F">
        <w:t>AIT07 was 30.3 months.</w:t>
      </w:r>
    </w:p>
    <w:p w:rsidR="006B4D2F" w:rsidRPr="009A762B" w:rsidRDefault="006B4D2F" w:rsidP="009A762B">
      <w:pPr>
        <w:pStyle w:val="Heading4"/>
      </w:pPr>
      <w:r w:rsidRPr="006B4D2F">
        <w:t>Results</w:t>
      </w:r>
    </w:p>
    <w:p w:rsidR="006B4D2F" w:rsidRPr="004351F7" w:rsidRDefault="00F42F22" w:rsidP="009A762B">
      <w:pPr>
        <w:pStyle w:val="Heading5"/>
      </w:pPr>
      <w:r>
        <w:t xml:space="preserve">Study </w:t>
      </w:r>
      <w:r w:rsidR="006B4D2F" w:rsidRPr="004351F7">
        <w:t>2301</w:t>
      </w:r>
    </w:p>
    <w:p w:rsidR="006B4D2F" w:rsidRPr="006B4D2F" w:rsidRDefault="006B4D2F" w:rsidP="009A762B">
      <w:r w:rsidRPr="006B4D2F">
        <w:t>Patients were not randomised to the different cohorts and as per efficacy results there are confounding factors in existence (see above). Also, sample size in most cohorts is limited.</w:t>
      </w:r>
    </w:p>
    <w:p w:rsidR="006B4D2F" w:rsidRPr="006879E2" w:rsidRDefault="006B4D2F" w:rsidP="009A762B">
      <w:r w:rsidRPr="006879E2">
        <w:t>Increasing exposure did not result in a major increase in ‘targeted’ AEs:</w:t>
      </w:r>
    </w:p>
    <w:p w:rsidR="004351F7" w:rsidRPr="006879E2" w:rsidRDefault="004351F7" w:rsidP="009A762B">
      <w:pPr>
        <w:pStyle w:val="TableTitle"/>
      </w:pPr>
      <w:r w:rsidRPr="006879E2">
        <w:lastRenderedPageBreak/>
        <w:t xml:space="preserve">Table </w:t>
      </w:r>
      <w:r w:rsidR="00CE0791" w:rsidRPr="006879E2">
        <w:t>23</w:t>
      </w:r>
      <w:r w:rsidRPr="006879E2">
        <w:t xml:space="preserve">: </w:t>
      </w:r>
      <w:r w:rsidR="0089586C" w:rsidRPr="006879E2">
        <w:t>‘Targeted’ AEs versus patient group</w:t>
      </w:r>
    </w:p>
    <w:p w:rsidR="006B4D2F" w:rsidRPr="006B4D2F" w:rsidRDefault="006B4D2F" w:rsidP="009A762B">
      <w:r w:rsidRPr="006B4D2F">
        <w:rPr>
          <w:noProof/>
          <w:lang w:eastAsia="en-AU"/>
        </w:rPr>
        <w:drawing>
          <wp:inline distT="0" distB="0" distL="0" distR="0" wp14:anchorId="61ADF0DE" wp14:editId="68FE6005">
            <wp:extent cx="5010150" cy="1614726"/>
            <wp:effectExtent l="19050" t="0" r="0" b="0"/>
            <wp:docPr id="33" name="Picture 9" descr="Table 23: ‘Targeted’ AEs versus pati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9" cstate="print"/>
                    <a:stretch>
                      <a:fillRect/>
                    </a:stretch>
                  </pic:blipFill>
                  <pic:spPr>
                    <a:xfrm>
                      <a:off x="0" y="0"/>
                      <a:ext cx="5021030" cy="1618233"/>
                    </a:xfrm>
                    <a:prstGeom prst="rect">
                      <a:avLst/>
                    </a:prstGeom>
                  </pic:spPr>
                </pic:pic>
              </a:graphicData>
            </a:graphic>
          </wp:inline>
        </w:drawing>
      </w:r>
    </w:p>
    <w:p w:rsidR="006B4D2F" w:rsidRPr="006B4D2F" w:rsidRDefault="006B4D2F" w:rsidP="009A762B">
      <w:r w:rsidRPr="006B4D2F">
        <w:t>Grade</w:t>
      </w:r>
      <w:r w:rsidR="005E6886">
        <w:t xml:space="preserve"> </w:t>
      </w:r>
      <w:r w:rsidRPr="006B4D2F">
        <w:t>3+</w:t>
      </w:r>
      <w:r w:rsidR="00CE0791" w:rsidRPr="00CE0791">
        <w:rPr>
          <w:vertAlign w:val="superscript"/>
        </w:rPr>
        <w:footnoteReference w:id="5"/>
      </w:r>
      <w:r w:rsidR="00CE0791" w:rsidRPr="00CE0791">
        <w:t xml:space="preserve"> </w:t>
      </w:r>
      <w:r w:rsidR="0089586C">
        <w:t>alanine aminotransferase (</w:t>
      </w:r>
      <w:r w:rsidRPr="006B4D2F">
        <w:t>ALT</w:t>
      </w:r>
      <w:r w:rsidR="0089586C">
        <w:t>)</w:t>
      </w:r>
      <w:r w:rsidRPr="006B4D2F">
        <w:t xml:space="preserve"> elevations occurred in 7/12 patients enrolled early. A protocol change lowered imatinib exposure in the </w:t>
      </w:r>
      <w:r w:rsidR="0089586C">
        <w:t>M</w:t>
      </w:r>
      <w:r w:rsidRPr="006B4D2F">
        <w:t xml:space="preserve">aintenance </w:t>
      </w:r>
      <w:r w:rsidR="0089586C">
        <w:t>C</w:t>
      </w:r>
      <w:r w:rsidRPr="006B4D2F">
        <w:t xml:space="preserve">ycles 5-12 from </w:t>
      </w:r>
      <w:r w:rsidRPr="0089586C">
        <w:rPr>
          <w:i/>
        </w:rPr>
        <w:t>‘</w:t>
      </w:r>
      <w:r w:rsidR="0089586C" w:rsidRPr="0089586C">
        <w:rPr>
          <w:i/>
        </w:rPr>
        <w:t>three weeks</w:t>
      </w:r>
      <w:r w:rsidRPr="0089586C">
        <w:rPr>
          <w:i/>
        </w:rPr>
        <w:t xml:space="preserve"> on </w:t>
      </w:r>
      <w:r w:rsidR="0089586C" w:rsidRPr="0089586C">
        <w:rPr>
          <w:i/>
        </w:rPr>
        <w:t xml:space="preserve">one </w:t>
      </w:r>
      <w:r w:rsidRPr="0089586C">
        <w:rPr>
          <w:i/>
        </w:rPr>
        <w:t>w</w:t>
      </w:r>
      <w:r w:rsidR="0089586C" w:rsidRPr="0089586C">
        <w:rPr>
          <w:i/>
        </w:rPr>
        <w:t>ee</w:t>
      </w:r>
      <w:r w:rsidRPr="0089586C">
        <w:rPr>
          <w:i/>
        </w:rPr>
        <w:t xml:space="preserve">k off’ </w:t>
      </w:r>
      <w:r w:rsidRPr="0089586C">
        <w:t>to</w:t>
      </w:r>
      <w:r w:rsidRPr="0089586C">
        <w:rPr>
          <w:i/>
        </w:rPr>
        <w:t xml:space="preserve"> ‘</w:t>
      </w:r>
      <w:r w:rsidR="0089586C" w:rsidRPr="0089586C">
        <w:rPr>
          <w:i/>
        </w:rPr>
        <w:t xml:space="preserve">two </w:t>
      </w:r>
      <w:r w:rsidRPr="0089586C">
        <w:rPr>
          <w:i/>
        </w:rPr>
        <w:t>w</w:t>
      </w:r>
      <w:r w:rsidR="0089586C" w:rsidRPr="0089586C">
        <w:rPr>
          <w:i/>
        </w:rPr>
        <w:t>ee</w:t>
      </w:r>
      <w:r w:rsidRPr="0089586C">
        <w:rPr>
          <w:i/>
        </w:rPr>
        <w:t xml:space="preserve">ks on </w:t>
      </w:r>
      <w:r w:rsidR="0089586C" w:rsidRPr="0089586C">
        <w:rPr>
          <w:i/>
        </w:rPr>
        <w:t xml:space="preserve">two </w:t>
      </w:r>
      <w:r w:rsidRPr="0089586C">
        <w:rPr>
          <w:i/>
        </w:rPr>
        <w:t>w</w:t>
      </w:r>
      <w:r w:rsidR="0089586C" w:rsidRPr="0089586C">
        <w:rPr>
          <w:i/>
        </w:rPr>
        <w:t>ee</w:t>
      </w:r>
      <w:r w:rsidRPr="0089586C">
        <w:rPr>
          <w:i/>
        </w:rPr>
        <w:t>ks off’</w:t>
      </w:r>
      <w:r w:rsidRPr="006B4D2F">
        <w:t>. This change was associated with lower hepatotoxicity (for severe ALT elevations, from 58.3% [7/12] to 33.3% [9/27])</w:t>
      </w:r>
      <w:r w:rsidR="004351F7">
        <w:t>.</w:t>
      </w:r>
    </w:p>
    <w:p w:rsidR="006B4D2F" w:rsidRPr="006B4D2F" w:rsidRDefault="006B4D2F" w:rsidP="009A762B">
      <w:r w:rsidRPr="006B4D2F">
        <w:t xml:space="preserve">Non-targeted </w:t>
      </w:r>
      <w:r w:rsidRPr="0089586C">
        <w:rPr>
          <w:i/>
        </w:rPr>
        <w:t>‘severe’</w:t>
      </w:r>
      <w:r w:rsidRPr="006B4D2F">
        <w:t xml:space="preserve"> (</w:t>
      </w:r>
      <w:r w:rsidR="0089586C">
        <w:t>G</w:t>
      </w:r>
      <w:r w:rsidRPr="006B4D2F">
        <w:t xml:space="preserve">rade 3) AEs with incidence increasing across cohorts are: haemoglobin (in </w:t>
      </w:r>
      <w:r w:rsidR="0089586C">
        <w:t>C</w:t>
      </w:r>
      <w:r w:rsidRPr="006B4D2F">
        <w:t>ohort 5, 64%); nausea (14%); decreased appetite (14%); dehydration (10%); hypertension (10%); hypoxia (14%).</w:t>
      </w:r>
    </w:p>
    <w:p w:rsidR="006B4D2F" w:rsidRPr="006B4D2F" w:rsidRDefault="006B4D2F" w:rsidP="009A762B">
      <w:r w:rsidRPr="006B4D2F">
        <w:t xml:space="preserve">Non-targeted </w:t>
      </w:r>
      <w:r w:rsidRPr="0089586C">
        <w:rPr>
          <w:i/>
        </w:rPr>
        <w:t>‘severe’</w:t>
      </w:r>
      <w:r w:rsidRPr="006B4D2F">
        <w:t xml:space="preserve"> (</w:t>
      </w:r>
      <w:r w:rsidR="0089586C">
        <w:t>G</w:t>
      </w:r>
      <w:r w:rsidRPr="006B4D2F">
        <w:t xml:space="preserve">rade 3) AEs with incidence clearly higher in </w:t>
      </w:r>
      <w:r w:rsidR="0089586C">
        <w:t>C</w:t>
      </w:r>
      <w:r w:rsidRPr="006B4D2F">
        <w:t>ohort 5 than in the Ph- ALL group (no imatinib) are: white blood cell investigations (68% v</w:t>
      </w:r>
      <w:r w:rsidR="0089586C">
        <w:t>ersu</w:t>
      </w:r>
      <w:r w:rsidRPr="006B4D2F">
        <w:t>s 50.8%; similar for neutrophil count); platelet count (72% v</w:t>
      </w:r>
      <w:r w:rsidR="0089586C">
        <w:t>ersu</w:t>
      </w:r>
      <w:r w:rsidRPr="006B4D2F">
        <w:t>s 55.4%); haemoglobin (64% v</w:t>
      </w:r>
      <w:r w:rsidR="0089586C">
        <w:t>ersu</w:t>
      </w:r>
      <w:r w:rsidRPr="006B4D2F">
        <w:t xml:space="preserve">s 47.7%); </w:t>
      </w:r>
      <w:proofErr w:type="spellStart"/>
      <w:r w:rsidRPr="006B4D2F">
        <w:t>neutropenic</w:t>
      </w:r>
      <w:proofErr w:type="spellEnd"/>
      <w:r w:rsidRPr="006B4D2F">
        <w:t xml:space="preserve"> infections (52% v</w:t>
      </w:r>
      <w:r w:rsidR="0089586C">
        <w:t>ersu</w:t>
      </w:r>
      <w:r w:rsidRPr="006B4D2F">
        <w:t>s 36.9%); vomiting (18% v</w:t>
      </w:r>
      <w:r w:rsidR="0089586C">
        <w:t>ersu</w:t>
      </w:r>
      <w:r w:rsidRPr="006B4D2F">
        <w:t>s 3.1%); hypokalaemia (42% v</w:t>
      </w:r>
      <w:r w:rsidR="0089586C">
        <w:t>ersu</w:t>
      </w:r>
      <w:r w:rsidRPr="006B4D2F">
        <w:t>s 24.6%); hypertension (10% v</w:t>
      </w:r>
      <w:r w:rsidR="0089586C">
        <w:t>ersu</w:t>
      </w:r>
      <w:r w:rsidRPr="006B4D2F">
        <w:t>s 3.1%); hypoxia (14% v</w:t>
      </w:r>
      <w:r w:rsidR="0089586C">
        <w:t>ersu</w:t>
      </w:r>
      <w:r w:rsidRPr="006B4D2F">
        <w:t>s 3.1%); pneumonitis (8% v</w:t>
      </w:r>
      <w:r w:rsidR="0089586C">
        <w:t>ersu</w:t>
      </w:r>
      <w:r w:rsidRPr="006B4D2F">
        <w:t>s 1.5%).</w:t>
      </w:r>
    </w:p>
    <w:p w:rsidR="006B4D2F" w:rsidRPr="006B4D2F" w:rsidRDefault="006B4D2F" w:rsidP="009A762B">
      <w:r w:rsidRPr="006B4D2F">
        <w:t xml:space="preserve">Reasons for discontinuation of imatinib included: pancreatitis; hepatotoxicity; palmar-plantar </w:t>
      </w:r>
      <w:proofErr w:type="spellStart"/>
      <w:r w:rsidRPr="006B4D2F">
        <w:t>erythrodysaesthesia</w:t>
      </w:r>
      <w:proofErr w:type="spellEnd"/>
      <w:r w:rsidRPr="006B4D2F">
        <w:t xml:space="preserve">; and CNS </w:t>
      </w:r>
      <w:proofErr w:type="spellStart"/>
      <w:r w:rsidRPr="006B4D2F">
        <w:t>ventriculomegaly</w:t>
      </w:r>
      <w:proofErr w:type="spellEnd"/>
      <w:r w:rsidRPr="006B4D2F">
        <w:t>/</w:t>
      </w:r>
      <w:proofErr w:type="spellStart"/>
      <w:r w:rsidRPr="006B4D2F">
        <w:t>transependymal</w:t>
      </w:r>
      <w:proofErr w:type="spellEnd"/>
      <w:r w:rsidRPr="006B4D2F">
        <w:t xml:space="preserve"> </w:t>
      </w:r>
      <w:r w:rsidR="00C110EC" w:rsidRPr="006B4D2F">
        <w:t>oedema</w:t>
      </w:r>
      <w:r w:rsidRPr="006B4D2F">
        <w:t>.</w:t>
      </w:r>
    </w:p>
    <w:p w:rsidR="006B4D2F" w:rsidRPr="00C110EC" w:rsidRDefault="00CE0791" w:rsidP="009A762B">
      <w:pPr>
        <w:pStyle w:val="Heading4"/>
      </w:pPr>
      <w:r>
        <w:t xml:space="preserve">Study </w:t>
      </w:r>
      <w:r w:rsidR="006B4D2F" w:rsidRPr="00C110EC">
        <w:t>AIT07</w:t>
      </w:r>
    </w:p>
    <w:p w:rsidR="006B4D2F" w:rsidRPr="006B4D2F" w:rsidRDefault="006B4D2F" w:rsidP="009A762B">
      <w:r w:rsidRPr="006B4D2F">
        <w:t xml:space="preserve">In </w:t>
      </w:r>
      <w:r w:rsidR="00CE0791">
        <w:t xml:space="preserve">Study </w:t>
      </w:r>
      <w:r w:rsidRPr="006B4D2F">
        <w:t>AIT07, randomisation allowed comparison of a group that received add-on imatinib with a group that received only chemotherapy. Bias was re-introduced by cross-over of 12 patients to the imatinib arm (</w:t>
      </w:r>
      <w:r w:rsidR="00943D9F">
        <w:t xml:space="preserve">Table </w:t>
      </w:r>
      <w:r w:rsidR="006879E2">
        <w:t>22, above</w:t>
      </w:r>
      <w:r w:rsidRPr="006B4D2F">
        <w:t>). Setting this aside, there were no major disparities in AE frequency; larger differences were for granulocytes decreased (83.9% no imatinib; 93.1% imatinib), infection (83.9% v</w:t>
      </w:r>
      <w:r w:rsidR="000024A6">
        <w:t>ersu</w:t>
      </w:r>
      <w:r w:rsidRPr="006B4D2F">
        <w:t>s 93.1%), hepatic enzyme increased (71% v</w:t>
      </w:r>
      <w:r w:rsidR="000024A6">
        <w:t>ersu</w:t>
      </w:r>
      <w:r w:rsidRPr="006B4D2F">
        <w:t>s 81%), abdominal pain (61.3% v</w:t>
      </w:r>
      <w:r w:rsidR="000024A6">
        <w:t>ersu</w:t>
      </w:r>
      <w:r w:rsidRPr="006B4D2F">
        <w:t xml:space="preserve">s 70.7%), </w:t>
      </w:r>
      <w:proofErr w:type="spellStart"/>
      <w:r w:rsidRPr="006B4D2F">
        <w:t>antithrombin</w:t>
      </w:r>
      <w:proofErr w:type="spellEnd"/>
      <w:r w:rsidRPr="006B4D2F">
        <w:t xml:space="preserve"> III decreased (16.1% v</w:t>
      </w:r>
      <w:r w:rsidR="000024A6">
        <w:t>ersu</w:t>
      </w:r>
      <w:r w:rsidRPr="006B4D2F">
        <w:t>s 29.3%), proteinuria (3.2% v</w:t>
      </w:r>
      <w:r w:rsidR="000024A6">
        <w:t>ersu</w:t>
      </w:r>
      <w:r w:rsidRPr="006B4D2F">
        <w:t>s 12.1%) and euphoric mood (3.2% v</w:t>
      </w:r>
      <w:r w:rsidR="000024A6">
        <w:t>ersu</w:t>
      </w:r>
      <w:r w:rsidRPr="006B4D2F">
        <w:t xml:space="preserve">s 13.8%). Many AEs were more commonly reported in the ‘no imatinib’ group, </w:t>
      </w:r>
      <w:r w:rsidR="000024A6">
        <w:t xml:space="preserve">such as, </w:t>
      </w:r>
      <w:r w:rsidRPr="006B4D2F">
        <w:t>blood bilirubin increased (58.1% v</w:t>
      </w:r>
      <w:r w:rsidR="000024A6">
        <w:t>ersu</w:t>
      </w:r>
      <w:r w:rsidRPr="006B4D2F">
        <w:t>s 41.4%), probably reflecting the influence of disease processes on AEs (and by extension the influence of imatinib). In the good risk imatinib arm, several patients died of infection (2/58), and this rose to 4/70 in the poor risk (with imatinib) arm.</w:t>
      </w:r>
    </w:p>
    <w:p w:rsidR="006B4D2F" w:rsidRPr="000024A6" w:rsidRDefault="006B4D2F" w:rsidP="009A762B">
      <w:pPr>
        <w:pStyle w:val="Heading4"/>
      </w:pPr>
      <w:r w:rsidRPr="000024A6">
        <w:lastRenderedPageBreak/>
        <w:t>Other comments</w:t>
      </w:r>
    </w:p>
    <w:p w:rsidR="006B4D2F" w:rsidRPr="006B4D2F" w:rsidRDefault="006B4D2F" w:rsidP="009A762B">
      <w:r w:rsidRPr="006B4D2F">
        <w:t>Basic subgroup analyses in both studies according to age &lt;4 y</w:t>
      </w:r>
      <w:r w:rsidR="000024A6">
        <w:t>ea</w:t>
      </w:r>
      <w:r w:rsidRPr="006B4D2F">
        <w:t xml:space="preserve">rs or otherwise revealed no major disparities. However, in </w:t>
      </w:r>
      <w:r w:rsidR="00CE0791">
        <w:t xml:space="preserve">Study </w:t>
      </w:r>
      <w:r w:rsidRPr="006B4D2F">
        <w:t>2301 there were only 15 subjects &lt;4 y</w:t>
      </w:r>
      <w:r w:rsidR="000024A6">
        <w:t>ea</w:t>
      </w:r>
      <w:r w:rsidRPr="006B4D2F">
        <w:t xml:space="preserve">rs of age, and </w:t>
      </w:r>
      <w:r w:rsidR="000024A6">
        <w:t>three</w:t>
      </w:r>
      <w:r w:rsidRPr="006B4D2F">
        <w:t xml:space="preserve"> subjects aged 1-2 y</w:t>
      </w:r>
      <w:r w:rsidR="000024A6">
        <w:t>ea</w:t>
      </w:r>
      <w:r w:rsidRPr="006B4D2F">
        <w:t>rs</w:t>
      </w:r>
      <w:r w:rsidR="000024A6">
        <w:t xml:space="preserve"> (11 subjects &lt;4 years of age in C</w:t>
      </w:r>
      <w:r w:rsidRPr="006B4D2F">
        <w:t xml:space="preserve">ohort 5). In </w:t>
      </w:r>
      <w:r w:rsidR="00CE0791">
        <w:t xml:space="preserve">Study </w:t>
      </w:r>
      <w:r w:rsidRPr="006B4D2F">
        <w:t xml:space="preserve">AIT07, </w:t>
      </w:r>
      <w:r w:rsidR="000024A6">
        <w:t>seven</w:t>
      </w:r>
      <w:r w:rsidRPr="006B4D2F">
        <w:t xml:space="preserve"> patients (</w:t>
      </w:r>
      <w:r w:rsidR="000024A6">
        <w:t>five</w:t>
      </w:r>
      <w:r w:rsidRPr="006B4D2F">
        <w:t xml:space="preserve"> who received imatinib) were &lt;2 y</w:t>
      </w:r>
      <w:r w:rsidR="000024A6">
        <w:t>ea</w:t>
      </w:r>
      <w:r w:rsidRPr="006B4D2F">
        <w:t>rs of age. Differences in frequencies of outcomes such as left ventricular dysfunction and cardiac failure across age groups are difficult to interpret given the small sample sizes and the existence of confounding factors, but 3/24 subjects &lt;4 y</w:t>
      </w:r>
      <w:r w:rsidR="000024A6">
        <w:t>ea</w:t>
      </w:r>
      <w:r w:rsidRPr="006B4D2F">
        <w:t>rs of age reported these events (12.5%), v</w:t>
      </w:r>
      <w:r w:rsidR="000024A6">
        <w:t>ersu</w:t>
      </w:r>
      <w:r w:rsidRPr="006B4D2F">
        <w:t>s 8/104 older subjects (7.6%).</w:t>
      </w:r>
    </w:p>
    <w:p w:rsidR="006B4D2F" w:rsidRPr="006B4D2F" w:rsidRDefault="006B4D2F" w:rsidP="009A762B">
      <w:r w:rsidRPr="006B4D2F">
        <w:t xml:space="preserve">There have been case reports of growth retardation occurring in children and pre-adolescents receiving Glivec. Novartis is currently assessing the effect of imatinib on growth in Ph+ CML patients via a </w:t>
      </w:r>
      <w:r w:rsidR="000024A6">
        <w:t>third</w:t>
      </w:r>
      <w:r w:rsidRPr="006B4D2F">
        <w:t xml:space="preserve"> party registry as part of an EMA follow-up measure. No AE of growth retardation was reported in </w:t>
      </w:r>
      <w:r w:rsidR="00CE0791">
        <w:t xml:space="preserve">Studies </w:t>
      </w:r>
      <w:r w:rsidRPr="006B4D2F">
        <w:t>2301 or AIT07.</w:t>
      </w:r>
    </w:p>
    <w:p w:rsidR="006B4D2F" w:rsidRDefault="006B4D2F" w:rsidP="009A762B">
      <w:r w:rsidRPr="006B4D2F">
        <w:t xml:space="preserve">The incidence of pneumonitis appears high in </w:t>
      </w:r>
      <w:r w:rsidR="00CE0791">
        <w:t xml:space="preserve">Study </w:t>
      </w:r>
      <w:r w:rsidRPr="006B4D2F">
        <w:t>2301, and reports of hypoxia were also common. This information should be reflected in the PI.</w:t>
      </w:r>
    </w:p>
    <w:p w:rsidR="006879E2" w:rsidRPr="009A762B" w:rsidRDefault="006879E2" w:rsidP="009A762B">
      <w:pPr>
        <w:pStyle w:val="Heading4"/>
      </w:pPr>
      <w:r>
        <w:t>Clinical evaluator’s recommendation</w:t>
      </w:r>
    </w:p>
    <w:p w:rsidR="006879E2" w:rsidRPr="006879E2" w:rsidRDefault="006879E2" w:rsidP="009A762B">
      <w:r w:rsidRPr="006879E2">
        <w:t>The clinical evaluator has recommended approval of the application.</w:t>
      </w:r>
    </w:p>
    <w:p w:rsidR="008E7846" w:rsidRPr="009A762B" w:rsidRDefault="00386150" w:rsidP="009A762B">
      <w:pPr>
        <w:pStyle w:val="Heading3"/>
      </w:pPr>
      <w:bookmarkStart w:id="128" w:name="_Toc314842514"/>
      <w:bookmarkStart w:id="129" w:name="_Toc382572904"/>
      <w:r>
        <w:rPr>
          <w:lang w:eastAsia="en-AU"/>
        </w:rPr>
        <w:t>Risk m</w:t>
      </w:r>
      <w:r w:rsidR="008E7846">
        <w:rPr>
          <w:lang w:eastAsia="en-AU"/>
        </w:rPr>
        <w:t xml:space="preserve">anagement </w:t>
      </w:r>
      <w:r>
        <w:rPr>
          <w:lang w:eastAsia="en-AU"/>
        </w:rPr>
        <w:t>p</w:t>
      </w:r>
      <w:r w:rsidR="008E7846">
        <w:rPr>
          <w:lang w:eastAsia="en-AU"/>
        </w:rPr>
        <w:t>lan</w:t>
      </w:r>
      <w:bookmarkEnd w:id="128"/>
      <w:bookmarkEnd w:id="129"/>
    </w:p>
    <w:p w:rsidR="000024A6" w:rsidRPr="000024A6" w:rsidRDefault="000024A6" w:rsidP="009A762B">
      <w:r w:rsidRPr="000024A6">
        <w:t>The RMP proposed by the sponsor was considered generally acceptable by the TGA’s OPR.</w:t>
      </w:r>
    </w:p>
    <w:p w:rsidR="008E7846" w:rsidRPr="009A762B" w:rsidRDefault="00AA0ED0" w:rsidP="009A762B">
      <w:pPr>
        <w:pStyle w:val="Heading3"/>
      </w:pPr>
      <w:bookmarkStart w:id="130" w:name="_Toc247691531"/>
      <w:bookmarkStart w:id="131" w:name="_Toc314842515"/>
      <w:bookmarkStart w:id="132" w:name="_Toc196046505"/>
      <w:bookmarkStart w:id="133" w:name="_Toc196046949"/>
      <w:bookmarkStart w:id="134" w:name="_Toc382572905"/>
      <w:r>
        <w:t>Risk-benefit a</w:t>
      </w:r>
      <w:r w:rsidR="008E7846">
        <w:t>nalysis</w:t>
      </w:r>
      <w:bookmarkEnd w:id="130"/>
      <w:bookmarkEnd w:id="131"/>
      <w:bookmarkEnd w:id="134"/>
    </w:p>
    <w:p w:rsidR="008E7846" w:rsidRPr="009A762B" w:rsidRDefault="008E7846" w:rsidP="009A762B">
      <w:pPr>
        <w:pStyle w:val="Heading4"/>
      </w:pPr>
      <w:r>
        <w:t xml:space="preserve">Delegate </w:t>
      </w:r>
      <w:r w:rsidR="00ED3CAD">
        <w:t>c</w:t>
      </w:r>
      <w:r>
        <w:t>onsiderations</w:t>
      </w:r>
    </w:p>
    <w:p w:rsidR="000024A6" w:rsidRPr="009A762B" w:rsidRDefault="000024A6" w:rsidP="009A762B">
      <w:pPr>
        <w:pStyle w:val="Heading5"/>
      </w:pPr>
      <w:r w:rsidRPr="000024A6">
        <w:t>Efficacy</w:t>
      </w:r>
    </w:p>
    <w:p w:rsidR="000024A6" w:rsidRPr="000024A6" w:rsidRDefault="000024A6" w:rsidP="009A762B">
      <w:r w:rsidRPr="000024A6">
        <w:t>The main efficacy issue is the reliance placed on a non-randomised study and historical comparisons. These historical comparisons are problematic because from 19</w:t>
      </w:r>
      <w:r w:rsidR="00CE0791">
        <w:t>8</w:t>
      </w:r>
      <w:r w:rsidRPr="000024A6">
        <w:t xml:space="preserve">8-1995 (accrual of historical data) through to 2002 (start of </w:t>
      </w:r>
      <w:r w:rsidR="00CE0791">
        <w:t xml:space="preserve">Study </w:t>
      </w:r>
      <w:r w:rsidRPr="000024A6">
        <w:t>2301) there may have been significant changes in patient management, impacting on EFS/OS. The sponsor argued that induction agents prednisone, vincristine and L-</w:t>
      </w:r>
      <w:proofErr w:type="spellStart"/>
      <w:r w:rsidRPr="000024A6">
        <w:t>asparaginase</w:t>
      </w:r>
      <w:proofErr w:type="spellEnd"/>
      <w:r w:rsidRPr="000024A6">
        <w:t xml:space="preserve"> were consistently used across POG and COG studies (including</w:t>
      </w:r>
      <w:r w:rsidR="00CE0791">
        <w:t xml:space="preserve"> Study </w:t>
      </w:r>
      <w:r w:rsidRPr="000024A6">
        <w:t xml:space="preserve">2301), with the addition of </w:t>
      </w:r>
      <w:proofErr w:type="spellStart"/>
      <w:r w:rsidRPr="000024A6">
        <w:t>daunomycin</w:t>
      </w:r>
      <w:proofErr w:type="spellEnd"/>
      <w:r w:rsidRPr="000024A6">
        <w:t xml:space="preserve"> in some patients.</w:t>
      </w:r>
    </w:p>
    <w:p w:rsidR="000024A6" w:rsidRPr="000024A6" w:rsidRDefault="000024A6" w:rsidP="009A762B">
      <w:r w:rsidRPr="000024A6">
        <w:t xml:space="preserve">Reliance was not entirely on historical comparison; it was possible to compare cohorts within I2301, which varied by extent of exposure to imatinib. Allocation to cohorts was not random, so cohorts varied by other factors. The evaluator notes that chemotherapy used for induction was </w:t>
      </w:r>
      <w:r w:rsidRPr="000024A6">
        <w:rPr>
          <w:i/>
        </w:rPr>
        <w:t>“extremely intensive involving quite a large number of agents which raises the question whether the intensity of induction therapy may not have been a significant factor in determining</w:t>
      </w:r>
      <w:r w:rsidR="00242067">
        <w:rPr>
          <w:i/>
        </w:rPr>
        <w:t xml:space="preserve"> EFS</w:t>
      </w:r>
      <w:r w:rsidRPr="000024A6">
        <w:rPr>
          <w:i/>
        </w:rPr>
        <w:t xml:space="preserve"> and </w:t>
      </w:r>
      <w:r w:rsidR="00242067">
        <w:rPr>
          <w:i/>
        </w:rPr>
        <w:t>OS</w:t>
      </w:r>
      <w:r w:rsidRPr="000024A6">
        <w:rPr>
          <w:i/>
        </w:rPr>
        <w:t xml:space="preserve"> irrespective of the role of imatinib”</w:t>
      </w:r>
      <w:r w:rsidRPr="000024A6">
        <w:t>. Induction regimens differed across cohorts (</w:t>
      </w:r>
      <w:r w:rsidR="00CE0791">
        <w:t xml:space="preserve">that is, </w:t>
      </w:r>
      <w:r w:rsidRPr="000024A6">
        <w:t>earlier cohorts were less likely to have induction therapy as part of a frontline study).</w:t>
      </w:r>
    </w:p>
    <w:p w:rsidR="000024A6" w:rsidRPr="009A762B" w:rsidRDefault="000024A6" w:rsidP="009A762B">
      <w:pPr>
        <w:pStyle w:val="Heading5"/>
      </w:pPr>
      <w:r w:rsidRPr="000024A6">
        <w:t>Formulation</w:t>
      </w:r>
    </w:p>
    <w:p w:rsidR="000024A6" w:rsidRPr="000024A6" w:rsidRDefault="000024A6" w:rsidP="009A762B">
      <w:r w:rsidRPr="000024A6">
        <w:t>Film-coated tablet (100 mg, 400 mg) and hard gelatin</w:t>
      </w:r>
      <w:r>
        <w:t>e</w:t>
      </w:r>
      <w:r w:rsidRPr="000024A6">
        <w:t xml:space="preserve"> capsule (50 mg, 100 mg) imatinib formulations are registered, but no liquid formulations. The latest proposed PI suggests that the capsule formulations are not available in Australia.</w:t>
      </w:r>
    </w:p>
    <w:p w:rsidR="000024A6" w:rsidRPr="000024A6" w:rsidRDefault="000024A6" w:rsidP="009A762B">
      <w:r w:rsidRPr="000024A6">
        <w:t>There are existing recommendations about dispersal of imatinib tablets in water or apple juice:</w:t>
      </w:r>
    </w:p>
    <w:p w:rsidR="000024A6" w:rsidRPr="000024A6" w:rsidRDefault="000024A6" w:rsidP="009A762B">
      <w:pPr>
        <w:ind w:left="720"/>
      </w:pPr>
      <w:r w:rsidRPr="000024A6">
        <w:lastRenderedPageBreak/>
        <w:t>For patients unable to swallow the film-coated tablets, the tablets may be dispersed in a glass of water or apple juice. The required number of tablets should be placed in the appropriate volume of beverage (approximately 50 ml for a 100 mg tablet, and 200 ml for a 400 mg tablet) and stirred with a spoon. The suspension should be administered immediately after complete d</w:t>
      </w:r>
      <w:r w:rsidR="009A762B">
        <w:t>isintegration of the tablet(s).</w:t>
      </w:r>
    </w:p>
    <w:p w:rsidR="000024A6" w:rsidRPr="004A25CB" w:rsidRDefault="000024A6" w:rsidP="009A762B">
      <w:r w:rsidRPr="004A25CB">
        <w:t>The sponsor states that “</w:t>
      </w:r>
      <w:r w:rsidRPr="004A25CB">
        <w:rPr>
          <w:i/>
          <w:iCs/>
        </w:rPr>
        <w:t>in vitro</w:t>
      </w:r>
      <w:r w:rsidRPr="004A25CB">
        <w:t xml:space="preserve"> data demonstrated that dispersed imatinib remained stable in water or apple juice”.</w:t>
      </w:r>
    </w:p>
    <w:p w:rsidR="000024A6" w:rsidRPr="000024A6" w:rsidRDefault="000024A6" w:rsidP="009A762B">
      <w:r w:rsidRPr="000024A6">
        <w:t>Similar recommendations are proposed (without supportive argument) to encompass capsule formulations:</w:t>
      </w:r>
    </w:p>
    <w:p w:rsidR="000024A6" w:rsidRPr="000024A6" w:rsidRDefault="000024A6" w:rsidP="009A762B">
      <w:pPr>
        <w:ind w:left="720"/>
      </w:pPr>
      <w:r w:rsidRPr="000024A6">
        <w:t>For patients (</w:t>
      </w:r>
      <w:r>
        <w:t>for example,</w:t>
      </w:r>
      <w:r w:rsidRPr="000024A6">
        <w:t xml:space="preserve"> children) unable to swallow the capsules, their content may be diluted in a glass</w:t>
      </w:r>
      <w:r w:rsidR="009A762B">
        <w:t xml:space="preserve"> of still water or apple juice.</w:t>
      </w:r>
    </w:p>
    <w:p w:rsidR="000024A6" w:rsidRPr="004A25CB" w:rsidRDefault="000024A6" w:rsidP="009A762B">
      <w:r w:rsidRPr="004A25CB">
        <w:t xml:space="preserve">A </w:t>
      </w:r>
      <w:r w:rsidR="00DC453D" w:rsidRPr="004A25CB">
        <w:t>3</w:t>
      </w:r>
      <w:r w:rsidRPr="004A25CB">
        <w:t xml:space="preserve"> year old, for example, may have a BSA of, say, 0.6-0.7 m</w:t>
      </w:r>
      <w:r w:rsidRPr="004A25CB">
        <w:rPr>
          <w:vertAlign w:val="superscript"/>
        </w:rPr>
        <w:t>2</w:t>
      </w:r>
      <w:r w:rsidRPr="004A25CB">
        <w:t>, so will need ‘204’-‘238’ mg per dose. It will be difficult to provide accurate dosing in some settings. In at least one study (A2108), imatinib dose was rounded to the nearest 100 mg increment.</w:t>
      </w:r>
    </w:p>
    <w:p w:rsidR="000024A6" w:rsidRPr="009A762B" w:rsidRDefault="000024A6" w:rsidP="009A762B">
      <w:pPr>
        <w:pStyle w:val="Heading5"/>
      </w:pPr>
      <w:r w:rsidRPr="000024A6">
        <w:t>Dosing in the very young</w:t>
      </w:r>
    </w:p>
    <w:p w:rsidR="000024A6" w:rsidRPr="000024A6" w:rsidRDefault="000024A6" w:rsidP="009A762B">
      <w:r w:rsidRPr="000024A6">
        <w:t>Dosing in paediatric CML is 340 mg/m</w:t>
      </w:r>
      <w:r w:rsidRPr="000024A6">
        <w:rPr>
          <w:vertAlign w:val="superscript"/>
        </w:rPr>
        <w:t>2</w:t>
      </w:r>
      <w:r w:rsidRPr="000024A6">
        <w:t xml:space="preserve">/day (said to equate with 600 mg daily in adults, which is the recommended adult dose for </w:t>
      </w:r>
      <w:r w:rsidR="00377778">
        <w:t>Ph+ ALL</w:t>
      </w:r>
      <w:r w:rsidRPr="000024A6">
        <w:t xml:space="preserve">). Thus the proposed paediatric dose in </w:t>
      </w:r>
      <w:r w:rsidR="00377778">
        <w:t>Ph+ ALL</w:t>
      </w:r>
      <w:r w:rsidRPr="000024A6">
        <w:t xml:space="preserve"> is no departure from the paediatric CML dose, and (assuming comparability of 340 mg/m</w:t>
      </w:r>
      <w:r w:rsidRPr="000024A6">
        <w:rPr>
          <w:vertAlign w:val="superscript"/>
        </w:rPr>
        <w:t>2</w:t>
      </w:r>
      <w:r w:rsidRPr="000024A6">
        <w:t xml:space="preserve">/day and 600 mg as per above) no departure from the adult </w:t>
      </w:r>
      <w:r w:rsidR="00377778">
        <w:t>Ph+ ALL</w:t>
      </w:r>
      <w:r w:rsidRPr="000024A6">
        <w:t xml:space="preserve"> dose. No differences in imatinib clearance across paediatric Ph+ CML and paediatric </w:t>
      </w:r>
      <w:r w:rsidR="00377778">
        <w:t>Ph+ ALL</w:t>
      </w:r>
      <w:r w:rsidRPr="000024A6">
        <w:t xml:space="preserve"> were found in the </w:t>
      </w:r>
      <w:proofErr w:type="spellStart"/>
      <w:r w:rsidR="00270A3D">
        <w:t>P</w:t>
      </w:r>
      <w:r w:rsidRPr="000024A6">
        <w:t>opPK</w:t>
      </w:r>
      <w:proofErr w:type="spellEnd"/>
      <w:r w:rsidRPr="000024A6">
        <w:t xml:space="preserve"> study.</w:t>
      </w:r>
    </w:p>
    <w:p w:rsidR="000024A6" w:rsidRPr="000024A6" w:rsidRDefault="000024A6" w:rsidP="009A762B">
      <w:r w:rsidRPr="000024A6">
        <w:t>The assumption about comparability of exposure after 340 mg/m</w:t>
      </w:r>
      <w:r w:rsidRPr="000024A6">
        <w:rPr>
          <w:vertAlign w:val="superscript"/>
        </w:rPr>
        <w:t>2</w:t>
      </w:r>
      <w:r w:rsidRPr="000024A6">
        <w:t xml:space="preserve"> and 600 mg dosing is not well-founded in very young children, particularly those 1 to &lt;2 y</w:t>
      </w:r>
      <w:r w:rsidR="00DC453D">
        <w:t>ear</w:t>
      </w:r>
      <w:r w:rsidRPr="000024A6">
        <w:t xml:space="preserve">s of age. In pivotal </w:t>
      </w:r>
      <w:r w:rsidR="00DC453D">
        <w:t>S</w:t>
      </w:r>
      <w:r w:rsidRPr="000024A6">
        <w:t>tudy</w:t>
      </w:r>
      <w:r w:rsidR="00CE0791">
        <w:t xml:space="preserve"> </w:t>
      </w:r>
      <w:r w:rsidRPr="000024A6">
        <w:t>2301, analysis of efficacy by age did not separate the very young (</w:t>
      </w:r>
      <w:r w:rsidR="00DC453D">
        <w:t>for example,</w:t>
      </w:r>
      <w:r w:rsidRPr="000024A6">
        <w:t xml:space="preserve"> 1 to &lt;4 y</w:t>
      </w:r>
      <w:r w:rsidR="00DC453D">
        <w:t>ear</w:t>
      </w:r>
      <w:r w:rsidRPr="000024A6">
        <w:t>s) from those &lt;10 y</w:t>
      </w:r>
      <w:r w:rsidR="00EB106D">
        <w:t>ea</w:t>
      </w:r>
      <w:r w:rsidRPr="000024A6">
        <w:t>rs, so it is difficult to look for a possible influence of exposure on efficacy outcomes. There were no additional major safety concerns in 1 to &lt;4 y</w:t>
      </w:r>
      <w:r w:rsidR="00DC453D">
        <w:t>ea</w:t>
      </w:r>
      <w:r w:rsidRPr="000024A6">
        <w:t xml:space="preserve">r olds in </w:t>
      </w:r>
      <w:r w:rsidR="00DC453D">
        <w:t>S</w:t>
      </w:r>
      <w:r w:rsidRPr="000024A6">
        <w:t>tudy AIT07, but sample size in the very young age group was small.</w:t>
      </w:r>
    </w:p>
    <w:p w:rsidR="000024A6" w:rsidRPr="000024A6" w:rsidRDefault="000024A6" w:rsidP="009A762B">
      <w:r w:rsidRPr="000024A6">
        <w:t xml:space="preserve">In the absence of good data on which to base dosing recommendations in very young patients with </w:t>
      </w:r>
      <w:r w:rsidR="00377778">
        <w:t>Ph+ ALL</w:t>
      </w:r>
      <w:r w:rsidRPr="000024A6">
        <w:t>,</w:t>
      </w:r>
      <w:r w:rsidR="00DC453D">
        <w:t xml:space="preserve"> the Delegate </w:t>
      </w:r>
      <w:r w:rsidRPr="000024A6">
        <w:t>think</w:t>
      </w:r>
      <w:r w:rsidR="00DC453D">
        <w:t>s</w:t>
      </w:r>
      <w:r w:rsidRPr="000024A6">
        <w:t xml:space="preserve"> the sponsor’s dosing proposal is acceptable only because these patients will be intensively monitored for treatment response, adverse events, et</w:t>
      </w:r>
      <w:r w:rsidR="00DC453D">
        <w:t xml:space="preserve"> </w:t>
      </w:r>
      <w:r w:rsidRPr="000024A6">
        <w:t>c</w:t>
      </w:r>
      <w:r w:rsidR="00DC453D">
        <w:t>etera</w:t>
      </w:r>
      <w:r w:rsidRPr="000024A6">
        <w:t xml:space="preserve">. </w:t>
      </w:r>
      <w:r w:rsidR="00DC453D">
        <w:t>The Delegate</w:t>
      </w:r>
      <w:r w:rsidRPr="000024A6">
        <w:t xml:space="preserve"> suggested text in the PI noting the lack of directly observed PK data.</w:t>
      </w:r>
    </w:p>
    <w:p w:rsidR="000024A6" w:rsidRPr="009A762B" w:rsidRDefault="000024A6" w:rsidP="009A762B">
      <w:pPr>
        <w:pStyle w:val="Heading5"/>
      </w:pPr>
      <w:r w:rsidRPr="000024A6">
        <w:t>Other dosing issues</w:t>
      </w:r>
    </w:p>
    <w:p w:rsidR="000024A6" w:rsidRPr="000024A6" w:rsidRDefault="000024A6" w:rsidP="009A762B">
      <w:r w:rsidRPr="000024A6">
        <w:t>The sponsor notes:</w:t>
      </w:r>
    </w:p>
    <w:p w:rsidR="000024A6" w:rsidRPr="004A25CB" w:rsidRDefault="00CE0791" w:rsidP="009A762B">
      <w:pPr>
        <w:ind w:left="720"/>
      </w:pPr>
      <w:r w:rsidRPr="004A25CB">
        <w:t>“</w:t>
      </w:r>
      <w:r w:rsidR="000024A6" w:rsidRPr="004A25CB">
        <w:t>Imatinib therapy in the treatment of p</w:t>
      </w:r>
      <w:r w:rsidR="00DC453D" w:rsidRPr="004A25CB">
        <w:t>a</w:t>
      </w:r>
      <w:r w:rsidR="000024A6" w:rsidRPr="004A25CB">
        <w:t xml:space="preserve">ediatric </w:t>
      </w:r>
      <w:r w:rsidR="00377778" w:rsidRPr="004A25CB">
        <w:t>Ph+ ALL</w:t>
      </w:r>
      <w:r w:rsidR="000024A6" w:rsidRPr="004A25CB">
        <w:t xml:space="preserve"> patients was incorporated in the standard chemotherapeutic regimen beginning with </w:t>
      </w:r>
      <w:r w:rsidR="00DC453D" w:rsidRPr="004A25CB">
        <w:t>C</w:t>
      </w:r>
      <w:r w:rsidR="000024A6" w:rsidRPr="004A25CB">
        <w:t>onsolidation 1, rather than beginning with induction therapy. It is unknown whether or not imatinib incorporated with induction therapy in p</w:t>
      </w:r>
      <w:r w:rsidR="00DC453D" w:rsidRPr="004A25CB">
        <w:t>a</w:t>
      </w:r>
      <w:r w:rsidR="000024A6" w:rsidRPr="004A25CB">
        <w:t xml:space="preserve">ediatric </w:t>
      </w:r>
      <w:r w:rsidR="00377778" w:rsidRPr="004A25CB">
        <w:t>Ph+ ALL</w:t>
      </w:r>
      <w:r w:rsidR="000024A6" w:rsidRPr="004A25CB">
        <w:t xml:space="preserve"> is feasible and whether or not it adds or subtracts from efficacy and toxicity</w:t>
      </w:r>
      <w:r w:rsidR="00DC453D" w:rsidRPr="004A25CB">
        <w:t>.</w:t>
      </w:r>
    </w:p>
    <w:p w:rsidR="000024A6" w:rsidRPr="004A25CB" w:rsidRDefault="000024A6" w:rsidP="009A762B">
      <w:pPr>
        <w:ind w:left="720"/>
      </w:pPr>
      <w:r w:rsidRPr="004A25CB">
        <w:t>Furth</w:t>
      </w:r>
      <w:r w:rsidR="00CE0791" w:rsidRPr="004A25CB">
        <w:t>ermore, the duration of imatinib</w:t>
      </w:r>
      <w:r w:rsidRPr="004A25CB">
        <w:t xml:space="preserve"> therapy after the completion of </w:t>
      </w:r>
      <w:r w:rsidR="00DC453D" w:rsidRPr="004A25CB">
        <w:t>M</w:t>
      </w:r>
      <w:r w:rsidRPr="004A25CB">
        <w:t xml:space="preserve">aintenance </w:t>
      </w:r>
      <w:r w:rsidR="00DC453D" w:rsidRPr="004A25CB">
        <w:t>C</w:t>
      </w:r>
      <w:r w:rsidRPr="004A25CB">
        <w:t>ycle 12 and/or HSCT is also unknown.</w:t>
      </w:r>
      <w:r w:rsidR="00CE0791" w:rsidRPr="004A25CB">
        <w:t>”</w:t>
      </w:r>
    </w:p>
    <w:p w:rsidR="000024A6" w:rsidRPr="004A25CB" w:rsidRDefault="000024A6" w:rsidP="009A762B">
      <w:r w:rsidRPr="004A25CB">
        <w:t xml:space="preserve">In </w:t>
      </w:r>
      <w:r w:rsidR="00CE0791" w:rsidRPr="004A25CB">
        <w:t xml:space="preserve">Study </w:t>
      </w:r>
      <w:r w:rsidRPr="004A25CB">
        <w:t xml:space="preserve">2301, there was some evidence that </w:t>
      </w:r>
      <w:r w:rsidR="00DC453D" w:rsidRPr="004A25CB">
        <w:t xml:space="preserve">‘two </w:t>
      </w:r>
      <w:r w:rsidRPr="004A25CB">
        <w:t>w</w:t>
      </w:r>
      <w:r w:rsidR="00DC453D" w:rsidRPr="004A25CB">
        <w:t>ee</w:t>
      </w:r>
      <w:r w:rsidRPr="004A25CB">
        <w:t xml:space="preserve">k on </w:t>
      </w:r>
      <w:r w:rsidR="00DC453D" w:rsidRPr="004A25CB">
        <w:t>two</w:t>
      </w:r>
      <w:r w:rsidRPr="004A25CB">
        <w:t xml:space="preserve"> w</w:t>
      </w:r>
      <w:r w:rsidR="00DC453D" w:rsidRPr="004A25CB">
        <w:t>ee</w:t>
      </w:r>
      <w:r w:rsidRPr="004A25CB">
        <w:t>k off</w:t>
      </w:r>
      <w:r w:rsidR="00DC453D" w:rsidRPr="004A25CB">
        <w:t>’</w:t>
      </w:r>
      <w:r w:rsidRPr="004A25CB">
        <w:t xml:space="preserve"> maintenance dosing was safer than </w:t>
      </w:r>
      <w:r w:rsidR="00DC453D" w:rsidRPr="004A25CB">
        <w:t>‘three</w:t>
      </w:r>
      <w:r w:rsidRPr="004A25CB">
        <w:t xml:space="preserve"> w</w:t>
      </w:r>
      <w:r w:rsidR="00DC453D" w:rsidRPr="004A25CB">
        <w:t>ee</w:t>
      </w:r>
      <w:r w:rsidRPr="004A25CB">
        <w:t xml:space="preserve">k on </w:t>
      </w:r>
      <w:r w:rsidR="00DC453D" w:rsidRPr="004A25CB">
        <w:t>one</w:t>
      </w:r>
      <w:r w:rsidRPr="004A25CB">
        <w:t xml:space="preserve"> w</w:t>
      </w:r>
      <w:r w:rsidR="00DC453D" w:rsidRPr="004A25CB">
        <w:t>ee</w:t>
      </w:r>
      <w:r w:rsidRPr="004A25CB">
        <w:t>k off dosing</w:t>
      </w:r>
      <w:r w:rsidR="00DC453D" w:rsidRPr="004A25CB">
        <w:t>’</w:t>
      </w:r>
      <w:r w:rsidRPr="004A25CB">
        <w:t>, with regard to hepatotoxicity.</w:t>
      </w:r>
    </w:p>
    <w:p w:rsidR="000024A6" w:rsidRPr="009A762B" w:rsidRDefault="000024A6" w:rsidP="009A762B">
      <w:pPr>
        <w:pStyle w:val="Heading5"/>
      </w:pPr>
      <w:r w:rsidRPr="000024A6">
        <w:t>Benefit-risk</w:t>
      </w:r>
    </w:p>
    <w:p w:rsidR="000024A6" w:rsidRPr="000024A6" w:rsidRDefault="000024A6" w:rsidP="009A762B">
      <w:r w:rsidRPr="000024A6">
        <w:t>The sponsor makes the following pertinent observations:</w:t>
      </w:r>
    </w:p>
    <w:p w:rsidR="000024A6" w:rsidRPr="004A25CB" w:rsidRDefault="00CE0791" w:rsidP="009A762B">
      <w:pPr>
        <w:ind w:left="720"/>
      </w:pPr>
      <w:r w:rsidRPr="004A25CB">
        <w:lastRenderedPageBreak/>
        <w:t>“</w:t>
      </w:r>
      <w:r w:rsidR="000024A6" w:rsidRPr="004A25CB">
        <w:t>The posology in the treatment of p</w:t>
      </w:r>
      <w:r w:rsidR="00DC453D" w:rsidRPr="004A25CB">
        <w:t>a</w:t>
      </w:r>
      <w:r w:rsidR="000024A6" w:rsidRPr="004A25CB">
        <w:t xml:space="preserve">ediatric </w:t>
      </w:r>
      <w:r w:rsidR="00377778" w:rsidRPr="004A25CB">
        <w:t>Ph+ ALL</w:t>
      </w:r>
      <w:r w:rsidR="000024A6" w:rsidRPr="004A25CB">
        <w:t xml:space="preserve"> patients is similar to the Ph+ CML clinical setting and the exposure duration is shorter, suggesting that the emergence of long-term toxicities is even less likely. It is doubtful that long-term benefits on efficacy could diminish since </w:t>
      </w:r>
      <w:r w:rsidR="00C41268" w:rsidRPr="004A25CB">
        <w:t>leukemic</w:t>
      </w:r>
      <w:r w:rsidR="000024A6" w:rsidRPr="004A25CB">
        <w:t xml:space="preserve"> relapse in ALL typically occurs quickly after the conclusion of standard therapy. Four-year estimated EFS and OS is likely to be inclusive of the large majority of patients who are destined to relapse with leuk</w:t>
      </w:r>
      <w:r w:rsidR="00DC453D" w:rsidRPr="004A25CB">
        <w:t>a</w:t>
      </w:r>
      <w:r w:rsidR="000024A6" w:rsidRPr="004A25CB">
        <w:t>emia.</w:t>
      </w:r>
      <w:r w:rsidRPr="004A25CB">
        <w:t>”</w:t>
      </w:r>
    </w:p>
    <w:p w:rsidR="000024A6" w:rsidRPr="000024A6" w:rsidRDefault="00DC453D" w:rsidP="009A762B">
      <w:r>
        <w:t xml:space="preserve">The Delegate </w:t>
      </w:r>
      <w:r w:rsidR="000024A6" w:rsidRPr="000024A6">
        <w:t>agree</w:t>
      </w:r>
      <w:r w:rsidR="00C41268">
        <w:t>d</w:t>
      </w:r>
      <w:r w:rsidR="000024A6" w:rsidRPr="000024A6">
        <w:t xml:space="preserve"> with the </w:t>
      </w:r>
      <w:r>
        <w:t>c</w:t>
      </w:r>
      <w:r w:rsidR="000024A6" w:rsidRPr="000024A6">
        <w:t xml:space="preserve">linical </w:t>
      </w:r>
      <w:r>
        <w:t>e</w:t>
      </w:r>
      <w:r w:rsidR="000024A6" w:rsidRPr="000024A6">
        <w:t>valuator that benefit-risk in this extension of indication is positive. H</w:t>
      </w:r>
      <w:r w:rsidR="00765E4D">
        <w:t xml:space="preserve">owever, </w:t>
      </w:r>
      <w:r w:rsidR="000024A6" w:rsidRPr="000024A6">
        <w:t xml:space="preserve">optimal treatment remains to be established, </w:t>
      </w:r>
      <w:r>
        <w:t xml:space="preserve">for example, </w:t>
      </w:r>
      <w:r w:rsidR="000024A6" w:rsidRPr="000024A6">
        <w:t xml:space="preserve">should the imatinib-free induction be adhered to? </w:t>
      </w:r>
      <w:r w:rsidR="004D6BEC">
        <w:t>S</w:t>
      </w:r>
      <w:r w:rsidR="000024A6" w:rsidRPr="000024A6">
        <w:t>hould intermittent imatinib in maintenance be adhered to? How does imatinib change the place/timing of HSCT, if at all?</w:t>
      </w:r>
    </w:p>
    <w:p w:rsidR="000024A6" w:rsidRPr="000024A6" w:rsidRDefault="002B14F4" w:rsidP="009A762B">
      <w:pPr>
        <w:pStyle w:val="Heading4"/>
      </w:pPr>
      <w:r>
        <w:t xml:space="preserve">Proposed </w:t>
      </w:r>
      <w:r w:rsidR="009A762B" w:rsidRPr="009A762B">
        <w:t>a</w:t>
      </w:r>
      <w:r w:rsidR="000024A6" w:rsidRPr="009A762B">
        <w:t>ction</w:t>
      </w:r>
    </w:p>
    <w:p w:rsidR="00510F15" w:rsidRDefault="00C41268" w:rsidP="009A762B">
      <w:r>
        <w:t>The Delegate</w:t>
      </w:r>
      <w:r w:rsidR="000024A6" w:rsidRPr="000024A6">
        <w:t xml:space="preserve"> propose</w:t>
      </w:r>
      <w:r>
        <w:t>d</w:t>
      </w:r>
      <w:r w:rsidR="009A762B">
        <w:t xml:space="preserve"> to approve the application.</w:t>
      </w:r>
    </w:p>
    <w:p w:rsidR="001B0811" w:rsidRDefault="00510F15" w:rsidP="009A762B">
      <w:r>
        <w:t xml:space="preserve">The Delegate also proposed revisions to the product literature including the </w:t>
      </w:r>
      <w:r w:rsidR="00117E3B" w:rsidRPr="00510F15">
        <w:t>PI</w:t>
      </w:r>
      <w:r>
        <w:t xml:space="preserve">. Details of these revisions are beyond the scope of the </w:t>
      </w:r>
      <w:proofErr w:type="spellStart"/>
      <w:r>
        <w:t>AusPAR</w:t>
      </w:r>
      <w:proofErr w:type="spellEnd"/>
      <w:r>
        <w:t>.</w:t>
      </w:r>
    </w:p>
    <w:p w:rsidR="001B0811" w:rsidRPr="009A762B" w:rsidRDefault="001B0811" w:rsidP="009A762B">
      <w:pPr>
        <w:pStyle w:val="Heading4"/>
      </w:pPr>
      <w:r>
        <w:t>Request for ACPM advice</w:t>
      </w:r>
    </w:p>
    <w:p w:rsidR="000024A6" w:rsidRPr="000024A6" w:rsidRDefault="001B0811" w:rsidP="009A762B">
      <w:r w:rsidRPr="001B0811">
        <w:t xml:space="preserve">The Delegate proposed to seek general advice on this application from the </w:t>
      </w:r>
      <w:r>
        <w:t xml:space="preserve">Advisory Committee on Prescription Medicines (ACPM) and to additionally request </w:t>
      </w:r>
      <w:r w:rsidRPr="001B0811">
        <w:t>ACPM</w:t>
      </w:r>
      <w:r>
        <w:t xml:space="preserve"> address the following in particular</w:t>
      </w:r>
      <w:r w:rsidR="000024A6" w:rsidRPr="000024A6">
        <w:t>:</w:t>
      </w:r>
    </w:p>
    <w:p w:rsidR="000024A6" w:rsidRPr="004D6BEC" w:rsidRDefault="00117E3B" w:rsidP="009A762B">
      <w:pPr>
        <w:pStyle w:val="Numberbullet0"/>
        <w:numPr>
          <w:ilvl w:val="0"/>
          <w:numId w:val="34"/>
        </w:numPr>
      </w:pPr>
      <w:r>
        <w:t>Does the c</w:t>
      </w:r>
      <w:r w:rsidR="000024A6" w:rsidRPr="004D6BEC">
        <w:t xml:space="preserve">ommittee consider that the benefit-risk profile of imatinib in newly diagnosed paediatric </w:t>
      </w:r>
      <w:r w:rsidR="00377778">
        <w:t>Ph+ ALL</w:t>
      </w:r>
      <w:r w:rsidR="000024A6" w:rsidRPr="004D6BEC">
        <w:t xml:space="preserve"> is positive, taking into account the limitations of the supportive evidence provided.</w:t>
      </w:r>
    </w:p>
    <w:p w:rsidR="000024A6" w:rsidRPr="004D6BEC" w:rsidRDefault="00117E3B" w:rsidP="009A762B">
      <w:pPr>
        <w:pStyle w:val="Numberbullet0"/>
      </w:pPr>
      <w:r>
        <w:t>Does the c</w:t>
      </w:r>
      <w:r w:rsidR="000024A6" w:rsidRPr="004D6BEC">
        <w:t>ommittee have any advice about the appropriateness of the proposed indication, and the appropriateness of proposed PI changes?</w:t>
      </w:r>
    </w:p>
    <w:p w:rsidR="008E7846" w:rsidRPr="009A762B" w:rsidRDefault="008E7846" w:rsidP="009A762B">
      <w:pPr>
        <w:pStyle w:val="Heading4"/>
      </w:pPr>
      <w:r>
        <w:t xml:space="preserve">Response from </w:t>
      </w:r>
      <w:r w:rsidR="009A762B">
        <w:t>s</w:t>
      </w:r>
      <w:r>
        <w:t>ponsor</w:t>
      </w:r>
    </w:p>
    <w:p w:rsidR="003759AC" w:rsidRPr="003759AC" w:rsidRDefault="003759AC" w:rsidP="009A762B">
      <w:r w:rsidRPr="003759AC">
        <w:t xml:space="preserve">The sponsor’s responses to matters raised in the Delegate’s overview, above, have not been included in this </w:t>
      </w:r>
      <w:proofErr w:type="spellStart"/>
      <w:r w:rsidRPr="003759AC">
        <w:t>AusPAR</w:t>
      </w:r>
      <w:proofErr w:type="spellEnd"/>
      <w:r w:rsidRPr="003759AC">
        <w:t>.</w:t>
      </w:r>
    </w:p>
    <w:p w:rsidR="008E7846" w:rsidRDefault="008E7846" w:rsidP="009A762B">
      <w:pPr>
        <w:pStyle w:val="Heading4"/>
      </w:pPr>
      <w:r>
        <w:t xml:space="preserve">Advisory </w:t>
      </w:r>
      <w:r w:rsidR="009A762B">
        <w:t>c</w:t>
      </w:r>
      <w:r w:rsidRPr="009A762B">
        <w:t>ommittee</w:t>
      </w:r>
      <w:r>
        <w:t xml:space="preserve"> </w:t>
      </w:r>
      <w:r w:rsidR="009A762B">
        <w:t>c</w:t>
      </w:r>
      <w:r>
        <w:t>onsiderations</w:t>
      </w:r>
    </w:p>
    <w:p w:rsidR="008E7846" w:rsidRDefault="008E7846" w:rsidP="009A762B">
      <w:r>
        <w:t xml:space="preserve">The </w:t>
      </w:r>
      <w:r w:rsidRPr="001C5DFC">
        <w:t>AC</w:t>
      </w:r>
      <w:r w:rsidR="00936CED">
        <w:t xml:space="preserve">PM </w:t>
      </w:r>
      <w:r>
        <w:t>considered the evaluations and the Delegate’s overview,</w:t>
      </w:r>
      <w:r w:rsidRPr="001C5DFC">
        <w:t xml:space="preserve"> </w:t>
      </w:r>
      <w:r>
        <w:t>as well as the sponsor’s response to these documents, advised the following:</w:t>
      </w:r>
    </w:p>
    <w:p w:rsidR="00FA11AF" w:rsidRPr="00FA11AF" w:rsidRDefault="00FA11AF" w:rsidP="009A762B">
      <w:r w:rsidRPr="00FA11AF">
        <w:t>The ACPM, taking into account the submitted evidence of efficacy, safet</w:t>
      </w:r>
      <w:r>
        <w:t>y and quality, agreed with the D</w:t>
      </w:r>
      <w:r w:rsidRPr="00FA11AF">
        <w:t>elegate and considered G</w:t>
      </w:r>
      <w:r>
        <w:t xml:space="preserve">livec </w:t>
      </w:r>
      <w:r w:rsidRPr="00FA11AF">
        <w:t xml:space="preserve">hard capsules containing 50 mg and 100 mg of </w:t>
      </w:r>
      <w:proofErr w:type="spellStart"/>
      <w:r w:rsidRPr="00FA11AF">
        <w:t>imatinib</w:t>
      </w:r>
      <w:proofErr w:type="spellEnd"/>
      <w:r w:rsidRPr="00FA11AF">
        <w:t xml:space="preserve"> (as </w:t>
      </w:r>
      <w:proofErr w:type="spellStart"/>
      <w:r w:rsidRPr="00FA11AF">
        <w:t>mesylate</w:t>
      </w:r>
      <w:proofErr w:type="spellEnd"/>
      <w:r w:rsidRPr="00FA11AF">
        <w:t xml:space="preserve">), and </w:t>
      </w:r>
      <w:proofErr w:type="spellStart"/>
      <w:r>
        <w:t>Glivec</w:t>
      </w:r>
      <w:proofErr w:type="spellEnd"/>
      <w:r>
        <w:t xml:space="preserve"> </w:t>
      </w:r>
      <w:r w:rsidRPr="00FA11AF">
        <w:t xml:space="preserve">film-coated tablets containing 100 mg and 400 mg of </w:t>
      </w:r>
      <w:proofErr w:type="spellStart"/>
      <w:r w:rsidRPr="00FA11AF">
        <w:t>imatinib</w:t>
      </w:r>
      <w:proofErr w:type="spellEnd"/>
      <w:r w:rsidRPr="00FA11AF">
        <w:t xml:space="preserve"> (as </w:t>
      </w:r>
      <w:proofErr w:type="spellStart"/>
      <w:r w:rsidRPr="00FA11AF">
        <w:t>mesylate</w:t>
      </w:r>
      <w:proofErr w:type="spellEnd"/>
      <w:r w:rsidRPr="00FA11AF">
        <w:t>) to have an overall positive benefit–risk profile for the indication as proposed</w:t>
      </w:r>
      <w:r w:rsidR="009A762B">
        <w:t>;</w:t>
      </w:r>
    </w:p>
    <w:p w:rsidR="00FA11AF" w:rsidRPr="009A762B" w:rsidRDefault="00FA11AF" w:rsidP="009A762B">
      <w:pPr>
        <w:ind w:left="720"/>
        <w:rPr>
          <w:i/>
        </w:rPr>
      </w:pPr>
      <w:r w:rsidRPr="009A762B">
        <w:rPr>
          <w:i/>
        </w:rPr>
        <w:t>Treatment of adult and paediatric patients with newly diagnosed Philadelphia chromosome positive acute lymphoblastic leukaemia (Ph+ ALL) integrated with chemotherapy</w:t>
      </w:r>
    </w:p>
    <w:p w:rsidR="00FA11AF" w:rsidRPr="00FA11AF" w:rsidRDefault="00FA11AF" w:rsidP="009A762B">
      <w:r w:rsidRPr="00FA11AF">
        <w:t>The ACPM advised that clarification of dosing in paediatric patients should be sought. The ACPM was particularly concerned about the impact on opening the capsule or crushing the tablets would have on pharmacokinetics of imatinib in this patient group.</w:t>
      </w:r>
    </w:p>
    <w:p w:rsidR="00FA11AF" w:rsidRPr="00FA11AF" w:rsidRDefault="00FA11AF" w:rsidP="009A762B">
      <w:pPr>
        <w:pStyle w:val="Heading5"/>
      </w:pPr>
      <w:r w:rsidRPr="00FA11AF">
        <w:t xml:space="preserve">Proposed conditions </w:t>
      </w:r>
      <w:r w:rsidRPr="009A762B">
        <w:t>of</w:t>
      </w:r>
      <w:r w:rsidRPr="00FA11AF">
        <w:t xml:space="preserve"> registration:</w:t>
      </w:r>
    </w:p>
    <w:p w:rsidR="00FA11AF" w:rsidRPr="00FA11AF" w:rsidRDefault="00FA11AF" w:rsidP="009A762B">
      <w:r>
        <w:t>The ACPM agreed with the D</w:t>
      </w:r>
      <w:r w:rsidRPr="00FA11AF">
        <w:t>elegate on the proposed con</w:t>
      </w:r>
      <w:r w:rsidR="009A762B">
        <w:t>ditions of registration.</w:t>
      </w:r>
    </w:p>
    <w:p w:rsidR="00FA11AF" w:rsidRPr="00FA11AF" w:rsidRDefault="00FA11AF" w:rsidP="009A762B">
      <w:pPr>
        <w:pStyle w:val="Heading5"/>
      </w:pPr>
      <w:r w:rsidRPr="00FA11AF">
        <w:lastRenderedPageBreak/>
        <w:t>Proposed Product Information (PI)/Consumer Medicin</w:t>
      </w:r>
      <w:r w:rsidR="009A762B">
        <w:t>e Information (CMI) amendments:</w:t>
      </w:r>
    </w:p>
    <w:p w:rsidR="00FA11AF" w:rsidRPr="00FA11AF" w:rsidRDefault="00FA11AF" w:rsidP="009A762B">
      <w:r>
        <w:t>The ACPM agreed with the D</w:t>
      </w:r>
      <w:r w:rsidRPr="00FA11AF">
        <w:t xml:space="preserve">elegate to the proposed amendments to the PI and CMI and specifically advised on </w:t>
      </w:r>
      <w:r w:rsidR="009A762B">
        <w:t>the inclusion of the following:</w:t>
      </w:r>
    </w:p>
    <w:p w:rsidR="00FA11AF" w:rsidRPr="00FA11AF" w:rsidRDefault="00FA11AF" w:rsidP="009A762B">
      <w:pPr>
        <w:pStyle w:val="ListBullet"/>
      </w:pPr>
      <w:r w:rsidRPr="00FA11AF">
        <w:t xml:space="preserve">A statement in the </w:t>
      </w:r>
      <w:r w:rsidRPr="00FA11AF">
        <w:rPr>
          <w:i/>
          <w:iCs/>
        </w:rPr>
        <w:t>Pharmacokinetics</w:t>
      </w:r>
      <w:r w:rsidRPr="00FA11AF">
        <w:t xml:space="preserve"> (PK) section of the PI and relevant sections of the CMI to reference that no PK data have been obtained in children &lt; 2 years of age.</w:t>
      </w:r>
    </w:p>
    <w:p w:rsidR="00FA11AF" w:rsidRPr="00FA11AF" w:rsidRDefault="00FA11AF" w:rsidP="009A762B">
      <w:pPr>
        <w:pStyle w:val="ListBullet"/>
      </w:pPr>
      <w:r w:rsidRPr="00FA11AF">
        <w:t xml:space="preserve">A statement in the </w:t>
      </w:r>
      <w:r w:rsidRPr="00FA11AF">
        <w:rPr>
          <w:i/>
          <w:iCs/>
        </w:rPr>
        <w:t>Clinical Trials</w:t>
      </w:r>
      <w:r w:rsidRPr="00FA11AF">
        <w:t xml:space="preserve"> section similar </w:t>
      </w:r>
      <w:r w:rsidRPr="009A762B">
        <w:t>to</w:t>
      </w:r>
      <w:r w:rsidRPr="00FA11AF">
        <w:t>;</w:t>
      </w:r>
    </w:p>
    <w:p w:rsidR="00FA11AF" w:rsidRPr="00FA11AF" w:rsidRDefault="00FA11AF" w:rsidP="009A762B">
      <w:pPr>
        <w:pStyle w:val="ListBullet2"/>
      </w:pPr>
      <w:r w:rsidRPr="00FA11AF">
        <w:t xml:space="preserve">In maintenance cycles 1-4 </w:t>
      </w:r>
      <w:proofErr w:type="spellStart"/>
      <w:r w:rsidRPr="00FA11AF">
        <w:t>imatinib</w:t>
      </w:r>
      <w:proofErr w:type="spellEnd"/>
      <w:r w:rsidRPr="00FA11AF">
        <w:t xml:space="preserve"> was </w:t>
      </w:r>
      <w:r w:rsidRPr="009A762B">
        <w:t>administered</w:t>
      </w:r>
      <w:r w:rsidRPr="00FA11AF">
        <w:t xml:space="preserve"> continuously.  In maintenance cycles 5-12 imatinib was administered in a 2-week on 2-week off schedule</w:t>
      </w:r>
    </w:p>
    <w:p w:rsidR="00FA11AF" w:rsidRPr="00FA11AF" w:rsidRDefault="00FA11AF" w:rsidP="009A762B">
      <w:pPr>
        <w:pStyle w:val="ListBullet2"/>
      </w:pPr>
      <w:r w:rsidRPr="00FA11AF">
        <w:t>For haematopoietic stem cell transplantation patients imatinib was commenced between week 16 and 24 post HSCT when ANC &gt;750 and platelets &gt; 75,000 and given for a total of 24 weeks</w:t>
      </w:r>
    </w:p>
    <w:p w:rsidR="00FA11AF" w:rsidRPr="00FA11AF" w:rsidRDefault="00FA11AF" w:rsidP="009A762B">
      <w:pPr>
        <w:pStyle w:val="ListBullet"/>
      </w:pPr>
      <w:r w:rsidRPr="00FA11AF">
        <w:t xml:space="preserve">A statement in the </w:t>
      </w:r>
      <w:r w:rsidRPr="00FA11AF">
        <w:rPr>
          <w:i/>
          <w:iCs/>
        </w:rPr>
        <w:t xml:space="preserve">Precautions </w:t>
      </w:r>
      <w:r w:rsidRPr="00FA11AF">
        <w:t xml:space="preserve">section of the PI </w:t>
      </w:r>
      <w:r w:rsidRPr="009A762B">
        <w:t>that</w:t>
      </w:r>
      <w:r w:rsidRPr="00FA11AF">
        <w:t xml:space="preserve"> Glivec efficiency and safety has been demonstrated in c</w:t>
      </w:r>
      <w:r w:rsidR="009A762B">
        <w:t xml:space="preserve">hildren with </w:t>
      </w:r>
      <w:proofErr w:type="spellStart"/>
      <w:r w:rsidR="009A762B">
        <w:t>Ph</w:t>
      </w:r>
      <w:proofErr w:type="spellEnd"/>
      <w:r w:rsidR="009A762B">
        <w:t xml:space="preserve">+ ALL </w:t>
      </w:r>
      <w:proofErr w:type="spellStart"/>
      <w:r w:rsidR="009A762B">
        <w:t>leukaemias</w:t>
      </w:r>
      <w:proofErr w:type="spellEnd"/>
    </w:p>
    <w:p w:rsidR="00FA11AF" w:rsidRPr="00FA11AF" w:rsidRDefault="00FA11AF" w:rsidP="009A762B">
      <w:pPr>
        <w:pStyle w:val="ListBullet"/>
      </w:pPr>
      <w:r w:rsidRPr="00FA11AF">
        <w:t xml:space="preserve">The addition of hypoxia and pneumonitis in the </w:t>
      </w:r>
      <w:r w:rsidRPr="00FA11AF">
        <w:rPr>
          <w:i/>
          <w:iCs/>
        </w:rPr>
        <w:t>Adverse Events</w:t>
      </w:r>
      <w:r w:rsidRPr="00FA11AF">
        <w:t xml:space="preserve"> section of the PI a</w:t>
      </w:r>
      <w:r w:rsidR="009A762B">
        <w:t>nd relevant sections of the CMI</w:t>
      </w:r>
    </w:p>
    <w:p w:rsidR="00FA11AF" w:rsidRPr="00FA11AF" w:rsidRDefault="00FA11AF" w:rsidP="009A762B">
      <w:pPr>
        <w:pStyle w:val="ListBullet"/>
      </w:pPr>
      <w:r w:rsidRPr="00FA11AF">
        <w:t xml:space="preserve">A statement in the </w:t>
      </w:r>
      <w:r w:rsidRPr="00FA11AF">
        <w:rPr>
          <w:i/>
          <w:iCs/>
        </w:rPr>
        <w:t>Dosage and Administration</w:t>
      </w:r>
      <w:r w:rsidRPr="00FA11AF">
        <w:t xml:space="preserve"> section of the PI similar to the following;</w:t>
      </w:r>
    </w:p>
    <w:p w:rsidR="00FA11AF" w:rsidRPr="00FA11AF" w:rsidRDefault="00FA11AF" w:rsidP="009A762B">
      <w:pPr>
        <w:pStyle w:val="ListBullet2"/>
      </w:pPr>
      <w:r w:rsidRPr="00FA11AF">
        <w:t>The safety and efficacy of imatinib in conjunction with the post induction intensive phases of chemotherapy are supported by current evidence.  However, use during induction, subsequent optimal scheduling during maintenance and duration of imatinib therapy following completion of chemotherapy/</w:t>
      </w:r>
      <w:r w:rsidR="009A762B">
        <w:t>HSCT remains to be established.</w:t>
      </w:r>
    </w:p>
    <w:p w:rsidR="00FA11AF" w:rsidRPr="00FA11AF" w:rsidRDefault="00FA11AF" w:rsidP="009A762B">
      <w:pPr>
        <w:pStyle w:val="ListBullet"/>
      </w:pPr>
      <w:r w:rsidRPr="00FA11AF">
        <w:t xml:space="preserve">The CMI </w:t>
      </w:r>
      <w:r w:rsidRPr="009A762B">
        <w:t>requires</w:t>
      </w:r>
      <w:r w:rsidRPr="00FA11AF">
        <w:t xml:space="preserve"> updating to include suitable paediatric statements, especially in the </w:t>
      </w:r>
      <w:r w:rsidRPr="00FA11AF">
        <w:rPr>
          <w:i/>
          <w:iCs/>
        </w:rPr>
        <w:t>Indications and Dosage</w:t>
      </w:r>
      <w:r w:rsidRPr="00FA11AF">
        <w:t xml:space="preserve"> sections.</w:t>
      </w:r>
    </w:p>
    <w:p w:rsidR="00FA11AF" w:rsidRPr="00FA11AF" w:rsidRDefault="00FA11AF" w:rsidP="009A762B">
      <w:r w:rsidRPr="00FA11AF">
        <w:t>The ACPM advised that the implementation by the sponsor of the recommendations outlined above to the satisfaction of the TGA, in addition to the evidence of efficacy and safety provided would support the safe and e</w:t>
      </w:r>
      <w:r w:rsidR="009A762B">
        <w:t>ffective use of these products.</w:t>
      </w:r>
    </w:p>
    <w:p w:rsidR="008E7846" w:rsidRPr="004F2EC7" w:rsidRDefault="008E7846" w:rsidP="004F2EC7">
      <w:pPr>
        <w:pStyle w:val="Heading3"/>
      </w:pPr>
      <w:bookmarkStart w:id="135" w:name="_Toc247691532"/>
      <w:bookmarkStart w:id="136" w:name="_Toc314842516"/>
      <w:bookmarkStart w:id="137" w:name="_Toc382572906"/>
      <w:bookmarkEnd w:id="112"/>
      <w:bookmarkEnd w:id="132"/>
      <w:bookmarkEnd w:id="133"/>
      <w:r>
        <w:t>Outcome</w:t>
      </w:r>
      <w:bookmarkEnd w:id="135"/>
      <w:bookmarkEnd w:id="136"/>
      <w:bookmarkEnd w:id="137"/>
    </w:p>
    <w:p w:rsidR="00A52C71" w:rsidRDefault="008E7846" w:rsidP="004F2EC7">
      <w:r w:rsidRPr="0079298B">
        <w:t xml:space="preserve">Based on a review of quality, safety and efficacy, TGA approved the registration of </w:t>
      </w:r>
      <w:proofErr w:type="spellStart"/>
      <w:r w:rsidR="0079298B">
        <w:t>Glivec</w:t>
      </w:r>
      <w:proofErr w:type="spellEnd"/>
      <w:r w:rsidR="0079298B">
        <w:t xml:space="preserve"> containing </w:t>
      </w:r>
      <w:proofErr w:type="spellStart"/>
      <w:r w:rsidR="0079298B">
        <w:t>imatinib</w:t>
      </w:r>
      <w:proofErr w:type="spellEnd"/>
      <w:r w:rsidR="0079298B">
        <w:t xml:space="preserve"> as </w:t>
      </w:r>
      <w:proofErr w:type="spellStart"/>
      <w:r w:rsidR="0079298B">
        <w:t>mesylate</w:t>
      </w:r>
      <w:proofErr w:type="spellEnd"/>
      <w:r w:rsidR="0079298B">
        <w:t xml:space="preserve"> for the new indication:</w:t>
      </w:r>
    </w:p>
    <w:p w:rsidR="0079298B" w:rsidRPr="004F2EC7" w:rsidRDefault="0079298B" w:rsidP="004F2EC7">
      <w:pPr>
        <w:ind w:left="720"/>
        <w:rPr>
          <w:i/>
        </w:rPr>
      </w:pPr>
      <w:r w:rsidRPr="004F2EC7">
        <w:rPr>
          <w:i/>
        </w:rPr>
        <w:t>Treatment of paediatric patients with newly diagnosed Philadelphia chromosome positive acute lymphobl</w:t>
      </w:r>
      <w:r w:rsidR="0065381D" w:rsidRPr="004F2EC7">
        <w:rPr>
          <w:i/>
        </w:rPr>
        <w:t>a</w:t>
      </w:r>
      <w:r w:rsidRPr="004F2EC7">
        <w:rPr>
          <w:i/>
        </w:rPr>
        <w:t xml:space="preserve">stic </w:t>
      </w:r>
      <w:r w:rsidR="0065381D" w:rsidRPr="004F2EC7">
        <w:rPr>
          <w:i/>
        </w:rPr>
        <w:t>l</w:t>
      </w:r>
      <w:r w:rsidRPr="004F2EC7">
        <w:rPr>
          <w:i/>
        </w:rPr>
        <w:t>euk</w:t>
      </w:r>
      <w:r w:rsidR="0065381D" w:rsidRPr="004F2EC7">
        <w:rPr>
          <w:i/>
        </w:rPr>
        <w:t>a</w:t>
      </w:r>
      <w:r w:rsidRPr="004F2EC7">
        <w:rPr>
          <w:i/>
        </w:rPr>
        <w:t>emi</w:t>
      </w:r>
      <w:r w:rsidR="0065381D" w:rsidRPr="004F2EC7">
        <w:rPr>
          <w:i/>
        </w:rPr>
        <w:t>a</w:t>
      </w:r>
      <w:r w:rsidRPr="004F2EC7">
        <w:rPr>
          <w:i/>
        </w:rPr>
        <w:t xml:space="preserve"> (</w:t>
      </w:r>
      <w:r w:rsidR="00377778" w:rsidRPr="004F2EC7">
        <w:rPr>
          <w:i/>
        </w:rPr>
        <w:t>Ph+ ALL</w:t>
      </w:r>
      <w:r w:rsidRPr="004F2EC7">
        <w:rPr>
          <w:i/>
        </w:rPr>
        <w:t>) integr</w:t>
      </w:r>
      <w:r w:rsidR="0065381D" w:rsidRPr="004F2EC7">
        <w:rPr>
          <w:i/>
        </w:rPr>
        <w:t>a</w:t>
      </w:r>
      <w:r w:rsidRPr="004F2EC7">
        <w:rPr>
          <w:i/>
        </w:rPr>
        <w:t>ted with</w:t>
      </w:r>
      <w:r w:rsidR="0065381D" w:rsidRPr="004F2EC7">
        <w:rPr>
          <w:i/>
        </w:rPr>
        <w:t xml:space="preserve"> </w:t>
      </w:r>
      <w:r w:rsidRPr="004F2EC7">
        <w:rPr>
          <w:i/>
        </w:rPr>
        <w:t>chemother</w:t>
      </w:r>
      <w:r w:rsidR="0065381D" w:rsidRPr="004F2EC7">
        <w:rPr>
          <w:i/>
        </w:rPr>
        <w:t>a</w:t>
      </w:r>
      <w:r w:rsidRPr="004F2EC7">
        <w:rPr>
          <w:i/>
        </w:rPr>
        <w:t>py</w:t>
      </w:r>
      <w:r w:rsidR="0065381D" w:rsidRPr="004F2EC7">
        <w:rPr>
          <w:i/>
        </w:rPr>
        <w:t>.</w:t>
      </w:r>
    </w:p>
    <w:p w:rsidR="0079298B" w:rsidRDefault="0079298B" w:rsidP="004F2EC7">
      <w:r>
        <w:t>The full indications are now:</w:t>
      </w:r>
    </w:p>
    <w:p w:rsidR="00143C64" w:rsidRPr="004F2EC7" w:rsidRDefault="00143C64" w:rsidP="004F2EC7">
      <w:r w:rsidRPr="004F2EC7">
        <w:t>Glivec is indicated for the</w:t>
      </w:r>
    </w:p>
    <w:p w:rsidR="00A52C71" w:rsidRPr="0079298B" w:rsidRDefault="00A52C71" w:rsidP="004F2EC7">
      <w:pPr>
        <w:pStyle w:val="ListBullet"/>
      </w:pPr>
      <w:r w:rsidRPr="0079298B">
        <w:t xml:space="preserve">treatment of patients with chronic myeloid </w:t>
      </w:r>
      <w:r w:rsidR="0079298B" w:rsidRPr="0079298B">
        <w:t>le</w:t>
      </w:r>
      <w:r w:rsidRPr="0079298B">
        <w:t>ukaemia (CML)</w:t>
      </w:r>
    </w:p>
    <w:p w:rsidR="00A52C71" w:rsidRPr="0079298B" w:rsidRDefault="00A52C71" w:rsidP="004F2EC7">
      <w:pPr>
        <w:pStyle w:val="ListBullet"/>
      </w:pPr>
      <w:r w:rsidRPr="0079298B">
        <w:t xml:space="preserve">treatment of adult and paediatric patients with newly diagnosed Philadelphia chromosome positive acute lymphoblastic </w:t>
      </w:r>
      <w:r w:rsidR="0079298B" w:rsidRPr="0079298B">
        <w:t>l</w:t>
      </w:r>
      <w:r w:rsidRPr="0079298B">
        <w:t>eukaemia (</w:t>
      </w:r>
      <w:r w:rsidR="00377778">
        <w:t>Ph+ ALL</w:t>
      </w:r>
      <w:r w:rsidRPr="0079298B">
        <w:t>) integrated with chemotherapy</w:t>
      </w:r>
    </w:p>
    <w:p w:rsidR="00A52C71" w:rsidRPr="0079298B" w:rsidRDefault="00A52C71" w:rsidP="004F2EC7">
      <w:pPr>
        <w:pStyle w:val="ListBullet"/>
      </w:pPr>
      <w:r w:rsidRPr="0079298B">
        <w:t xml:space="preserve">treatment of adult patients with relapsed or refractory </w:t>
      </w:r>
      <w:proofErr w:type="spellStart"/>
      <w:r w:rsidR="00377778">
        <w:t>Ph</w:t>
      </w:r>
      <w:proofErr w:type="spellEnd"/>
      <w:r w:rsidR="00377778">
        <w:t>+ ALL</w:t>
      </w:r>
      <w:r w:rsidRPr="0079298B">
        <w:t xml:space="preserve"> as </w:t>
      </w:r>
      <w:proofErr w:type="spellStart"/>
      <w:r w:rsidRPr="0079298B">
        <w:t>monotherapy</w:t>
      </w:r>
      <w:proofErr w:type="spellEnd"/>
    </w:p>
    <w:p w:rsidR="00A52C71" w:rsidRPr="0079298B" w:rsidRDefault="00A52C71" w:rsidP="004F2EC7">
      <w:pPr>
        <w:pStyle w:val="ListBullet"/>
      </w:pPr>
      <w:r w:rsidRPr="0079298B">
        <w:t xml:space="preserve">treatment of adult patients with </w:t>
      </w:r>
      <w:proofErr w:type="spellStart"/>
      <w:r w:rsidRPr="0079298B">
        <w:t>myelodysplastic</w:t>
      </w:r>
      <w:proofErr w:type="spellEnd"/>
      <w:r w:rsidRPr="0079298B">
        <w:t>/</w:t>
      </w:r>
      <w:proofErr w:type="spellStart"/>
      <w:r w:rsidRPr="0079298B">
        <w:t>my</w:t>
      </w:r>
      <w:r w:rsidR="0079298B" w:rsidRPr="0079298B">
        <w:t>elo</w:t>
      </w:r>
      <w:r w:rsidRPr="0079298B">
        <w:t>proliferative</w:t>
      </w:r>
      <w:proofErr w:type="spellEnd"/>
      <w:r w:rsidRPr="0079298B">
        <w:t xml:space="preserve"> diseases (MDS</w:t>
      </w:r>
      <w:r w:rsidR="0079298B" w:rsidRPr="0079298B">
        <w:t>/</w:t>
      </w:r>
      <w:r w:rsidRPr="0079298B">
        <w:t>MPD) associated with platelet-derived growth factor receptor (PDGFR) gene rearrangements, where conventional therapies have failed</w:t>
      </w:r>
    </w:p>
    <w:p w:rsidR="00A52C71" w:rsidRPr="0079298B" w:rsidRDefault="00A52C71" w:rsidP="004F2EC7">
      <w:pPr>
        <w:pStyle w:val="ListBullet"/>
      </w:pPr>
      <w:r w:rsidRPr="0079298B">
        <w:lastRenderedPageBreak/>
        <w:t xml:space="preserve">treatment of adult patients with aggressive systemic </w:t>
      </w:r>
      <w:proofErr w:type="spellStart"/>
      <w:r w:rsidRPr="0079298B">
        <w:t>mastocytosis</w:t>
      </w:r>
      <w:proofErr w:type="spellEnd"/>
      <w:r w:rsidRPr="0079298B">
        <w:t xml:space="preserve"> (ASM), where conventional therapies have failed</w:t>
      </w:r>
    </w:p>
    <w:p w:rsidR="00A52C71" w:rsidRPr="0079298B" w:rsidRDefault="00A52C71" w:rsidP="004F2EC7">
      <w:pPr>
        <w:pStyle w:val="ListBullet"/>
      </w:pPr>
      <w:r w:rsidRPr="0079298B">
        <w:t xml:space="preserve">treatment of adult patients with </w:t>
      </w:r>
      <w:proofErr w:type="spellStart"/>
      <w:r w:rsidRPr="0079298B">
        <w:t>hyper</w:t>
      </w:r>
      <w:r w:rsidR="0079298B" w:rsidRPr="0079298B">
        <w:t>e</w:t>
      </w:r>
      <w:r w:rsidRPr="0079298B">
        <w:t>osinophilic</w:t>
      </w:r>
      <w:proofErr w:type="spellEnd"/>
      <w:r w:rsidRPr="0079298B">
        <w:t xml:space="preserve"> syndrome (HES) and/or chronic</w:t>
      </w:r>
      <w:r w:rsidR="0079298B" w:rsidRPr="0079298B">
        <w:t xml:space="preserve"> </w:t>
      </w:r>
      <w:proofErr w:type="spellStart"/>
      <w:r w:rsidR="0079298B" w:rsidRPr="0079298B">
        <w:t>e</w:t>
      </w:r>
      <w:r w:rsidRPr="0079298B">
        <w:t>osinophilic</w:t>
      </w:r>
      <w:proofErr w:type="spellEnd"/>
      <w:r w:rsidRPr="0079298B">
        <w:t xml:space="preserve"> </w:t>
      </w:r>
      <w:r w:rsidR="0079298B" w:rsidRPr="0079298B">
        <w:t>l</w:t>
      </w:r>
      <w:r w:rsidRPr="0079298B">
        <w:t>eukaemia (CEL)</w:t>
      </w:r>
    </w:p>
    <w:p w:rsidR="00A52C71" w:rsidRPr="0079298B" w:rsidRDefault="00A52C71" w:rsidP="004F2EC7">
      <w:pPr>
        <w:pStyle w:val="ListBullet"/>
      </w:pPr>
      <w:r w:rsidRPr="0079298B">
        <w:t xml:space="preserve">treatment of patients with Kit (CD117) positive </w:t>
      </w:r>
      <w:proofErr w:type="spellStart"/>
      <w:r w:rsidRPr="0079298B">
        <w:t>u</w:t>
      </w:r>
      <w:r w:rsidR="0079298B" w:rsidRPr="0079298B">
        <w:t>nres</w:t>
      </w:r>
      <w:r w:rsidRPr="0079298B">
        <w:t>ectable</w:t>
      </w:r>
      <w:proofErr w:type="spellEnd"/>
      <w:r w:rsidRPr="0079298B">
        <w:t xml:space="preserve"> and/or metastatic</w:t>
      </w:r>
      <w:r w:rsidR="0079298B" w:rsidRPr="0079298B">
        <w:t xml:space="preserve"> </w:t>
      </w:r>
      <w:r w:rsidRPr="0079298B">
        <w:t>malignant gastrointestinal stromal tumours (GIST)</w:t>
      </w:r>
    </w:p>
    <w:p w:rsidR="00A52C71" w:rsidRPr="0079298B" w:rsidRDefault="00A52C71" w:rsidP="004F2EC7">
      <w:pPr>
        <w:pStyle w:val="ListBullet"/>
      </w:pPr>
      <w:r w:rsidRPr="0079298B">
        <w:t>adjuvant treatment of adult patients at high risk of recurrence following complete gross</w:t>
      </w:r>
      <w:r w:rsidR="0079298B" w:rsidRPr="0079298B">
        <w:t xml:space="preserve"> </w:t>
      </w:r>
      <w:r w:rsidRPr="0079298B">
        <w:t>rese</w:t>
      </w:r>
      <w:r w:rsidR="0079298B" w:rsidRPr="0079298B">
        <w:t>c</w:t>
      </w:r>
      <w:r w:rsidRPr="0079298B">
        <w:t>tion of KIT (CD117)-positive primary GIST (see Dosage and Administration and</w:t>
      </w:r>
      <w:r w:rsidR="0079298B" w:rsidRPr="0079298B">
        <w:t xml:space="preserve"> </w:t>
      </w:r>
      <w:r w:rsidRPr="0079298B">
        <w:t>Clinical Trials)</w:t>
      </w:r>
    </w:p>
    <w:p w:rsidR="008E7846" w:rsidRPr="0079298B" w:rsidRDefault="00A52C71" w:rsidP="004F2EC7">
      <w:pPr>
        <w:pStyle w:val="ListBullet"/>
      </w:pPr>
      <w:proofErr w:type="gramStart"/>
      <w:r w:rsidRPr="0079298B">
        <w:t>adult</w:t>
      </w:r>
      <w:proofErr w:type="gramEnd"/>
      <w:r w:rsidRPr="0079298B">
        <w:t xml:space="preserve"> patients with </w:t>
      </w:r>
      <w:proofErr w:type="spellStart"/>
      <w:r w:rsidRPr="0079298B">
        <w:t>u</w:t>
      </w:r>
      <w:r w:rsidR="0079298B" w:rsidRPr="0079298B">
        <w:t>nres</w:t>
      </w:r>
      <w:r w:rsidRPr="0079298B">
        <w:t>ectable</w:t>
      </w:r>
      <w:proofErr w:type="spellEnd"/>
      <w:r w:rsidRPr="0079298B">
        <w:t xml:space="preserve">, recurrent and/or metastatic </w:t>
      </w:r>
      <w:proofErr w:type="spellStart"/>
      <w:r w:rsidRPr="0079298B">
        <w:t>dermatofibrosarcoma</w:t>
      </w:r>
      <w:proofErr w:type="spellEnd"/>
      <w:r w:rsidR="0079298B" w:rsidRPr="0079298B">
        <w:t xml:space="preserve"> </w:t>
      </w:r>
      <w:proofErr w:type="spellStart"/>
      <w:r w:rsidRPr="0079298B">
        <w:t>protuberans</w:t>
      </w:r>
      <w:proofErr w:type="spellEnd"/>
      <w:r w:rsidRPr="0079298B">
        <w:t xml:space="preserve"> (DFSP).</w:t>
      </w:r>
    </w:p>
    <w:p w:rsidR="0079298B" w:rsidRDefault="005C67F5" w:rsidP="004F2EC7">
      <w:pPr>
        <w:pStyle w:val="Heading4"/>
      </w:pPr>
      <w:r w:rsidRPr="004F2EC7">
        <w:t>Specific</w:t>
      </w:r>
      <w:r>
        <w:t xml:space="preserve"> conditions applying to these therapeutic goods</w:t>
      </w:r>
    </w:p>
    <w:p w:rsidR="005C67F5" w:rsidRPr="005C67F5" w:rsidRDefault="005C67F5" w:rsidP="004F2EC7">
      <w:pPr>
        <w:pStyle w:val="ListBullet"/>
      </w:pPr>
      <w:r w:rsidRPr="005C67F5">
        <w:t>The Glive</w:t>
      </w:r>
      <w:r w:rsidR="00D06338">
        <w:t xml:space="preserve">c </w:t>
      </w:r>
      <w:r w:rsidR="00125EC4">
        <w:t>Risk Management Plan (RMP), V</w:t>
      </w:r>
      <w:r w:rsidRPr="005C67F5">
        <w:t xml:space="preserve">ersion 6, dated 27 August 2012 with Australian Specific Annex </w:t>
      </w:r>
      <w:r w:rsidR="00125EC4">
        <w:t>V</w:t>
      </w:r>
      <w:r w:rsidRPr="005C67F5">
        <w:t>ersion 2, release date 26 September 2012 and any future updates as agreed with the TGA will be implemented in Australia.</w:t>
      </w:r>
    </w:p>
    <w:p w:rsidR="008E7846" w:rsidRDefault="008E7846" w:rsidP="004F2EC7">
      <w:pPr>
        <w:pStyle w:val="Heading2"/>
      </w:pPr>
      <w:bookmarkStart w:id="138" w:name="_Toc247691533"/>
      <w:bookmarkStart w:id="139" w:name="_Toc314842517"/>
      <w:bookmarkStart w:id="140" w:name="_Toc382572907"/>
      <w:r>
        <w:t>Attachment 1</w:t>
      </w:r>
      <w:r w:rsidR="00C63ED8">
        <w:t xml:space="preserve">: </w:t>
      </w:r>
      <w:r w:rsidRPr="004F2EC7">
        <w:t>Product</w:t>
      </w:r>
      <w:r>
        <w:t xml:space="preserve"> </w:t>
      </w:r>
      <w:r w:rsidR="00AA0ED0">
        <w:t>I</w:t>
      </w:r>
      <w:r>
        <w:t>nformation</w:t>
      </w:r>
      <w:bookmarkEnd w:id="138"/>
      <w:bookmarkEnd w:id="139"/>
      <w:bookmarkEnd w:id="140"/>
    </w:p>
    <w:p w:rsidR="00C80137" w:rsidRDefault="00C80137" w:rsidP="004F2EC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0"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4F2EC7">
      <w:pPr>
        <w:pStyle w:val="Heading2"/>
        <w:rPr>
          <w:lang w:eastAsia="en-AU"/>
        </w:rPr>
      </w:pPr>
      <w:bookmarkStart w:id="141" w:name="_Toc382572908"/>
      <w:r>
        <w:rPr>
          <w:lang w:eastAsia="en-AU"/>
        </w:rPr>
        <w:t>Attachment 2</w:t>
      </w:r>
      <w:r w:rsidR="00C63ED8">
        <w:rPr>
          <w:lang w:eastAsia="en-AU"/>
        </w:rPr>
        <w:t>:</w:t>
      </w:r>
      <w:r>
        <w:rPr>
          <w:lang w:eastAsia="en-AU"/>
        </w:rPr>
        <w:t xml:space="preserve"> Extract from the Clinical Evaluation Report</w:t>
      </w:r>
      <w:bookmarkEnd w:id="141"/>
    </w:p>
    <w:p w:rsidR="00C80137" w:rsidRPr="001D043B" w:rsidRDefault="00C80137" w:rsidP="003A7F6C">
      <w:pPr>
        <w:pStyle w:val="TableTitle"/>
        <w:sectPr w:rsidR="00C80137" w:rsidRPr="001D043B" w:rsidSect="00B452CE">
          <w:headerReference w:type="even" r:id="rId41"/>
          <w:headerReference w:type="default" r:id="rId42"/>
          <w:footerReference w:type="default" r:id="rId43"/>
          <w:headerReference w:type="first" r:id="rId44"/>
          <w:footerReference w:type="first" r:id="rId45"/>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6"/>
      <w:headerReference w:type="default" r:id="rId47"/>
      <w:footerReference w:type="default" r:id="rId48"/>
      <w:headerReference w:type="first" r:id="rId49"/>
      <w:footerReference w:type="first" r:id="rId50"/>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35" w:rsidRDefault="003F2035" w:rsidP="00C40A36">
      <w:pPr>
        <w:spacing w:after="0"/>
      </w:pPr>
      <w:r>
        <w:separator/>
      </w:r>
    </w:p>
  </w:endnote>
  <w:endnote w:type="continuationSeparator" w:id="0">
    <w:p w:rsidR="003F2035" w:rsidRDefault="003F203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192867" w:rsidRPr="00487162" w:rsidTr="0053625B">
      <w:trPr>
        <w:trHeight w:val="269"/>
      </w:trPr>
      <w:tc>
        <w:tcPr>
          <w:tcW w:w="7938" w:type="dxa"/>
          <w:tcMar>
            <w:top w:w="142" w:type="dxa"/>
            <w:bottom w:w="0" w:type="dxa"/>
          </w:tcMar>
        </w:tcPr>
        <w:p w:rsidR="00192867" w:rsidRPr="00487162" w:rsidRDefault="00DA7CD5" w:rsidP="00DA7CD5">
          <w:pPr>
            <w:pStyle w:val="Footer"/>
          </w:pPr>
          <w:proofErr w:type="spellStart"/>
          <w:r w:rsidRPr="00487162">
            <w:t>Au</w:t>
          </w:r>
          <w:r>
            <w:t>sPAR</w:t>
          </w:r>
          <w:proofErr w:type="spellEnd"/>
          <w:r>
            <w:t xml:space="preserve"> </w:t>
          </w:r>
          <w:proofErr w:type="spellStart"/>
          <w:r>
            <w:t>Glivec</w:t>
          </w:r>
          <w:proofErr w:type="spellEnd"/>
          <w:r w:rsidRPr="003B4D60">
            <w:t xml:space="preserve"> </w:t>
          </w:r>
          <w:proofErr w:type="spellStart"/>
          <w:r>
            <w:t>imatinib</w:t>
          </w:r>
          <w:proofErr w:type="spellEnd"/>
          <w:r>
            <w:t xml:space="preserve"> Novartis Pharmaceuticals Australia Pty Ltd</w:t>
          </w:r>
          <w:r w:rsidRPr="00487162">
            <w:t xml:space="preserve"> PM-20</w:t>
          </w:r>
          <w:r>
            <w:t>12</w:t>
          </w:r>
          <w:r w:rsidRPr="00487162">
            <w:t>-</w:t>
          </w:r>
          <w:r>
            <w:t>02722-3-4</w:t>
          </w:r>
          <w:r>
            <w:br/>
            <w:t>Final 22 January 2014</w:t>
          </w:r>
        </w:p>
      </w:tc>
      <w:tc>
        <w:tcPr>
          <w:tcW w:w="923" w:type="dxa"/>
          <w:tcMar>
            <w:top w:w="142" w:type="dxa"/>
            <w:bottom w:w="0" w:type="dxa"/>
          </w:tcMar>
        </w:tcPr>
        <w:p w:rsidR="00192867" w:rsidRPr="00487162" w:rsidRDefault="00192867" w:rsidP="00D855D4">
          <w:pPr>
            <w:pStyle w:val="Footer"/>
            <w:jc w:val="right"/>
          </w:pPr>
          <w:r w:rsidRPr="00487162">
            <w:t xml:space="preserve">Page </w:t>
          </w:r>
          <w:r>
            <w:t>2</w:t>
          </w:r>
          <w:r w:rsidRPr="00487162">
            <w:t xml:space="preserve"> of </w:t>
          </w:r>
          <w:r w:rsidR="00427FA6">
            <w:fldChar w:fldCharType="begin"/>
          </w:r>
          <w:r w:rsidR="003F2035">
            <w:instrText xml:space="preserve"> NUMPAGES  \* Arabic </w:instrText>
          </w:r>
          <w:r w:rsidR="00427FA6">
            <w:fldChar w:fldCharType="separate"/>
          </w:r>
          <w:r w:rsidR="00DA7630">
            <w:rPr>
              <w:noProof/>
            </w:rPr>
            <w:t>42</w:t>
          </w:r>
          <w:r w:rsidR="00427FA6">
            <w:rPr>
              <w:noProof/>
            </w:rPr>
            <w:fldChar w:fldCharType="end"/>
          </w:r>
        </w:p>
      </w:tc>
    </w:tr>
  </w:tbl>
  <w:p w:rsidR="00192867" w:rsidRDefault="0019286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230"/>
      <w:gridCol w:w="1631"/>
    </w:tblGrid>
    <w:tr w:rsidR="00192867" w:rsidRPr="00487162" w:rsidTr="00377778">
      <w:trPr>
        <w:trHeight w:val="269"/>
      </w:trPr>
      <w:tc>
        <w:tcPr>
          <w:tcW w:w="7230" w:type="dxa"/>
          <w:tcMar>
            <w:top w:w="142" w:type="dxa"/>
            <w:bottom w:w="0" w:type="dxa"/>
          </w:tcMar>
        </w:tcPr>
        <w:p w:rsidR="00192867" w:rsidRPr="00487162" w:rsidRDefault="00192867" w:rsidP="00DA7CD5">
          <w:pPr>
            <w:pStyle w:val="Footer"/>
          </w:pPr>
          <w:proofErr w:type="spellStart"/>
          <w:r w:rsidRPr="00487162">
            <w:t>Au</w:t>
          </w:r>
          <w:r>
            <w:t>sPAR</w:t>
          </w:r>
          <w:proofErr w:type="spellEnd"/>
          <w:r>
            <w:t xml:space="preserve"> </w:t>
          </w:r>
          <w:proofErr w:type="spellStart"/>
          <w:r>
            <w:t>Glivec</w:t>
          </w:r>
          <w:proofErr w:type="spellEnd"/>
          <w:r w:rsidRPr="003B4D60">
            <w:t xml:space="preserve"> </w:t>
          </w:r>
          <w:proofErr w:type="spellStart"/>
          <w:r>
            <w:t>imatinib</w:t>
          </w:r>
          <w:proofErr w:type="spellEnd"/>
          <w:r>
            <w:t xml:space="preserve"> Novartis Pharmaceuticals Australia Pty Ltd</w:t>
          </w:r>
          <w:r w:rsidRPr="00487162">
            <w:t xml:space="preserve"> PM-20</w:t>
          </w:r>
          <w:r>
            <w:t>12</w:t>
          </w:r>
          <w:r w:rsidRPr="00487162">
            <w:t>-</w:t>
          </w:r>
          <w:r>
            <w:t>02722-3-4</w:t>
          </w:r>
          <w:r w:rsidR="00DA7CD5">
            <w:br/>
          </w:r>
          <w:r w:rsidR="00A96FDE">
            <w:t>Final 22 January 2014</w:t>
          </w:r>
        </w:p>
      </w:tc>
      <w:tc>
        <w:tcPr>
          <w:tcW w:w="1631" w:type="dxa"/>
          <w:tcMar>
            <w:top w:w="142" w:type="dxa"/>
            <w:bottom w:w="0" w:type="dxa"/>
          </w:tcMar>
        </w:tcPr>
        <w:p w:rsidR="00192867" w:rsidRPr="00487162" w:rsidRDefault="00192867" w:rsidP="00E45619">
          <w:pPr>
            <w:pStyle w:val="Footer"/>
            <w:jc w:val="right"/>
          </w:pPr>
          <w:r w:rsidRPr="00487162">
            <w:t xml:space="preserve">Page </w:t>
          </w:r>
          <w:r w:rsidR="00427FA6">
            <w:fldChar w:fldCharType="begin"/>
          </w:r>
          <w:r w:rsidR="003F2035">
            <w:instrText>PAGE</w:instrText>
          </w:r>
          <w:r w:rsidR="00427FA6">
            <w:fldChar w:fldCharType="separate"/>
          </w:r>
          <w:r w:rsidR="00DA7630">
            <w:rPr>
              <w:noProof/>
            </w:rPr>
            <w:t>3</w:t>
          </w:r>
          <w:r w:rsidR="00427FA6">
            <w:rPr>
              <w:noProof/>
            </w:rPr>
            <w:fldChar w:fldCharType="end"/>
          </w:r>
          <w:r w:rsidRPr="00487162">
            <w:t xml:space="preserve"> of </w:t>
          </w:r>
          <w:r w:rsidR="00427FA6">
            <w:fldChar w:fldCharType="begin"/>
          </w:r>
          <w:r w:rsidR="003F2035">
            <w:instrText xml:space="preserve"> NUMPAGES  \* Arabic </w:instrText>
          </w:r>
          <w:r w:rsidR="00427FA6">
            <w:fldChar w:fldCharType="separate"/>
          </w:r>
          <w:r w:rsidR="00DA7630">
            <w:rPr>
              <w:noProof/>
            </w:rPr>
            <w:t>42</w:t>
          </w:r>
          <w:r w:rsidR="00427FA6">
            <w:rPr>
              <w:noProof/>
            </w:rPr>
            <w:fldChar w:fldCharType="end"/>
          </w:r>
        </w:p>
      </w:tc>
    </w:tr>
  </w:tbl>
  <w:p w:rsidR="00192867" w:rsidRDefault="0019286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92867" w:rsidRPr="00487162" w:rsidTr="00E45619">
      <w:trPr>
        <w:trHeight w:val="269"/>
      </w:trPr>
      <w:tc>
        <w:tcPr>
          <w:tcW w:w="4519" w:type="dxa"/>
          <w:tcBorders>
            <w:top w:val="single" w:sz="4" w:space="0" w:color="auto"/>
          </w:tcBorders>
          <w:tcMar>
            <w:top w:w="142" w:type="dxa"/>
            <w:bottom w:w="0" w:type="dxa"/>
          </w:tcMar>
        </w:tcPr>
        <w:p w:rsidR="00192867" w:rsidRPr="00487162" w:rsidRDefault="00192867" w:rsidP="00FE1DEE">
          <w:pPr>
            <w:pStyle w:val="Footer"/>
          </w:pPr>
          <w:r w:rsidRPr="00487162">
            <w:t>Document title, Part #, Section # - Section title</w:t>
          </w:r>
        </w:p>
        <w:p w:rsidR="00192867" w:rsidRPr="00487162" w:rsidRDefault="00192867" w:rsidP="00FE1DEE">
          <w:pPr>
            <w:pStyle w:val="Footer"/>
          </w:pPr>
          <w:r w:rsidRPr="00487162">
            <w:t>V1.0 October 2010</w:t>
          </w:r>
        </w:p>
      </w:tc>
      <w:tc>
        <w:tcPr>
          <w:tcW w:w="4342" w:type="dxa"/>
          <w:tcBorders>
            <w:top w:val="single" w:sz="4" w:space="0" w:color="auto"/>
          </w:tcBorders>
          <w:tcMar>
            <w:top w:w="142" w:type="dxa"/>
            <w:bottom w:w="0" w:type="dxa"/>
          </w:tcMar>
        </w:tcPr>
        <w:p w:rsidR="00192867" w:rsidRPr="00487162" w:rsidRDefault="00192867" w:rsidP="00E45619">
          <w:pPr>
            <w:pStyle w:val="Footer"/>
            <w:jc w:val="right"/>
          </w:pPr>
          <w:r w:rsidRPr="00487162">
            <w:t xml:space="preserve">Page </w:t>
          </w:r>
          <w:r w:rsidR="00427FA6">
            <w:fldChar w:fldCharType="begin"/>
          </w:r>
          <w:r w:rsidR="003F2035">
            <w:instrText xml:space="preserve"> PAGE   \* MERGEFORMAT </w:instrText>
          </w:r>
          <w:r w:rsidR="00427FA6">
            <w:fldChar w:fldCharType="separate"/>
          </w:r>
          <w:r w:rsidRPr="00487162">
            <w:rPr>
              <w:noProof/>
            </w:rPr>
            <w:t>3</w:t>
          </w:r>
          <w:r w:rsidR="00427FA6">
            <w:rPr>
              <w:noProof/>
            </w:rPr>
            <w:fldChar w:fldCharType="end"/>
          </w:r>
          <w:r w:rsidRPr="00487162">
            <w:t xml:space="preserve"> of </w:t>
          </w:r>
          <w:r w:rsidR="00427FA6">
            <w:fldChar w:fldCharType="begin"/>
          </w:r>
          <w:r w:rsidR="003F2035">
            <w:instrText xml:space="preserve"> NUMPAGES  </w:instrText>
          </w:r>
          <w:r w:rsidR="00427FA6">
            <w:fldChar w:fldCharType="separate"/>
          </w:r>
          <w:r>
            <w:rPr>
              <w:noProof/>
            </w:rPr>
            <w:t>46</w:t>
          </w:r>
          <w:r w:rsidR="00427FA6">
            <w:rPr>
              <w:noProof/>
            </w:rPr>
            <w:fldChar w:fldCharType="end"/>
          </w:r>
        </w:p>
      </w:tc>
    </w:tr>
  </w:tbl>
  <w:p w:rsidR="00192867" w:rsidRDefault="001928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92867" w:rsidRPr="00487162" w:rsidTr="00E45619">
              <w:trPr>
                <w:trHeight w:hRule="exact" w:val="704"/>
              </w:trPr>
              <w:tc>
                <w:tcPr>
                  <w:tcW w:w="9175" w:type="dxa"/>
                </w:tcPr>
                <w:p w:rsidR="00192867" w:rsidRPr="00487162" w:rsidRDefault="00192867" w:rsidP="008E7846">
                  <w:pPr>
                    <w:pStyle w:val="TGASignoff"/>
                  </w:pPr>
                  <w:r w:rsidRPr="00487162">
                    <w:t>Therapeutic Goods Administration</w:t>
                  </w:r>
                </w:p>
              </w:tc>
            </w:tr>
            <w:tr w:rsidR="00192867" w:rsidRPr="00487162" w:rsidTr="00E45619">
              <w:trPr>
                <w:trHeight w:val="1221"/>
              </w:trPr>
              <w:tc>
                <w:tcPr>
                  <w:tcW w:w="9175" w:type="dxa"/>
                  <w:tcMar>
                    <w:top w:w="28" w:type="dxa"/>
                  </w:tcMar>
                </w:tcPr>
                <w:p w:rsidR="00192867" w:rsidRPr="00487162" w:rsidRDefault="00192867" w:rsidP="00E45619">
                  <w:pPr>
                    <w:pStyle w:val="Address"/>
                  </w:pPr>
                  <w:r w:rsidRPr="00487162">
                    <w:t>PO Box 100 Woden ACT 2606 Australia</w:t>
                  </w:r>
                </w:p>
                <w:p w:rsidR="00192867" w:rsidRPr="00487162" w:rsidRDefault="00192867"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192867" w:rsidRPr="004C239D" w:rsidRDefault="00DA7630" w:rsidP="004C239D">
                  <w:pPr>
                    <w:pStyle w:val="Address"/>
                    <w:spacing w:line="260" w:lineRule="atLeast"/>
                    <w:rPr>
                      <w:b/>
                      <w:color w:val="0000FF"/>
                      <w:u w:val="single"/>
                    </w:rPr>
                  </w:pPr>
                  <w:hyperlink r:id="rId2" w:history="1">
                    <w:r w:rsidR="00192867" w:rsidRPr="00607888">
                      <w:rPr>
                        <w:rStyle w:val="Hyperlink"/>
                        <w:b/>
                      </w:rPr>
                      <w:t>http://www.tga.gov.au</w:t>
                    </w:r>
                  </w:hyperlink>
                </w:p>
              </w:tc>
            </w:tr>
          </w:tbl>
          <w:p w:rsidR="00192867" w:rsidRDefault="00DA7630"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92867" w:rsidTr="0010601F">
      <w:trPr>
        <w:trHeight w:val="108"/>
      </w:trPr>
      <w:tc>
        <w:tcPr>
          <w:tcW w:w="8875" w:type="dxa"/>
          <w:gridSpan w:val="2"/>
          <w:tcBorders>
            <w:bottom w:val="single" w:sz="4" w:space="0" w:color="auto"/>
          </w:tcBorders>
          <w:tcMar>
            <w:right w:w="284" w:type="dxa"/>
          </w:tcMar>
        </w:tcPr>
        <w:p w:rsidR="00192867" w:rsidRDefault="00192867" w:rsidP="006E08B3">
          <w:pPr>
            <w:pStyle w:val="Heading3"/>
          </w:pPr>
          <w:r>
            <w:t>Copyright</w:t>
          </w:r>
        </w:p>
        <w:p w:rsidR="00192867" w:rsidRDefault="00192867" w:rsidP="006E08B3">
          <w:r>
            <w:rPr>
              <w:rFonts w:cs="Arial"/>
            </w:rPr>
            <w:t>©</w:t>
          </w:r>
          <w:r>
            <w:t xml:space="preserve"> Commonwealth of Australia [add year]</w:t>
          </w:r>
        </w:p>
        <w:p w:rsidR="00192867" w:rsidRDefault="00192867" w:rsidP="006E08B3"/>
        <w:p w:rsidR="00192867" w:rsidRDefault="0019286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92867" w:rsidRDefault="00192867" w:rsidP="006E08B3"/>
        <w:p w:rsidR="00192867" w:rsidRDefault="00192867" w:rsidP="006E08B3">
          <w:pPr>
            <w:pStyle w:val="Heading3"/>
          </w:pPr>
          <w:r>
            <w:t>Confidentiality</w:t>
          </w:r>
        </w:p>
        <w:p w:rsidR="00192867" w:rsidRDefault="0019286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92867" w:rsidRDefault="00192867" w:rsidP="006E08B3"/>
        <w:p w:rsidR="00192867" w:rsidRDefault="00192867" w:rsidP="006E08B3">
          <w:r>
            <w:t>For submission made by individuals, all personal details, other than your name, will be removed from your submission before it is published on the TGA’s Internet site.</w:t>
          </w:r>
        </w:p>
        <w:p w:rsidR="00192867" w:rsidRDefault="00192867" w:rsidP="006E08B3"/>
        <w:p w:rsidR="00192867" w:rsidRDefault="0019286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92867" w:rsidTr="0010601F">
      <w:trPr>
        <w:trHeight w:val="417"/>
      </w:trPr>
      <w:tc>
        <w:tcPr>
          <w:tcW w:w="4519" w:type="dxa"/>
          <w:tcBorders>
            <w:top w:val="single" w:sz="4" w:space="0" w:color="auto"/>
          </w:tcBorders>
          <w:tcMar>
            <w:top w:w="142" w:type="dxa"/>
            <w:bottom w:w="0" w:type="dxa"/>
          </w:tcMar>
        </w:tcPr>
        <w:p w:rsidR="00192867" w:rsidRDefault="00192867" w:rsidP="006E08B3">
          <w:r>
            <w:t>Document title, Part #, Section # - Section title</w:t>
          </w:r>
        </w:p>
        <w:p w:rsidR="00192867" w:rsidRDefault="00192867" w:rsidP="006E08B3">
          <w:r>
            <w:t>V1.0 October 2010</w:t>
          </w:r>
        </w:p>
      </w:tc>
      <w:tc>
        <w:tcPr>
          <w:tcW w:w="4356" w:type="dxa"/>
          <w:tcBorders>
            <w:top w:val="single" w:sz="4" w:space="0" w:color="auto"/>
          </w:tcBorders>
          <w:tcMar>
            <w:top w:w="142" w:type="dxa"/>
            <w:bottom w:w="0" w:type="dxa"/>
          </w:tcMar>
        </w:tcPr>
        <w:p w:rsidR="00192867" w:rsidRDefault="00192867" w:rsidP="006E08B3">
          <w:pPr>
            <w:jc w:val="right"/>
          </w:pPr>
          <w:r>
            <w:t xml:space="preserve">Page </w:t>
          </w:r>
          <w:r w:rsidR="00427FA6">
            <w:fldChar w:fldCharType="begin"/>
          </w:r>
          <w:r w:rsidR="003F2035">
            <w:instrText xml:space="preserve"> PAGE   \* MERGEFORMAT </w:instrText>
          </w:r>
          <w:r w:rsidR="00427FA6">
            <w:fldChar w:fldCharType="separate"/>
          </w:r>
          <w:r>
            <w:rPr>
              <w:noProof/>
            </w:rPr>
            <w:t>1</w:t>
          </w:r>
          <w:r w:rsidR="00427FA6">
            <w:rPr>
              <w:noProof/>
            </w:rPr>
            <w:fldChar w:fldCharType="end"/>
          </w:r>
          <w:r>
            <w:t xml:space="preserve"> of </w:t>
          </w:r>
          <w:r w:rsidR="00427FA6">
            <w:fldChar w:fldCharType="begin"/>
          </w:r>
          <w:r w:rsidR="003F2035">
            <w:instrText xml:space="preserve"> NUMPAGES  \* Arabic </w:instrText>
          </w:r>
          <w:r w:rsidR="00427FA6">
            <w:fldChar w:fldCharType="separate"/>
          </w:r>
          <w:r>
            <w:rPr>
              <w:noProof/>
            </w:rPr>
            <w:t>46</w:t>
          </w:r>
          <w:r w:rsidR="00427FA6">
            <w:rPr>
              <w:noProof/>
            </w:rPr>
            <w:fldChar w:fldCharType="end"/>
          </w:r>
          <w:r>
            <w:t xml:space="preserve">  </w:t>
          </w:r>
        </w:p>
      </w:tc>
    </w:tr>
  </w:tbl>
  <w:p w:rsidR="00192867" w:rsidRDefault="001928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35" w:rsidRDefault="003F2035" w:rsidP="00C40A36">
      <w:pPr>
        <w:spacing w:after="0"/>
      </w:pPr>
      <w:r>
        <w:separator/>
      </w:r>
    </w:p>
  </w:footnote>
  <w:footnote w:type="continuationSeparator" w:id="0">
    <w:p w:rsidR="003F2035" w:rsidRDefault="003F2035" w:rsidP="00C40A36">
      <w:pPr>
        <w:spacing w:after="0"/>
      </w:pPr>
      <w:r>
        <w:continuationSeparator/>
      </w:r>
    </w:p>
  </w:footnote>
  <w:footnote w:id="1">
    <w:p w:rsidR="00192867" w:rsidRPr="00E51D40" w:rsidRDefault="00192867" w:rsidP="00E51D40">
      <w:pPr>
        <w:pStyle w:val="FootnoteText"/>
      </w:pPr>
      <w:r w:rsidRPr="00424494">
        <w:rPr>
          <w:rStyle w:val="FootnoteReference"/>
          <w:szCs w:val="18"/>
        </w:rPr>
        <w:footnoteRef/>
      </w:r>
      <w:r w:rsidRPr="00424494">
        <w:t xml:space="preserve"> M1, M2, M3 are defined as follows:</w:t>
      </w:r>
    </w:p>
    <w:p w:rsidR="00192867" w:rsidRPr="00E51D40" w:rsidRDefault="00192867" w:rsidP="00E51D40">
      <w:pPr>
        <w:pStyle w:val="ListBullet"/>
        <w:spacing w:before="0" w:after="0" w:line="240" w:lineRule="auto"/>
        <w:ind w:left="357" w:hanging="357"/>
        <w:rPr>
          <w:sz w:val="18"/>
        </w:rPr>
      </w:pPr>
      <w:r w:rsidRPr="00E51D40">
        <w:rPr>
          <w:sz w:val="18"/>
        </w:rPr>
        <w:t xml:space="preserve">M1: &lt;5% blasts, counting all nucleated cells, including erythropoiesis. In case of regenerating marrow with a high </w:t>
      </w:r>
      <w:proofErr w:type="spellStart"/>
      <w:r w:rsidRPr="00E51D40">
        <w:rPr>
          <w:sz w:val="18"/>
        </w:rPr>
        <w:t>erythropoietic</w:t>
      </w:r>
      <w:proofErr w:type="spellEnd"/>
      <w:r w:rsidRPr="00E51D40">
        <w:rPr>
          <w:sz w:val="18"/>
        </w:rPr>
        <w:t xml:space="preserve"> predominance, at least a total count of 100 non-</w:t>
      </w:r>
      <w:proofErr w:type="spellStart"/>
      <w:r w:rsidRPr="00E51D40">
        <w:rPr>
          <w:sz w:val="18"/>
        </w:rPr>
        <w:t>erythrop</w:t>
      </w:r>
      <w:r w:rsidR="00E51D40" w:rsidRPr="00E51D40">
        <w:rPr>
          <w:sz w:val="18"/>
        </w:rPr>
        <w:t>oietic</w:t>
      </w:r>
      <w:proofErr w:type="spellEnd"/>
      <w:r w:rsidR="00E51D40" w:rsidRPr="00E51D40">
        <w:rPr>
          <w:sz w:val="18"/>
        </w:rPr>
        <w:t xml:space="preserve"> cells should be counted.</w:t>
      </w:r>
    </w:p>
    <w:p w:rsidR="00192867" w:rsidRPr="00E51D40" w:rsidRDefault="00192867" w:rsidP="00E51D40">
      <w:pPr>
        <w:pStyle w:val="ListBullet"/>
        <w:spacing w:before="0" w:after="0" w:line="240" w:lineRule="auto"/>
        <w:ind w:left="357" w:hanging="357"/>
        <w:rPr>
          <w:sz w:val="18"/>
        </w:rPr>
      </w:pPr>
      <w:r w:rsidRPr="00E51D40">
        <w:rPr>
          <w:sz w:val="18"/>
        </w:rPr>
        <w:t xml:space="preserve">M2: 5-25% blasts, counting all nucleated cells, including erythropoiesis. In case of regenerating marrow with a high </w:t>
      </w:r>
      <w:proofErr w:type="spellStart"/>
      <w:r w:rsidRPr="00E51D40">
        <w:rPr>
          <w:sz w:val="18"/>
        </w:rPr>
        <w:t>erythropoietic</w:t>
      </w:r>
      <w:proofErr w:type="spellEnd"/>
      <w:r w:rsidRPr="00E51D40">
        <w:rPr>
          <w:sz w:val="18"/>
        </w:rPr>
        <w:t xml:space="preserve"> predominance, at least a total count of 100 non-</w:t>
      </w:r>
      <w:proofErr w:type="spellStart"/>
      <w:r w:rsidRPr="00E51D40">
        <w:rPr>
          <w:sz w:val="18"/>
        </w:rPr>
        <w:t>erythropoietic</w:t>
      </w:r>
      <w:proofErr w:type="spellEnd"/>
      <w:r w:rsidRPr="00E51D40">
        <w:rPr>
          <w:sz w:val="18"/>
        </w:rPr>
        <w:t xml:space="preserve"> cells should be counted.</w:t>
      </w:r>
    </w:p>
    <w:p w:rsidR="00192867" w:rsidRPr="00E51D40" w:rsidRDefault="00192867" w:rsidP="00E51D40">
      <w:pPr>
        <w:pStyle w:val="ListBullet"/>
        <w:spacing w:before="0" w:after="0" w:line="240" w:lineRule="auto"/>
        <w:ind w:left="357" w:hanging="357"/>
        <w:rPr>
          <w:sz w:val="16"/>
          <w:szCs w:val="20"/>
        </w:rPr>
      </w:pPr>
      <w:r w:rsidRPr="00E51D40">
        <w:rPr>
          <w:sz w:val="18"/>
        </w:rPr>
        <w:t xml:space="preserve">M3: &gt;25% blasts in a BM aspirate. All Poor risk patients received </w:t>
      </w:r>
      <w:proofErr w:type="spellStart"/>
      <w:r w:rsidRPr="00E51D40">
        <w:rPr>
          <w:sz w:val="18"/>
        </w:rPr>
        <w:t>imatinib</w:t>
      </w:r>
      <w:proofErr w:type="spellEnd"/>
      <w:r w:rsidRPr="00E51D40">
        <w:rPr>
          <w:sz w:val="18"/>
        </w:rPr>
        <w:t>.</w:t>
      </w:r>
    </w:p>
  </w:footnote>
  <w:footnote w:id="2">
    <w:p w:rsidR="00192867" w:rsidRPr="00AA7812" w:rsidRDefault="00192867" w:rsidP="00CC04DE">
      <w:pPr>
        <w:pStyle w:val="FootnoteText"/>
      </w:pPr>
      <w:r w:rsidRPr="00AA7812">
        <w:rPr>
          <w:rStyle w:val="FootnoteReference"/>
          <w:szCs w:val="18"/>
        </w:rPr>
        <w:footnoteRef/>
      </w:r>
      <w:r w:rsidRPr="00AA7812">
        <w:t xml:space="preserve"> Land VJ, Shuster JJ, </w:t>
      </w:r>
      <w:proofErr w:type="spellStart"/>
      <w:r w:rsidRPr="00AA7812">
        <w:t>Crist</w:t>
      </w:r>
      <w:proofErr w:type="spellEnd"/>
      <w:r w:rsidRPr="00AA7812">
        <w:t xml:space="preserve"> WM</w:t>
      </w:r>
      <w:r w:rsidRPr="00AA7812">
        <w:rPr>
          <w:i/>
        </w:rPr>
        <w:t>, et al</w:t>
      </w:r>
      <w:r w:rsidRPr="00AA7812">
        <w:t xml:space="preserve"> (1994)] Comparison of Two Schedules of Intermediate-Dose Methotrexate and </w:t>
      </w:r>
      <w:proofErr w:type="spellStart"/>
      <w:r w:rsidRPr="00AA7812">
        <w:t>Cytarabine</w:t>
      </w:r>
      <w:proofErr w:type="spellEnd"/>
      <w:r w:rsidRPr="00AA7812">
        <w:t xml:space="preserve"> Consolidation Therapy for Childhood B-Precursor Cell</w:t>
      </w:r>
      <w:r>
        <w:t xml:space="preserve"> </w:t>
      </w:r>
      <w:r w:rsidRPr="00AA7812">
        <w:t xml:space="preserve">Acute Lymphoblastic </w:t>
      </w:r>
      <w:proofErr w:type="spellStart"/>
      <w:r w:rsidRPr="00AA7812">
        <w:t>Leukemia</w:t>
      </w:r>
      <w:proofErr w:type="spellEnd"/>
      <w:r w:rsidRPr="00AA7812">
        <w:t xml:space="preserve">: A </w:t>
      </w:r>
      <w:proofErr w:type="spellStart"/>
      <w:r w:rsidRPr="00AA7812">
        <w:t>Pediatric</w:t>
      </w:r>
      <w:proofErr w:type="spellEnd"/>
      <w:r w:rsidRPr="00AA7812">
        <w:t xml:space="preserve"> Oncology Group Study. </w:t>
      </w:r>
      <w:r w:rsidRPr="00AA7812">
        <w:rPr>
          <w:i/>
        </w:rPr>
        <w:t xml:space="preserve">J </w:t>
      </w:r>
      <w:proofErr w:type="spellStart"/>
      <w:r w:rsidRPr="00AA7812">
        <w:rPr>
          <w:i/>
        </w:rPr>
        <w:t>Clin</w:t>
      </w:r>
      <w:proofErr w:type="spellEnd"/>
      <w:r w:rsidRPr="00AA7812">
        <w:rPr>
          <w:i/>
        </w:rPr>
        <w:t xml:space="preserve"> </w:t>
      </w:r>
      <w:proofErr w:type="spellStart"/>
      <w:r w:rsidRPr="00AA7812">
        <w:rPr>
          <w:i/>
        </w:rPr>
        <w:t>Oncol</w:t>
      </w:r>
      <w:proofErr w:type="spellEnd"/>
      <w:r w:rsidRPr="00AA7812">
        <w:t>; 12:1939-1945.</w:t>
      </w:r>
    </w:p>
  </w:footnote>
  <w:footnote w:id="3">
    <w:p w:rsidR="00192867" w:rsidRPr="00AA7812" w:rsidRDefault="00192867" w:rsidP="00CC04DE">
      <w:pPr>
        <w:pStyle w:val="FootnoteText"/>
      </w:pPr>
      <w:r w:rsidRPr="00AA7812">
        <w:rPr>
          <w:rStyle w:val="FootnoteReference"/>
          <w:szCs w:val="18"/>
        </w:rPr>
        <w:footnoteRef/>
      </w:r>
      <w:r w:rsidRPr="00AA7812">
        <w:t xml:space="preserve"> [Mahoney DH, Shuster JJ, </w:t>
      </w:r>
      <w:proofErr w:type="spellStart"/>
      <w:r w:rsidRPr="00AA7812">
        <w:t>Nitschke</w:t>
      </w:r>
      <w:proofErr w:type="spellEnd"/>
      <w:r w:rsidRPr="00AA7812">
        <w:t xml:space="preserve"> R, </w:t>
      </w:r>
      <w:r w:rsidRPr="00AA7812">
        <w:rPr>
          <w:i/>
        </w:rPr>
        <w:t>et al</w:t>
      </w:r>
      <w:r w:rsidRPr="00AA7812">
        <w:t xml:space="preserve"> (1998)] Intermediate-Dose </w:t>
      </w:r>
      <w:r w:rsidRPr="00CC04DE">
        <w:t>Intravenous</w:t>
      </w:r>
      <w:r>
        <w:t xml:space="preserve"> </w:t>
      </w:r>
      <w:r w:rsidRPr="00AA7812">
        <w:t xml:space="preserve">Methotrexate Is Superior to Repetitive Low-Dose Oral Methotrexate </w:t>
      </w:r>
      <w:proofErr w:type="gramStart"/>
      <w:r w:rsidRPr="00AA7812">
        <w:t>With</w:t>
      </w:r>
      <w:proofErr w:type="gramEnd"/>
      <w:r w:rsidRPr="00AA7812">
        <w:t xml:space="preserve"> Intravenous</w:t>
      </w:r>
      <w:r>
        <w:t xml:space="preserve"> </w:t>
      </w:r>
      <w:proofErr w:type="spellStart"/>
      <w:r w:rsidRPr="00AA7812">
        <w:t>Mercaptopurine</w:t>
      </w:r>
      <w:proofErr w:type="spellEnd"/>
      <w:r w:rsidRPr="00AA7812">
        <w:t xml:space="preserve"> for Children With Lower-Risk- B-Lineage Acute Lymphoblastic </w:t>
      </w:r>
      <w:proofErr w:type="spellStart"/>
      <w:r w:rsidRPr="00AA7812">
        <w:t>Leukemia</w:t>
      </w:r>
      <w:proofErr w:type="spellEnd"/>
      <w:r w:rsidRPr="00AA7812">
        <w:t>:</w:t>
      </w:r>
      <w:r>
        <w:t xml:space="preserve"> </w:t>
      </w:r>
      <w:r w:rsidRPr="00AA7812">
        <w:rPr>
          <w:i/>
        </w:rPr>
        <w:t xml:space="preserve">A </w:t>
      </w:r>
      <w:proofErr w:type="spellStart"/>
      <w:r w:rsidRPr="00AA7812">
        <w:rPr>
          <w:i/>
        </w:rPr>
        <w:t>Pediatric</w:t>
      </w:r>
      <w:proofErr w:type="spellEnd"/>
      <w:r w:rsidRPr="00AA7812">
        <w:rPr>
          <w:i/>
        </w:rPr>
        <w:t xml:space="preserve"> J </w:t>
      </w:r>
      <w:proofErr w:type="spellStart"/>
      <w:r w:rsidRPr="00AA7812">
        <w:rPr>
          <w:i/>
        </w:rPr>
        <w:t>Clin</w:t>
      </w:r>
      <w:proofErr w:type="spellEnd"/>
      <w:r w:rsidRPr="00AA7812">
        <w:rPr>
          <w:i/>
        </w:rPr>
        <w:t xml:space="preserve"> </w:t>
      </w:r>
      <w:proofErr w:type="spellStart"/>
      <w:r w:rsidRPr="00AA7812">
        <w:rPr>
          <w:i/>
        </w:rPr>
        <w:t>Oncol</w:t>
      </w:r>
      <w:proofErr w:type="spellEnd"/>
      <w:r w:rsidRPr="00AA7812">
        <w:t>; 16:246-254.</w:t>
      </w:r>
    </w:p>
  </w:footnote>
  <w:footnote w:id="4">
    <w:p w:rsidR="00192867" w:rsidRPr="00AA7812" w:rsidRDefault="00192867" w:rsidP="00CC04DE">
      <w:pPr>
        <w:pStyle w:val="FootnoteText"/>
      </w:pPr>
      <w:r w:rsidRPr="00AA7812">
        <w:rPr>
          <w:rStyle w:val="FootnoteReference"/>
          <w:szCs w:val="18"/>
        </w:rPr>
        <w:footnoteRef/>
      </w:r>
      <w:r w:rsidRPr="00AA7812">
        <w:t xml:space="preserve"> [Lauer SJ, Shuster JJ, Mahoney DH, </w:t>
      </w:r>
      <w:r w:rsidRPr="00AA7812">
        <w:rPr>
          <w:i/>
        </w:rPr>
        <w:t>et al</w:t>
      </w:r>
      <w:r w:rsidRPr="00AA7812">
        <w:t xml:space="preserve"> (2001)] A comparison of early </w:t>
      </w:r>
      <w:r w:rsidRPr="00CC04DE">
        <w:t>intensive</w:t>
      </w:r>
      <w:r>
        <w:t xml:space="preserve"> </w:t>
      </w:r>
      <w:r w:rsidRPr="00AA7812">
        <w:t>Methotrexate/</w:t>
      </w:r>
      <w:proofErr w:type="spellStart"/>
      <w:r w:rsidRPr="00AA7812">
        <w:t>Mercaptopurine</w:t>
      </w:r>
      <w:proofErr w:type="spellEnd"/>
      <w:r w:rsidRPr="00AA7812">
        <w:t xml:space="preserve"> with early intensive alternating combination chemotherapy for</w:t>
      </w:r>
      <w:r>
        <w:t xml:space="preserve"> </w:t>
      </w:r>
      <w:r w:rsidRPr="00AA7812">
        <w:t xml:space="preserve">high-risk B-precursor acute lymphoblastic </w:t>
      </w:r>
      <w:proofErr w:type="spellStart"/>
      <w:r w:rsidRPr="00AA7812">
        <w:t>leukemia</w:t>
      </w:r>
      <w:proofErr w:type="spellEnd"/>
      <w:r w:rsidRPr="00AA7812">
        <w:t xml:space="preserve">: a </w:t>
      </w:r>
      <w:proofErr w:type="spellStart"/>
      <w:r w:rsidRPr="00AA7812">
        <w:t>Pediatric</w:t>
      </w:r>
      <w:proofErr w:type="spellEnd"/>
      <w:r w:rsidRPr="00AA7812">
        <w:t xml:space="preserve"> Oncology Group phase III</w:t>
      </w:r>
      <w:r>
        <w:t xml:space="preserve"> </w:t>
      </w:r>
      <w:r w:rsidRPr="00AA7812">
        <w:t>randomized trial.</w:t>
      </w:r>
      <w:r w:rsidRPr="00AA7812">
        <w:rPr>
          <w:i/>
        </w:rPr>
        <w:t xml:space="preserve"> </w:t>
      </w:r>
      <w:proofErr w:type="spellStart"/>
      <w:r w:rsidRPr="00AA7812">
        <w:rPr>
          <w:i/>
        </w:rPr>
        <w:t>Leukemia</w:t>
      </w:r>
      <w:proofErr w:type="spellEnd"/>
      <w:r w:rsidRPr="00AA7812">
        <w:t>; 15:1038-1045.</w:t>
      </w:r>
    </w:p>
  </w:footnote>
  <w:footnote w:id="5">
    <w:p w:rsidR="00192867" w:rsidRPr="00424494" w:rsidRDefault="00192867" w:rsidP="009A762B">
      <w:pPr>
        <w:pStyle w:val="FootnoteText"/>
      </w:pPr>
      <w:r w:rsidRPr="00424494">
        <w:rPr>
          <w:rStyle w:val="FootnoteReference"/>
          <w:szCs w:val="18"/>
        </w:rPr>
        <w:footnoteRef/>
      </w:r>
      <w:r w:rsidRPr="00424494">
        <w:t xml:space="preserve"> Common Terminology Criteria for Adverse Events v4.0 (CTCAE); Publish Date: May 28, 2009: Grade refers to the severity of the AE. The CTCAE displays Grades 1 through 5 with unique clinical descriptions of severity for each AE based on this general guideline: Grade 1 Mild; </w:t>
      </w:r>
      <w:r w:rsidRPr="009A762B">
        <w:t>asymptomatic</w:t>
      </w:r>
      <w:r w:rsidRPr="00424494">
        <w:t xml:space="preserve"> or mild symptoms; clinical or diagnostic observations only; intervention not indicated. Grade 2 Moderate; minimal, local or non-invasive intervention indicated; limiting age-appropriate instrumental activities of daily life (ADL). Grade 3 Severe or medically significant but not immediately life-threatening; hospitalisation or prolongation of hospitalisation indicated; disabling; limiting self care ADL. Grade 4 Life-threatening consequences; urgent intervention indicated. Grade 5 Death related to 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pPr>
      <w:rPr>
        <w:noProof/>
        <w:lang w:eastAsia="en-AU"/>
      </w:rPr>
    </w:pPr>
    <w:r w:rsidRPr="00347824">
      <w:rPr>
        <w:noProof/>
        <w:lang w:eastAsia="en-AU"/>
      </w:rPr>
      <w:drawing>
        <wp:anchor distT="0" distB="0" distL="114300" distR="114300" simplePos="0" relativeHeight="251659264" behindDoc="1" locked="0" layoutInCell="1" allowOverlap="1" wp14:anchorId="0D2E55A2" wp14:editId="4597D52F">
          <wp:simplePos x="0" y="0"/>
          <wp:positionH relativeFrom="column">
            <wp:posOffset>-1081709</wp:posOffset>
          </wp:positionH>
          <wp:positionV relativeFrom="paragraph">
            <wp:posOffset>-585470</wp:posOffset>
          </wp:positionV>
          <wp:extent cx="7572375" cy="10706100"/>
          <wp:effectExtent l="0" t="0" r="0" b="0"/>
          <wp:wrapNone/>
          <wp:docPr id="2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192867" w:rsidRDefault="003B2C8B" w:rsidP="00593AD1">
    <w:pPr>
      <w:pStyle w:val="HeaderNoLine"/>
    </w:pPr>
    <w:r>
      <w:rPr>
        <w:noProof/>
        <w:lang w:eastAsia="en-AU"/>
      </w:rPr>
      <w:drawing>
        <wp:inline distT="0" distB="0" distL="0" distR="0" wp14:anchorId="6CDA41CA" wp14:editId="0C1ADACC">
          <wp:extent cx="5398770" cy="7637145"/>
          <wp:effectExtent l="0" t="0" r="0" b="1905"/>
          <wp:docPr id="2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7" w:rsidRDefault="00192867" w:rsidP="006E08B3">
    <w:r>
      <w:t>Therapeutic Goods Administration</w:t>
    </w:r>
  </w:p>
  <w:p w:rsidR="00192867" w:rsidRDefault="0019286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9474C2C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FA56F1C"/>
    <w:multiLevelType w:val="hybridMultilevel"/>
    <w:tmpl w:val="9D8EC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4176396"/>
    <w:multiLevelType w:val="hybridMultilevel"/>
    <w:tmpl w:val="108E7E70"/>
    <w:lvl w:ilvl="0" w:tplc="B9D46A44">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F166A3"/>
    <w:multiLevelType w:val="hybridMultilevel"/>
    <w:tmpl w:val="994A303A"/>
    <w:lvl w:ilvl="0" w:tplc="56F678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975515F"/>
    <w:multiLevelType w:val="hybridMultilevel"/>
    <w:tmpl w:val="0BD43AA2"/>
    <w:lvl w:ilvl="0" w:tplc="A88A2650">
      <w:numFmt w:val="bullet"/>
      <w:lvlText w:val="-"/>
      <w:lvlJc w:val="left"/>
      <w:pPr>
        <w:ind w:left="1287" w:hanging="360"/>
      </w:pPr>
      <w:rPr>
        <w:rFonts w:ascii="Cambria" w:eastAsia="Times New Roman" w:hAnsi="Cambria"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2C212543"/>
    <w:multiLevelType w:val="hybridMultilevel"/>
    <w:tmpl w:val="F0F6C6EE"/>
    <w:lvl w:ilvl="0" w:tplc="FFD06292">
      <w:start w:val="24"/>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076C34"/>
    <w:multiLevelType w:val="hybridMultilevel"/>
    <w:tmpl w:val="98CA0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085E2A"/>
    <w:multiLevelType w:val="hybridMultilevel"/>
    <w:tmpl w:val="437AE9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64183985"/>
    <w:multiLevelType w:val="hybridMultilevel"/>
    <w:tmpl w:val="47169D42"/>
    <w:lvl w:ilvl="0" w:tplc="56F678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50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B764C6E"/>
    <w:multiLevelType w:val="hybridMultilevel"/>
    <w:tmpl w:val="C3A2C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2F459FC"/>
    <w:multiLevelType w:val="multilevel"/>
    <w:tmpl w:val="AD8A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22029E"/>
    <w:multiLevelType w:val="hybridMultilevel"/>
    <w:tmpl w:val="211221E8"/>
    <w:lvl w:ilvl="0" w:tplc="A88A2650">
      <w:numFmt w:val="bullet"/>
      <w:lvlText w:val="-"/>
      <w:lvlJc w:val="left"/>
      <w:pPr>
        <w:ind w:left="1003" w:hanging="360"/>
      </w:pPr>
      <w:rPr>
        <w:rFonts w:ascii="Cambria" w:eastAsia="Times New Roman" w:hAnsi="Cambria" w:cs="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11"/>
  </w:num>
  <w:num w:numId="30">
    <w:abstractNumId w:val="13"/>
  </w:num>
  <w:num w:numId="31">
    <w:abstractNumId w:val="4"/>
  </w:num>
  <w:num w:numId="32">
    <w:abstractNumId w:val="7"/>
  </w:num>
  <w:num w:numId="33">
    <w:abstractNumId w:val="10"/>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7"/>
  </w:num>
  <w:num w:numId="39">
    <w:abstractNumId w:val="14"/>
  </w:num>
  <w:num w:numId="40">
    <w:abstractNumId w:val="16"/>
  </w:num>
  <w:num w:numId="41">
    <w:abstractNumId w:val="9"/>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87605D"/>
    <w:rsid w:val="00002031"/>
    <w:rsid w:val="000024A6"/>
    <w:rsid w:val="0000261C"/>
    <w:rsid w:val="00002EF9"/>
    <w:rsid w:val="000044DF"/>
    <w:rsid w:val="00004734"/>
    <w:rsid w:val="00006B22"/>
    <w:rsid w:val="0001276A"/>
    <w:rsid w:val="000246AE"/>
    <w:rsid w:val="00025C67"/>
    <w:rsid w:val="00034560"/>
    <w:rsid w:val="00034FB0"/>
    <w:rsid w:val="0005559E"/>
    <w:rsid w:val="00067A00"/>
    <w:rsid w:val="0007250D"/>
    <w:rsid w:val="00077775"/>
    <w:rsid w:val="00082516"/>
    <w:rsid w:val="00083B27"/>
    <w:rsid w:val="00090471"/>
    <w:rsid w:val="0009482A"/>
    <w:rsid w:val="00094DB4"/>
    <w:rsid w:val="00096AA7"/>
    <w:rsid w:val="000A1DB7"/>
    <w:rsid w:val="000A3AED"/>
    <w:rsid w:val="000B3532"/>
    <w:rsid w:val="000B3A75"/>
    <w:rsid w:val="000C07C7"/>
    <w:rsid w:val="000C0DAE"/>
    <w:rsid w:val="000C5298"/>
    <w:rsid w:val="000C690F"/>
    <w:rsid w:val="000D1295"/>
    <w:rsid w:val="000D1E58"/>
    <w:rsid w:val="000D391B"/>
    <w:rsid w:val="000D3D6D"/>
    <w:rsid w:val="000D4FC7"/>
    <w:rsid w:val="000F4869"/>
    <w:rsid w:val="000F5B42"/>
    <w:rsid w:val="000F6E6F"/>
    <w:rsid w:val="00102FEC"/>
    <w:rsid w:val="0010601F"/>
    <w:rsid w:val="0010788A"/>
    <w:rsid w:val="00107A31"/>
    <w:rsid w:val="00110EA5"/>
    <w:rsid w:val="00112F56"/>
    <w:rsid w:val="001141E5"/>
    <w:rsid w:val="00117022"/>
    <w:rsid w:val="00117E3B"/>
    <w:rsid w:val="00125318"/>
    <w:rsid w:val="00125EC4"/>
    <w:rsid w:val="001305A2"/>
    <w:rsid w:val="00133238"/>
    <w:rsid w:val="0014197B"/>
    <w:rsid w:val="00143C64"/>
    <w:rsid w:val="001447CD"/>
    <w:rsid w:val="001516B1"/>
    <w:rsid w:val="00154EBB"/>
    <w:rsid w:val="00156316"/>
    <w:rsid w:val="00157815"/>
    <w:rsid w:val="00162D14"/>
    <w:rsid w:val="00165389"/>
    <w:rsid w:val="0017693F"/>
    <w:rsid w:val="0018110E"/>
    <w:rsid w:val="00181684"/>
    <w:rsid w:val="001843C6"/>
    <w:rsid w:val="001850E0"/>
    <w:rsid w:val="00192867"/>
    <w:rsid w:val="001A2158"/>
    <w:rsid w:val="001A525F"/>
    <w:rsid w:val="001A5ED8"/>
    <w:rsid w:val="001B0811"/>
    <w:rsid w:val="001B09F9"/>
    <w:rsid w:val="001B6448"/>
    <w:rsid w:val="001C29EA"/>
    <w:rsid w:val="001D6443"/>
    <w:rsid w:val="001D6E90"/>
    <w:rsid w:val="001E07CF"/>
    <w:rsid w:val="001E59F1"/>
    <w:rsid w:val="001F2596"/>
    <w:rsid w:val="001F49EB"/>
    <w:rsid w:val="001F6CBA"/>
    <w:rsid w:val="00201D4E"/>
    <w:rsid w:val="002029B0"/>
    <w:rsid w:val="002076C9"/>
    <w:rsid w:val="00220B8A"/>
    <w:rsid w:val="00222D95"/>
    <w:rsid w:val="00224037"/>
    <w:rsid w:val="002257F3"/>
    <w:rsid w:val="00233456"/>
    <w:rsid w:val="002339A5"/>
    <w:rsid w:val="00242067"/>
    <w:rsid w:val="00251121"/>
    <w:rsid w:val="00251765"/>
    <w:rsid w:val="00257848"/>
    <w:rsid w:val="00260427"/>
    <w:rsid w:val="0027084A"/>
    <w:rsid w:val="00270A3D"/>
    <w:rsid w:val="00271D11"/>
    <w:rsid w:val="00277ECF"/>
    <w:rsid w:val="00286434"/>
    <w:rsid w:val="00286C59"/>
    <w:rsid w:val="00291957"/>
    <w:rsid w:val="0029412A"/>
    <w:rsid w:val="002942D1"/>
    <w:rsid w:val="0029501A"/>
    <w:rsid w:val="002A7F43"/>
    <w:rsid w:val="002B14F4"/>
    <w:rsid w:val="002B1638"/>
    <w:rsid w:val="002C52F2"/>
    <w:rsid w:val="002D0362"/>
    <w:rsid w:val="002E4C9A"/>
    <w:rsid w:val="002E699C"/>
    <w:rsid w:val="002F11F8"/>
    <w:rsid w:val="002F3F56"/>
    <w:rsid w:val="002F44B5"/>
    <w:rsid w:val="003110D4"/>
    <w:rsid w:val="00311AC0"/>
    <w:rsid w:val="00317BC8"/>
    <w:rsid w:val="0032583B"/>
    <w:rsid w:val="00327883"/>
    <w:rsid w:val="0033463B"/>
    <w:rsid w:val="00335504"/>
    <w:rsid w:val="00347824"/>
    <w:rsid w:val="00350567"/>
    <w:rsid w:val="003521E8"/>
    <w:rsid w:val="003728F3"/>
    <w:rsid w:val="0037496E"/>
    <w:rsid w:val="003759AC"/>
    <w:rsid w:val="00377778"/>
    <w:rsid w:val="00386150"/>
    <w:rsid w:val="003874CE"/>
    <w:rsid w:val="00390900"/>
    <w:rsid w:val="003966A5"/>
    <w:rsid w:val="003A7F6C"/>
    <w:rsid w:val="003B2C8B"/>
    <w:rsid w:val="003B4D60"/>
    <w:rsid w:val="003B7E39"/>
    <w:rsid w:val="003C375F"/>
    <w:rsid w:val="003C58DC"/>
    <w:rsid w:val="003D1E62"/>
    <w:rsid w:val="003E2486"/>
    <w:rsid w:val="003E3208"/>
    <w:rsid w:val="003F0B04"/>
    <w:rsid w:val="003F2035"/>
    <w:rsid w:val="003F753F"/>
    <w:rsid w:val="0040134E"/>
    <w:rsid w:val="00420BB3"/>
    <w:rsid w:val="00424494"/>
    <w:rsid w:val="00427FA6"/>
    <w:rsid w:val="00431325"/>
    <w:rsid w:val="004351F7"/>
    <w:rsid w:val="00440A2D"/>
    <w:rsid w:val="00443EFF"/>
    <w:rsid w:val="004564A7"/>
    <w:rsid w:val="004617BF"/>
    <w:rsid w:val="00463658"/>
    <w:rsid w:val="004704D9"/>
    <w:rsid w:val="00470D12"/>
    <w:rsid w:val="004722CC"/>
    <w:rsid w:val="00474EAF"/>
    <w:rsid w:val="00477FE3"/>
    <w:rsid w:val="0048523F"/>
    <w:rsid w:val="004936E4"/>
    <w:rsid w:val="00494E60"/>
    <w:rsid w:val="00497487"/>
    <w:rsid w:val="004A25CB"/>
    <w:rsid w:val="004B4115"/>
    <w:rsid w:val="004B7B76"/>
    <w:rsid w:val="004C239D"/>
    <w:rsid w:val="004C2DCA"/>
    <w:rsid w:val="004C6AD7"/>
    <w:rsid w:val="004D0ACA"/>
    <w:rsid w:val="004D6BEC"/>
    <w:rsid w:val="004F0F38"/>
    <w:rsid w:val="004F2EC7"/>
    <w:rsid w:val="00501076"/>
    <w:rsid w:val="00501921"/>
    <w:rsid w:val="00510F15"/>
    <w:rsid w:val="005140BB"/>
    <w:rsid w:val="00516BC3"/>
    <w:rsid w:val="00530354"/>
    <w:rsid w:val="0053625B"/>
    <w:rsid w:val="005402E5"/>
    <w:rsid w:val="005410F5"/>
    <w:rsid w:val="005434C6"/>
    <w:rsid w:val="00543B39"/>
    <w:rsid w:val="00550096"/>
    <w:rsid w:val="005551A9"/>
    <w:rsid w:val="00557FF9"/>
    <w:rsid w:val="00565009"/>
    <w:rsid w:val="0057021B"/>
    <w:rsid w:val="00576378"/>
    <w:rsid w:val="00577130"/>
    <w:rsid w:val="00577945"/>
    <w:rsid w:val="00577E38"/>
    <w:rsid w:val="00585322"/>
    <w:rsid w:val="005857C6"/>
    <w:rsid w:val="00592F6E"/>
    <w:rsid w:val="005932F1"/>
    <w:rsid w:val="00593AD1"/>
    <w:rsid w:val="005A68B6"/>
    <w:rsid w:val="005C5570"/>
    <w:rsid w:val="005C67F5"/>
    <w:rsid w:val="005C79A4"/>
    <w:rsid w:val="005D5442"/>
    <w:rsid w:val="005E672F"/>
    <w:rsid w:val="005E6886"/>
    <w:rsid w:val="00603F32"/>
    <w:rsid w:val="00624A91"/>
    <w:rsid w:val="00625A6E"/>
    <w:rsid w:val="00632398"/>
    <w:rsid w:val="00640FC3"/>
    <w:rsid w:val="00642020"/>
    <w:rsid w:val="00642405"/>
    <w:rsid w:val="006451D0"/>
    <w:rsid w:val="00645CE4"/>
    <w:rsid w:val="00646582"/>
    <w:rsid w:val="00650F23"/>
    <w:rsid w:val="0065337B"/>
    <w:rsid w:val="0065381D"/>
    <w:rsid w:val="0065419D"/>
    <w:rsid w:val="00657B04"/>
    <w:rsid w:val="006604D8"/>
    <w:rsid w:val="00663C45"/>
    <w:rsid w:val="00664A5B"/>
    <w:rsid w:val="00670CFF"/>
    <w:rsid w:val="006763D2"/>
    <w:rsid w:val="00680C08"/>
    <w:rsid w:val="006879E2"/>
    <w:rsid w:val="006931B1"/>
    <w:rsid w:val="00695E7A"/>
    <w:rsid w:val="006A15C0"/>
    <w:rsid w:val="006A2B16"/>
    <w:rsid w:val="006B4D2F"/>
    <w:rsid w:val="006B5DDB"/>
    <w:rsid w:val="006C3E2A"/>
    <w:rsid w:val="006C4309"/>
    <w:rsid w:val="006C4D92"/>
    <w:rsid w:val="006C642F"/>
    <w:rsid w:val="006D03E5"/>
    <w:rsid w:val="006D5D3E"/>
    <w:rsid w:val="006E08B3"/>
    <w:rsid w:val="006E13E2"/>
    <w:rsid w:val="006E3AA0"/>
    <w:rsid w:val="006E650B"/>
    <w:rsid w:val="006F17AC"/>
    <w:rsid w:val="006F572E"/>
    <w:rsid w:val="00700136"/>
    <w:rsid w:val="007046D6"/>
    <w:rsid w:val="00705DB0"/>
    <w:rsid w:val="0070761E"/>
    <w:rsid w:val="00722B57"/>
    <w:rsid w:val="0073004F"/>
    <w:rsid w:val="007407FF"/>
    <w:rsid w:val="0074253D"/>
    <w:rsid w:val="0074429B"/>
    <w:rsid w:val="00746A62"/>
    <w:rsid w:val="00755268"/>
    <w:rsid w:val="00760360"/>
    <w:rsid w:val="007615BC"/>
    <w:rsid w:val="00762F05"/>
    <w:rsid w:val="007635CB"/>
    <w:rsid w:val="0076407E"/>
    <w:rsid w:val="007652FF"/>
    <w:rsid w:val="00765E4D"/>
    <w:rsid w:val="00770EF1"/>
    <w:rsid w:val="00773EF7"/>
    <w:rsid w:val="00774E1D"/>
    <w:rsid w:val="0077675A"/>
    <w:rsid w:val="00780355"/>
    <w:rsid w:val="007818D9"/>
    <w:rsid w:val="007841AC"/>
    <w:rsid w:val="00785721"/>
    <w:rsid w:val="0079298B"/>
    <w:rsid w:val="00793A59"/>
    <w:rsid w:val="007A49F1"/>
    <w:rsid w:val="007A7286"/>
    <w:rsid w:val="007B3DE1"/>
    <w:rsid w:val="007B6420"/>
    <w:rsid w:val="007B6E9F"/>
    <w:rsid w:val="007C1216"/>
    <w:rsid w:val="007C1AF7"/>
    <w:rsid w:val="007C4C3D"/>
    <w:rsid w:val="007C5D6E"/>
    <w:rsid w:val="007D7D9A"/>
    <w:rsid w:val="008029E8"/>
    <w:rsid w:val="00805D27"/>
    <w:rsid w:val="00821776"/>
    <w:rsid w:val="008321F5"/>
    <w:rsid w:val="00832369"/>
    <w:rsid w:val="00834660"/>
    <w:rsid w:val="00836BC2"/>
    <w:rsid w:val="008520E1"/>
    <w:rsid w:val="0085641B"/>
    <w:rsid w:val="00857136"/>
    <w:rsid w:val="00862616"/>
    <w:rsid w:val="0086669C"/>
    <w:rsid w:val="008734D8"/>
    <w:rsid w:val="0087605D"/>
    <w:rsid w:val="00885B11"/>
    <w:rsid w:val="00886D15"/>
    <w:rsid w:val="00887DD8"/>
    <w:rsid w:val="00891E0E"/>
    <w:rsid w:val="0089586C"/>
    <w:rsid w:val="00896018"/>
    <w:rsid w:val="008960DD"/>
    <w:rsid w:val="0089635C"/>
    <w:rsid w:val="008A2B9D"/>
    <w:rsid w:val="008A5E0B"/>
    <w:rsid w:val="008A6D59"/>
    <w:rsid w:val="008B4A74"/>
    <w:rsid w:val="008B4B03"/>
    <w:rsid w:val="008B596F"/>
    <w:rsid w:val="008C159F"/>
    <w:rsid w:val="008C1623"/>
    <w:rsid w:val="008C1850"/>
    <w:rsid w:val="008C51A9"/>
    <w:rsid w:val="008E7846"/>
    <w:rsid w:val="008F0BD3"/>
    <w:rsid w:val="008F1CCC"/>
    <w:rsid w:val="008F2967"/>
    <w:rsid w:val="008F6943"/>
    <w:rsid w:val="00900539"/>
    <w:rsid w:val="009014A2"/>
    <w:rsid w:val="00902A21"/>
    <w:rsid w:val="00920330"/>
    <w:rsid w:val="009219D7"/>
    <w:rsid w:val="00922D53"/>
    <w:rsid w:val="00923B70"/>
    <w:rsid w:val="00924482"/>
    <w:rsid w:val="00930027"/>
    <w:rsid w:val="00930237"/>
    <w:rsid w:val="00936CED"/>
    <w:rsid w:val="00943D9F"/>
    <w:rsid w:val="00946EA5"/>
    <w:rsid w:val="00951B9D"/>
    <w:rsid w:val="0096113C"/>
    <w:rsid w:val="00962F2D"/>
    <w:rsid w:val="00963C08"/>
    <w:rsid w:val="00976006"/>
    <w:rsid w:val="00976082"/>
    <w:rsid w:val="0098585A"/>
    <w:rsid w:val="009A4CED"/>
    <w:rsid w:val="009A690D"/>
    <w:rsid w:val="009A762B"/>
    <w:rsid w:val="009B1D12"/>
    <w:rsid w:val="009B2FA0"/>
    <w:rsid w:val="009B3E7E"/>
    <w:rsid w:val="009B416B"/>
    <w:rsid w:val="009C4BD5"/>
    <w:rsid w:val="009D3248"/>
    <w:rsid w:val="009D7B77"/>
    <w:rsid w:val="009E0BB0"/>
    <w:rsid w:val="009E3FBB"/>
    <w:rsid w:val="00A102E4"/>
    <w:rsid w:val="00A12C42"/>
    <w:rsid w:val="00A14DF7"/>
    <w:rsid w:val="00A3246D"/>
    <w:rsid w:val="00A363CB"/>
    <w:rsid w:val="00A36FA7"/>
    <w:rsid w:val="00A475B7"/>
    <w:rsid w:val="00A47AF7"/>
    <w:rsid w:val="00A47C3E"/>
    <w:rsid w:val="00A50226"/>
    <w:rsid w:val="00A52C71"/>
    <w:rsid w:val="00A5586C"/>
    <w:rsid w:val="00A60BAD"/>
    <w:rsid w:val="00A71355"/>
    <w:rsid w:val="00A84E36"/>
    <w:rsid w:val="00A90FB4"/>
    <w:rsid w:val="00A964D1"/>
    <w:rsid w:val="00A96FDE"/>
    <w:rsid w:val="00A97451"/>
    <w:rsid w:val="00AA0ED0"/>
    <w:rsid w:val="00AA7812"/>
    <w:rsid w:val="00AB4543"/>
    <w:rsid w:val="00AC2B40"/>
    <w:rsid w:val="00AC2BB2"/>
    <w:rsid w:val="00AC2C3C"/>
    <w:rsid w:val="00AC512D"/>
    <w:rsid w:val="00AD0083"/>
    <w:rsid w:val="00AE65EB"/>
    <w:rsid w:val="00AE67A7"/>
    <w:rsid w:val="00AF1D94"/>
    <w:rsid w:val="00AF60C5"/>
    <w:rsid w:val="00B009C6"/>
    <w:rsid w:val="00B01548"/>
    <w:rsid w:val="00B03F32"/>
    <w:rsid w:val="00B12C50"/>
    <w:rsid w:val="00B131EE"/>
    <w:rsid w:val="00B21D29"/>
    <w:rsid w:val="00B23545"/>
    <w:rsid w:val="00B25034"/>
    <w:rsid w:val="00B33588"/>
    <w:rsid w:val="00B33863"/>
    <w:rsid w:val="00B3402A"/>
    <w:rsid w:val="00B37D17"/>
    <w:rsid w:val="00B4175E"/>
    <w:rsid w:val="00B452CE"/>
    <w:rsid w:val="00B54C25"/>
    <w:rsid w:val="00B56074"/>
    <w:rsid w:val="00B658CA"/>
    <w:rsid w:val="00B7229F"/>
    <w:rsid w:val="00B76B91"/>
    <w:rsid w:val="00B77EB1"/>
    <w:rsid w:val="00B811C6"/>
    <w:rsid w:val="00B855B0"/>
    <w:rsid w:val="00B92E08"/>
    <w:rsid w:val="00BA5447"/>
    <w:rsid w:val="00BC1242"/>
    <w:rsid w:val="00BC622A"/>
    <w:rsid w:val="00BD75F9"/>
    <w:rsid w:val="00BE0A78"/>
    <w:rsid w:val="00BE79F0"/>
    <w:rsid w:val="00BF046D"/>
    <w:rsid w:val="00BF1190"/>
    <w:rsid w:val="00BF5D04"/>
    <w:rsid w:val="00C110EC"/>
    <w:rsid w:val="00C1164D"/>
    <w:rsid w:val="00C11E77"/>
    <w:rsid w:val="00C166BE"/>
    <w:rsid w:val="00C16861"/>
    <w:rsid w:val="00C16EB5"/>
    <w:rsid w:val="00C17045"/>
    <w:rsid w:val="00C275F1"/>
    <w:rsid w:val="00C352D3"/>
    <w:rsid w:val="00C4046B"/>
    <w:rsid w:val="00C404A6"/>
    <w:rsid w:val="00C40A36"/>
    <w:rsid w:val="00C41268"/>
    <w:rsid w:val="00C44419"/>
    <w:rsid w:val="00C45E7B"/>
    <w:rsid w:val="00C471B1"/>
    <w:rsid w:val="00C532B4"/>
    <w:rsid w:val="00C62EC6"/>
    <w:rsid w:val="00C6316B"/>
    <w:rsid w:val="00C634A9"/>
    <w:rsid w:val="00C63581"/>
    <w:rsid w:val="00C63ED8"/>
    <w:rsid w:val="00C64586"/>
    <w:rsid w:val="00C70D53"/>
    <w:rsid w:val="00C732F8"/>
    <w:rsid w:val="00C73D0B"/>
    <w:rsid w:val="00C772FF"/>
    <w:rsid w:val="00C80137"/>
    <w:rsid w:val="00C801AF"/>
    <w:rsid w:val="00C80256"/>
    <w:rsid w:val="00C81AF2"/>
    <w:rsid w:val="00C94D34"/>
    <w:rsid w:val="00CA5CD3"/>
    <w:rsid w:val="00CB6BC0"/>
    <w:rsid w:val="00CC04DE"/>
    <w:rsid w:val="00CC1B7C"/>
    <w:rsid w:val="00CC727F"/>
    <w:rsid w:val="00CE0791"/>
    <w:rsid w:val="00CF15C3"/>
    <w:rsid w:val="00CF2B6F"/>
    <w:rsid w:val="00CF58B6"/>
    <w:rsid w:val="00D017ED"/>
    <w:rsid w:val="00D040D3"/>
    <w:rsid w:val="00D04C65"/>
    <w:rsid w:val="00D06338"/>
    <w:rsid w:val="00D10C7D"/>
    <w:rsid w:val="00D224FE"/>
    <w:rsid w:val="00D6493E"/>
    <w:rsid w:val="00D64D15"/>
    <w:rsid w:val="00D7301E"/>
    <w:rsid w:val="00D83AE1"/>
    <w:rsid w:val="00D855D4"/>
    <w:rsid w:val="00D93466"/>
    <w:rsid w:val="00D96EBB"/>
    <w:rsid w:val="00DA1124"/>
    <w:rsid w:val="00DA11BC"/>
    <w:rsid w:val="00DA7630"/>
    <w:rsid w:val="00DA7CD5"/>
    <w:rsid w:val="00DB5A6E"/>
    <w:rsid w:val="00DB6124"/>
    <w:rsid w:val="00DB75B7"/>
    <w:rsid w:val="00DC453D"/>
    <w:rsid w:val="00DC5455"/>
    <w:rsid w:val="00DC6E02"/>
    <w:rsid w:val="00DC7510"/>
    <w:rsid w:val="00DD0993"/>
    <w:rsid w:val="00DE02AE"/>
    <w:rsid w:val="00DE3083"/>
    <w:rsid w:val="00DE541D"/>
    <w:rsid w:val="00DF1D7F"/>
    <w:rsid w:val="00DF2F03"/>
    <w:rsid w:val="00DF4BE4"/>
    <w:rsid w:val="00DF6339"/>
    <w:rsid w:val="00E02FB4"/>
    <w:rsid w:val="00E106BC"/>
    <w:rsid w:val="00E20571"/>
    <w:rsid w:val="00E235F7"/>
    <w:rsid w:val="00E23659"/>
    <w:rsid w:val="00E239D4"/>
    <w:rsid w:val="00E26130"/>
    <w:rsid w:val="00E30AC4"/>
    <w:rsid w:val="00E40B22"/>
    <w:rsid w:val="00E41445"/>
    <w:rsid w:val="00E45619"/>
    <w:rsid w:val="00E4588F"/>
    <w:rsid w:val="00E46DA3"/>
    <w:rsid w:val="00E501A6"/>
    <w:rsid w:val="00E51BB1"/>
    <w:rsid w:val="00E51D40"/>
    <w:rsid w:val="00E624A5"/>
    <w:rsid w:val="00E7085C"/>
    <w:rsid w:val="00E7344E"/>
    <w:rsid w:val="00E8093F"/>
    <w:rsid w:val="00E927B7"/>
    <w:rsid w:val="00E96D00"/>
    <w:rsid w:val="00EA0E7F"/>
    <w:rsid w:val="00EB0798"/>
    <w:rsid w:val="00EB106D"/>
    <w:rsid w:val="00EB3BA0"/>
    <w:rsid w:val="00EB40AD"/>
    <w:rsid w:val="00EB586E"/>
    <w:rsid w:val="00EB5FC8"/>
    <w:rsid w:val="00EC3B51"/>
    <w:rsid w:val="00EC7A85"/>
    <w:rsid w:val="00EC7CE3"/>
    <w:rsid w:val="00ED3CAD"/>
    <w:rsid w:val="00ED5A41"/>
    <w:rsid w:val="00ED695C"/>
    <w:rsid w:val="00EE1DE8"/>
    <w:rsid w:val="00EE45E4"/>
    <w:rsid w:val="00F033EC"/>
    <w:rsid w:val="00F04F68"/>
    <w:rsid w:val="00F12670"/>
    <w:rsid w:val="00F14B27"/>
    <w:rsid w:val="00F3148D"/>
    <w:rsid w:val="00F325C5"/>
    <w:rsid w:val="00F32FE0"/>
    <w:rsid w:val="00F35298"/>
    <w:rsid w:val="00F42F22"/>
    <w:rsid w:val="00F47333"/>
    <w:rsid w:val="00F47E37"/>
    <w:rsid w:val="00F53C07"/>
    <w:rsid w:val="00F54B65"/>
    <w:rsid w:val="00F640B6"/>
    <w:rsid w:val="00F70A36"/>
    <w:rsid w:val="00F80E40"/>
    <w:rsid w:val="00F848D9"/>
    <w:rsid w:val="00F96D85"/>
    <w:rsid w:val="00FA11AF"/>
    <w:rsid w:val="00FA5B82"/>
    <w:rsid w:val="00FA639E"/>
    <w:rsid w:val="00FC19B4"/>
    <w:rsid w:val="00FC25E4"/>
    <w:rsid w:val="00FC4EF7"/>
    <w:rsid w:val="00FD752D"/>
    <w:rsid w:val="00FE1DEE"/>
    <w:rsid w:val="00FE6B10"/>
    <w:rsid w:val="00FF2126"/>
    <w:rsid w:val="00FF27E4"/>
    <w:rsid w:val="00FF5755"/>
    <w:rsid w:val="00FF627D"/>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51D4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E30AC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0AC4"/>
    <w:rPr>
      <w:rFonts w:ascii="Tahoma" w:eastAsia="Cambria" w:hAnsi="Tahoma" w:cs="Tahoma"/>
      <w:sz w:val="16"/>
      <w:szCs w:val="16"/>
    </w:rPr>
  </w:style>
  <w:style w:type="paragraph" w:styleId="FootnoteText">
    <w:name w:val="footnote text"/>
    <w:basedOn w:val="Normal"/>
    <w:link w:val="FootnoteTextChar"/>
    <w:uiPriority w:val="99"/>
    <w:unhideWhenUsed/>
    <w:rsid w:val="00E51D4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E51D4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B12C50"/>
    <w:rPr>
      <w:vertAlign w:val="superscript"/>
    </w:rPr>
  </w:style>
  <w:style w:type="paragraph" w:styleId="NormalWeb">
    <w:name w:val="Normal (Web)"/>
    <w:basedOn w:val="Normal"/>
    <w:uiPriority w:val="99"/>
    <w:semiHidden/>
    <w:unhideWhenUsed/>
    <w:rsid w:val="00B12C50"/>
    <w:rPr>
      <w:rFonts w:ascii="Times New Roman" w:hAnsi="Times New Roman"/>
      <w:sz w:val="24"/>
      <w:szCs w:val="24"/>
    </w:rPr>
  </w:style>
  <w:style w:type="character" w:styleId="CommentReference">
    <w:name w:val="annotation reference"/>
    <w:basedOn w:val="DefaultParagraphFont"/>
    <w:uiPriority w:val="99"/>
    <w:semiHidden/>
    <w:unhideWhenUsed/>
    <w:rsid w:val="003B2C8B"/>
    <w:rPr>
      <w:sz w:val="16"/>
      <w:szCs w:val="16"/>
    </w:rPr>
  </w:style>
  <w:style w:type="paragraph" w:styleId="CommentText">
    <w:name w:val="annotation text"/>
    <w:basedOn w:val="Normal"/>
    <w:link w:val="CommentTextChar"/>
    <w:uiPriority w:val="99"/>
    <w:semiHidden/>
    <w:unhideWhenUsed/>
    <w:rsid w:val="003B2C8B"/>
    <w:pPr>
      <w:spacing w:line="240" w:lineRule="auto"/>
    </w:pPr>
    <w:rPr>
      <w:sz w:val="20"/>
      <w:szCs w:val="20"/>
    </w:rPr>
  </w:style>
  <w:style w:type="character" w:customStyle="1" w:styleId="CommentTextChar">
    <w:name w:val="Comment Text Char"/>
    <w:basedOn w:val="DefaultParagraphFont"/>
    <w:link w:val="CommentText"/>
    <w:uiPriority w:val="99"/>
    <w:semiHidden/>
    <w:rsid w:val="003B2C8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B2C8B"/>
    <w:rPr>
      <w:b/>
      <w:bCs/>
    </w:rPr>
  </w:style>
  <w:style w:type="character" w:customStyle="1" w:styleId="CommentSubjectChar">
    <w:name w:val="Comment Subject Char"/>
    <w:basedOn w:val="CommentTextChar"/>
    <w:link w:val="CommentSubject"/>
    <w:uiPriority w:val="99"/>
    <w:semiHidden/>
    <w:rsid w:val="003B2C8B"/>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E30AC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0AC4"/>
    <w:rPr>
      <w:rFonts w:ascii="Tahoma" w:eastAsia="Cambria" w:hAnsi="Tahoma" w:cs="Tahoma"/>
      <w:sz w:val="16"/>
      <w:szCs w:val="16"/>
    </w:rPr>
  </w:style>
  <w:style w:type="paragraph" w:styleId="FootnoteText">
    <w:name w:val="footnote text"/>
    <w:basedOn w:val="Normal"/>
    <w:link w:val="FootnoteTextChar"/>
    <w:uiPriority w:val="99"/>
    <w:unhideWhenUsed/>
    <w:rsid w:val="00B12C5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12C50"/>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12C50"/>
    <w:rPr>
      <w:vertAlign w:val="superscript"/>
    </w:rPr>
  </w:style>
  <w:style w:type="paragraph" w:styleId="NormalWeb">
    <w:name w:val="Normal (Web)"/>
    <w:basedOn w:val="Normal"/>
    <w:uiPriority w:val="99"/>
    <w:semiHidden/>
    <w:unhideWhenUsed/>
    <w:rsid w:val="00B12C50"/>
    <w:rPr>
      <w:rFonts w:ascii="Times New Roman" w:hAnsi="Times New Roman"/>
      <w:sz w:val="24"/>
      <w:szCs w:val="24"/>
    </w:rPr>
  </w:style>
  <w:style w:type="character" w:styleId="CommentReference">
    <w:name w:val="annotation reference"/>
    <w:basedOn w:val="DefaultParagraphFont"/>
    <w:uiPriority w:val="99"/>
    <w:semiHidden/>
    <w:unhideWhenUsed/>
    <w:rsid w:val="003B2C8B"/>
    <w:rPr>
      <w:sz w:val="16"/>
      <w:szCs w:val="16"/>
    </w:rPr>
  </w:style>
  <w:style w:type="paragraph" w:styleId="CommentText">
    <w:name w:val="annotation text"/>
    <w:basedOn w:val="Normal"/>
    <w:link w:val="CommentTextChar"/>
    <w:uiPriority w:val="99"/>
    <w:semiHidden/>
    <w:unhideWhenUsed/>
    <w:rsid w:val="003B2C8B"/>
    <w:pPr>
      <w:spacing w:line="240" w:lineRule="auto"/>
    </w:pPr>
    <w:rPr>
      <w:sz w:val="20"/>
      <w:szCs w:val="20"/>
    </w:rPr>
  </w:style>
  <w:style w:type="character" w:customStyle="1" w:styleId="CommentTextChar">
    <w:name w:val="Comment Text Char"/>
    <w:basedOn w:val="DefaultParagraphFont"/>
    <w:link w:val="CommentText"/>
    <w:uiPriority w:val="99"/>
    <w:semiHidden/>
    <w:rsid w:val="003B2C8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B2C8B"/>
    <w:rPr>
      <w:b/>
      <w:bCs/>
    </w:rPr>
  </w:style>
  <w:style w:type="character" w:customStyle="1" w:styleId="CommentSubjectChar">
    <w:name w:val="Comment Subject Char"/>
    <w:basedOn w:val="CommentTextChar"/>
    <w:link w:val="CommentSubject"/>
    <w:uiPriority w:val="99"/>
    <w:semiHidden/>
    <w:rsid w:val="003B2C8B"/>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87176">
      <w:bodyDiv w:val="1"/>
      <w:marLeft w:val="0"/>
      <w:marRight w:val="0"/>
      <w:marTop w:val="0"/>
      <w:marBottom w:val="0"/>
      <w:divBdr>
        <w:top w:val="none" w:sz="0" w:space="0" w:color="auto"/>
        <w:left w:val="none" w:sz="0" w:space="0" w:color="auto"/>
        <w:bottom w:val="none" w:sz="0" w:space="0" w:color="auto"/>
        <w:right w:val="none" w:sz="0" w:space="0" w:color="auto"/>
      </w:divBdr>
    </w:div>
    <w:div w:id="150158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tga.gov.au/hp/information-medicines-pi.htm"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AppData\Local\Hewlett-Packard\HP%20TRIM\TEMP\HPTRIM.2384\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E8596-B328-407E-9DAB-C7FC3B543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41</TotalTime>
  <Pages>42</Pages>
  <Words>11644</Words>
  <Characters>66376</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77865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Imatinib</dc:title>
  <dc:subject>prescription medicine regulation</dc:subject>
  <dc:creator>Therapeutic Goods Administration</dc:creator>
  <cp:keywords>auspar, prescription, medicine, assessment, regulation, australia, imatinib, glivec, novartis, pharmaceuticals</cp:keywords>
  <cp:lastModifiedBy>dixonj</cp:lastModifiedBy>
  <cp:revision>18</cp:revision>
  <cp:lastPrinted>2013-12-12T01:24:00Z</cp:lastPrinted>
  <dcterms:created xsi:type="dcterms:W3CDTF">2014-01-22T01:36:00Z</dcterms:created>
  <dcterms:modified xsi:type="dcterms:W3CDTF">2014-03-14T04:05:00Z</dcterms:modified>
  <cp:category>External publication</cp:category>
</cp:coreProperties>
</file>