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0F" w:rsidRPr="007A1703" w:rsidRDefault="00E76F0D" w:rsidP="004D6E28">
      <w:pPr>
        <w:pStyle w:val="Lemm1"/>
        <w:rPr>
          <w:b/>
          <w:sz w:val="32"/>
          <w:szCs w:val="32"/>
          <w:lang w:val="en-AU"/>
        </w:rPr>
      </w:pPr>
      <w:r w:rsidRPr="007A1703">
        <w:rPr>
          <w:b/>
          <w:sz w:val="32"/>
          <w:szCs w:val="32"/>
          <w:lang w:val="en-AU"/>
        </w:rPr>
        <w:t>Product Information</w:t>
      </w:r>
    </w:p>
    <w:p w:rsidR="00C454D6" w:rsidRDefault="00C454D6" w:rsidP="004D6E28">
      <w:pPr>
        <w:pStyle w:val="Lemm1"/>
        <w:rPr>
          <w:b/>
          <w:sz w:val="32"/>
          <w:szCs w:val="32"/>
          <w:lang w:val="en-AU"/>
        </w:rPr>
      </w:pPr>
    </w:p>
    <w:p w:rsidR="0037530F" w:rsidRPr="00446725" w:rsidRDefault="00AC2249" w:rsidP="004D6E28">
      <w:pPr>
        <w:pStyle w:val="Lemm1"/>
        <w:rPr>
          <w:b/>
          <w:sz w:val="32"/>
          <w:szCs w:val="32"/>
          <w:lang w:val="en-AU"/>
        </w:rPr>
      </w:pPr>
      <w:r w:rsidRPr="00446725">
        <w:rPr>
          <w:b/>
          <w:sz w:val="32"/>
          <w:szCs w:val="32"/>
          <w:lang w:val="en-AU"/>
        </w:rPr>
        <w:t>Name of the Medicine</w:t>
      </w:r>
    </w:p>
    <w:p w:rsidR="00C454D6" w:rsidRDefault="00C454D6" w:rsidP="004D6E28">
      <w:pPr>
        <w:pStyle w:val="Lemm1"/>
        <w:outlineLvl w:val="0"/>
        <w:rPr>
          <w:b/>
          <w:sz w:val="24"/>
          <w:lang w:val="en-AU"/>
        </w:rPr>
      </w:pPr>
    </w:p>
    <w:p w:rsidR="0037530F" w:rsidRPr="007A1703" w:rsidRDefault="0064758D" w:rsidP="004D6E28">
      <w:pPr>
        <w:pStyle w:val="Lemm1"/>
        <w:outlineLvl w:val="0"/>
        <w:rPr>
          <w:b/>
          <w:sz w:val="32"/>
          <w:lang w:val="en-AU"/>
        </w:rPr>
      </w:pPr>
      <w:r w:rsidRPr="00A160B4">
        <w:rPr>
          <w:b/>
          <w:sz w:val="32"/>
          <w:szCs w:val="32"/>
          <w:lang w:val="en-AU"/>
        </w:rPr>
        <w:t>GAMUNEX</w:t>
      </w:r>
      <w:r w:rsidRPr="00A160B4">
        <w:rPr>
          <w:snapToGrid w:val="0"/>
          <w:sz w:val="32"/>
          <w:szCs w:val="32"/>
          <w:vertAlign w:val="superscript"/>
          <w:lang w:val="en-AU" w:eastAsia="en-US"/>
        </w:rPr>
        <w:t>®</w:t>
      </w:r>
      <w:r w:rsidR="00F50FA5" w:rsidRPr="00A160B4">
        <w:rPr>
          <w:snapToGrid w:val="0"/>
          <w:sz w:val="32"/>
          <w:szCs w:val="32"/>
          <w:lang w:val="en-AU" w:eastAsia="en-US"/>
        </w:rPr>
        <w:t>,</w:t>
      </w:r>
      <w:r w:rsidR="00F50FA5" w:rsidRPr="007A1703">
        <w:rPr>
          <w:snapToGrid w:val="0"/>
          <w:sz w:val="24"/>
          <w:lang w:val="en-AU" w:eastAsia="en-US"/>
        </w:rPr>
        <w:t xml:space="preserve"> </w:t>
      </w:r>
      <w:smartTag w:uri="urn:schemas-microsoft-com:office:smarttags" w:element="place">
        <w:r w:rsidR="00C81835">
          <w:rPr>
            <w:b/>
            <w:sz w:val="32"/>
            <w:lang w:val="en-AU"/>
          </w:rPr>
          <w:t>N</w:t>
        </w:r>
        <w:r w:rsidR="004F25D8" w:rsidRPr="007A1703">
          <w:rPr>
            <w:b/>
            <w:sz w:val="32"/>
            <w:lang w:val="en-AU"/>
          </w:rPr>
          <w:t>ormal</w:t>
        </w:r>
      </w:smartTag>
      <w:r w:rsidR="004F25D8" w:rsidRPr="007A1703">
        <w:rPr>
          <w:b/>
          <w:sz w:val="32"/>
          <w:lang w:val="en-AU"/>
        </w:rPr>
        <w:t xml:space="preserve"> </w:t>
      </w:r>
      <w:r w:rsidR="00C81835">
        <w:rPr>
          <w:b/>
          <w:sz w:val="32"/>
          <w:lang w:val="en-AU"/>
        </w:rPr>
        <w:t>I</w:t>
      </w:r>
      <w:r w:rsidR="004F25D8" w:rsidRPr="007A1703">
        <w:rPr>
          <w:b/>
          <w:sz w:val="32"/>
          <w:lang w:val="en-AU"/>
        </w:rPr>
        <w:t xml:space="preserve">mmunoglobulin </w:t>
      </w:r>
      <w:r w:rsidR="00C81835">
        <w:rPr>
          <w:b/>
          <w:sz w:val="32"/>
          <w:lang w:val="en-AU"/>
        </w:rPr>
        <w:t>(Human)</w:t>
      </w:r>
      <w:r w:rsidR="0037530F" w:rsidRPr="007A1703">
        <w:rPr>
          <w:b/>
          <w:sz w:val="32"/>
          <w:lang w:val="en-AU"/>
        </w:rPr>
        <w:t>, 10%,</w:t>
      </w:r>
      <w:r w:rsidR="00C81835">
        <w:rPr>
          <w:b/>
          <w:sz w:val="32"/>
          <w:lang w:val="en-AU"/>
        </w:rPr>
        <w:t xml:space="preserve"> for </w:t>
      </w:r>
      <w:r w:rsidR="00C81835" w:rsidRPr="005C1FFC">
        <w:rPr>
          <w:b/>
          <w:sz w:val="32"/>
          <w:lang w:val="en-AU"/>
        </w:rPr>
        <w:t xml:space="preserve">Intravenous </w:t>
      </w:r>
      <w:r w:rsidR="00814AE1">
        <w:rPr>
          <w:b/>
          <w:sz w:val="32"/>
          <w:lang w:val="en-AU"/>
        </w:rPr>
        <w:t>or Subcutaneous Administration</w:t>
      </w:r>
    </w:p>
    <w:p w:rsidR="0037530F" w:rsidRPr="007A1703" w:rsidRDefault="0037530F" w:rsidP="004D6E28">
      <w:pPr>
        <w:pStyle w:val="Lemm1"/>
        <w:rPr>
          <w:b/>
          <w:sz w:val="24"/>
          <w:lang w:val="en-AU"/>
        </w:rPr>
      </w:pPr>
    </w:p>
    <w:p w:rsidR="00F651EF" w:rsidRDefault="00F651EF" w:rsidP="004D6E28">
      <w:pPr>
        <w:pStyle w:val="Lemm1"/>
        <w:jc w:val="both"/>
        <w:outlineLvl w:val="0"/>
        <w:rPr>
          <w:b/>
          <w:szCs w:val="22"/>
          <w:lang w:val="en-AU"/>
        </w:rPr>
      </w:pPr>
    </w:p>
    <w:p w:rsidR="0037530F" w:rsidRPr="007A1703" w:rsidRDefault="0037530F" w:rsidP="004D6E28">
      <w:pPr>
        <w:pStyle w:val="Lemm1"/>
        <w:jc w:val="both"/>
        <w:outlineLvl w:val="0"/>
        <w:rPr>
          <w:b/>
          <w:szCs w:val="22"/>
          <w:lang w:val="en-AU"/>
        </w:rPr>
      </w:pPr>
      <w:r w:rsidRPr="007A1703">
        <w:rPr>
          <w:b/>
          <w:szCs w:val="22"/>
          <w:lang w:val="en-AU"/>
        </w:rPr>
        <w:t>DESCRIPTION</w:t>
      </w:r>
    </w:p>
    <w:p w:rsidR="0037530F" w:rsidRPr="007A1703" w:rsidRDefault="0037530F" w:rsidP="004D6E28">
      <w:pPr>
        <w:jc w:val="both"/>
        <w:rPr>
          <w:rFonts w:ascii="Arial" w:hAnsi="Arial"/>
          <w:sz w:val="22"/>
          <w:szCs w:val="22"/>
          <w:lang w:val="en-AU"/>
        </w:rPr>
      </w:pPr>
    </w:p>
    <w:p w:rsidR="0037530F" w:rsidRPr="007A1703" w:rsidRDefault="0064758D" w:rsidP="004D6E28">
      <w:pPr>
        <w:pStyle w:val="Lemm1"/>
        <w:jc w:val="both"/>
        <w:rPr>
          <w:szCs w:val="22"/>
          <w:lang w:val="en-AU"/>
        </w:rPr>
      </w:pPr>
      <w:r w:rsidRPr="007A1703">
        <w:rPr>
          <w:szCs w:val="22"/>
          <w:lang w:val="en-AU"/>
        </w:rPr>
        <w:t>GAMUNEX</w:t>
      </w:r>
      <w:r w:rsidRPr="007A1703">
        <w:rPr>
          <w:snapToGrid w:val="0"/>
          <w:szCs w:val="22"/>
          <w:vertAlign w:val="superscript"/>
          <w:lang w:val="en-AU" w:eastAsia="en-US"/>
        </w:rPr>
        <w:t>®</w:t>
      </w:r>
      <w:r w:rsidRPr="007A1703">
        <w:rPr>
          <w:snapToGrid w:val="0"/>
          <w:szCs w:val="22"/>
          <w:lang w:val="en-AU" w:eastAsia="en-US"/>
        </w:rPr>
        <w:t xml:space="preserve">, </w:t>
      </w:r>
      <w:r w:rsidR="004F25D8" w:rsidRPr="007A1703">
        <w:rPr>
          <w:szCs w:val="22"/>
          <w:lang w:val="en-AU"/>
        </w:rPr>
        <w:t xml:space="preserve">normal immunoglobulin </w:t>
      </w:r>
      <w:r w:rsidR="00C81835">
        <w:rPr>
          <w:szCs w:val="22"/>
          <w:lang w:val="en-AU"/>
        </w:rPr>
        <w:t>(human)</w:t>
      </w:r>
      <w:r w:rsidR="0037530F" w:rsidRPr="007A1703">
        <w:rPr>
          <w:szCs w:val="22"/>
          <w:lang w:val="en-AU"/>
        </w:rPr>
        <w:t>, 10%</w:t>
      </w:r>
      <w:r w:rsidRPr="007A1703">
        <w:rPr>
          <w:szCs w:val="22"/>
          <w:lang w:val="en-AU"/>
        </w:rPr>
        <w:t>,</w:t>
      </w:r>
      <w:r w:rsidR="0037530F" w:rsidRPr="007A1703">
        <w:rPr>
          <w:szCs w:val="22"/>
          <w:lang w:val="en-AU"/>
        </w:rPr>
        <w:t xml:space="preserve"> is a ready-to-use sterile solution of human immune globulin protein for intravenous </w:t>
      </w:r>
      <w:r w:rsidR="00BD3E7A" w:rsidRPr="005C1FFC">
        <w:t>or subcutaneous</w:t>
      </w:r>
      <w:r w:rsidR="00BD3E7A" w:rsidRPr="00BD74E3">
        <w:t xml:space="preserve"> </w:t>
      </w:r>
      <w:r w:rsidR="0037530F" w:rsidRPr="007A1703">
        <w:rPr>
          <w:szCs w:val="22"/>
          <w:lang w:val="en-AU"/>
        </w:rPr>
        <w:t xml:space="preserve">administration. </w:t>
      </w:r>
      <w:r w:rsidR="00E70EFD">
        <w:rPr>
          <w:szCs w:val="22"/>
          <w:lang w:val="en-AU"/>
        </w:rPr>
        <w:t>GAMUNEX</w:t>
      </w:r>
      <w:r w:rsidR="00E70EFD" w:rsidRPr="007A1703">
        <w:rPr>
          <w:snapToGrid w:val="0"/>
          <w:szCs w:val="22"/>
          <w:vertAlign w:val="superscript"/>
          <w:lang w:val="en-AU" w:eastAsia="en-US"/>
        </w:rPr>
        <w:t>®</w:t>
      </w:r>
      <w:r w:rsidR="00E70EFD">
        <w:rPr>
          <w:szCs w:val="22"/>
          <w:lang w:val="en-AU"/>
        </w:rPr>
        <w:t xml:space="preserve"> supplies a broad spectrum of </w:t>
      </w:r>
      <w:proofErr w:type="spellStart"/>
      <w:r w:rsidR="00E70EFD">
        <w:rPr>
          <w:szCs w:val="22"/>
          <w:lang w:val="en-AU"/>
        </w:rPr>
        <w:t>opsonic</w:t>
      </w:r>
      <w:proofErr w:type="spellEnd"/>
      <w:r w:rsidR="00E70EFD">
        <w:rPr>
          <w:szCs w:val="22"/>
          <w:lang w:val="en-AU"/>
        </w:rPr>
        <w:t xml:space="preserve"> and neutralizing </w:t>
      </w:r>
      <w:proofErr w:type="spellStart"/>
      <w:r w:rsidR="00E70EFD">
        <w:rPr>
          <w:szCs w:val="22"/>
          <w:lang w:val="en-AU"/>
        </w:rPr>
        <w:t>IgG</w:t>
      </w:r>
      <w:proofErr w:type="spellEnd"/>
      <w:r w:rsidR="00E70EFD">
        <w:rPr>
          <w:szCs w:val="22"/>
          <w:lang w:val="en-AU"/>
        </w:rPr>
        <w:t xml:space="preserve"> antibodies against bacteria or their toxins.  </w:t>
      </w:r>
      <w:r w:rsidR="0037530F" w:rsidRPr="007A1703">
        <w:rPr>
          <w:szCs w:val="22"/>
          <w:lang w:val="en-AU"/>
        </w:rPr>
        <w:t>GAMUNEX</w:t>
      </w:r>
      <w:r w:rsidR="0037530F" w:rsidRPr="007A1703">
        <w:rPr>
          <w:snapToGrid w:val="0"/>
          <w:szCs w:val="22"/>
          <w:vertAlign w:val="superscript"/>
          <w:lang w:val="en-AU" w:eastAsia="en-US"/>
        </w:rPr>
        <w:t>®</w:t>
      </w:r>
      <w:r w:rsidR="0037530F" w:rsidRPr="007A1703">
        <w:rPr>
          <w:szCs w:val="22"/>
          <w:lang w:val="en-AU"/>
        </w:rPr>
        <w:t xml:space="preserve"> consists of 9%–11% protein in 0.16–0.24 M </w:t>
      </w:r>
      <w:proofErr w:type="spellStart"/>
      <w:r w:rsidR="0037530F" w:rsidRPr="007A1703">
        <w:rPr>
          <w:szCs w:val="22"/>
          <w:lang w:val="en-AU"/>
        </w:rPr>
        <w:t>glycine</w:t>
      </w:r>
      <w:proofErr w:type="spellEnd"/>
      <w:r w:rsidR="0037530F" w:rsidRPr="007A1703">
        <w:rPr>
          <w:szCs w:val="22"/>
          <w:lang w:val="en-AU"/>
        </w:rPr>
        <w:t xml:space="preserve">. Not less than 98% of the protein has the </w:t>
      </w:r>
      <w:proofErr w:type="spellStart"/>
      <w:r w:rsidR="0037530F" w:rsidRPr="007A1703">
        <w:rPr>
          <w:szCs w:val="22"/>
          <w:lang w:val="en-AU"/>
        </w:rPr>
        <w:t>electrophoretic</w:t>
      </w:r>
      <w:proofErr w:type="spellEnd"/>
      <w:r w:rsidR="0037530F" w:rsidRPr="007A1703">
        <w:rPr>
          <w:szCs w:val="22"/>
          <w:lang w:val="en-AU"/>
        </w:rPr>
        <w:t xml:space="preserve"> mobility of gamma globulin. GAMUNEX</w:t>
      </w:r>
      <w:r w:rsidR="0037530F" w:rsidRPr="007A1703">
        <w:rPr>
          <w:snapToGrid w:val="0"/>
          <w:szCs w:val="22"/>
          <w:vertAlign w:val="superscript"/>
          <w:lang w:val="en-AU" w:eastAsia="en-US"/>
        </w:rPr>
        <w:t>®</w:t>
      </w:r>
      <w:r w:rsidR="0037530F" w:rsidRPr="007A1703">
        <w:rPr>
          <w:szCs w:val="22"/>
          <w:lang w:val="en-AU"/>
        </w:rPr>
        <w:t xml:space="preserve"> contains trace levels of fragments and </w:t>
      </w:r>
      <w:proofErr w:type="spellStart"/>
      <w:r w:rsidR="0037530F" w:rsidRPr="007A1703">
        <w:rPr>
          <w:szCs w:val="22"/>
          <w:lang w:val="en-AU"/>
        </w:rPr>
        <w:t>IgA</w:t>
      </w:r>
      <w:proofErr w:type="spellEnd"/>
      <w:r w:rsidR="0037530F" w:rsidRPr="007A1703">
        <w:rPr>
          <w:szCs w:val="22"/>
          <w:lang w:val="en-AU"/>
        </w:rPr>
        <w:t xml:space="preserve"> (</w:t>
      </w:r>
      <w:r w:rsidR="00C81835">
        <w:rPr>
          <w:rFonts w:cs="Arial"/>
          <w:szCs w:val="22"/>
          <w:lang w:val="en-AU"/>
        </w:rPr>
        <w:t>≤</w:t>
      </w:r>
      <w:r w:rsidR="00C81835">
        <w:rPr>
          <w:szCs w:val="22"/>
          <w:lang w:val="en-AU"/>
        </w:rPr>
        <w:t xml:space="preserve"> 0.084</w:t>
      </w:r>
      <w:r w:rsidR="0037530F" w:rsidRPr="007A1703">
        <w:rPr>
          <w:szCs w:val="22"/>
          <w:lang w:val="en-AU"/>
        </w:rPr>
        <w:t xml:space="preserve"> mg/</w:t>
      </w:r>
      <w:proofErr w:type="spellStart"/>
      <w:r w:rsidR="0037530F" w:rsidRPr="007A1703">
        <w:rPr>
          <w:szCs w:val="22"/>
          <w:lang w:val="en-AU"/>
        </w:rPr>
        <w:t>mL</w:t>
      </w:r>
      <w:proofErr w:type="spellEnd"/>
      <w:r w:rsidR="0037530F" w:rsidRPr="007A1703">
        <w:rPr>
          <w:szCs w:val="22"/>
          <w:lang w:val="en-AU"/>
        </w:rPr>
        <w:t>)</w:t>
      </w:r>
      <w:r w:rsidR="00D801C4">
        <w:rPr>
          <w:szCs w:val="22"/>
          <w:lang w:val="en-AU"/>
        </w:rPr>
        <w:t xml:space="preserve"> and </w:t>
      </w:r>
      <w:proofErr w:type="spellStart"/>
      <w:r w:rsidR="00D801C4">
        <w:rPr>
          <w:szCs w:val="22"/>
          <w:lang w:val="en-AU"/>
        </w:rPr>
        <w:t>IgM</w:t>
      </w:r>
      <w:proofErr w:type="spellEnd"/>
      <w:r w:rsidR="0037530F" w:rsidRPr="007A1703">
        <w:rPr>
          <w:szCs w:val="22"/>
          <w:lang w:val="en-AU"/>
        </w:rPr>
        <w:t>.</w:t>
      </w:r>
      <w:r w:rsidR="00E70EFD">
        <w:rPr>
          <w:szCs w:val="22"/>
          <w:lang w:val="en-AU"/>
        </w:rPr>
        <w:t xml:space="preserve">  </w:t>
      </w:r>
      <w:r w:rsidR="0037530F" w:rsidRPr="007A1703">
        <w:rPr>
          <w:szCs w:val="22"/>
          <w:lang w:val="en-AU"/>
        </w:rPr>
        <w:t xml:space="preserve">The distribution of </w:t>
      </w:r>
      <w:proofErr w:type="spellStart"/>
      <w:r w:rsidR="0037530F" w:rsidRPr="007A1703">
        <w:rPr>
          <w:szCs w:val="22"/>
          <w:lang w:val="en-AU"/>
        </w:rPr>
        <w:t>IgG</w:t>
      </w:r>
      <w:proofErr w:type="spellEnd"/>
      <w:r w:rsidR="0037530F" w:rsidRPr="007A1703">
        <w:rPr>
          <w:szCs w:val="22"/>
          <w:lang w:val="en-AU"/>
        </w:rPr>
        <w:t xml:space="preserve"> subclasses is similar to that found in normal serum. The measured buffer capacity is 35 </w:t>
      </w:r>
      <w:proofErr w:type="spellStart"/>
      <w:r w:rsidR="0037530F" w:rsidRPr="007A1703">
        <w:rPr>
          <w:szCs w:val="22"/>
          <w:lang w:val="en-AU"/>
        </w:rPr>
        <w:t>mEq</w:t>
      </w:r>
      <w:proofErr w:type="spellEnd"/>
      <w:r w:rsidR="0037530F" w:rsidRPr="007A1703">
        <w:rPr>
          <w:szCs w:val="22"/>
          <w:lang w:val="en-AU"/>
        </w:rPr>
        <w:t xml:space="preserve">/L and the </w:t>
      </w:r>
      <w:proofErr w:type="spellStart"/>
      <w:r w:rsidR="0037530F" w:rsidRPr="007A1703">
        <w:rPr>
          <w:szCs w:val="22"/>
          <w:lang w:val="en-AU"/>
        </w:rPr>
        <w:t>osmolality</w:t>
      </w:r>
      <w:proofErr w:type="spellEnd"/>
      <w:r w:rsidR="0037530F" w:rsidRPr="007A1703">
        <w:rPr>
          <w:szCs w:val="22"/>
          <w:lang w:val="en-AU"/>
        </w:rPr>
        <w:t xml:space="preserve"> is 258 </w:t>
      </w:r>
      <w:proofErr w:type="spellStart"/>
      <w:r w:rsidR="0037530F" w:rsidRPr="007A1703">
        <w:rPr>
          <w:szCs w:val="22"/>
          <w:lang w:val="en-AU"/>
        </w:rPr>
        <w:t>mOsmol</w:t>
      </w:r>
      <w:proofErr w:type="spellEnd"/>
      <w:r w:rsidR="0037530F" w:rsidRPr="007A1703">
        <w:rPr>
          <w:szCs w:val="22"/>
          <w:lang w:val="en-AU"/>
        </w:rPr>
        <w:t xml:space="preserve">/kg solvent, which is close to physiological </w:t>
      </w:r>
      <w:proofErr w:type="spellStart"/>
      <w:r w:rsidR="0037530F" w:rsidRPr="007A1703">
        <w:rPr>
          <w:szCs w:val="22"/>
          <w:lang w:val="en-AU"/>
        </w:rPr>
        <w:t>osmolality</w:t>
      </w:r>
      <w:proofErr w:type="spellEnd"/>
      <w:r w:rsidR="0037530F" w:rsidRPr="007A1703">
        <w:rPr>
          <w:szCs w:val="22"/>
          <w:lang w:val="en-AU"/>
        </w:rPr>
        <w:t xml:space="preserve"> (285</w:t>
      </w:r>
      <w:r w:rsidR="00B62A06" w:rsidRPr="007A1703">
        <w:rPr>
          <w:szCs w:val="22"/>
          <w:lang w:val="en-AU"/>
        </w:rPr>
        <w:t xml:space="preserve"> </w:t>
      </w:r>
      <w:r w:rsidR="0037530F" w:rsidRPr="007A1703">
        <w:rPr>
          <w:szCs w:val="22"/>
          <w:lang w:val="en-AU"/>
        </w:rPr>
        <w:t>-</w:t>
      </w:r>
      <w:r w:rsidR="00B62A06" w:rsidRPr="007A1703">
        <w:rPr>
          <w:szCs w:val="22"/>
          <w:lang w:val="en-AU"/>
        </w:rPr>
        <w:t xml:space="preserve"> </w:t>
      </w:r>
      <w:r w:rsidR="0037530F" w:rsidRPr="007A1703">
        <w:rPr>
          <w:szCs w:val="22"/>
          <w:lang w:val="en-AU"/>
        </w:rPr>
        <w:t>295 </w:t>
      </w:r>
      <w:proofErr w:type="spellStart"/>
      <w:r w:rsidR="0037530F" w:rsidRPr="007A1703">
        <w:rPr>
          <w:szCs w:val="22"/>
          <w:lang w:val="en-AU"/>
        </w:rPr>
        <w:t>mOsmol</w:t>
      </w:r>
      <w:proofErr w:type="spellEnd"/>
      <w:r w:rsidR="0037530F" w:rsidRPr="007A1703">
        <w:rPr>
          <w:szCs w:val="22"/>
          <w:lang w:val="en-AU"/>
        </w:rPr>
        <w:t>/kg). The pH of GAMUNEX</w:t>
      </w:r>
      <w:r w:rsidR="0037530F" w:rsidRPr="007A1703">
        <w:rPr>
          <w:snapToGrid w:val="0"/>
          <w:szCs w:val="22"/>
          <w:vertAlign w:val="superscript"/>
          <w:lang w:val="en-AU" w:eastAsia="en-US"/>
        </w:rPr>
        <w:t>®</w:t>
      </w:r>
      <w:r w:rsidR="0037530F" w:rsidRPr="007A1703">
        <w:rPr>
          <w:snapToGrid w:val="0"/>
          <w:szCs w:val="22"/>
          <w:lang w:val="en-AU" w:eastAsia="en-US"/>
        </w:rPr>
        <w:t xml:space="preserve"> is 4.0 – 4.5. </w:t>
      </w:r>
      <w:r w:rsidR="0037530F" w:rsidRPr="007A1703">
        <w:rPr>
          <w:szCs w:val="22"/>
          <w:lang w:val="en-AU"/>
        </w:rPr>
        <w:t>GAMUNEX</w:t>
      </w:r>
      <w:r w:rsidR="0037530F" w:rsidRPr="007A1703">
        <w:rPr>
          <w:snapToGrid w:val="0"/>
          <w:szCs w:val="22"/>
          <w:vertAlign w:val="superscript"/>
          <w:lang w:val="en-AU" w:eastAsia="en-US"/>
        </w:rPr>
        <w:t>®</w:t>
      </w:r>
      <w:r w:rsidR="0037530F" w:rsidRPr="007A1703">
        <w:rPr>
          <w:szCs w:val="22"/>
          <w:lang w:val="en-AU"/>
        </w:rPr>
        <w:t xml:space="preserve"> contains no preservative.</w:t>
      </w:r>
    </w:p>
    <w:p w:rsidR="0037530F" w:rsidRPr="007A1703" w:rsidRDefault="0037530F" w:rsidP="004D6E28">
      <w:pPr>
        <w:jc w:val="both"/>
        <w:rPr>
          <w:rFonts w:ascii="Arial" w:hAnsi="Arial"/>
          <w:sz w:val="22"/>
          <w:szCs w:val="22"/>
          <w:lang w:val="en-AU"/>
        </w:rPr>
      </w:pPr>
    </w:p>
    <w:p w:rsidR="0037530F" w:rsidRPr="007A1703" w:rsidRDefault="0037530F" w:rsidP="004D6E28">
      <w:pPr>
        <w:jc w:val="both"/>
        <w:rPr>
          <w:rFonts w:ascii="Arial" w:hAnsi="Arial"/>
          <w:sz w:val="22"/>
          <w:szCs w:val="22"/>
          <w:lang w:val="en-AU"/>
        </w:rPr>
      </w:pPr>
      <w:r w:rsidRPr="007A1703">
        <w:rPr>
          <w:rFonts w:ascii="Arial" w:hAnsi="Arial"/>
          <w:sz w:val="22"/>
          <w:szCs w:val="22"/>
          <w:lang w:val="en-AU"/>
        </w:rPr>
        <w:t>GAMUNEX</w:t>
      </w:r>
      <w:r w:rsidRPr="007A1703">
        <w:rPr>
          <w:rFonts w:ascii="Arial" w:hAnsi="Arial"/>
          <w:snapToGrid w:val="0"/>
          <w:sz w:val="22"/>
          <w:szCs w:val="22"/>
          <w:vertAlign w:val="superscript"/>
          <w:lang w:val="en-AU" w:eastAsia="en-US"/>
        </w:rPr>
        <w:t>®</w:t>
      </w:r>
      <w:r w:rsidRPr="007A1703">
        <w:rPr>
          <w:rFonts w:ascii="Arial" w:hAnsi="Arial"/>
          <w:sz w:val="22"/>
          <w:szCs w:val="22"/>
          <w:lang w:val="en-AU"/>
        </w:rPr>
        <w:t xml:space="preserve"> is made from large pools of human plasma by a combination of cold ethanol fractionation, </w:t>
      </w:r>
      <w:proofErr w:type="spellStart"/>
      <w:r w:rsidRPr="007A1703">
        <w:rPr>
          <w:rFonts w:ascii="Arial" w:hAnsi="Arial"/>
          <w:sz w:val="22"/>
          <w:szCs w:val="22"/>
          <w:lang w:val="en-AU"/>
        </w:rPr>
        <w:t>caprylate</w:t>
      </w:r>
      <w:proofErr w:type="spellEnd"/>
      <w:r w:rsidRPr="007A1703">
        <w:rPr>
          <w:rFonts w:ascii="Arial" w:hAnsi="Arial"/>
          <w:sz w:val="22"/>
          <w:szCs w:val="22"/>
          <w:lang w:val="en-AU"/>
        </w:rPr>
        <w:t xml:space="preserve"> precipitation and filtration, and anion-exchange chromatography. </w:t>
      </w:r>
      <w:r w:rsidR="00E70EFD">
        <w:rPr>
          <w:rFonts w:ascii="Arial" w:hAnsi="Arial"/>
          <w:sz w:val="22"/>
          <w:szCs w:val="22"/>
          <w:lang w:val="en-AU"/>
        </w:rPr>
        <w:t xml:space="preserve">The plasma is sourced from paid donors in the </w:t>
      </w:r>
      <w:smartTag w:uri="urn:schemas-microsoft-com:office:smarttags" w:element="place">
        <w:smartTag w:uri="urn:schemas-microsoft-com:office:smarttags" w:element="country-region">
          <w:r w:rsidR="00E70EFD">
            <w:rPr>
              <w:rFonts w:ascii="Arial" w:hAnsi="Arial"/>
              <w:sz w:val="22"/>
              <w:szCs w:val="22"/>
              <w:lang w:val="en-AU"/>
            </w:rPr>
            <w:t>USA</w:t>
          </w:r>
        </w:smartTag>
      </w:smartTag>
      <w:r w:rsidR="00E70EFD">
        <w:rPr>
          <w:rFonts w:ascii="Arial" w:hAnsi="Arial"/>
          <w:sz w:val="22"/>
          <w:szCs w:val="22"/>
          <w:lang w:val="en-AU"/>
        </w:rPr>
        <w:t xml:space="preserve">.  </w:t>
      </w:r>
      <w:r w:rsidRPr="007A1703">
        <w:rPr>
          <w:rFonts w:ascii="Arial" w:hAnsi="Arial"/>
          <w:sz w:val="22"/>
          <w:szCs w:val="22"/>
          <w:lang w:val="en-AU"/>
        </w:rPr>
        <w:t>Two of the four ethanol fractionation steps of the Cohn-</w:t>
      </w:r>
      <w:proofErr w:type="spellStart"/>
      <w:r w:rsidRPr="007A1703">
        <w:rPr>
          <w:rFonts w:ascii="Arial" w:hAnsi="Arial"/>
          <w:sz w:val="22"/>
          <w:szCs w:val="22"/>
          <w:lang w:val="en-AU"/>
        </w:rPr>
        <w:t>Oncley</w:t>
      </w:r>
      <w:proofErr w:type="spellEnd"/>
      <w:r w:rsidRPr="007A1703">
        <w:rPr>
          <w:rFonts w:ascii="Arial" w:hAnsi="Arial"/>
          <w:sz w:val="22"/>
          <w:szCs w:val="22"/>
          <w:lang w:val="en-AU"/>
        </w:rPr>
        <w:t xml:space="preserve"> process have been replaced by tandem anion-exchange chromatography. The </w:t>
      </w:r>
      <w:proofErr w:type="spellStart"/>
      <w:r w:rsidRPr="007A1703">
        <w:rPr>
          <w:rFonts w:ascii="Arial" w:hAnsi="Arial"/>
          <w:sz w:val="22"/>
          <w:szCs w:val="22"/>
          <w:lang w:val="en-AU"/>
        </w:rPr>
        <w:t>IgG</w:t>
      </w:r>
      <w:proofErr w:type="spellEnd"/>
      <w:r w:rsidRPr="007A1703">
        <w:rPr>
          <w:rFonts w:ascii="Arial" w:hAnsi="Arial"/>
          <w:sz w:val="22"/>
          <w:szCs w:val="22"/>
          <w:lang w:val="en-AU"/>
        </w:rPr>
        <w:t xml:space="preserve"> proteins are not subjected to heating or chemical or enzymatic modification steps. </w:t>
      </w:r>
      <w:proofErr w:type="spellStart"/>
      <w:r w:rsidRPr="007A1703">
        <w:rPr>
          <w:rFonts w:ascii="Arial" w:hAnsi="Arial"/>
          <w:sz w:val="22"/>
          <w:szCs w:val="22"/>
          <w:lang w:val="en-AU"/>
        </w:rPr>
        <w:t>F</w:t>
      </w:r>
      <w:r w:rsidRPr="00D801C4">
        <w:rPr>
          <w:rFonts w:ascii="Arial" w:hAnsi="Arial"/>
          <w:sz w:val="22"/>
          <w:szCs w:val="22"/>
          <w:lang w:val="en-AU"/>
        </w:rPr>
        <w:t>c</w:t>
      </w:r>
      <w:proofErr w:type="spellEnd"/>
      <w:r w:rsidRPr="007A1703">
        <w:rPr>
          <w:rFonts w:ascii="Arial" w:hAnsi="Arial"/>
          <w:sz w:val="22"/>
          <w:szCs w:val="22"/>
          <w:lang w:val="en-AU"/>
        </w:rPr>
        <w:t xml:space="preserve"> and </w:t>
      </w:r>
      <w:proofErr w:type="spellStart"/>
      <w:r w:rsidR="00701C91" w:rsidRPr="007A1703">
        <w:rPr>
          <w:rFonts w:ascii="Arial" w:hAnsi="Arial"/>
          <w:sz w:val="22"/>
          <w:szCs w:val="22"/>
          <w:lang w:val="en-AU"/>
        </w:rPr>
        <w:t>F</w:t>
      </w:r>
      <w:r w:rsidR="00E70EFD" w:rsidRPr="00D801C4">
        <w:rPr>
          <w:rFonts w:ascii="Arial" w:hAnsi="Arial"/>
          <w:sz w:val="22"/>
          <w:szCs w:val="22"/>
          <w:lang w:val="en-AU"/>
        </w:rPr>
        <w:t>ab</w:t>
      </w:r>
      <w:proofErr w:type="spellEnd"/>
      <w:r w:rsidR="00583DEB">
        <w:rPr>
          <w:rFonts w:ascii="Arial" w:hAnsi="Arial"/>
          <w:sz w:val="22"/>
          <w:szCs w:val="22"/>
          <w:lang w:val="en-AU"/>
        </w:rPr>
        <w:t xml:space="preserve"> </w:t>
      </w:r>
      <w:r w:rsidRPr="007A1703">
        <w:rPr>
          <w:rFonts w:ascii="Arial" w:hAnsi="Arial"/>
          <w:sz w:val="22"/>
          <w:szCs w:val="22"/>
          <w:lang w:val="en-AU"/>
        </w:rPr>
        <w:t xml:space="preserve">functions of the </w:t>
      </w:r>
      <w:proofErr w:type="spellStart"/>
      <w:r w:rsidRPr="007A1703">
        <w:rPr>
          <w:rFonts w:ascii="Arial" w:hAnsi="Arial"/>
          <w:sz w:val="22"/>
          <w:szCs w:val="22"/>
          <w:lang w:val="en-AU"/>
        </w:rPr>
        <w:t>IgG</w:t>
      </w:r>
      <w:proofErr w:type="spellEnd"/>
      <w:r w:rsidRPr="007A1703">
        <w:rPr>
          <w:rFonts w:ascii="Arial" w:hAnsi="Arial"/>
          <w:sz w:val="22"/>
          <w:szCs w:val="22"/>
          <w:lang w:val="en-AU"/>
        </w:rPr>
        <w:t xml:space="preserve"> molecule are retained, but do not activate complement or pre-</w:t>
      </w:r>
      <w:proofErr w:type="spellStart"/>
      <w:r w:rsidRPr="007A1703">
        <w:rPr>
          <w:rFonts w:ascii="Arial" w:hAnsi="Arial"/>
          <w:sz w:val="22"/>
          <w:szCs w:val="22"/>
          <w:lang w:val="en-AU"/>
        </w:rPr>
        <w:t>Kallikrein</w:t>
      </w:r>
      <w:proofErr w:type="spellEnd"/>
      <w:r w:rsidRPr="007A1703">
        <w:rPr>
          <w:rFonts w:ascii="Arial" w:hAnsi="Arial"/>
          <w:sz w:val="22"/>
          <w:szCs w:val="22"/>
          <w:lang w:val="en-AU"/>
        </w:rPr>
        <w:t xml:space="preserve"> activity in an unspecific manner.  The protein is stabilized during the process by adjusting the pH of the solution to 4.0-4.5.  </w:t>
      </w:r>
      <w:proofErr w:type="spellStart"/>
      <w:r w:rsidRPr="007A1703">
        <w:rPr>
          <w:rFonts w:ascii="Arial" w:hAnsi="Arial"/>
          <w:sz w:val="22"/>
          <w:szCs w:val="22"/>
          <w:lang w:val="en-AU"/>
        </w:rPr>
        <w:t>Isotonicity</w:t>
      </w:r>
      <w:proofErr w:type="spellEnd"/>
      <w:r w:rsidRPr="007A1703">
        <w:rPr>
          <w:rFonts w:ascii="Arial" w:hAnsi="Arial"/>
          <w:sz w:val="22"/>
          <w:szCs w:val="22"/>
          <w:lang w:val="en-AU"/>
        </w:rPr>
        <w:t xml:space="preserve"> is achieved by the addition of </w:t>
      </w:r>
      <w:proofErr w:type="spellStart"/>
      <w:r w:rsidRPr="007A1703">
        <w:rPr>
          <w:rFonts w:ascii="Arial" w:hAnsi="Arial"/>
          <w:sz w:val="22"/>
          <w:szCs w:val="22"/>
          <w:lang w:val="en-AU"/>
        </w:rPr>
        <w:t>glycine</w:t>
      </w:r>
      <w:proofErr w:type="spellEnd"/>
      <w:r w:rsidRPr="007A1703">
        <w:rPr>
          <w:rFonts w:ascii="Arial" w:hAnsi="Arial"/>
          <w:sz w:val="22"/>
          <w:szCs w:val="22"/>
          <w:lang w:val="en-AU"/>
        </w:rPr>
        <w:t>. GAMUNEX</w:t>
      </w:r>
      <w:r w:rsidRPr="007A1703">
        <w:rPr>
          <w:rFonts w:ascii="Arial" w:hAnsi="Arial" w:cs="Arial"/>
          <w:snapToGrid w:val="0"/>
          <w:sz w:val="22"/>
          <w:szCs w:val="22"/>
          <w:vertAlign w:val="superscript"/>
          <w:lang w:val="en-AU" w:eastAsia="en-US"/>
        </w:rPr>
        <w:t>®</w:t>
      </w:r>
      <w:r w:rsidRPr="007A1703">
        <w:rPr>
          <w:rFonts w:ascii="Arial" w:hAnsi="Arial"/>
          <w:sz w:val="22"/>
          <w:szCs w:val="22"/>
          <w:lang w:val="en-AU"/>
        </w:rPr>
        <w:t xml:space="preserve"> is incubated in the final container (at the low pH of 4.0–4.3), for a minimum of </w:t>
      </w:r>
      <w:r w:rsidR="00814AE1">
        <w:rPr>
          <w:rFonts w:ascii="Arial" w:hAnsi="Arial"/>
          <w:sz w:val="22"/>
          <w:szCs w:val="22"/>
          <w:lang w:val="en-AU"/>
        </w:rPr>
        <w:t>14</w:t>
      </w:r>
      <w:r w:rsidRPr="007A1703">
        <w:rPr>
          <w:rFonts w:ascii="Arial" w:hAnsi="Arial"/>
          <w:sz w:val="22"/>
          <w:szCs w:val="22"/>
          <w:lang w:val="en-AU"/>
        </w:rPr>
        <w:t xml:space="preserve"> days at 23° to 27</w:t>
      </w:r>
      <w:r w:rsidRPr="007A1703">
        <w:rPr>
          <w:rFonts w:ascii="Arial" w:hAnsi="Arial"/>
          <w:sz w:val="22"/>
          <w:szCs w:val="22"/>
          <w:lang w:val="en-AU"/>
        </w:rPr>
        <w:sym w:font="Symbol" w:char="F0B0"/>
      </w:r>
      <w:r w:rsidRPr="007A1703">
        <w:rPr>
          <w:rFonts w:ascii="Arial" w:hAnsi="Arial"/>
          <w:sz w:val="22"/>
          <w:szCs w:val="22"/>
          <w:lang w:val="en-AU"/>
        </w:rPr>
        <w:t xml:space="preserve">C. The product is intended for intravenous </w:t>
      </w:r>
      <w:r w:rsidR="00223404" w:rsidRPr="005C1FFC">
        <w:rPr>
          <w:rFonts w:ascii="Arial" w:hAnsi="Arial"/>
          <w:sz w:val="22"/>
          <w:szCs w:val="22"/>
          <w:lang w:val="en-AU"/>
        </w:rPr>
        <w:t>or subcutaneous</w:t>
      </w:r>
      <w:r w:rsidR="00223404">
        <w:rPr>
          <w:rFonts w:ascii="Arial" w:hAnsi="Arial"/>
          <w:sz w:val="22"/>
          <w:szCs w:val="22"/>
          <w:lang w:val="en-AU"/>
        </w:rPr>
        <w:t xml:space="preserve"> </w:t>
      </w:r>
      <w:r w:rsidRPr="007A1703">
        <w:rPr>
          <w:rFonts w:ascii="Arial" w:hAnsi="Arial"/>
          <w:sz w:val="22"/>
          <w:szCs w:val="22"/>
          <w:lang w:val="en-AU"/>
        </w:rPr>
        <w:t>administration.</w:t>
      </w:r>
    </w:p>
    <w:p w:rsidR="0037530F" w:rsidRPr="007A1703" w:rsidRDefault="0037530F" w:rsidP="004D6E28">
      <w:pPr>
        <w:pStyle w:val="Lemm1"/>
        <w:jc w:val="both"/>
        <w:rPr>
          <w:szCs w:val="22"/>
          <w:lang w:val="en-AU"/>
        </w:rPr>
      </w:pPr>
    </w:p>
    <w:p w:rsidR="0037530F" w:rsidRPr="007A1703" w:rsidRDefault="0037530F" w:rsidP="004D6E28">
      <w:pPr>
        <w:pStyle w:val="Lemm1"/>
        <w:jc w:val="both"/>
        <w:rPr>
          <w:szCs w:val="22"/>
          <w:lang w:val="en-AU"/>
        </w:rPr>
      </w:pPr>
      <w:r w:rsidRPr="007A1703">
        <w:rPr>
          <w:szCs w:val="22"/>
          <w:lang w:val="en-AU"/>
        </w:rPr>
        <w:t xml:space="preserve">The following process steps contribute to virus inactivation and/or removal: </w:t>
      </w:r>
      <w:proofErr w:type="spellStart"/>
      <w:r w:rsidRPr="007A1703">
        <w:rPr>
          <w:szCs w:val="22"/>
          <w:lang w:val="en-AU"/>
        </w:rPr>
        <w:t>caprylate</w:t>
      </w:r>
      <w:proofErr w:type="spellEnd"/>
      <w:r w:rsidRPr="007A1703">
        <w:rPr>
          <w:szCs w:val="22"/>
          <w:lang w:val="en-AU"/>
        </w:rPr>
        <w:t xml:space="preserve"> precipitation/</w:t>
      </w:r>
      <w:r w:rsidR="00D801C4">
        <w:rPr>
          <w:szCs w:val="22"/>
          <w:lang w:val="en-AU"/>
        </w:rPr>
        <w:t>depth</w:t>
      </w:r>
      <w:r w:rsidR="00D801C4" w:rsidRPr="007A1703">
        <w:rPr>
          <w:szCs w:val="22"/>
          <w:lang w:val="en-AU"/>
        </w:rPr>
        <w:t xml:space="preserve"> </w:t>
      </w:r>
      <w:r w:rsidRPr="007A1703">
        <w:rPr>
          <w:szCs w:val="22"/>
          <w:lang w:val="en-AU"/>
        </w:rPr>
        <w:t xml:space="preserve">filtration, </w:t>
      </w:r>
      <w:proofErr w:type="spellStart"/>
      <w:r w:rsidRPr="007A1703">
        <w:rPr>
          <w:szCs w:val="22"/>
          <w:lang w:val="en-AU"/>
        </w:rPr>
        <w:t>caprylate</w:t>
      </w:r>
      <w:proofErr w:type="spellEnd"/>
      <w:r w:rsidRPr="007A1703">
        <w:rPr>
          <w:szCs w:val="22"/>
          <w:lang w:val="en-AU"/>
        </w:rPr>
        <w:t xml:space="preserve"> incubation, column chromatography and final container low pH incubation. </w:t>
      </w:r>
    </w:p>
    <w:p w:rsidR="002F34FC" w:rsidRPr="007A1703" w:rsidRDefault="002F34FC" w:rsidP="00695EC2">
      <w:pPr>
        <w:pStyle w:val="Lemm1"/>
        <w:rPr>
          <w:sz w:val="24"/>
          <w:lang w:val="en-AU"/>
        </w:rPr>
      </w:pPr>
    </w:p>
    <w:p w:rsidR="00172223" w:rsidRPr="007A1703" w:rsidRDefault="00172223" w:rsidP="007A3AFF">
      <w:pPr>
        <w:pStyle w:val="Lemm1"/>
        <w:jc w:val="both"/>
        <w:rPr>
          <w:szCs w:val="22"/>
          <w:lang w:val="en-AU"/>
        </w:rPr>
      </w:pPr>
      <w:proofErr w:type="spellStart"/>
      <w:r w:rsidRPr="007A1703">
        <w:rPr>
          <w:szCs w:val="22"/>
          <w:lang w:val="en-AU"/>
        </w:rPr>
        <w:t>Glycine</w:t>
      </w:r>
      <w:proofErr w:type="spellEnd"/>
      <w:r w:rsidRPr="007A1703">
        <w:rPr>
          <w:szCs w:val="22"/>
          <w:lang w:val="en-AU"/>
        </w:rPr>
        <w:t xml:space="preserve"> (</w:t>
      </w:r>
      <w:proofErr w:type="spellStart"/>
      <w:r w:rsidRPr="007A1703">
        <w:rPr>
          <w:szCs w:val="22"/>
          <w:lang w:val="en-AU"/>
        </w:rPr>
        <w:t>aminoacetic</w:t>
      </w:r>
      <w:proofErr w:type="spellEnd"/>
      <w:r w:rsidRPr="007A1703">
        <w:rPr>
          <w:szCs w:val="22"/>
          <w:lang w:val="en-AU"/>
        </w:rPr>
        <w:t xml:space="preserve"> acid) is a nonessential amino acid normally present in the body. </w:t>
      </w:r>
      <w:proofErr w:type="spellStart"/>
      <w:r w:rsidRPr="007A1703">
        <w:rPr>
          <w:szCs w:val="22"/>
          <w:lang w:val="en-AU"/>
        </w:rPr>
        <w:t>Glycine</w:t>
      </w:r>
      <w:proofErr w:type="spellEnd"/>
      <w:r w:rsidRPr="007A1703">
        <w:rPr>
          <w:szCs w:val="22"/>
          <w:lang w:val="en-AU"/>
        </w:rPr>
        <w:t xml:space="preserve"> is a major ingredient in amino acid solutions employed in intravenous alimentation. While toxic effects of </w:t>
      </w:r>
      <w:proofErr w:type="spellStart"/>
      <w:r w:rsidRPr="007A1703">
        <w:rPr>
          <w:szCs w:val="22"/>
          <w:lang w:val="en-AU"/>
        </w:rPr>
        <w:t>glycine</w:t>
      </w:r>
      <w:proofErr w:type="spellEnd"/>
      <w:r w:rsidRPr="007A1703">
        <w:rPr>
          <w:szCs w:val="22"/>
          <w:lang w:val="en-AU"/>
        </w:rPr>
        <w:t xml:space="preserve"> administration have been reported, the doses and rates of administration were 3 – 4 folds greater than those for GAMUNEX</w:t>
      </w:r>
      <w:r w:rsidRPr="00E14D4C">
        <w:rPr>
          <w:szCs w:val="22"/>
          <w:vertAlign w:val="superscript"/>
          <w:lang w:val="en-AU"/>
        </w:rPr>
        <w:t>®</w:t>
      </w:r>
      <w:r w:rsidRPr="007A1703">
        <w:rPr>
          <w:szCs w:val="22"/>
          <w:lang w:val="en-AU"/>
        </w:rPr>
        <w:t xml:space="preserve">. In another study it was demonstrated that intravenous bolus doses of 0.44 g/kg </w:t>
      </w:r>
      <w:proofErr w:type="spellStart"/>
      <w:r w:rsidRPr="007A1703">
        <w:rPr>
          <w:szCs w:val="22"/>
          <w:lang w:val="en-AU"/>
        </w:rPr>
        <w:t>glycine</w:t>
      </w:r>
      <w:proofErr w:type="spellEnd"/>
      <w:r w:rsidRPr="007A1703">
        <w:rPr>
          <w:szCs w:val="22"/>
          <w:lang w:val="en-AU"/>
        </w:rPr>
        <w:t xml:space="preserve"> were not associated with serious adverse effects. GAMUNEX</w:t>
      </w:r>
      <w:r w:rsidR="00E14D4C" w:rsidRPr="00E14D4C">
        <w:rPr>
          <w:szCs w:val="22"/>
          <w:vertAlign w:val="superscript"/>
          <w:lang w:val="en-AU"/>
        </w:rPr>
        <w:t>®</w:t>
      </w:r>
      <w:r w:rsidRPr="007A1703">
        <w:rPr>
          <w:szCs w:val="22"/>
          <w:lang w:val="en-AU"/>
        </w:rPr>
        <w:t xml:space="preserve"> doses of 1 g/kg correspond to a </w:t>
      </w:r>
      <w:proofErr w:type="spellStart"/>
      <w:r w:rsidRPr="007A1703">
        <w:rPr>
          <w:szCs w:val="22"/>
          <w:lang w:val="en-AU"/>
        </w:rPr>
        <w:t>glycine</w:t>
      </w:r>
      <w:proofErr w:type="spellEnd"/>
      <w:r w:rsidRPr="007A1703">
        <w:rPr>
          <w:szCs w:val="22"/>
          <w:lang w:val="en-AU"/>
        </w:rPr>
        <w:t xml:space="preserve"> dose of 0.15 g/kg. </w:t>
      </w:r>
    </w:p>
    <w:p w:rsidR="00172223" w:rsidRPr="007A1703" w:rsidRDefault="00172223" w:rsidP="00172223">
      <w:pPr>
        <w:pStyle w:val="Lemm1"/>
        <w:rPr>
          <w:szCs w:val="22"/>
          <w:lang w:val="en-AU"/>
        </w:rPr>
      </w:pPr>
    </w:p>
    <w:p w:rsidR="00172223" w:rsidRPr="007A1703" w:rsidRDefault="00172223" w:rsidP="007A3AFF">
      <w:pPr>
        <w:pStyle w:val="Lemm1"/>
        <w:jc w:val="both"/>
        <w:rPr>
          <w:szCs w:val="22"/>
          <w:lang w:val="en-AU"/>
        </w:rPr>
      </w:pPr>
      <w:proofErr w:type="spellStart"/>
      <w:r w:rsidRPr="007A1703">
        <w:rPr>
          <w:szCs w:val="22"/>
          <w:lang w:val="en-AU"/>
        </w:rPr>
        <w:t>Caprylate</w:t>
      </w:r>
      <w:proofErr w:type="spellEnd"/>
      <w:r w:rsidRPr="007A1703">
        <w:rPr>
          <w:szCs w:val="22"/>
          <w:lang w:val="en-AU"/>
        </w:rPr>
        <w:t xml:space="preserve"> is a saturated medium-chain (C8) fatty acid of plant origin, which is subjected to rapid beta-oxidation. Medium chain fatty acids are considered to be essentially non-toxic. Human subjects receiving medium chain fatty acids </w:t>
      </w:r>
      <w:proofErr w:type="spellStart"/>
      <w:r w:rsidRPr="007A1703">
        <w:rPr>
          <w:szCs w:val="22"/>
          <w:lang w:val="en-AU"/>
        </w:rPr>
        <w:t>parenterally</w:t>
      </w:r>
      <w:proofErr w:type="spellEnd"/>
      <w:r w:rsidRPr="007A1703">
        <w:rPr>
          <w:szCs w:val="22"/>
          <w:lang w:val="en-AU"/>
        </w:rPr>
        <w:t xml:space="preserve"> have tolerated doses of 3.0 to 9.0 g/kg/day for periods of several months without adverse effects. Residual </w:t>
      </w:r>
      <w:proofErr w:type="spellStart"/>
      <w:r w:rsidRPr="007A1703">
        <w:rPr>
          <w:szCs w:val="22"/>
          <w:lang w:val="en-AU"/>
        </w:rPr>
        <w:t>Caprylate</w:t>
      </w:r>
      <w:proofErr w:type="spellEnd"/>
      <w:r w:rsidRPr="007A1703">
        <w:rPr>
          <w:szCs w:val="22"/>
          <w:lang w:val="en-AU"/>
        </w:rPr>
        <w:t xml:space="preserve"> concentrations in the final container </w:t>
      </w:r>
      <w:r w:rsidR="00B57AC5" w:rsidRPr="007A1703">
        <w:rPr>
          <w:szCs w:val="22"/>
          <w:lang w:val="en-AU"/>
        </w:rPr>
        <w:t xml:space="preserve">of </w:t>
      </w:r>
      <w:r w:rsidR="007A1703">
        <w:rPr>
          <w:szCs w:val="22"/>
          <w:lang w:val="en-AU"/>
        </w:rPr>
        <w:t>GAMUNEX</w:t>
      </w:r>
      <w:r w:rsidR="00E14D4C" w:rsidRPr="00E14D4C">
        <w:rPr>
          <w:szCs w:val="22"/>
          <w:vertAlign w:val="superscript"/>
          <w:lang w:val="en-AU"/>
        </w:rPr>
        <w:t>®</w:t>
      </w:r>
      <w:r w:rsidR="007A1703">
        <w:rPr>
          <w:szCs w:val="22"/>
          <w:lang w:val="en-AU"/>
        </w:rPr>
        <w:t xml:space="preserve"> </w:t>
      </w:r>
      <w:r w:rsidRPr="007A1703">
        <w:rPr>
          <w:szCs w:val="22"/>
          <w:lang w:val="en-AU"/>
        </w:rPr>
        <w:t xml:space="preserve">are no more than 0.216 g/L (1.3 </w:t>
      </w:r>
      <w:proofErr w:type="spellStart"/>
      <w:r w:rsidRPr="007A1703">
        <w:rPr>
          <w:szCs w:val="22"/>
          <w:lang w:val="en-AU"/>
        </w:rPr>
        <w:t>mmol</w:t>
      </w:r>
      <w:proofErr w:type="spellEnd"/>
      <w:r w:rsidRPr="007A1703">
        <w:rPr>
          <w:szCs w:val="22"/>
          <w:lang w:val="en-AU"/>
        </w:rPr>
        <w:t>/L).</w:t>
      </w:r>
    </w:p>
    <w:p w:rsidR="00172223" w:rsidRPr="007A1703" w:rsidRDefault="00172223" w:rsidP="007A3AFF">
      <w:pPr>
        <w:pStyle w:val="Lemm1"/>
        <w:jc w:val="both"/>
        <w:rPr>
          <w:szCs w:val="22"/>
          <w:lang w:val="en-AU"/>
        </w:rPr>
      </w:pPr>
    </w:p>
    <w:p w:rsidR="00172223" w:rsidRPr="007A1703" w:rsidRDefault="00172223" w:rsidP="007A3AFF">
      <w:pPr>
        <w:pStyle w:val="Lemm1"/>
        <w:jc w:val="both"/>
        <w:rPr>
          <w:szCs w:val="22"/>
          <w:lang w:val="en-AU"/>
        </w:rPr>
      </w:pPr>
      <w:r w:rsidRPr="007A1703">
        <w:rPr>
          <w:szCs w:val="22"/>
          <w:lang w:val="en-AU"/>
        </w:rPr>
        <w:lastRenderedPageBreak/>
        <w:t>The buffering capacity of GAMUNEX</w:t>
      </w:r>
      <w:r w:rsidR="00E14D4C" w:rsidRPr="00E14D4C">
        <w:rPr>
          <w:szCs w:val="22"/>
          <w:vertAlign w:val="superscript"/>
          <w:lang w:val="en-AU"/>
        </w:rPr>
        <w:t>®</w:t>
      </w:r>
      <w:r w:rsidR="00E14D4C">
        <w:rPr>
          <w:szCs w:val="22"/>
          <w:vertAlign w:val="superscript"/>
          <w:lang w:val="en-AU"/>
        </w:rPr>
        <w:t xml:space="preserve"> </w:t>
      </w:r>
      <w:r w:rsidRPr="007A1703">
        <w:rPr>
          <w:szCs w:val="22"/>
          <w:lang w:val="en-AU"/>
        </w:rPr>
        <w:t xml:space="preserve">is 35.0 </w:t>
      </w:r>
      <w:proofErr w:type="spellStart"/>
      <w:r w:rsidRPr="007A1703">
        <w:rPr>
          <w:szCs w:val="22"/>
          <w:lang w:val="en-AU"/>
        </w:rPr>
        <w:t>mEq</w:t>
      </w:r>
      <w:proofErr w:type="spellEnd"/>
      <w:r w:rsidRPr="007A1703">
        <w:rPr>
          <w:szCs w:val="22"/>
          <w:lang w:val="en-AU"/>
        </w:rPr>
        <w:t xml:space="preserve">/L (0.35 </w:t>
      </w:r>
      <w:proofErr w:type="spellStart"/>
      <w:r w:rsidRPr="007A1703">
        <w:rPr>
          <w:szCs w:val="22"/>
          <w:lang w:val="en-AU"/>
        </w:rPr>
        <w:t>mEq</w:t>
      </w:r>
      <w:proofErr w:type="spellEnd"/>
      <w:r w:rsidRPr="007A1703">
        <w:rPr>
          <w:szCs w:val="22"/>
          <w:lang w:val="en-AU"/>
        </w:rPr>
        <w:t xml:space="preserve">/g protein). A dose of 1000 mg/kg body weight therefore represents an acid load of 0.35 </w:t>
      </w:r>
      <w:proofErr w:type="spellStart"/>
      <w:r w:rsidRPr="007A1703">
        <w:rPr>
          <w:szCs w:val="22"/>
          <w:lang w:val="en-AU"/>
        </w:rPr>
        <w:t>mEq</w:t>
      </w:r>
      <w:proofErr w:type="spellEnd"/>
      <w:r w:rsidRPr="007A1703">
        <w:rPr>
          <w:szCs w:val="22"/>
          <w:lang w:val="en-AU"/>
        </w:rPr>
        <w:t xml:space="preserve">/kg body weight. The total buffering capacity of whole blood in a normal individual is 45–50 </w:t>
      </w:r>
      <w:proofErr w:type="spellStart"/>
      <w:r w:rsidRPr="007A1703">
        <w:rPr>
          <w:szCs w:val="22"/>
          <w:lang w:val="en-AU"/>
        </w:rPr>
        <w:t>mEq</w:t>
      </w:r>
      <w:proofErr w:type="spellEnd"/>
      <w:r w:rsidRPr="007A1703">
        <w:rPr>
          <w:szCs w:val="22"/>
          <w:lang w:val="en-AU"/>
        </w:rPr>
        <w:t xml:space="preserve">/L of blood, or 3.6 </w:t>
      </w:r>
      <w:proofErr w:type="spellStart"/>
      <w:r w:rsidRPr="007A1703">
        <w:rPr>
          <w:szCs w:val="22"/>
          <w:lang w:val="en-AU"/>
        </w:rPr>
        <w:t>mEq</w:t>
      </w:r>
      <w:proofErr w:type="spellEnd"/>
      <w:r w:rsidRPr="007A1703">
        <w:rPr>
          <w:szCs w:val="22"/>
          <w:lang w:val="en-AU"/>
        </w:rPr>
        <w:t>/kg body weight. Thus, the acid load delivered with a dose of 1000 mg/kg of G</w:t>
      </w:r>
      <w:r w:rsidR="004963DC">
        <w:rPr>
          <w:szCs w:val="22"/>
          <w:lang w:val="en-AU"/>
        </w:rPr>
        <w:t>A</w:t>
      </w:r>
      <w:r w:rsidRPr="007A1703">
        <w:rPr>
          <w:szCs w:val="22"/>
          <w:lang w:val="en-AU"/>
        </w:rPr>
        <w:t>MUNEX</w:t>
      </w:r>
      <w:r w:rsidR="00E14D4C" w:rsidRPr="00E14D4C">
        <w:rPr>
          <w:szCs w:val="22"/>
          <w:vertAlign w:val="superscript"/>
          <w:lang w:val="en-AU"/>
        </w:rPr>
        <w:t>®</w:t>
      </w:r>
      <w:r w:rsidRPr="007A1703">
        <w:rPr>
          <w:szCs w:val="22"/>
          <w:lang w:val="en-AU"/>
        </w:rPr>
        <w:t xml:space="preserve"> would be neutralized by the buffering capacity of whole blood alone, even if the dose was infused</w:t>
      </w:r>
      <w:r w:rsidR="00B57AC5" w:rsidRPr="007A1703">
        <w:rPr>
          <w:szCs w:val="22"/>
          <w:lang w:val="en-AU"/>
        </w:rPr>
        <w:t xml:space="preserve"> quickly via syringe push</w:t>
      </w:r>
      <w:r w:rsidRPr="007A1703">
        <w:rPr>
          <w:szCs w:val="22"/>
          <w:lang w:val="en-AU"/>
        </w:rPr>
        <w:t>.</w:t>
      </w:r>
    </w:p>
    <w:p w:rsidR="00172223" w:rsidRPr="007A1703" w:rsidRDefault="00172223" w:rsidP="007A3AFF">
      <w:pPr>
        <w:pStyle w:val="Lemm1"/>
        <w:jc w:val="both"/>
        <w:rPr>
          <w:b/>
          <w:sz w:val="24"/>
          <w:lang w:val="en-AU"/>
        </w:rPr>
      </w:pPr>
    </w:p>
    <w:p w:rsidR="0037530F" w:rsidRDefault="0037530F" w:rsidP="007A3AFF">
      <w:pPr>
        <w:pStyle w:val="Lemm1"/>
        <w:jc w:val="both"/>
        <w:outlineLvl w:val="0"/>
        <w:rPr>
          <w:b/>
          <w:szCs w:val="22"/>
          <w:lang w:val="en-AU"/>
        </w:rPr>
      </w:pPr>
      <w:r w:rsidRPr="00032AA6">
        <w:rPr>
          <w:b/>
          <w:szCs w:val="22"/>
          <w:lang w:val="en-AU"/>
        </w:rPr>
        <w:t>PHARMACOLOGY</w:t>
      </w:r>
    </w:p>
    <w:p w:rsidR="00433C47" w:rsidRPr="007A1703" w:rsidRDefault="00433C47" w:rsidP="004D6E28">
      <w:pPr>
        <w:pStyle w:val="Lemm1"/>
        <w:outlineLvl w:val="0"/>
        <w:rPr>
          <w:b/>
          <w:szCs w:val="22"/>
          <w:lang w:val="en-AU"/>
        </w:rPr>
      </w:pPr>
    </w:p>
    <w:p w:rsidR="004D6E28" w:rsidRPr="007A1703" w:rsidRDefault="00A01B29" w:rsidP="007A3AFF">
      <w:pPr>
        <w:pStyle w:val="Lemm1"/>
        <w:jc w:val="both"/>
        <w:outlineLvl w:val="0"/>
        <w:rPr>
          <w:szCs w:val="22"/>
          <w:lang w:val="en-AU"/>
        </w:rPr>
      </w:pPr>
      <w:r w:rsidRPr="007A1703">
        <w:rPr>
          <w:szCs w:val="22"/>
          <w:lang w:val="en-AU"/>
        </w:rPr>
        <w:t>Pharmacokinetic parameters were determined in a trial in 17 patients with primary immunodeficiency stabili</w:t>
      </w:r>
      <w:r w:rsidR="00111897">
        <w:rPr>
          <w:szCs w:val="22"/>
          <w:lang w:val="en-AU"/>
        </w:rPr>
        <w:t>z</w:t>
      </w:r>
      <w:r w:rsidRPr="007A1703">
        <w:rPr>
          <w:szCs w:val="22"/>
          <w:lang w:val="en-AU"/>
        </w:rPr>
        <w:t>ed on GAMUNEX</w:t>
      </w:r>
      <w:r w:rsidR="00E14D4C" w:rsidRPr="00E14D4C">
        <w:rPr>
          <w:szCs w:val="22"/>
          <w:vertAlign w:val="superscript"/>
          <w:lang w:val="en-AU"/>
        </w:rPr>
        <w:t>®</w:t>
      </w:r>
      <w:r w:rsidRPr="007A1703">
        <w:rPr>
          <w:szCs w:val="22"/>
          <w:lang w:val="en-AU"/>
        </w:rPr>
        <w:t xml:space="preserve"> </w:t>
      </w:r>
      <w:r w:rsidR="007A1703" w:rsidRPr="007A1703">
        <w:rPr>
          <w:szCs w:val="22"/>
          <w:lang w:val="en-AU"/>
        </w:rPr>
        <w:t>intravenous</w:t>
      </w:r>
      <w:r w:rsidRPr="007A1703">
        <w:rPr>
          <w:szCs w:val="22"/>
          <w:lang w:val="en-AU"/>
        </w:rPr>
        <w:t xml:space="preserve"> infusion at a mean dose of 4</w:t>
      </w:r>
      <w:r w:rsidR="00696217">
        <w:rPr>
          <w:szCs w:val="22"/>
          <w:lang w:val="en-AU"/>
        </w:rPr>
        <w:t>17</w:t>
      </w:r>
      <w:r w:rsidRPr="007A1703">
        <w:rPr>
          <w:szCs w:val="22"/>
          <w:lang w:val="en-AU"/>
        </w:rPr>
        <w:t xml:space="preserve"> mg/kg, range 2</w:t>
      </w:r>
      <w:r w:rsidR="00696217">
        <w:rPr>
          <w:szCs w:val="22"/>
          <w:lang w:val="en-AU"/>
        </w:rPr>
        <w:t>34</w:t>
      </w:r>
      <w:r w:rsidRPr="007A1703">
        <w:rPr>
          <w:szCs w:val="22"/>
          <w:lang w:val="en-AU"/>
        </w:rPr>
        <w:t>-59</w:t>
      </w:r>
      <w:r w:rsidR="00696217">
        <w:rPr>
          <w:szCs w:val="22"/>
          <w:lang w:val="en-AU"/>
        </w:rPr>
        <w:t>3</w:t>
      </w:r>
      <w:r w:rsidRPr="007A1703">
        <w:rPr>
          <w:szCs w:val="22"/>
          <w:lang w:val="en-AU"/>
        </w:rPr>
        <w:t xml:space="preserve"> mg/kg, and dose interval of 3-4 weeks. The mean age of patien</w:t>
      </w:r>
      <w:r w:rsidR="007A1703" w:rsidRPr="007A1703">
        <w:rPr>
          <w:szCs w:val="22"/>
          <w:lang w:val="en-AU"/>
        </w:rPr>
        <w:t>t</w:t>
      </w:r>
      <w:r w:rsidRPr="007A1703">
        <w:rPr>
          <w:szCs w:val="22"/>
          <w:lang w:val="en-AU"/>
        </w:rPr>
        <w:t xml:space="preserve">s was 36 years and range 19-59. Seventy </w:t>
      </w:r>
      <w:r w:rsidR="00A76FBE">
        <w:rPr>
          <w:szCs w:val="22"/>
          <w:lang w:val="en-AU"/>
        </w:rPr>
        <w:t xml:space="preserve">one </w:t>
      </w:r>
      <w:r w:rsidRPr="007A1703">
        <w:rPr>
          <w:szCs w:val="22"/>
          <w:lang w:val="en-AU"/>
        </w:rPr>
        <w:t xml:space="preserve">percent were male. </w:t>
      </w:r>
    </w:p>
    <w:p w:rsidR="00111897" w:rsidRDefault="00111897" w:rsidP="007A3AFF">
      <w:pPr>
        <w:pStyle w:val="Lemm1"/>
        <w:jc w:val="both"/>
        <w:outlineLvl w:val="0"/>
        <w:rPr>
          <w:szCs w:val="22"/>
          <w:lang w:val="en-AU"/>
        </w:rPr>
      </w:pPr>
    </w:p>
    <w:p w:rsidR="00A01B29" w:rsidRPr="007A1703" w:rsidRDefault="00A01B29" w:rsidP="007A3AFF">
      <w:pPr>
        <w:pStyle w:val="Lemm1"/>
        <w:jc w:val="both"/>
        <w:outlineLvl w:val="0"/>
        <w:rPr>
          <w:szCs w:val="22"/>
          <w:lang w:val="en-AU"/>
        </w:rPr>
      </w:pPr>
      <w:r w:rsidRPr="007A1703">
        <w:rPr>
          <w:szCs w:val="22"/>
          <w:lang w:val="en-AU"/>
        </w:rPr>
        <w:t xml:space="preserve">Serum </w:t>
      </w:r>
      <w:proofErr w:type="spellStart"/>
      <w:r w:rsidRPr="007A1703">
        <w:rPr>
          <w:szCs w:val="22"/>
          <w:lang w:val="en-AU"/>
        </w:rPr>
        <w:t>IgG</w:t>
      </w:r>
      <w:proofErr w:type="spellEnd"/>
      <w:r w:rsidRPr="007A1703">
        <w:rPr>
          <w:szCs w:val="22"/>
          <w:lang w:val="en-AU"/>
        </w:rPr>
        <w:t xml:space="preserve"> concentration was measured following the third infusion of the product. Serum </w:t>
      </w:r>
      <w:proofErr w:type="spellStart"/>
      <w:r w:rsidRPr="007A1703">
        <w:rPr>
          <w:szCs w:val="22"/>
          <w:lang w:val="en-AU"/>
        </w:rPr>
        <w:t>IgG</w:t>
      </w:r>
      <w:proofErr w:type="spellEnd"/>
      <w:r w:rsidRPr="007A1703">
        <w:rPr>
          <w:szCs w:val="22"/>
          <w:lang w:val="en-AU"/>
        </w:rPr>
        <w:t xml:space="preserve"> peaked at a median of 2.3 hours after starting the infusion. The concentration-time curve was then biphasic with a distribution phase of about 5 days characterised by a fall in serum </w:t>
      </w:r>
      <w:proofErr w:type="spellStart"/>
      <w:r w:rsidRPr="007A1703">
        <w:rPr>
          <w:szCs w:val="22"/>
          <w:lang w:val="en-AU"/>
        </w:rPr>
        <w:t>IgG</w:t>
      </w:r>
      <w:proofErr w:type="spellEnd"/>
      <w:r w:rsidRPr="007A1703">
        <w:rPr>
          <w:szCs w:val="22"/>
          <w:lang w:val="en-AU"/>
        </w:rPr>
        <w:t xml:space="preserve"> concentration to 65-75% of the peak and an elimination phase of median half-life 36 days. Other pharmacokinetic parameters are given in </w:t>
      </w:r>
      <w:r w:rsidR="007A1703" w:rsidRPr="007A1703">
        <w:rPr>
          <w:szCs w:val="22"/>
          <w:lang w:val="en-AU"/>
        </w:rPr>
        <w:t>T</w:t>
      </w:r>
      <w:r w:rsidRPr="007A1703">
        <w:rPr>
          <w:szCs w:val="22"/>
          <w:lang w:val="en-AU"/>
        </w:rPr>
        <w:t xml:space="preserve">able </w:t>
      </w:r>
      <w:r w:rsidR="007A1703" w:rsidRPr="007A1703">
        <w:rPr>
          <w:szCs w:val="22"/>
          <w:lang w:val="en-AU"/>
        </w:rPr>
        <w:t xml:space="preserve">1 </w:t>
      </w:r>
      <w:r w:rsidRPr="007A1703">
        <w:rPr>
          <w:szCs w:val="22"/>
          <w:lang w:val="en-AU"/>
        </w:rPr>
        <w:t>below:</w:t>
      </w:r>
    </w:p>
    <w:p w:rsidR="00A01B29" w:rsidRPr="007A1703" w:rsidRDefault="00A01B29" w:rsidP="007A3AFF">
      <w:pPr>
        <w:pStyle w:val="Lemm1"/>
        <w:jc w:val="both"/>
        <w:outlineLvl w:val="0"/>
        <w:rPr>
          <w:szCs w:val="22"/>
          <w:lang w:val="en-AU"/>
        </w:rPr>
      </w:pPr>
    </w:p>
    <w:p w:rsidR="00A01B29" w:rsidRPr="005B2AA1" w:rsidRDefault="00A01B29" w:rsidP="007A3AFF">
      <w:pPr>
        <w:pStyle w:val="Lemm1"/>
        <w:jc w:val="both"/>
        <w:outlineLvl w:val="0"/>
        <w:rPr>
          <w:b/>
          <w:szCs w:val="22"/>
          <w:lang w:val="en-AU"/>
        </w:rPr>
      </w:pPr>
      <w:r w:rsidRPr="007A1703">
        <w:rPr>
          <w:b/>
          <w:szCs w:val="22"/>
          <w:lang w:val="en-AU"/>
        </w:rPr>
        <w:t>Table</w:t>
      </w:r>
      <w:r w:rsidR="007A1703" w:rsidRPr="007A1703">
        <w:rPr>
          <w:b/>
          <w:szCs w:val="22"/>
          <w:lang w:val="en-AU"/>
        </w:rPr>
        <w:t xml:space="preserve"> 1</w:t>
      </w:r>
      <w:r w:rsidRPr="007A1703">
        <w:rPr>
          <w:b/>
          <w:szCs w:val="22"/>
          <w:lang w:val="en-AU"/>
        </w:rPr>
        <w:t>: Pharmacokinetic parameters of G</w:t>
      </w:r>
      <w:r w:rsidR="00C265E3">
        <w:rPr>
          <w:b/>
          <w:szCs w:val="22"/>
          <w:lang w:val="en-AU"/>
        </w:rPr>
        <w:t>AMUNEX</w:t>
      </w:r>
      <w:r w:rsidR="00E14D4C" w:rsidRPr="00E14D4C">
        <w:rPr>
          <w:szCs w:val="22"/>
          <w:vertAlign w:val="superscript"/>
          <w:lang w:val="en-AU"/>
        </w:rPr>
        <w:t>®</w:t>
      </w:r>
      <w:r w:rsidR="005B2AA1">
        <w:rPr>
          <w:szCs w:val="22"/>
          <w:lang w:val="en-AU"/>
        </w:rPr>
        <w:t xml:space="preserve"> : intravenous administration</w:t>
      </w:r>
    </w:p>
    <w:p w:rsidR="00A01B29" w:rsidRPr="007A1703" w:rsidRDefault="00A01B29" w:rsidP="004D6E28">
      <w:pPr>
        <w:pStyle w:val="Lemm1"/>
        <w:outlineLvl w:val="0"/>
        <w:rPr>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0"/>
        <w:gridCol w:w="3110"/>
        <w:gridCol w:w="3111"/>
      </w:tblGrid>
      <w:tr w:rsidR="00A01B29" w:rsidRPr="00A00365" w:rsidTr="00A00365">
        <w:tc>
          <w:tcPr>
            <w:tcW w:w="3110" w:type="dxa"/>
          </w:tcPr>
          <w:p w:rsidR="00A01B29" w:rsidRPr="00A00365" w:rsidRDefault="00A01B29" w:rsidP="00A00365">
            <w:pPr>
              <w:pStyle w:val="Lemm1"/>
              <w:outlineLvl w:val="0"/>
              <w:rPr>
                <w:szCs w:val="22"/>
                <w:lang w:val="en-AU"/>
              </w:rPr>
            </w:pPr>
          </w:p>
        </w:tc>
        <w:tc>
          <w:tcPr>
            <w:tcW w:w="3110" w:type="dxa"/>
          </w:tcPr>
          <w:p w:rsidR="00A01B29" w:rsidRPr="00A00365" w:rsidRDefault="00A01B29" w:rsidP="00A00365">
            <w:pPr>
              <w:pStyle w:val="Lemm1"/>
              <w:jc w:val="center"/>
              <w:outlineLvl w:val="0"/>
              <w:rPr>
                <w:b/>
                <w:szCs w:val="22"/>
                <w:lang w:val="en-AU"/>
              </w:rPr>
            </w:pPr>
            <w:r w:rsidRPr="00A00365">
              <w:rPr>
                <w:b/>
                <w:szCs w:val="22"/>
                <w:lang w:val="en-AU"/>
              </w:rPr>
              <w:t xml:space="preserve">Mean </w:t>
            </w:r>
            <w:r w:rsidRPr="00A00365">
              <w:rPr>
                <w:rFonts w:cs="Arial"/>
                <w:b/>
                <w:szCs w:val="22"/>
                <w:lang w:val="en-AU"/>
              </w:rPr>
              <w:t>±</w:t>
            </w:r>
            <w:r w:rsidRPr="00A00365">
              <w:rPr>
                <w:b/>
                <w:szCs w:val="22"/>
                <w:lang w:val="en-AU"/>
              </w:rPr>
              <w:t>SD</w:t>
            </w:r>
          </w:p>
        </w:tc>
        <w:tc>
          <w:tcPr>
            <w:tcW w:w="3111" w:type="dxa"/>
          </w:tcPr>
          <w:p w:rsidR="00A01B29" w:rsidRPr="00A00365" w:rsidRDefault="00A01B29" w:rsidP="00A00365">
            <w:pPr>
              <w:pStyle w:val="Lemm1"/>
              <w:jc w:val="center"/>
              <w:outlineLvl w:val="0"/>
              <w:rPr>
                <w:b/>
                <w:szCs w:val="22"/>
                <w:lang w:val="en-AU"/>
              </w:rPr>
            </w:pPr>
            <w:r w:rsidRPr="00A00365">
              <w:rPr>
                <w:b/>
                <w:szCs w:val="22"/>
                <w:lang w:val="en-AU"/>
              </w:rPr>
              <w:t>Median</w:t>
            </w:r>
          </w:p>
        </w:tc>
      </w:tr>
      <w:tr w:rsidR="00A01B29" w:rsidRPr="00A00365" w:rsidTr="00A00365">
        <w:tc>
          <w:tcPr>
            <w:tcW w:w="3110" w:type="dxa"/>
          </w:tcPr>
          <w:p w:rsidR="00A01B29" w:rsidRPr="00A00365" w:rsidRDefault="00A01B29" w:rsidP="00A00365">
            <w:pPr>
              <w:pStyle w:val="Lemm1"/>
              <w:outlineLvl w:val="0"/>
              <w:rPr>
                <w:szCs w:val="22"/>
                <w:lang w:val="en-AU"/>
              </w:rPr>
            </w:pPr>
            <w:r w:rsidRPr="00A00365">
              <w:rPr>
                <w:szCs w:val="22"/>
                <w:lang w:val="en-AU"/>
              </w:rPr>
              <w:t xml:space="preserve">C </w:t>
            </w:r>
            <w:r w:rsidRPr="00A00365">
              <w:rPr>
                <w:szCs w:val="22"/>
                <w:vertAlign w:val="subscript"/>
                <w:lang w:val="en-AU"/>
              </w:rPr>
              <w:t>max</w:t>
            </w:r>
            <w:r w:rsidRPr="00A00365">
              <w:rPr>
                <w:szCs w:val="22"/>
                <w:lang w:val="en-AU"/>
              </w:rPr>
              <w:t xml:space="preserve"> mg/</w:t>
            </w:r>
            <w:proofErr w:type="spellStart"/>
            <w:r w:rsidRPr="00A00365">
              <w:rPr>
                <w:szCs w:val="22"/>
                <w:lang w:val="en-AU"/>
              </w:rPr>
              <w:t>mL</w:t>
            </w:r>
            <w:proofErr w:type="spellEnd"/>
          </w:p>
        </w:tc>
        <w:tc>
          <w:tcPr>
            <w:tcW w:w="3110" w:type="dxa"/>
          </w:tcPr>
          <w:p w:rsidR="00A01B29" w:rsidRPr="00A00365" w:rsidRDefault="00A01B29" w:rsidP="00A00365">
            <w:pPr>
              <w:pStyle w:val="Lemm1"/>
              <w:jc w:val="center"/>
              <w:outlineLvl w:val="0"/>
              <w:rPr>
                <w:szCs w:val="22"/>
                <w:lang w:val="en-AU"/>
              </w:rPr>
            </w:pPr>
            <w:r w:rsidRPr="00A00365">
              <w:rPr>
                <w:rFonts w:cs="Arial"/>
                <w:szCs w:val="22"/>
                <w:lang w:val="en-AU"/>
              </w:rPr>
              <w:t>19.1 ±3.1</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19.7</w:t>
            </w:r>
          </w:p>
        </w:tc>
      </w:tr>
      <w:tr w:rsidR="00A01B29" w:rsidRPr="00A00365" w:rsidTr="00A00365">
        <w:tc>
          <w:tcPr>
            <w:tcW w:w="3110" w:type="dxa"/>
          </w:tcPr>
          <w:p w:rsidR="00A01B29" w:rsidRPr="00A00365" w:rsidRDefault="00A01B29" w:rsidP="00A00365">
            <w:pPr>
              <w:pStyle w:val="Lemm1"/>
              <w:outlineLvl w:val="0"/>
              <w:rPr>
                <w:szCs w:val="22"/>
                <w:lang w:val="nl-NL"/>
              </w:rPr>
            </w:pPr>
            <w:r w:rsidRPr="00A00365">
              <w:rPr>
                <w:szCs w:val="22"/>
                <w:lang w:val="nl-NL"/>
              </w:rPr>
              <w:t xml:space="preserve">C </w:t>
            </w:r>
            <w:r w:rsidRPr="00A00365">
              <w:rPr>
                <w:szCs w:val="22"/>
                <w:vertAlign w:val="subscript"/>
                <w:lang w:val="nl-NL"/>
              </w:rPr>
              <w:t>max</w:t>
            </w:r>
            <w:r w:rsidRPr="00A00365">
              <w:rPr>
                <w:szCs w:val="22"/>
                <w:lang w:val="nl-NL"/>
              </w:rPr>
              <w:t xml:space="preserve"> norm kg/mL</w:t>
            </w:r>
          </w:p>
        </w:tc>
        <w:tc>
          <w:tcPr>
            <w:tcW w:w="3110" w:type="dxa"/>
          </w:tcPr>
          <w:p w:rsidR="00A01B29" w:rsidRPr="00A00365" w:rsidRDefault="00A01B29" w:rsidP="00A00365">
            <w:pPr>
              <w:pStyle w:val="Lemm1"/>
              <w:jc w:val="center"/>
              <w:outlineLvl w:val="0"/>
              <w:rPr>
                <w:szCs w:val="22"/>
                <w:lang w:val="en-AU"/>
              </w:rPr>
            </w:pPr>
            <w:r w:rsidRPr="00A00365">
              <w:rPr>
                <w:rFonts w:cs="Arial"/>
                <w:szCs w:val="22"/>
                <w:lang w:val="en-AU"/>
              </w:rPr>
              <w:t>0.047 ±0.007</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0.046</w:t>
            </w:r>
          </w:p>
        </w:tc>
      </w:tr>
      <w:tr w:rsidR="00A01B29" w:rsidRPr="00A00365" w:rsidTr="00A00365">
        <w:tc>
          <w:tcPr>
            <w:tcW w:w="3110" w:type="dxa"/>
          </w:tcPr>
          <w:p w:rsidR="00A01B29" w:rsidRPr="00A00365" w:rsidRDefault="00A01B29" w:rsidP="00A00365">
            <w:pPr>
              <w:pStyle w:val="Lemm1"/>
              <w:outlineLvl w:val="0"/>
              <w:rPr>
                <w:szCs w:val="22"/>
                <w:lang w:val="en-AU"/>
              </w:rPr>
            </w:pPr>
            <w:r w:rsidRPr="00A00365">
              <w:rPr>
                <w:szCs w:val="22"/>
                <w:lang w:val="en-AU"/>
              </w:rPr>
              <w:t xml:space="preserve">T </w:t>
            </w:r>
            <w:r w:rsidRPr="00A00365">
              <w:rPr>
                <w:szCs w:val="22"/>
                <w:vertAlign w:val="subscript"/>
                <w:lang w:val="en-AU"/>
              </w:rPr>
              <w:t>max</w:t>
            </w:r>
            <w:r w:rsidRPr="00A00365">
              <w:rPr>
                <w:szCs w:val="22"/>
                <w:lang w:val="en-AU"/>
              </w:rPr>
              <w:t xml:space="preserve"> h</w:t>
            </w:r>
          </w:p>
        </w:tc>
        <w:tc>
          <w:tcPr>
            <w:tcW w:w="3110" w:type="dxa"/>
          </w:tcPr>
          <w:p w:rsidR="00A01B29" w:rsidRPr="00A00365" w:rsidRDefault="00A01B29" w:rsidP="00A00365">
            <w:pPr>
              <w:pStyle w:val="Lemm1"/>
              <w:jc w:val="center"/>
              <w:outlineLvl w:val="0"/>
              <w:rPr>
                <w:szCs w:val="22"/>
                <w:lang w:val="en-AU"/>
              </w:rPr>
            </w:pPr>
            <w:r w:rsidRPr="00A00365">
              <w:rPr>
                <w:rFonts w:cs="Arial"/>
                <w:szCs w:val="22"/>
                <w:lang w:val="en-AU"/>
              </w:rPr>
              <w:t>2.7 ±1.0</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2.3</w:t>
            </w:r>
          </w:p>
        </w:tc>
      </w:tr>
      <w:tr w:rsidR="00A01B29" w:rsidRPr="00A00365" w:rsidTr="00A00365">
        <w:tc>
          <w:tcPr>
            <w:tcW w:w="3110" w:type="dxa"/>
          </w:tcPr>
          <w:p w:rsidR="00A01B29" w:rsidRPr="00A00365" w:rsidRDefault="00A01B29" w:rsidP="00A00365">
            <w:pPr>
              <w:pStyle w:val="Lemm1"/>
              <w:outlineLvl w:val="0"/>
              <w:rPr>
                <w:szCs w:val="22"/>
                <w:lang w:val="en-AU"/>
              </w:rPr>
            </w:pPr>
            <w:r w:rsidRPr="00A00365">
              <w:rPr>
                <w:szCs w:val="22"/>
                <w:lang w:val="en-AU"/>
              </w:rPr>
              <w:t>AUC (0-t</w:t>
            </w:r>
            <w:r w:rsidRPr="00A00365">
              <w:rPr>
                <w:szCs w:val="22"/>
                <w:vertAlign w:val="subscript"/>
                <w:lang w:val="en-AU"/>
              </w:rPr>
              <w:t>n</w:t>
            </w:r>
            <w:r w:rsidRPr="00A00365">
              <w:rPr>
                <w:szCs w:val="22"/>
                <w:lang w:val="en-AU"/>
              </w:rPr>
              <w:t>)</w:t>
            </w:r>
            <w:r w:rsidRPr="00A00365">
              <w:rPr>
                <w:szCs w:val="22"/>
                <w:vertAlign w:val="superscript"/>
                <w:lang w:val="en-AU"/>
              </w:rPr>
              <w:t>a</w:t>
            </w:r>
            <w:r w:rsidRPr="00A00365">
              <w:rPr>
                <w:szCs w:val="22"/>
                <w:lang w:val="en-AU"/>
              </w:rPr>
              <w:t xml:space="preserve"> </w:t>
            </w:r>
            <w:proofErr w:type="spellStart"/>
            <w:r w:rsidRPr="00A00365">
              <w:rPr>
                <w:szCs w:val="22"/>
                <w:lang w:val="en-AU"/>
              </w:rPr>
              <w:t>mg.h</w:t>
            </w:r>
            <w:proofErr w:type="spellEnd"/>
            <w:r w:rsidRPr="00A00365">
              <w:rPr>
                <w:szCs w:val="22"/>
                <w:lang w:val="en-AU"/>
              </w:rPr>
              <w:t>/</w:t>
            </w:r>
            <w:proofErr w:type="spellStart"/>
            <w:r w:rsidRPr="00A00365">
              <w:rPr>
                <w:szCs w:val="22"/>
                <w:lang w:val="en-AU"/>
              </w:rPr>
              <w:t>mL</w:t>
            </w:r>
            <w:proofErr w:type="spellEnd"/>
          </w:p>
        </w:tc>
        <w:tc>
          <w:tcPr>
            <w:tcW w:w="3110" w:type="dxa"/>
          </w:tcPr>
          <w:p w:rsidR="00A01B29" w:rsidRPr="00A00365" w:rsidRDefault="00712A9B" w:rsidP="00A00365">
            <w:pPr>
              <w:pStyle w:val="Lemm1"/>
              <w:jc w:val="center"/>
              <w:outlineLvl w:val="0"/>
              <w:rPr>
                <w:szCs w:val="22"/>
                <w:lang w:val="en-AU"/>
              </w:rPr>
            </w:pPr>
            <w:r w:rsidRPr="00A00365">
              <w:rPr>
                <w:rFonts w:cs="Arial"/>
                <w:szCs w:val="22"/>
                <w:lang w:val="en-AU"/>
              </w:rPr>
              <w:t xml:space="preserve">6750 </w:t>
            </w:r>
            <w:r w:rsidR="00A01B29" w:rsidRPr="00A00365">
              <w:rPr>
                <w:rFonts w:cs="Arial"/>
                <w:szCs w:val="22"/>
                <w:lang w:val="en-AU"/>
              </w:rPr>
              <w:t>±</w:t>
            </w:r>
            <w:r w:rsidRPr="00A00365">
              <w:rPr>
                <w:rFonts w:cs="Arial"/>
                <w:szCs w:val="22"/>
                <w:lang w:val="en-AU"/>
              </w:rPr>
              <w:t>1350</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6950</w:t>
            </w:r>
          </w:p>
        </w:tc>
      </w:tr>
      <w:tr w:rsidR="00A01B29" w:rsidRPr="00A00365" w:rsidTr="00A00365">
        <w:tc>
          <w:tcPr>
            <w:tcW w:w="3110" w:type="dxa"/>
          </w:tcPr>
          <w:p w:rsidR="00A01B29" w:rsidRPr="00A00365" w:rsidRDefault="00A01B29" w:rsidP="00A00365">
            <w:pPr>
              <w:pStyle w:val="Lemm1"/>
              <w:outlineLvl w:val="0"/>
              <w:rPr>
                <w:szCs w:val="22"/>
                <w:lang w:val="de-DE"/>
              </w:rPr>
            </w:pPr>
            <w:r w:rsidRPr="00A00365">
              <w:rPr>
                <w:szCs w:val="22"/>
                <w:lang w:val="de-DE"/>
              </w:rPr>
              <w:t>AUC (0-t</w:t>
            </w:r>
            <w:r w:rsidRPr="00A00365">
              <w:rPr>
                <w:szCs w:val="22"/>
                <w:vertAlign w:val="subscript"/>
                <w:lang w:val="de-DE"/>
              </w:rPr>
              <w:t>n</w:t>
            </w:r>
            <w:r w:rsidRPr="00A00365">
              <w:rPr>
                <w:szCs w:val="22"/>
                <w:lang w:val="de-DE"/>
              </w:rPr>
              <w:t>) norm</w:t>
            </w:r>
            <w:r w:rsidRPr="00A00365">
              <w:rPr>
                <w:szCs w:val="22"/>
                <w:vertAlign w:val="superscript"/>
                <w:lang w:val="de-DE"/>
              </w:rPr>
              <w:t>a</w:t>
            </w:r>
            <w:r w:rsidRPr="00A00365">
              <w:rPr>
                <w:szCs w:val="22"/>
                <w:lang w:val="de-DE"/>
              </w:rPr>
              <w:t xml:space="preserve"> kg.h/mL</w:t>
            </w:r>
          </w:p>
        </w:tc>
        <w:tc>
          <w:tcPr>
            <w:tcW w:w="3110" w:type="dxa"/>
          </w:tcPr>
          <w:p w:rsidR="00A01B29" w:rsidRPr="00A00365" w:rsidRDefault="00712A9B" w:rsidP="00A00365">
            <w:pPr>
              <w:pStyle w:val="Lemm1"/>
              <w:jc w:val="center"/>
              <w:outlineLvl w:val="0"/>
              <w:rPr>
                <w:szCs w:val="22"/>
                <w:lang w:val="en-AU"/>
              </w:rPr>
            </w:pPr>
            <w:r w:rsidRPr="00A00365">
              <w:rPr>
                <w:rFonts w:cs="Arial"/>
                <w:szCs w:val="22"/>
                <w:lang w:val="en-AU"/>
              </w:rPr>
              <w:t xml:space="preserve">16.5 </w:t>
            </w:r>
            <w:r w:rsidR="00A01B29" w:rsidRPr="00A00365">
              <w:rPr>
                <w:rFonts w:cs="Arial"/>
                <w:szCs w:val="22"/>
                <w:lang w:val="en-AU"/>
              </w:rPr>
              <w:t>±</w:t>
            </w:r>
            <w:r w:rsidRPr="00A00365">
              <w:rPr>
                <w:rFonts w:cs="Arial"/>
                <w:szCs w:val="22"/>
                <w:lang w:val="en-AU"/>
              </w:rPr>
              <w:t>1.8</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17.0</w:t>
            </w:r>
          </w:p>
        </w:tc>
      </w:tr>
      <w:tr w:rsidR="00A01B29" w:rsidRPr="00A00365" w:rsidTr="00A00365">
        <w:tc>
          <w:tcPr>
            <w:tcW w:w="3110" w:type="dxa"/>
          </w:tcPr>
          <w:p w:rsidR="00A01B29" w:rsidRPr="00A00365" w:rsidRDefault="00A01B29" w:rsidP="00A00365">
            <w:pPr>
              <w:pStyle w:val="Lemm1"/>
              <w:outlineLvl w:val="0"/>
              <w:rPr>
                <w:szCs w:val="22"/>
                <w:lang w:val="en-AU"/>
              </w:rPr>
            </w:pPr>
            <w:r w:rsidRPr="00A00365">
              <w:rPr>
                <w:szCs w:val="22"/>
                <w:lang w:val="en-AU"/>
              </w:rPr>
              <w:t xml:space="preserve">T </w:t>
            </w:r>
            <w:r w:rsidRPr="00A00365">
              <w:rPr>
                <w:szCs w:val="22"/>
                <w:vertAlign w:val="subscript"/>
                <w:lang w:val="en-AU"/>
              </w:rPr>
              <w:t>½</w:t>
            </w:r>
            <w:r w:rsidRPr="00A00365">
              <w:rPr>
                <w:szCs w:val="22"/>
                <w:lang w:val="en-AU"/>
              </w:rPr>
              <w:t xml:space="preserve"> </w:t>
            </w:r>
            <w:r w:rsidRPr="00A00365">
              <w:rPr>
                <w:szCs w:val="22"/>
                <w:vertAlign w:val="superscript"/>
                <w:lang w:val="en-AU"/>
              </w:rPr>
              <w:t>b</w:t>
            </w:r>
            <w:r w:rsidRPr="00A00365">
              <w:rPr>
                <w:szCs w:val="22"/>
                <w:lang w:val="en-AU"/>
              </w:rPr>
              <w:t xml:space="preserve"> days</w:t>
            </w:r>
          </w:p>
        </w:tc>
        <w:tc>
          <w:tcPr>
            <w:tcW w:w="3110" w:type="dxa"/>
          </w:tcPr>
          <w:p w:rsidR="00A01B29" w:rsidRPr="00A00365" w:rsidRDefault="00712A9B" w:rsidP="00A00365">
            <w:pPr>
              <w:pStyle w:val="Lemm1"/>
              <w:jc w:val="center"/>
              <w:outlineLvl w:val="0"/>
              <w:rPr>
                <w:szCs w:val="22"/>
                <w:lang w:val="en-AU"/>
              </w:rPr>
            </w:pPr>
            <w:r w:rsidRPr="00A00365">
              <w:rPr>
                <w:rFonts w:cs="Arial"/>
                <w:szCs w:val="22"/>
                <w:lang w:val="en-AU"/>
              </w:rPr>
              <w:t xml:space="preserve">35.7 </w:t>
            </w:r>
            <w:r w:rsidR="00A01B29" w:rsidRPr="00A00365">
              <w:rPr>
                <w:rFonts w:cs="Arial"/>
                <w:szCs w:val="22"/>
                <w:lang w:val="en-AU"/>
              </w:rPr>
              <w:t>±</w:t>
            </w:r>
            <w:r w:rsidRPr="00A00365">
              <w:rPr>
                <w:rFonts w:cs="Arial"/>
                <w:szCs w:val="22"/>
                <w:lang w:val="en-AU"/>
              </w:rPr>
              <w:t>8.7</w:t>
            </w:r>
          </w:p>
        </w:tc>
        <w:tc>
          <w:tcPr>
            <w:tcW w:w="3111" w:type="dxa"/>
          </w:tcPr>
          <w:p w:rsidR="00A01B29" w:rsidRPr="00A00365" w:rsidRDefault="00712A9B" w:rsidP="00A00365">
            <w:pPr>
              <w:pStyle w:val="Lemm1"/>
              <w:jc w:val="center"/>
              <w:outlineLvl w:val="0"/>
              <w:rPr>
                <w:szCs w:val="22"/>
                <w:lang w:val="en-AU"/>
              </w:rPr>
            </w:pPr>
            <w:r w:rsidRPr="00A00365">
              <w:rPr>
                <w:szCs w:val="22"/>
                <w:lang w:val="en-AU"/>
              </w:rPr>
              <w:t>33.1</w:t>
            </w:r>
          </w:p>
        </w:tc>
      </w:tr>
    </w:tbl>
    <w:p w:rsidR="00A01B29" w:rsidRPr="007A1703" w:rsidRDefault="00A01B29" w:rsidP="004D6E28">
      <w:pPr>
        <w:pStyle w:val="Lemm1"/>
        <w:outlineLvl w:val="0"/>
        <w:rPr>
          <w:szCs w:val="22"/>
          <w:lang w:val="en-AU"/>
        </w:rPr>
      </w:pPr>
    </w:p>
    <w:p w:rsidR="00712A9B" w:rsidRPr="007A1703" w:rsidRDefault="00712A9B" w:rsidP="007A3AFF">
      <w:pPr>
        <w:pStyle w:val="Lemm1"/>
        <w:ind w:left="720" w:hanging="720"/>
        <w:jc w:val="both"/>
        <w:outlineLvl w:val="0"/>
        <w:rPr>
          <w:sz w:val="20"/>
          <w:lang w:val="en-AU"/>
        </w:rPr>
      </w:pPr>
      <w:r w:rsidRPr="007A1703">
        <w:rPr>
          <w:sz w:val="20"/>
          <w:vertAlign w:val="superscript"/>
          <w:lang w:val="en-AU"/>
        </w:rPr>
        <w:t>a</w:t>
      </w:r>
      <w:r w:rsidRPr="007A1703">
        <w:rPr>
          <w:sz w:val="20"/>
          <w:lang w:val="en-AU"/>
        </w:rPr>
        <w:tab/>
        <w:t xml:space="preserve">Partial AUC defined as pre-dose concentration to the last concentration common across both treatment periods in the same patient. The trial was a crossover trial with the other treatment being </w:t>
      </w:r>
      <w:proofErr w:type="spellStart"/>
      <w:r w:rsidRPr="007A1703">
        <w:rPr>
          <w:sz w:val="20"/>
          <w:lang w:val="en-AU"/>
        </w:rPr>
        <w:t>Gamimune</w:t>
      </w:r>
      <w:proofErr w:type="spellEnd"/>
      <w:r w:rsidRPr="007A1703">
        <w:rPr>
          <w:sz w:val="20"/>
          <w:lang w:val="en-AU"/>
        </w:rPr>
        <w:t xml:space="preserve"> N. </w:t>
      </w:r>
    </w:p>
    <w:p w:rsidR="00712A9B" w:rsidRPr="007A1703" w:rsidRDefault="00712A9B" w:rsidP="007A3AFF">
      <w:pPr>
        <w:pStyle w:val="Lemm1"/>
        <w:jc w:val="both"/>
        <w:outlineLvl w:val="0"/>
        <w:rPr>
          <w:sz w:val="20"/>
          <w:lang w:val="en-AU"/>
        </w:rPr>
      </w:pPr>
      <w:r w:rsidRPr="007A1703">
        <w:rPr>
          <w:sz w:val="20"/>
          <w:vertAlign w:val="superscript"/>
          <w:lang w:val="en-AU"/>
        </w:rPr>
        <w:t>b</w:t>
      </w:r>
      <w:r w:rsidRPr="007A1703">
        <w:rPr>
          <w:sz w:val="20"/>
          <w:lang w:val="en-AU"/>
        </w:rPr>
        <w:tab/>
        <w:t xml:space="preserve">Only 15 patients were valid for determination of t </w:t>
      </w:r>
      <w:r w:rsidRPr="007A1703">
        <w:rPr>
          <w:sz w:val="20"/>
          <w:vertAlign w:val="subscript"/>
          <w:lang w:val="en-AU"/>
        </w:rPr>
        <w:t>½</w:t>
      </w:r>
      <w:r w:rsidRPr="007A1703">
        <w:rPr>
          <w:sz w:val="20"/>
          <w:lang w:val="en-AU"/>
        </w:rPr>
        <w:t xml:space="preserve"> .</w:t>
      </w:r>
    </w:p>
    <w:p w:rsidR="00F47F8D" w:rsidRDefault="00F47F8D" w:rsidP="007A3AFF">
      <w:pPr>
        <w:pStyle w:val="Lemm1"/>
        <w:jc w:val="both"/>
        <w:rPr>
          <w:b/>
          <w:szCs w:val="22"/>
          <w:lang w:val="en-AU"/>
        </w:rPr>
      </w:pPr>
    </w:p>
    <w:p w:rsidR="00994D2A" w:rsidRPr="00032AA6" w:rsidRDefault="00994D2A" w:rsidP="007A3AFF">
      <w:pPr>
        <w:pStyle w:val="Lemm1"/>
        <w:jc w:val="both"/>
        <w:outlineLvl w:val="0"/>
        <w:rPr>
          <w:szCs w:val="22"/>
          <w:lang w:val="en-AU"/>
        </w:rPr>
      </w:pPr>
      <w:r w:rsidRPr="00032AA6">
        <w:rPr>
          <w:szCs w:val="22"/>
          <w:lang w:val="en-AU"/>
        </w:rPr>
        <w:t>Pharmacokinetic parameters were determined in a trial in subjects with primary immunodeficiency stabilized on GAMUNEX subcutaneous infusion at a dose equivalent to 1.37 times the intravenous dose.</w:t>
      </w:r>
    </w:p>
    <w:p w:rsidR="00994D2A" w:rsidRPr="00032AA6" w:rsidRDefault="00994D2A" w:rsidP="007A3AFF">
      <w:pPr>
        <w:pStyle w:val="Lemm1"/>
        <w:jc w:val="both"/>
        <w:outlineLvl w:val="0"/>
        <w:rPr>
          <w:b/>
          <w:szCs w:val="22"/>
          <w:lang w:val="en-AU"/>
        </w:rPr>
      </w:pPr>
    </w:p>
    <w:p w:rsidR="005B2AA1" w:rsidRDefault="005B2AA1" w:rsidP="007A3AFF">
      <w:pPr>
        <w:pStyle w:val="Lemm1"/>
        <w:jc w:val="both"/>
        <w:outlineLvl w:val="0"/>
        <w:rPr>
          <w:szCs w:val="22"/>
          <w:lang w:val="en-AU"/>
        </w:rPr>
      </w:pPr>
      <w:r w:rsidRPr="00032AA6">
        <w:rPr>
          <w:b/>
          <w:szCs w:val="22"/>
          <w:lang w:val="en-AU"/>
        </w:rPr>
        <w:t>Table 2: Pharmacokinetic parameters of GAMUNEX</w:t>
      </w:r>
      <w:r w:rsidRPr="00032AA6">
        <w:rPr>
          <w:szCs w:val="22"/>
          <w:vertAlign w:val="superscript"/>
          <w:lang w:val="en-AU"/>
        </w:rPr>
        <w:t>®</w:t>
      </w:r>
      <w:r w:rsidR="009956E7" w:rsidRPr="00032AA6">
        <w:rPr>
          <w:szCs w:val="22"/>
          <w:vertAlign w:val="superscript"/>
          <w:lang w:val="en-AU"/>
        </w:rPr>
        <w:t xml:space="preserve"> </w:t>
      </w:r>
      <w:r w:rsidRPr="00032AA6">
        <w:rPr>
          <w:szCs w:val="22"/>
          <w:lang w:val="en-AU"/>
        </w:rPr>
        <w:t>: subcutaneous administration</w:t>
      </w:r>
    </w:p>
    <w:p w:rsidR="000D2976" w:rsidRPr="00032AA6" w:rsidRDefault="000D2976" w:rsidP="005B2AA1">
      <w:pPr>
        <w:pStyle w:val="Lemm1"/>
        <w:outlineLvl w:val="0"/>
        <w:rPr>
          <w:szCs w:val="22"/>
          <w:lang w:val="en-AU"/>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1440"/>
        <w:gridCol w:w="1530"/>
        <w:gridCol w:w="1710"/>
        <w:gridCol w:w="1393"/>
      </w:tblGrid>
      <w:tr w:rsidR="006E7A6B" w:rsidRPr="00A00365" w:rsidTr="00A00365">
        <w:tc>
          <w:tcPr>
            <w:tcW w:w="3258" w:type="dxa"/>
          </w:tcPr>
          <w:p w:rsidR="006E7A6B" w:rsidRPr="00A00365" w:rsidRDefault="006E7A6B" w:rsidP="00A00365">
            <w:pPr>
              <w:pStyle w:val="Lemm1"/>
              <w:outlineLvl w:val="0"/>
              <w:rPr>
                <w:szCs w:val="22"/>
                <w:lang w:val="en-AU"/>
              </w:rPr>
            </w:pPr>
          </w:p>
        </w:tc>
        <w:tc>
          <w:tcPr>
            <w:tcW w:w="1440" w:type="dxa"/>
          </w:tcPr>
          <w:p w:rsidR="006E7A6B" w:rsidRPr="00A00365" w:rsidRDefault="006E7A6B" w:rsidP="00A00365">
            <w:pPr>
              <w:pStyle w:val="Lemm1"/>
              <w:jc w:val="center"/>
              <w:outlineLvl w:val="0"/>
              <w:rPr>
                <w:szCs w:val="22"/>
                <w:lang w:val="en-AU"/>
              </w:rPr>
            </w:pPr>
            <w:r w:rsidRPr="00A00365">
              <w:rPr>
                <w:szCs w:val="22"/>
                <w:lang w:val="en-AU"/>
              </w:rPr>
              <w:t>N</w:t>
            </w:r>
          </w:p>
        </w:tc>
        <w:tc>
          <w:tcPr>
            <w:tcW w:w="1530" w:type="dxa"/>
          </w:tcPr>
          <w:p w:rsidR="006E7A6B" w:rsidRPr="00A00365" w:rsidRDefault="006E7A6B" w:rsidP="00A00365">
            <w:pPr>
              <w:pStyle w:val="Lemm1"/>
              <w:jc w:val="center"/>
              <w:outlineLvl w:val="0"/>
              <w:rPr>
                <w:szCs w:val="22"/>
                <w:lang w:val="en-AU"/>
              </w:rPr>
            </w:pPr>
            <w:r w:rsidRPr="00A00365">
              <w:rPr>
                <w:szCs w:val="22"/>
                <w:lang w:val="en-AU"/>
              </w:rPr>
              <w:t>Mean</w:t>
            </w:r>
          </w:p>
        </w:tc>
        <w:tc>
          <w:tcPr>
            <w:tcW w:w="1710" w:type="dxa"/>
          </w:tcPr>
          <w:p w:rsidR="006E7A6B" w:rsidRPr="00A00365" w:rsidRDefault="006E7A6B" w:rsidP="00A00365">
            <w:pPr>
              <w:pStyle w:val="Lemm1"/>
              <w:jc w:val="center"/>
              <w:outlineLvl w:val="0"/>
              <w:rPr>
                <w:szCs w:val="22"/>
                <w:lang w:val="en-AU"/>
              </w:rPr>
            </w:pPr>
            <w:r w:rsidRPr="00A00365">
              <w:rPr>
                <w:szCs w:val="22"/>
                <w:lang w:val="en-AU"/>
              </w:rPr>
              <w:t>Range</w:t>
            </w:r>
          </w:p>
        </w:tc>
        <w:tc>
          <w:tcPr>
            <w:tcW w:w="1393" w:type="dxa"/>
          </w:tcPr>
          <w:p w:rsidR="006E7A6B" w:rsidRPr="00A00365" w:rsidRDefault="006E7A6B" w:rsidP="00A00365">
            <w:pPr>
              <w:pStyle w:val="Lemm1"/>
              <w:jc w:val="center"/>
              <w:outlineLvl w:val="0"/>
              <w:rPr>
                <w:szCs w:val="22"/>
                <w:lang w:val="en-AU"/>
              </w:rPr>
            </w:pPr>
            <w:r w:rsidRPr="00A00365">
              <w:rPr>
                <w:szCs w:val="22"/>
                <w:lang w:val="en-AU"/>
              </w:rPr>
              <w:t>%CV</w:t>
            </w:r>
          </w:p>
        </w:tc>
      </w:tr>
      <w:tr w:rsidR="006E7A6B" w:rsidRPr="00A00365" w:rsidTr="00A00365">
        <w:tc>
          <w:tcPr>
            <w:tcW w:w="3258" w:type="dxa"/>
          </w:tcPr>
          <w:p w:rsidR="006E7A6B" w:rsidRPr="00A00365" w:rsidRDefault="006E7A6B" w:rsidP="00A00365">
            <w:pPr>
              <w:pStyle w:val="Lemm1"/>
              <w:outlineLvl w:val="0"/>
              <w:rPr>
                <w:szCs w:val="22"/>
                <w:lang w:val="pt-BR"/>
              </w:rPr>
            </w:pPr>
            <w:r w:rsidRPr="00A00365">
              <w:rPr>
                <w:rFonts w:cs="Arial"/>
                <w:szCs w:val="22"/>
                <w:lang w:val="pt-BR"/>
              </w:rPr>
              <w:t>AUC</w:t>
            </w:r>
            <w:r w:rsidRPr="00A00365">
              <w:rPr>
                <w:rFonts w:cs="Arial"/>
                <w:szCs w:val="22"/>
                <w:vertAlign w:val="subscript"/>
                <w:lang w:val="pt-BR"/>
              </w:rPr>
              <w:t>0</w:t>
            </w:r>
            <w:r w:rsidRPr="00A00365">
              <w:rPr>
                <w:rFonts w:cs="Arial"/>
                <w:szCs w:val="22"/>
                <w:vertAlign w:val="subscript"/>
                <w:lang w:val="pt-BR"/>
              </w:rPr>
              <w:noBreakHyphen/>
            </w:r>
            <w:r w:rsidRPr="00A00365">
              <w:rPr>
                <w:rFonts w:cs="Arial"/>
                <w:szCs w:val="22"/>
                <w:vertAlign w:val="subscript"/>
              </w:rPr>
              <w:t>τ</w:t>
            </w:r>
            <w:r w:rsidRPr="00A00365">
              <w:rPr>
                <w:rFonts w:cs="Arial"/>
                <w:szCs w:val="22"/>
                <w:vertAlign w:val="subscript"/>
                <w:lang w:val="pt-BR"/>
              </w:rPr>
              <w:t xml:space="preserve">,SC </w:t>
            </w:r>
            <w:r w:rsidRPr="00A00365">
              <w:rPr>
                <w:rFonts w:cs="Arial"/>
                <w:szCs w:val="22"/>
                <w:lang w:val="pt-BR"/>
              </w:rPr>
              <w:t>(mg*h/mL)</w:t>
            </w:r>
          </w:p>
        </w:tc>
        <w:tc>
          <w:tcPr>
            <w:tcW w:w="1440" w:type="dxa"/>
          </w:tcPr>
          <w:p w:rsidR="006E7A6B" w:rsidRPr="00A00365" w:rsidRDefault="006E7A6B" w:rsidP="00A00365">
            <w:pPr>
              <w:pStyle w:val="Lemm1"/>
              <w:jc w:val="center"/>
              <w:outlineLvl w:val="0"/>
              <w:rPr>
                <w:rFonts w:cs="Arial"/>
                <w:szCs w:val="22"/>
              </w:rPr>
            </w:pPr>
            <w:r w:rsidRPr="00A00365">
              <w:rPr>
                <w:rFonts w:cs="Arial"/>
                <w:szCs w:val="22"/>
              </w:rPr>
              <w:t>26</w:t>
            </w:r>
          </w:p>
        </w:tc>
        <w:tc>
          <w:tcPr>
            <w:tcW w:w="1530" w:type="dxa"/>
          </w:tcPr>
          <w:p w:rsidR="006E7A6B" w:rsidRPr="00A00365" w:rsidRDefault="006E7A6B" w:rsidP="00A00365">
            <w:pPr>
              <w:pStyle w:val="Lemm1"/>
              <w:jc w:val="center"/>
              <w:outlineLvl w:val="0"/>
              <w:rPr>
                <w:szCs w:val="22"/>
                <w:lang w:val="en-AU"/>
              </w:rPr>
            </w:pPr>
            <w:r w:rsidRPr="00A00365">
              <w:rPr>
                <w:rFonts w:cs="Arial"/>
                <w:szCs w:val="22"/>
              </w:rPr>
              <w:t>1947</w:t>
            </w:r>
          </w:p>
        </w:tc>
        <w:tc>
          <w:tcPr>
            <w:tcW w:w="1710" w:type="dxa"/>
          </w:tcPr>
          <w:p w:rsidR="006E7A6B" w:rsidRPr="00A00365" w:rsidRDefault="006E7A6B" w:rsidP="00A00365">
            <w:pPr>
              <w:pStyle w:val="Lemm1"/>
              <w:jc w:val="center"/>
              <w:outlineLvl w:val="0"/>
              <w:rPr>
                <w:szCs w:val="22"/>
                <w:lang w:val="en-AU"/>
              </w:rPr>
            </w:pPr>
            <w:r w:rsidRPr="00A00365">
              <w:rPr>
                <w:rFonts w:cs="Arial"/>
                <w:szCs w:val="22"/>
              </w:rPr>
              <w:t>1300-2758</w:t>
            </w:r>
          </w:p>
        </w:tc>
        <w:tc>
          <w:tcPr>
            <w:tcW w:w="1393" w:type="dxa"/>
          </w:tcPr>
          <w:p w:rsidR="006E7A6B" w:rsidRPr="00A00365" w:rsidRDefault="006E7A6B" w:rsidP="00A00365">
            <w:pPr>
              <w:pStyle w:val="Lemm1"/>
              <w:jc w:val="center"/>
              <w:outlineLvl w:val="0"/>
              <w:rPr>
                <w:rFonts w:cs="Arial"/>
                <w:szCs w:val="22"/>
              </w:rPr>
            </w:pPr>
            <w:r w:rsidRPr="00A00365">
              <w:rPr>
                <w:rFonts w:cs="Arial"/>
                <w:szCs w:val="22"/>
              </w:rPr>
              <w:t>20.4</w:t>
            </w:r>
          </w:p>
        </w:tc>
      </w:tr>
      <w:tr w:rsidR="006E7A6B" w:rsidRPr="00A00365" w:rsidTr="00A00365">
        <w:tc>
          <w:tcPr>
            <w:tcW w:w="3258" w:type="dxa"/>
          </w:tcPr>
          <w:p w:rsidR="006E7A6B" w:rsidRPr="00A00365" w:rsidRDefault="006E7A6B" w:rsidP="00A00365">
            <w:pPr>
              <w:pStyle w:val="Lemm1"/>
              <w:outlineLvl w:val="0"/>
              <w:rPr>
                <w:szCs w:val="22"/>
                <w:lang w:val="pt-BR"/>
              </w:rPr>
            </w:pPr>
            <w:r w:rsidRPr="00A00365">
              <w:rPr>
                <w:rFonts w:cs="Arial"/>
                <w:szCs w:val="22"/>
                <w:lang w:val="pt-BR"/>
              </w:rPr>
              <w:t>Adj. AUC</w:t>
            </w:r>
            <w:r w:rsidRPr="00A00365">
              <w:rPr>
                <w:rFonts w:cs="Arial"/>
                <w:szCs w:val="22"/>
                <w:vertAlign w:val="subscript"/>
                <w:lang w:val="pt-BR"/>
              </w:rPr>
              <w:t>0</w:t>
            </w:r>
            <w:r w:rsidRPr="00A00365">
              <w:rPr>
                <w:rFonts w:cs="Arial"/>
                <w:szCs w:val="22"/>
                <w:vertAlign w:val="subscript"/>
                <w:lang w:val="pt-BR"/>
              </w:rPr>
              <w:noBreakHyphen/>
            </w:r>
            <w:r w:rsidRPr="00A00365">
              <w:rPr>
                <w:rFonts w:cs="Arial"/>
                <w:szCs w:val="22"/>
                <w:vertAlign w:val="subscript"/>
              </w:rPr>
              <w:t>τ</w:t>
            </w:r>
            <w:r w:rsidRPr="00A00365">
              <w:rPr>
                <w:rFonts w:cs="Arial"/>
                <w:szCs w:val="22"/>
                <w:vertAlign w:val="subscript"/>
                <w:lang w:val="pt-BR"/>
              </w:rPr>
              <w:t>,SC</w:t>
            </w:r>
            <w:r w:rsidRPr="00A00365">
              <w:rPr>
                <w:rFonts w:cs="Arial"/>
                <w:szCs w:val="22"/>
                <w:vertAlign w:val="superscript"/>
                <w:lang w:val="pt-BR"/>
              </w:rPr>
              <w:t>1</w:t>
            </w:r>
            <w:r w:rsidRPr="00A00365">
              <w:rPr>
                <w:rFonts w:cs="Arial"/>
                <w:szCs w:val="22"/>
                <w:lang w:val="pt-BR"/>
              </w:rPr>
              <w:t>(mg*h/mL)</w:t>
            </w:r>
          </w:p>
        </w:tc>
        <w:tc>
          <w:tcPr>
            <w:tcW w:w="1440" w:type="dxa"/>
          </w:tcPr>
          <w:p w:rsidR="006E7A6B" w:rsidRPr="00A00365" w:rsidRDefault="006E7A6B" w:rsidP="00A00365">
            <w:pPr>
              <w:pStyle w:val="Lemm1"/>
              <w:jc w:val="center"/>
              <w:outlineLvl w:val="0"/>
              <w:rPr>
                <w:rFonts w:cs="Arial"/>
                <w:szCs w:val="22"/>
              </w:rPr>
            </w:pPr>
            <w:r w:rsidRPr="00A00365">
              <w:rPr>
                <w:rFonts w:cs="Arial"/>
                <w:szCs w:val="22"/>
              </w:rPr>
              <w:t>26</w:t>
            </w:r>
          </w:p>
        </w:tc>
        <w:tc>
          <w:tcPr>
            <w:tcW w:w="1530" w:type="dxa"/>
          </w:tcPr>
          <w:p w:rsidR="006E7A6B" w:rsidRPr="00A00365" w:rsidRDefault="006E7A6B" w:rsidP="00A00365">
            <w:pPr>
              <w:pStyle w:val="Lemm1"/>
              <w:jc w:val="center"/>
              <w:outlineLvl w:val="0"/>
              <w:rPr>
                <w:szCs w:val="22"/>
                <w:lang w:val="en-AU"/>
              </w:rPr>
            </w:pPr>
            <w:r w:rsidRPr="00A00365">
              <w:rPr>
                <w:rFonts w:cs="Arial"/>
                <w:szCs w:val="22"/>
              </w:rPr>
              <w:t>6858</w:t>
            </w:r>
          </w:p>
        </w:tc>
        <w:tc>
          <w:tcPr>
            <w:tcW w:w="1710" w:type="dxa"/>
          </w:tcPr>
          <w:p w:rsidR="006E7A6B" w:rsidRPr="00A00365" w:rsidRDefault="006E7A6B" w:rsidP="00A00365">
            <w:pPr>
              <w:pStyle w:val="Lemm1"/>
              <w:jc w:val="center"/>
              <w:outlineLvl w:val="0"/>
              <w:rPr>
                <w:szCs w:val="22"/>
                <w:lang w:val="en-AU"/>
              </w:rPr>
            </w:pPr>
            <w:r w:rsidRPr="00A00365">
              <w:rPr>
                <w:rFonts w:cs="Arial"/>
                <w:szCs w:val="22"/>
              </w:rPr>
              <w:t>5169-10364</w:t>
            </w:r>
          </w:p>
        </w:tc>
        <w:tc>
          <w:tcPr>
            <w:tcW w:w="1393" w:type="dxa"/>
          </w:tcPr>
          <w:p w:rsidR="006E7A6B" w:rsidRPr="00A00365" w:rsidRDefault="006E7A6B" w:rsidP="00A00365">
            <w:pPr>
              <w:pStyle w:val="Lemm1"/>
              <w:jc w:val="center"/>
              <w:outlineLvl w:val="0"/>
              <w:rPr>
                <w:rFonts w:cs="Arial"/>
                <w:szCs w:val="22"/>
              </w:rPr>
            </w:pPr>
            <w:r w:rsidRPr="00A00365">
              <w:rPr>
                <w:rFonts w:cs="Arial"/>
                <w:szCs w:val="22"/>
              </w:rPr>
              <w:t>18.1</w:t>
            </w:r>
          </w:p>
        </w:tc>
      </w:tr>
      <w:tr w:rsidR="006E7A6B" w:rsidRPr="00A00365" w:rsidTr="00A00365">
        <w:tc>
          <w:tcPr>
            <w:tcW w:w="3258" w:type="dxa"/>
          </w:tcPr>
          <w:p w:rsidR="006E7A6B" w:rsidRPr="00A00365" w:rsidRDefault="006E7A6B" w:rsidP="00A00365">
            <w:pPr>
              <w:pStyle w:val="Lemm1"/>
              <w:outlineLvl w:val="0"/>
              <w:rPr>
                <w:rFonts w:cs="Arial"/>
                <w:szCs w:val="22"/>
                <w:lang w:val="pt-BR"/>
              </w:rPr>
            </w:pPr>
            <w:proofErr w:type="spellStart"/>
            <w:r w:rsidRPr="00A00365">
              <w:rPr>
                <w:rFonts w:cs="Arial"/>
                <w:szCs w:val="22"/>
              </w:rPr>
              <w:t>C</w:t>
            </w:r>
            <w:r w:rsidRPr="00A00365">
              <w:rPr>
                <w:rFonts w:cs="Arial"/>
                <w:b/>
                <w:szCs w:val="22"/>
                <w:vertAlign w:val="subscript"/>
              </w:rPr>
              <w:t>trough</w:t>
            </w:r>
            <w:proofErr w:type="spellEnd"/>
            <w:r w:rsidRPr="00A00365">
              <w:rPr>
                <w:rFonts w:cs="Arial"/>
                <w:b/>
                <w:szCs w:val="22"/>
                <w:vertAlign w:val="subscript"/>
              </w:rPr>
              <w:t xml:space="preserve"> </w:t>
            </w:r>
            <w:r w:rsidRPr="00A00365">
              <w:rPr>
                <w:rFonts w:cs="Arial"/>
                <w:szCs w:val="22"/>
              </w:rPr>
              <w:t>(mg/</w:t>
            </w:r>
            <w:proofErr w:type="spellStart"/>
            <w:r w:rsidRPr="00A00365">
              <w:rPr>
                <w:rFonts w:cs="Arial"/>
                <w:szCs w:val="22"/>
              </w:rPr>
              <w:t>mL</w:t>
            </w:r>
            <w:proofErr w:type="spellEnd"/>
            <w:r w:rsidRPr="00A00365">
              <w:rPr>
                <w:rFonts w:cs="Arial"/>
                <w:szCs w:val="22"/>
              </w:rPr>
              <w:t>)</w:t>
            </w:r>
          </w:p>
        </w:tc>
        <w:tc>
          <w:tcPr>
            <w:tcW w:w="1440" w:type="dxa"/>
          </w:tcPr>
          <w:p w:rsidR="006E7A6B" w:rsidRPr="00A00365" w:rsidRDefault="006E7A6B" w:rsidP="00A00365">
            <w:pPr>
              <w:pStyle w:val="Lemm1"/>
              <w:jc w:val="center"/>
              <w:outlineLvl w:val="0"/>
              <w:rPr>
                <w:rFonts w:cs="Arial"/>
                <w:szCs w:val="22"/>
              </w:rPr>
            </w:pPr>
            <w:r w:rsidRPr="00A00365">
              <w:rPr>
                <w:rFonts w:cs="Arial"/>
                <w:szCs w:val="22"/>
              </w:rPr>
              <w:t>28</w:t>
            </w:r>
          </w:p>
        </w:tc>
        <w:tc>
          <w:tcPr>
            <w:tcW w:w="1530" w:type="dxa"/>
          </w:tcPr>
          <w:p w:rsidR="006E7A6B" w:rsidRPr="00A00365" w:rsidRDefault="006E7A6B" w:rsidP="00A00365">
            <w:pPr>
              <w:pStyle w:val="Lemm1"/>
              <w:jc w:val="center"/>
              <w:outlineLvl w:val="0"/>
              <w:rPr>
                <w:rFonts w:cs="Arial"/>
                <w:szCs w:val="22"/>
              </w:rPr>
            </w:pPr>
            <w:r w:rsidRPr="00A00365">
              <w:rPr>
                <w:rFonts w:cs="Arial"/>
                <w:szCs w:val="22"/>
              </w:rPr>
              <w:t>11.4</w:t>
            </w:r>
          </w:p>
        </w:tc>
        <w:tc>
          <w:tcPr>
            <w:tcW w:w="1710" w:type="dxa"/>
          </w:tcPr>
          <w:p w:rsidR="006E7A6B" w:rsidRPr="00A00365" w:rsidRDefault="006E7A6B" w:rsidP="00A00365">
            <w:pPr>
              <w:pStyle w:val="Lemm1"/>
              <w:jc w:val="center"/>
              <w:outlineLvl w:val="0"/>
              <w:rPr>
                <w:rFonts w:cs="Arial"/>
                <w:szCs w:val="22"/>
              </w:rPr>
            </w:pPr>
            <w:r w:rsidRPr="00A00365">
              <w:rPr>
                <w:rFonts w:cs="Arial"/>
                <w:szCs w:val="22"/>
              </w:rPr>
              <w:t>8.1-16.2</w:t>
            </w:r>
          </w:p>
        </w:tc>
        <w:tc>
          <w:tcPr>
            <w:tcW w:w="1393" w:type="dxa"/>
          </w:tcPr>
          <w:p w:rsidR="006E7A6B" w:rsidRPr="00A00365" w:rsidRDefault="006E7A6B" w:rsidP="00A00365">
            <w:pPr>
              <w:pStyle w:val="Lemm1"/>
              <w:jc w:val="center"/>
              <w:outlineLvl w:val="0"/>
              <w:rPr>
                <w:rFonts w:cs="Arial"/>
                <w:szCs w:val="22"/>
              </w:rPr>
            </w:pPr>
            <w:r w:rsidRPr="00A00365">
              <w:rPr>
                <w:rFonts w:cs="Arial"/>
                <w:szCs w:val="22"/>
              </w:rPr>
              <w:t>20.4</w:t>
            </w:r>
          </w:p>
        </w:tc>
      </w:tr>
    </w:tbl>
    <w:p w:rsidR="009956E7" w:rsidRPr="00032AA6" w:rsidRDefault="009956E7" w:rsidP="009956E7">
      <w:pPr>
        <w:pStyle w:val="TableLeft"/>
        <w:keepNext/>
        <w:jc w:val="both"/>
        <w:rPr>
          <w:rFonts w:ascii="Arial" w:hAnsi="Arial"/>
          <w:sz w:val="20"/>
          <w:szCs w:val="20"/>
          <w:vertAlign w:val="superscript"/>
          <w:lang w:val="pt-BR"/>
        </w:rPr>
      </w:pPr>
    </w:p>
    <w:p w:rsidR="009956E7" w:rsidRPr="00C1627A" w:rsidRDefault="009956E7" w:rsidP="009956E7">
      <w:pPr>
        <w:pStyle w:val="TableLeft"/>
        <w:keepNext/>
        <w:jc w:val="both"/>
        <w:rPr>
          <w:rFonts w:ascii="Arial" w:hAnsi="Arial"/>
          <w:sz w:val="20"/>
          <w:szCs w:val="20"/>
        </w:rPr>
      </w:pPr>
      <w:r w:rsidRPr="00C25CDA">
        <w:rPr>
          <w:rFonts w:ascii="Arial" w:hAnsi="Arial"/>
          <w:sz w:val="20"/>
          <w:szCs w:val="20"/>
          <w:vertAlign w:val="superscript"/>
        </w:rPr>
        <w:t>1</w:t>
      </w:r>
      <w:r w:rsidRPr="00C25CDA">
        <w:rPr>
          <w:rFonts w:ascii="Arial" w:hAnsi="Arial"/>
          <w:sz w:val="20"/>
          <w:szCs w:val="20"/>
        </w:rPr>
        <w:t>Adj.  AUC</w:t>
      </w:r>
      <w:r w:rsidRPr="00C25CDA">
        <w:rPr>
          <w:rFonts w:ascii="Arial" w:hAnsi="Arial"/>
          <w:sz w:val="20"/>
          <w:szCs w:val="20"/>
          <w:vertAlign w:val="subscript"/>
        </w:rPr>
        <w:t>0-</w:t>
      </w:r>
      <w:r w:rsidRPr="00032AA6">
        <w:rPr>
          <w:rFonts w:ascii="Arial" w:hAnsi="Arial"/>
          <w:sz w:val="20"/>
          <w:szCs w:val="20"/>
          <w:vertAlign w:val="subscript"/>
          <w:lang w:val="pt-BR"/>
        </w:rPr>
        <w:t>τ</w:t>
      </w:r>
      <w:r w:rsidRPr="00C25CDA">
        <w:rPr>
          <w:rFonts w:ascii="Arial" w:hAnsi="Arial"/>
          <w:sz w:val="20"/>
          <w:szCs w:val="20"/>
          <w:vertAlign w:val="subscript"/>
        </w:rPr>
        <w:t>,SC</w:t>
      </w:r>
      <w:r w:rsidRPr="00C25CDA">
        <w:rPr>
          <w:rFonts w:ascii="Arial" w:hAnsi="Arial"/>
          <w:sz w:val="20"/>
          <w:szCs w:val="20"/>
        </w:rPr>
        <w:t>:  Adjusted steady-state area under the concentration vs. time curve following SC administration based on IV dosing schedule, calculated as AUC</w:t>
      </w:r>
      <w:r w:rsidRPr="00C25CDA">
        <w:rPr>
          <w:rFonts w:ascii="Arial" w:hAnsi="Arial"/>
          <w:sz w:val="20"/>
          <w:szCs w:val="20"/>
          <w:vertAlign w:val="subscript"/>
        </w:rPr>
        <w:t>0-</w:t>
      </w:r>
      <w:r w:rsidRPr="00032AA6">
        <w:rPr>
          <w:rFonts w:ascii="Arial" w:hAnsi="Arial"/>
          <w:sz w:val="20"/>
          <w:szCs w:val="20"/>
          <w:vertAlign w:val="subscript"/>
          <w:lang w:val="pt-BR"/>
        </w:rPr>
        <w:t>τ</w:t>
      </w:r>
      <w:r w:rsidRPr="00C25CDA">
        <w:rPr>
          <w:rFonts w:ascii="Arial" w:hAnsi="Arial"/>
          <w:sz w:val="20"/>
          <w:szCs w:val="20"/>
          <w:vertAlign w:val="subscript"/>
        </w:rPr>
        <w:t>,SC</w:t>
      </w:r>
      <w:r w:rsidRPr="00C25CDA">
        <w:rPr>
          <w:rFonts w:ascii="Arial" w:hAnsi="Arial"/>
          <w:sz w:val="20"/>
          <w:szCs w:val="20"/>
        </w:rPr>
        <w:t xml:space="preserve"> multiplied by 3 or 4 for subjects on every-3-week or every-4-week IV dosing schedule, respectively.</w:t>
      </w:r>
    </w:p>
    <w:p w:rsidR="005B2AA1" w:rsidRPr="00DE706C" w:rsidRDefault="005B2AA1" w:rsidP="004D6E28">
      <w:pPr>
        <w:pStyle w:val="Lemm1"/>
        <w:rPr>
          <w:szCs w:val="22"/>
          <w:lang w:val="en-AU"/>
        </w:rPr>
      </w:pPr>
    </w:p>
    <w:p w:rsidR="004D6E28" w:rsidRPr="007A1703" w:rsidRDefault="004D6E28" w:rsidP="004D6E28">
      <w:pPr>
        <w:pStyle w:val="Lemm1"/>
        <w:outlineLvl w:val="0"/>
        <w:rPr>
          <w:b/>
          <w:szCs w:val="22"/>
          <w:lang w:val="en-AU"/>
        </w:rPr>
      </w:pPr>
      <w:r w:rsidRPr="007A1703">
        <w:rPr>
          <w:b/>
          <w:szCs w:val="22"/>
          <w:lang w:val="en-AU"/>
        </w:rPr>
        <w:t>CLINICAL TRIALS</w:t>
      </w:r>
    </w:p>
    <w:p w:rsidR="004D6E28" w:rsidRPr="007A1703" w:rsidRDefault="004D6E28" w:rsidP="004D6E28">
      <w:pPr>
        <w:pStyle w:val="Lemm1"/>
        <w:outlineLvl w:val="0"/>
        <w:rPr>
          <w:b/>
          <w:szCs w:val="22"/>
          <w:lang w:val="en-AU"/>
        </w:rPr>
      </w:pPr>
    </w:p>
    <w:p w:rsidR="0037530F" w:rsidRPr="007A1703" w:rsidRDefault="0037530F" w:rsidP="004D6E28">
      <w:pPr>
        <w:pStyle w:val="Lemm1"/>
        <w:outlineLvl w:val="0"/>
        <w:rPr>
          <w:b/>
          <w:szCs w:val="22"/>
          <w:lang w:val="en-AU"/>
        </w:rPr>
      </w:pPr>
      <w:r w:rsidRPr="007A1703">
        <w:rPr>
          <w:b/>
          <w:szCs w:val="22"/>
          <w:lang w:val="en-AU"/>
        </w:rPr>
        <w:lastRenderedPageBreak/>
        <w:t>Primary Immunodeficiency (PI)</w:t>
      </w:r>
    </w:p>
    <w:p w:rsidR="00D45667" w:rsidRPr="007A1703" w:rsidRDefault="00D45667" w:rsidP="00D45667">
      <w:pPr>
        <w:pStyle w:val="Lemm1"/>
        <w:jc w:val="both"/>
        <w:rPr>
          <w:rFonts w:cs="Arial"/>
          <w:sz w:val="20"/>
          <w:lang w:val="en-AU"/>
        </w:rPr>
      </w:pPr>
    </w:p>
    <w:p w:rsidR="00712A9B" w:rsidRPr="007A1703" w:rsidRDefault="00712A9B" w:rsidP="00D45667">
      <w:pPr>
        <w:pStyle w:val="Lemm1"/>
        <w:jc w:val="both"/>
        <w:rPr>
          <w:rFonts w:cs="Arial"/>
          <w:szCs w:val="22"/>
          <w:lang w:val="en-AU"/>
        </w:rPr>
      </w:pPr>
      <w:r w:rsidRPr="007A1703">
        <w:rPr>
          <w:rFonts w:cs="Arial"/>
          <w:szCs w:val="22"/>
          <w:lang w:val="en-AU"/>
        </w:rPr>
        <w:t xml:space="preserve">Efficacy in primary immunodeficiency was assessed in two trials. The first trial was a randomised comparison with </w:t>
      </w:r>
      <w:proofErr w:type="spellStart"/>
      <w:r w:rsidRPr="007A1703">
        <w:rPr>
          <w:rFonts w:cs="Arial"/>
          <w:szCs w:val="22"/>
          <w:lang w:val="en-AU"/>
        </w:rPr>
        <w:t>Gamimune</w:t>
      </w:r>
      <w:proofErr w:type="spellEnd"/>
      <w:r w:rsidRPr="007A1703">
        <w:rPr>
          <w:rFonts w:cs="Arial"/>
          <w:szCs w:val="22"/>
          <w:lang w:val="en-AU"/>
        </w:rPr>
        <w:t xml:space="preserve"> N, a previous version of the product manufactured using a solvent/detergent method of viral inactivation. </w:t>
      </w:r>
      <w:r w:rsidR="007A1703" w:rsidRPr="007A1703">
        <w:rPr>
          <w:rFonts w:cs="Arial"/>
          <w:szCs w:val="22"/>
          <w:lang w:val="en-AU"/>
        </w:rPr>
        <w:t>Patients received</w:t>
      </w:r>
      <w:r w:rsidRPr="007A1703">
        <w:rPr>
          <w:rFonts w:cs="Arial"/>
          <w:szCs w:val="22"/>
          <w:lang w:val="en-AU"/>
        </w:rPr>
        <w:t xml:space="preserve"> GAMUNEX</w:t>
      </w:r>
      <w:r w:rsidR="00E14D4C" w:rsidRPr="00E14D4C">
        <w:rPr>
          <w:szCs w:val="22"/>
          <w:vertAlign w:val="superscript"/>
          <w:lang w:val="en-AU"/>
        </w:rPr>
        <w:t>®</w:t>
      </w:r>
      <w:r w:rsidRPr="007A1703">
        <w:rPr>
          <w:rFonts w:cs="Arial"/>
          <w:szCs w:val="22"/>
          <w:lang w:val="en-AU"/>
        </w:rPr>
        <w:t xml:space="preserve"> IV infusion for 9 months at 100-600mg/kg every 3-4 weeks. Patients were aged 35 years on average and 70% were male.</w:t>
      </w:r>
      <w:r w:rsidR="00510AB9" w:rsidRPr="007A1703">
        <w:rPr>
          <w:rFonts w:cs="Arial"/>
          <w:szCs w:val="22"/>
          <w:lang w:val="en-AU"/>
        </w:rPr>
        <w:t xml:space="preserve"> The primary efficacy endpoint was the proportion of patients with at least one of the following validated infections: pneumonia, acute sinusitis and acute </w:t>
      </w:r>
      <w:r w:rsidR="007A1703" w:rsidRPr="007A1703">
        <w:rPr>
          <w:rFonts w:cs="Arial"/>
          <w:szCs w:val="22"/>
          <w:lang w:val="en-AU"/>
        </w:rPr>
        <w:t>exacerbations</w:t>
      </w:r>
      <w:r w:rsidR="00510AB9" w:rsidRPr="007A1703">
        <w:rPr>
          <w:rFonts w:cs="Arial"/>
          <w:szCs w:val="22"/>
          <w:lang w:val="en-AU"/>
        </w:rPr>
        <w:t xml:space="preserve"> of chronic sinusitis. Seventy three of the 87 patients were evaluable for efficacy. Thirteen patients (18%) developed at least one validated </w:t>
      </w:r>
      <w:proofErr w:type="spellStart"/>
      <w:r w:rsidR="00510AB9" w:rsidRPr="007A1703">
        <w:rPr>
          <w:rFonts w:cs="Arial"/>
          <w:szCs w:val="22"/>
          <w:lang w:val="en-AU"/>
        </w:rPr>
        <w:t>sino</w:t>
      </w:r>
      <w:proofErr w:type="spellEnd"/>
      <w:r w:rsidR="00510AB9" w:rsidRPr="007A1703">
        <w:rPr>
          <w:rFonts w:cs="Arial"/>
          <w:szCs w:val="22"/>
          <w:lang w:val="en-AU"/>
        </w:rPr>
        <w:t xml:space="preserve">-pulmonary infection, 4 with pneumonia, 4 with acute sinusitis and 5 with exacerbation of chronic sinusitis. Fifty six patients (77%) developed any infection (validated plus clinically-defined non-validated). The annual rate of infection was 0.25 for validated </w:t>
      </w:r>
      <w:proofErr w:type="spellStart"/>
      <w:r w:rsidR="00510AB9" w:rsidRPr="007A1703">
        <w:rPr>
          <w:rFonts w:cs="Arial"/>
          <w:szCs w:val="22"/>
          <w:lang w:val="en-AU"/>
        </w:rPr>
        <w:t>sino</w:t>
      </w:r>
      <w:proofErr w:type="spellEnd"/>
      <w:r w:rsidR="00510AB9" w:rsidRPr="007A1703">
        <w:rPr>
          <w:rFonts w:cs="Arial"/>
          <w:szCs w:val="22"/>
          <w:lang w:val="en-AU"/>
        </w:rPr>
        <w:t xml:space="preserve">-pulmonary infections and 2.88 for any infection. Patients spent 14% of their time on prophylactic antibiotics, 10% on therapeutic antibiotics, 1.1% off school or work, 0.7&amp; on physicians’ visits and 0.2% in hospital. The results were comparable with </w:t>
      </w:r>
      <w:proofErr w:type="spellStart"/>
      <w:r w:rsidR="00510AB9" w:rsidRPr="007A1703">
        <w:rPr>
          <w:rFonts w:cs="Arial"/>
          <w:szCs w:val="22"/>
          <w:lang w:val="en-AU"/>
        </w:rPr>
        <w:t>Gamimune</w:t>
      </w:r>
      <w:proofErr w:type="spellEnd"/>
      <w:r w:rsidR="00510AB9" w:rsidRPr="007A1703">
        <w:rPr>
          <w:rFonts w:cs="Arial"/>
          <w:szCs w:val="22"/>
          <w:lang w:val="en-AU"/>
        </w:rPr>
        <w:t xml:space="preserve"> N and other similar products. </w:t>
      </w:r>
    </w:p>
    <w:p w:rsidR="00510AB9" w:rsidRPr="007A1703" w:rsidRDefault="00510AB9" w:rsidP="00D45667">
      <w:pPr>
        <w:pStyle w:val="Lemm1"/>
        <w:jc w:val="both"/>
        <w:rPr>
          <w:rFonts w:cs="Arial"/>
          <w:szCs w:val="22"/>
          <w:lang w:val="en-AU"/>
        </w:rPr>
      </w:pPr>
    </w:p>
    <w:p w:rsidR="00510AB9" w:rsidRPr="007A1703" w:rsidRDefault="00510AB9" w:rsidP="00D45667">
      <w:pPr>
        <w:pStyle w:val="Lemm1"/>
        <w:jc w:val="both"/>
        <w:rPr>
          <w:rFonts w:cs="Arial"/>
          <w:szCs w:val="22"/>
          <w:lang w:val="en-AU"/>
        </w:rPr>
      </w:pPr>
      <w:r w:rsidRPr="007A1703">
        <w:rPr>
          <w:rFonts w:cs="Arial"/>
          <w:szCs w:val="22"/>
          <w:lang w:val="en-AU"/>
        </w:rPr>
        <w:t xml:space="preserve">The mean trough serum </w:t>
      </w:r>
      <w:proofErr w:type="spellStart"/>
      <w:r w:rsidRPr="007A1703">
        <w:rPr>
          <w:rFonts w:cs="Arial"/>
          <w:szCs w:val="22"/>
          <w:lang w:val="en-AU"/>
        </w:rPr>
        <w:t>IgG</w:t>
      </w:r>
      <w:proofErr w:type="spellEnd"/>
      <w:r w:rsidRPr="007A1703">
        <w:rPr>
          <w:rFonts w:cs="Arial"/>
          <w:szCs w:val="22"/>
          <w:lang w:val="en-AU"/>
        </w:rPr>
        <w:t xml:space="preserve"> concentration was 7.8 g/L. The relationship between trough serum </w:t>
      </w:r>
      <w:proofErr w:type="spellStart"/>
      <w:r w:rsidRPr="007A1703">
        <w:rPr>
          <w:rFonts w:cs="Arial"/>
          <w:szCs w:val="22"/>
          <w:lang w:val="en-AU"/>
        </w:rPr>
        <w:t>IgG</w:t>
      </w:r>
      <w:proofErr w:type="spellEnd"/>
      <w:r w:rsidRPr="007A1703">
        <w:rPr>
          <w:rFonts w:cs="Arial"/>
          <w:szCs w:val="22"/>
          <w:lang w:val="en-AU"/>
        </w:rPr>
        <w:t xml:space="preserve"> concentration and incidence of validated and any infection is shown in </w:t>
      </w:r>
      <w:r w:rsidR="007A1703" w:rsidRPr="007A1703">
        <w:rPr>
          <w:rFonts w:cs="Arial"/>
          <w:szCs w:val="22"/>
          <w:lang w:val="en-AU"/>
        </w:rPr>
        <w:t>T</w:t>
      </w:r>
      <w:r w:rsidRPr="007A1703">
        <w:rPr>
          <w:rFonts w:cs="Arial"/>
          <w:szCs w:val="22"/>
          <w:lang w:val="en-AU"/>
        </w:rPr>
        <w:t>able</w:t>
      </w:r>
      <w:r w:rsidR="007A1703" w:rsidRPr="007A1703">
        <w:rPr>
          <w:rFonts w:cs="Arial"/>
          <w:szCs w:val="22"/>
          <w:lang w:val="en-AU"/>
        </w:rPr>
        <w:t xml:space="preserve"> </w:t>
      </w:r>
      <w:r w:rsidR="008E4FE7">
        <w:rPr>
          <w:rFonts w:cs="Arial"/>
          <w:szCs w:val="22"/>
          <w:lang w:val="en-AU"/>
        </w:rPr>
        <w:t>3</w:t>
      </w:r>
      <w:r w:rsidRPr="007A1703">
        <w:rPr>
          <w:rFonts w:cs="Arial"/>
          <w:szCs w:val="22"/>
          <w:lang w:val="en-AU"/>
        </w:rPr>
        <w:t>:</w:t>
      </w:r>
    </w:p>
    <w:p w:rsidR="00712A9B" w:rsidRPr="007A1703" w:rsidRDefault="00712A9B" w:rsidP="00D45667">
      <w:pPr>
        <w:pStyle w:val="Lemm1"/>
        <w:jc w:val="both"/>
        <w:rPr>
          <w:rFonts w:cs="Arial"/>
          <w:szCs w:val="22"/>
          <w:lang w:val="en-AU"/>
        </w:rPr>
      </w:pPr>
    </w:p>
    <w:p w:rsidR="00D45667" w:rsidRPr="007A1703" w:rsidRDefault="00510AB9" w:rsidP="00D45667">
      <w:pPr>
        <w:pStyle w:val="Lemm1"/>
        <w:jc w:val="both"/>
        <w:rPr>
          <w:rFonts w:cs="Arial"/>
          <w:b/>
          <w:szCs w:val="22"/>
          <w:lang w:val="en-AU"/>
        </w:rPr>
      </w:pPr>
      <w:r w:rsidRPr="007A1703">
        <w:rPr>
          <w:rFonts w:cs="Arial"/>
          <w:b/>
          <w:szCs w:val="22"/>
          <w:lang w:val="en-AU"/>
        </w:rPr>
        <w:t>Table</w:t>
      </w:r>
      <w:r w:rsidR="007A1703" w:rsidRPr="007A1703">
        <w:rPr>
          <w:rFonts w:cs="Arial"/>
          <w:b/>
          <w:szCs w:val="22"/>
          <w:lang w:val="en-AU"/>
        </w:rPr>
        <w:t xml:space="preserve"> </w:t>
      </w:r>
      <w:r w:rsidR="008E4FE7">
        <w:rPr>
          <w:rFonts w:cs="Arial"/>
          <w:b/>
          <w:szCs w:val="22"/>
          <w:lang w:val="en-AU"/>
        </w:rPr>
        <w:t>3</w:t>
      </w:r>
      <w:r w:rsidRPr="007A1703">
        <w:rPr>
          <w:rFonts w:cs="Arial"/>
          <w:b/>
          <w:szCs w:val="22"/>
          <w:lang w:val="en-AU"/>
        </w:rPr>
        <w:t xml:space="preserve">: </w:t>
      </w:r>
      <w:r w:rsidR="00D45667" w:rsidRPr="007A1703">
        <w:rPr>
          <w:rFonts w:cs="Arial"/>
          <w:b/>
          <w:szCs w:val="22"/>
          <w:lang w:val="en-AU"/>
        </w:rPr>
        <w:t xml:space="preserve">Average Serum </w:t>
      </w:r>
      <w:proofErr w:type="spellStart"/>
      <w:r w:rsidR="00D45667" w:rsidRPr="007A1703">
        <w:rPr>
          <w:rFonts w:cs="Arial"/>
          <w:b/>
          <w:szCs w:val="22"/>
          <w:lang w:val="en-AU"/>
        </w:rPr>
        <w:t>IgG</w:t>
      </w:r>
      <w:proofErr w:type="spellEnd"/>
      <w:r w:rsidR="00D45667" w:rsidRPr="007A1703">
        <w:rPr>
          <w:rFonts w:cs="Arial"/>
          <w:b/>
          <w:szCs w:val="22"/>
          <w:lang w:val="en-AU"/>
        </w:rPr>
        <w:t xml:space="preserve"> levels [g/L] Before Next GAMUNEX</w:t>
      </w:r>
      <w:r w:rsidR="00D45667" w:rsidRPr="007A1703">
        <w:rPr>
          <w:rFonts w:cs="Arial"/>
          <w:b/>
          <w:snapToGrid w:val="0"/>
          <w:szCs w:val="22"/>
          <w:vertAlign w:val="superscript"/>
          <w:lang w:val="en-AU" w:eastAsia="en-US"/>
        </w:rPr>
        <w:t>®</w:t>
      </w:r>
      <w:r w:rsidR="00D45667" w:rsidRPr="007A1703">
        <w:rPr>
          <w:rFonts w:cs="Arial"/>
          <w:b/>
          <w:szCs w:val="22"/>
          <w:lang w:val="en-AU"/>
        </w:rPr>
        <w:t xml:space="preserve"> Infusion (at Trough) </w:t>
      </w:r>
    </w:p>
    <w:p w:rsidR="00510AB9" w:rsidRPr="007A1703" w:rsidRDefault="00510AB9" w:rsidP="00D45667">
      <w:pPr>
        <w:pStyle w:val="Lemm1"/>
        <w:jc w:val="both"/>
        <w:rPr>
          <w:rFonts w:cs="Arial"/>
          <w:b/>
          <w:szCs w:val="22"/>
          <w:lang w:val="en-A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952"/>
        <w:gridCol w:w="2916"/>
        <w:gridCol w:w="2880"/>
      </w:tblGrid>
      <w:tr w:rsidR="00D45667" w:rsidRPr="007A1703">
        <w:trPr>
          <w:cantSplit/>
          <w:trHeight w:val="549"/>
        </w:trPr>
        <w:tc>
          <w:tcPr>
            <w:tcW w:w="2952" w:type="dxa"/>
            <w:vMerge w:val="restart"/>
          </w:tcPr>
          <w:p w:rsidR="00D45667" w:rsidRPr="00A96997" w:rsidRDefault="00D45667" w:rsidP="000B0746">
            <w:pPr>
              <w:pStyle w:val="Lemm1"/>
              <w:rPr>
                <w:rFonts w:cs="Arial"/>
                <w:b/>
                <w:sz w:val="18"/>
                <w:lang w:val="nb-NO"/>
              </w:rPr>
            </w:pPr>
            <w:r w:rsidRPr="00A96997">
              <w:rPr>
                <w:rFonts w:cs="Arial"/>
                <w:b/>
                <w:sz w:val="18"/>
                <w:lang w:val="nb-NO"/>
              </w:rPr>
              <w:t xml:space="preserve">Average serum IgG levels [g/L] </w:t>
            </w:r>
          </w:p>
        </w:tc>
        <w:tc>
          <w:tcPr>
            <w:tcW w:w="2916" w:type="dxa"/>
          </w:tcPr>
          <w:p w:rsidR="00D45667" w:rsidRPr="007A1703" w:rsidRDefault="00D45667" w:rsidP="000B0746">
            <w:pPr>
              <w:pStyle w:val="Lemm1"/>
              <w:jc w:val="center"/>
              <w:rPr>
                <w:rFonts w:cs="Arial"/>
                <w:b/>
                <w:sz w:val="18"/>
                <w:lang w:val="en-AU"/>
              </w:rPr>
            </w:pPr>
            <w:r w:rsidRPr="007A1703">
              <w:rPr>
                <w:rFonts w:cs="Arial"/>
                <w:b/>
                <w:sz w:val="18"/>
                <w:lang w:val="en-AU"/>
              </w:rPr>
              <w:t>Number of subjects with validated infections</w:t>
            </w:r>
          </w:p>
        </w:tc>
        <w:tc>
          <w:tcPr>
            <w:tcW w:w="2880" w:type="dxa"/>
          </w:tcPr>
          <w:p w:rsidR="00D45667" w:rsidRPr="007A1703" w:rsidRDefault="00D45667" w:rsidP="000B0746">
            <w:pPr>
              <w:pStyle w:val="Lemm1"/>
              <w:jc w:val="center"/>
              <w:rPr>
                <w:rFonts w:cs="Arial"/>
                <w:b/>
                <w:sz w:val="18"/>
                <w:lang w:val="en-AU"/>
              </w:rPr>
            </w:pPr>
            <w:r w:rsidRPr="007A1703">
              <w:rPr>
                <w:rFonts w:cs="Arial"/>
                <w:b/>
                <w:sz w:val="18"/>
                <w:lang w:val="en-AU"/>
              </w:rPr>
              <w:t>Number of subjects with any infection (validated plus clinically defined non-validated infections of any organ system)</w:t>
            </w:r>
          </w:p>
        </w:tc>
      </w:tr>
      <w:tr w:rsidR="00D45667" w:rsidRPr="007A1703">
        <w:trPr>
          <w:cantSplit/>
          <w:trHeight w:val="322"/>
        </w:trPr>
        <w:tc>
          <w:tcPr>
            <w:tcW w:w="2952" w:type="dxa"/>
            <w:vMerge/>
          </w:tcPr>
          <w:p w:rsidR="00D45667" w:rsidRPr="007A1703" w:rsidRDefault="00D45667" w:rsidP="000B0746">
            <w:pPr>
              <w:pStyle w:val="Lemm1"/>
              <w:rPr>
                <w:rFonts w:cs="Arial"/>
                <w:sz w:val="18"/>
                <w:lang w:val="en-AU"/>
              </w:rPr>
            </w:pPr>
          </w:p>
        </w:tc>
        <w:tc>
          <w:tcPr>
            <w:tcW w:w="2916" w:type="dxa"/>
          </w:tcPr>
          <w:p w:rsidR="00D45667" w:rsidRPr="007A1703" w:rsidRDefault="00D45667" w:rsidP="000B0746">
            <w:pPr>
              <w:pStyle w:val="Lemm1"/>
              <w:jc w:val="center"/>
              <w:rPr>
                <w:rFonts w:cs="Arial"/>
                <w:sz w:val="18"/>
                <w:lang w:val="en-AU"/>
              </w:rPr>
            </w:pPr>
            <w:r w:rsidRPr="007A1703">
              <w:rPr>
                <w:rFonts w:cs="Arial"/>
                <w:sz w:val="20"/>
                <w:lang w:val="en-AU"/>
              </w:rPr>
              <w:t>GAMUNEX</w:t>
            </w:r>
            <w:r w:rsidRPr="007A1703">
              <w:rPr>
                <w:rFonts w:cs="Arial"/>
                <w:snapToGrid w:val="0"/>
                <w:sz w:val="20"/>
                <w:vertAlign w:val="superscript"/>
                <w:lang w:val="en-AU" w:eastAsia="en-US"/>
              </w:rPr>
              <w:t>®</w:t>
            </w:r>
          </w:p>
        </w:tc>
        <w:tc>
          <w:tcPr>
            <w:tcW w:w="2880" w:type="dxa"/>
          </w:tcPr>
          <w:p w:rsidR="00D45667" w:rsidRPr="007A1703" w:rsidRDefault="00D45667" w:rsidP="000B0746">
            <w:pPr>
              <w:pStyle w:val="Lemm1"/>
              <w:jc w:val="center"/>
              <w:rPr>
                <w:rFonts w:cs="Arial"/>
                <w:sz w:val="18"/>
                <w:lang w:val="en-AU"/>
              </w:rPr>
            </w:pPr>
            <w:r w:rsidRPr="007A1703">
              <w:rPr>
                <w:rFonts w:cs="Arial"/>
                <w:sz w:val="20"/>
                <w:lang w:val="en-AU"/>
              </w:rPr>
              <w:t>GAMUNEX</w:t>
            </w:r>
            <w:r w:rsidRPr="007A1703">
              <w:rPr>
                <w:rFonts w:cs="Arial"/>
                <w:snapToGrid w:val="0"/>
                <w:sz w:val="20"/>
                <w:vertAlign w:val="superscript"/>
                <w:lang w:val="en-AU" w:eastAsia="en-US"/>
              </w:rPr>
              <w:t>®</w:t>
            </w:r>
          </w:p>
        </w:tc>
      </w:tr>
      <w:tr w:rsidR="00D45667" w:rsidRPr="007A1703">
        <w:trPr>
          <w:cantSplit/>
        </w:trPr>
        <w:tc>
          <w:tcPr>
            <w:tcW w:w="2952" w:type="dxa"/>
          </w:tcPr>
          <w:p w:rsidR="00D45667" w:rsidRPr="007A1703" w:rsidRDefault="00D45667" w:rsidP="000B0746">
            <w:pPr>
              <w:pStyle w:val="Lemm1"/>
              <w:jc w:val="center"/>
              <w:rPr>
                <w:rFonts w:cs="Arial"/>
                <w:sz w:val="18"/>
                <w:lang w:val="en-AU"/>
              </w:rPr>
            </w:pPr>
            <w:r w:rsidRPr="007A1703">
              <w:rPr>
                <w:rFonts w:cs="Arial"/>
                <w:snapToGrid w:val="0"/>
                <w:sz w:val="18"/>
                <w:lang w:val="en-AU" w:eastAsia="en-US"/>
              </w:rPr>
              <w:t>≤</w:t>
            </w:r>
            <w:r w:rsidRPr="007A1703">
              <w:rPr>
                <w:rFonts w:cs="Arial"/>
                <w:sz w:val="18"/>
                <w:lang w:val="en-AU"/>
              </w:rPr>
              <w:t>7</w:t>
            </w:r>
          </w:p>
        </w:tc>
        <w:tc>
          <w:tcPr>
            <w:tcW w:w="2916" w:type="dxa"/>
          </w:tcPr>
          <w:p w:rsidR="00D45667" w:rsidRPr="007A1703" w:rsidRDefault="00D45667" w:rsidP="000B0746">
            <w:pPr>
              <w:pStyle w:val="Lemm1"/>
              <w:jc w:val="center"/>
              <w:rPr>
                <w:rFonts w:cs="Arial"/>
                <w:sz w:val="18"/>
                <w:lang w:val="en-AU"/>
              </w:rPr>
            </w:pPr>
            <w:r w:rsidRPr="007A1703">
              <w:rPr>
                <w:rFonts w:cs="Arial"/>
                <w:sz w:val="18"/>
                <w:lang w:val="en-AU"/>
              </w:rPr>
              <w:t>3/22 (14%)</w:t>
            </w:r>
          </w:p>
        </w:tc>
        <w:tc>
          <w:tcPr>
            <w:tcW w:w="2880" w:type="dxa"/>
          </w:tcPr>
          <w:p w:rsidR="00D45667" w:rsidRPr="007A1703" w:rsidRDefault="00D45667" w:rsidP="000B0746">
            <w:pPr>
              <w:pStyle w:val="Lemm1"/>
              <w:jc w:val="center"/>
              <w:rPr>
                <w:rFonts w:cs="Arial"/>
                <w:sz w:val="18"/>
                <w:lang w:val="en-AU"/>
              </w:rPr>
            </w:pPr>
            <w:r w:rsidRPr="007A1703">
              <w:rPr>
                <w:rFonts w:cs="Arial"/>
                <w:sz w:val="18"/>
                <w:lang w:val="en-AU"/>
              </w:rPr>
              <w:t>19/22 (86%)</w:t>
            </w:r>
          </w:p>
        </w:tc>
      </w:tr>
      <w:tr w:rsidR="00D45667" w:rsidRPr="007A1703">
        <w:trPr>
          <w:cantSplit/>
        </w:trPr>
        <w:tc>
          <w:tcPr>
            <w:tcW w:w="2952" w:type="dxa"/>
          </w:tcPr>
          <w:p w:rsidR="00D45667" w:rsidRPr="007A1703" w:rsidRDefault="00D45667" w:rsidP="000B0746">
            <w:pPr>
              <w:pStyle w:val="Lemm1"/>
              <w:jc w:val="center"/>
              <w:rPr>
                <w:rFonts w:cs="Arial"/>
                <w:sz w:val="18"/>
                <w:lang w:val="en-AU"/>
              </w:rPr>
            </w:pPr>
            <w:r w:rsidRPr="007A1703">
              <w:rPr>
                <w:rFonts w:cs="Arial"/>
                <w:sz w:val="18"/>
                <w:lang w:val="en-AU"/>
              </w:rPr>
              <w:t xml:space="preserve">&gt;7 and </w:t>
            </w:r>
            <w:r w:rsidRPr="007A1703">
              <w:rPr>
                <w:rFonts w:cs="Arial"/>
                <w:snapToGrid w:val="0"/>
                <w:sz w:val="18"/>
                <w:lang w:val="en-AU" w:eastAsia="en-US"/>
              </w:rPr>
              <w:t>≤</w:t>
            </w:r>
            <w:r w:rsidRPr="007A1703">
              <w:rPr>
                <w:rFonts w:cs="Arial"/>
                <w:sz w:val="18"/>
                <w:lang w:val="en-AU"/>
              </w:rPr>
              <w:t>9</w:t>
            </w:r>
          </w:p>
        </w:tc>
        <w:tc>
          <w:tcPr>
            <w:tcW w:w="2916" w:type="dxa"/>
          </w:tcPr>
          <w:p w:rsidR="00D45667" w:rsidRPr="007A1703" w:rsidRDefault="00D45667" w:rsidP="000B0746">
            <w:pPr>
              <w:pStyle w:val="Lemm1"/>
              <w:jc w:val="center"/>
              <w:rPr>
                <w:rFonts w:cs="Arial"/>
                <w:sz w:val="18"/>
                <w:lang w:val="en-AU"/>
              </w:rPr>
            </w:pPr>
            <w:r w:rsidRPr="007A1703">
              <w:rPr>
                <w:rFonts w:cs="Arial"/>
                <w:sz w:val="18"/>
                <w:lang w:val="en-AU"/>
              </w:rPr>
              <w:t>5/33 (15%)</w:t>
            </w:r>
          </w:p>
        </w:tc>
        <w:tc>
          <w:tcPr>
            <w:tcW w:w="2880" w:type="dxa"/>
          </w:tcPr>
          <w:p w:rsidR="00D45667" w:rsidRPr="007A1703" w:rsidRDefault="00D45667" w:rsidP="000B0746">
            <w:pPr>
              <w:pStyle w:val="Lemm1"/>
              <w:jc w:val="center"/>
              <w:rPr>
                <w:rFonts w:cs="Arial"/>
                <w:sz w:val="18"/>
                <w:lang w:val="en-AU"/>
              </w:rPr>
            </w:pPr>
            <w:r w:rsidRPr="007A1703">
              <w:rPr>
                <w:rFonts w:cs="Arial"/>
                <w:sz w:val="18"/>
                <w:lang w:val="en-AU"/>
              </w:rPr>
              <w:t>24/33 (73%)</w:t>
            </w:r>
          </w:p>
        </w:tc>
      </w:tr>
      <w:tr w:rsidR="00D45667" w:rsidRPr="007A1703">
        <w:trPr>
          <w:cantSplit/>
        </w:trPr>
        <w:tc>
          <w:tcPr>
            <w:tcW w:w="2952" w:type="dxa"/>
          </w:tcPr>
          <w:p w:rsidR="00D45667" w:rsidRPr="007A1703" w:rsidRDefault="00D45667" w:rsidP="000B0746">
            <w:pPr>
              <w:pStyle w:val="Lemm1"/>
              <w:jc w:val="center"/>
              <w:rPr>
                <w:rFonts w:cs="Arial"/>
                <w:sz w:val="18"/>
                <w:lang w:val="en-AU"/>
              </w:rPr>
            </w:pPr>
            <w:r w:rsidRPr="007A1703">
              <w:rPr>
                <w:rFonts w:cs="Arial"/>
                <w:sz w:val="18"/>
                <w:lang w:val="en-AU"/>
              </w:rPr>
              <w:t>&gt;9</w:t>
            </w:r>
          </w:p>
        </w:tc>
        <w:tc>
          <w:tcPr>
            <w:tcW w:w="2916" w:type="dxa"/>
          </w:tcPr>
          <w:p w:rsidR="00D45667" w:rsidRPr="007A1703" w:rsidRDefault="00D45667" w:rsidP="000B0746">
            <w:pPr>
              <w:pStyle w:val="Lemm1"/>
              <w:jc w:val="center"/>
              <w:rPr>
                <w:rFonts w:cs="Arial"/>
                <w:sz w:val="18"/>
                <w:lang w:val="en-AU"/>
              </w:rPr>
            </w:pPr>
            <w:r w:rsidRPr="007A1703">
              <w:rPr>
                <w:rFonts w:cs="Arial"/>
                <w:sz w:val="18"/>
                <w:lang w:val="en-AU"/>
              </w:rPr>
              <w:t>1/18 (6%)</w:t>
            </w:r>
          </w:p>
        </w:tc>
        <w:tc>
          <w:tcPr>
            <w:tcW w:w="2880" w:type="dxa"/>
          </w:tcPr>
          <w:p w:rsidR="00D45667" w:rsidRPr="007A1703" w:rsidRDefault="00D45667" w:rsidP="000B0746">
            <w:pPr>
              <w:pStyle w:val="Lemm1"/>
              <w:jc w:val="center"/>
              <w:rPr>
                <w:rFonts w:cs="Arial"/>
                <w:sz w:val="18"/>
                <w:lang w:val="en-AU"/>
              </w:rPr>
            </w:pPr>
            <w:r w:rsidRPr="007A1703">
              <w:rPr>
                <w:rFonts w:cs="Arial"/>
                <w:sz w:val="18"/>
                <w:lang w:val="en-AU"/>
              </w:rPr>
              <w:t>13/18 (72%)</w:t>
            </w:r>
          </w:p>
        </w:tc>
      </w:tr>
      <w:tr w:rsidR="00D45667" w:rsidRPr="007A1703">
        <w:trPr>
          <w:cantSplit/>
        </w:trPr>
        <w:tc>
          <w:tcPr>
            <w:tcW w:w="2952" w:type="dxa"/>
          </w:tcPr>
          <w:p w:rsidR="00D45667" w:rsidRPr="007A1703" w:rsidRDefault="00D45667" w:rsidP="000B0746">
            <w:pPr>
              <w:pStyle w:val="Lemm1"/>
              <w:rPr>
                <w:rFonts w:cs="Arial"/>
                <w:sz w:val="18"/>
                <w:lang w:val="en-AU"/>
              </w:rPr>
            </w:pPr>
            <w:r w:rsidRPr="007A1703">
              <w:rPr>
                <w:rFonts w:cs="Arial"/>
                <w:sz w:val="18"/>
                <w:lang w:val="en-AU"/>
              </w:rPr>
              <w:t>Cochran-</w:t>
            </w:r>
            <w:proofErr w:type="spellStart"/>
            <w:r w:rsidRPr="007A1703">
              <w:rPr>
                <w:rFonts w:cs="Arial"/>
                <w:sz w:val="18"/>
                <w:lang w:val="en-AU"/>
              </w:rPr>
              <w:t>Armitage</w:t>
            </w:r>
            <w:proofErr w:type="spellEnd"/>
            <w:r w:rsidRPr="007A1703">
              <w:rPr>
                <w:rFonts w:cs="Arial"/>
                <w:sz w:val="18"/>
                <w:lang w:val="en-AU"/>
              </w:rPr>
              <w:t xml:space="preserve"> Trend Test</w:t>
            </w:r>
          </w:p>
        </w:tc>
        <w:tc>
          <w:tcPr>
            <w:tcW w:w="2916" w:type="dxa"/>
          </w:tcPr>
          <w:p w:rsidR="00D45667" w:rsidRPr="007A1703" w:rsidRDefault="00D45667" w:rsidP="000B0746">
            <w:pPr>
              <w:pStyle w:val="Lemm1"/>
              <w:jc w:val="center"/>
              <w:rPr>
                <w:rFonts w:cs="Arial"/>
                <w:sz w:val="18"/>
                <w:lang w:val="en-AU"/>
              </w:rPr>
            </w:pPr>
            <w:r w:rsidRPr="007A1703">
              <w:rPr>
                <w:rFonts w:cs="Arial"/>
                <w:sz w:val="18"/>
                <w:lang w:val="en-AU"/>
              </w:rPr>
              <w:t>P=0.46 (NS)</w:t>
            </w:r>
          </w:p>
        </w:tc>
        <w:tc>
          <w:tcPr>
            <w:tcW w:w="2880" w:type="dxa"/>
          </w:tcPr>
          <w:p w:rsidR="00D45667" w:rsidRPr="007A1703" w:rsidRDefault="00D45667" w:rsidP="000B0746">
            <w:pPr>
              <w:pStyle w:val="Lemm1"/>
              <w:jc w:val="center"/>
              <w:rPr>
                <w:rFonts w:cs="Arial"/>
                <w:sz w:val="18"/>
                <w:lang w:val="en-AU"/>
              </w:rPr>
            </w:pPr>
            <w:r w:rsidRPr="007A1703">
              <w:rPr>
                <w:rFonts w:cs="Arial"/>
                <w:sz w:val="18"/>
                <w:lang w:val="en-AU"/>
              </w:rPr>
              <w:t>P=0.27 (NS)</w:t>
            </w:r>
          </w:p>
        </w:tc>
      </w:tr>
    </w:tbl>
    <w:p w:rsidR="00D45667" w:rsidRPr="003E249A" w:rsidRDefault="00D45667" w:rsidP="00D45667">
      <w:pPr>
        <w:pStyle w:val="Lemm1"/>
        <w:rPr>
          <w:rFonts w:cs="Arial"/>
          <w:sz w:val="20"/>
          <w:lang w:val="en-AU"/>
        </w:rPr>
      </w:pPr>
      <w:r w:rsidRPr="003E249A">
        <w:rPr>
          <w:rFonts w:cs="Arial"/>
          <w:sz w:val="20"/>
          <w:lang w:val="en-AU"/>
        </w:rPr>
        <w:t>NS = Non-significant</w:t>
      </w:r>
    </w:p>
    <w:p w:rsidR="00D45667" w:rsidRPr="007A1703" w:rsidRDefault="00D45667">
      <w:pPr>
        <w:pStyle w:val="Lemm1"/>
        <w:rPr>
          <w:rFonts w:cs="Arial"/>
          <w:sz w:val="20"/>
          <w:lang w:val="en-AU"/>
        </w:rPr>
      </w:pPr>
    </w:p>
    <w:p w:rsidR="0037530F" w:rsidRPr="007A1703" w:rsidRDefault="00510AB9" w:rsidP="007A3AFF">
      <w:pPr>
        <w:pStyle w:val="Lemm1"/>
        <w:jc w:val="both"/>
        <w:rPr>
          <w:rFonts w:cs="Arial"/>
          <w:szCs w:val="22"/>
          <w:lang w:val="en-AU"/>
        </w:rPr>
      </w:pPr>
      <w:r w:rsidRPr="007A1703">
        <w:rPr>
          <w:rFonts w:cs="Arial"/>
          <w:szCs w:val="22"/>
          <w:lang w:val="en-AU"/>
        </w:rPr>
        <w:t>The second trial was uncontrolled, in 19 subjects of whom 17 were evaluable. Median age was 14 years, range 6-60, and 82% were male. The dose and dose interval of GAMUNEX</w:t>
      </w:r>
      <w:r w:rsidR="00E14D4C" w:rsidRPr="00E14D4C">
        <w:rPr>
          <w:szCs w:val="22"/>
          <w:vertAlign w:val="superscript"/>
          <w:lang w:val="en-AU"/>
        </w:rPr>
        <w:t>®</w:t>
      </w:r>
      <w:r w:rsidRPr="007A1703">
        <w:rPr>
          <w:rFonts w:cs="Arial"/>
          <w:szCs w:val="22"/>
          <w:lang w:val="en-AU"/>
        </w:rPr>
        <w:t xml:space="preserve"> were similar to the previous study. The duration of treatment was 6 months. The average number of infections per patients was 3, range 1-5, and the average number of days off work or school due to infection was 3, range 0-14. Antibiotics were used for an average of 21 days, which was higher than for other similar products. However, the number of subjects was small and the data were not seasonally adjusted. There were no serious infections or hospitalisations due to infection</w:t>
      </w:r>
      <w:r w:rsidR="00F24384" w:rsidRPr="007A1703">
        <w:rPr>
          <w:rFonts w:cs="Arial"/>
          <w:szCs w:val="22"/>
          <w:lang w:val="en-AU"/>
        </w:rPr>
        <w:t xml:space="preserve">. The mean trough serum </w:t>
      </w:r>
      <w:proofErr w:type="spellStart"/>
      <w:r w:rsidR="00F24384" w:rsidRPr="007A1703">
        <w:rPr>
          <w:rFonts w:cs="Arial"/>
          <w:szCs w:val="22"/>
          <w:lang w:val="en-AU"/>
        </w:rPr>
        <w:t>IgG</w:t>
      </w:r>
      <w:proofErr w:type="spellEnd"/>
      <w:r w:rsidR="00F24384" w:rsidRPr="007A1703">
        <w:rPr>
          <w:rFonts w:cs="Arial"/>
          <w:szCs w:val="22"/>
          <w:lang w:val="en-AU"/>
        </w:rPr>
        <w:t xml:space="preserve"> concentration was 7.5 g/L.</w:t>
      </w:r>
    </w:p>
    <w:p w:rsidR="00F24384" w:rsidRPr="009F6BBB" w:rsidRDefault="00F24384" w:rsidP="007A3AFF">
      <w:pPr>
        <w:pStyle w:val="Lemm1"/>
        <w:jc w:val="both"/>
        <w:outlineLvl w:val="0"/>
        <w:rPr>
          <w:b/>
          <w:szCs w:val="22"/>
          <w:lang w:val="en-AU"/>
        </w:rPr>
      </w:pPr>
    </w:p>
    <w:p w:rsidR="00B363F7" w:rsidRPr="005C1FFC" w:rsidRDefault="00B363F7" w:rsidP="00B363F7">
      <w:pPr>
        <w:ind w:right="60"/>
        <w:jc w:val="both"/>
        <w:rPr>
          <w:rFonts w:ascii="Arial" w:hAnsi="Arial"/>
          <w:b/>
          <w:sz w:val="22"/>
          <w:szCs w:val="22"/>
          <w:lang w:val="en-AU"/>
        </w:rPr>
      </w:pPr>
      <w:r w:rsidRPr="005C1FFC">
        <w:rPr>
          <w:rFonts w:ascii="Arial" w:hAnsi="Arial"/>
          <w:b/>
          <w:sz w:val="22"/>
          <w:szCs w:val="22"/>
          <w:lang w:val="en-AU"/>
        </w:rPr>
        <w:t>Treatment of Primary Immunodeficiency by the subcutaneous (SC) route</w:t>
      </w:r>
    </w:p>
    <w:p w:rsidR="00F47F8D" w:rsidRDefault="00F47F8D" w:rsidP="00F47F8D">
      <w:pPr>
        <w:rPr>
          <w:highlight w:val="yellow"/>
        </w:rPr>
      </w:pPr>
    </w:p>
    <w:p w:rsidR="00DF2070" w:rsidRPr="00DF2070" w:rsidRDefault="00814AE1" w:rsidP="00DF2070">
      <w:pPr>
        <w:ind w:right="60"/>
        <w:jc w:val="both"/>
        <w:rPr>
          <w:rFonts w:ascii="Arial" w:hAnsi="Arial" w:cs="Arial"/>
          <w:sz w:val="22"/>
          <w:szCs w:val="22"/>
        </w:rPr>
      </w:pPr>
      <w:r>
        <w:rPr>
          <w:rFonts w:ascii="Arial" w:hAnsi="Arial" w:cs="Arial"/>
          <w:sz w:val="22"/>
          <w:szCs w:val="22"/>
        </w:rPr>
        <w:t>In a single sequence, crossover trial,</w:t>
      </w:r>
      <w:r w:rsidR="00DF2070" w:rsidRPr="00DF2070">
        <w:rPr>
          <w:rFonts w:ascii="Arial" w:hAnsi="Arial" w:cs="Arial"/>
          <w:sz w:val="22"/>
          <w:szCs w:val="22"/>
        </w:rPr>
        <w:t xml:space="preserve"> the pharmacokinetics, safety, and tolerability of subcutaneously administered GAMUNEX</w:t>
      </w:r>
      <w:r w:rsidR="00DF2070" w:rsidRPr="00DF2070">
        <w:rPr>
          <w:vertAlign w:val="superscript"/>
          <w:lang w:val="en-AU"/>
        </w:rPr>
        <w:t>®</w:t>
      </w:r>
      <w:r w:rsidR="00DF2070" w:rsidRPr="00DF2070">
        <w:rPr>
          <w:rFonts w:ascii="Arial" w:hAnsi="Arial" w:cs="Arial"/>
          <w:sz w:val="22"/>
          <w:szCs w:val="22"/>
        </w:rPr>
        <w:t xml:space="preserve"> in subjects with primary immunodeficiency </w:t>
      </w:r>
      <w:r>
        <w:rPr>
          <w:rFonts w:ascii="Arial" w:hAnsi="Arial" w:cs="Arial"/>
          <w:sz w:val="22"/>
          <w:szCs w:val="22"/>
        </w:rPr>
        <w:t>were evaluated</w:t>
      </w:r>
      <w:r w:rsidR="00DF2070" w:rsidRPr="00DF2070">
        <w:rPr>
          <w:rFonts w:ascii="Arial" w:hAnsi="Arial" w:cs="Arial"/>
          <w:sz w:val="22"/>
          <w:szCs w:val="22"/>
        </w:rPr>
        <w:t>. The objectives of the study were to determine a dose of weekly subcutaneously administered GAMUNEX</w:t>
      </w:r>
      <w:r w:rsidR="00DF2070" w:rsidRPr="00E14D4C">
        <w:rPr>
          <w:szCs w:val="22"/>
          <w:vertAlign w:val="superscript"/>
          <w:lang w:val="en-AU"/>
        </w:rPr>
        <w:t>®</w:t>
      </w:r>
      <w:r w:rsidR="00DF2070" w:rsidRPr="00DF2070">
        <w:rPr>
          <w:rFonts w:ascii="Arial" w:hAnsi="Arial" w:cs="Arial"/>
          <w:sz w:val="22"/>
          <w:szCs w:val="22"/>
        </w:rPr>
        <w:t xml:space="preserve"> that produces steady-state AUC of plasma total </w:t>
      </w:r>
      <w:proofErr w:type="spellStart"/>
      <w:r w:rsidR="00DF2070" w:rsidRPr="00DF2070">
        <w:rPr>
          <w:rFonts w:ascii="Arial" w:hAnsi="Arial" w:cs="Arial"/>
          <w:sz w:val="22"/>
          <w:szCs w:val="22"/>
        </w:rPr>
        <w:t>IgG</w:t>
      </w:r>
      <w:proofErr w:type="spellEnd"/>
      <w:r w:rsidR="00DF2070" w:rsidRPr="00DF2070">
        <w:rPr>
          <w:rFonts w:ascii="Arial" w:hAnsi="Arial" w:cs="Arial"/>
          <w:sz w:val="22"/>
          <w:szCs w:val="22"/>
        </w:rPr>
        <w:t xml:space="preserve"> that is non-inferior to that of the regularly administered IV dose of GAMUNEX</w:t>
      </w:r>
      <w:r w:rsidR="00DF2070" w:rsidRPr="00E14D4C">
        <w:rPr>
          <w:szCs w:val="22"/>
          <w:vertAlign w:val="superscript"/>
          <w:lang w:val="en-AU"/>
        </w:rPr>
        <w:t>®</w:t>
      </w:r>
      <w:r w:rsidR="00DF2070" w:rsidRPr="00DF2070">
        <w:rPr>
          <w:rFonts w:ascii="Arial" w:hAnsi="Arial" w:cs="Arial"/>
          <w:sz w:val="22"/>
          <w:szCs w:val="22"/>
        </w:rPr>
        <w:t>. Subjects were required to have been receiving GAMUNEX</w:t>
      </w:r>
      <w:r w:rsidR="00DF2070" w:rsidRPr="00E14D4C">
        <w:rPr>
          <w:szCs w:val="22"/>
          <w:vertAlign w:val="superscript"/>
          <w:lang w:val="en-AU"/>
        </w:rPr>
        <w:t>®</w:t>
      </w:r>
      <w:r w:rsidR="00DF2070" w:rsidRPr="00DF2070">
        <w:rPr>
          <w:rFonts w:ascii="Arial" w:hAnsi="Arial" w:cs="Arial"/>
          <w:sz w:val="22"/>
          <w:szCs w:val="22"/>
        </w:rPr>
        <w:t xml:space="preserve"> 200-600 mg/kg IV every 3-4 weeks for at least 3 months, at which time they entered the IV phase of the study. PK profiling around the IV dose occurred and subjects were crossed over to weekly SC infusions. The weekly SC dose was determined by multiplying the total IV dose by 1.37 and dividing the resultant new total </w:t>
      </w:r>
      <w:r w:rsidR="00DF2070" w:rsidRPr="00DF2070">
        <w:rPr>
          <w:rFonts w:ascii="Arial" w:hAnsi="Arial" w:cs="Arial"/>
          <w:sz w:val="22"/>
          <w:szCs w:val="22"/>
        </w:rPr>
        <w:lastRenderedPageBreak/>
        <w:t xml:space="preserve">dose by 3 or 4 depending on the previous IV interval. A total of 32 and 26 subjects, respectively, had plasma total </w:t>
      </w:r>
      <w:proofErr w:type="spellStart"/>
      <w:r w:rsidR="00DF2070" w:rsidRPr="00DF2070">
        <w:rPr>
          <w:rFonts w:ascii="Arial" w:hAnsi="Arial" w:cs="Arial"/>
          <w:sz w:val="22"/>
          <w:szCs w:val="22"/>
        </w:rPr>
        <w:t>IgG</w:t>
      </w:r>
      <w:proofErr w:type="spellEnd"/>
      <w:r w:rsidR="00DF2070" w:rsidRPr="00DF2070">
        <w:rPr>
          <w:rFonts w:ascii="Arial" w:hAnsi="Arial" w:cs="Arial"/>
          <w:sz w:val="22"/>
          <w:szCs w:val="22"/>
        </w:rPr>
        <w:t xml:space="preserve"> concentration vs. time profiles for assessment of steady-state PK parameters after IV and SC administration. In contrast to plasma total </w:t>
      </w:r>
      <w:proofErr w:type="spellStart"/>
      <w:r w:rsidR="00DF2070" w:rsidRPr="00DF2070">
        <w:rPr>
          <w:rFonts w:ascii="Arial" w:hAnsi="Arial" w:cs="Arial"/>
          <w:sz w:val="22"/>
          <w:szCs w:val="22"/>
        </w:rPr>
        <w:t>IgG</w:t>
      </w:r>
      <w:proofErr w:type="spellEnd"/>
      <w:r w:rsidR="00DF2070" w:rsidRPr="00DF2070">
        <w:rPr>
          <w:rFonts w:ascii="Arial" w:hAnsi="Arial" w:cs="Arial"/>
          <w:sz w:val="22"/>
          <w:szCs w:val="22"/>
        </w:rPr>
        <w:t xml:space="preserve"> levels observed with monthly IV GAMUNEX</w:t>
      </w:r>
      <w:r w:rsidR="00DF2070" w:rsidRPr="00E14D4C">
        <w:rPr>
          <w:szCs w:val="22"/>
          <w:vertAlign w:val="superscript"/>
          <w:lang w:val="en-AU"/>
        </w:rPr>
        <w:t>®</w:t>
      </w:r>
      <w:r w:rsidR="00DF2070" w:rsidRPr="00DF2070">
        <w:rPr>
          <w:rFonts w:ascii="Arial" w:hAnsi="Arial" w:cs="Arial"/>
          <w:sz w:val="22"/>
          <w:szCs w:val="22"/>
        </w:rPr>
        <w:t xml:space="preserve"> treatment (rapid peaks followed by a slow decline), the plasma </w:t>
      </w:r>
      <w:proofErr w:type="spellStart"/>
      <w:r w:rsidR="00DF2070" w:rsidRPr="00DF2070">
        <w:rPr>
          <w:rFonts w:ascii="Arial" w:hAnsi="Arial" w:cs="Arial"/>
          <w:sz w:val="22"/>
          <w:szCs w:val="22"/>
        </w:rPr>
        <w:t>IgG</w:t>
      </w:r>
      <w:proofErr w:type="spellEnd"/>
      <w:r w:rsidR="00DF2070" w:rsidRPr="00DF2070">
        <w:rPr>
          <w:rFonts w:ascii="Arial" w:hAnsi="Arial" w:cs="Arial"/>
          <w:sz w:val="22"/>
          <w:szCs w:val="22"/>
        </w:rPr>
        <w:t xml:space="preserve"> levels in subjects receiving weekly SC GAMUNEX</w:t>
      </w:r>
      <w:r w:rsidR="00DF2070" w:rsidRPr="00E14D4C">
        <w:rPr>
          <w:szCs w:val="22"/>
          <w:vertAlign w:val="superscript"/>
          <w:lang w:val="en-AU"/>
        </w:rPr>
        <w:t>®</w:t>
      </w:r>
      <w:r w:rsidR="00DF2070" w:rsidRPr="00DF2070">
        <w:rPr>
          <w:rFonts w:ascii="Arial" w:hAnsi="Arial" w:cs="Arial"/>
          <w:sz w:val="22"/>
          <w:szCs w:val="22"/>
        </w:rPr>
        <w:t xml:space="preserve"> therapy were relatively stable.  See Figure </w:t>
      </w:r>
      <w:r w:rsidR="00DF2070">
        <w:rPr>
          <w:rFonts w:ascii="Arial" w:hAnsi="Arial" w:cs="Arial"/>
          <w:sz w:val="22"/>
          <w:szCs w:val="22"/>
        </w:rPr>
        <w:t>below</w:t>
      </w:r>
      <w:r w:rsidR="00DF2070" w:rsidRPr="00DF2070">
        <w:rPr>
          <w:rFonts w:ascii="Arial" w:hAnsi="Arial" w:cs="Arial"/>
          <w:sz w:val="22"/>
          <w:szCs w:val="22"/>
        </w:rPr>
        <w:t>.</w:t>
      </w:r>
    </w:p>
    <w:p w:rsidR="00DF2070" w:rsidRDefault="00DF2070" w:rsidP="00DF2070">
      <w:pPr>
        <w:ind w:right="60"/>
        <w:jc w:val="both"/>
        <w:rPr>
          <w:rFonts w:ascii="Arial" w:hAnsi="Arial" w:cs="Arial"/>
          <w:sz w:val="22"/>
          <w:szCs w:val="22"/>
        </w:rPr>
      </w:pPr>
    </w:p>
    <w:p w:rsidR="00DF2070" w:rsidRPr="00DF2070" w:rsidRDefault="00DF2070" w:rsidP="00DF2070">
      <w:pPr>
        <w:ind w:right="60"/>
        <w:jc w:val="both"/>
        <w:rPr>
          <w:rFonts w:ascii="Arial" w:hAnsi="Arial" w:cs="Arial"/>
          <w:b/>
          <w:sz w:val="22"/>
          <w:szCs w:val="22"/>
        </w:rPr>
      </w:pPr>
      <w:r w:rsidRPr="00DF2070">
        <w:rPr>
          <w:rFonts w:ascii="Arial" w:hAnsi="Arial" w:cs="Arial"/>
          <w:b/>
          <w:sz w:val="22"/>
          <w:szCs w:val="22"/>
        </w:rPr>
        <w:t xml:space="preserve">Figure: Mean steady-state plasma total </w:t>
      </w:r>
      <w:proofErr w:type="spellStart"/>
      <w:r w:rsidRPr="00DF2070">
        <w:rPr>
          <w:rFonts w:ascii="Arial" w:hAnsi="Arial" w:cs="Arial"/>
          <w:b/>
          <w:sz w:val="22"/>
          <w:szCs w:val="22"/>
        </w:rPr>
        <w:t>IgG</w:t>
      </w:r>
      <w:proofErr w:type="spellEnd"/>
      <w:r w:rsidRPr="00DF2070">
        <w:rPr>
          <w:rFonts w:ascii="Arial" w:hAnsi="Arial" w:cs="Arial"/>
          <w:b/>
          <w:sz w:val="22"/>
          <w:szCs w:val="22"/>
        </w:rPr>
        <w:t xml:space="preserve"> concentration vs. time curves following IV administration or weekly SC administration</w:t>
      </w:r>
    </w:p>
    <w:p w:rsidR="00DF2070" w:rsidRPr="00DF2070" w:rsidRDefault="001A2734" w:rsidP="00DF2070">
      <w:pPr>
        <w:ind w:right="60"/>
        <w:jc w:val="both"/>
      </w:pPr>
      <w:r>
        <w:rPr>
          <w:noProof/>
          <w:lang w:val="en-AU"/>
        </w:rPr>
        <w:drawing>
          <wp:inline distT="0" distB="0" distL="0" distR="0">
            <wp:extent cx="5461000"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biLevel thresh="50000"/>
                    </a:blip>
                    <a:srcRect/>
                    <a:stretch>
                      <a:fillRect/>
                    </a:stretch>
                  </pic:blipFill>
                  <pic:spPr bwMode="auto">
                    <a:xfrm>
                      <a:off x="0" y="0"/>
                      <a:ext cx="5461000" cy="3733800"/>
                    </a:xfrm>
                    <a:prstGeom prst="rect">
                      <a:avLst/>
                    </a:prstGeom>
                    <a:noFill/>
                    <a:ln w="9525">
                      <a:noFill/>
                      <a:miter lim="800000"/>
                      <a:headEnd/>
                      <a:tailEnd/>
                    </a:ln>
                  </pic:spPr>
                </pic:pic>
              </a:graphicData>
            </a:graphic>
          </wp:inline>
        </w:drawing>
      </w:r>
    </w:p>
    <w:p w:rsidR="00DF2070" w:rsidRPr="00DF2070" w:rsidRDefault="00DF2070" w:rsidP="00DF2070">
      <w:pPr>
        <w:ind w:right="60"/>
        <w:jc w:val="both"/>
        <w:rPr>
          <w:rFonts w:ascii="Arial" w:hAnsi="Arial" w:cs="Arial"/>
          <w:sz w:val="22"/>
          <w:szCs w:val="22"/>
        </w:rPr>
      </w:pPr>
    </w:p>
    <w:p w:rsidR="00DF2070" w:rsidRDefault="00DF2070" w:rsidP="00DF2070">
      <w:pPr>
        <w:ind w:right="60"/>
        <w:jc w:val="both"/>
        <w:rPr>
          <w:rFonts w:ascii="Arial" w:hAnsi="Arial" w:cs="Arial"/>
          <w:sz w:val="22"/>
          <w:szCs w:val="22"/>
        </w:rPr>
      </w:pPr>
      <w:r w:rsidRPr="00DF2070">
        <w:rPr>
          <w:rFonts w:ascii="Arial" w:hAnsi="Arial" w:cs="Arial"/>
          <w:sz w:val="22"/>
          <w:szCs w:val="22"/>
        </w:rPr>
        <w:t xml:space="preserve">The primary PK endpoint (AUC of plasma total </w:t>
      </w:r>
      <w:proofErr w:type="spellStart"/>
      <w:r w:rsidRPr="00DF2070">
        <w:rPr>
          <w:rFonts w:ascii="Arial" w:hAnsi="Arial" w:cs="Arial"/>
          <w:sz w:val="22"/>
          <w:szCs w:val="22"/>
        </w:rPr>
        <w:t>IgG</w:t>
      </w:r>
      <w:proofErr w:type="spellEnd"/>
      <w:r w:rsidRPr="00DF2070">
        <w:rPr>
          <w:rFonts w:ascii="Arial" w:hAnsi="Arial" w:cs="Arial"/>
          <w:sz w:val="22"/>
          <w:szCs w:val="22"/>
        </w:rPr>
        <w:t xml:space="preserve">) following IV and SC administration is summarized below in Table </w:t>
      </w:r>
      <w:r w:rsidR="008E4FE7">
        <w:rPr>
          <w:rFonts w:ascii="Arial" w:hAnsi="Arial" w:cs="Arial"/>
          <w:sz w:val="22"/>
          <w:szCs w:val="22"/>
        </w:rPr>
        <w:t>4</w:t>
      </w:r>
      <w:r w:rsidRPr="00DF2070">
        <w:rPr>
          <w:rFonts w:ascii="Arial" w:hAnsi="Arial" w:cs="Arial"/>
          <w:sz w:val="22"/>
          <w:szCs w:val="22"/>
        </w:rPr>
        <w:t>.</w:t>
      </w:r>
    </w:p>
    <w:p w:rsidR="00873258" w:rsidRDefault="00873258" w:rsidP="00DF2070">
      <w:pPr>
        <w:ind w:right="60"/>
        <w:jc w:val="both"/>
        <w:rPr>
          <w:rFonts w:ascii="Arial" w:hAnsi="Arial" w:cs="Arial"/>
          <w:sz w:val="22"/>
          <w:szCs w:val="22"/>
        </w:rPr>
      </w:pPr>
    </w:p>
    <w:p w:rsidR="00873258" w:rsidRDefault="00873258" w:rsidP="00873258">
      <w:pPr>
        <w:pStyle w:val="TableLeft"/>
        <w:keepNext/>
        <w:rPr>
          <w:rFonts w:ascii="Arial" w:hAnsi="Arial"/>
          <w:b/>
          <w:bCs w:val="0"/>
          <w:sz w:val="22"/>
          <w:szCs w:val="22"/>
        </w:rPr>
      </w:pPr>
      <w:r w:rsidRPr="00DF2070">
        <w:rPr>
          <w:rFonts w:ascii="Arial" w:hAnsi="Arial"/>
          <w:b/>
          <w:bCs w:val="0"/>
          <w:sz w:val="22"/>
          <w:szCs w:val="22"/>
        </w:rPr>
        <w:t xml:space="preserve">Table </w:t>
      </w:r>
      <w:r w:rsidR="008E4FE7">
        <w:rPr>
          <w:rFonts w:ascii="Arial" w:hAnsi="Arial"/>
          <w:b/>
          <w:bCs w:val="0"/>
          <w:sz w:val="22"/>
          <w:szCs w:val="22"/>
        </w:rPr>
        <w:t>4</w:t>
      </w:r>
      <w:r w:rsidRPr="00DF2070">
        <w:rPr>
          <w:rFonts w:ascii="Arial" w:hAnsi="Arial"/>
          <w:b/>
          <w:bCs w:val="0"/>
          <w:sz w:val="22"/>
          <w:szCs w:val="22"/>
        </w:rPr>
        <w:t xml:space="preserve">: Summary of </w:t>
      </w:r>
      <w:smartTag w:uri="urn:schemas-microsoft-com:office:smarttags" w:element="Street">
        <w:smartTag w:uri="urn:schemas-microsoft-com:office:smarttags" w:element="address">
          <w:r w:rsidRPr="00DF2070">
            <w:rPr>
              <w:rFonts w:ascii="Arial" w:hAnsi="Arial"/>
              <w:b/>
              <w:bCs w:val="0"/>
              <w:sz w:val="22"/>
              <w:szCs w:val="22"/>
            </w:rPr>
            <w:t>Primary PK</w:t>
          </w:r>
        </w:smartTag>
      </w:smartTag>
      <w:r w:rsidRPr="00DF2070">
        <w:rPr>
          <w:rFonts w:ascii="Arial" w:hAnsi="Arial"/>
          <w:b/>
          <w:bCs w:val="0"/>
          <w:sz w:val="22"/>
          <w:szCs w:val="22"/>
        </w:rPr>
        <w:t xml:space="preserve"> Endpoint of AUC</w:t>
      </w:r>
    </w:p>
    <w:p w:rsidR="00C347EE" w:rsidRPr="00DF2070" w:rsidRDefault="00C347EE" w:rsidP="00873258">
      <w:pPr>
        <w:pStyle w:val="TableLeft"/>
        <w:keepNext/>
        <w:rPr>
          <w:rFonts w:ascii="Arial" w:hAnsi="Arial"/>
          <w:b/>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5"/>
        <w:gridCol w:w="1570"/>
        <w:gridCol w:w="1786"/>
        <w:gridCol w:w="1497"/>
        <w:gridCol w:w="1898"/>
      </w:tblGrid>
      <w:tr w:rsidR="00873258" w:rsidRPr="00A00365" w:rsidTr="00A00365">
        <w:tc>
          <w:tcPr>
            <w:tcW w:w="2005" w:type="dxa"/>
            <w:vAlign w:val="bottom"/>
          </w:tcPr>
          <w:p w:rsidR="00873258" w:rsidRPr="00A00365" w:rsidRDefault="00873258" w:rsidP="00A00365">
            <w:pPr>
              <w:pStyle w:val="TableHead"/>
              <w:keepNext/>
              <w:keepLines/>
              <w:spacing w:after="0"/>
              <w:rPr>
                <w:rFonts w:ascii="Arial" w:hAnsi="Arial" w:cs="Arial"/>
                <w:sz w:val="22"/>
                <w:szCs w:val="22"/>
              </w:rPr>
            </w:pPr>
            <w:r w:rsidRPr="00A00365">
              <w:rPr>
                <w:rFonts w:ascii="Arial" w:hAnsi="Arial" w:cs="Arial"/>
                <w:sz w:val="22"/>
                <w:szCs w:val="22"/>
              </w:rPr>
              <w:t>Route of Administration</w:t>
            </w:r>
          </w:p>
        </w:tc>
        <w:tc>
          <w:tcPr>
            <w:tcW w:w="1570" w:type="dxa"/>
            <w:vAlign w:val="bottom"/>
          </w:tcPr>
          <w:p w:rsidR="00873258" w:rsidRPr="00A00365" w:rsidRDefault="00873258" w:rsidP="00A00365">
            <w:pPr>
              <w:pStyle w:val="Paragraph"/>
              <w:keepNext/>
              <w:keepLines/>
              <w:spacing w:after="0"/>
              <w:jc w:val="center"/>
              <w:rPr>
                <w:rFonts w:ascii="Arial" w:hAnsi="Arial" w:cs="Arial"/>
                <w:b/>
                <w:sz w:val="22"/>
                <w:szCs w:val="22"/>
                <w:lang w:val="pt-BR"/>
              </w:rPr>
            </w:pPr>
            <w:r w:rsidRPr="00A00365">
              <w:rPr>
                <w:rFonts w:ascii="Arial" w:hAnsi="Arial" w:cs="Arial"/>
                <w:b/>
                <w:sz w:val="22"/>
                <w:szCs w:val="22"/>
                <w:lang w:val="pt-BR"/>
              </w:rPr>
              <w:t>Statistics</w:t>
            </w:r>
          </w:p>
        </w:tc>
        <w:tc>
          <w:tcPr>
            <w:tcW w:w="1786" w:type="dxa"/>
            <w:vAlign w:val="bottom"/>
          </w:tcPr>
          <w:p w:rsidR="00873258" w:rsidRPr="00A00365" w:rsidRDefault="00873258" w:rsidP="00A00365">
            <w:pPr>
              <w:pStyle w:val="Paragraph"/>
              <w:keepNext/>
              <w:keepLines/>
              <w:spacing w:after="0"/>
              <w:jc w:val="center"/>
              <w:rPr>
                <w:rFonts w:ascii="Arial" w:hAnsi="Arial" w:cs="Arial"/>
                <w:b/>
                <w:sz w:val="22"/>
                <w:szCs w:val="22"/>
                <w:vertAlign w:val="subscript"/>
                <w:lang w:val="pt-BR"/>
              </w:rPr>
            </w:pPr>
            <w:r w:rsidRPr="00A00365">
              <w:rPr>
                <w:rFonts w:ascii="Arial" w:hAnsi="Arial" w:cs="Arial"/>
                <w:b/>
                <w:sz w:val="22"/>
                <w:szCs w:val="22"/>
                <w:lang w:val="pt-BR"/>
              </w:rPr>
              <w:t>AUC</w:t>
            </w:r>
            <w:r w:rsidRPr="00A00365">
              <w:rPr>
                <w:rFonts w:ascii="Arial" w:hAnsi="Arial" w:cs="Arial"/>
                <w:b/>
                <w:sz w:val="22"/>
                <w:szCs w:val="22"/>
                <w:vertAlign w:val="subscript"/>
                <w:lang w:val="pt-BR"/>
              </w:rPr>
              <w:t>0</w:t>
            </w:r>
            <w:r w:rsidRPr="00A00365">
              <w:rPr>
                <w:rFonts w:ascii="Arial" w:hAnsi="Arial" w:cs="Arial"/>
                <w:b/>
                <w:sz w:val="22"/>
                <w:szCs w:val="22"/>
                <w:vertAlign w:val="subscript"/>
                <w:lang w:val="pt-BR"/>
              </w:rPr>
              <w:noBreakHyphen/>
            </w:r>
            <w:r w:rsidRPr="00A00365">
              <w:rPr>
                <w:rFonts w:ascii="Arial" w:hAnsi="Arial" w:cs="Arial"/>
                <w:b/>
                <w:sz w:val="22"/>
                <w:szCs w:val="22"/>
                <w:vertAlign w:val="subscript"/>
              </w:rPr>
              <w:t>τ</w:t>
            </w:r>
            <w:r w:rsidRPr="00A00365">
              <w:rPr>
                <w:rFonts w:ascii="Arial" w:hAnsi="Arial" w:cs="Arial"/>
                <w:b/>
                <w:sz w:val="22"/>
                <w:szCs w:val="22"/>
                <w:vertAlign w:val="subscript"/>
                <w:lang w:val="pt-BR"/>
              </w:rPr>
              <w:t>,IV</w:t>
            </w:r>
          </w:p>
          <w:p w:rsidR="00873258" w:rsidRPr="00A00365" w:rsidRDefault="00873258" w:rsidP="00A00365">
            <w:pPr>
              <w:pStyle w:val="TableHead"/>
              <w:keepNext/>
              <w:keepLines/>
              <w:spacing w:after="0"/>
              <w:rPr>
                <w:rFonts w:ascii="Arial" w:hAnsi="Arial" w:cs="Arial"/>
                <w:sz w:val="22"/>
                <w:szCs w:val="22"/>
                <w:lang w:val="pt-BR"/>
              </w:rPr>
            </w:pPr>
            <w:r w:rsidRPr="00A00365">
              <w:rPr>
                <w:rFonts w:ascii="Arial" w:hAnsi="Arial" w:cs="Arial"/>
                <w:sz w:val="22"/>
                <w:szCs w:val="22"/>
                <w:lang w:val="pt-BR"/>
              </w:rPr>
              <w:t>(mg*h/mL)</w:t>
            </w:r>
          </w:p>
        </w:tc>
        <w:tc>
          <w:tcPr>
            <w:tcW w:w="1497" w:type="dxa"/>
            <w:vAlign w:val="bottom"/>
          </w:tcPr>
          <w:p w:rsidR="00873258" w:rsidRPr="00A00365" w:rsidRDefault="00873258" w:rsidP="00A00365">
            <w:pPr>
              <w:pStyle w:val="Paragraph"/>
              <w:keepNext/>
              <w:keepLines/>
              <w:spacing w:after="0"/>
              <w:jc w:val="center"/>
              <w:rPr>
                <w:rFonts w:ascii="Arial" w:hAnsi="Arial" w:cs="Arial"/>
                <w:b/>
                <w:sz w:val="22"/>
                <w:szCs w:val="22"/>
                <w:lang w:val="pt-BR"/>
              </w:rPr>
            </w:pPr>
            <w:r w:rsidRPr="00A00365">
              <w:rPr>
                <w:rFonts w:ascii="Arial" w:hAnsi="Arial" w:cs="Arial"/>
                <w:b/>
                <w:sz w:val="22"/>
                <w:szCs w:val="22"/>
                <w:lang w:val="pt-BR"/>
              </w:rPr>
              <w:t>AUC</w:t>
            </w:r>
            <w:r w:rsidRPr="00A00365">
              <w:rPr>
                <w:rFonts w:ascii="Arial" w:hAnsi="Arial" w:cs="Arial"/>
                <w:b/>
                <w:sz w:val="22"/>
                <w:szCs w:val="22"/>
                <w:vertAlign w:val="subscript"/>
                <w:lang w:val="pt-BR"/>
              </w:rPr>
              <w:t>0</w:t>
            </w:r>
            <w:r w:rsidRPr="00A00365">
              <w:rPr>
                <w:rFonts w:ascii="Arial" w:hAnsi="Arial" w:cs="Arial"/>
                <w:b/>
                <w:sz w:val="22"/>
                <w:szCs w:val="22"/>
                <w:vertAlign w:val="subscript"/>
                <w:lang w:val="pt-BR"/>
              </w:rPr>
              <w:noBreakHyphen/>
            </w:r>
            <w:r w:rsidRPr="00A00365">
              <w:rPr>
                <w:rFonts w:ascii="Arial" w:hAnsi="Arial" w:cs="Arial"/>
                <w:b/>
                <w:sz w:val="22"/>
                <w:szCs w:val="22"/>
                <w:vertAlign w:val="subscript"/>
              </w:rPr>
              <w:t>τ</w:t>
            </w:r>
            <w:r w:rsidRPr="00A00365">
              <w:rPr>
                <w:rFonts w:ascii="Arial" w:hAnsi="Arial" w:cs="Arial"/>
                <w:b/>
                <w:sz w:val="22"/>
                <w:szCs w:val="22"/>
                <w:vertAlign w:val="subscript"/>
                <w:lang w:val="pt-BR"/>
              </w:rPr>
              <w:t>,SC</w:t>
            </w:r>
          </w:p>
          <w:p w:rsidR="00873258" w:rsidRPr="00A00365" w:rsidRDefault="00873258" w:rsidP="00A00365">
            <w:pPr>
              <w:pStyle w:val="TableHead"/>
              <w:keepNext/>
              <w:keepLines/>
              <w:spacing w:after="0"/>
              <w:rPr>
                <w:rFonts w:ascii="Arial" w:hAnsi="Arial" w:cs="Arial"/>
                <w:sz w:val="22"/>
                <w:szCs w:val="22"/>
                <w:lang w:val="pt-BR"/>
              </w:rPr>
            </w:pPr>
            <w:r w:rsidRPr="00A00365">
              <w:rPr>
                <w:rFonts w:ascii="Arial" w:hAnsi="Arial" w:cs="Arial"/>
                <w:sz w:val="22"/>
                <w:szCs w:val="22"/>
                <w:lang w:val="pt-BR"/>
              </w:rPr>
              <w:t>(mg*h/mL)</w:t>
            </w:r>
          </w:p>
        </w:tc>
        <w:tc>
          <w:tcPr>
            <w:tcW w:w="1898" w:type="dxa"/>
            <w:vAlign w:val="bottom"/>
          </w:tcPr>
          <w:p w:rsidR="00873258" w:rsidRPr="00A00365" w:rsidRDefault="00873258" w:rsidP="00A00365">
            <w:pPr>
              <w:pStyle w:val="Paragraph"/>
              <w:keepNext/>
              <w:keepLines/>
              <w:spacing w:after="0"/>
              <w:jc w:val="center"/>
              <w:rPr>
                <w:rFonts w:ascii="Arial" w:hAnsi="Arial" w:cs="Arial"/>
                <w:b/>
                <w:sz w:val="22"/>
                <w:szCs w:val="22"/>
                <w:lang w:val="pt-BR"/>
              </w:rPr>
            </w:pPr>
            <w:r w:rsidRPr="00A00365">
              <w:rPr>
                <w:rFonts w:ascii="Arial" w:hAnsi="Arial" w:cs="Arial"/>
                <w:b/>
                <w:sz w:val="22"/>
                <w:szCs w:val="22"/>
                <w:lang w:val="pt-BR"/>
              </w:rPr>
              <w:t>Adj. AUC</w:t>
            </w:r>
            <w:r w:rsidRPr="00A00365">
              <w:rPr>
                <w:rFonts w:ascii="Arial" w:hAnsi="Arial" w:cs="Arial"/>
                <w:b/>
                <w:sz w:val="22"/>
                <w:szCs w:val="22"/>
                <w:vertAlign w:val="subscript"/>
                <w:lang w:val="pt-BR"/>
              </w:rPr>
              <w:t>0</w:t>
            </w:r>
            <w:r w:rsidRPr="00A00365">
              <w:rPr>
                <w:rFonts w:ascii="Arial" w:hAnsi="Arial" w:cs="Arial"/>
                <w:b/>
                <w:sz w:val="22"/>
                <w:szCs w:val="22"/>
                <w:vertAlign w:val="subscript"/>
                <w:lang w:val="pt-BR"/>
              </w:rPr>
              <w:noBreakHyphen/>
            </w:r>
            <w:r w:rsidRPr="00A00365">
              <w:rPr>
                <w:rFonts w:ascii="Arial" w:hAnsi="Arial" w:cs="Arial"/>
                <w:b/>
                <w:sz w:val="22"/>
                <w:szCs w:val="22"/>
                <w:vertAlign w:val="subscript"/>
              </w:rPr>
              <w:t>τ</w:t>
            </w:r>
            <w:r w:rsidRPr="00A00365">
              <w:rPr>
                <w:rFonts w:ascii="Arial" w:hAnsi="Arial" w:cs="Arial"/>
                <w:b/>
                <w:sz w:val="22"/>
                <w:szCs w:val="22"/>
                <w:vertAlign w:val="subscript"/>
                <w:lang w:val="pt-BR"/>
              </w:rPr>
              <w:t>,SC</w:t>
            </w:r>
            <w:r w:rsidRPr="00A00365">
              <w:rPr>
                <w:rFonts w:ascii="Arial" w:hAnsi="Arial" w:cs="Arial"/>
                <w:b/>
                <w:sz w:val="22"/>
                <w:szCs w:val="22"/>
                <w:vertAlign w:val="superscript"/>
                <w:lang w:val="pt-BR"/>
              </w:rPr>
              <w:t>1</w:t>
            </w:r>
          </w:p>
          <w:p w:rsidR="00873258" w:rsidRPr="00A00365" w:rsidRDefault="00873258" w:rsidP="00A00365">
            <w:pPr>
              <w:pStyle w:val="TableHead"/>
              <w:keepNext/>
              <w:keepLines/>
              <w:spacing w:after="0"/>
              <w:rPr>
                <w:rFonts w:ascii="Arial" w:hAnsi="Arial" w:cs="Arial"/>
                <w:sz w:val="22"/>
                <w:szCs w:val="22"/>
                <w:lang w:val="pt-BR"/>
              </w:rPr>
            </w:pPr>
            <w:r w:rsidRPr="00A00365">
              <w:rPr>
                <w:rFonts w:ascii="Arial" w:hAnsi="Arial" w:cs="Arial"/>
                <w:sz w:val="22"/>
                <w:szCs w:val="22"/>
                <w:lang w:val="pt-BR"/>
              </w:rPr>
              <w:t>(mg*h/mL)</w:t>
            </w:r>
          </w:p>
        </w:tc>
      </w:tr>
      <w:tr w:rsidR="00873258" w:rsidRPr="00A00365" w:rsidTr="00A00365">
        <w:tc>
          <w:tcPr>
            <w:tcW w:w="2005" w:type="dxa"/>
            <w:vMerge w:val="restart"/>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bCs/>
                <w:sz w:val="22"/>
                <w:szCs w:val="22"/>
              </w:rPr>
              <w:t>IV</w:t>
            </w:r>
          </w:p>
          <w:p w:rsidR="00873258" w:rsidRPr="00A00365" w:rsidRDefault="00873258" w:rsidP="00A00365">
            <w:pPr>
              <w:pStyle w:val="TableHead"/>
              <w:keepNext/>
              <w:keepLines/>
              <w:rPr>
                <w:rFonts w:ascii="Arial" w:hAnsi="Arial" w:cs="Arial"/>
                <w:b w:val="0"/>
                <w:bCs/>
                <w:sz w:val="22"/>
                <w:szCs w:val="22"/>
              </w:rPr>
            </w:pPr>
            <w:r w:rsidRPr="00A00365">
              <w:rPr>
                <w:rFonts w:ascii="Arial" w:hAnsi="Arial" w:cs="Arial"/>
                <w:b w:val="0"/>
                <w:bCs/>
                <w:sz w:val="22"/>
                <w:szCs w:val="22"/>
              </w:rPr>
              <w:t>(n = 32)</w:t>
            </w:r>
          </w:p>
        </w:tc>
        <w:tc>
          <w:tcPr>
            <w:tcW w:w="1570" w:type="dxa"/>
            <w:tcBorders>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Mean</w:t>
            </w:r>
          </w:p>
        </w:tc>
        <w:tc>
          <w:tcPr>
            <w:tcW w:w="1786" w:type="dxa"/>
            <w:tcBorders>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7640</w:t>
            </w:r>
          </w:p>
        </w:tc>
        <w:tc>
          <w:tcPr>
            <w:tcW w:w="1497" w:type="dxa"/>
            <w:vMerge w:val="restart"/>
            <w:shd w:val="clear" w:color="auto" w:fill="F3F3F3"/>
            <w:vAlign w:val="center"/>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bCs/>
                <w:sz w:val="22"/>
                <w:szCs w:val="22"/>
              </w:rPr>
              <w:t>NA</w:t>
            </w:r>
          </w:p>
        </w:tc>
        <w:tc>
          <w:tcPr>
            <w:tcW w:w="1898" w:type="dxa"/>
            <w:vMerge w:val="restart"/>
            <w:shd w:val="clear" w:color="auto" w:fill="F3F3F3"/>
            <w:vAlign w:val="center"/>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bCs/>
                <w:sz w:val="22"/>
                <w:szCs w:val="22"/>
              </w:rPr>
              <w:t>NA</w:t>
            </w:r>
          </w:p>
        </w:tc>
      </w:tr>
      <w:tr w:rsidR="00873258" w:rsidRPr="00A00365" w:rsidTr="00A00365">
        <w:tc>
          <w:tcPr>
            <w:tcW w:w="2005" w:type="dxa"/>
            <w:vMerge/>
          </w:tcPr>
          <w:p w:rsidR="00873258" w:rsidRPr="00A00365" w:rsidRDefault="00873258" w:rsidP="00A00365">
            <w:pPr>
              <w:pStyle w:val="TableHead"/>
              <w:keepNext/>
              <w:keepLines/>
              <w:spacing w:after="0"/>
              <w:rPr>
                <w:rFonts w:ascii="Arial" w:hAnsi="Arial" w:cs="Arial"/>
                <w:b w:val="0"/>
                <w:bCs/>
                <w:sz w:val="22"/>
                <w:szCs w:val="22"/>
              </w:rPr>
            </w:pPr>
          </w:p>
        </w:tc>
        <w:tc>
          <w:tcPr>
            <w:tcW w:w="1570" w:type="dxa"/>
            <w:tcBorders>
              <w:top w:val="single" w:sz="4" w:space="0" w:color="999999"/>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%CV</w:t>
            </w:r>
          </w:p>
        </w:tc>
        <w:tc>
          <w:tcPr>
            <w:tcW w:w="1786" w:type="dxa"/>
            <w:tcBorders>
              <w:top w:val="single" w:sz="4" w:space="0" w:color="999999"/>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15.9</w:t>
            </w:r>
          </w:p>
        </w:tc>
        <w:tc>
          <w:tcPr>
            <w:tcW w:w="1497" w:type="dxa"/>
            <w:vMerge/>
            <w:shd w:val="clear" w:color="auto" w:fill="F3F3F3"/>
          </w:tcPr>
          <w:p w:rsidR="00873258" w:rsidRPr="00A00365" w:rsidRDefault="00873258" w:rsidP="00A00365">
            <w:pPr>
              <w:pStyle w:val="TableHead"/>
              <w:keepNext/>
              <w:keepLines/>
              <w:spacing w:after="0"/>
              <w:rPr>
                <w:rFonts w:ascii="Arial" w:hAnsi="Arial" w:cs="Arial"/>
                <w:b w:val="0"/>
                <w:bCs/>
                <w:sz w:val="22"/>
                <w:szCs w:val="22"/>
              </w:rPr>
            </w:pPr>
          </w:p>
        </w:tc>
        <w:tc>
          <w:tcPr>
            <w:tcW w:w="1898" w:type="dxa"/>
            <w:vMerge/>
            <w:shd w:val="clear" w:color="auto" w:fill="F3F3F3"/>
          </w:tcPr>
          <w:p w:rsidR="00873258" w:rsidRPr="00A00365" w:rsidRDefault="00873258" w:rsidP="00A00365">
            <w:pPr>
              <w:pStyle w:val="TableHead"/>
              <w:keepNext/>
              <w:keepLines/>
              <w:spacing w:after="0"/>
              <w:rPr>
                <w:rFonts w:ascii="Arial" w:hAnsi="Arial" w:cs="Arial"/>
                <w:b w:val="0"/>
                <w:bCs/>
                <w:sz w:val="22"/>
                <w:szCs w:val="22"/>
              </w:rPr>
            </w:pPr>
          </w:p>
        </w:tc>
      </w:tr>
      <w:tr w:rsidR="00873258" w:rsidRPr="00A00365" w:rsidTr="00A00365">
        <w:tc>
          <w:tcPr>
            <w:tcW w:w="2005" w:type="dxa"/>
            <w:vMerge/>
          </w:tcPr>
          <w:p w:rsidR="00873258" w:rsidRPr="00A00365" w:rsidRDefault="00873258" w:rsidP="00A00365">
            <w:pPr>
              <w:pStyle w:val="TableHead"/>
              <w:keepNext/>
              <w:keepLines/>
              <w:spacing w:after="0"/>
              <w:rPr>
                <w:rFonts w:ascii="Arial" w:hAnsi="Arial" w:cs="Arial"/>
                <w:b w:val="0"/>
                <w:bCs/>
                <w:sz w:val="22"/>
                <w:szCs w:val="22"/>
              </w:rPr>
            </w:pPr>
          </w:p>
        </w:tc>
        <w:tc>
          <w:tcPr>
            <w:tcW w:w="1570" w:type="dxa"/>
            <w:tcBorders>
              <w:top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Range</w:t>
            </w:r>
          </w:p>
        </w:tc>
        <w:tc>
          <w:tcPr>
            <w:tcW w:w="1786" w:type="dxa"/>
            <w:tcBorders>
              <w:top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5616-10400</w:t>
            </w:r>
          </w:p>
        </w:tc>
        <w:tc>
          <w:tcPr>
            <w:tcW w:w="1497" w:type="dxa"/>
            <w:vMerge/>
            <w:shd w:val="clear" w:color="auto" w:fill="F3F3F3"/>
          </w:tcPr>
          <w:p w:rsidR="00873258" w:rsidRPr="00A00365" w:rsidRDefault="00873258" w:rsidP="00A00365">
            <w:pPr>
              <w:pStyle w:val="TableHead"/>
              <w:keepNext/>
              <w:keepLines/>
              <w:spacing w:after="0"/>
              <w:rPr>
                <w:rFonts w:ascii="Arial" w:hAnsi="Arial" w:cs="Arial"/>
                <w:b w:val="0"/>
                <w:bCs/>
                <w:sz w:val="22"/>
                <w:szCs w:val="22"/>
              </w:rPr>
            </w:pPr>
          </w:p>
        </w:tc>
        <w:tc>
          <w:tcPr>
            <w:tcW w:w="1898" w:type="dxa"/>
            <w:vMerge/>
            <w:shd w:val="clear" w:color="auto" w:fill="F3F3F3"/>
          </w:tcPr>
          <w:p w:rsidR="00873258" w:rsidRPr="00A00365" w:rsidRDefault="00873258" w:rsidP="00A00365">
            <w:pPr>
              <w:pStyle w:val="TableHead"/>
              <w:keepNext/>
              <w:keepLines/>
              <w:spacing w:after="0"/>
              <w:rPr>
                <w:rFonts w:ascii="Arial" w:hAnsi="Arial" w:cs="Arial"/>
                <w:b w:val="0"/>
                <w:bCs/>
                <w:sz w:val="22"/>
                <w:szCs w:val="22"/>
              </w:rPr>
            </w:pPr>
          </w:p>
        </w:tc>
      </w:tr>
      <w:tr w:rsidR="00873258" w:rsidRPr="00A00365" w:rsidTr="00A00365">
        <w:tc>
          <w:tcPr>
            <w:tcW w:w="2005" w:type="dxa"/>
            <w:vMerge w:val="restart"/>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bCs/>
                <w:sz w:val="22"/>
                <w:szCs w:val="22"/>
              </w:rPr>
              <w:t>SC</w:t>
            </w:r>
          </w:p>
          <w:p w:rsidR="00873258" w:rsidRPr="00A00365" w:rsidRDefault="00873258" w:rsidP="00A00365">
            <w:pPr>
              <w:pStyle w:val="TableHead"/>
              <w:keepNext/>
              <w:keepLines/>
              <w:rPr>
                <w:rFonts w:ascii="Arial" w:hAnsi="Arial" w:cs="Arial"/>
                <w:b w:val="0"/>
                <w:bCs/>
                <w:sz w:val="22"/>
                <w:szCs w:val="22"/>
              </w:rPr>
            </w:pPr>
            <w:r w:rsidRPr="00A00365">
              <w:rPr>
                <w:rFonts w:ascii="Arial" w:hAnsi="Arial" w:cs="Arial"/>
                <w:b w:val="0"/>
                <w:bCs/>
                <w:sz w:val="22"/>
                <w:szCs w:val="22"/>
              </w:rPr>
              <w:t>(n = 26)</w:t>
            </w:r>
          </w:p>
        </w:tc>
        <w:tc>
          <w:tcPr>
            <w:tcW w:w="1570" w:type="dxa"/>
            <w:tcBorders>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Mean</w:t>
            </w:r>
          </w:p>
        </w:tc>
        <w:tc>
          <w:tcPr>
            <w:tcW w:w="1786" w:type="dxa"/>
            <w:vMerge w:val="restart"/>
            <w:shd w:val="clear" w:color="auto" w:fill="F3F3F3"/>
            <w:vAlign w:val="center"/>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NA</w:t>
            </w:r>
          </w:p>
        </w:tc>
        <w:tc>
          <w:tcPr>
            <w:tcW w:w="1497" w:type="dxa"/>
            <w:tcBorders>
              <w:bottom w:val="single" w:sz="4" w:space="0" w:color="999999"/>
            </w:tcBorders>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sz w:val="22"/>
                <w:szCs w:val="22"/>
              </w:rPr>
              <w:t>1947</w:t>
            </w:r>
          </w:p>
        </w:tc>
        <w:tc>
          <w:tcPr>
            <w:tcW w:w="1898" w:type="dxa"/>
            <w:tcBorders>
              <w:bottom w:val="single" w:sz="4" w:space="0" w:color="999999"/>
            </w:tcBorders>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sz w:val="22"/>
                <w:szCs w:val="22"/>
              </w:rPr>
              <w:t>6858</w:t>
            </w:r>
          </w:p>
        </w:tc>
      </w:tr>
      <w:tr w:rsidR="00873258" w:rsidRPr="00A00365" w:rsidTr="00A00365">
        <w:tc>
          <w:tcPr>
            <w:tcW w:w="2005" w:type="dxa"/>
            <w:vMerge/>
          </w:tcPr>
          <w:p w:rsidR="00873258" w:rsidRPr="00A00365" w:rsidRDefault="00873258" w:rsidP="00A00365">
            <w:pPr>
              <w:pStyle w:val="TableHead"/>
              <w:keepNext/>
              <w:keepLines/>
              <w:spacing w:after="0"/>
              <w:rPr>
                <w:rFonts w:ascii="Arial" w:hAnsi="Arial" w:cs="Arial"/>
                <w:sz w:val="22"/>
                <w:szCs w:val="22"/>
              </w:rPr>
            </w:pPr>
          </w:p>
        </w:tc>
        <w:tc>
          <w:tcPr>
            <w:tcW w:w="1570" w:type="dxa"/>
            <w:tcBorders>
              <w:top w:val="single" w:sz="4" w:space="0" w:color="999999"/>
              <w:bottom w:val="single" w:sz="4" w:space="0" w:color="999999"/>
            </w:tcBorders>
          </w:tcPr>
          <w:p w:rsidR="00873258" w:rsidRPr="00A00365" w:rsidRDefault="00873258" w:rsidP="00A00365">
            <w:pPr>
              <w:pStyle w:val="Paragraph"/>
              <w:keepNext/>
              <w:keepLines/>
              <w:spacing w:after="0"/>
              <w:jc w:val="center"/>
              <w:rPr>
                <w:rFonts w:ascii="Arial" w:hAnsi="Arial" w:cs="Arial"/>
                <w:sz w:val="22"/>
                <w:szCs w:val="22"/>
              </w:rPr>
            </w:pPr>
            <w:r w:rsidRPr="00A00365">
              <w:rPr>
                <w:rFonts w:ascii="Arial" w:hAnsi="Arial" w:cs="Arial"/>
                <w:sz w:val="22"/>
                <w:szCs w:val="22"/>
              </w:rPr>
              <w:t>%CV</w:t>
            </w:r>
          </w:p>
        </w:tc>
        <w:tc>
          <w:tcPr>
            <w:tcW w:w="1786" w:type="dxa"/>
            <w:vMerge/>
            <w:shd w:val="clear" w:color="auto" w:fill="F3F3F3"/>
          </w:tcPr>
          <w:p w:rsidR="00873258" w:rsidRPr="00A00365" w:rsidRDefault="00873258" w:rsidP="00A00365">
            <w:pPr>
              <w:pStyle w:val="TableHead"/>
              <w:keepNext/>
              <w:keepLines/>
              <w:spacing w:after="0"/>
              <w:rPr>
                <w:rFonts w:ascii="Arial" w:hAnsi="Arial" w:cs="Arial"/>
                <w:sz w:val="22"/>
                <w:szCs w:val="22"/>
              </w:rPr>
            </w:pPr>
          </w:p>
        </w:tc>
        <w:tc>
          <w:tcPr>
            <w:tcW w:w="1497" w:type="dxa"/>
            <w:tcBorders>
              <w:top w:val="single" w:sz="4" w:space="0" w:color="999999"/>
              <w:bottom w:val="single" w:sz="4" w:space="0" w:color="999999"/>
            </w:tcBorders>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sz w:val="22"/>
                <w:szCs w:val="22"/>
              </w:rPr>
              <w:t>20.4</w:t>
            </w:r>
          </w:p>
        </w:tc>
        <w:tc>
          <w:tcPr>
            <w:tcW w:w="1898" w:type="dxa"/>
            <w:tcBorders>
              <w:top w:val="single" w:sz="4" w:space="0" w:color="999999"/>
              <w:bottom w:val="single" w:sz="4" w:space="0" w:color="999999"/>
            </w:tcBorders>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sz w:val="22"/>
                <w:szCs w:val="22"/>
              </w:rPr>
              <w:t>18.1</w:t>
            </w:r>
          </w:p>
        </w:tc>
      </w:tr>
      <w:tr w:rsidR="00873258" w:rsidRPr="00A00365" w:rsidTr="00A00365">
        <w:tc>
          <w:tcPr>
            <w:tcW w:w="2005" w:type="dxa"/>
            <w:vMerge/>
          </w:tcPr>
          <w:p w:rsidR="00873258" w:rsidRPr="00A00365" w:rsidRDefault="00873258" w:rsidP="00A00365">
            <w:pPr>
              <w:pStyle w:val="TableHead"/>
              <w:keepNext/>
              <w:keepLines/>
              <w:spacing w:after="0"/>
              <w:rPr>
                <w:rFonts w:ascii="Arial" w:hAnsi="Arial" w:cs="Arial"/>
                <w:sz w:val="22"/>
                <w:szCs w:val="22"/>
              </w:rPr>
            </w:pPr>
          </w:p>
        </w:tc>
        <w:tc>
          <w:tcPr>
            <w:tcW w:w="1570" w:type="dxa"/>
            <w:tcBorders>
              <w:top w:val="single" w:sz="4" w:space="0" w:color="999999"/>
            </w:tcBorders>
          </w:tcPr>
          <w:p w:rsidR="00873258" w:rsidRPr="00A00365" w:rsidRDefault="00873258" w:rsidP="00A00365">
            <w:pPr>
              <w:pStyle w:val="TableHead"/>
              <w:keepNext/>
              <w:keepLines/>
              <w:spacing w:after="0"/>
              <w:rPr>
                <w:rFonts w:ascii="Arial" w:hAnsi="Arial" w:cs="Arial"/>
                <w:b w:val="0"/>
                <w:bCs/>
                <w:sz w:val="22"/>
                <w:szCs w:val="22"/>
              </w:rPr>
            </w:pPr>
            <w:r w:rsidRPr="00A00365">
              <w:rPr>
                <w:rFonts w:ascii="Arial" w:hAnsi="Arial" w:cs="Arial"/>
                <w:b w:val="0"/>
                <w:bCs/>
                <w:sz w:val="22"/>
                <w:szCs w:val="22"/>
              </w:rPr>
              <w:t>Range</w:t>
            </w:r>
          </w:p>
        </w:tc>
        <w:tc>
          <w:tcPr>
            <w:tcW w:w="1786" w:type="dxa"/>
            <w:vMerge/>
            <w:shd w:val="clear" w:color="auto" w:fill="F3F3F3"/>
          </w:tcPr>
          <w:p w:rsidR="00873258" w:rsidRPr="00A00365" w:rsidRDefault="00873258" w:rsidP="00A00365">
            <w:pPr>
              <w:pStyle w:val="TableHead"/>
              <w:keepNext/>
              <w:keepLines/>
              <w:spacing w:after="0"/>
              <w:rPr>
                <w:rFonts w:ascii="Arial" w:hAnsi="Arial" w:cs="Arial"/>
                <w:sz w:val="22"/>
                <w:szCs w:val="22"/>
              </w:rPr>
            </w:pPr>
          </w:p>
        </w:tc>
        <w:tc>
          <w:tcPr>
            <w:tcW w:w="1497" w:type="dxa"/>
            <w:tcBorders>
              <w:top w:val="single" w:sz="4" w:space="0" w:color="999999"/>
            </w:tcBorders>
          </w:tcPr>
          <w:p w:rsidR="00873258" w:rsidRPr="00A00365" w:rsidRDefault="00873258" w:rsidP="00A00365">
            <w:pPr>
              <w:pStyle w:val="TableHead"/>
              <w:keepNext/>
              <w:keepLines/>
              <w:spacing w:after="0"/>
              <w:rPr>
                <w:rFonts w:ascii="Arial" w:hAnsi="Arial" w:cs="Arial"/>
                <w:b w:val="0"/>
                <w:sz w:val="22"/>
                <w:szCs w:val="22"/>
              </w:rPr>
            </w:pPr>
            <w:r w:rsidRPr="00A00365">
              <w:rPr>
                <w:rFonts w:ascii="Arial" w:hAnsi="Arial" w:cs="Arial"/>
                <w:b w:val="0"/>
                <w:sz w:val="22"/>
                <w:szCs w:val="22"/>
              </w:rPr>
              <w:t>1300-2758</w:t>
            </w:r>
          </w:p>
        </w:tc>
        <w:tc>
          <w:tcPr>
            <w:tcW w:w="1898" w:type="dxa"/>
            <w:tcBorders>
              <w:top w:val="single" w:sz="4" w:space="0" w:color="999999"/>
            </w:tcBorders>
          </w:tcPr>
          <w:p w:rsidR="00873258" w:rsidRPr="00A00365" w:rsidRDefault="00873258" w:rsidP="00A00365">
            <w:pPr>
              <w:pStyle w:val="TableHead"/>
              <w:keepNext/>
              <w:keepLines/>
              <w:spacing w:after="0"/>
              <w:rPr>
                <w:rFonts w:ascii="Arial" w:hAnsi="Arial" w:cs="Arial"/>
                <w:b w:val="0"/>
                <w:sz w:val="22"/>
                <w:szCs w:val="22"/>
              </w:rPr>
            </w:pPr>
            <w:r w:rsidRPr="00A00365">
              <w:rPr>
                <w:rFonts w:ascii="Arial" w:hAnsi="Arial" w:cs="Arial"/>
                <w:b w:val="0"/>
                <w:sz w:val="22"/>
                <w:szCs w:val="22"/>
              </w:rPr>
              <w:t>5169-10364</w:t>
            </w:r>
          </w:p>
        </w:tc>
      </w:tr>
    </w:tbl>
    <w:p w:rsidR="00DF2070" w:rsidRPr="00873258" w:rsidRDefault="00DF2070" w:rsidP="00DF2070">
      <w:pPr>
        <w:ind w:right="60"/>
        <w:jc w:val="both"/>
        <w:rPr>
          <w:rFonts w:ascii="Arial" w:hAnsi="Arial" w:cs="Arial"/>
          <w:u w:val="single"/>
        </w:rPr>
      </w:pPr>
    </w:p>
    <w:p w:rsidR="00DF2070" w:rsidRPr="00C25CDA" w:rsidRDefault="00DF2070" w:rsidP="000C2138">
      <w:pPr>
        <w:pStyle w:val="TableLeft"/>
        <w:keepNext/>
        <w:jc w:val="both"/>
        <w:rPr>
          <w:rFonts w:ascii="Arial" w:hAnsi="Arial"/>
          <w:sz w:val="20"/>
          <w:szCs w:val="20"/>
        </w:rPr>
      </w:pPr>
      <w:r w:rsidRPr="00C25CDA">
        <w:rPr>
          <w:rFonts w:ascii="Arial" w:hAnsi="Arial"/>
          <w:sz w:val="20"/>
          <w:szCs w:val="20"/>
        </w:rPr>
        <w:lastRenderedPageBreak/>
        <w:t>CV, coefficient of variation; NA, not applicable</w:t>
      </w:r>
    </w:p>
    <w:p w:rsidR="00DF2070" w:rsidRPr="00C1627A" w:rsidRDefault="00DF2070" w:rsidP="000C2138">
      <w:pPr>
        <w:pStyle w:val="TableLeft"/>
        <w:keepNext/>
        <w:jc w:val="both"/>
        <w:rPr>
          <w:rFonts w:ascii="Arial" w:hAnsi="Arial"/>
          <w:sz w:val="20"/>
          <w:szCs w:val="20"/>
        </w:rPr>
      </w:pPr>
      <w:r w:rsidRPr="00C25CDA">
        <w:rPr>
          <w:rFonts w:ascii="Arial" w:hAnsi="Arial"/>
          <w:sz w:val="20"/>
          <w:szCs w:val="20"/>
          <w:vertAlign w:val="superscript"/>
        </w:rPr>
        <w:t>1</w:t>
      </w:r>
      <w:r w:rsidRPr="00C25CDA">
        <w:rPr>
          <w:rFonts w:ascii="Arial" w:hAnsi="Arial"/>
          <w:sz w:val="20"/>
          <w:szCs w:val="20"/>
        </w:rPr>
        <w:t>Adj.  AUC</w:t>
      </w:r>
      <w:r w:rsidRPr="00C25CDA">
        <w:rPr>
          <w:rFonts w:ascii="Arial" w:hAnsi="Arial"/>
          <w:sz w:val="20"/>
          <w:szCs w:val="20"/>
          <w:vertAlign w:val="subscript"/>
        </w:rPr>
        <w:t>0-</w:t>
      </w:r>
      <w:r w:rsidRPr="00C1627A">
        <w:rPr>
          <w:rFonts w:ascii="Arial" w:hAnsi="Arial"/>
          <w:sz w:val="20"/>
          <w:szCs w:val="20"/>
          <w:vertAlign w:val="subscript"/>
          <w:lang w:val="pt-BR"/>
        </w:rPr>
        <w:t>τ</w:t>
      </w:r>
      <w:r w:rsidRPr="00C25CDA">
        <w:rPr>
          <w:rFonts w:ascii="Arial" w:hAnsi="Arial"/>
          <w:sz w:val="20"/>
          <w:szCs w:val="20"/>
          <w:vertAlign w:val="subscript"/>
        </w:rPr>
        <w:t>,SC</w:t>
      </w:r>
      <w:r w:rsidRPr="00C25CDA">
        <w:rPr>
          <w:rFonts w:ascii="Arial" w:hAnsi="Arial"/>
          <w:sz w:val="20"/>
          <w:szCs w:val="20"/>
        </w:rPr>
        <w:t>:  Adjusted steady-state area under the concentration vs. time curve following SC administration based on IV dosing schedule, calculated as AUC</w:t>
      </w:r>
      <w:r w:rsidRPr="00C25CDA">
        <w:rPr>
          <w:rFonts w:ascii="Arial" w:hAnsi="Arial"/>
          <w:sz w:val="20"/>
          <w:szCs w:val="20"/>
          <w:vertAlign w:val="subscript"/>
        </w:rPr>
        <w:t>0-</w:t>
      </w:r>
      <w:r w:rsidRPr="00C1627A">
        <w:rPr>
          <w:rFonts w:ascii="Arial" w:hAnsi="Arial"/>
          <w:sz w:val="20"/>
          <w:szCs w:val="20"/>
          <w:vertAlign w:val="subscript"/>
          <w:lang w:val="pt-BR"/>
        </w:rPr>
        <w:t>τ</w:t>
      </w:r>
      <w:r w:rsidRPr="00C25CDA">
        <w:rPr>
          <w:rFonts w:ascii="Arial" w:hAnsi="Arial"/>
          <w:sz w:val="20"/>
          <w:szCs w:val="20"/>
          <w:vertAlign w:val="subscript"/>
        </w:rPr>
        <w:t>,SC</w:t>
      </w:r>
      <w:r w:rsidRPr="00C25CDA">
        <w:rPr>
          <w:rFonts w:ascii="Arial" w:hAnsi="Arial"/>
          <w:sz w:val="20"/>
          <w:szCs w:val="20"/>
        </w:rPr>
        <w:t xml:space="preserve"> multiplied by 3 or 4 for subjects on every-3-week or every-4-week IV dosing schedule, respectively.</w:t>
      </w:r>
    </w:p>
    <w:p w:rsidR="00DF2070" w:rsidRPr="00DF2070" w:rsidRDefault="00DF2070" w:rsidP="000C2138">
      <w:pPr>
        <w:pStyle w:val="Paragraph"/>
        <w:keepNext/>
        <w:jc w:val="both"/>
        <w:rPr>
          <w:rFonts w:ascii="Arial" w:hAnsi="Arial" w:cs="Arial"/>
          <w:sz w:val="22"/>
          <w:szCs w:val="22"/>
          <w:lang w:val="en-AU"/>
        </w:rPr>
      </w:pPr>
      <w:r w:rsidRPr="00DF2070">
        <w:rPr>
          <w:rFonts w:ascii="Arial" w:hAnsi="Arial" w:cs="Arial"/>
          <w:sz w:val="22"/>
          <w:szCs w:val="22"/>
        </w:rPr>
        <w:t>In order to test non-inferiority, the geometric least squares mean (LSM) ratio, SC vs. IV administration, was analyzed using ANOVA. The result showed that the point estimate for the geometric LSM ratio of AUC</w:t>
      </w:r>
      <w:r w:rsidRPr="00DF2070">
        <w:rPr>
          <w:rFonts w:ascii="Arial" w:hAnsi="Arial" w:cs="Arial"/>
          <w:sz w:val="22"/>
          <w:szCs w:val="22"/>
          <w:vertAlign w:val="subscript"/>
        </w:rPr>
        <w:t>SC</w:t>
      </w:r>
      <w:r w:rsidRPr="00DF2070">
        <w:rPr>
          <w:rFonts w:ascii="Arial" w:hAnsi="Arial" w:cs="Arial"/>
          <w:sz w:val="22"/>
          <w:szCs w:val="22"/>
        </w:rPr>
        <w:t xml:space="preserve"> vs. AUC</w:t>
      </w:r>
      <w:r w:rsidRPr="00DF2070">
        <w:rPr>
          <w:rFonts w:ascii="Arial" w:hAnsi="Arial" w:cs="Arial"/>
          <w:sz w:val="22"/>
          <w:szCs w:val="22"/>
          <w:vertAlign w:val="subscript"/>
        </w:rPr>
        <w:t>IV</w:t>
      </w:r>
      <w:r w:rsidRPr="00DF2070">
        <w:rPr>
          <w:rFonts w:ascii="Arial" w:hAnsi="Arial" w:cs="Arial"/>
          <w:sz w:val="22"/>
          <w:szCs w:val="22"/>
        </w:rPr>
        <w:t xml:space="preserve"> was 0.888, with a 90% confidence interval (CI) of 0.861-0.917. The lower bound of the 90% confidence interval </w:t>
      </w:r>
      <w:r w:rsidRPr="00DF2070">
        <w:rPr>
          <w:rFonts w:ascii="Arial" w:hAnsi="Arial" w:cs="Arial"/>
          <w:sz w:val="22"/>
          <w:szCs w:val="22"/>
          <w:lang w:val="en-AU"/>
        </w:rPr>
        <w:t xml:space="preserve">is above 0.80 indicating that the SC dose is non-inferior to the IV dose. In addition, the 90% CI is within the limit of 0.80-1.25, a criterion for concluding “bioequivalence” between the two treatments (SC and IV doses).  </w:t>
      </w:r>
    </w:p>
    <w:p w:rsidR="00DF2070" w:rsidRPr="00C25CDA" w:rsidRDefault="00DF2070" w:rsidP="000C2138">
      <w:pPr>
        <w:pStyle w:val="TableLeft"/>
        <w:keepNext/>
        <w:spacing w:after="0"/>
        <w:jc w:val="both"/>
        <w:rPr>
          <w:rFonts w:ascii="Arial" w:hAnsi="Arial"/>
          <w:sz w:val="22"/>
          <w:szCs w:val="22"/>
        </w:rPr>
      </w:pPr>
      <w:r w:rsidRPr="00C25CDA">
        <w:rPr>
          <w:rFonts w:ascii="Arial" w:hAnsi="Arial"/>
          <w:sz w:val="22"/>
          <w:szCs w:val="22"/>
        </w:rPr>
        <w:t xml:space="preserve">The mean trough concentration (mean </w:t>
      </w:r>
      <w:proofErr w:type="spellStart"/>
      <w:r w:rsidRPr="00C25CDA">
        <w:rPr>
          <w:rFonts w:ascii="Arial" w:hAnsi="Arial"/>
          <w:sz w:val="22"/>
          <w:szCs w:val="22"/>
        </w:rPr>
        <w:t>C</w:t>
      </w:r>
      <w:r w:rsidRPr="00C25CDA">
        <w:rPr>
          <w:rFonts w:ascii="Arial" w:hAnsi="Arial"/>
          <w:sz w:val="22"/>
          <w:szCs w:val="22"/>
          <w:vertAlign w:val="subscript"/>
        </w:rPr>
        <w:t>trough</w:t>
      </w:r>
      <w:proofErr w:type="spellEnd"/>
      <w:r w:rsidRPr="00C25CDA">
        <w:rPr>
          <w:rFonts w:ascii="Arial" w:hAnsi="Arial"/>
          <w:sz w:val="22"/>
          <w:szCs w:val="22"/>
        </w:rPr>
        <w:t xml:space="preserve">) of plasma total </w:t>
      </w:r>
      <w:proofErr w:type="spellStart"/>
      <w:r w:rsidRPr="00C25CDA">
        <w:rPr>
          <w:rFonts w:ascii="Arial" w:hAnsi="Arial"/>
          <w:sz w:val="22"/>
          <w:szCs w:val="22"/>
        </w:rPr>
        <w:t>IgG</w:t>
      </w:r>
      <w:proofErr w:type="spellEnd"/>
      <w:r w:rsidRPr="00C25CDA">
        <w:rPr>
          <w:rFonts w:ascii="Arial" w:hAnsi="Arial"/>
          <w:sz w:val="22"/>
          <w:szCs w:val="22"/>
        </w:rPr>
        <w:t xml:space="preserve"> following IV and SC administration are presented below in Table </w:t>
      </w:r>
      <w:r w:rsidR="008E4FE7">
        <w:rPr>
          <w:rFonts w:ascii="Arial" w:hAnsi="Arial"/>
          <w:sz w:val="22"/>
          <w:szCs w:val="22"/>
        </w:rPr>
        <w:t>5</w:t>
      </w:r>
      <w:r w:rsidRPr="00C25CDA">
        <w:rPr>
          <w:rFonts w:ascii="Arial" w:hAnsi="Arial"/>
          <w:sz w:val="22"/>
          <w:szCs w:val="22"/>
        </w:rPr>
        <w:t>.</w:t>
      </w:r>
    </w:p>
    <w:p w:rsidR="00DF2070" w:rsidRPr="00C25CDA" w:rsidRDefault="00DF2070" w:rsidP="000C2138">
      <w:pPr>
        <w:pStyle w:val="TableLeft"/>
        <w:keepNext/>
        <w:spacing w:after="0"/>
        <w:rPr>
          <w:rFonts w:ascii="Arial" w:hAnsi="Arial"/>
          <w:sz w:val="22"/>
          <w:szCs w:val="22"/>
        </w:rPr>
      </w:pPr>
    </w:p>
    <w:p w:rsidR="00DF2070" w:rsidRPr="00C25CDA" w:rsidRDefault="00DF2070" w:rsidP="000C2138">
      <w:pPr>
        <w:pStyle w:val="TableLeft"/>
        <w:keepNext/>
        <w:spacing w:after="0"/>
        <w:rPr>
          <w:rFonts w:ascii="Arial" w:hAnsi="Arial"/>
          <w:b/>
          <w:sz w:val="22"/>
          <w:szCs w:val="22"/>
        </w:rPr>
      </w:pPr>
      <w:r w:rsidRPr="00C25CDA">
        <w:rPr>
          <w:rFonts w:ascii="Arial" w:hAnsi="Arial"/>
          <w:b/>
          <w:sz w:val="22"/>
          <w:szCs w:val="22"/>
        </w:rPr>
        <w:t xml:space="preserve">Table </w:t>
      </w:r>
      <w:r w:rsidR="008E4FE7">
        <w:rPr>
          <w:rFonts w:ascii="Arial" w:hAnsi="Arial"/>
          <w:b/>
          <w:sz w:val="22"/>
          <w:szCs w:val="22"/>
        </w:rPr>
        <w:t>5</w:t>
      </w:r>
      <w:r w:rsidRPr="00C25CDA">
        <w:rPr>
          <w:rFonts w:ascii="Arial" w:hAnsi="Arial"/>
          <w:b/>
          <w:sz w:val="22"/>
          <w:szCs w:val="22"/>
        </w:rPr>
        <w:t xml:space="preserve">: Mean Plasma Trough Concentrations of Total </w:t>
      </w:r>
      <w:proofErr w:type="spellStart"/>
      <w:r w:rsidRPr="00C25CDA">
        <w:rPr>
          <w:rFonts w:ascii="Arial" w:hAnsi="Arial"/>
          <w:b/>
          <w:sz w:val="22"/>
          <w:szCs w:val="22"/>
        </w:rPr>
        <w:t>IgG</w:t>
      </w:r>
      <w:proofErr w:type="spellEnd"/>
      <w:r w:rsidRPr="00C25CDA">
        <w:rPr>
          <w:rFonts w:ascii="Arial" w:hAnsi="Arial"/>
          <w:b/>
          <w:sz w:val="22"/>
          <w:szCs w:val="22"/>
        </w:rPr>
        <w:t xml:space="preserve"> (mg/</w:t>
      </w:r>
      <w:proofErr w:type="spellStart"/>
      <w:r w:rsidRPr="00C25CDA">
        <w:rPr>
          <w:rFonts w:ascii="Arial" w:hAnsi="Arial"/>
          <w:b/>
          <w:sz w:val="22"/>
          <w:szCs w:val="22"/>
        </w:rPr>
        <w:t>mL</w:t>
      </w:r>
      <w:proofErr w:type="spellEnd"/>
      <w:r w:rsidRPr="00C25CDA">
        <w:rPr>
          <w:rFonts w:ascii="Arial" w:hAnsi="Arial"/>
          <w:b/>
          <w:sz w:val="22"/>
          <w:szCs w:val="22"/>
        </w:rPr>
        <w:t xml:space="preserve">) in plasma </w:t>
      </w:r>
    </w:p>
    <w:p w:rsidR="000C2138" w:rsidRPr="00C25CDA" w:rsidRDefault="000C2138" w:rsidP="000C2138">
      <w:pPr>
        <w:pStyle w:val="TableLeft"/>
        <w:keepNext/>
        <w:spacing w:after="0"/>
        <w:rPr>
          <w:rFonts w:ascii="Arial" w:hAnsi="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6"/>
        <w:gridCol w:w="2727"/>
        <w:gridCol w:w="2838"/>
      </w:tblGrid>
      <w:tr w:rsidR="00DF2070" w:rsidRPr="00A00365" w:rsidTr="00A00365">
        <w:trPr>
          <w:trHeight w:val="717"/>
        </w:trPr>
        <w:tc>
          <w:tcPr>
            <w:tcW w:w="2018" w:type="pct"/>
            <w:tcBorders>
              <w:top w:val="single" w:sz="4" w:space="0" w:color="auto"/>
              <w:bottom w:val="single" w:sz="4" w:space="0" w:color="auto"/>
              <w:right w:val="single" w:sz="4" w:space="0" w:color="auto"/>
            </w:tcBorders>
            <w:vAlign w:val="bottom"/>
          </w:tcPr>
          <w:p w:rsidR="00DF2070" w:rsidRPr="00A00365" w:rsidRDefault="00DF2070" w:rsidP="00A00365">
            <w:pPr>
              <w:pStyle w:val="Paragraph"/>
              <w:keepNext/>
              <w:keepLines/>
              <w:spacing w:after="0"/>
              <w:jc w:val="center"/>
              <w:rPr>
                <w:rFonts w:ascii="Arial" w:hAnsi="Arial" w:cs="Arial"/>
                <w:b/>
                <w:sz w:val="22"/>
                <w:szCs w:val="22"/>
              </w:rPr>
            </w:pPr>
          </w:p>
        </w:tc>
        <w:tc>
          <w:tcPr>
            <w:tcW w:w="1461" w:type="pct"/>
            <w:tcBorders>
              <w:top w:val="single" w:sz="4" w:space="0" w:color="auto"/>
              <w:left w:val="single" w:sz="4" w:space="0" w:color="auto"/>
              <w:bottom w:val="single" w:sz="4" w:space="0" w:color="auto"/>
              <w:right w:val="single" w:sz="4" w:space="0" w:color="auto"/>
            </w:tcBorders>
            <w:shd w:val="clear" w:color="auto" w:fill="F3F3F3"/>
            <w:vAlign w:val="bottom"/>
          </w:tcPr>
          <w:p w:rsidR="00DF2070" w:rsidRPr="00A00365" w:rsidRDefault="00DF2070" w:rsidP="00A00365">
            <w:pPr>
              <w:pStyle w:val="Paragraph"/>
              <w:keepNext/>
              <w:keepLines/>
              <w:adjustRightInd w:val="0"/>
              <w:snapToGrid w:val="0"/>
              <w:spacing w:after="0"/>
              <w:ind w:right="-108" w:hanging="108"/>
              <w:jc w:val="center"/>
              <w:rPr>
                <w:rFonts w:ascii="Arial" w:hAnsi="Arial" w:cs="Arial"/>
                <w:b/>
                <w:sz w:val="22"/>
                <w:szCs w:val="22"/>
              </w:rPr>
            </w:pPr>
            <w:proofErr w:type="spellStart"/>
            <w:r w:rsidRPr="00A00365">
              <w:rPr>
                <w:rFonts w:ascii="Arial" w:hAnsi="Arial" w:cs="Arial"/>
                <w:b/>
                <w:sz w:val="22"/>
                <w:szCs w:val="22"/>
              </w:rPr>
              <w:t>IV</w:t>
            </w:r>
            <w:r w:rsidRPr="00A00365">
              <w:rPr>
                <w:rFonts w:ascii="Arial" w:hAnsi="Arial" w:cs="Arial"/>
                <w:b/>
                <w:sz w:val="22"/>
                <w:szCs w:val="22"/>
                <w:vertAlign w:val="superscript"/>
              </w:rPr>
              <w:t>a</w:t>
            </w:r>
            <w:proofErr w:type="spellEnd"/>
            <w:r w:rsidRPr="00A00365">
              <w:rPr>
                <w:rFonts w:ascii="Arial" w:hAnsi="Arial" w:cs="Arial"/>
                <w:b/>
                <w:sz w:val="22"/>
                <w:szCs w:val="22"/>
              </w:rPr>
              <w:t xml:space="preserve"> </w:t>
            </w:r>
          </w:p>
          <w:p w:rsidR="00DF2070" w:rsidRPr="00A00365" w:rsidRDefault="00DF2070" w:rsidP="00A00365">
            <w:pPr>
              <w:pStyle w:val="Paragraph"/>
              <w:keepNext/>
              <w:keepLines/>
              <w:adjustRightInd w:val="0"/>
              <w:snapToGrid w:val="0"/>
              <w:spacing w:after="40"/>
              <w:ind w:right="-115" w:hanging="115"/>
              <w:jc w:val="center"/>
              <w:rPr>
                <w:rFonts w:ascii="Arial" w:hAnsi="Arial" w:cs="Arial"/>
                <w:b/>
                <w:sz w:val="22"/>
                <w:szCs w:val="22"/>
              </w:rPr>
            </w:pPr>
            <w:r w:rsidRPr="00A00365">
              <w:rPr>
                <w:rFonts w:ascii="Arial" w:hAnsi="Arial" w:cs="Arial"/>
                <w:b/>
                <w:sz w:val="22"/>
                <w:szCs w:val="22"/>
              </w:rPr>
              <w:t xml:space="preserve">Mean </w:t>
            </w:r>
            <w:proofErr w:type="spellStart"/>
            <w:r w:rsidRPr="00A00365">
              <w:rPr>
                <w:rFonts w:ascii="Arial" w:hAnsi="Arial" w:cs="Arial"/>
                <w:b/>
                <w:sz w:val="22"/>
                <w:szCs w:val="22"/>
              </w:rPr>
              <w:t>C</w:t>
            </w:r>
            <w:r w:rsidRPr="00A00365">
              <w:rPr>
                <w:rFonts w:ascii="Arial" w:hAnsi="Arial" w:cs="Arial"/>
                <w:b/>
                <w:sz w:val="22"/>
                <w:szCs w:val="22"/>
                <w:vertAlign w:val="subscript"/>
              </w:rPr>
              <w:t>trough</w:t>
            </w:r>
            <w:proofErr w:type="spellEnd"/>
          </w:p>
        </w:tc>
        <w:tc>
          <w:tcPr>
            <w:tcW w:w="1521" w:type="pct"/>
            <w:tcBorders>
              <w:top w:val="single" w:sz="4" w:space="0" w:color="auto"/>
              <w:left w:val="single" w:sz="4" w:space="0" w:color="auto"/>
              <w:bottom w:val="single" w:sz="4" w:space="0" w:color="auto"/>
              <w:right w:val="single" w:sz="4" w:space="0" w:color="auto"/>
            </w:tcBorders>
            <w:shd w:val="clear" w:color="auto" w:fill="F3F3F3"/>
            <w:vAlign w:val="bottom"/>
          </w:tcPr>
          <w:p w:rsidR="00DF2070" w:rsidRPr="00A00365" w:rsidRDefault="00DF2070" w:rsidP="00A00365">
            <w:pPr>
              <w:pStyle w:val="Paragraph"/>
              <w:keepNext/>
              <w:keepLines/>
              <w:adjustRightInd w:val="0"/>
              <w:snapToGrid w:val="0"/>
              <w:spacing w:after="0"/>
              <w:jc w:val="center"/>
              <w:rPr>
                <w:rFonts w:ascii="Arial" w:hAnsi="Arial" w:cs="Arial"/>
                <w:b/>
                <w:sz w:val="22"/>
                <w:szCs w:val="22"/>
              </w:rPr>
            </w:pPr>
            <w:proofErr w:type="spellStart"/>
            <w:r w:rsidRPr="00A00365">
              <w:rPr>
                <w:rFonts w:ascii="Arial" w:hAnsi="Arial" w:cs="Arial"/>
                <w:b/>
                <w:sz w:val="22"/>
                <w:szCs w:val="22"/>
              </w:rPr>
              <w:t>SC</w:t>
            </w:r>
            <w:r w:rsidRPr="00A00365">
              <w:rPr>
                <w:rFonts w:ascii="Arial" w:hAnsi="Arial" w:cs="Arial"/>
                <w:b/>
                <w:sz w:val="22"/>
                <w:szCs w:val="22"/>
                <w:vertAlign w:val="superscript"/>
              </w:rPr>
              <w:t>b</w:t>
            </w:r>
            <w:proofErr w:type="spellEnd"/>
          </w:p>
          <w:p w:rsidR="00DF2070" w:rsidRPr="00A00365" w:rsidRDefault="00DF2070" w:rsidP="00A00365">
            <w:pPr>
              <w:pStyle w:val="Paragraph"/>
              <w:keepNext/>
              <w:keepLines/>
              <w:adjustRightInd w:val="0"/>
              <w:snapToGrid w:val="0"/>
              <w:spacing w:after="40"/>
              <w:ind w:right="-144" w:hanging="43"/>
              <w:jc w:val="center"/>
              <w:rPr>
                <w:rFonts w:ascii="Arial" w:hAnsi="Arial" w:cs="Arial"/>
                <w:b/>
                <w:sz w:val="22"/>
                <w:szCs w:val="22"/>
              </w:rPr>
            </w:pPr>
            <w:r w:rsidRPr="00A00365">
              <w:rPr>
                <w:rFonts w:ascii="Arial" w:hAnsi="Arial" w:cs="Arial"/>
                <w:b/>
                <w:sz w:val="22"/>
                <w:szCs w:val="22"/>
              </w:rPr>
              <w:t xml:space="preserve">Mean </w:t>
            </w:r>
            <w:proofErr w:type="spellStart"/>
            <w:r w:rsidRPr="00A00365">
              <w:rPr>
                <w:rFonts w:ascii="Arial" w:hAnsi="Arial" w:cs="Arial"/>
                <w:b/>
                <w:sz w:val="22"/>
                <w:szCs w:val="22"/>
              </w:rPr>
              <w:t>C</w:t>
            </w:r>
            <w:r w:rsidRPr="00A00365">
              <w:rPr>
                <w:rFonts w:ascii="Arial" w:hAnsi="Arial" w:cs="Arial"/>
                <w:b/>
                <w:sz w:val="22"/>
                <w:szCs w:val="22"/>
                <w:vertAlign w:val="subscript"/>
              </w:rPr>
              <w:t>trough</w:t>
            </w:r>
            <w:proofErr w:type="spellEnd"/>
          </w:p>
        </w:tc>
      </w:tr>
      <w:tr w:rsidR="00DF2070" w:rsidRPr="00A00365" w:rsidTr="00A00365">
        <w:trPr>
          <w:trHeight w:val="465"/>
        </w:trPr>
        <w:tc>
          <w:tcPr>
            <w:tcW w:w="2018" w:type="pct"/>
            <w:tcBorders>
              <w:top w:val="single" w:sz="4" w:space="0" w:color="auto"/>
              <w:bottom w:val="single" w:sz="4" w:space="0" w:color="999999"/>
              <w:right w:val="single" w:sz="4" w:space="0" w:color="auto"/>
            </w:tcBorders>
          </w:tcPr>
          <w:p w:rsidR="00DF2070" w:rsidRPr="00A00365" w:rsidRDefault="00DF2070" w:rsidP="00264C13">
            <w:pPr>
              <w:pStyle w:val="TableCenter"/>
              <w:rPr>
                <w:rFonts w:ascii="Arial" w:hAnsi="Arial" w:cs="Arial"/>
                <w:sz w:val="22"/>
                <w:szCs w:val="22"/>
              </w:rPr>
            </w:pPr>
            <w:r w:rsidRPr="00A00365">
              <w:rPr>
                <w:rFonts w:ascii="Arial" w:hAnsi="Arial" w:cs="Arial"/>
                <w:sz w:val="22"/>
                <w:szCs w:val="22"/>
              </w:rPr>
              <w:t>N</w:t>
            </w:r>
          </w:p>
        </w:tc>
        <w:tc>
          <w:tcPr>
            <w:tcW w:w="1461" w:type="pct"/>
            <w:tcBorders>
              <w:top w:val="single" w:sz="4" w:space="0" w:color="auto"/>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32</w:t>
            </w:r>
          </w:p>
        </w:tc>
        <w:tc>
          <w:tcPr>
            <w:tcW w:w="1521" w:type="pct"/>
            <w:tcBorders>
              <w:top w:val="single" w:sz="4" w:space="0" w:color="auto"/>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28</w:t>
            </w:r>
          </w:p>
        </w:tc>
      </w:tr>
      <w:tr w:rsidR="00DF2070" w:rsidRPr="00A00365" w:rsidTr="00A00365">
        <w:trPr>
          <w:trHeight w:val="465"/>
        </w:trPr>
        <w:tc>
          <w:tcPr>
            <w:tcW w:w="2018" w:type="pct"/>
            <w:tcBorders>
              <w:top w:val="single" w:sz="4" w:space="0" w:color="999999"/>
              <w:bottom w:val="single" w:sz="4" w:space="0" w:color="999999"/>
              <w:right w:val="single" w:sz="4" w:space="0" w:color="auto"/>
            </w:tcBorders>
          </w:tcPr>
          <w:p w:rsidR="00DF2070" w:rsidRPr="00A00365" w:rsidRDefault="00DF2070" w:rsidP="00264C13">
            <w:pPr>
              <w:pStyle w:val="TableCenter"/>
              <w:rPr>
                <w:rFonts w:ascii="Arial" w:hAnsi="Arial" w:cs="Arial"/>
                <w:sz w:val="22"/>
                <w:szCs w:val="22"/>
              </w:rPr>
            </w:pPr>
            <w:r w:rsidRPr="00A00365">
              <w:rPr>
                <w:rFonts w:ascii="Arial" w:hAnsi="Arial" w:cs="Arial"/>
                <w:sz w:val="22"/>
                <w:szCs w:val="22"/>
              </w:rPr>
              <w:t>Mean (mg/</w:t>
            </w:r>
            <w:proofErr w:type="spellStart"/>
            <w:r w:rsidRPr="00A00365">
              <w:rPr>
                <w:rFonts w:ascii="Arial" w:hAnsi="Arial" w:cs="Arial"/>
                <w:sz w:val="22"/>
                <w:szCs w:val="22"/>
              </w:rPr>
              <w:t>mL</w:t>
            </w:r>
            <w:proofErr w:type="spellEnd"/>
            <w:r w:rsidRPr="00A00365">
              <w:rPr>
                <w:rFonts w:ascii="Arial" w:hAnsi="Arial" w:cs="Arial"/>
                <w:sz w:val="22"/>
                <w:szCs w:val="22"/>
              </w:rPr>
              <w:t>)</w:t>
            </w:r>
          </w:p>
        </w:tc>
        <w:tc>
          <w:tcPr>
            <w:tcW w:w="1461" w:type="pct"/>
            <w:tcBorders>
              <w:top w:val="single" w:sz="4" w:space="0" w:color="999999"/>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9.58</w:t>
            </w:r>
          </w:p>
        </w:tc>
        <w:tc>
          <w:tcPr>
            <w:tcW w:w="1521" w:type="pct"/>
            <w:tcBorders>
              <w:top w:val="single" w:sz="4" w:space="0" w:color="999999"/>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11.4</w:t>
            </w:r>
          </w:p>
        </w:tc>
      </w:tr>
      <w:tr w:rsidR="00DF2070" w:rsidRPr="00A00365" w:rsidTr="00A00365">
        <w:trPr>
          <w:trHeight w:val="465"/>
        </w:trPr>
        <w:tc>
          <w:tcPr>
            <w:tcW w:w="2018" w:type="pct"/>
            <w:tcBorders>
              <w:top w:val="single" w:sz="4" w:space="0" w:color="999999"/>
              <w:bottom w:val="single" w:sz="4" w:space="0" w:color="999999"/>
              <w:right w:val="single" w:sz="4" w:space="0" w:color="auto"/>
            </w:tcBorders>
          </w:tcPr>
          <w:p w:rsidR="00DF2070" w:rsidRPr="00A00365" w:rsidRDefault="00DF2070" w:rsidP="00264C13">
            <w:pPr>
              <w:pStyle w:val="TableCenter"/>
              <w:rPr>
                <w:rFonts w:ascii="Arial" w:hAnsi="Arial" w:cs="Arial"/>
                <w:sz w:val="22"/>
                <w:szCs w:val="22"/>
              </w:rPr>
            </w:pPr>
            <w:r w:rsidRPr="00A00365">
              <w:rPr>
                <w:rFonts w:ascii="Arial" w:hAnsi="Arial" w:cs="Arial"/>
                <w:sz w:val="22"/>
                <w:szCs w:val="22"/>
              </w:rPr>
              <w:t>%CV</w:t>
            </w:r>
          </w:p>
        </w:tc>
        <w:tc>
          <w:tcPr>
            <w:tcW w:w="1461" w:type="pct"/>
            <w:tcBorders>
              <w:top w:val="single" w:sz="4" w:space="0" w:color="999999"/>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22.3</w:t>
            </w:r>
          </w:p>
        </w:tc>
        <w:tc>
          <w:tcPr>
            <w:tcW w:w="1521" w:type="pct"/>
            <w:tcBorders>
              <w:top w:val="single" w:sz="4" w:space="0" w:color="999999"/>
              <w:left w:val="single" w:sz="4" w:space="0" w:color="auto"/>
              <w:bottom w:val="single" w:sz="4" w:space="0" w:color="999999"/>
              <w:right w:val="single" w:sz="4" w:space="0" w:color="auto"/>
            </w:tcBorders>
            <w:shd w:val="clear" w:color="auto" w:fill="F3F3F3"/>
          </w:tcPr>
          <w:p w:rsidR="00DF2070" w:rsidRPr="00A00365" w:rsidRDefault="00DF2070" w:rsidP="00A00365">
            <w:pPr>
              <w:pStyle w:val="Paragraph"/>
              <w:keepNext/>
              <w:keepLines/>
              <w:spacing w:after="0"/>
              <w:jc w:val="center"/>
              <w:rPr>
                <w:rFonts w:ascii="Arial" w:hAnsi="Arial" w:cs="Arial"/>
                <w:sz w:val="22"/>
                <w:szCs w:val="22"/>
              </w:rPr>
            </w:pPr>
            <w:r w:rsidRPr="00A00365">
              <w:rPr>
                <w:rFonts w:ascii="Arial" w:hAnsi="Arial" w:cs="Arial"/>
                <w:sz w:val="22"/>
                <w:szCs w:val="22"/>
              </w:rPr>
              <w:t>20.4</w:t>
            </w:r>
          </w:p>
        </w:tc>
      </w:tr>
      <w:tr w:rsidR="00DF2070" w:rsidRPr="00A00365" w:rsidTr="00A00365">
        <w:trPr>
          <w:trHeight w:val="465"/>
        </w:trPr>
        <w:tc>
          <w:tcPr>
            <w:tcW w:w="2018" w:type="pct"/>
            <w:tcBorders>
              <w:top w:val="single" w:sz="4" w:space="0" w:color="999999"/>
              <w:bottom w:val="single" w:sz="4" w:space="0" w:color="auto"/>
              <w:right w:val="single" w:sz="4" w:space="0" w:color="auto"/>
            </w:tcBorders>
          </w:tcPr>
          <w:p w:rsidR="00DF2070" w:rsidRPr="00A00365" w:rsidRDefault="00DF2070" w:rsidP="00264C13">
            <w:pPr>
              <w:pStyle w:val="TableCenter"/>
              <w:rPr>
                <w:rFonts w:ascii="Arial" w:hAnsi="Arial" w:cs="Arial"/>
                <w:sz w:val="22"/>
                <w:szCs w:val="22"/>
              </w:rPr>
            </w:pPr>
            <w:r w:rsidRPr="00A00365">
              <w:rPr>
                <w:rFonts w:ascii="Arial" w:hAnsi="Arial" w:cs="Arial"/>
                <w:sz w:val="22"/>
                <w:szCs w:val="22"/>
              </w:rPr>
              <w:t>Range</w:t>
            </w:r>
          </w:p>
        </w:tc>
        <w:tc>
          <w:tcPr>
            <w:tcW w:w="1461" w:type="pct"/>
            <w:tcBorders>
              <w:top w:val="single" w:sz="4" w:space="0" w:color="999999"/>
              <w:left w:val="single" w:sz="4" w:space="0" w:color="auto"/>
              <w:bottom w:val="single" w:sz="4" w:space="0" w:color="auto"/>
              <w:right w:val="single" w:sz="4" w:space="0" w:color="auto"/>
            </w:tcBorders>
            <w:shd w:val="clear" w:color="auto" w:fill="F3F3F3"/>
          </w:tcPr>
          <w:p w:rsidR="00DF2070" w:rsidRPr="00A00365" w:rsidRDefault="00DF2070" w:rsidP="00A00365">
            <w:pPr>
              <w:pStyle w:val="Paragraph"/>
              <w:keepNext/>
              <w:keepLines/>
              <w:spacing w:after="0"/>
              <w:ind w:right="-60" w:hanging="132"/>
              <w:jc w:val="center"/>
              <w:rPr>
                <w:rFonts w:ascii="Arial" w:hAnsi="Arial" w:cs="Arial"/>
                <w:sz w:val="22"/>
                <w:szCs w:val="22"/>
              </w:rPr>
            </w:pPr>
            <w:r w:rsidRPr="00A00365">
              <w:rPr>
                <w:rFonts w:ascii="Arial" w:hAnsi="Arial" w:cs="Arial"/>
                <w:sz w:val="22"/>
                <w:szCs w:val="22"/>
              </w:rPr>
              <w:t>6.66-14.0</w:t>
            </w:r>
          </w:p>
        </w:tc>
        <w:tc>
          <w:tcPr>
            <w:tcW w:w="1521" w:type="pct"/>
            <w:tcBorders>
              <w:top w:val="single" w:sz="4" w:space="0" w:color="999999"/>
              <w:left w:val="single" w:sz="4" w:space="0" w:color="auto"/>
              <w:bottom w:val="single" w:sz="4" w:space="0" w:color="auto"/>
              <w:right w:val="single" w:sz="4" w:space="0" w:color="auto"/>
            </w:tcBorders>
            <w:shd w:val="clear" w:color="auto" w:fill="F3F3F3"/>
          </w:tcPr>
          <w:p w:rsidR="00DF2070" w:rsidRPr="00A00365" w:rsidRDefault="00DF2070" w:rsidP="00A00365">
            <w:pPr>
              <w:pStyle w:val="Paragraph"/>
              <w:keepNext/>
              <w:keepLines/>
              <w:spacing w:after="0"/>
              <w:ind w:right="-60" w:hanging="132"/>
              <w:jc w:val="center"/>
              <w:rPr>
                <w:rFonts w:ascii="Arial" w:hAnsi="Arial" w:cs="Arial"/>
                <w:sz w:val="22"/>
                <w:szCs w:val="22"/>
              </w:rPr>
            </w:pPr>
            <w:r w:rsidRPr="00A00365">
              <w:rPr>
                <w:rFonts w:ascii="Arial" w:hAnsi="Arial" w:cs="Arial"/>
                <w:sz w:val="22"/>
                <w:szCs w:val="22"/>
              </w:rPr>
              <w:t>8.10-16.2</w:t>
            </w:r>
          </w:p>
        </w:tc>
      </w:tr>
    </w:tbl>
    <w:p w:rsidR="00DF2070" w:rsidRPr="00C1627A" w:rsidRDefault="00DF2070" w:rsidP="007A3AFF">
      <w:pPr>
        <w:pStyle w:val="TableFootnoteLetter"/>
        <w:numPr>
          <w:ilvl w:val="0"/>
          <w:numId w:val="13"/>
        </w:numPr>
        <w:jc w:val="both"/>
        <w:rPr>
          <w:rFonts w:ascii="Arial" w:hAnsi="Arial" w:cs="Arial"/>
        </w:rPr>
      </w:pPr>
      <w:r w:rsidRPr="00C1627A">
        <w:rPr>
          <w:rFonts w:ascii="Arial" w:hAnsi="Arial" w:cs="Arial"/>
        </w:rPr>
        <w:t xml:space="preserve">IV mean </w:t>
      </w:r>
      <w:proofErr w:type="spellStart"/>
      <w:r w:rsidRPr="00C1627A">
        <w:rPr>
          <w:rFonts w:ascii="Arial" w:hAnsi="Arial" w:cs="Arial"/>
        </w:rPr>
        <w:t>C</w:t>
      </w:r>
      <w:r w:rsidRPr="00C1627A">
        <w:rPr>
          <w:rFonts w:ascii="Arial" w:hAnsi="Arial" w:cs="Arial"/>
          <w:vertAlign w:val="subscript"/>
        </w:rPr>
        <w:t>trough</w:t>
      </w:r>
      <w:proofErr w:type="spellEnd"/>
      <w:r w:rsidRPr="00C1627A">
        <w:rPr>
          <w:rFonts w:ascii="Arial" w:hAnsi="Arial" w:cs="Arial"/>
        </w:rPr>
        <w:t xml:space="preserve"> was calculated as the average </w:t>
      </w:r>
      <w:proofErr w:type="spellStart"/>
      <w:r w:rsidRPr="00C1627A">
        <w:rPr>
          <w:rFonts w:ascii="Arial" w:hAnsi="Arial" w:cs="Arial"/>
        </w:rPr>
        <w:t>C</w:t>
      </w:r>
      <w:r w:rsidRPr="00C1627A">
        <w:rPr>
          <w:rFonts w:ascii="Arial" w:hAnsi="Arial" w:cs="Arial"/>
          <w:vertAlign w:val="subscript"/>
        </w:rPr>
        <w:t>trough</w:t>
      </w:r>
      <w:proofErr w:type="spellEnd"/>
      <w:r w:rsidRPr="00C1627A">
        <w:rPr>
          <w:rFonts w:ascii="Arial" w:hAnsi="Arial" w:cs="Arial"/>
        </w:rPr>
        <w:t xml:space="preserve"> (</w:t>
      </w:r>
      <w:proofErr w:type="spellStart"/>
      <w:r w:rsidRPr="00C1627A">
        <w:rPr>
          <w:rFonts w:ascii="Arial" w:hAnsi="Arial" w:cs="Arial"/>
        </w:rPr>
        <w:t>predose</w:t>
      </w:r>
      <w:proofErr w:type="spellEnd"/>
      <w:r w:rsidRPr="00C1627A">
        <w:rPr>
          <w:rFonts w:ascii="Arial" w:hAnsi="Arial" w:cs="Arial"/>
        </w:rPr>
        <w:t xml:space="preserve"> concentration) from IV#1 and IV#2.</w:t>
      </w:r>
    </w:p>
    <w:p w:rsidR="00DF2070" w:rsidRPr="00DF2070" w:rsidRDefault="00DF2070" w:rsidP="007A3AFF">
      <w:pPr>
        <w:pStyle w:val="TableFootnoteLetter"/>
        <w:jc w:val="both"/>
        <w:rPr>
          <w:rFonts w:ascii="Arial" w:hAnsi="Arial" w:cs="Arial"/>
          <w:sz w:val="22"/>
          <w:szCs w:val="22"/>
        </w:rPr>
      </w:pPr>
      <w:r w:rsidRPr="00C1627A">
        <w:rPr>
          <w:rFonts w:ascii="Arial" w:hAnsi="Arial" w:cs="Arial"/>
        </w:rPr>
        <w:t xml:space="preserve">SC mean </w:t>
      </w:r>
      <w:proofErr w:type="spellStart"/>
      <w:r w:rsidRPr="00C1627A">
        <w:rPr>
          <w:rFonts w:ascii="Arial" w:hAnsi="Arial" w:cs="Arial"/>
        </w:rPr>
        <w:t>C</w:t>
      </w:r>
      <w:r w:rsidRPr="00C1627A">
        <w:rPr>
          <w:rFonts w:ascii="Arial" w:hAnsi="Arial" w:cs="Arial"/>
          <w:vertAlign w:val="subscript"/>
        </w:rPr>
        <w:t>trough</w:t>
      </w:r>
      <w:proofErr w:type="spellEnd"/>
      <w:r w:rsidRPr="00C1627A">
        <w:rPr>
          <w:rFonts w:ascii="Arial" w:hAnsi="Arial" w:cs="Arial"/>
        </w:rPr>
        <w:t xml:space="preserve"> was calculated as the average </w:t>
      </w:r>
      <w:proofErr w:type="spellStart"/>
      <w:r w:rsidRPr="00C1627A">
        <w:rPr>
          <w:rFonts w:ascii="Arial" w:hAnsi="Arial" w:cs="Arial"/>
        </w:rPr>
        <w:t>C</w:t>
      </w:r>
      <w:r w:rsidRPr="00C1627A">
        <w:rPr>
          <w:rFonts w:ascii="Arial" w:hAnsi="Arial" w:cs="Arial"/>
          <w:vertAlign w:val="subscript"/>
        </w:rPr>
        <w:t>trough</w:t>
      </w:r>
      <w:proofErr w:type="spellEnd"/>
      <w:r w:rsidRPr="00C1627A">
        <w:rPr>
          <w:rFonts w:ascii="Arial" w:hAnsi="Arial" w:cs="Arial"/>
        </w:rPr>
        <w:t xml:space="preserve"> (</w:t>
      </w:r>
      <w:proofErr w:type="spellStart"/>
      <w:r w:rsidRPr="00C1627A">
        <w:rPr>
          <w:rFonts w:ascii="Arial" w:hAnsi="Arial" w:cs="Arial"/>
        </w:rPr>
        <w:t>predose</w:t>
      </w:r>
      <w:proofErr w:type="spellEnd"/>
      <w:r w:rsidRPr="00C1627A">
        <w:rPr>
          <w:rFonts w:ascii="Arial" w:hAnsi="Arial" w:cs="Arial"/>
        </w:rPr>
        <w:t xml:space="preserve"> concentration) from SC Weeks #13, #17, #18, #19 and #21</w:t>
      </w:r>
      <w:r w:rsidRPr="00DF2070">
        <w:rPr>
          <w:rFonts w:ascii="Arial" w:hAnsi="Arial" w:cs="Arial"/>
          <w:sz w:val="22"/>
          <w:szCs w:val="22"/>
        </w:rPr>
        <w:t>.</w:t>
      </w:r>
    </w:p>
    <w:p w:rsidR="00DF2070" w:rsidRPr="00C25CDA" w:rsidRDefault="00DF2070" w:rsidP="00DF2070">
      <w:pPr>
        <w:pStyle w:val="TableLeft"/>
        <w:keepNext/>
        <w:rPr>
          <w:rFonts w:ascii="Arial" w:hAnsi="Arial"/>
          <w:sz w:val="22"/>
          <w:szCs w:val="22"/>
        </w:rPr>
      </w:pPr>
    </w:p>
    <w:p w:rsidR="00DF2070" w:rsidRDefault="00C350EE" w:rsidP="007A3AFF">
      <w:pPr>
        <w:pStyle w:val="TableLeft"/>
        <w:keepNext/>
        <w:jc w:val="both"/>
        <w:rPr>
          <w:rFonts w:ascii="Arial" w:hAnsi="Arial"/>
          <w:sz w:val="22"/>
          <w:szCs w:val="22"/>
        </w:rPr>
      </w:pPr>
      <w:r w:rsidRPr="00C350EE">
        <w:rPr>
          <w:rFonts w:ascii="Arial" w:hAnsi="Arial"/>
          <w:sz w:val="22"/>
          <w:szCs w:val="22"/>
        </w:rPr>
        <w:t>T</w:t>
      </w:r>
      <w:r w:rsidR="00DF2070" w:rsidRPr="00C350EE">
        <w:rPr>
          <w:rFonts w:ascii="Arial" w:hAnsi="Arial"/>
          <w:sz w:val="22"/>
          <w:szCs w:val="22"/>
        </w:rPr>
        <w:t xml:space="preserve">he IV infusions prior to the SC phase of this study allowed steady-state conditions for the SC phase to be achieved much earlier (by Week 5), due to the loading dose effect of the IV doses. </w:t>
      </w:r>
    </w:p>
    <w:p w:rsidR="00263A50" w:rsidRDefault="00263A50" w:rsidP="00DF2070">
      <w:pPr>
        <w:pStyle w:val="TableLeft"/>
        <w:keepNext/>
        <w:rPr>
          <w:rFonts w:ascii="Arial" w:hAnsi="Arial"/>
          <w:sz w:val="22"/>
          <w:szCs w:val="22"/>
        </w:rPr>
      </w:pPr>
    </w:p>
    <w:p w:rsidR="00143172" w:rsidRPr="00032AA6" w:rsidRDefault="00143172" w:rsidP="00143172">
      <w:pPr>
        <w:pStyle w:val="Default"/>
        <w:ind w:right="80"/>
        <w:jc w:val="both"/>
        <w:rPr>
          <w:rFonts w:ascii="Arial" w:hAnsi="Arial" w:cs="Arial"/>
          <w:sz w:val="22"/>
          <w:szCs w:val="22"/>
        </w:rPr>
      </w:pPr>
      <w:r w:rsidRPr="00032AA6">
        <w:rPr>
          <w:rFonts w:ascii="Arial" w:hAnsi="Arial" w:cs="Arial"/>
          <w:sz w:val="22"/>
          <w:szCs w:val="22"/>
        </w:rPr>
        <w:t>SC admin</w:t>
      </w:r>
      <w:r w:rsidR="009475CA">
        <w:rPr>
          <w:rFonts w:ascii="Arial" w:hAnsi="Arial" w:cs="Arial"/>
          <w:sz w:val="22"/>
          <w:szCs w:val="22"/>
        </w:rPr>
        <w:t>i</w:t>
      </w:r>
      <w:r w:rsidRPr="00032AA6">
        <w:rPr>
          <w:rFonts w:ascii="Arial" w:hAnsi="Arial" w:cs="Arial"/>
          <w:sz w:val="22"/>
          <w:szCs w:val="22"/>
        </w:rPr>
        <w:t xml:space="preserve">stration was evaluated in three pediatric subjects (age range 13-15) with PI. This number of pediatric subjects was too small for separate evaluation of pharmacokinetics and safety to determine whether they respond differently from adults. Efficacy and safety in pediatric patients using the SC route of administration have not been established. </w:t>
      </w:r>
    </w:p>
    <w:p w:rsidR="00263A50" w:rsidRPr="00032AA6" w:rsidRDefault="00263A50" w:rsidP="00DF2070">
      <w:pPr>
        <w:pStyle w:val="TableLeft"/>
        <w:keepNext/>
        <w:rPr>
          <w:rFonts w:ascii="Arial" w:hAnsi="Arial"/>
          <w:sz w:val="22"/>
          <w:szCs w:val="22"/>
        </w:rPr>
      </w:pPr>
    </w:p>
    <w:p w:rsidR="00263A50" w:rsidRPr="00C350EE" w:rsidRDefault="00263A50" w:rsidP="007A3AFF">
      <w:pPr>
        <w:pStyle w:val="TableLeft"/>
        <w:keepNext/>
        <w:jc w:val="both"/>
        <w:rPr>
          <w:rFonts w:ascii="Arial" w:hAnsi="Arial"/>
          <w:sz w:val="22"/>
          <w:szCs w:val="22"/>
        </w:rPr>
      </w:pPr>
      <w:r w:rsidRPr="00032AA6">
        <w:rPr>
          <w:rFonts w:ascii="Arial" w:hAnsi="Arial"/>
          <w:sz w:val="22"/>
          <w:szCs w:val="22"/>
        </w:rPr>
        <w:t xml:space="preserve">SC administration should not be used in patients with idiopathic </w:t>
      </w:r>
      <w:proofErr w:type="spellStart"/>
      <w:r w:rsidRPr="00032AA6">
        <w:rPr>
          <w:rFonts w:ascii="Arial" w:hAnsi="Arial"/>
          <w:sz w:val="22"/>
          <w:szCs w:val="22"/>
        </w:rPr>
        <w:t>thrombocytopaenic</w:t>
      </w:r>
      <w:proofErr w:type="spellEnd"/>
      <w:r w:rsidRPr="00032AA6">
        <w:rPr>
          <w:rFonts w:ascii="Arial" w:hAnsi="Arial"/>
          <w:sz w:val="22"/>
          <w:szCs w:val="22"/>
        </w:rPr>
        <w:t xml:space="preserve"> </w:t>
      </w:r>
      <w:proofErr w:type="spellStart"/>
      <w:r w:rsidRPr="00032AA6">
        <w:rPr>
          <w:rFonts w:ascii="Arial" w:hAnsi="Arial"/>
          <w:sz w:val="22"/>
          <w:szCs w:val="22"/>
        </w:rPr>
        <w:t>purpura</w:t>
      </w:r>
      <w:proofErr w:type="spellEnd"/>
      <w:r w:rsidRPr="00032AA6">
        <w:rPr>
          <w:rFonts w:ascii="Arial" w:hAnsi="Arial"/>
          <w:sz w:val="22"/>
          <w:szCs w:val="22"/>
        </w:rPr>
        <w:t xml:space="preserve"> due to risk of </w:t>
      </w:r>
      <w:proofErr w:type="spellStart"/>
      <w:r w:rsidRPr="00032AA6">
        <w:rPr>
          <w:rFonts w:ascii="Arial" w:hAnsi="Arial"/>
          <w:sz w:val="22"/>
          <w:szCs w:val="22"/>
        </w:rPr>
        <w:t>haematoma</w:t>
      </w:r>
      <w:proofErr w:type="spellEnd"/>
      <w:r w:rsidR="00143172" w:rsidRPr="00032AA6">
        <w:rPr>
          <w:rFonts w:ascii="Arial" w:hAnsi="Arial"/>
          <w:sz w:val="22"/>
          <w:szCs w:val="22"/>
        </w:rPr>
        <w:t xml:space="preserve"> formation</w:t>
      </w:r>
      <w:r w:rsidRPr="00032AA6">
        <w:rPr>
          <w:rFonts w:ascii="Arial" w:hAnsi="Arial"/>
          <w:sz w:val="22"/>
          <w:szCs w:val="22"/>
        </w:rPr>
        <w:t>.</w:t>
      </w:r>
    </w:p>
    <w:p w:rsidR="009F6BBB" w:rsidRPr="00C350EE" w:rsidRDefault="009F6BBB" w:rsidP="009F6BBB">
      <w:pPr>
        <w:pStyle w:val="NormalBodyTextChar"/>
        <w:spacing w:before="0" w:after="0"/>
        <w:rPr>
          <w:rFonts w:ascii="Arial" w:hAnsi="Arial" w:cs="Arial"/>
          <w:sz w:val="22"/>
          <w:szCs w:val="22"/>
          <w:lang w:val="en-US"/>
        </w:rPr>
      </w:pPr>
    </w:p>
    <w:p w:rsidR="0037530F" w:rsidRDefault="0037530F">
      <w:pPr>
        <w:pStyle w:val="Lemm1"/>
        <w:outlineLvl w:val="0"/>
        <w:rPr>
          <w:rFonts w:cs="Arial"/>
          <w:b/>
          <w:szCs w:val="22"/>
          <w:lang w:val="en-AU"/>
        </w:rPr>
      </w:pPr>
      <w:r w:rsidRPr="007A1703">
        <w:rPr>
          <w:rFonts w:cs="Arial"/>
          <w:b/>
          <w:szCs w:val="22"/>
          <w:lang w:val="en-AU"/>
        </w:rPr>
        <w:t xml:space="preserve">Idiopathic </w:t>
      </w:r>
      <w:proofErr w:type="spellStart"/>
      <w:r w:rsidRPr="007A1703">
        <w:rPr>
          <w:rFonts w:cs="Arial"/>
          <w:b/>
          <w:szCs w:val="22"/>
          <w:lang w:val="en-AU"/>
        </w:rPr>
        <w:t>Thrombocytop</w:t>
      </w:r>
      <w:r w:rsidR="0002039B" w:rsidRPr="007A1703">
        <w:rPr>
          <w:rFonts w:cs="Arial"/>
          <w:b/>
          <w:szCs w:val="22"/>
          <w:lang w:val="en-AU"/>
        </w:rPr>
        <w:t>a</w:t>
      </w:r>
      <w:r w:rsidRPr="007A1703">
        <w:rPr>
          <w:rFonts w:cs="Arial"/>
          <w:b/>
          <w:szCs w:val="22"/>
          <w:lang w:val="en-AU"/>
        </w:rPr>
        <w:t>enic</w:t>
      </w:r>
      <w:proofErr w:type="spellEnd"/>
      <w:r w:rsidRPr="007A1703">
        <w:rPr>
          <w:rFonts w:cs="Arial"/>
          <w:b/>
          <w:szCs w:val="22"/>
          <w:lang w:val="en-AU"/>
        </w:rPr>
        <w:t xml:space="preserve"> </w:t>
      </w:r>
      <w:proofErr w:type="spellStart"/>
      <w:r w:rsidRPr="007A1703">
        <w:rPr>
          <w:rFonts w:cs="Arial"/>
          <w:b/>
          <w:szCs w:val="22"/>
          <w:lang w:val="en-AU"/>
        </w:rPr>
        <w:t>Purpura</w:t>
      </w:r>
      <w:proofErr w:type="spellEnd"/>
      <w:r w:rsidRPr="007A1703">
        <w:rPr>
          <w:rFonts w:cs="Arial"/>
          <w:b/>
          <w:szCs w:val="22"/>
          <w:lang w:val="en-AU"/>
        </w:rPr>
        <w:t xml:space="preserve"> (ITP)</w:t>
      </w:r>
    </w:p>
    <w:p w:rsidR="00433C47" w:rsidRPr="007A1703" w:rsidRDefault="00433C47">
      <w:pPr>
        <w:pStyle w:val="Lemm1"/>
        <w:outlineLvl w:val="0"/>
        <w:rPr>
          <w:rFonts w:cs="Arial"/>
          <w:b/>
          <w:szCs w:val="22"/>
          <w:lang w:val="en-AU"/>
        </w:rPr>
      </w:pPr>
    </w:p>
    <w:p w:rsidR="000F3415" w:rsidRPr="007A1703" w:rsidRDefault="0037530F">
      <w:pPr>
        <w:pStyle w:val="BodyTextIndent"/>
        <w:ind w:firstLine="0"/>
        <w:rPr>
          <w:rFonts w:ascii="Arial" w:hAnsi="Arial" w:cs="Arial"/>
          <w:sz w:val="22"/>
          <w:szCs w:val="22"/>
          <w:lang w:val="en-AU"/>
        </w:rPr>
      </w:pPr>
      <w:r w:rsidRPr="007A1703">
        <w:rPr>
          <w:rFonts w:ascii="Arial" w:hAnsi="Arial" w:cs="Arial"/>
          <w:sz w:val="22"/>
          <w:szCs w:val="22"/>
          <w:lang w:val="en-AU"/>
        </w:rPr>
        <w:t xml:space="preserve">The mechanism of action of high doses of </w:t>
      </w:r>
      <w:proofErr w:type="spellStart"/>
      <w:r w:rsidRPr="007A1703">
        <w:rPr>
          <w:rFonts w:ascii="Arial" w:hAnsi="Arial" w:cs="Arial"/>
          <w:sz w:val="22"/>
          <w:szCs w:val="22"/>
          <w:lang w:val="en-AU"/>
        </w:rPr>
        <w:t>immunoglobulins</w:t>
      </w:r>
      <w:proofErr w:type="spellEnd"/>
      <w:r w:rsidRPr="007A1703">
        <w:rPr>
          <w:rFonts w:ascii="Arial" w:hAnsi="Arial" w:cs="Arial"/>
          <w:sz w:val="22"/>
          <w:szCs w:val="22"/>
          <w:lang w:val="en-AU"/>
        </w:rPr>
        <w:t xml:space="preserve"> in the treatment of Idiopathic </w:t>
      </w:r>
      <w:proofErr w:type="spellStart"/>
      <w:r w:rsidRPr="007A1703">
        <w:rPr>
          <w:rFonts w:ascii="Arial" w:hAnsi="Arial" w:cs="Arial"/>
          <w:sz w:val="22"/>
          <w:szCs w:val="22"/>
          <w:lang w:val="en-AU"/>
        </w:rPr>
        <w:t>Thrombocytop</w:t>
      </w:r>
      <w:r w:rsidR="0002039B" w:rsidRPr="007A1703">
        <w:rPr>
          <w:rFonts w:ascii="Arial" w:hAnsi="Arial" w:cs="Arial"/>
          <w:sz w:val="22"/>
          <w:szCs w:val="22"/>
          <w:lang w:val="en-AU"/>
        </w:rPr>
        <w:t>a</w:t>
      </w:r>
      <w:r w:rsidRPr="007A1703">
        <w:rPr>
          <w:rFonts w:ascii="Arial" w:hAnsi="Arial" w:cs="Arial"/>
          <w:sz w:val="22"/>
          <w:szCs w:val="22"/>
          <w:lang w:val="en-AU"/>
        </w:rPr>
        <w:t>enic</w:t>
      </w:r>
      <w:proofErr w:type="spellEnd"/>
      <w:r w:rsidRPr="007A1703">
        <w:rPr>
          <w:rFonts w:ascii="Arial" w:hAnsi="Arial" w:cs="Arial"/>
          <w:sz w:val="22"/>
          <w:szCs w:val="22"/>
          <w:lang w:val="en-AU"/>
        </w:rPr>
        <w:t xml:space="preserve"> </w:t>
      </w:r>
      <w:proofErr w:type="spellStart"/>
      <w:r w:rsidRPr="007A1703">
        <w:rPr>
          <w:rFonts w:ascii="Arial" w:hAnsi="Arial" w:cs="Arial"/>
          <w:sz w:val="22"/>
          <w:szCs w:val="22"/>
          <w:lang w:val="en-AU"/>
        </w:rPr>
        <w:t>Purpura</w:t>
      </w:r>
      <w:proofErr w:type="spellEnd"/>
      <w:r w:rsidRPr="007A1703">
        <w:rPr>
          <w:rFonts w:ascii="Arial" w:hAnsi="Arial" w:cs="Arial"/>
          <w:sz w:val="22"/>
          <w:szCs w:val="22"/>
          <w:lang w:val="en-AU"/>
        </w:rPr>
        <w:t xml:space="preserve"> (ITP) has not been fully elucidated. Several lines of evidence suggest that </w:t>
      </w:r>
      <w:proofErr w:type="spellStart"/>
      <w:r w:rsidRPr="007A1703">
        <w:rPr>
          <w:rFonts w:ascii="Arial" w:hAnsi="Arial" w:cs="Arial"/>
          <w:sz w:val="22"/>
          <w:szCs w:val="22"/>
          <w:lang w:val="en-AU"/>
        </w:rPr>
        <w:t>Fc</w:t>
      </w:r>
      <w:proofErr w:type="spellEnd"/>
      <w:r w:rsidRPr="007A1703">
        <w:rPr>
          <w:rFonts w:ascii="Arial" w:hAnsi="Arial" w:cs="Arial"/>
          <w:sz w:val="22"/>
          <w:szCs w:val="22"/>
          <w:lang w:val="en-AU"/>
        </w:rPr>
        <w:t xml:space="preserve">-receptor blockade of phagocytes as well as down regulation of auto-reactive B-cells by </w:t>
      </w:r>
      <w:r w:rsidR="0057078D" w:rsidRPr="007A1703">
        <w:rPr>
          <w:rFonts w:ascii="Arial" w:hAnsi="Arial" w:cs="Arial"/>
          <w:sz w:val="22"/>
          <w:szCs w:val="22"/>
          <w:lang w:val="en-AU"/>
        </w:rPr>
        <w:t>anti-</w:t>
      </w:r>
      <w:proofErr w:type="spellStart"/>
      <w:r w:rsidR="0057078D" w:rsidRPr="007A1703">
        <w:rPr>
          <w:rFonts w:ascii="Arial" w:hAnsi="Arial" w:cs="Arial"/>
          <w:sz w:val="22"/>
          <w:szCs w:val="22"/>
          <w:lang w:val="en-AU"/>
        </w:rPr>
        <w:t>idiotypic</w:t>
      </w:r>
      <w:proofErr w:type="spellEnd"/>
      <w:r w:rsidRPr="007A1703">
        <w:rPr>
          <w:rFonts w:ascii="Arial" w:hAnsi="Arial" w:cs="Arial"/>
          <w:sz w:val="22"/>
          <w:szCs w:val="22"/>
          <w:lang w:val="en-AU"/>
        </w:rPr>
        <w:t xml:space="preserve"> antibodies provided by IGIV may constitute the main mechanisms of action</w:t>
      </w:r>
      <w:r w:rsidR="0090540A">
        <w:rPr>
          <w:rFonts w:ascii="Arial" w:hAnsi="Arial" w:cs="Arial"/>
          <w:sz w:val="22"/>
          <w:szCs w:val="22"/>
          <w:lang w:val="en-AU"/>
        </w:rPr>
        <w:t>.</w:t>
      </w:r>
    </w:p>
    <w:p w:rsidR="000F3415" w:rsidRPr="007A1703" w:rsidRDefault="000F3415">
      <w:pPr>
        <w:pStyle w:val="BodyTextIndent"/>
        <w:ind w:firstLine="0"/>
        <w:rPr>
          <w:rFonts w:ascii="Arial" w:hAnsi="Arial" w:cs="Arial"/>
          <w:sz w:val="22"/>
          <w:szCs w:val="22"/>
          <w:lang w:val="en-AU"/>
        </w:rPr>
      </w:pPr>
    </w:p>
    <w:p w:rsidR="000F3415" w:rsidRPr="007A1703" w:rsidRDefault="000F3415" w:rsidP="007A3AFF">
      <w:pPr>
        <w:pStyle w:val="BodyTextIndent"/>
        <w:ind w:firstLine="0"/>
        <w:jc w:val="both"/>
        <w:rPr>
          <w:rFonts w:ascii="Arial" w:hAnsi="Arial" w:cs="Arial"/>
          <w:sz w:val="22"/>
          <w:szCs w:val="22"/>
          <w:lang w:val="en-AU"/>
        </w:rPr>
      </w:pPr>
      <w:r w:rsidRPr="007A1703">
        <w:rPr>
          <w:rFonts w:ascii="Arial" w:hAnsi="Arial" w:cs="Arial"/>
          <w:sz w:val="22"/>
          <w:szCs w:val="22"/>
          <w:lang w:val="en-AU"/>
        </w:rPr>
        <w:lastRenderedPageBreak/>
        <w:t xml:space="preserve">Efficacy in idiopathic thrombocytopenic </w:t>
      </w:r>
      <w:proofErr w:type="spellStart"/>
      <w:r w:rsidRPr="007A1703">
        <w:rPr>
          <w:rFonts w:ascii="Arial" w:hAnsi="Arial" w:cs="Arial"/>
          <w:sz w:val="22"/>
          <w:szCs w:val="22"/>
          <w:lang w:val="en-AU"/>
        </w:rPr>
        <w:t>purpura</w:t>
      </w:r>
      <w:proofErr w:type="spellEnd"/>
      <w:r w:rsidRPr="007A1703">
        <w:rPr>
          <w:rFonts w:ascii="Arial" w:hAnsi="Arial" w:cs="Arial"/>
          <w:sz w:val="22"/>
          <w:szCs w:val="22"/>
          <w:lang w:val="en-AU"/>
        </w:rPr>
        <w:t xml:space="preserve"> was assessed in two trials. In the first trial, 49 patients with platelet counts ≤ 20 x 10</w:t>
      </w:r>
      <w:r w:rsidRPr="007A1703">
        <w:rPr>
          <w:rFonts w:ascii="Arial" w:hAnsi="Arial" w:cs="Arial"/>
          <w:sz w:val="22"/>
          <w:szCs w:val="22"/>
          <w:vertAlign w:val="superscript"/>
          <w:lang w:val="en-AU"/>
        </w:rPr>
        <w:t>9</w:t>
      </w:r>
      <w:r w:rsidRPr="007A1703">
        <w:rPr>
          <w:rFonts w:ascii="Arial" w:hAnsi="Arial" w:cs="Arial"/>
          <w:sz w:val="22"/>
          <w:szCs w:val="22"/>
          <w:lang w:val="en-AU"/>
        </w:rPr>
        <w:t xml:space="preserve"> /L were treated with </w:t>
      </w:r>
      <w:r w:rsidR="002F34FC" w:rsidRPr="007A1703">
        <w:rPr>
          <w:rFonts w:ascii="Arial" w:hAnsi="Arial" w:cs="Arial"/>
          <w:sz w:val="22"/>
          <w:szCs w:val="22"/>
          <w:lang w:val="en-AU"/>
        </w:rPr>
        <w:t>GAMUNEX</w:t>
      </w:r>
      <w:r w:rsidR="00E14D4C" w:rsidRPr="00E14D4C">
        <w:rPr>
          <w:szCs w:val="22"/>
          <w:vertAlign w:val="superscript"/>
          <w:lang w:val="en-AU"/>
        </w:rPr>
        <w:t>®</w:t>
      </w:r>
      <w:r w:rsidRPr="007A1703">
        <w:rPr>
          <w:rFonts w:ascii="Arial" w:hAnsi="Arial" w:cs="Arial"/>
          <w:sz w:val="22"/>
          <w:szCs w:val="22"/>
          <w:lang w:val="en-AU"/>
        </w:rPr>
        <w:t xml:space="preserve"> IV infusion 1 g/kg/day for two consecutive days. The mean age of </w:t>
      </w:r>
      <w:r w:rsidR="0057078D" w:rsidRPr="007A1703">
        <w:rPr>
          <w:rFonts w:ascii="Arial" w:hAnsi="Arial" w:cs="Arial"/>
          <w:sz w:val="22"/>
          <w:szCs w:val="22"/>
          <w:lang w:val="en-AU"/>
        </w:rPr>
        <w:t>patients</w:t>
      </w:r>
      <w:r w:rsidRPr="007A1703">
        <w:rPr>
          <w:rFonts w:ascii="Arial" w:hAnsi="Arial" w:cs="Arial"/>
          <w:sz w:val="22"/>
          <w:szCs w:val="22"/>
          <w:lang w:val="en-AU"/>
        </w:rPr>
        <w:t xml:space="preserve"> was 34 years and 25% were male. Children (age ≤ 18 years) made up 24% of the study population. The primary </w:t>
      </w:r>
      <w:r w:rsidR="0057078D" w:rsidRPr="007A1703">
        <w:rPr>
          <w:rFonts w:ascii="Arial" w:hAnsi="Arial" w:cs="Arial"/>
          <w:sz w:val="22"/>
          <w:szCs w:val="22"/>
          <w:lang w:val="en-AU"/>
        </w:rPr>
        <w:t>efficacy</w:t>
      </w:r>
      <w:r w:rsidRPr="007A1703">
        <w:rPr>
          <w:rFonts w:ascii="Arial" w:hAnsi="Arial" w:cs="Arial"/>
          <w:sz w:val="22"/>
          <w:szCs w:val="22"/>
          <w:lang w:val="en-AU"/>
        </w:rPr>
        <w:t xml:space="preserve"> variable was platelet response, defined as an increase in platelet count to ≥ 50 x 10</w:t>
      </w:r>
      <w:r w:rsidRPr="007A1703">
        <w:rPr>
          <w:rFonts w:ascii="Arial" w:hAnsi="Arial" w:cs="Arial"/>
          <w:sz w:val="22"/>
          <w:szCs w:val="22"/>
          <w:vertAlign w:val="superscript"/>
          <w:lang w:val="en-AU"/>
        </w:rPr>
        <w:t>9</w:t>
      </w:r>
      <w:r w:rsidRPr="007A1703">
        <w:rPr>
          <w:rFonts w:ascii="Arial" w:hAnsi="Arial" w:cs="Arial"/>
          <w:sz w:val="22"/>
          <w:szCs w:val="22"/>
          <w:lang w:val="en-AU"/>
        </w:rPr>
        <w:t xml:space="preserve">/L within 7 days of the first dose of </w:t>
      </w:r>
      <w:r w:rsidR="002F34FC" w:rsidRPr="007A1703">
        <w:rPr>
          <w:rFonts w:ascii="Arial" w:hAnsi="Arial" w:cs="Arial"/>
          <w:sz w:val="22"/>
          <w:szCs w:val="22"/>
          <w:lang w:val="en-AU"/>
        </w:rPr>
        <w:t>GAMUNEX</w:t>
      </w:r>
      <w:r w:rsidR="00E14D4C" w:rsidRPr="00E14D4C">
        <w:rPr>
          <w:szCs w:val="22"/>
          <w:vertAlign w:val="superscript"/>
          <w:lang w:val="en-AU"/>
        </w:rPr>
        <w:t>®</w:t>
      </w:r>
      <w:r w:rsidRPr="007A1703">
        <w:rPr>
          <w:rFonts w:ascii="Arial" w:hAnsi="Arial" w:cs="Arial"/>
          <w:sz w:val="22"/>
          <w:szCs w:val="22"/>
          <w:lang w:val="en-AU"/>
        </w:rPr>
        <w:t xml:space="preserve">. Forty three patients (88%) achieved a response. Responses of at least 7 days duration occurred in 33 patients (67%). </w:t>
      </w:r>
      <w:r w:rsidR="0057078D" w:rsidRPr="007A1703">
        <w:rPr>
          <w:rFonts w:ascii="Arial" w:hAnsi="Arial" w:cs="Arial"/>
          <w:sz w:val="22"/>
          <w:szCs w:val="22"/>
          <w:lang w:val="en-AU"/>
        </w:rPr>
        <w:t>Sixty</w:t>
      </w:r>
      <w:r w:rsidRPr="007A1703">
        <w:rPr>
          <w:rFonts w:ascii="Arial" w:hAnsi="Arial" w:cs="Arial"/>
          <w:sz w:val="22"/>
          <w:szCs w:val="22"/>
          <w:lang w:val="en-AU"/>
        </w:rPr>
        <w:t xml:space="preserve"> eight percent of patients had new bleeding episodes. The results were comparable with other similar products. </w:t>
      </w:r>
    </w:p>
    <w:p w:rsidR="000F3415" w:rsidRPr="007A1703" w:rsidRDefault="000F3415">
      <w:pPr>
        <w:pStyle w:val="BodyTextIndent"/>
        <w:ind w:firstLine="0"/>
        <w:rPr>
          <w:rFonts w:ascii="Arial" w:hAnsi="Arial" w:cs="Arial"/>
          <w:sz w:val="22"/>
          <w:szCs w:val="22"/>
          <w:lang w:val="en-AU"/>
        </w:rPr>
      </w:pPr>
    </w:p>
    <w:p w:rsidR="00656455" w:rsidRPr="007A1703" w:rsidRDefault="000F3415" w:rsidP="007A3AFF">
      <w:pPr>
        <w:pStyle w:val="BodyTextIndent"/>
        <w:ind w:firstLine="0"/>
        <w:jc w:val="both"/>
        <w:rPr>
          <w:rFonts w:ascii="Arial" w:hAnsi="Arial" w:cs="Arial"/>
          <w:sz w:val="22"/>
          <w:szCs w:val="22"/>
          <w:lang w:val="en-AU"/>
        </w:rPr>
      </w:pPr>
      <w:r w:rsidRPr="007A1703">
        <w:rPr>
          <w:rFonts w:ascii="Arial" w:hAnsi="Arial" w:cs="Arial"/>
          <w:sz w:val="22"/>
          <w:szCs w:val="22"/>
          <w:lang w:val="en-AU"/>
        </w:rPr>
        <w:t xml:space="preserve">In the second study, 18 patients with platelet </w:t>
      </w:r>
      <w:r w:rsidR="0057078D" w:rsidRPr="007A1703">
        <w:rPr>
          <w:rFonts w:ascii="Arial" w:hAnsi="Arial" w:cs="Arial"/>
          <w:sz w:val="22"/>
          <w:szCs w:val="22"/>
          <w:lang w:val="en-AU"/>
        </w:rPr>
        <w:t>count ≤</w:t>
      </w:r>
      <w:r w:rsidRPr="007A1703">
        <w:rPr>
          <w:rFonts w:ascii="Arial" w:hAnsi="Arial" w:cs="Arial"/>
          <w:sz w:val="22"/>
          <w:szCs w:val="22"/>
          <w:lang w:val="en-AU"/>
        </w:rPr>
        <w:t xml:space="preserve"> 20 x 10</w:t>
      </w:r>
      <w:r w:rsidRPr="007A1703">
        <w:rPr>
          <w:rFonts w:ascii="Arial" w:hAnsi="Arial" w:cs="Arial"/>
          <w:sz w:val="22"/>
          <w:szCs w:val="22"/>
          <w:vertAlign w:val="superscript"/>
          <w:lang w:val="en-AU"/>
        </w:rPr>
        <w:t>9</w:t>
      </w:r>
      <w:r w:rsidRPr="007A1703">
        <w:rPr>
          <w:rFonts w:ascii="Arial" w:hAnsi="Arial" w:cs="Arial"/>
          <w:sz w:val="22"/>
          <w:szCs w:val="22"/>
          <w:lang w:val="en-AU"/>
        </w:rPr>
        <w:t xml:space="preserve"> /L were treated with </w:t>
      </w:r>
      <w:r w:rsidR="002F34FC" w:rsidRPr="007A1703">
        <w:rPr>
          <w:rFonts w:ascii="Arial" w:hAnsi="Arial" w:cs="Arial"/>
          <w:sz w:val="22"/>
          <w:szCs w:val="22"/>
          <w:lang w:val="en-AU"/>
        </w:rPr>
        <w:t>GAMUNEX</w:t>
      </w:r>
      <w:r w:rsidR="00E14D4C" w:rsidRPr="00E14D4C">
        <w:rPr>
          <w:szCs w:val="22"/>
          <w:vertAlign w:val="superscript"/>
          <w:lang w:val="en-AU"/>
        </w:rPr>
        <w:t>®</w:t>
      </w:r>
      <w:r w:rsidRPr="007A1703">
        <w:rPr>
          <w:rFonts w:ascii="Arial" w:hAnsi="Arial" w:cs="Arial"/>
          <w:sz w:val="22"/>
          <w:szCs w:val="22"/>
          <w:lang w:val="en-AU"/>
        </w:rPr>
        <w:t xml:space="preserve"> IV </w:t>
      </w:r>
      <w:r w:rsidR="0057078D" w:rsidRPr="007A1703">
        <w:rPr>
          <w:rFonts w:ascii="Arial" w:hAnsi="Arial" w:cs="Arial"/>
          <w:sz w:val="22"/>
          <w:szCs w:val="22"/>
          <w:lang w:val="en-AU"/>
        </w:rPr>
        <w:t>infusion</w:t>
      </w:r>
      <w:r w:rsidRPr="007A1703">
        <w:rPr>
          <w:rFonts w:ascii="Arial" w:hAnsi="Arial" w:cs="Arial"/>
          <w:sz w:val="22"/>
          <w:szCs w:val="22"/>
          <w:lang w:val="en-AU"/>
        </w:rPr>
        <w:t xml:space="preserve"> 1 g/Kg day for two consecutive days. The mean age of patients was 42 </w:t>
      </w:r>
      <w:r w:rsidR="00F24384" w:rsidRPr="007A1703">
        <w:rPr>
          <w:rFonts w:ascii="Arial" w:hAnsi="Arial" w:cs="Arial"/>
          <w:sz w:val="22"/>
          <w:szCs w:val="22"/>
          <w:lang w:val="en-AU"/>
        </w:rPr>
        <w:t xml:space="preserve">years </w:t>
      </w:r>
      <w:r w:rsidRPr="007A1703">
        <w:rPr>
          <w:rFonts w:ascii="Arial" w:hAnsi="Arial" w:cs="Arial"/>
          <w:sz w:val="22"/>
          <w:szCs w:val="22"/>
          <w:lang w:val="en-AU"/>
        </w:rPr>
        <w:t xml:space="preserve">and 39% were male. All were adults. The primary </w:t>
      </w:r>
      <w:r w:rsidR="0057078D" w:rsidRPr="007A1703">
        <w:rPr>
          <w:rFonts w:ascii="Arial" w:hAnsi="Arial" w:cs="Arial"/>
          <w:sz w:val="22"/>
          <w:szCs w:val="22"/>
          <w:lang w:val="en-AU"/>
        </w:rPr>
        <w:t>efficacy</w:t>
      </w:r>
      <w:r w:rsidRPr="007A1703">
        <w:rPr>
          <w:rFonts w:ascii="Arial" w:hAnsi="Arial" w:cs="Arial"/>
          <w:sz w:val="22"/>
          <w:szCs w:val="22"/>
          <w:lang w:val="en-AU"/>
        </w:rPr>
        <w:t xml:space="preserve"> variable was platelet response, defined differently to the previous trial. It was an increase in platelet count to ≥ 50 x 10</w:t>
      </w:r>
      <w:r w:rsidRPr="007A1703">
        <w:rPr>
          <w:rFonts w:ascii="Arial" w:hAnsi="Arial" w:cs="Arial"/>
          <w:sz w:val="22"/>
          <w:szCs w:val="22"/>
          <w:vertAlign w:val="superscript"/>
          <w:lang w:val="en-AU"/>
        </w:rPr>
        <w:t>9</w:t>
      </w:r>
      <w:r w:rsidRPr="007A1703">
        <w:rPr>
          <w:rFonts w:ascii="Arial" w:hAnsi="Arial" w:cs="Arial"/>
          <w:sz w:val="22"/>
          <w:szCs w:val="22"/>
          <w:lang w:val="en-AU"/>
        </w:rPr>
        <w:t xml:space="preserve">/L on at least one occasion within 21 days of the first dose of </w:t>
      </w:r>
      <w:r w:rsidR="002F34FC" w:rsidRPr="007A1703">
        <w:rPr>
          <w:rFonts w:ascii="Arial" w:hAnsi="Arial" w:cs="Arial"/>
          <w:sz w:val="22"/>
          <w:szCs w:val="22"/>
          <w:lang w:val="en-AU"/>
        </w:rPr>
        <w:t>GAMUNEX</w:t>
      </w:r>
      <w:r w:rsidR="00E14D4C" w:rsidRPr="00E14D4C">
        <w:rPr>
          <w:szCs w:val="22"/>
          <w:vertAlign w:val="superscript"/>
          <w:lang w:val="en-AU"/>
        </w:rPr>
        <w:t>®</w:t>
      </w:r>
      <w:r w:rsidRPr="007A1703">
        <w:rPr>
          <w:rFonts w:ascii="Arial" w:hAnsi="Arial" w:cs="Arial"/>
          <w:sz w:val="22"/>
          <w:szCs w:val="22"/>
          <w:lang w:val="en-AU"/>
        </w:rPr>
        <w:t xml:space="preserve">. </w:t>
      </w:r>
      <w:r w:rsidR="00F24384" w:rsidRPr="007A1703">
        <w:rPr>
          <w:rFonts w:ascii="Arial" w:hAnsi="Arial" w:cs="Arial"/>
          <w:sz w:val="22"/>
          <w:szCs w:val="22"/>
          <w:lang w:val="en-AU"/>
        </w:rPr>
        <w:t xml:space="preserve">Fifteen patients (83%) responded. The median duration of response was 13 days, range 1-21 days. </w:t>
      </w:r>
      <w:r w:rsidRPr="007A1703">
        <w:rPr>
          <w:rFonts w:ascii="Arial" w:hAnsi="Arial" w:cs="Arial"/>
          <w:sz w:val="22"/>
          <w:szCs w:val="22"/>
          <w:lang w:val="en-AU"/>
        </w:rPr>
        <w:t xml:space="preserve">Fifteen patients (83% had bleeding sites at the start of treatment. Bleeding resolved in all but two patients; </w:t>
      </w:r>
      <w:r w:rsidR="0057078D" w:rsidRPr="007A1703">
        <w:rPr>
          <w:rFonts w:ascii="Arial" w:hAnsi="Arial" w:cs="Arial"/>
          <w:sz w:val="22"/>
          <w:szCs w:val="22"/>
          <w:lang w:val="en-AU"/>
        </w:rPr>
        <w:t>however,</w:t>
      </w:r>
      <w:r w:rsidRPr="007A1703">
        <w:rPr>
          <w:rFonts w:ascii="Arial" w:hAnsi="Arial" w:cs="Arial"/>
          <w:sz w:val="22"/>
          <w:szCs w:val="22"/>
          <w:lang w:val="en-AU"/>
        </w:rPr>
        <w:t xml:space="preserve"> new bleeding sites developed in three patients (</w:t>
      </w:r>
      <w:proofErr w:type="spellStart"/>
      <w:r w:rsidRPr="007A1703">
        <w:rPr>
          <w:rFonts w:ascii="Arial" w:hAnsi="Arial" w:cs="Arial"/>
          <w:sz w:val="22"/>
          <w:szCs w:val="22"/>
          <w:lang w:val="en-AU"/>
        </w:rPr>
        <w:t>epistaxis</w:t>
      </w:r>
      <w:proofErr w:type="spellEnd"/>
      <w:r w:rsidRPr="007A1703">
        <w:rPr>
          <w:rFonts w:ascii="Arial" w:hAnsi="Arial" w:cs="Arial"/>
          <w:sz w:val="22"/>
          <w:szCs w:val="22"/>
          <w:lang w:val="en-AU"/>
        </w:rPr>
        <w:t xml:space="preserve"> x 1, </w:t>
      </w:r>
      <w:proofErr w:type="spellStart"/>
      <w:r w:rsidRPr="007A1703">
        <w:rPr>
          <w:rFonts w:ascii="Arial" w:hAnsi="Arial" w:cs="Arial"/>
          <w:sz w:val="22"/>
          <w:szCs w:val="22"/>
          <w:lang w:val="en-AU"/>
        </w:rPr>
        <w:t>purpura</w:t>
      </w:r>
      <w:proofErr w:type="spellEnd"/>
      <w:r w:rsidRPr="007A1703">
        <w:rPr>
          <w:rFonts w:ascii="Arial" w:hAnsi="Arial" w:cs="Arial"/>
          <w:sz w:val="22"/>
          <w:szCs w:val="22"/>
          <w:lang w:val="en-AU"/>
        </w:rPr>
        <w:t xml:space="preserve"> x 2), two of which later resolved. The results were comparable with other similar products.</w:t>
      </w:r>
    </w:p>
    <w:p w:rsidR="00547A99" w:rsidRDefault="00547A99" w:rsidP="007A3AFF">
      <w:pPr>
        <w:pStyle w:val="Lemm1"/>
        <w:jc w:val="both"/>
        <w:rPr>
          <w:b/>
          <w:szCs w:val="22"/>
          <w:lang w:val="en-AU"/>
        </w:rPr>
      </w:pPr>
    </w:p>
    <w:p w:rsidR="00B32898" w:rsidRPr="00B32898" w:rsidRDefault="00B32898" w:rsidP="007A3AFF">
      <w:pPr>
        <w:jc w:val="both"/>
        <w:rPr>
          <w:rFonts w:ascii="Arial" w:hAnsi="Arial" w:cs="Arial"/>
          <w:b/>
          <w:sz w:val="22"/>
          <w:szCs w:val="22"/>
          <w:lang w:val="en-AU"/>
        </w:rPr>
      </w:pPr>
      <w:r w:rsidRPr="00B32898">
        <w:rPr>
          <w:rFonts w:ascii="Arial" w:hAnsi="Arial" w:cs="Arial"/>
          <w:b/>
          <w:sz w:val="22"/>
          <w:szCs w:val="22"/>
          <w:lang w:val="en-AU"/>
        </w:rPr>
        <w:t>Clinical trials conducted with GAMUNEX</w:t>
      </w:r>
      <w:r w:rsidR="00E14D4C" w:rsidRPr="00E14D4C">
        <w:rPr>
          <w:szCs w:val="22"/>
          <w:vertAlign w:val="superscript"/>
          <w:lang w:val="en-AU"/>
        </w:rPr>
        <w:t>®</w:t>
      </w:r>
      <w:r w:rsidRPr="00B32898">
        <w:rPr>
          <w:rFonts w:ascii="Arial" w:hAnsi="Arial" w:cs="Arial"/>
          <w:b/>
          <w:sz w:val="22"/>
          <w:szCs w:val="22"/>
          <w:lang w:val="en-AU"/>
        </w:rPr>
        <w:t xml:space="preserve"> on patients with Chronic Inflammatory </w:t>
      </w:r>
      <w:proofErr w:type="spellStart"/>
      <w:r w:rsidRPr="00B32898">
        <w:rPr>
          <w:rFonts w:ascii="Arial" w:hAnsi="Arial" w:cs="Arial"/>
          <w:b/>
          <w:sz w:val="22"/>
          <w:szCs w:val="22"/>
          <w:lang w:val="en-AU"/>
        </w:rPr>
        <w:t>Demyelinating</w:t>
      </w:r>
      <w:proofErr w:type="spellEnd"/>
      <w:r w:rsidRPr="00B32898">
        <w:rPr>
          <w:rFonts w:ascii="Arial" w:hAnsi="Arial" w:cs="Arial"/>
          <w:b/>
          <w:sz w:val="22"/>
          <w:szCs w:val="22"/>
          <w:lang w:val="en-AU"/>
        </w:rPr>
        <w:t xml:space="preserve"> </w:t>
      </w:r>
      <w:proofErr w:type="spellStart"/>
      <w:r w:rsidRPr="00B32898">
        <w:rPr>
          <w:rFonts w:ascii="Arial" w:hAnsi="Arial" w:cs="Arial"/>
          <w:b/>
          <w:sz w:val="22"/>
          <w:szCs w:val="22"/>
          <w:lang w:val="en-AU"/>
        </w:rPr>
        <w:t>Polyneuropathy</w:t>
      </w:r>
      <w:proofErr w:type="spellEnd"/>
      <w:r w:rsidRPr="00B32898">
        <w:rPr>
          <w:rFonts w:ascii="Arial" w:hAnsi="Arial" w:cs="Arial"/>
          <w:b/>
          <w:sz w:val="22"/>
          <w:szCs w:val="22"/>
          <w:lang w:val="en-AU"/>
        </w:rPr>
        <w:t xml:space="preserve"> (CIDP):</w:t>
      </w:r>
    </w:p>
    <w:p w:rsidR="00B32898" w:rsidRPr="001E496D" w:rsidRDefault="00B32898" w:rsidP="00B32898">
      <w:pPr>
        <w:jc w:val="both"/>
        <w:rPr>
          <w:sz w:val="24"/>
          <w:szCs w:val="24"/>
          <w:lang w:val="en-GB"/>
        </w:rPr>
      </w:pPr>
    </w:p>
    <w:p w:rsidR="00B32898" w:rsidRPr="00B32898" w:rsidRDefault="00B32898" w:rsidP="00B32898">
      <w:pPr>
        <w:autoSpaceDE w:val="0"/>
        <w:autoSpaceDN w:val="0"/>
        <w:adjustRightInd w:val="0"/>
        <w:spacing w:after="240"/>
        <w:jc w:val="both"/>
        <w:rPr>
          <w:rFonts w:ascii="Arial" w:hAnsi="Arial" w:cs="Arial"/>
          <w:sz w:val="22"/>
          <w:szCs w:val="22"/>
          <w:lang w:val="en-AU"/>
        </w:rPr>
      </w:pPr>
      <w:r w:rsidRPr="00B32898">
        <w:rPr>
          <w:rFonts w:ascii="Arial" w:hAnsi="Arial" w:cs="Arial"/>
          <w:sz w:val="22"/>
          <w:szCs w:val="22"/>
          <w:lang w:val="en-AU"/>
        </w:rPr>
        <w:t>The IVIG-C CIDP efficacy trial (ICE study), a double-blind, randomised, placebo-controlled study investigated the efficacy and safety of GAMUNEX</w:t>
      </w:r>
      <w:r w:rsidR="00E14D4C" w:rsidRPr="00E14D4C">
        <w:rPr>
          <w:szCs w:val="22"/>
          <w:vertAlign w:val="superscript"/>
          <w:lang w:val="en-AU"/>
        </w:rPr>
        <w:t>®</w:t>
      </w:r>
      <w:r w:rsidRPr="00B32898">
        <w:rPr>
          <w:rFonts w:ascii="Arial" w:hAnsi="Arial" w:cs="Arial"/>
          <w:sz w:val="22"/>
          <w:szCs w:val="22"/>
          <w:lang w:val="en-AU"/>
        </w:rPr>
        <w:t xml:space="preserve"> in the treatment of CIDP. A total of 117 </w:t>
      </w:r>
      <w:r w:rsidR="000011FB">
        <w:rPr>
          <w:rFonts w:ascii="Arial" w:hAnsi="Arial" w:cs="Arial"/>
          <w:sz w:val="22"/>
          <w:szCs w:val="22"/>
          <w:lang w:val="en-AU"/>
        </w:rPr>
        <w:t>(</w:t>
      </w:r>
      <w:r w:rsidR="000011FB">
        <w:rPr>
          <w:rFonts w:ascii="Arial" w:hAnsi="Arial" w:cs="Arial"/>
          <w:b/>
          <w:sz w:val="22"/>
          <w:szCs w:val="22"/>
          <w:lang w:val="en-AU"/>
        </w:rPr>
        <w:t>adult</w:t>
      </w:r>
      <w:r w:rsidR="000011FB">
        <w:rPr>
          <w:rFonts w:ascii="Arial" w:hAnsi="Arial" w:cs="Arial"/>
          <w:sz w:val="22"/>
          <w:szCs w:val="22"/>
          <w:lang w:val="en-AU"/>
        </w:rPr>
        <w:t xml:space="preserve">) </w:t>
      </w:r>
      <w:r w:rsidRPr="00B32898">
        <w:rPr>
          <w:rFonts w:ascii="Arial" w:hAnsi="Arial" w:cs="Arial"/>
          <w:sz w:val="22"/>
          <w:szCs w:val="22"/>
          <w:lang w:val="en-AU"/>
        </w:rPr>
        <w:t>CIDP patients were randomised to receive either GAMUNEX</w:t>
      </w:r>
      <w:r w:rsidR="00E14D4C" w:rsidRPr="00E14D4C">
        <w:rPr>
          <w:szCs w:val="22"/>
          <w:vertAlign w:val="superscript"/>
          <w:lang w:val="en-AU"/>
        </w:rPr>
        <w:t>®</w:t>
      </w:r>
      <w:r w:rsidRPr="00B32898">
        <w:rPr>
          <w:rFonts w:ascii="Arial" w:hAnsi="Arial" w:cs="Arial"/>
          <w:sz w:val="22"/>
          <w:szCs w:val="22"/>
          <w:lang w:val="en-AU"/>
        </w:rPr>
        <w:t xml:space="preserve"> or placebo every three weeks. Loading dose was 2 g/kg; maintenance dose was 1 g/kg</w:t>
      </w:r>
      <w:r w:rsidR="00032AA6">
        <w:rPr>
          <w:rFonts w:ascii="Arial" w:hAnsi="Arial" w:cs="Arial"/>
          <w:sz w:val="22"/>
          <w:szCs w:val="22"/>
          <w:lang w:val="en-AU"/>
        </w:rPr>
        <w:t xml:space="preserve"> (administered intravenously)</w:t>
      </w:r>
      <w:r w:rsidRPr="00B32898">
        <w:rPr>
          <w:rFonts w:ascii="Arial" w:hAnsi="Arial" w:cs="Arial"/>
          <w:sz w:val="22"/>
          <w:szCs w:val="22"/>
          <w:lang w:val="en-AU"/>
        </w:rPr>
        <w:t>.</w:t>
      </w:r>
    </w:p>
    <w:p w:rsidR="00B32898" w:rsidRPr="00B32898" w:rsidRDefault="00B32898" w:rsidP="00B32898">
      <w:pPr>
        <w:autoSpaceDE w:val="0"/>
        <w:autoSpaceDN w:val="0"/>
        <w:adjustRightInd w:val="0"/>
        <w:spacing w:after="240"/>
        <w:jc w:val="both"/>
        <w:rPr>
          <w:rFonts w:ascii="Arial" w:hAnsi="Arial" w:cs="Arial"/>
          <w:sz w:val="22"/>
          <w:szCs w:val="22"/>
          <w:lang w:val="en-AU"/>
        </w:rPr>
      </w:pPr>
      <w:r w:rsidRPr="00B32898">
        <w:rPr>
          <w:rFonts w:ascii="Arial" w:hAnsi="Arial" w:cs="Arial"/>
          <w:sz w:val="22"/>
          <w:szCs w:val="22"/>
          <w:lang w:val="en-AU"/>
        </w:rPr>
        <w:t xml:space="preserve">Responder rates (determined by improvement in INCAT disability score and maintenance of ≥ 1 improvement over the 24 week efficacy period) were significantly higher in the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group (54%), compared to the placebo group (21%, p=0.0002). Muscle strength as measured by the MRC score and grip strength, as well as sensation as measured by the ISS score improved significantly more in the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group compared to placebo.</w:t>
      </w:r>
    </w:p>
    <w:p w:rsidR="00B32898" w:rsidRPr="00B32898" w:rsidRDefault="00B32898" w:rsidP="00B32898">
      <w:pPr>
        <w:autoSpaceDE w:val="0"/>
        <w:autoSpaceDN w:val="0"/>
        <w:adjustRightInd w:val="0"/>
        <w:jc w:val="both"/>
        <w:rPr>
          <w:rFonts w:ascii="Arial" w:hAnsi="Arial" w:cs="Arial"/>
          <w:sz w:val="22"/>
          <w:szCs w:val="22"/>
          <w:lang w:val="en-AU"/>
        </w:rPr>
      </w:pPr>
      <w:r w:rsidRPr="00B32898">
        <w:rPr>
          <w:rFonts w:ascii="Arial" w:hAnsi="Arial" w:cs="Arial"/>
          <w:sz w:val="22"/>
          <w:szCs w:val="22"/>
          <w:lang w:val="en-AU"/>
        </w:rPr>
        <w:t>In view of the limited number of patients ≥ 65 years included in the study, a precise treatment effect could not be determined with regard to the INCAT score; for grip strength, a statistically significant treatment effect was shown in favour of</w:t>
      </w:r>
      <w:r w:rsidR="00147606" w:rsidRPr="00147606">
        <w:rPr>
          <w:rFonts w:ascii="Arial" w:hAnsi="Arial" w:cs="Arial"/>
          <w:sz w:val="22"/>
          <w:szCs w:val="22"/>
          <w:lang w:val="en-AU"/>
        </w:rPr>
        <w:t xml:space="preserve"> </w:t>
      </w:r>
      <w:r w:rsidR="00147606">
        <w:rPr>
          <w:rFonts w:ascii="Arial" w:hAnsi="Arial" w:cs="Arial"/>
          <w:sz w:val="22"/>
          <w:szCs w:val="22"/>
          <w:lang w:val="en-AU"/>
        </w:rPr>
        <w:t>GAMUNEX</w:t>
      </w:r>
      <w:r w:rsidR="00147606" w:rsidRPr="00E14D4C">
        <w:rPr>
          <w:szCs w:val="22"/>
          <w:vertAlign w:val="superscript"/>
          <w:lang w:val="en-AU"/>
        </w:rPr>
        <w:t>®</w:t>
      </w:r>
      <w:r w:rsidRPr="00B32898">
        <w:rPr>
          <w:rFonts w:ascii="Arial" w:hAnsi="Arial" w:cs="Arial"/>
          <w:sz w:val="22"/>
          <w:szCs w:val="22"/>
          <w:lang w:val="en-AU"/>
        </w:rPr>
        <w:t>.</w:t>
      </w:r>
    </w:p>
    <w:p w:rsidR="00B32898" w:rsidRPr="00B32898" w:rsidRDefault="00B32898" w:rsidP="00B32898">
      <w:pPr>
        <w:autoSpaceDE w:val="0"/>
        <w:autoSpaceDN w:val="0"/>
        <w:adjustRightInd w:val="0"/>
        <w:jc w:val="both"/>
        <w:rPr>
          <w:rFonts w:ascii="Arial" w:hAnsi="Arial" w:cs="Arial"/>
          <w:sz w:val="22"/>
          <w:szCs w:val="22"/>
          <w:lang w:val="en-AU"/>
        </w:rPr>
      </w:pPr>
    </w:p>
    <w:p w:rsidR="00B32898" w:rsidRPr="00B32898" w:rsidRDefault="00B32898" w:rsidP="00B32898">
      <w:pPr>
        <w:autoSpaceDE w:val="0"/>
        <w:autoSpaceDN w:val="0"/>
        <w:adjustRightInd w:val="0"/>
        <w:jc w:val="both"/>
        <w:rPr>
          <w:rFonts w:ascii="Arial" w:hAnsi="Arial" w:cs="Arial"/>
          <w:sz w:val="22"/>
          <w:szCs w:val="22"/>
          <w:lang w:val="en-AU"/>
        </w:rPr>
      </w:pPr>
      <w:r w:rsidRPr="00B32898">
        <w:rPr>
          <w:rFonts w:ascii="Arial" w:hAnsi="Arial" w:cs="Arial"/>
          <w:sz w:val="22"/>
          <w:szCs w:val="22"/>
          <w:lang w:val="en-AU"/>
        </w:rPr>
        <w:t>Of the responders, less than half responded after the loading dose (by week 3), but most responded after the second dose (by week 6)</w:t>
      </w:r>
      <w:r w:rsidR="004C7FE9">
        <w:rPr>
          <w:rFonts w:ascii="Arial" w:hAnsi="Arial" w:cs="Arial"/>
          <w:sz w:val="22"/>
          <w:szCs w:val="22"/>
          <w:lang w:val="en-AU"/>
        </w:rPr>
        <w:t>.</w:t>
      </w:r>
      <w:r w:rsidRPr="00B32898">
        <w:rPr>
          <w:rFonts w:ascii="Arial" w:hAnsi="Arial" w:cs="Arial"/>
          <w:sz w:val="22"/>
          <w:szCs w:val="22"/>
          <w:lang w:val="en-AU"/>
        </w:rPr>
        <w:t xml:space="preserve"> Non-responders were crossed over to the alternative treatment, for again up to a maximum of 24 weeks of therapy. </w:t>
      </w:r>
    </w:p>
    <w:p w:rsidR="00B32898" w:rsidRPr="00B32898" w:rsidRDefault="00B32898" w:rsidP="00B32898">
      <w:pPr>
        <w:autoSpaceDE w:val="0"/>
        <w:autoSpaceDN w:val="0"/>
        <w:adjustRightInd w:val="0"/>
        <w:jc w:val="both"/>
        <w:rPr>
          <w:rFonts w:ascii="Arial" w:hAnsi="Arial" w:cs="Arial"/>
          <w:sz w:val="22"/>
          <w:szCs w:val="22"/>
          <w:lang w:val="en-AU"/>
        </w:rPr>
      </w:pPr>
    </w:p>
    <w:p w:rsidR="00B32898" w:rsidRPr="00B32898" w:rsidRDefault="00B32898" w:rsidP="00B32898">
      <w:pPr>
        <w:autoSpaceDE w:val="0"/>
        <w:autoSpaceDN w:val="0"/>
        <w:adjustRightInd w:val="0"/>
        <w:jc w:val="both"/>
        <w:rPr>
          <w:rFonts w:ascii="Arial" w:hAnsi="Arial" w:cs="Arial"/>
          <w:sz w:val="22"/>
          <w:szCs w:val="22"/>
          <w:lang w:val="en-AU"/>
        </w:rPr>
      </w:pPr>
      <w:r w:rsidRPr="00B32898">
        <w:rPr>
          <w:rFonts w:ascii="Arial" w:hAnsi="Arial" w:cs="Arial"/>
          <w:sz w:val="22"/>
          <w:szCs w:val="22"/>
          <w:lang w:val="en-AU"/>
        </w:rPr>
        <w:t xml:space="preserve">All responders were re-randomised in an extension phase for another 6 months period of maintenance therapy with either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or placebo. Of the former responders to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the actual relapse rate was significantly higher in the patients randomised to placebo (42%) than in those randomised to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(13%, p=0.012).</w:t>
      </w:r>
    </w:p>
    <w:p w:rsidR="00B32898" w:rsidRPr="00B32898" w:rsidRDefault="00B32898" w:rsidP="00B32898">
      <w:pPr>
        <w:autoSpaceDE w:val="0"/>
        <w:autoSpaceDN w:val="0"/>
        <w:adjustRightInd w:val="0"/>
        <w:jc w:val="both"/>
        <w:rPr>
          <w:rFonts w:ascii="Arial" w:hAnsi="Arial" w:cs="Arial"/>
          <w:sz w:val="22"/>
          <w:szCs w:val="22"/>
          <w:lang w:val="en-AU"/>
        </w:rPr>
      </w:pPr>
    </w:p>
    <w:p w:rsidR="00B32898" w:rsidRPr="00B32898" w:rsidRDefault="00B32898" w:rsidP="00B32898">
      <w:pPr>
        <w:jc w:val="both"/>
        <w:rPr>
          <w:rFonts w:ascii="Arial" w:hAnsi="Arial" w:cs="Arial"/>
          <w:sz w:val="22"/>
          <w:szCs w:val="22"/>
          <w:lang w:val="en-AU"/>
        </w:rPr>
      </w:pPr>
      <w:r w:rsidRPr="00B32898">
        <w:rPr>
          <w:rFonts w:ascii="Arial" w:hAnsi="Arial" w:cs="Arial"/>
          <w:sz w:val="22"/>
          <w:szCs w:val="22"/>
          <w:lang w:val="en-AU"/>
        </w:rPr>
        <w:t xml:space="preserve">The ICE study has shown short-term and long-term efficacy of </w:t>
      </w:r>
      <w:r w:rsidR="007E118B" w:rsidRPr="00B32898">
        <w:rPr>
          <w:rFonts w:ascii="Arial" w:hAnsi="Arial" w:cs="Arial"/>
          <w:sz w:val="22"/>
          <w:szCs w:val="22"/>
          <w:lang w:val="en-AU"/>
        </w:rPr>
        <w:t>GAMUNEX</w:t>
      </w:r>
      <w:r w:rsidR="00E14D4C" w:rsidRPr="00E14D4C">
        <w:rPr>
          <w:szCs w:val="22"/>
          <w:vertAlign w:val="superscript"/>
          <w:lang w:val="en-AU"/>
        </w:rPr>
        <w:t>®</w:t>
      </w:r>
      <w:r w:rsidRPr="00B32898">
        <w:rPr>
          <w:rFonts w:ascii="Arial" w:hAnsi="Arial" w:cs="Arial"/>
          <w:sz w:val="22"/>
          <w:szCs w:val="22"/>
          <w:lang w:val="en-AU"/>
        </w:rPr>
        <w:t xml:space="preserve"> in the treatment of CIDP.</w:t>
      </w:r>
    </w:p>
    <w:p w:rsidR="00B32898" w:rsidRPr="007E118B" w:rsidRDefault="00B32898" w:rsidP="00B32898">
      <w:pPr>
        <w:jc w:val="both"/>
        <w:rPr>
          <w:sz w:val="24"/>
          <w:szCs w:val="24"/>
          <w:lang w:val="en-AU"/>
        </w:rPr>
      </w:pPr>
    </w:p>
    <w:p w:rsidR="00B32898" w:rsidRPr="00147606" w:rsidRDefault="0006702B" w:rsidP="007E118B">
      <w:pPr>
        <w:jc w:val="both"/>
        <w:rPr>
          <w:rFonts w:ascii="Arial" w:hAnsi="Arial" w:cs="Arial"/>
          <w:b/>
          <w:sz w:val="22"/>
          <w:szCs w:val="22"/>
          <w:lang w:val="en-GB"/>
        </w:rPr>
      </w:pPr>
      <w:r>
        <w:rPr>
          <w:rFonts w:ascii="Arial" w:hAnsi="Arial" w:cs="Arial"/>
          <w:b/>
          <w:sz w:val="22"/>
          <w:szCs w:val="22"/>
          <w:lang w:val="en-GB"/>
        </w:rPr>
        <w:br w:type="page"/>
      </w:r>
      <w:r w:rsidR="00B32898" w:rsidRPr="00147606">
        <w:rPr>
          <w:rFonts w:ascii="Arial" w:hAnsi="Arial" w:cs="Arial"/>
          <w:b/>
          <w:sz w:val="22"/>
          <w:szCs w:val="22"/>
          <w:lang w:val="en-GB"/>
        </w:rPr>
        <w:lastRenderedPageBreak/>
        <w:t xml:space="preserve">Table </w:t>
      </w:r>
      <w:r w:rsidR="008E4FE7">
        <w:rPr>
          <w:rFonts w:ascii="Arial" w:hAnsi="Arial" w:cs="Arial"/>
          <w:b/>
          <w:sz w:val="22"/>
          <w:szCs w:val="22"/>
          <w:lang w:val="en-GB"/>
        </w:rPr>
        <w:t>6</w:t>
      </w:r>
      <w:r w:rsidR="00B32898" w:rsidRPr="005C1FFC">
        <w:rPr>
          <w:rFonts w:ascii="Arial" w:hAnsi="Arial" w:cs="Arial"/>
          <w:b/>
          <w:sz w:val="22"/>
          <w:szCs w:val="22"/>
          <w:lang w:val="en-GB"/>
        </w:rPr>
        <w:t>:</w:t>
      </w:r>
      <w:r w:rsidR="00B32898" w:rsidRPr="00147606">
        <w:rPr>
          <w:rFonts w:ascii="Arial" w:hAnsi="Arial" w:cs="Arial"/>
          <w:b/>
          <w:sz w:val="22"/>
          <w:szCs w:val="22"/>
          <w:lang w:val="en-GB"/>
        </w:rPr>
        <w:t xml:space="preserve">  Primary endpoint and other results of the ICE study</w:t>
      </w:r>
    </w:p>
    <w:p w:rsidR="00147606" w:rsidRPr="00147606" w:rsidRDefault="00147606" w:rsidP="007E118B">
      <w:pPr>
        <w:jc w:val="both"/>
        <w:rPr>
          <w:rFonts w:ascii="Arial" w:hAnsi="Arial" w:cs="Arial"/>
          <w:b/>
          <w:lang w:val="en-GB"/>
        </w:rPr>
      </w:pP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800"/>
        <w:gridCol w:w="90"/>
        <w:gridCol w:w="1170"/>
        <w:gridCol w:w="1166"/>
      </w:tblGrid>
      <w:tr w:rsidR="00B32898" w:rsidRPr="006701E3">
        <w:tc>
          <w:tcPr>
            <w:tcW w:w="5040" w:type="dxa"/>
          </w:tcPr>
          <w:p w:rsidR="00B32898" w:rsidRPr="006701E3" w:rsidRDefault="00B32898" w:rsidP="00910524">
            <w:pPr>
              <w:ind w:left="709" w:hanging="709"/>
              <w:jc w:val="both"/>
              <w:rPr>
                <w:rFonts w:ascii="Arial" w:hAnsi="Arial" w:cs="Arial"/>
                <w:sz w:val="22"/>
                <w:szCs w:val="22"/>
                <w:lang w:val="en-GB"/>
              </w:rPr>
            </w:pPr>
          </w:p>
        </w:tc>
        <w:tc>
          <w:tcPr>
            <w:tcW w:w="1890" w:type="dxa"/>
            <w:gridSpan w:val="2"/>
          </w:tcPr>
          <w:p w:rsidR="00B32898" w:rsidRPr="006701E3" w:rsidRDefault="007E118B" w:rsidP="00910524">
            <w:pPr>
              <w:ind w:left="709" w:hanging="709"/>
              <w:jc w:val="center"/>
              <w:rPr>
                <w:rFonts w:ascii="Arial" w:hAnsi="Arial" w:cs="Arial"/>
                <w:sz w:val="22"/>
                <w:szCs w:val="22"/>
                <w:lang w:val="en-GB"/>
              </w:rPr>
            </w:pPr>
            <w:r w:rsidRPr="006701E3">
              <w:rPr>
                <w:rFonts w:ascii="Arial" w:hAnsi="Arial" w:cs="Arial"/>
                <w:sz w:val="22"/>
                <w:szCs w:val="22"/>
                <w:lang w:val="en-GB"/>
              </w:rPr>
              <w:t>GAMUNEX</w:t>
            </w:r>
            <w:r w:rsidR="00E14D4C" w:rsidRPr="006701E3">
              <w:rPr>
                <w:rFonts w:ascii="Arial" w:hAnsi="Arial" w:cs="Arial"/>
                <w:sz w:val="22"/>
                <w:szCs w:val="22"/>
                <w:vertAlign w:val="superscript"/>
                <w:lang w:val="en-AU"/>
              </w:rPr>
              <w:t>®</w:t>
            </w:r>
            <w:r w:rsidR="00B32898" w:rsidRPr="006701E3">
              <w:rPr>
                <w:rFonts w:ascii="Arial" w:hAnsi="Arial" w:cs="Arial"/>
                <w:sz w:val="22"/>
                <w:szCs w:val="22"/>
                <w:lang w:val="en-GB"/>
              </w:rPr>
              <w:t xml:space="preserve"> </w:t>
            </w:r>
          </w:p>
        </w:tc>
        <w:tc>
          <w:tcPr>
            <w:tcW w:w="1170"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Placebo</w:t>
            </w:r>
          </w:p>
        </w:tc>
        <w:tc>
          <w:tcPr>
            <w:tcW w:w="1166" w:type="dxa"/>
          </w:tcPr>
          <w:p w:rsidR="00B32898" w:rsidRPr="006701E3" w:rsidRDefault="00D97D77" w:rsidP="00910524">
            <w:pPr>
              <w:ind w:left="709" w:hanging="709"/>
              <w:jc w:val="center"/>
              <w:rPr>
                <w:rFonts w:ascii="Arial" w:hAnsi="Arial" w:cs="Arial"/>
                <w:sz w:val="22"/>
                <w:szCs w:val="22"/>
                <w:lang w:val="en-GB"/>
              </w:rPr>
            </w:pPr>
            <w:r w:rsidRPr="006701E3">
              <w:rPr>
                <w:rFonts w:ascii="Arial" w:hAnsi="Arial" w:cs="Arial"/>
                <w:sz w:val="22"/>
                <w:szCs w:val="22"/>
                <w:lang w:val="en-GB"/>
              </w:rPr>
              <w:t>P</w:t>
            </w:r>
            <w:r>
              <w:rPr>
                <w:rFonts w:ascii="Arial" w:hAnsi="Arial" w:cs="Arial"/>
                <w:sz w:val="22"/>
                <w:szCs w:val="22"/>
                <w:lang w:val="en-GB"/>
              </w:rPr>
              <w:t xml:space="preserve"> value</w:t>
            </w:r>
          </w:p>
        </w:tc>
      </w:tr>
      <w:tr w:rsidR="00B32898" w:rsidRPr="006701E3">
        <w:tc>
          <w:tcPr>
            <w:tcW w:w="5040" w:type="dxa"/>
          </w:tcPr>
          <w:p w:rsidR="00B32898" w:rsidRPr="006701E3" w:rsidRDefault="00B32898" w:rsidP="00910524">
            <w:pPr>
              <w:jc w:val="both"/>
              <w:rPr>
                <w:rFonts w:ascii="Arial" w:hAnsi="Arial" w:cs="Arial"/>
                <w:sz w:val="22"/>
                <w:szCs w:val="22"/>
                <w:lang w:val="en-GB"/>
              </w:rPr>
            </w:pPr>
            <w:r w:rsidRPr="006701E3">
              <w:rPr>
                <w:rFonts w:ascii="Arial" w:hAnsi="Arial" w:cs="Arial"/>
                <w:sz w:val="22"/>
                <w:szCs w:val="22"/>
                <w:lang w:val="en-GB"/>
              </w:rPr>
              <w:t>Responder rate during the efficacy period (primary endpoint)</w:t>
            </w:r>
          </w:p>
        </w:tc>
        <w:tc>
          <w:tcPr>
            <w:tcW w:w="1800"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54%</w:t>
            </w:r>
          </w:p>
        </w:tc>
        <w:tc>
          <w:tcPr>
            <w:tcW w:w="1260" w:type="dxa"/>
            <w:gridSpan w:val="2"/>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21%</w:t>
            </w:r>
          </w:p>
        </w:tc>
        <w:tc>
          <w:tcPr>
            <w:tcW w:w="1166"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0.0002</w:t>
            </w:r>
          </w:p>
        </w:tc>
      </w:tr>
      <w:tr w:rsidR="00B32898" w:rsidRPr="006701E3">
        <w:tc>
          <w:tcPr>
            <w:tcW w:w="5040" w:type="dxa"/>
          </w:tcPr>
          <w:p w:rsidR="00B32898" w:rsidRPr="006701E3" w:rsidRDefault="00B32898" w:rsidP="00910524">
            <w:pPr>
              <w:ind w:left="709" w:hanging="709"/>
              <w:jc w:val="both"/>
              <w:rPr>
                <w:rFonts w:ascii="Arial" w:hAnsi="Arial" w:cs="Arial"/>
                <w:sz w:val="22"/>
                <w:szCs w:val="22"/>
                <w:lang w:val="en-GB"/>
              </w:rPr>
            </w:pPr>
            <w:r w:rsidRPr="006701E3">
              <w:rPr>
                <w:rFonts w:ascii="Arial" w:hAnsi="Arial" w:cs="Arial"/>
                <w:sz w:val="22"/>
                <w:szCs w:val="22"/>
                <w:lang w:val="en-GB"/>
              </w:rPr>
              <w:t>Probability of relapse in the extension period</w:t>
            </w:r>
          </w:p>
        </w:tc>
        <w:tc>
          <w:tcPr>
            <w:tcW w:w="1800"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13%</w:t>
            </w:r>
          </w:p>
        </w:tc>
        <w:tc>
          <w:tcPr>
            <w:tcW w:w="1260" w:type="dxa"/>
            <w:gridSpan w:val="2"/>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45%</w:t>
            </w:r>
          </w:p>
        </w:tc>
        <w:tc>
          <w:tcPr>
            <w:tcW w:w="1166"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0.013</w:t>
            </w:r>
          </w:p>
        </w:tc>
      </w:tr>
      <w:tr w:rsidR="00B32898" w:rsidRPr="006701E3">
        <w:tc>
          <w:tcPr>
            <w:tcW w:w="5040" w:type="dxa"/>
          </w:tcPr>
          <w:p w:rsidR="00B32898" w:rsidRPr="006701E3" w:rsidRDefault="00B32898" w:rsidP="00910524">
            <w:pPr>
              <w:ind w:left="709" w:hanging="709"/>
              <w:jc w:val="both"/>
              <w:rPr>
                <w:rFonts w:ascii="Arial" w:hAnsi="Arial" w:cs="Arial"/>
                <w:sz w:val="22"/>
                <w:szCs w:val="22"/>
                <w:lang w:val="en-GB"/>
              </w:rPr>
            </w:pPr>
            <w:r w:rsidRPr="006701E3">
              <w:rPr>
                <w:rFonts w:ascii="Arial" w:hAnsi="Arial" w:cs="Arial"/>
                <w:sz w:val="22"/>
                <w:szCs w:val="22"/>
                <w:lang w:val="en-GB"/>
              </w:rPr>
              <w:t>Grip strength (</w:t>
            </w:r>
            <w:proofErr w:type="spellStart"/>
            <w:r w:rsidRPr="006701E3">
              <w:rPr>
                <w:rFonts w:ascii="Arial" w:hAnsi="Arial" w:cs="Arial"/>
                <w:sz w:val="22"/>
                <w:szCs w:val="22"/>
                <w:lang w:val="en-GB"/>
              </w:rPr>
              <w:t>kPA</w:t>
            </w:r>
            <w:proofErr w:type="spellEnd"/>
            <w:r w:rsidRPr="006701E3">
              <w:rPr>
                <w:rFonts w:ascii="Arial" w:hAnsi="Arial" w:cs="Arial"/>
                <w:sz w:val="22"/>
                <w:szCs w:val="22"/>
                <w:lang w:val="en-GB"/>
              </w:rPr>
              <w:t>)</w:t>
            </w:r>
            <w:r w:rsidRPr="006701E3">
              <w:rPr>
                <w:rFonts w:ascii="Arial" w:hAnsi="Arial" w:cs="Arial"/>
                <w:sz w:val="22"/>
                <w:szCs w:val="22"/>
                <w:vertAlign w:val="superscript"/>
                <w:lang w:val="en-GB"/>
              </w:rPr>
              <w:t xml:space="preserve">1 </w:t>
            </w:r>
            <w:r w:rsidRPr="006701E3">
              <w:rPr>
                <w:rFonts w:ascii="Arial" w:hAnsi="Arial" w:cs="Arial"/>
                <w:sz w:val="22"/>
                <w:szCs w:val="22"/>
                <w:lang w:val="en-GB"/>
              </w:rPr>
              <w:t>(change from baseline)</w:t>
            </w:r>
          </w:p>
        </w:tc>
        <w:tc>
          <w:tcPr>
            <w:tcW w:w="1800" w:type="dxa"/>
          </w:tcPr>
          <w:p w:rsidR="00B32898" w:rsidRPr="006701E3" w:rsidRDefault="00B32898" w:rsidP="00910524">
            <w:pPr>
              <w:ind w:left="709" w:hanging="709"/>
              <w:jc w:val="center"/>
              <w:rPr>
                <w:rFonts w:ascii="Arial" w:hAnsi="Arial" w:cs="Arial"/>
                <w:sz w:val="22"/>
                <w:szCs w:val="22"/>
                <w:lang w:val="en-GB"/>
              </w:rPr>
            </w:pPr>
          </w:p>
        </w:tc>
        <w:tc>
          <w:tcPr>
            <w:tcW w:w="1260" w:type="dxa"/>
            <w:gridSpan w:val="2"/>
          </w:tcPr>
          <w:p w:rsidR="00B32898" w:rsidRPr="006701E3" w:rsidRDefault="00B32898" w:rsidP="00910524">
            <w:pPr>
              <w:ind w:left="709" w:hanging="709"/>
              <w:jc w:val="center"/>
              <w:rPr>
                <w:rFonts w:ascii="Arial" w:hAnsi="Arial" w:cs="Arial"/>
                <w:sz w:val="22"/>
                <w:szCs w:val="22"/>
                <w:lang w:val="en-GB"/>
              </w:rPr>
            </w:pPr>
          </w:p>
        </w:tc>
        <w:tc>
          <w:tcPr>
            <w:tcW w:w="1166" w:type="dxa"/>
          </w:tcPr>
          <w:p w:rsidR="00B32898" w:rsidRPr="006701E3" w:rsidRDefault="00B32898" w:rsidP="00910524">
            <w:pPr>
              <w:ind w:left="709" w:hanging="709"/>
              <w:jc w:val="center"/>
              <w:rPr>
                <w:rFonts w:ascii="Arial" w:hAnsi="Arial" w:cs="Arial"/>
                <w:sz w:val="22"/>
                <w:szCs w:val="22"/>
                <w:lang w:val="en-GB"/>
              </w:rPr>
            </w:pPr>
          </w:p>
        </w:tc>
      </w:tr>
      <w:tr w:rsidR="00B32898" w:rsidRPr="006701E3">
        <w:tc>
          <w:tcPr>
            <w:tcW w:w="5040" w:type="dxa"/>
          </w:tcPr>
          <w:p w:rsidR="00B32898" w:rsidRPr="006701E3" w:rsidRDefault="00B32898" w:rsidP="00910524">
            <w:pPr>
              <w:ind w:left="709" w:hanging="709"/>
              <w:jc w:val="both"/>
              <w:rPr>
                <w:rFonts w:ascii="Arial" w:hAnsi="Arial" w:cs="Arial"/>
                <w:sz w:val="22"/>
                <w:szCs w:val="22"/>
                <w:lang w:val="en-GB"/>
              </w:rPr>
            </w:pPr>
            <w:r w:rsidRPr="006701E3">
              <w:rPr>
                <w:rFonts w:ascii="Arial" w:hAnsi="Arial" w:cs="Arial"/>
                <w:sz w:val="22"/>
                <w:szCs w:val="22"/>
                <w:lang w:val="en-GB"/>
              </w:rPr>
              <w:t xml:space="preserve">                    Dominant hand</w:t>
            </w:r>
          </w:p>
        </w:tc>
        <w:tc>
          <w:tcPr>
            <w:tcW w:w="1800"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13.2</w:t>
            </w:r>
          </w:p>
        </w:tc>
        <w:tc>
          <w:tcPr>
            <w:tcW w:w="1260" w:type="dxa"/>
            <w:gridSpan w:val="2"/>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1.5</w:t>
            </w:r>
          </w:p>
        </w:tc>
        <w:tc>
          <w:tcPr>
            <w:tcW w:w="1166"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0.0008</w:t>
            </w:r>
          </w:p>
        </w:tc>
      </w:tr>
      <w:tr w:rsidR="00B32898" w:rsidRPr="006701E3">
        <w:tc>
          <w:tcPr>
            <w:tcW w:w="5040" w:type="dxa"/>
          </w:tcPr>
          <w:p w:rsidR="00B32898" w:rsidRPr="006701E3" w:rsidRDefault="00B32898" w:rsidP="00910524">
            <w:pPr>
              <w:ind w:left="709" w:hanging="709"/>
              <w:jc w:val="both"/>
              <w:rPr>
                <w:rFonts w:ascii="Arial" w:hAnsi="Arial" w:cs="Arial"/>
                <w:sz w:val="22"/>
                <w:szCs w:val="22"/>
                <w:lang w:val="en-GB"/>
              </w:rPr>
            </w:pPr>
            <w:r w:rsidRPr="006701E3">
              <w:rPr>
                <w:rFonts w:ascii="Arial" w:hAnsi="Arial" w:cs="Arial"/>
                <w:sz w:val="22"/>
                <w:szCs w:val="22"/>
                <w:lang w:val="en-GB"/>
              </w:rPr>
              <w:t xml:space="preserve">                    Non-dominant hand</w:t>
            </w:r>
          </w:p>
        </w:tc>
        <w:tc>
          <w:tcPr>
            <w:tcW w:w="1800"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13.3</w:t>
            </w:r>
          </w:p>
        </w:tc>
        <w:tc>
          <w:tcPr>
            <w:tcW w:w="1260" w:type="dxa"/>
            <w:gridSpan w:val="2"/>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4.3</w:t>
            </w:r>
          </w:p>
        </w:tc>
        <w:tc>
          <w:tcPr>
            <w:tcW w:w="1166" w:type="dxa"/>
          </w:tcPr>
          <w:p w:rsidR="00B32898" w:rsidRPr="006701E3" w:rsidRDefault="00B32898" w:rsidP="00910524">
            <w:pPr>
              <w:ind w:left="709" w:hanging="709"/>
              <w:jc w:val="center"/>
              <w:rPr>
                <w:rFonts w:ascii="Arial" w:hAnsi="Arial" w:cs="Arial"/>
                <w:sz w:val="22"/>
                <w:szCs w:val="22"/>
                <w:lang w:val="en-GB"/>
              </w:rPr>
            </w:pPr>
            <w:r w:rsidRPr="006701E3">
              <w:rPr>
                <w:rFonts w:ascii="Arial" w:hAnsi="Arial" w:cs="Arial"/>
                <w:sz w:val="22"/>
                <w:szCs w:val="22"/>
                <w:lang w:val="en-GB"/>
              </w:rPr>
              <w:t>0.005</w:t>
            </w:r>
          </w:p>
        </w:tc>
      </w:tr>
      <w:tr w:rsidR="00026FB3" w:rsidRPr="00032AA6">
        <w:tc>
          <w:tcPr>
            <w:tcW w:w="5040" w:type="dxa"/>
          </w:tcPr>
          <w:p w:rsidR="00B7020F" w:rsidRDefault="00026FB3" w:rsidP="00B7020F">
            <w:pPr>
              <w:rPr>
                <w:rFonts w:ascii="Arial" w:hAnsi="Arial" w:cs="Arial"/>
                <w:sz w:val="22"/>
                <w:szCs w:val="22"/>
                <w:lang w:val="en-GB"/>
              </w:rPr>
            </w:pPr>
            <w:r w:rsidRPr="00032AA6">
              <w:rPr>
                <w:rFonts w:ascii="Arial" w:hAnsi="Arial" w:cs="Arial"/>
                <w:sz w:val="22"/>
                <w:szCs w:val="22"/>
                <w:lang w:val="en-GB"/>
              </w:rPr>
              <w:t>Amplitude (mV) in the most severely affected mot</w:t>
            </w:r>
            <w:r w:rsidR="00B7020F">
              <w:rPr>
                <w:rFonts w:ascii="Arial" w:hAnsi="Arial" w:cs="Arial"/>
                <w:sz w:val="22"/>
                <w:szCs w:val="22"/>
                <w:lang w:val="en-GB"/>
              </w:rPr>
              <w:t>or nerve (change from baseline)</w:t>
            </w:r>
          </w:p>
          <w:p w:rsidR="00026FB3" w:rsidRPr="00032AA6" w:rsidRDefault="00D14B96" w:rsidP="00B7020F">
            <w:pPr>
              <w:rPr>
                <w:rFonts w:ascii="Arial" w:hAnsi="Arial" w:cs="Arial"/>
                <w:sz w:val="22"/>
                <w:szCs w:val="22"/>
                <w:lang w:val="en-GB"/>
              </w:rPr>
            </w:pPr>
            <w:r w:rsidRPr="00032AA6">
              <w:rPr>
                <w:rFonts w:ascii="Arial" w:hAnsi="Arial" w:cs="Arial"/>
                <w:sz w:val="22"/>
                <w:szCs w:val="22"/>
                <w:lang w:val="en-GB"/>
              </w:rPr>
              <w:t xml:space="preserve">Change </w:t>
            </w:r>
            <w:r w:rsidR="00026FB3" w:rsidRPr="00032AA6">
              <w:rPr>
                <w:rFonts w:ascii="Arial" w:hAnsi="Arial" w:cs="Arial"/>
                <w:sz w:val="22"/>
                <w:szCs w:val="22"/>
                <w:lang w:val="en-GB"/>
              </w:rPr>
              <w:t xml:space="preserve">excluding </w:t>
            </w:r>
            <w:proofErr w:type="spellStart"/>
            <w:r w:rsidR="00026FB3" w:rsidRPr="00032AA6">
              <w:rPr>
                <w:rFonts w:ascii="Arial" w:hAnsi="Arial" w:cs="Arial"/>
                <w:sz w:val="22"/>
                <w:szCs w:val="22"/>
                <w:lang w:val="en-GB"/>
              </w:rPr>
              <w:t>Erb’s</w:t>
            </w:r>
            <w:proofErr w:type="spellEnd"/>
            <w:r w:rsidR="00026FB3" w:rsidRPr="00032AA6">
              <w:rPr>
                <w:rFonts w:ascii="Arial" w:hAnsi="Arial" w:cs="Arial"/>
                <w:sz w:val="22"/>
                <w:szCs w:val="22"/>
                <w:lang w:val="en-GB"/>
              </w:rPr>
              <w:t xml:space="preserve"> point</w:t>
            </w:r>
          </w:p>
        </w:tc>
        <w:tc>
          <w:tcPr>
            <w:tcW w:w="1800" w:type="dxa"/>
          </w:tcPr>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0.69±</w:t>
            </w:r>
            <w:r w:rsidR="00F67DA4" w:rsidRPr="00032AA6">
              <w:rPr>
                <w:rFonts w:ascii="Arial" w:hAnsi="Arial" w:cs="Arial"/>
                <w:sz w:val="22"/>
                <w:szCs w:val="22"/>
                <w:lang w:val="en-GB"/>
              </w:rPr>
              <w:t>1.86</w:t>
            </w:r>
          </w:p>
          <w:p w:rsidR="00026FB3" w:rsidRPr="00032AA6" w:rsidRDefault="00026FB3" w:rsidP="00910524">
            <w:pPr>
              <w:ind w:left="709" w:hanging="709"/>
              <w:jc w:val="center"/>
              <w:rPr>
                <w:rFonts w:ascii="Arial" w:hAnsi="Arial" w:cs="Arial"/>
                <w:sz w:val="22"/>
                <w:szCs w:val="22"/>
                <w:lang w:val="en-GB"/>
              </w:rPr>
            </w:pPr>
          </w:p>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1.08±2.15</w:t>
            </w:r>
          </w:p>
        </w:tc>
        <w:tc>
          <w:tcPr>
            <w:tcW w:w="1260" w:type="dxa"/>
            <w:gridSpan w:val="2"/>
          </w:tcPr>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0.47±</w:t>
            </w:r>
            <w:r w:rsidR="00F67DA4" w:rsidRPr="00032AA6">
              <w:rPr>
                <w:rFonts w:ascii="Arial" w:hAnsi="Arial" w:cs="Arial"/>
                <w:sz w:val="22"/>
                <w:szCs w:val="22"/>
                <w:lang w:val="en-GB"/>
              </w:rPr>
              <w:t>2.29</w:t>
            </w:r>
          </w:p>
          <w:p w:rsidR="00026FB3" w:rsidRPr="00032AA6" w:rsidRDefault="00026FB3" w:rsidP="00910524">
            <w:pPr>
              <w:ind w:left="709" w:hanging="709"/>
              <w:jc w:val="center"/>
              <w:rPr>
                <w:rFonts w:ascii="Arial" w:hAnsi="Arial" w:cs="Arial"/>
                <w:sz w:val="22"/>
                <w:szCs w:val="22"/>
                <w:lang w:val="en-GB"/>
              </w:rPr>
            </w:pPr>
          </w:p>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0.46±2.03</w:t>
            </w:r>
          </w:p>
        </w:tc>
        <w:tc>
          <w:tcPr>
            <w:tcW w:w="1166" w:type="dxa"/>
          </w:tcPr>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0.542</w:t>
            </w:r>
          </w:p>
          <w:p w:rsidR="00026FB3" w:rsidRPr="00032AA6" w:rsidRDefault="00026FB3" w:rsidP="00910524">
            <w:pPr>
              <w:ind w:left="709" w:hanging="709"/>
              <w:jc w:val="center"/>
              <w:rPr>
                <w:rFonts w:ascii="Arial" w:hAnsi="Arial" w:cs="Arial"/>
                <w:sz w:val="22"/>
                <w:szCs w:val="22"/>
                <w:lang w:val="en-GB"/>
              </w:rPr>
            </w:pPr>
          </w:p>
          <w:p w:rsidR="00026FB3" w:rsidRPr="00032AA6" w:rsidRDefault="00026FB3" w:rsidP="00910524">
            <w:pPr>
              <w:ind w:left="709" w:hanging="709"/>
              <w:jc w:val="center"/>
              <w:rPr>
                <w:rFonts w:ascii="Arial" w:hAnsi="Arial" w:cs="Arial"/>
                <w:sz w:val="22"/>
                <w:szCs w:val="22"/>
                <w:lang w:val="en-GB"/>
              </w:rPr>
            </w:pPr>
            <w:r w:rsidRPr="00032AA6">
              <w:rPr>
                <w:rFonts w:ascii="Arial" w:hAnsi="Arial" w:cs="Arial"/>
                <w:sz w:val="22"/>
                <w:szCs w:val="22"/>
                <w:lang w:val="en-GB"/>
              </w:rPr>
              <w:t>0.089</w:t>
            </w:r>
          </w:p>
        </w:tc>
      </w:tr>
      <w:tr w:rsidR="00B32898" w:rsidRPr="00032AA6">
        <w:tc>
          <w:tcPr>
            <w:tcW w:w="5040" w:type="dxa"/>
          </w:tcPr>
          <w:p w:rsidR="00B32898" w:rsidRPr="00032AA6" w:rsidRDefault="00B32898" w:rsidP="00B7020F">
            <w:pPr>
              <w:ind w:left="-18" w:firstLine="18"/>
              <w:rPr>
                <w:rFonts w:ascii="Arial" w:hAnsi="Arial" w:cs="Arial"/>
                <w:sz w:val="22"/>
                <w:szCs w:val="22"/>
                <w:lang w:val="en-GB"/>
              </w:rPr>
            </w:pPr>
            <w:r w:rsidRPr="00032AA6">
              <w:rPr>
                <w:rFonts w:ascii="Arial" w:hAnsi="Arial" w:cs="Arial"/>
                <w:sz w:val="22"/>
                <w:szCs w:val="22"/>
                <w:lang w:val="en-GB"/>
              </w:rPr>
              <w:t>Muscle strength (</w:t>
            </w:r>
            <w:proofErr w:type="spellStart"/>
            <w:r w:rsidRPr="00032AA6">
              <w:rPr>
                <w:rFonts w:ascii="Arial" w:hAnsi="Arial" w:cs="Arial"/>
                <w:sz w:val="22"/>
                <w:szCs w:val="22"/>
                <w:lang w:val="en-GB"/>
              </w:rPr>
              <w:t>MRC</w:t>
            </w:r>
            <w:r w:rsidRPr="00032AA6">
              <w:rPr>
                <w:rFonts w:ascii="Arial" w:hAnsi="Arial" w:cs="Arial"/>
                <w:sz w:val="22"/>
                <w:szCs w:val="22"/>
                <w:vertAlign w:val="superscript"/>
                <w:lang w:val="en-GB"/>
              </w:rPr>
              <w:t>a</w:t>
            </w:r>
            <w:proofErr w:type="spellEnd"/>
            <w:r w:rsidRPr="00032AA6">
              <w:rPr>
                <w:rFonts w:ascii="Arial" w:hAnsi="Arial" w:cs="Arial"/>
                <w:sz w:val="22"/>
                <w:szCs w:val="22"/>
                <w:lang w:val="en-GB"/>
              </w:rPr>
              <w:t xml:space="preserve"> sum score)</w:t>
            </w:r>
            <w:r w:rsidRPr="00032AA6">
              <w:rPr>
                <w:rFonts w:ascii="Arial" w:hAnsi="Arial" w:cs="Arial"/>
                <w:sz w:val="22"/>
                <w:szCs w:val="22"/>
                <w:vertAlign w:val="superscript"/>
                <w:lang w:val="en-GB"/>
              </w:rPr>
              <w:t>1</w:t>
            </w:r>
            <w:r w:rsidRPr="00032AA6">
              <w:rPr>
                <w:rFonts w:ascii="Arial" w:hAnsi="Arial" w:cs="Arial"/>
                <w:sz w:val="22"/>
                <w:szCs w:val="22"/>
                <w:lang w:val="en-GB"/>
              </w:rPr>
              <w:t xml:space="preserve"> (change </w:t>
            </w:r>
            <w:r w:rsidR="00B7020F">
              <w:rPr>
                <w:rFonts w:ascii="Arial" w:hAnsi="Arial" w:cs="Arial"/>
                <w:sz w:val="22"/>
                <w:szCs w:val="22"/>
                <w:lang w:val="en-GB"/>
              </w:rPr>
              <w:t>f</w:t>
            </w:r>
            <w:r w:rsidRPr="00032AA6">
              <w:rPr>
                <w:rFonts w:ascii="Arial" w:hAnsi="Arial" w:cs="Arial"/>
                <w:sz w:val="22"/>
                <w:szCs w:val="22"/>
                <w:lang w:val="en-GB"/>
              </w:rPr>
              <w:t>rom baseline)</w:t>
            </w:r>
          </w:p>
        </w:tc>
        <w:tc>
          <w:tcPr>
            <w:tcW w:w="1800" w:type="dxa"/>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3.3</w:t>
            </w:r>
          </w:p>
        </w:tc>
        <w:tc>
          <w:tcPr>
            <w:tcW w:w="1260" w:type="dxa"/>
            <w:gridSpan w:val="2"/>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0.2</w:t>
            </w:r>
          </w:p>
        </w:tc>
        <w:tc>
          <w:tcPr>
            <w:tcW w:w="1166" w:type="dxa"/>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0.001</w:t>
            </w:r>
          </w:p>
        </w:tc>
      </w:tr>
      <w:tr w:rsidR="00B32898" w:rsidRPr="00032AA6">
        <w:tc>
          <w:tcPr>
            <w:tcW w:w="5040" w:type="dxa"/>
          </w:tcPr>
          <w:p w:rsidR="00B32898" w:rsidRPr="00032AA6" w:rsidRDefault="00B32898" w:rsidP="00B7020F">
            <w:pPr>
              <w:ind w:hanging="7"/>
              <w:rPr>
                <w:rFonts w:ascii="Arial" w:hAnsi="Arial" w:cs="Arial"/>
                <w:sz w:val="22"/>
                <w:szCs w:val="22"/>
                <w:lang w:val="en-GB"/>
              </w:rPr>
            </w:pPr>
            <w:r w:rsidRPr="00032AA6">
              <w:rPr>
                <w:rFonts w:ascii="Arial" w:hAnsi="Arial" w:cs="Arial"/>
                <w:sz w:val="22"/>
                <w:szCs w:val="22"/>
                <w:lang w:val="en-GB"/>
              </w:rPr>
              <w:t>Sens</w:t>
            </w:r>
            <w:r w:rsidR="0003434E" w:rsidRPr="00032AA6">
              <w:rPr>
                <w:rFonts w:ascii="Arial" w:hAnsi="Arial" w:cs="Arial"/>
                <w:sz w:val="22"/>
                <w:szCs w:val="22"/>
                <w:lang w:val="en-GB"/>
              </w:rPr>
              <w:t>ory function</w:t>
            </w:r>
            <w:r w:rsidRPr="00032AA6">
              <w:rPr>
                <w:rFonts w:ascii="Arial" w:hAnsi="Arial" w:cs="Arial"/>
                <w:sz w:val="22"/>
                <w:szCs w:val="22"/>
                <w:lang w:val="en-GB"/>
              </w:rPr>
              <w:t xml:space="preserve"> (</w:t>
            </w:r>
            <w:proofErr w:type="spellStart"/>
            <w:r w:rsidRPr="00032AA6">
              <w:rPr>
                <w:rFonts w:ascii="Arial" w:hAnsi="Arial" w:cs="Arial"/>
                <w:sz w:val="22"/>
                <w:szCs w:val="22"/>
                <w:lang w:val="en-GB"/>
              </w:rPr>
              <w:t>ISS</w:t>
            </w:r>
            <w:r w:rsidRPr="00032AA6">
              <w:rPr>
                <w:rFonts w:ascii="Arial" w:hAnsi="Arial" w:cs="Arial"/>
                <w:sz w:val="22"/>
                <w:szCs w:val="22"/>
                <w:vertAlign w:val="superscript"/>
                <w:lang w:val="en-GB"/>
              </w:rPr>
              <w:t>b</w:t>
            </w:r>
            <w:proofErr w:type="spellEnd"/>
            <w:r w:rsidRPr="00032AA6">
              <w:rPr>
                <w:rFonts w:ascii="Arial" w:hAnsi="Arial" w:cs="Arial"/>
                <w:sz w:val="22"/>
                <w:szCs w:val="22"/>
                <w:lang w:val="en-GB"/>
              </w:rPr>
              <w:t xml:space="preserve"> score)</w:t>
            </w:r>
            <w:r w:rsidRPr="00032AA6">
              <w:rPr>
                <w:rFonts w:ascii="Arial" w:hAnsi="Arial" w:cs="Arial"/>
                <w:sz w:val="22"/>
                <w:szCs w:val="22"/>
                <w:vertAlign w:val="superscript"/>
                <w:lang w:val="en-GB"/>
              </w:rPr>
              <w:t>2</w:t>
            </w:r>
            <w:r w:rsidRPr="00032AA6">
              <w:rPr>
                <w:rFonts w:ascii="Arial" w:hAnsi="Arial" w:cs="Arial"/>
                <w:sz w:val="22"/>
                <w:szCs w:val="22"/>
                <w:lang w:val="en-GB"/>
              </w:rPr>
              <w:t xml:space="preserve"> (change from baseline)</w:t>
            </w:r>
          </w:p>
        </w:tc>
        <w:tc>
          <w:tcPr>
            <w:tcW w:w="1800" w:type="dxa"/>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-1.2</w:t>
            </w:r>
          </w:p>
        </w:tc>
        <w:tc>
          <w:tcPr>
            <w:tcW w:w="1260" w:type="dxa"/>
            <w:gridSpan w:val="2"/>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0.2</w:t>
            </w:r>
          </w:p>
        </w:tc>
        <w:tc>
          <w:tcPr>
            <w:tcW w:w="1166" w:type="dxa"/>
          </w:tcPr>
          <w:p w:rsidR="00B32898" w:rsidRPr="00032AA6" w:rsidRDefault="00B32898" w:rsidP="00910524">
            <w:pPr>
              <w:ind w:left="709" w:hanging="709"/>
              <w:jc w:val="center"/>
              <w:rPr>
                <w:rFonts w:ascii="Arial" w:hAnsi="Arial" w:cs="Arial"/>
                <w:sz w:val="22"/>
                <w:szCs w:val="22"/>
                <w:lang w:val="en-GB"/>
              </w:rPr>
            </w:pPr>
            <w:r w:rsidRPr="00032AA6">
              <w:rPr>
                <w:rFonts w:ascii="Arial" w:hAnsi="Arial" w:cs="Arial"/>
                <w:sz w:val="22"/>
                <w:szCs w:val="22"/>
                <w:lang w:val="en-GB"/>
              </w:rPr>
              <w:t>0.021</w:t>
            </w:r>
          </w:p>
        </w:tc>
      </w:tr>
    </w:tbl>
    <w:p w:rsidR="00B32898" w:rsidRPr="00032AA6" w:rsidRDefault="00B32898" w:rsidP="007E118B">
      <w:pPr>
        <w:rPr>
          <w:rFonts w:ascii="Arial" w:hAnsi="Arial" w:cs="Arial"/>
          <w:lang w:val="en-GB"/>
        </w:rPr>
      </w:pPr>
      <w:r w:rsidRPr="00032AA6">
        <w:rPr>
          <w:rFonts w:ascii="Arial" w:hAnsi="Arial" w:cs="Arial"/>
          <w:vertAlign w:val="superscript"/>
          <w:lang w:val="en-GB"/>
        </w:rPr>
        <w:t>1</w:t>
      </w:r>
      <w:r w:rsidR="003E249A" w:rsidRPr="00032AA6">
        <w:rPr>
          <w:rFonts w:ascii="Arial" w:hAnsi="Arial" w:cs="Arial"/>
          <w:vertAlign w:val="superscript"/>
          <w:lang w:val="en-GB"/>
        </w:rPr>
        <w:tab/>
      </w:r>
      <w:r w:rsidRPr="00032AA6">
        <w:rPr>
          <w:rFonts w:ascii="Arial" w:hAnsi="Arial" w:cs="Arial"/>
          <w:lang w:val="en-GB"/>
        </w:rPr>
        <w:t>Improvement indicated by positive figure</w:t>
      </w:r>
    </w:p>
    <w:p w:rsidR="00B32898" w:rsidRPr="00032AA6" w:rsidRDefault="00B32898" w:rsidP="007E118B">
      <w:pPr>
        <w:rPr>
          <w:rFonts w:ascii="Arial" w:hAnsi="Arial" w:cs="Arial"/>
          <w:lang w:val="en-GB"/>
        </w:rPr>
      </w:pPr>
      <w:r w:rsidRPr="00032AA6">
        <w:rPr>
          <w:rFonts w:ascii="Arial" w:hAnsi="Arial" w:cs="Arial"/>
          <w:vertAlign w:val="superscript"/>
          <w:lang w:val="en-GB"/>
        </w:rPr>
        <w:t>2</w:t>
      </w:r>
      <w:r w:rsidR="003E249A" w:rsidRPr="00032AA6">
        <w:rPr>
          <w:rFonts w:ascii="Arial" w:hAnsi="Arial" w:cs="Arial"/>
          <w:vertAlign w:val="superscript"/>
          <w:lang w:val="en-GB"/>
        </w:rPr>
        <w:tab/>
      </w:r>
      <w:r w:rsidRPr="00032AA6">
        <w:rPr>
          <w:rFonts w:ascii="Arial" w:hAnsi="Arial" w:cs="Arial"/>
          <w:lang w:val="en-GB"/>
        </w:rPr>
        <w:t>Improvement indicated by negative figure</w:t>
      </w:r>
    </w:p>
    <w:p w:rsidR="00B32898" w:rsidRPr="00032AA6" w:rsidRDefault="00B32898" w:rsidP="00B12B55">
      <w:pPr>
        <w:rPr>
          <w:rFonts w:ascii="Arial" w:hAnsi="Arial" w:cs="Arial"/>
          <w:lang w:val="en-GB"/>
        </w:rPr>
      </w:pPr>
      <w:r w:rsidRPr="00032AA6">
        <w:rPr>
          <w:rFonts w:ascii="Arial" w:hAnsi="Arial" w:cs="Arial"/>
          <w:vertAlign w:val="superscript"/>
          <w:lang w:val="en-GB"/>
        </w:rPr>
        <w:t>a</w:t>
      </w:r>
      <w:r w:rsidR="003E249A" w:rsidRPr="00032AA6">
        <w:rPr>
          <w:rFonts w:ascii="Arial" w:hAnsi="Arial" w:cs="Arial"/>
          <w:vertAlign w:val="superscript"/>
          <w:lang w:val="en-GB"/>
        </w:rPr>
        <w:tab/>
      </w:r>
      <w:r w:rsidRPr="00032AA6">
        <w:rPr>
          <w:rFonts w:ascii="Arial" w:hAnsi="Arial" w:cs="Arial"/>
          <w:lang w:val="en-GB"/>
        </w:rPr>
        <w:t>MRC: Medical Research Council</w:t>
      </w:r>
    </w:p>
    <w:p w:rsidR="00B32898" w:rsidRPr="00032AA6" w:rsidRDefault="00B32898" w:rsidP="007E118B">
      <w:pPr>
        <w:rPr>
          <w:rFonts w:ascii="Arial" w:hAnsi="Arial" w:cs="Arial"/>
          <w:lang w:val="en-GB"/>
        </w:rPr>
      </w:pPr>
      <w:r w:rsidRPr="00032AA6">
        <w:rPr>
          <w:rFonts w:ascii="Arial" w:hAnsi="Arial" w:cs="Arial"/>
          <w:vertAlign w:val="superscript"/>
          <w:lang w:val="en-GB"/>
        </w:rPr>
        <w:t>b</w:t>
      </w:r>
      <w:r w:rsidR="003E249A" w:rsidRPr="00032AA6">
        <w:rPr>
          <w:rFonts w:ascii="Arial" w:hAnsi="Arial" w:cs="Arial"/>
          <w:vertAlign w:val="superscript"/>
          <w:lang w:val="en-GB"/>
        </w:rPr>
        <w:tab/>
      </w:r>
      <w:r w:rsidRPr="00032AA6">
        <w:rPr>
          <w:rFonts w:ascii="Arial" w:hAnsi="Arial" w:cs="Arial"/>
          <w:lang w:val="en-GB"/>
        </w:rPr>
        <w:t>ISS: INCAT Sensory Sum Score</w:t>
      </w:r>
    </w:p>
    <w:p w:rsidR="00B32898" w:rsidRPr="00032AA6" w:rsidRDefault="00B32898">
      <w:pPr>
        <w:pStyle w:val="Lemm1"/>
        <w:outlineLvl w:val="0"/>
        <w:rPr>
          <w:b/>
          <w:szCs w:val="22"/>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3240"/>
        <w:gridCol w:w="2880"/>
      </w:tblGrid>
      <w:tr w:rsidR="003C43CA" w:rsidRPr="00A00365" w:rsidTr="00A00365">
        <w:tc>
          <w:tcPr>
            <w:tcW w:w="3060" w:type="dxa"/>
            <w:vAlign w:val="center"/>
          </w:tcPr>
          <w:p w:rsidR="003C43CA" w:rsidRPr="00A00365" w:rsidRDefault="00791D41" w:rsidP="00A00365">
            <w:pPr>
              <w:keepNext/>
              <w:keepLines/>
              <w:jc w:val="center"/>
              <w:rPr>
                <w:sz w:val="22"/>
                <w:szCs w:val="22"/>
                <w:lang w:val="en-GB"/>
              </w:rPr>
            </w:pPr>
            <w:r w:rsidRPr="00A00365">
              <w:rPr>
                <w:sz w:val="22"/>
                <w:szCs w:val="22"/>
                <w:lang w:val="en-GB"/>
              </w:rPr>
              <w:t>Extension</w:t>
            </w:r>
            <w:r w:rsidR="003C43CA" w:rsidRPr="00A00365">
              <w:rPr>
                <w:sz w:val="22"/>
                <w:szCs w:val="22"/>
                <w:lang w:val="en-GB"/>
              </w:rPr>
              <w:t xml:space="preserve"> Period</w:t>
            </w:r>
          </w:p>
        </w:tc>
        <w:tc>
          <w:tcPr>
            <w:tcW w:w="3240" w:type="dxa"/>
            <w:vAlign w:val="center"/>
          </w:tcPr>
          <w:p w:rsidR="003C43CA" w:rsidRPr="00A00365" w:rsidRDefault="003C43CA" w:rsidP="00A00365">
            <w:pPr>
              <w:keepNext/>
              <w:keepLines/>
              <w:jc w:val="center"/>
              <w:rPr>
                <w:sz w:val="22"/>
                <w:szCs w:val="22"/>
                <w:lang w:val="en-GB"/>
              </w:rPr>
            </w:pPr>
            <w:r w:rsidRPr="00A00365">
              <w:rPr>
                <w:sz w:val="22"/>
                <w:szCs w:val="22"/>
                <w:lang w:val="en-GB"/>
              </w:rPr>
              <w:t>Time to Relapse</w:t>
            </w:r>
          </w:p>
        </w:tc>
        <w:tc>
          <w:tcPr>
            <w:tcW w:w="2880" w:type="dxa"/>
            <w:vAlign w:val="center"/>
          </w:tcPr>
          <w:p w:rsidR="003C43CA" w:rsidRPr="00A00365" w:rsidRDefault="003C43CA" w:rsidP="00A00365">
            <w:pPr>
              <w:keepNext/>
              <w:keepLines/>
              <w:ind w:left="-108"/>
              <w:jc w:val="center"/>
              <w:rPr>
                <w:sz w:val="22"/>
                <w:szCs w:val="22"/>
                <w:lang w:val="en-GB"/>
              </w:rPr>
            </w:pPr>
            <w:r w:rsidRPr="00A00365">
              <w:rPr>
                <w:sz w:val="22"/>
                <w:szCs w:val="22"/>
                <w:lang w:val="en-GB"/>
              </w:rPr>
              <w:t>P Value</w:t>
            </w:r>
          </w:p>
          <w:p w:rsidR="003C43CA" w:rsidRPr="00A00365" w:rsidRDefault="003C43CA" w:rsidP="00A00365">
            <w:pPr>
              <w:keepNext/>
              <w:keepLines/>
              <w:ind w:left="-108"/>
              <w:jc w:val="center"/>
              <w:rPr>
                <w:sz w:val="22"/>
                <w:szCs w:val="22"/>
                <w:lang w:val="en-GB"/>
              </w:rPr>
            </w:pPr>
            <w:r w:rsidRPr="00A00365">
              <w:rPr>
                <w:sz w:val="22"/>
                <w:szCs w:val="22"/>
                <w:lang w:val="en-GB"/>
              </w:rPr>
              <w:t>p= 0.011</w:t>
            </w:r>
          </w:p>
        </w:tc>
      </w:tr>
      <w:tr w:rsidR="003C43CA" w:rsidRPr="00A00365" w:rsidTr="00A00365">
        <w:trPr>
          <w:trHeight w:val="3005"/>
        </w:trPr>
        <w:tc>
          <w:tcPr>
            <w:tcW w:w="9180" w:type="dxa"/>
            <w:gridSpan w:val="3"/>
            <w:vAlign w:val="center"/>
          </w:tcPr>
          <w:p w:rsidR="003C43CA" w:rsidRPr="00A00365" w:rsidRDefault="001A2734" w:rsidP="00A00365">
            <w:pPr>
              <w:pStyle w:val="Lemm1"/>
              <w:keepNext/>
              <w:jc w:val="center"/>
              <w:outlineLvl w:val="0"/>
              <w:rPr>
                <w:rFonts w:ascii="Times New Roman" w:hAnsi="Times New Roman"/>
                <w:b/>
                <w:color w:val="FF0000"/>
              </w:rPr>
            </w:pPr>
            <w:r>
              <w:rPr>
                <w:noProof/>
                <w:lang w:val="en-AU"/>
              </w:rPr>
              <w:drawing>
                <wp:inline distT="0" distB="0" distL="0" distR="0">
                  <wp:extent cx="5486400" cy="3079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86400" cy="3079750"/>
                          </a:xfrm>
                          <a:prstGeom prst="rect">
                            <a:avLst/>
                          </a:prstGeom>
                          <a:noFill/>
                          <a:ln w="9525">
                            <a:noFill/>
                            <a:miter lim="800000"/>
                            <a:headEnd/>
                            <a:tailEnd/>
                          </a:ln>
                        </pic:spPr>
                      </pic:pic>
                    </a:graphicData>
                  </a:graphic>
                </wp:inline>
              </w:drawing>
            </w:r>
          </w:p>
        </w:tc>
      </w:tr>
    </w:tbl>
    <w:p w:rsidR="003C43CA" w:rsidRDefault="003C43CA">
      <w:pPr>
        <w:pStyle w:val="Lemm1"/>
        <w:outlineLvl w:val="0"/>
        <w:rPr>
          <w:b/>
          <w:szCs w:val="22"/>
          <w:lang w:val="en-AU"/>
        </w:rPr>
      </w:pPr>
    </w:p>
    <w:p w:rsidR="00C347EE" w:rsidRDefault="00C347EE">
      <w:pPr>
        <w:pStyle w:val="Lemm1"/>
        <w:outlineLvl w:val="0"/>
        <w:rPr>
          <w:b/>
          <w:szCs w:val="22"/>
          <w:lang w:val="en-AU"/>
        </w:rPr>
      </w:pPr>
    </w:p>
    <w:p w:rsidR="0037530F" w:rsidRPr="007A1703" w:rsidRDefault="000A4ED0" w:rsidP="007A3AFF">
      <w:pPr>
        <w:pStyle w:val="Lemm1"/>
        <w:jc w:val="both"/>
        <w:outlineLvl w:val="0"/>
        <w:rPr>
          <w:b/>
          <w:szCs w:val="22"/>
          <w:lang w:val="en-AU"/>
        </w:rPr>
      </w:pPr>
      <w:r>
        <w:rPr>
          <w:b/>
          <w:szCs w:val="22"/>
          <w:lang w:val="en-AU"/>
        </w:rPr>
        <w:br w:type="page"/>
      </w:r>
      <w:r w:rsidR="0037530F" w:rsidRPr="007A1703">
        <w:rPr>
          <w:b/>
          <w:szCs w:val="22"/>
          <w:lang w:val="en-AU"/>
        </w:rPr>
        <w:lastRenderedPageBreak/>
        <w:t>INDICATIONS</w:t>
      </w:r>
    </w:p>
    <w:p w:rsidR="0037530F" w:rsidRPr="007A1703" w:rsidRDefault="0037530F" w:rsidP="007A3AFF">
      <w:pPr>
        <w:pStyle w:val="Lemm1"/>
        <w:jc w:val="both"/>
        <w:rPr>
          <w:b/>
          <w:szCs w:val="22"/>
          <w:lang w:val="en-AU"/>
        </w:rPr>
      </w:pPr>
    </w:p>
    <w:p w:rsidR="00BD611F" w:rsidRPr="00562D13" w:rsidRDefault="00BD611F" w:rsidP="007A3AFF">
      <w:pPr>
        <w:pStyle w:val="Lemm1"/>
        <w:jc w:val="both"/>
        <w:outlineLvl w:val="0"/>
        <w:rPr>
          <w:b/>
          <w:szCs w:val="22"/>
          <w:lang w:val="en-AU"/>
        </w:rPr>
      </w:pPr>
      <w:r w:rsidRPr="00562D13">
        <w:rPr>
          <w:b/>
          <w:szCs w:val="22"/>
          <w:lang w:val="en-AU"/>
        </w:rPr>
        <w:t>Replacement therapy in:</w:t>
      </w:r>
    </w:p>
    <w:p w:rsidR="0037530F" w:rsidRPr="00562D13" w:rsidRDefault="00562D13" w:rsidP="007A3AFF">
      <w:pPr>
        <w:pStyle w:val="Lemm1"/>
        <w:jc w:val="both"/>
        <w:outlineLvl w:val="0"/>
        <w:rPr>
          <w:szCs w:val="22"/>
          <w:lang w:val="en-AU"/>
        </w:rPr>
      </w:pPr>
      <w:r>
        <w:rPr>
          <w:szCs w:val="22"/>
          <w:lang w:val="en-AU"/>
        </w:rPr>
        <w:t xml:space="preserve">- </w:t>
      </w:r>
      <w:r w:rsidR="0037530F" w:rsidRPr="00562D13">
        <w:rPr>
          <w:szCs w:val="22"/>
          <w:lang w:val="en-AU"/>
        </w:rPr>
        <w:t>Primary Immunodeficiency (PI)</w:t>
      </w:r>
      <w:r w:rsidR="00D02866">
        <w:rPr>
          <w:szCs w:val="22"/>
          <w:lang w:val="en-AU"/>
        </w:rPr>
        <w:t xml:space="preserve"> Diseases.</w:t>
      </w:r>
    </w:p>
    <w:p w:rsidR="000E441D" w:rsidRDefault="000E441D">
      <w:pPr>
        <w:pStyle w:val="Lemm1"/>
        <w:outlineLvl w:val="0"/>
        <w:rPr>
          <w:szCs w:val="22"/>
        </w:rPr>
      </w:pPr>
    </w:p>
    <w:p w:rsidR="00BD611F" w:rsidRPr="00562D13" w:rsidRDefault="000E441D">
      <w:pPr>
        <w:pStyle w:val="Lemm1"/>
        <w:outlineLvl w:val="0"/>
        <w:rPr>
          <w:b/>
          <w:szCs w:val="22"/>
          <w:lang w:val="en-AU"/>
        </w:rPr>
      </w:pPr>
      <w:r>
        <w:rPr>
          <w:szCs w:val="22"/>
        </w:rPr>
        <w:t xml:space="preserve">- </w:t>
      </w:r>
      <w:r w:rsidR="00D02866">
        <w:rPr>
          <w:szCs w:val="22"/>
        </w:rPr>
        <w:t xml:space="preserve">Symptomatic </w:t>
      </w:r>
      <w:proofErr w:type="spellStart"/>
      <w:r>
        <w:rPr>
          <w:szCs w:val="22"/>
        </w:rPr>
        <w:t>Hypogammaglobulinaemia</w:t>
      </w:r>
      <w:proofErr w:type="spellEnd"/>
      <w:r>
        <w:rPr>
          <w:szCs w:val="22"/>
        </w:rPr>
        <w:t xml:space="preserve"> </w:t>
      </w:r>
      <w:r w:rsidR="002C54F4">
        <w:rPr>
          <w:szCs w:val="22"/>
        </w:rPr>
        <w:t>s</w:t>
      </w:r>
      <w:r w:rsidR="00D02866">
        <w:rPr>
          <w:szCs w:val="22"/>
        </w:rPr>
        <w:t xml:space="preserve">econdary to </w:t>
      </w:r>
      <w:r w:rsidR="002C54F4">
        <w:rPr>
          <w:szCs w:val="22"/>
        </w:rPr>
        <w:t>u</w:t>
      </w:r>
      <w:r w:rsidR="00D02866">
        <w:rPr>
          <w:szCs w:val="22"/>
        </w:rPr>
        <w:t xml:space="preserve">nderlying </w:t>
      </w:r>
      <w:r w:rsidR="002C54F4">
        <w:rPr>
          <w:szCs w:val="22"/>
        </w:rPr>
        <w:t>d</w:t>
      </w:r>
      <w:r w:rsidR="00D02866">
        <w:rPr>
          <w:szCs w:val="22"/>
        </w:rPr>
        <w:t xml:space="preserve">isease or </w:t>
      </w:r>
      <w:r w:rsidR="002C54F4">
        <w:rPr>
          <w:szCs w:val="22"/>
        </w:rPr>
        <w:t>t</w:t>
      </w:r>
      <w:r w:rsidR="00D02866">
        <w:rPr>
          <w:szCs w:val="22"/>
        </w:rPr>
        <w:t>reatment.</w:t>
      </w:r>
      <w:r w:rsidR="0004348F" w:rsidRPr="0004348F">
        <w:rPr>
          <w:i/>
          <w:szCs w:val="22"/>
        </w:rPr>
        <w:t xml:space="preserve"> </w:t>
      </w:r>
      <w:r w:rsidR="0004348F" w:rsidRPr="0004348F">
        <w:rPr>
          <w:i/>
          <w:szCs w:val="22"/>
        </w:rPr>
        <w:br/>
        <w:t xml:space="preserve">  </w:t>
      </w:r>
      <w:r w:rsidR="0004348F" w:rsidRPr="0004348F">
        <w:rPr>
          <w:i/>
          <w:szCs w:val="22"/>
        </w:rPr>
        <w:br/>
      </w:r>
      <w:proofErr w:type="spellStart"/>
      <w:r w:rsidR="00BD611F" w:rsidRPr="00562D13">
        <w:rPr>
          <w:b/>
          <w:szCs w:val="22"/>
          <w:lang w:val="en-AU"/>
        </w:rPr>
        <w:t>Immunomodulat</w:t>
      </w:r>
      <w:r w:rsidR="004C7FE9">
        <w:rPr>
          <w:b/>
          <w:szCs w:val="22"/>
          <w:lang w:val="en-AU"/>
        </w:rPr>
        <w:t>ion</w:t>
      </w:r>
      <w:proofErr w:type="spellEnd"/>
      <w:r w:rsidR="00BD611F" w:rsidRPr="00562D13">
        <w:rPr>
          <w:b/>
          <w:szCs w:val="22"/>
          <w:lang w:val="en-AU"/>
        </w:rPr>
        <w:t xml:space="preserve"> in</w:t>
      </w:r>
      <w:r w:rsidR="00562D13">
        <w:rPr>
          <w:b/>
          <w:szCs w:val="22"/>
          <w:lang w:val="en-AU"/>
        </w:rPr>
        <w:t>:</w:t>
      </w:r>
    </w:p>
    <w:p w:rsidR="0037530F" w:rsidRPr="00562D13" w:rsidRDefault="00562D13">
      <w:pPr>
        <w:pStyle w:val="Lemm1"/>
        <w:outlineLvl w:val="0"/>
        <w:rPr>
          <w:szCs w:val="22"/>
          <w:lang w:val="en-AU"/>
        </w:rPr>
      </w:pPr>
      <w:r>
        <w:rPr>
          <w:szCs w:val="22"/>
          <w:lang w:val="en-AU"/>
        </w:rPr>
        <w:t xml:space="preserve">- </w:t>
      </w:r>
      <w:r w:rsidR="0037530F" w:rsidRPr="00562D13">
        <w:rPr>
          <w:szCs w:val="22"/>
          <w:lang w:val="en-AU"/>
        </w:rPr>
        <w:t xml:space="preserve">Idiopathic </w:t>
      </w:r>
      <w:proofErr w:type="spellStart"/>
      <w:r w:rsidR="0037530F" w:rsidRPr="00562D13">
        <w:rPr>
          <w:szCs w:val="22"/>
          <w:lang w:val="en-AU"/>
        </w:rPr>
        <w:t>Thrombocytop</w:t>
      </w:r>
      <w:r w:rsidR="0002039B" w:rsidRPr="00562D13">
        <w:rPr>
          <w:szCs w:val="22"/>
          <w:lang w:val="en-AU"/>
        </w:rPr>
        <w:t>a</w:t>
      </w:r>
      <w:r w:rsidR="0037530F" w:rsidRPr="00562D13">
        <w:rPr>
          <w:szCs w:val="22"/>
          <w:lang w:val="en-AU"/>
        </w:rPr>
        <w:t>enic</w:t>
      </w:r>
      <w:proofErr w:type="spellEnd"/>
      <w:r w:rsidR="0037530F" w:rsidRPr="00562D13">
        <w:rPr>
          <w:szCs w:val="22"/>
          <w:lang w:val="en-AU"/>
        </w:rPr>
        <w:t xml:space="preserve"> </w:t>
      </w:r>
      <w:proofErr w:type="spellStart"/>
      <w:r w:rsidR="0037530F" w:rsidRPr="00562D13">
        <w:rPr>
          <w:szCs w:val="22"/>
          <w:lang w:val="en-AU"/>
        </w:rPr>
        <w:t>Purpura</w:t>
      </w:r>
      <w:proofErr w:type="spellEnd"/>
      <w:r w:rsidR="0037530F" w:rsidRPr="00562D13">
        <w:rPr>
          <w:szCs w:val="22"/>
          <w:lang w:val="en-AU"/>
        </w:rPr>
        <w:t xml:space="preserve"> (ITP)</w:t>
      </w:r>
      <w:r w:rsidR="003F2ED3">
        <w:rPr>
          <w:szCs w:val="22"/>
          <w:lang w:val="en-AU"/>
        </w:rPr>
        <w:t>, in patients at high risk of bleeding or prior to surgery to correct the platelet count.</w:t>
      </w:r>
    </w:p>
    <w:p w:rsidR="0037530F" w:rsidRPr="00BD611F" w:rsidRDefault="0037530F">
      <w:pPr>
        <w:pStyle w:val="Lemm1"/>
        <w:rPr>
          <w:szCs w:val="22"/>
          <w:lang w:val="en-AU"/>
        </w:rPr>
      </w:pPr>
    </w:p>
    <w:p w:rsidR="00562D13" w:rsidRDefault="00562D13">
      <w:pPr>
        <w:pStyle w:val="Lemm1"/>
        <w:rPr>
          <w:szCs w:val="22"/>
        </w:rPr>
      </w:pPr>
      <w:r>
        <w:rPr>
          <w:szCs w:val="22"/>
        </w:rPr>
        <w:t xml:space="preserve">- </w:t>
      </w:r>
      <w:proofErr w:type="spellStart"/>
      <w:r w:rsidR="00BD611F" w:rsidRPr="00BD611F">
        <w:rPr>
          <w:szCs w:val="22"/>
        </w:rPr>
        <w:t>Guillain</w:t>
      </w:r>
      <w:proofErr w:type="spellEnd"/>
      <w:r w:rsidR="00BD611F" w:rsidRPr="00BD611F">
        <w:rPr>
          <w:szCs w:val="22"/>
        </w:rPr>
        <w:t xml:space="preserve"> </w:t>
      </w:r>
      <w:proofErr w:type="spellStart"/>
      <w:r w:rsidR="00BD611F" w:rsidRPr="00BD611F">
        <w:rPr>
          <w:szCs w:val="22"/>
        </w:rPr>
        <w:t>Barr</w:t>
      </w:r>
      <w:r w:rsidR="00A53AA8" w:rsidRPr="00A53AA8">
        <w:rPr>
          <w:rFonts w:cs="Arial"/>
          <w:szCs w:val="22"/>
        </w:rPr>
        <w:t>é</w:t>
      </w:r>
      <w:proofErr w:type="spellEnd"/>
      <w:r w:rsidR="00BD611F" w:rsidRPr="00BD611F">
        <w:rPr>
          <w:szCs w:val="22"/>
        </w:rPr>
        <w:t xml:space="preserve"> Syndrome </w:t>
      </w:r>
      <w:r w:rsidR="00E07692">
        <w:rPr>
          <w:szCs w:val="22"/>
        </w:rPr>
        <w:t>(GBS)</w:t>
      </w:r>
      <w:r w:rsidR="003F2ED3">
        <w:rPr>
          <w:szCs w:val="22"/>
        </w:rPr>
        <w:t>.</w:t>
      </w:r>
      <w:r w:rsidR="00BD611F" w:rsidRPr="00BD611F">
        <w:rPr>
          <w:szCs w:val="22"/>
        </w:rPr>
        <w:br/>
      </w:r>
    </w:p>
    <w:p w:rsidR="00562D13" w:rsidRPr="00562D13" w:rsidRDefault="00562D13">
      <w:pPr>
        <w:pStyle w:val="Lemm1"/>
        <w:rPr>
          <w:szCs w:val="22"/>
        </w:rPr>
      </w:pPr>
      <w:r w:rsidRPr="00562D13">
        <w:rPr>
          <w:szCs w:val="22"/>
        </w:rPr>
        <w:t xml:space="preserve">- Chronic Inflammatory </w:t>
      </w:r>
      <w:proofErr w:type="spellStart"/>
      <w:r w:rsidRPr="00562D13">
        <w:rPr>
          <w:szCs w:val="22"/>
        </w:rPr>
        <w:t>Demyelinating</w:t>
      </w:r>
      <w:proofErr w:type="spellEnd"/>
      <w:r w:rsidRPr="00562D13">
        <w:rPr>
          <w:szCs w:val="22"/>
        </w:rPr>
        <w:t xml:space="preserve"> </w:t>
      </w:r>
      <w:proofErr w:type="spellStart"/>
      <w:r w:rsidRPr="00562D13">
        <w:rPr>
          <w:szCs w:val="22"/>
        </w:rPr>
        <w:t>Polyneuropathy</w:t>
      </w:r>
      <w:proofErr w:type="spellEnd"/>
      <w:r w:rsidRPr="00562D13">
        <w:rPr>
          <w:szCs w:val="22"/>
        </w:rPr>
        <w:t xml:space="preserve"> (CIDP)</w:t>
      </w:r>
      <w:r w:rsidR="003F2ED3">
        <w:rPr>
          <w:szCs w:val="22"/>
        </w:rPr>
        <w:t>.</w:t>
      </w:r>
    </w:p>
    <w:p w:rsidR="00E07692" w:rsidRDefault="00E07692">
      <w:pPr>
        <w:pStyle w:val="Lemm1"/>
        <w:rPr>
          <w:b/>
          <w:bCs/>
          <w:szCs w:val="22"/>
        </w:rPr>
      </w:pPr>
    </w:p>
    <w:p w:rsidR="00E07692" w:rsidRDefault="00E07692" w:rsidP="00E07692">
      <w:pPr>
        <w:pStyle w:val="Lemm1"/>
        <w:rPr>
          <w:szCs w:val="22"/>
        </w:rPr>
      </w:pPr>
      <w:r>
        <w:rPr>
          <w:szCs w:val="22"/>
        </w:rPr>
        <w:t xml:space="preserve">- </w:t>
      </w:r>
      <w:smartTag w:uri="urn:schemas-microsoft-com:office:smarttags" w:element="place">
        <w:smartTag w:uri="urn:schemas-microsoft-com:office:smarttags" w:element="City">
          <w:r w:rsidRPr="00BD611F">
            <w:rPr>
              <w:szCs w:val="22"/>
            </w:rPr>
            <w:t>Kawasaki</w:t>
          </w:r>
        </w:smartTag>
      </w:smartTag>
      <w:r w:rsidRPr="00BD611F">
        <w:rPr>
          <w:szCs w:val="22"/>
        </w:rPr>
        <w:t xml:space="preserve"> disease</w:t>
      </w:r>
      <w:r w:rsidR="001273EC">
        <w:rPr>
          <w:szCs w:val="22"/>
        </w:rPr>
        <w:t>.</w:t>
      </w:r>
    </w:p>
    <w:p w:rsidR="00E07692" w:rsidRPr="004C7FE9" w:rsidRDefault="00E07692" w:rsidP="00E07692">
      <w:pPr>
        <w:pStyle w:val="Lemm1"/>
        <w:rPr>
          <w:szCs w:val="22"/>
        </w:rPr>
      </w:pPr>
    </w:p>
    <w:p w:rsidR="0037530F" w:rsidRDefault="0037530F" w:rsidP="007A3AFF">
      <w:pPr>
        <w:pStyle w:val="Lemm1"/>
        <w:jc w:val="both"/>
        <w:outlineLvl w:val="0"/>
        <w:rPr>
          <w:b/>
          <w:szCs w:val="22"/>
          <w:lang w:val="en-AU"/>
        </w:rPr>
      </w:pPr>
      <w:r w:rsidRPr="007A1703">
        <w:rPr>
          <w:b/>
          <w:szCs w:val="22"/>
          <w:lang w:val="en-AU"/>
        </w:rPr>
        <w:t>CONTRAINDICATIONS</w:t>
      </w:r>
    </w:p>
    <w:p w:rsidR="00433C47" w:rsidRPr="007A1703" w:rsidRDefault="00433C47" w:rsidP="007A3AFF">
      <w:pPr>
        <w:pStyle w:val="Lemm1"/>
        <w:jc w:val="both"/>
        <w:outlineLvl w:val="0"/>
        <w:rPr>
          <w:b/>
          <w:szCs w:val="22"/>
          <w:lang w:val="en-AU"/>
        </w:rPr>
      </w:pPr>
    </w:p>
    <w:p w:rsidR="0037530F" w:rsidRPr="007A1703" w:rsidRDefault="00F3101C" w:rsidP="007A3AFF">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Pr="007A1703">
        <w:rPr>
          <w:snapToGrid w:val="0"/>
          <w:szCs w:val="22"/>
          <w:lang w:val="en-AU" w:eastAsia="en-US"/>
        </w:rPr>
        <w:t xml:space="preserve"> </w:t>
      </w:r>
      <w:r w:rsidR="0037530F" w:rsidRPr="005C1FFC">
        <w:rPr>
          <w:szCs w:val="22"/>
          <w:lang w:val="en-AU"/>
        </w:rPr>
        <w:t>is c</w:t>
      </w:r>
      <w:r w:rsidR="0037530F" w:rsidRPr="007A1703">
        <w:rPr>
          <w:szCs w:val="22"/>
          <w:lang w:val="en-AU"/>
        </w:rPr>
        <w:t xml:space="preserve">ontraindicated in individuals with known anaphylactic or severe systemic response to </w:t>
      </w:r>
      <w:r w:rsidR="004F25D8" w:rsidRPr="007A1703">
        <w:rPr>
          <w:szCs w:val="22"/>
          <w:lang w:val="en-AU"/>
        </w:rPr>
        <w:t>human immunoglobulin</w:t>
      </w:r>
      <w:r w:rsidR="005A6D61">
        <w:rPr>
          <w:szCs w:val="22"/>
          <w:lang w:val="en-AU"/>
        </w:rPr>
        <w:t xml:space="preserve"> or any </w:t>
      </w:r>
      <w:r w:rsidR="00AC3AD9">
        <w:rPr>
          <w:szCs w:val="22"/>
          <w:lang w:val="en-AU"/>
        </w:rPr>
        <w:t xml:space="preserve">of the </w:t>
      </w:r>
      <w:proofErr w:type="spellStart"/>
      <w:r w:rsidR="00AC3AD9">
        <w:rPr>
          <w:szCs w:val="22"/>
          <w:lang w:val="en-AU"/>
        </w:rPr>
        <w:t>excipients</w:t>
      </w:r>
      <w:proofErr w:type="spellEnd"/>
      <w:r w:rsidR="00AC6FA2">
        <w:rPr>
          <w:szCs w:val="22"/>
          <w:lang w:val="en-AU"/>
        </w:rPr>
        <w:t xml:space="preserve"> of the product</w:t>
      </w:r>
      <w:r w:rsidR="0037530F" w:rsidRPr="007A1703">
        <w:rPr>
          <w:szCs w:val="22"/>
          <w:lang w:val="en-AU"/>
        </w:rPr>
        <w:t xml:space="preserve">. </w:t>
      </w:r>
      <w:r w:rsidR="00A42F64">
        <w:rPr>
          <w:szCs w:val="22"/>
          <w:lang w:val="en-AU"/>
        </w:rPr>
        <w:t>This applies in particular to i</w:t>
      </w:r>
      <w:r w:rsidR="0037530F" w:rsidRPr="007A1703">
        <w:rPr>
          <w:szCs w:val="22"/>
          <w:lang w:val="en-AU"/>
        </w:rPr>
        <w:t xml:space="preserve">ndividuals with severe, selective </w:t>
      </w:r>
      <w:proofErr w:type="spellStart"/>
      <w:r w:rsidR="0037530F" w:rsidRPr="007A1703">
        <w:rPr>
          <w:szCs w:val="22"/>
          <w:lang w:val="en-AU"/>
        </w:rPr>
        <w:t>IgA</w:t>
      </w:r>
      <w:proofErr w:type="spellEnd"/>
      <w:r w:rsidR="0037530F" w:rsidRPr="007A1703">
        <w:rPr>
          <w:szCs w:val="22"/>
          <w:lang w:val="en-AU"/>
        </w:rPr>
        <w:t xml:space="preserve"> deficiencies (serum </w:t>
      </w:r>
      <w:proofErr w:type="spellStart"/>
      <w:r w:rsidR="0037530F" w:rsidRPr="007A1703">
        <w:rPr>
          <w:szCs w:val="22"/>
          <w:lang w:val="en-AU"/>
        </w:rPr>
        <w:t>IgA</w:t>
      </w:r>
      <w:proofErr w:type="spellEnd"/>
      <w:r w:rsidR="0037530F" w:rsidRPr="007A1703">
        <w:rPr>
          <w:szCs w:val="22"/>
          <w:lang w:val="en-AU"/>
        </w:rPr>
        <w:t xml:space="preserve"> &lt;0.05 g/L) who have known </w:t>
      </w:r>
      <w:r w:rsidR="00A42F64" w:rsidRPr="007A1703">
        <w:rPr>
          <w:szCs w:val="22"/>
          <w:lang w:val="en-AU"/>
        </w:rPr>
        <w:t>antibod</w:t>
      </w:r>
      <w:r w:rsidR="00A42F64">
        <w:rPr>
          <w:szCs w:val="22"/>
          <w:lang w:val="en-AU"/>
        </w:rPr>
        <w:t>ies</w:t>
      </w:r>
      <w:r w:rsidR="00A42F64" w:rsidRPr="007A1703">
        <w:rPr>
          <w:szCs w:val="22"/>
          <w:lang w:val="en-AU"/>
        </w:rPr>
        <w:t xml:space="preserve"> </w:t>
      </w:r>
      <w:r w:rsidR="0037530F" w:rsidRPr="007A1703">
        <w:rPr>
          <w:szCs w:val="22"/>
          <w:lang w:val="en-AU"/>
        </w:rPr>
        <w:t xml:space="preserve">against </w:t>
      </w:r>
      <w:proofErr w:type="spellStart"/>
      <w:r w:rsidR="0037530F" w:rsidRPr="007A1703">
        <w:rPr>
          <w:szCs w:val="22"/>
          <w:lang w:val="en-AU"/>
        </w:rPr>
        <w:t>IgA</w:t>
      </w:r>
      <w:proofErr w:type="spellEnd"/>
      <w:r w:rsidR="0037530F" w:rsidRPr="007A1703">
        <w:rPr>
          <w:szCs w:val="22"/>
          <w:lang w:val="en-AU"/>
        </w:rPr>
        <w:t xml:space="preserve"> (anti-</w:t>
      </w:r>
      <w:proofErr w:type="spellStart"/>
      <w:r w:rsidR="0037530F" w:rsidRPr="007A1703">
        <w:rPr>
          <w:szCs w:val="22"/>
          <w:lang w:val="en-AU"/>
        </w:rPr>
        <w:t>IgA</w:t>
      </w:r>
      <w:proofErr w:type="spellEnd"/>
      <w:r w:rsidR="0037530F" w:rsidRPr="007A1703">
        <w:rPr>
          <w:szCs w:val="22"/>
          <w:lang w:val="en-AU"/>
        </w:rPr>
        <w:t xml:space="preserve"> antibody), due to the risk of severe immediate hypersensitivity reactions including anaphylaxis. </w:t>
      </w:r>
    </w:p>
    <w:p w:rsidR="0037530F" w:rsidRPr="007A1703" w:rsidRDefault="0037530F" w:rsidP="007A3AFF">
      <w:pPr>
        <w:pStyle w:val="Lemm1"/>
        <w:jc w:val="both"/>
        <w:rPr>
          <w:szCs w:val="22"/>
          <w:lang w:val="en-AU"/>
        </w:rPr>
      </w:pPr>
    </w:p>
    <w:p w:rsidR="0037530F" w:rsidRPr="007A1703" w:rsidRDefault="0018649E" w:rsidP="007A3AFF">
      <w:pPr>
        <w:pStyle w:val="Lemm1"/>
        <w:jc w:val="both"/>
        <w:outlineLvl w:val="0"/>
        <w:rPr>
          <w:b/>
          <w:szCs w:val="22"/>
          <w:lang w:val="en-AU"/>
        </w:rPr>
      </w:pPr>
      <w:r w:rsidRPr="007A1703">
        <w:rPr>
          <w:b/>
          <w:szCs w:val="22"/>
          <w:lang w:val="en-AU"/>
        </w:rPr>
        <w:t>PRECAUTION</w:t>
      </w:r>
      <w:r w:rsidR="00172223" w:rsidRPr="007A1703">
        <w:rPr>
          <w:b/>
          <w:szCs w:val="22"/>
          <w:lang w:val="en-AU"/>
        </w:rPr>
        <w:t>S</w:t>
      </w:r>
    </w:p>
    <w:p w:rsidR="0018649E" w:rsidRDefault="0018649E" w:rsidP="007A3AFF">
      <w:pPr>
        <w:pStyle w:val="Lemm1"/>
        <w:jc w:val="both"/>
        <w:rPr>
          <w:b/>
          <w:szCs w:val="22"/>
          <w:lang w:val="en-AU"/>
        </w:rPr>
      </w:pPr>
    </w:p>
    <w:p w:rsidR="00AC3AD9" w:rsidRDefault="00A42F64" w:rsidP="007A3AFF">
      <w:pPr>
        <w:pStyle w:val="Lemm1"/>
        <w:jc w:val="both"/>
        <w:rPr>
          <w:szCs w:val="22"/>
          <w:lang w:val="en-AU"/>
        </w:rPr>
      </w:pPr>
      <w:r w:rsidRPr="00A42F64">
        <w:rPr>
          <w:szCs w:val="22"/>
          <w:lang w:val="en-AU"/>
        </w:rPr>
        <w:t xml:space="preserve">Certain </w:t>
      </w:r>
      <w:r w:rsidR="00AC3AD9">
        <w:rPr>
          <w:szCs w:val="22"/>
          <w:lang w:val="en-AU"/>
        </w:rPr>
        <w:t>undesirable effects</w:t>
      </w:r>
      <w:r>
        <w:rPr>
          <w:szCs w:val="22"/>
          <w:lang w:val="en-AU"/>
        </w:rPr>
        <w:t xml:space="preserve"> may be related to the rate of infusion. The recommended infusion rate </w:t>
      </w:r>
      <w:r w:rsidR="00AC3AD9">
        <w:rPr>
          <w:szCs w:val="22"/>
          <w:lang w:val="en-AU"/>
        </w:rPr>
        <w:t>should therefore</w:t>
      </w:r>
      <w:r>
        <w:rPr>
          <w:szCs w:val="22"/>
          <w:lang w:val="en-AU"/>
        </w:rPr>
        <w:t xml:space="preserve"> be followed (See DOSAGE AND ADMINISTRATION). Patients </w:t>
      </w:r>
      <w:r w:rsidR="00AC3AD9">
        <w:rPr>
          <w:szCs w:val="22"/>
          <w:lang w:val="en-AU"/>
        </w:rPr>
        <w:t>should</w:t>
      </w:r>
      <w:r>
        <w:rPr>
          <w:szCs w:val="22"/>
          <w:lang w:val="en-AU"/>
        </w:rPr>
        <w:t xml:space="preserve"> be carefully observed </w:t>
      </w:r>
      <w:r w:rsidR="00AC3AD9">
        <w:rPr>
          <w:szCs w:val="22"/>
          <w:lang w:val="en-AU"/>
        </w:rPr>
        <w:t>during</w:t>
      </w:r>
      <w:r>
        <w:rPr>
          <w:szCs w:val="22"/>
          <w:lang w:val="en-AU"/>
        </w:rPr>
        <w:t xml:space="preserve"> the infusion </w:t>
      </w:r>
      <w:r w:rsidR="00AC3AD9">
        <w:rPr>
          <w:szCs w:val="22"/>
          <w:lang w:val="en-AU"/>
        </w:rPr>
        <w:t>and for at least 20 minutes afterwards</w:t>
      </w:r>
      <w:r>
        <w:rPr>
          <w:szCs w:val="22"/>
          <w:lang w:val="en-AU"/>
        </w:rPr>
        <w:t xml:space="preserve">. </w:t>
      </w:r>
    </w:p>
    <w:p w:rsidR="00A42F64" w:rsidRDefault="00A42F64" w:rsidP="007A3AFF">
      <w:pPr>
        <w:pStyle w:val="Lemm1"/>
        <w:jc w:val="both"/>
        <w:rPr>
          <w:szCs w:val="22"/>
          <w:lang w:val="en-AU"/>
        </w:rPr>
      </w:pPr>
      <w:r>
        <w:rPr>
          <w:szCs w:val="22"/>
          <w:lang w:val="en-AU"/>
        </w:rPr>
        <w:t xml:space="preserve">Certain adverse </w:t>
      </w:r>
      <w:r w:rsidR="00AC3AD9">
        <w:rPr>
          <w:szCs w:val="22"/>
          <w:lang w:val="en-AU"/>
        </w:rPr>
        <w:t>effects</w:t>
      </w:r>
      <w:r>
        <w:rPr>
          <w:szCs w:val="22"/>
          <w:lang w:val="en-AU"/>
        </w:rPr>
        <w:t xml:space="preserve"> may occur more frequently:</w:t>
      </w:r>
    </w:p>
    <w:p w:rsidR="00A42F64" w:rsidRDefault="00AC3AD9" w:rsidP="00A42F64">
      <w:pPr>
        <w:pStyle w:val="Lemm1"/>
        <w:numPr>
          <w:ilvl w:val="0"/>
          <w:numId w:val="11"/>
        </w:numPr>
        <w:jc w:val="both"/>
        <w:rPr>
          <w:szCs w:val="22"/>
          <w:lang w:val="en-AU"/>
        </w:rPr>
      </w:pPr>
      <w:r>
        <w:rPr>
          <w:szCs w:val="22"/>
          <w:lang w:val="en-AU"/>
        </w:rPr>
        <w:t>with a</w:t>
      </w:r>
      <w:r w:rsidR="00A42F64">
        <w:rPr>
          <w:szCs w:val="22"/>
          <w:lang w:val="en-AU"/>
        </w:rPr>
        <w:t xml:space="preserve"> high infusion</w:t>
      </w:r>
      <w:r>
        <w:rPr>
          <w:szCs w:val="22"/>
          <w:lang w:val="en-AU"/>
        </w:rPr>
        <w:t xml:space="preserve"> rate,</w:t>
      </w:r>
    </w:p>
    <w:p w:rsidR="00A42F64" w:rsidRDefault="00A42F64" w:rsidP="00A42F64">
      <w:pPr>
        <w:pStyle w:val="Lemm1"/>
        <w:numPr>
          <w:ilvl w:val="0"/>
          <w:numId w:val="11"/>
        </w:numPr>
        <w:jc w:val="both"/>
        <w:rPr>
          <w:szCs w:val="22"/>
          <w:lang w:val="en-AU"/>
        </w:rPr>
      </w:pPr>
      <w:r>
        <w:rPr>
          <w:szCs w:val="22"/>
          <w:lang w:val="en-AU"/>
        </w:rPr>
        <w:t xml:space="preserve">in patients with hypo- or </w:t>
      </w:r>
      <w:proofErr w:type="spellStart"/>
      <w:r>
        <w:rPr>
          <w:szCs w:val="22"/>
          <w:lang w:val="en-AU"/>
        </w:rPr>
        <w:t>agammaglobulinaemia</w:t>
      </w:r>
      <w:proofErr w:type="spellEnd"/>
      <w:r>
        <w:rPr>
          <w:szCs w:val="22"/>
          <w:lang w:val="en-AU"/>
        </w:rPr>
        <w:t xml:space="preserve"> with or without </w:t>
      </w:r>
      <w:proofErr w:type="spellStart"/>
      <w:r>
        <w:rPr>
          <w:szCs w:val="22"/>
          <w:lang w:val="en-AU"/>
        </w:rPr>
        <w:t>IgA</w:t>
      </w:r>
      <w:proofErr w:type="spellEnd"/>
      <w:r>
        <w:rPr>
          <w:szCs w:val="22"/>
          <w:lang w:val="en-AU"/>
        </w:rPr>
        <w:t xml:space="preserve"> deficiency</w:t>
      </w:r>
      <w:r w:rsidR="00AC3AD9">
        <w:rPr>
          <w:szCs w:val="22"/>
          <w:lang w:val="en-AU"/>
        </w:rPr>
        <w:t>,</w:t>
      </w:r>
    </w:p>
    <w:p w:rsidR="00A42F64" w:rsidRDefault="00A42F64" w:rsidP="00A42F64">
      <w:pPr>
        <w:pStyle w:val="Lemm1"/>
        <w:numPr>
          <w:ilvl w:val="0"/>
          <w:numId w:val="11"/>
        </w:numPr>
        <w:jc w:val="both"/>
        <w:rPr>
          <w:szCs w:val="22"/>
          <w:lang w:val="en-AU"/>
        </w:rPr>
      </w:pPr>
      <w:r>
        <w:rPr>
          <w:szCs w:val="22"/>
          <w:lang w:val="en-AU"/>
        </w:rPr>
        <w:t xml:space="preserve">in patients who </w:t>
      </w:r>
      <w:r w:rsidR="00AC3AD9">
        <w:rPr>
          <w:szCs w:val="22"/>
          <w:lang w:val="en-AU"/>
        </w:rPr>
        <w:t>are receiving</w:t>
      </w:r>
      <w:r>
        <w:rPr>
          <w:szCs w:val="22"/>
          <w:lang w:val="en-AU"/>
        </w:rPr>
        <w:t xml:space="preserve"> human normal immunoglobulin for the first time or, in rare cases, when the immunoglobulin product is switched or </w:t>
      </w:r>
      <w:r w:rsidR="00AC3AD9">
        <w:rPr>
          <w:szCs w:val="22"/>
          <w:lang w:val="en-AU"/>
        </w:rPr>
        <w:t>after</w:t>
      </w:r>
      <w:r>
        <w:rPr>
          <w:szCs w:val="22"/>
          <w:lang w:val="en-AU"/>
        </w:rPr>
        <w:t xml:space="preserve"> a </w:t>
      </w:r>
      <w:r w:rsidR="00AC3AD9">
        <w:rPr>
          <w:szCs w:val="22"/>
          <w:lang w:val="en-AU"/>
        </w:rPr>
        <w:t>pro</w:t>
      </w:r>
      <w:r>
        <w:rPr>
          <w:szCs w:val="22"/>
          <w:lang w:val="en-AU"/>
        </w:rPr>
        <w:t>long</w:t>
      </w:r>
      <w:r w:rsidR="00AC3AD9">
        <w:rPr>
          <w:szCs w:val="22"/>
          <w:lang w:val="en-AU"/>
        </w:rPr>
        <w:t>ed</w:t>
      </w:r>
      <w:r>
        <w:rPr>
          <w:szCs w:val="22"/>
          <w:lang w:val="en-AU"/>
        </w:rPr>
        <w:t xml:space="preserve"> interval </w:t>
      </w:r>
      <w:r w:rsidR="00AC3AD9">
        <w:rPr>
          <w:szCs w:val="22"/>
          <w:lang w:val="en-AU"/>
        </w:rPr>
        <w:t>without treatment</w:t>
      </w:r>
      <w:r>
        <w:rPr>
          <w:szCs w:val="22"/>
          <w:lang w:val="en-AU"/>
        </w:rPr>
        <w:t>.</w:t>
      </w:r>
    </w:p>
    <w:p w:rsidR="00A42F64" w:rsidRDefault="00A42F64" w:rsidP="00A42F64">
      <w:pPr>
        <w:pStyle w:val="Lemm1"/>
        <w:jc w:val="both"/>
        <w:rPr>
          <w:szCs w:val="22"/>
          <w:lang w:val="en-AU"/>
        </w:rPr>
      </w:pPr>
    </w:p>
    <w:p w:rsidR="00A42F64" w:rsidRDefault="00A42F64" w:rsidP="00A42F64">
      <w:pPr>
        <w:pStyle w:val="Lemm1"/>
        <w:jc w:val="both"/>
        <w:rPr>
          <w:szCs w:val="22"/>
          <w:lang w:val="en-AU"/>
        </w:rPr>
      </w:pPr>
      <w:r>
        <w:rPr>
          <w:szCs w:val="22"/>
          <w:lang w:val="en-AU"/>
        </w:rPr>
        <w:t>Potential complications can often be avoided by ensuring:</w:t>
      </w:r>
    </w:p>
    <w:p w:rsidR="00A42F64" w:rsidRDefault="00A42F64" w:rsidP="00406830">
      <w:pPr>
        <w:pStyle w:val="Lemm1"/>
        <w:numPr>
          <w:ilvl w:val="0"/>
          <w:numId w:val="11"/>
        </w:numPr>
        <w:jc w:val="both"/>
        <w:rPr>
          <w:szCs w:val="22"/>
          <w:lang w:val="en-AU"/>
        </w:rPr>
      </w:pPr>
      <w:r>
        <w:rPr>
          <w:szCs w:val="22"/>
          <w:lang w:val="en-AU"/>
        </w:rPr>
        <w:t xml:space="preserve">that patients are not </w:t>
      </w:r>
      <w:r w:rsidR="00CC410F">
        <w:rPr>
          <w:szCs w:val="22"/>
          <w:lang w:val="en-AU"/>
        </w:rPr>
        <w:t>hyper</w:t>
      </w:r>
      <w:r>
        <w:rPr>
          <w:szCs w:val="22"/>
          <w:lang w:val="en-AU"/>
        </w:rPr>
        <w:t xml:space="preserve">sensitive to human normal immunoglobulin by </w:t>
      </w:r>
      <w:r w:rsidR="00CC410F">
        <w:rPr>
          <w:szCs w:val="22"/>
          <w:lang w:val="en-AU"/>
        </w:rPr>
        <w:t xml:space="preserve">initially infusing </w:t>
      </w:r>
      <w:r>
        <w:rPr>
          <w:szCs w:val="22"/>
          <w:lang w:val="en-AU"/>
        </w:rPr>
        <w:t xml:space="preserve"> </w:t>
      </w:r>
      <w:r w:rsidR="00CC410F" w:rsidRPr="007A1703">
        <w:rPr>
          <w:rFonts w:cs="Arial"/>
          <w:szCs w:val="22"/>
          <w:lang w:val="en-AU"/>
        </w:rPr>
        <w:t>GAMUNEX</w:t>
      </w:r>
      <w:r w:rsidR="00CC410F" w:rsidRPr="007A1703">
        <w:rPr>
          <w:rFonts w:cs="Arial"/>
          <w:snapToGrid w:val="0"/>
          <w:szCs w:val="22"/>
          <w:vertAlign w:val="superscript"/>
          <w:lang w:val="en-AU" w:eastAsia="en-US"/>
        </w:rPr>
        <w:t>®</w:t>
      </w:r>
      <w:r w:rsidR="00CC410F">
        <w:rPr>
          <w:rFonts w:cs="Arial"/>
          <w:snapToGrid w:val="0"/>
          <w:szCs w:val="22"/>
          <w:vertAlign w:val="superscript"/>
          <w:lang w:val="en-AU" w:eastAsia="en-US"/>
        </w:rPr>
        <w:t xml:space="preserve"> </w:t>
      </w:r>
      <w:r>
        <w:rPr>
          <w:szCs w:val="22"/>
          <w:lang w:val="en-AU"/>
        </w:rPr>
        <w:t xml:space="preserve">slowly (0.1 </w:t>
      </w:r>
      <w:proofErr w:type="spellStart"/>
      <w:r>
        <w:rPr>
          <w:szCs w:val="22"/>
          <w:lang w:val="en-AU"/>
        </w:rPr>
        <w:t>mL</w:t>
      </w:r>
      <w:proofErr w:type="spellEnd"/>
      <w:r>
        <w:rPr>
          <w:szCs w:val="22"/>
          <w:lang w:val="en-AU"/>
        </w:rPr>
        <w:t xml:space="preserve">/kg </w:t>
      </w:r>
      <w:r w:rsidR="00717E2A">
        <w:rPr>
          <w:szCs w:val="22"/>
          <w:lang w:val="en-AU"/>
        </w:rPr>
        <w:t xml:space="preserve">body weight </w:t>
      </w:r>
      <w:r w:rsidRPr="00A42F64">
        <w:rPr>
          <w:szCs w:val="22"/>
          <w:u w:val="single"/>
          <w:lang w:val="en-AU"/>
        </w:rPr>
        <w:t>per hour</w:t>
      </w:r>
      <w:r>
        <w:rPr>
          <w:szCs w:val="22"/>
          <w:lang w:val="en-AU"/>
        </w:rPr>
        <w:t>)</w:t>
      </w:r>
    </w:p>
    <w:p w:rsidR="00406830" w:rsidRDefault="00406830" w:rsidP="00406830">
      <w:pPr>
        <w:pStyle w:val="Lemm1"/>
        <w:numPr>
          <w:ilvl w:val="0"/>
          <w:numId w:val="11"/>
        </w:numPr>
        <w:jc w:val="both"/>
        <w:rPr>
          <w:szCs w:val="22"/>
          <w:lang w:val="en-AU"/>
        </w:rPr>
      </w:pPr>
      <w:r>
        <w:rPr>
          <w:szCs w:val="22"/>
          <w:lang w:val="en-AU"/>
        </w:rPr>
        <w:t xml:space="preserve">that patients are carefully monitored for any symptoms throughout the infusion period. In particular, patients </w:t>
      </w:r>
      <w:r w:rsidR="00CC410F">
        <w:rPr>
          <w:szCs w:val="22"/>
          <w:lang w:val="en-AU"/>
        </w:rPr>
        <w:t>receiving</w:t>
      </w:r>
      <w:r>
        <w:rPr>
          <w:szCs w:val="22"/>
          <w:lang w:val="en-AU"/>
        </w:rPr>
        <w:t xml:space="preserve"> human immunoglobulin</w:t>
      </w:r>
      <w:r w:rsidR="00CC410F">
        <w:rPr>
          <w:szCs w:val="22"/>
          <w:lang w:val="en-AU"/>
        </w:rPr>
        <w:t xml:space="preserve"> for the first time and those switched from a</w:t>
      </w:r>
      <w:r>
        <w:rPr>
          <w:szCs w:val="22"/>
          <w:lang w:val="en-AU"/>
        </w:rPr>
        <w:t xml:space="preserve"> </w:t>
      </w:r>
      <w:r w:rsidR="00CC410F">
        <w:rPr>
          <w:szCs w:val="22"/>
          <w:lang w:val="en-AU"/>
        </w:rPr>
        <w:t>different immunoglobulin</w:t>
      </w:r>
      <w:r>
        <w:rPr>
          <w:szCs w:val="22"/>
          <w:lang w:val="en-AU"/>
        </w:rPr>
        <w:t xml:space="preserve"> or </w:t>
      </w:r>
      <w:r w:rsidR="00CC410F">
        <w:rPr>
          <w:szCs w:val="22"/>
          <w:lang w:val="en-AU"/>
        </w:rPr>
        <w:t xml:space="preserve">not having received treatment for some time </w:t>
      </w:r>
      <w:r>
        <w:rPr>
          <w:szCs w:val="22"/>
          <w:lang w:val="en-AU"/>
        </w:rPr>
        <w:t xml:space="preserve">should be monitored </w:t>
      </w:r>
      <w:r w:rsidR="00CC410F">
        <w:rPr>
          <w:szCs w:val="22"/>
          <w:lang w:val="en-AU"/>
        </w:rPr>
        <w:t xml:space="preserve">for possible undesirable effects </w:t>
      </w:r>
      <w:r>
        <w:rPr>
          <w:szCs w:val="22"/>
          <w:lang w:val="en-AU"/>
        </w:rPr>
        <w:t xml:space="preserve">during the first infusion and for one hour afterwards. </w:t>
      </w:r>
    </w:p>
    <w:p w:rsidR="00406830" w:rsidRDefault="00406830" w:rsidP="00406830">
      <w:pPr>
        <w:pStyle w:val="Lemm1"/>
        <w:numPr>
          <w:ilvl w:val="0"/>
          <w:numId w:val="11"/>
        </w:numPr>
        <w:jc w:val="both"/>
        <w:rPr>
          <w:szCs w:val="22"/>
          <w:lang w:val="en-AU"/>
        </w:rPr>
      </w:pPr>
      <w:r>
        <w:rPr>
          <w:szCs w:val="22"/>
          <w:lang w:val="en-AU"/>
        </w:rPr>
        <w:t>the use of glucose solution for dilution prior to infusion should be carefully considered for patients suffering from latent diabetes, diabetes or in patients on a low sugar diet.</w:t>
      </w:r>
    </w:p>
    <w:p w:rsidR="00406830" w:rsidRDefault="00406830" w:rsidP="00406830">
      <w:pPr>
        <w:pStyle w:val="Lemm1"/>
        <w:jc w:val="both"/>
        <w:rPr>
          <w:szCs w:val="22"/>
          <w:lang w:val="en-AU"/>
        </w:rPr>
      </w:pPr>
    </w:p>
    <w:p w:rsidR="00406830" w:rsidRPr="00A42F64" w:rsidRDefault="00CC410F" w:rsidP="00406830">
      <w:pPr>
        <w:pStyle w:val="Lemm1"/>
        <w:jc w:val="both"/>
        <w:rPr>
          <w:szCs w:val="22"/>
          <w:lang w:val="en-AU"/>
        </w:rPr>
      </w:pPr>
      <w:r>
        <w:rPr>
          <w:szCs w:val="22"/>
          <w:lang w:val="en-AU"/>
        </w:rPr>
        <w:t>If undesirabl</w:t>
      </w:r>
      <w:r w:rsidR="00AC6FA2">
        <w:rPr>
          <w:szCs w:val="22"/>
          <w:lang w:val="en-AU"/>
        </w:rPr>
        <w:t>e</w:t>
      </w:r>
      <w:r>
        <w:rPr>
          <w:szCs w:val="22"/>
          <w:lang w:val="en-AU"/>
        </w:rPr>
        <w:t xml:space="preserve"> effects occur</w:t>
      </w:r>
      <w:r w:rsidR="00406830">
        <w:rPr>
          <w:szCs w:val="22"/>
          <w:lang w:val="en-AU"/>
        </w:rPr>
        <w:t xml:space="preserve">, the infusion </w:t>
      </w:r>
      <w:r>
        <w:rPr>
          <w:szCs w:val="22"/>
          <w:lang w:val="en-AU"/>
        </w:rPr>
        <w:t>rate should</w:t>
      </w:r>
      <w:r w:rsidR="00406830">
        <w:rPr>
          <w:szCs w:val="22"/>
          <w:lang w:val="en-AU"/>
        </w:rPr>
        <w:t xml:space="preserve"> be reduced or the infusion </w:t>
      </w:r>
      <w:r>
        <w:rPr>
          <w:szCs w:val="22"/>
          <w:lang w:val="en-AU"/>
        </w:rPr>
        <w:t>should be suspended until the symptoms have disappeared</w:t>
      </w:r>
      <w:r w:rsidR="00406830">
        <w:rPr>
          <w:szCs w:val="22"/>
          <w:lang w:val="en-AU"/>
        </w:rPr>
        <w:t xml:space="preserve">. </w:t>
      </w:r>
      <w:r>
        <w:rPr>
          <w:szCs w:val="22"/>
          <w:lang w:val="en-AU"/>
        </w:rPr>
        <w:t xml:space="preserve">If the symptoms persist even after suspending the infusion, suitable treatment should be instituted. </w:t>
      </w:r>
      <w:r w:rsidR="00BD668A">
        <w:rPr>
          <w:szCs w:val="22"/>
          <w:lang w:val="en-AU"/>
        </w:rPr>
        <w:t xml:space="preserve">In </w:t>
      </w:r>
      <w:r w:rsidR="00CD1D5D">
        <w:rPr>
          <w:szCs w:val="22"/>
          <w:lang w:val="en-AU"/>
        </w:rPr>
        <w:t>the event</w:t>
      </w:r>
      <w:r w:rsidR="00BD668A">
        <w:rPr>
          <w:szCs w:val="22"/>
          <w:lang w:val="en-AU"/>
        </w:rPr>
        <w:t xml:space="preserve"> of </w:t>
      </w:r>
      <w:r>
        <w:rPr>
          <w:szCs w:val="22"/>
          <w:lang w:val="en-AU"/>
        </w:rPr>
        <w:t xml:space="preserve">anaphylactic </w:t>
      </w:r>
      <w:r w:rsidR="00BD668A">
        <w:rPr>
          <w:szCs w:val="22"/>
          <w:lang w:val="en-AU"/>
        </w:rPr>
        <w:lastRenderedPageBreak/>
        <w:t xml:space="preserve">shock, </w:t>
      </w:r>
      <w:r>
        <w:rPr>
          <w:szCs w:val="22"/>
          <w:lang w:val="en-AU"/>
        </w:rPr>
        <w:t>treatment with the product</w:t>
      </w:r>
      <w:r w:rsidR="00BD668A">
        <w:rPr>
          <w:szCs w:val="22"/>
          <w:lang w:val="en-AU"/>
        </w:rPr>
        <w:t xml:space="preserve"> should be </w:t>
      </w:r>
      <w:r>
        <w:rPr>
          <w:szCs w:val="22"/>
          <w:lang w:val="en-AU"/>
        </w:rPr>
        <w:t>discontinued</w:t>
      </w:r>
      <w:r w:rsidR="00BD668A">
        <w:rPr>
          <w:szCs w:val="22"/>
          <w:lang w:val="en-AU"/>
        </w:rPr>
        <w:t xml:space="preserve"> immediately and current standard medical treatment for shock should be implemented.</w:t>
      </w:r>
    </w:p>
    <w:p w:rsidR="00A42F64" w:rsidRDefault="00A42F64">
      <w:pPr>
        <w:pStyle w:val="Lemm1"/>
        <w:jc w:val="both"/>
        <w:rPr>
          <w:b/>
          <w:szCs w:val="22"/>
          <w:lang w:val="en-AU"/>
        </w:rPr>
      </w:pPr>
    </w:p>
    <w:p w:rsidR="0018649E" w:rsidRDefault="00172223">
      <w:pPr>
        <w:pStyle w:val="Lemm1"/>
        <w:jc w:val="both"/>
        <w:rPr>
          <w:b/>
          <w:szCs w:val="22"/>
          <w:lang w:val="en-AU"/>
        </w:rPr>
      </w:pPr>
      <w:r w:rsidRPr="007A1703">
        <w:rPr>
          <w:b/>
          <w:szCs w:val="22"/>
          <w:lang w:val="en-AU"/>
        </w:rPr>
        <w:t>Renal effects</w:t>
      </w:r>
    </w:p>
    <w:p w:rsidR="00433C47" w:rsidRPr="007A1703" w:rsidRDefault="00433C47">
      <w:pPr>
        <w:pStyle w:val="Lemm1"/>
        <w:jc w:val="both"/>
        <w:rPr>
          <w:b/>
          <w:szCs w:val="22"/>
          <w:lang w:val="en-AU"/>
        </w:rPr>
      </w:pPr>
    </w:p>
    <w:p w:rsidR="0037530F" w:rsidRPr="007A1703" w:rsidRDefault="004F25D8">
      <w:pPr>
        <w:pStyle w:val="Lemm1"/>
        <w:jc w:val="both"/>
        <w:rPr>
          <w:szCs w:val="22"/>
          <w:lang w:val="en-AU"/>
        </w:rPr>
      </w:pPr>
      <w:r w:rsidRPr="007A1703">
        <w:rPr>
          <w:szCs w:val="22"/>
          <w:lang w:val="en-AU"/>
        </w:rPr>
        <w:t>Human normal immunoglobulin intravenous</w:t>
      </w:r>
      <w:r w:rsidR="0037530F" w:rsidRPr="007A1703">
        <w:rPr>
          <w:szCs w:val="22"/>
          <w:lang w:val="en-AU"/>
        </w:rPr>
        <w:t xml:space="preserve"> products have been reported to be associated with renal dysfunction, acute renal failure, osmotic </w:t>
      </w:r>
      <w:proofErr w:type="spellStart"/>
      <w:r w:rsidR="0037530F" w:rsidRPr="007A1703">
        <w:rPr>
          <w:szCs w:val="22"/>
          <w:lang w:val="en-AU"/>
        </w:rPr>
        <w:t>nephrosis</w:t>
      </w:r>
      <w:proofErr w:type="spellEnd"/>
      <w:r w:rsidR="0037530F" w:rsidRPr="007A1703">
        <w:rPr>
          <w:szCs w:val="22"/>
          <w:lang w:val="en-AU"/>
        </w:rPr>
        <w:t xml:space="preserve"> and death. Patients predisposed to acute renal failure include patients with any degree of pre-existing renal insufficiency, diabetes mellitus, age greater than 65, volume depletion, sepsis, </w:t>
      </w:r>
      <w:proofErr w:type="spellStart"/>
      <w:r w:rsidR="0037530F" w:rsidRPr="007A1703">
        <w:rPr>
          <w:szCs w:val="22"/>
          <w:lang w:val="en-AU"/>
        </w:rPr>
        <w:t>paraprotein</w:t>
      </w:r>
      <w:r w:rsidR="00D4784F" w:rsidRPr="007A1703">
        <w:rPr>
          <w:szCs w:val="22"/>
          <w:lang w:val="en-AU"/>
        </w:rPr>
        <w:t>a</w:t>
      </w:r>
      <w:r w:rsidR="0037530F" w:rsidRPr="007A1703">
        <w:rPr>
          <w:szCs w:val="22"/>
          <w:lang w:val="en-AU"/>
        </w:rPr>
        <w:t>emia</w:t>
      </w:r>
      <w:proofErr w:type="spellEnd"/>
      <w:r w:rsidR="0037530F" w:rsidRPr="007A1703">
        <w:rPr>
          <w:szCs w:val="22"/>
          <w:lang w:val="en-AU"/>
        </w:rPr>
        <w:t xml:space="preserve">, or patients </w:t>
      </w:r>
      <w:r w:rsidR="00CD1D5D">
        <w:rPr>
          <w:szCs w:val="22"/>
          <w:lang w:val="en-AU"/>
        </w:rPr>
        <w:t xml:space="preserve">who are overweight or </w:t>
      </w:r>
      <w:r w:rsidR="0037530F" w:rsidRPr="007A1703">
        <w:rPr>
          <w:szCs w:val="22"/>
          <w:lang w:val="en-AU"/>
        </w:rPr>
        <w:t xml:space="preserve">receiving known </w:t>
      </w:r>
      <w:proofErr w:type="spellStart"/>
      <w:r w:rsidR="0037530F" w:rsidRPr="007A1703">
        <w:rPr>
          <w:szCs w:val="22"/>
          <w:lang w:val="en-AU"/>
        </w:rPr>
        <w:t>nephrotoxic</w:t>
      </w:r>
      <w:proofErr w:type="spellEnd"/>
      <w:r w:rsidR="0037530F" w:rsidRPr="007A1703">
        <w:rPr>
          <w:szCs w:val="22"/>
          <w:lang w:val="en-AU"/>
        </w:rPr>
        <w:t xml:space="preserve"> drugs. Especially in such patients, IGIV products should be administered at the minimum concentration available and the minimum rate of infusion practicable. While these reports of renal dysfunction and acute renal failure have been associated with the use of many of the licensed IGIV products, those containing sucrose as a stabilizer accounted for a disproportionate share of the total number. </w:t>
      </w:r>
      <w:r w:rsidR="00F3101C" w:rsidRPr="007A1703">
        <w:rPr>
          <w:rFonts w:cs="Arial"/>
          <w:szCs w:val="22"/>
          <w:lang w:val="en-AU"/>
        </w:rPr>
        <w:t>GAMUNEX</w:t>
      </w:r>
      <w:r w:rsidR="00F3101C" w:rsidRPr="007A1703">
        <w:rPr>
          <w:rFonts w:cs="Arial"/>
          <w:snapToGrid w:val="0"/>
          <w:szCs w:val="22"/>
          <w:vertAlign w:val="superscript"/>
          <w:lang w:val="en-AU" w:eastAsia="en-US"/>
        </w:rPr>
        <w:t>®</w:t>
      </w:r>
      <w:r w:rsidR="0037530F" w:rsidRPr="007A1703">
        <w:rPr>
          <w:szCs w:val="22"/>
          <w:lang w:val="en-AU"/>
        </w:rPr>
        <w:t xml:space="preserve"> does not contain sucrose.  </w:t>
      </w:r>
      <w:proofErr w:type="spellStart"/>
      <w:r w:rsidR="0037530F" w:rsidRPr="007A1703">
        <w:rPr>
          <w:szCs w:val="22"/>
          <w:lang w:val="en-AU"/>
        </w:rPr>
        <w:t>Glycine</w:t>
      </w:r>
      <w:proofErr w:type="spellEnd"/>
      <w:r w:rsidR="0037530F" w:rsidRPr="007A1703">
        <w:rPr>
          <w:szCs w:val="22"/>
          <w:lang w:val="en-AU"/>
        </w:rPr>
        <w:t>, a natural amino acid, is used as a stabilizer.</w:t>
      </w:r>
      <w:r w:rsidR="00914CDA" w:rsidRPr="007A1703">
        <w:rPr>
          <w:szCs w:val="22"/>
          <w:lang w:val="en-AU"/>
        </w:rPr>
        <w:t xml:space="preserve"> </w:t>
      </w:r>
      <w:r w:rsidR="0037530F" w:rsidRPr="007A1703">
        <w:rPr>
          <w:szCs w:val="22"/>
          <w:lang w:val="en-AU"/>
        </w:rPr>
        <w:t xml:space="preserve">See DOSAGE AND ADMINISTRATION sections for important information intended to reduce the risk of acute renal failure. </w:t>
      </w:r>
    </w:p>
    <w:p w:rsidR="00172223" w:rsidRPr="007A1703" w:rsidRDefault="00172223" w:rsidP="00172223">
      <w:pPr>
        <w:pStyle w:val="Lemm1"/>
        <w:jc w:val="both"/>
        <w:rPr>
          <w:szCs w:val="22"/>
          <w:lang w:val="en-AU"/>
        </w:rPr>
      </w:pPr>
    </w:p>
    <w:p w:rsidR="00172223" w:rsidRPr="007A1703" w:rsidRDefault="00656455" w:rsidP="00172223">
      <w:pPr>
        <w:pStyle w:val="Lemm1"/>
        <w:jc w:val="both"/>
        <w:rPr>
          <w:szCs w:val="22"/>
          <w:lang w:val="en-AU"/>
        </w:rPr>
      </w:pPr>
      <w:r w:rsidRPr="007A1703">
        <w:rPr>
          <w:szCs w:val="22"/>
          <w:lang w:val="en-AU"/>
        </w:rPr>
        <w:t xml:space="preserve">Patients must not be </w:t>
      </w:r>
      <w:r w:rsidR="00172223" w:rsidRPr="007A1703">
        <w:rPr>
          <w:szCs w:val="22"/>
          <w:lang w:val="en-AU"/>
        </w:rPr>
        <w:t xml:space="preserve">volume depleted prior to the initiation of the infusion of IGIV. </w:t>
      </w:r>
      <w:r w:rsidR="00CD1D5D">
        <w:rPr>
          <w:szCs w:val="22"/>
          <w:lang w:val="en-AU"/>
        </w:rPr>
        <w:t xml:space="preserve">Concomitant use of loop diuretics must be avoided. </w:t>
      </w:r>
      <w:r w:rsidR="00172223" w:rsidRPr="007A1703">
        <w:rPr>
          <w:szCs w:val="22"/>
          <w:lang w:val="en-AU"/>
        </w:rPr>
        <w:t xml:space="preserve">Periodic monitoring of renal function and urine output is particularly important in patients judged to have a potential increased risk for developing acute renal failure. Renal function, including measurement of blood urea nitrogen (BUN)/serum </w:t>
      </w:r>
      <w:proofErr w:type="spellStart"/>
      <w:r w:rsidR="00172223" w:rsidRPr="007A1703">
        <w:rPr>
          <w:szCs w:val="22"/>
          <w:lang w:val="en-AU"/>
        </w:rPr>
        <w:t>creatinine</w:t>
      </w:r>
      <w:proofErr w:type="spellEnd"/>
      <w:r w:rsidR="00172223" w:rsidRPr="007A1703">
        <w:rPr>
          <w:szCs w:val="22"/>
          <w:lang w:val="en-AU"/>
        </w:rPr>
        <w:t xml:space="preserve">, should be assessed prior to the initial infusion of </w:t>
      </w:r>
      <w:r w:rsidR="00172223" w:rsidRPr="007A1703">
        <w:rPr>
          <w:rFonts w:cs="Arial"/>
          <w:szCs w:val="22"/>
          <w:lang w:val="en-AU"/>
        </w:rPr>
        <w:t>GAMUNEX</w:t>
      </w:r>
      <w:r w:rsidR="00172223" w:rsidRPr="007A1703">
        <w:rPr>
          <w:rFonts w:cs="Arial"/>
          <w:snapToGrid w:val="0"/>
          <w:szCs w:val="22"/>
          <w:vertAlign w:val="superscript"/>
          <w:lang w:val="en-AU" w:eastAsia="en-US"/>
        </w:rPr>
        <w:t>®</w:t>
      </w:r>
      <w:r w:rsidR="00172223" w:rsidRPr="007A1703">
        <w:rPr>
          <w:szCs w:val="22"/>
          <w:lang w:val="en-AU"/>
        </w:rPr>
        <w:t xml:space="preserve"> and again at appropriate intervals thereafter. If renal function deteriorates, discontinuation of the product should be considered. For patients judged to be at risk for developing renal dysfunction, it may be prudent to reduce the amount of product infused per unit time by infusing </w:t>
      </w:r>
      <w:r w:rsidR="00172223" w:rsidRPr="007A1703">
        <w:rPr>
          <w:rFonts w:cs="Arial"/>
          <w:szCs w:val="22"/>
          <w:lang w:val="en-AU"/>
        </w:rPr>
        <w:t>GAMUNEX</w:t>
      </w:r>
      <w:r w:rsidR="00172223" w:rsidRPr="007A1703">
        <w:rPr>
          <w:rFonts w:cs="Arial"/>
          <w:snapToGrid w:val="0"/>
          <w:szCs w:val="22"/>
          <w:vertAlign w:val="superscript"/>
          <w:lang w:val="en-AU" w:eastAsia="en-US"/>
        </w:rPr>
        <w:t>®</w:t>
      </w:r>
      <w:r w:rsidR="00172223" w:rsidRPr="007A1703">
        <w:rPr>
          <w:szCs w:val="22"/>
          <w:lang w:val="en-AU"/>
        </w:rPr>
        <w:t xml:space="preserve"> at a rate less than 8 mg IG/kg/min (0.08 </w:t>
      </w:r>
      <w:proofErr w:type="spellStart"/>
      <w:r w:rsidR="00172223" w:rsidRPr="007A1703">
        <w:rPr>
          <w:szCs w:val="22"/>
          <w:lang w:val="en-AU"/>
        </w:rPr>
        <w:t>mL</w:t>
      </w:r>
      <w:proofErr w:type="spellEnd"/>
      <w:r w:rsidR="00172223" w:rsidRPr="007A1703">
        <w:rPr>
          <w:szCs w:val="22"/>
          <w:lang w:val="en-AU"/>
        </w:rPr>
        <w:t>/kg/min).</w:t>
      </w:r>
    </w:p>
    <w:p w:rsidR="006105D1" w:rsidRPr="007A1703" w:rsidRDefault="006105D1" w:rsidP="00172223">
      <w:pPr>
        <w:pStyle w:val="Lemm1"/>
        <w:jc w:val="both"/>
        <w:rPr>
          <w:szCs w:val="22"/>
          <w:lang w:val="en-AU"/>
        </w:rPr>
      </w:pPr>
    </w:p>
    <w:p w:rsidR="006105D1" w:rsidRPr="007A1703" w:rsidRDefault="006105D1" w:rsidP="006105D1">
      <w:pPr>
        <w:pStyle w:val="Lemm1"/>
        <w:jc w:val="both"/>
        <w:rPr>
          <w:szCs w:val="22"/>
          <w:lang w:val="en-AU"/>
        </w:rPr>
      </w:pPr>
      <w:r w:rsidRPr="007A1703">
        <w:rPr>
          <w:szCs w:val="22"/>
          <w:lang w:val="en-AU"/>
        </w:rPr>
        <w:t xml:space="preserve">Increases in </w:t>
      </w:r>
      <w:proofErr w:type="spellStart"/>
      <w:r w:rsidRPr="007A1703">
        <w:rPr>
          <w:szCs w:val="22"/>
          <w:lang w:val="en-AU"/>
        </w:rPr>
        <w:t>creatinine</w:t>
      </w:r>
      <w:proofErr w:type="spellEnd"/>
      <w:r w:rsidRPr="007A1703">
        <w:rPr>
          <w:szCs w:val="22"/>
          <w:lang w:val="en-AU"/>
        </w:rPr>
        <w:t xml:space="preserve"> and blood urea nitrogen (BUN) have been observed as soon as one to two days following infusion with </w:t>
      </w:r>
      <w:r w:rsidR="004F25D8" w:rsidRPr="007A1703">
        <w:rPr>
          <w:szCs w:val="22"/>
          <w:lang w:val="en-AU"/>
        </w:rPr>
        <w:t>human normal immunoglobulin intravenous</w:t>
      </w:r>
      <w:r w:rsidRPr="007A1703">
        <w:rPr>
          <w:szCs w:val="22"/>
          <w:lang w:val="en-AU"/>
        </w:rPr>
        <w:t xml:space="preserve"> products, predominantly with products containing sucrose as stabilizer. Progression to </w:t>
      </w:r>
      <w:proofErr w:type="spellStart"/>
      <w:r w:rsidRPr="007A1703">
        <w:rPr>
          <w:szCs w:val="22"/>
          <w:lang w:val="en-AU"/>
        </w:rPr>
        <w:t>oliguria</w:t>
      </w:r>
      <w:proofErr w:type="spellEnd"/>
      <w:r w:rsidRPr="007A1703">
        <w:rPr>
          <w:szCs w:val="22"/>
          <w:lang w:val="en-AU"/>
        </w:rPr>
        <w:t xml:space="preserve"> and </w:t>
      </w:r>
      <w:proofErr w:type="spellStart"/>
      <w:r w:rsidRPr="007A1703">
        <w:rPr>
          <w:szCs w:val="22"/>
          <w:lang w:val="en-AU"/>
        </w:rPr>
        <w:t>anuria</w:t>
      </w:r>
      <w:proofErr w:type="spellEnd"/>
      <w:r w:rsidRPr="007A1703">
        <w:rPr>
          <w:szCs w:val="22"/>
          <w:lang w:val="en-AU"/>
        </w:rPr>
        <w:t xml:space="preserve"> requiring dialysis has been observed, although some patients have improved spontaneously following cessation of treatment. </w:t>
      </w:r>
    </w:p>
    <w:p w:rsidR="00172223" w:rsidRPr="007A1703" w:rsidRDefault="00172223">
      <w:pPr>
        <w:pStyle w:val="Lemm1"/>
        <w:jc w:val="both"/>
        <w:rPr>
          <w:szCs w:val="22"/>
          <w:lang w:val="en-AU"/>
        </w:rPr>
      </w:pPr>
    </w:p>
    <w:p w:rsidR="00172223" w:rsidRDefault="00172223">
      <w:pPr>
        <w:pStyle w:val="Lemm1"/>
        <w:jc w:val="both"/>
        <w:rPr>
          <w:b/>
          <w:szCs w:val="22"/>
          <w:lang w:val="en-AU"/>
        </w:rPr>
      </w:pPr>
      <w:r w:rsidRPr="007A1703">
        <w:rPr>
          <w:b/>
          <w:szCs w:val="22"/>
          <w:lang w:val="en-AU"/>
        </w:rPr>
        <w:t>Infection Risk</w:t>
      </w:r>
    </w:p>
    <w:p w:rsidR="00433C47" w:rsidRPr="007A1703" w:rsidRDefault="00433C47">
      <w:pPr>
        <w:pStyle w:val="Lemm1"/>
        <w:jc w:val="both"/>
        <w:rPr>
          <w:b/>
          <w:szCs w:val="22"/>
          <w:lang w:val="en-AU"/>
        </w:rPr>
      </w:pPr>
    </w:p>
    <w:p w:rsidR="0037530F" w:rsidRDefault="0037530F">
      <w:pPr>
        <w:pStyle w:val="Lemm1"/>
        <w:jc w:val="both"/>
        <w:rPr>
          <w:szCs w:val="22"/>
          <w:lang w:val="en-AU"/>
        </w:rPr>
      </w:pPr>
      <w:r w:rsidRPr="007A1703">
        <w:rPr>
          <w:szCs w:val="22"/>
          <w:lang w:val="en-AU"/>
        </w:rPr>
        <w:t>Because this product is made from human blood, it may carry a risk of transmitting infectious agents, e.g. viruses that can cause disease. The risk that such products will transmit an infectious agent has been reduced by screening plasma donors for prior exposure to certain viruses, by testing for the presence of certain current virus infections, and by inactivating and/or removing certain viruses. Despite these measures, such products can still potentially transmit disease. There is also the possibility that unknown infectious agents may be present in such products. Individuals who receive infusions of blood or plasma products may develop signs and/or symptoms of some viral infections.</w:t>
      </w:r>
    </w:p>
    <w:p w:rsidR="00F75974" w:rsidRDefault="00F75974">
      <w:pPr>
        <w:pStyle w:val="Lemm1"/>
        <w:jc w:val="both"/>
        <w:rPr>
          <w:szCs w:val="22"/>
          <w:lang w:val="en-AU"/>
        </w:rPr>
      </w:pPr>
    </w:p>
    <w:p w:rsidR="00F75974" w:rsidRDefault="00F75974" w:rsidP="00F75974">
      <w:pPr>
        <w:pStyle w:val="Lemm1"/>
        <w:jc w:val="both"/>
        <w:rPr>
          <w:szCs w:val="22"/>
          <w:lang w:val="en-AU"/>
        </w:rPr>
      </w:pPr>
      <w:r w:rsidRPr="007A1703">
        <w:rPr>
          <w:szCs w:val="22"/>
          <w:lang w:val="en-AU"/>
        </w:rPr>
        <w:t>The capacity of the manufacturing process to remove and/or inactivate enveloped and non-enveloped viruses has been validated by laboratory spiking studies on a scaled down process model, using the following enveloped and non-enveloped viruses: human immunodeficiency virus, type I (HIV-1) as the relevant virus for HIV-1 and HIV-2; bovine viral diarrh</w:t>
      </w:r>
      <w:r>
        <w:rPr>
          <w:szCs w:val="22"/>
          <w:lang w:val="en-AU"/>
        </w:rPr>
        <w:t>o</w:t>
      </w:r>
      <w:r w:rsidRPr="007A1703">
        <w:rPr>
          <w:szCs w:val="22"/>
          <w:lang w:val="en-AU"/>
        </w:rPr>
        <w:t>ea virus (BVDV) as a model for hepatitis C virus</w:t>
      </w:r>
      <w:r w:rsidR="004E3788">
        <w:rPr>
          <w:szCs w:val="22"/>
          <w:lang w:val="en-AU"/>
        </w:rPr>
        <w:t xml:space="preserve"> (HCV)</w:t>
      </w:r>
      <w:r w:rsidRPr="007A1703">
        <w:rPr>
          <w:szCs w:val="22"/>
          <w:lang w:val="en-AU"/>
        </w:rPr>
        <w:t xml:space="preserve">; </w:t>
      </w:r>
      <w:proofErr w:type="spellStart"/>
      <w:r w:rsidRPr="007A1703">
        <w:rPr>
          <w:szCs w:val="22"/>
          <w:lang w:val="en-AU"/>
        </w:rPr>
        <w:t>pseudorabies</w:t>
      </w:r>
      <w:proofErr w:type="spellEnd"/>
      <w:r w:rsidRPr="007A1703">
        <w:rPr>
          <w:szCs w:val="22"/>
          <w:lang w:val="en-AU"/>
        </w:rPr>
        <w:t xml:space="preserve"> virus (PRV) as a model for large DNA viruses (e.g. herpes viruses); Reo virus type 3 (Reo) as a model for non-enveloped viruses and for its resistance to physical and chemical inactivation;  hepatitis </w:t>
      </w:r>
      <w:r w:rsidRPr="007A1703">
        <w:rPr>
          <w:szCs w:val="22"/>
          <w:lang w:val="en-AU"/>
        </w:rPr>
        <w:lastRenderedPageBreak/>
        <w:t xml:space="preserve">A virus (HAV) as a relevant non-enveloped virus, and porcine parvovirus (PPV) as a model for human parvovirus B19. </w:t>
      </w:r>
    </w:p>
    <w:p w:rsidR="00AC6FA2" w:rsidRDefault="00AC6FA2" w:rsidP="00F75974">
      <w:pPr>
        <w:pStyle w:val="Lemm1"/>
        <w:jc w:val="both"/>
        <w:rPr>
          <w:szCs w:val="22"/>
          <w:lang w:val="en-AU"/>
        </w:rPr>
      </w:pPr>
    </w:p>
    <w:p w:rsidR="00CE49B1" w:rsidRPr="007A1703" w:rsidRDefault="00CE49B1" w:rsidP="00F75974">
      <w:pPr>
        <w:pStyle w:val="Lemm1"/>
        <w:jc w:val="both"/>
        <w:rPr>
          <w:szCs w:val="22"/>
          <w:lang w:val="en-AU"/>
        </w:rPr>
      </w:pPr>
      <w:r>
        <w:rPr>
          <w:szCs w:val="22"/>
          <w:lang w:val="en-AU"/>
        </w:rPr>
        <w:t xml:space="preserve">The measures taken are considered effective for enveloped viruses such as HIV, HBV, and HCV.  The measures taken may be of limited value against non-enveloped viruses such as HAV and/or parvovirus B19.  There is reassuring clinical experience regarding the lack of hepatitis A or parvovirus B19 transmission with </w:t>
      </w:r>
      <w:proofErr w:type="spellStart"/>
      <w:r>
        <w:rPr>
          <w:szCs w:val="22"/>
          <w:lang w:val="en-AU"/>
        </w:rPr>
        <w:t>immunoglobulins</w:t>
      </w:r>
      <w:proofErr w:type="spellEnd"/>
      <w:r>
        <w:rPr>
          <w:szCs w:val="22"/>
          <w:lang w:val="en-AU"/>
        </w:rPr>
        <w:t xml:space="preserve"> and it is also assumed that the antibody content makes an important contribution to the viral safety.</w:t>
      </w:r>
    </w:p>
    <w:p w:rsidR="00F75974" w:rsidRPr="007A1703" w:rsidRDefault="00F75974">
      <w:pPr>
        <w:pStyle w:val="Lemm1"/>
        <w:jc w:val="both"/>
        <w:rPr>
          <w:szCs w:val="22"/>
          <w:lang w:val="en-AU"/>
        </w:rPr>
      </w:pPr>
    </w:p>
    <w:p w:rsidR="00F75974" w:rsidRDefault="00F75974" w:rsidP="007A3AFF">
      <w:pPr>
        <w:pStyle w:val="Lemm1"/>
        <w:jc w:val="both"/>
        <w:rPr>
          <w:szCs w:val="22"/>
          <w:lang w:val="en-AU"/>
        </w:rPr>
      </w:pPr>
      <w:r>
        <w:rPr>
          <w:szCs w:val="22"/>
          <w:lang w:val="en-AU"/>
        </w:rPr>
        <w:t xml:space="preserve">Additionally, the manufacturing process was investigated for its capacity to decrease the infectivity of an experimental agent of transmissible spongiform encephalopathy (TSE), considered as a model for the </w:t>
      </w:r>
      <w:proofErr w:type="spellStart"/>
      <w:r>
        <w:rPr>
          <w:szCs w:val="22"/>
          <w:lang w:val="en-AU"/>
        </w:rPr>
        <w:t>vCJD</w:t>
      </w:r>
      <w:proofErr w:type="spellEnd"/>
      <w:r>
        <w:rPr>
          <w:szCs w:val="22"/>
          <w:lang w:val="en-AU"/>
        </w:rPr>
        <w:t xml:space="preserve"> and CJD agents.</w:t>
      </w:r>
      <w:r w:rsidR="00AC6FA2">
        <w:rPr>
          <w:szCs w:val="22"/>
          <w:lang w:val="en-AU"/>
        </w:rPr>
        <w:t xml:space="preserve"> </w:t>
      </w:r>
      <w:r>
        <w:rPr>
          <w:szCs w:val="22"/>
          <w:lang w:val="en-AU"/>
        </w:rPr>
        <w:t>Several of the individual production steps in the GAMUNEX</w:t>
      </w:r>
      <w:r w:rsidR="00AC6FA2" w:rsidRPr="007A1703">
        <w:rPr>
          <w:rFonts w:cs="Arial"/>
          <w:snapToGrid w:val="0"/>
          <w:szCs w:val="22"/>
          <w:vertAlign w:val="superscript"/>
          <w:lang w:val="en-AU" w:eastAsia="en-US"/>
        </w:rPr>
        <w:t>®</w:t>
      </w:r>
      <w:r>
        <w:rPr>
          <w:szCs w:val="22"/>
          <w:lang w:val="en-AU"/>
        </w:rPr>
        <w:t xml:space="preserve"> manufacturing process have been shown to decrease TSE infectivity of that experimental model agent.  </w:t>
      </w:r>
      <w:r w:rsidRPr="00EF796C">
        <w:rPr>
          <w:szCs w:val="22"/>
          <w:lang w:val="en-AU"/>
        </w:rPr>
        <w:t xml:space="preserve"> These studies provide reasonable assurance that </w:t>
      </w:r>
      <w:r>
        <w:rPr>
          <w:szCs w:val="22"/>
          <w:lang w:val="en-AU"/>
        </w:rPr>
        <w:t>low levels of CJD/</w:t>
      </w:r>
      <w:proofErr w:type="spellStart"/>
      <w:r>
        <w:rPr>
          <w:szCs w:val="22"/>
          <w:lang w:val="en-AU"/>
        </w:rPr>
        <w:t>vCJD</w:t>
      </w:r>
      <w:proofErr w:type="spellEnd"/>
      <w:r>
        <w:rPr>
          <w:szCs w:val="22"/>
          <w:lang w:val="en-AU"/>
        </w:rPr>
        <w:t xml:space="preserve"> agent infectivity, if present in the starting material, would be removed.</w:t>
      </w:r>
    </w:p>
    <w:p w:rsidR="008C2FF1" w:rsidRDefault="008C2FF1" w:rsidP="007A3AFF">
      <w:pPr>
        <w:pStyle w:val="Lemm1"/>
        <w:jc w:val="both"/>
        <w:rPr>
          <w:szCs w:val="22"/>
          <w:lang w:val="en-AU"/>
        </w:rPr>
      </w:pPr>
    </w:p>
    <w:p w:rsidR="008C2FF1" w:rsidRPr="00EF796C" w:rsidRDefault="0000208E" w:rsidP="007A3AFF">
      <w:pPr>
        <w:pStyle w:val="Lemm1"/>
        <w:jc w:val="both"/>
        <w:rPr>
          <w:szCs w:val="22"/>
          <w:lang w:val="en-AU"/>
        </w:rPr>
      </w:pPr>
      <w:r>
        <w:rPr>
          <w:szCs w:val="22"/>
          <w:lang w:val="en-AU"/>
        </w:rPr>
        <w:t>I</w:t>
      </w:r>
      <w:r w:rsidR="008C2FF1">
        <w:rPr>
          <w:szCs w:val="22"/>
          <w:lang w:val="en-AU"/>
        </w:rPr>
        <w:t xml:space="preserve">t is </w:t>
      </w:r>
      <w:r>
        <w:rPr>
          <w:szCs w:val="22"/>
          <w:lang w:val="en-AU"/>
        </w:rPr>
        <w:t xml:space="preserve">strongly </w:t>
      </w:r>
      <w:r w:rsidR="008C2FF1">
        <w:rPr>
          <w:szCs w:val="22"/>
          <w:lang w:val="en-AU"/>
        </w:rPr>
        <w:t xml:space="preserve">recommended that every time that </w:t>
      </w:r>
      <w:r w:rsidR="008C2FF1" w:rsidRPr="007A1703">
        <w:rPr>
          <w:rFonts w:cs="Arial"/>
          <w:szCs w:val="22"/>
          <w:lang w:val="en-AU"/>
        </w:rPr>
        <w:t>GAMUNEX</w:t>
      </w:r>
      <w:r w:rsidR="008C2FF1" w:rsidRPr="007A1703">
        <w:rPr>
          <w:rFonts w:cs="Arial"/>
          <w:snapToGrid w:val="0"/>
          <w:szCs w:val="22"/>
          <w:vertAlign w:val="superscript"/>
          <w:lang w:val="en-AU" w:eastAsia="en-US"/>
        </w:rPr>
        <w:t>®</w:t>
      </w:r>
      <w:r w:rsidR="008C2FF1" w:rsidRPr="008C2FF1">
        <w:rPr>
          <w:szCs w:val="22"/>
          <w:lang w:val="en-AU"/>
        </w:rPr>
        <w:t xml:space="preserve"> is</w:t>
      </w:r>
      <w:r w:rsidR="008C2FF1">
        <w:rPr>
          <w:szCs w:val="22"/>
          <w:lang w:val="en-AU"/>
        </w:rPr>
        <w:t xml:space="preserve"> administered to </w:t>
      </w:r>
      <w:r>
        <w:rPr>
          <w:szCs w:val="22"/>
          <w:lang w:val="en-AU"/>
        </w:rPr>
        <w:t>a patient</w:t>
      </w:r>
      <w:r w:rsidR="008C2FF1">
        <w:rPr>
          <w:szCs w:val="22"/>
          <w:lang w:val="en-AU"/>
        </w:rPr>
        <w:t xml:space="preserve">, the name and batch number of the product </w:t>
      </w:r>
      <w:r w:rsidR="00862DFB">
        <w:rPr>
          <w:szCs w:val="22"/>
          <w:lang w:val="en-AU"/>
        </w:rPr>
        <w:t>are recorded using the supplied tear off labels in order to maintain a link between the patient and the batch of the product</w:t>
      </w:r>
      <w:r w:rsidR="008C2FF1">
        <w:rPr>
          <w:szCs w:val="22"/>
          <w:lang w:val="en-AU"/>
        </w:rPr>
        <w:t>.</w:t>
      </w:r>
    </w:p>
    <w:p w:rsidR="0037530F" w:rsidRPr="007A1703" w:rsidRDefault="0037530F" w:rsidP="007A3AFF">
      <w:pPr>
        <w:pStyle w:val="Lemm1"/>
        <w:jc w:val="both"/>
        <w:rPr>
          <w:szCs w:val="22"/>
          <w:lang w:val="en-AU"/>
        </w:rPr>
      </w:pPr>
    </w:p>
    <w:p w:rsidR="0037530F" w:rsidRDefault="00172223">
      <w:pPr>
        <w:pStyle w:val="Lemm1"/>
        <w:jc w:val="both"/>
        <w:rPr>
          <w:b/>
          <w:szCs w:val="22"/>
          <w:lang w:val="en-AU"/>
        </w:rPr>
      </w:pPr>
      <w:r w:rsidRPr="007A1703">
        <w:rPr>
          <w:b/>
          <w:szCs w:val="22"/>
          <w:lang w:val="en-AU"/>
        </w:rPr>
        <w:t>Anaphylaxis</w:t>
      </w:r>
    </w:p>
    <w:p w:rsidR="00433C47" w:rsidRPr="007A1703" w:rsidRDefault="00433C47">
      <w:pPr>
        <w:pStyle w:val="Lemm1"/>
        <w:jc w:val="both"/>
        <w:rPr>
          <w:b/>
          <w:szCs w:val="22"/>
          <w:lang w:val="en-AU"/>
        </w:rPr>
      </w:pPr>
    </w:p>
    <w:p w:rsidR="0037530F" w:rsidRDefault="00F3101C">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0037530F" w:rsidRPr="007A1703">
        <w:rPr>
          <w:snapToGrid w:val="0"/>
          <w:szCs w:val="22"/>
          <w:lang w:val="en-AU" w:eastAsia="en-US"/>
        </w:rPr>
        <w:t xml:space="preserve"> </w:t>
      </w:r>
      <w:r w:rsidR="0037530F" w:rsidRPr="005C1FFC">
        <w:rPr>
          <w:szCs w:val="22"/>
          <w:lang w:val="en-AU"/>
        </w:rPr>
        <w:t>sho</w:t>
      </w:r>
      <w:r w:rsidR="0037530F" w:rsidRPr="007A1703">
        <w:rPr>
          <w:szCs w:val="22"/>
          <w:lang w:val="en-AU"/>
        </w:rPr>
        <w:t>uld be administered only intravenously</w:t>
      </w:r>
      <w:r w:rsidR="006701E3">
        <w:rPr>
          <w:szCs w:val="22"/>
          <w:lang w:val="en-AU"/>
        </w:rPr>
        <w:t xml:space="preserve"> </w:t>
      </w:r>
      <w:r w:rsidR="006701E3" w:rsidRPr="005C1FFC">
        <w:rPr>
          <w:szCs w:val="22"/>
          <w:lang w:val="en-AU"/>
        </w:rPr>
        <w:t>or subcutaneously</w:t>
      </w:r>
      <w:r w:rsidR="0037530F" w:rsidRPr="007A1703">
        <w:rPr>
          <w:szCs w:val="22"/>
          <w:lang w:val="en-AU"/>
        </w:rPr>
        <w:t xml:space="preserve">. On rare occasions, treatment with an immune globulin preparation may cause a precipitous fall in blood pressure and a clinical picture of anaphylaxis, even when the patient is not known to be sensitive to immune globulin preparations. </w:t>
      </w:r>
      <w:r w:rsidR="00547A99" w:rsidRPr="007A1703">
        <w:rPr>
          <w:szCs w:val="22"/>
          <w:lang w:val="en-AU"/>
        </w:rPr>
        <w:t>Adrenalin</w:t>
      </w:r>
      <w:r w:rsidR="0037530F" w:rsidRPr="007A1703">
        <w:rPr>
          <w:szCs w:val="22"/>
          <w:lang w:val="en-AU"/>
        </w:rPr>
        <w:t xml:space="preserve"> and other appropriate supportive care should be available for the treatment of an acute anaphylactic reaction.</w:t>
      </w:r>
    </w:p>
    <w:p w:rsidR="00AC6FA2" w:rsidRPr="007A1703" w:rsidRDefault="00AC6FA2">
      <w:pPr>
        <w:pStyle w:val="Lemm1"/>
        <w:jc w:val="both"/>
        <w:rPr>
          <w:szCs w:val="22"/>
          <w:lang w:val="en-AU"/>
        </w:rPr>
      </w:pPr>
    </w:p>
    <w:p w:rsidR="006105D1" w:rsidRPr="007A1703" w:rsidRDefault="006105D1" w:rsidP="006105D1">
      <w:pPr>
        <w:pStyle w:val="Lemm1"/>
        <w:jc w:val="both"/>
        <w:rPr>
          <w:szCs w:val="22"/>
          <w:lang w:val="en-AU"/>
        </w:rPr>
      </w:pPr>
      <w:r w:rsidRPr="007A1703">
        <w:rPr>
          <w:szCs w:val="22"/>
          <w:lang w:val="en-AU"/>
        </w:rPr>
        <w:t xml:space="preserve">True anaphylactic reactions to </w:t>
      </w:r>
      <w:r w:rsidRPr="007A1703">
        <w:rPr>
          <w:rFonts w:cs="Arial"/>
          <w:szCs w:val="22"/>
          <w:lang w:val="en-AU"/>
        </w:rPr>
        <w:t>GAMUNEX</w:t>
      </w:r>
      <w:r w:rsidRPr="007A1703">
        <w:rPr>
          <w:rFonts w:cs="Arial"/>
          <w:snapToGrid w:val="0"/>
          <w:szCs w:val="22"/>
          <w:vertAlign w:val="superscript"/>
          <w:lang w:val="en-AU" w:eastAsia="en-US"/>
        </w:rPr>
        <w:t>®</w:t>
      </w:r>
      <w:r w:rsidRPr="007A1703">
        <w:rPr>
          <w:szCs w:val="22"/>
          <w:lang w:val="en-AU"/>
        </w:rPr>
        <w:t xml:space="preserve"> may occur in recipients with documented prior histories of severe allergic reactions to intramuscular immunoglobulin, but some subjects may tolerate cautiously administered intravenous immunoglobulin without adverse effects. Very rarely an </w:t>
      </w:r>
      <w:proofErr w:type="spellStart"/>
      <w:r w:rsidRPr="007A1703">
        <w:rPr>
          <w:szCs w:val="22"/>
          <w:lang w:val="en-AU"/>
        </w:rPr>
        <w:t>anaphylactoid</w:t>
      </w:r>
      <w:proofErr w:type="spellEnd"/>
      <w:r w:rsidRPr="007A1703">
        <w:rPr>
          <w:szCs w:val="22"/>
          <w:lang w:val="en-AU"/>
        </w:rPr>
        <w:t xml:space="preserve"> reaction may occur in subjects with no prior history of severe allergic reactions to either intramuscular or intravenous immunoglobulin. </w:t>
      </w:r>
    </w:p>
    <w:p w:rsidR="00D74F8A" w:rsidRPr="007A1703" w:rsidRDefault="00D74F8A">
      <w:pPr>
        <w:pStyle w:val="Lemm1"/>
        <w:jc w:val="both"/>
        <w:rPr>
          <w:b/>
          <w:szCs w:val="22"/>
          <w:lang w:val="en-AU"/>
        </w:rPr>
      </w:pPr>
    </w:p>
    <w:p w:rsidR="00656455" w:rsidRPr="007A1703" w:rsidRDefault="00172223">
      <w:pPr>
        <w:pStyle w:val="Lemm1"/>
        <w:jc w:val="both"/>
        <w:rPr>
          <w:b/>
          <w:szCs w:val="22"/>
          <w:lang w:val="en-AU"/>
        </w:rPr>
      </w:pPr>
      <w:r w:rsidRPr="007A1703">
        <w:rPr>
          <w:b/>
          <w:szCs w:val="22"/>
          <w:lang w:val="en-AU"/>
        </w:rPr>
        <w:t>Aseptic Meningitis Syndrome</w:t>
      </w:r>
    </w:p>
    <w:p w:rsidR="0037530F" w:rsidRPr="007A1703" w:rsidRDefault="0037530F">
      <w:pPr>
        <w:pStyle w:val="Lemm1"/>
        <w:jc w:val="both"/>
        <w:rPr>
          <w:szCs w:val="22"/>
          <w:lang w:val="en-AU"/>
        </w:rPr>
      </w:pPr>
    </w:p>
    <w:p w:rsidR="0037530F" w:rsidRPr="007A1703" w:rsidRDefault="0037530F">
      <w:pPr>
        <w:jc w:val="both"/>
        <w:rPr>
          <w:rFonts w:ascii="Arial" w:hAnsi="Arial"/>
          <w:sz w:val="22"/>
          <w:szCs w:val="22"/>
          <w:lang w:val="en-AU"/>
        </w:rPr>
      </w:pPr>
      <w:r w:rsidRPr="007A1703">
        <w:rPr>
          <w:rFonts w:ascii="Arial" w:hAnsi="Arial"/>
          <w:sz w:val="22"/>
          <w:szCs w:val="22"/>
          <w:lang w:val="en-AU"/>
        </w:rPr>
        <w:t xml:space="preserve">An aseptic meningitis syndrome (AMS) has been reported to occur infrequently in association with </w:t>
      </w:r>
      <w:r w:rsidR="004F25D8" w:rsidRPr="007A1703">
        <w:rPr>
          <w:rFonts w:ascii="Arial" w:hAnsi="Arial"/>
          <w:sz w:val="22"/>
          <w:szCs w:val="22"/>
          <w:lang w:val="en-AU"/>
        </w:rPr>
        <w:t>human normal immunoglobulin intravenous</w:t>
      </w:r>
      <w:r w:rsidRPr="007A1703">
        <w:rPr>
          <w:rFonts w:ascii="Arial" w:hAnsi="Arial"/>
          <w:sz w:val="22"/>
          <w:szCs w:val="22"/>
          <w:lang w:val="en-AU"/>
        </w:rPr>
        <w:t xml:space="preserve"> treatment. The syndrome usually begins within several hours to two days following </w:t>
      </w:r>
      <w:r w:rsidR="004F25D8" w:rsidRPr="007A1703">
        <w:rPr>
          <w:rFonts w:ascii="Arial" w:hAnsi="Arial"/>
          <w:sz w:val="22"/>
          <w:szCs w:val="22"/>
          <w:lang w:val="en-AU"/>
        </w:rPr>
        <w:t>human normal immunoglobulin intravenous</w:t>
      </w:r>
      <w:r w:rsidRPr="007A1703">
        <w:rPr>
          <w:rFonts w:ascii="Arial" w:hAnsi="Arial"/>
          <w:sz w:val="22"/>
          <w:szCs w:val="22"/>
          <w:lang w:val="en-AU"/>
        </w:rPr>
        <w:t xml:space="preserve"> treatment. It is characterized by symptoms and signs including severe headache, </w:t>
      </w:r>
      <w:proofErr w:type="spellStart"/>
      <w:r w:rsidRPr="007A1703">
        <w:rPr>
          <w:rFonts w:ascii="Arial" w:hAnsi="Arial"/>
          <w:sz w:val="22"/>
          <w:szCs w:val="22"/>
          <w:lang w:val="en-AU"/>
        </w:rPr>
        <w:t>nuchal</w:t>
      </w:r>
      <w:proofErr w:type="spellEnd"/>
      <w:r w:rsidRPr="007A1703">
        <w:rPr>
          <w:rFonts w:ascii="Arial" w:hAnsi="Arial"/>
          <w:sz w:val="22"/>
          <w:szCs w:val="22"/>
          <w:lang w:val="en-AU"/>
        </w:rPr>
        <w:t xml:space="preserve"> rigidity, drowsiness, fever, photophobia, painful eye movements, nausea and vomiting. </w:t>
      </w:r>
    </w:p>
    <w:p w:rsidR="0037530F" w:rsidRPr="007A1703" w:rsidRDefault="0037530F">
      <w:pPr>
        <w:jc w:val="both"/>
        <w:rPr>
          <w:rFonts w:ascii="Arial" w:hAnsi="Arial"/>
          <w:sz w:val="22"/>
          <w:szCs w:val="22"/>
          <w:lang w:val="en-AU"/>
        </w:rPr>
      </w:pPr>
    </w:p>
    <w:p w:rsidR="0037530F" w:rsidRPr="007A1703" w:rsidRDefault="0037530F">
      <w:pPr>
        <w:pStyle w:val="BodyText"/>
        <w:rPr>
          <w:sz w:val="22"/>
          <w:szCs w:val="22"/>
          <w:lang w:val="en-AU"/>
        </w:rPr>
      </w:pPr>
      <w:r w:rsidRPr="007A1703">
        <w:rPr>
          <w:sz w:val="22"/>
          <w:szCs w:val="22"/>
          <w:lang w:val="en-AU"/>
        </w:rPr>
        <w:t xml:space="preserve">AMS may occur more frequently in association with high dose (2 g/kg) and or rapid infusion of </w:t>
      </w:r>
      <w:r w:rsidR="004F25D8" w:rsidRPr="007A1703">
        <w:rPr>
          <w:sz w:val="22"/>
          <w:szCs w:val="22"/>
          <w:lang w:val="en-AU"/>
        </w:rPr>
        <w:t>human normal immunoglobulin intravenous</w:t>
      </w:r>
      <w:r w:rsidRPr="007A1703">
        <w:rPr>
          <w:sz w:val="22"/>
          <w:szCs w:val="22"/>
          <w:lang w:val="en-AU"/>
        </w:rPr>
        <w:t xml:space="preserve"> treatment. Discontinuation of </w:t>
      </w:r>
      <w:r w:rsidR="004F25D8" w:rsidRPr="007A1703">
        <w:rPr>
          <w:sz w:val="22"/>
          <w:szCs w:val="22"/>
          <w:lang w:val="en-AU"/>
        </w:rPr>
        <w:t>human normal immunoglobulin intravenous</w:t>
      </w:r>
      <w:r w:rsidRPr="007A1703">
        <w:rPr>
          <w:sz w:val="22"/>
          <w:szCs w:val="22"/>
          <w:lang w:val="en-AU"/>
        </w:rPr>
        <w:t xml:space="preserve"> treatment has resulted in remission of AMS within several days without </w:t>
      </w:r>
      <w:proofErr w:type="spellStart"/>
      <w:r w:rsidRPr="007A1703">
        <w:rPr>
          <w:sz w:val="22"/>
          <w:szCs w:val="22"/>
          <w:lang w:val="en-AU"/>
        </w:rPr>
        <w:t>sequelae</w:t>
      </w:r>
      <w:proofErr w:type="spellEnd"/>
      <w:r w:rsidRPr="007A1703">
        <w:rPr>
          <w:sz w:val="22"/>
          <w:szCs w:val="22"/>
          <w:lang w:val="en-AU"/>
        </w:rPr>
        <w:t>.</w:t>
      </w:r>
    </w:p>
    <w:p w:rsidR="0037530F" w:rsidRPr="007A1703" w:rsidRDefault="0037530F">
      <w:pPr>
        <w:pStyle w:val="Lemm1"/>
        <w:jc w:val="both"/>
        <w:rPr>
          <w:szCs w:val="22"/>
          <w:lang w:val="en-AU"/>
        </w:rPr>
      </w:pPr>
    </w:p>
    <w:p w:rsidR="0037530F" w:rsidRDefault="0037530F">
      <w:pPr>
        <w:pStyle w:val="Indent1Normal"/>
        <w:spacing w:line="240" w:lineRule="auto"/>
        <w:ind w:left="0"/>
        <w:jc w:val="both"/>
        <w:rPr>
          <w:b/>
          <w:szCs w:val="22"/>
          <w:lang w:val="en-AU"/>
        </w:rPr>
      </w:pPr>
      <w:r w:rsidRPr="007A1703">
        <w:rPr>
          <w:b/>
          <w:szCs w:val="22"/>
          <w:lang w:val="en-AU"/>
        </w:rPr>
        <w:t>H</w:t>
      </w:r>
      <w:r w:rsidR="00060D5B" w:rsidRPr="007A1703">
        <w:rPr>
          <w:b/>
          <w:szCs w:val="22"/>
          <w:lang w:val="en-AU"/>
        </w:rPr>
        <w:t>a</w:t>
      </w:r>
      <w:r w:rsidRPr="007A1703">
        <w:rPr>
          <w:b/>
          <w:szCs w:val="22"/>
          <w:lang w:val="en-AU"/>
        </w:rPr>
        <w:t>emolysis</w:t>
      </w:r>
    </w:p>
    <w:p w:rsidR="00433C47" w:rsidRPr="007A1703" w:rsidRDefault="00433C47">
      <w:pPr>
        <w:pStyle w:val="Indent1Normal"/>
        <w:spacing w:line="240" w:lineRule="auto"/>
        <w:ind w:left="0"/>
        <w:jc w:val="both"/>
        <w:rPr>
          <w:b/>
          <w:szCs w:val="22"/>
          <w:lang w:val="en-AU"/>
        </w:rPr>
      </w:pPr>
    </w:p>
    <w:p w:rsidR="006105D1" w:rsidRPr="007A1703" w:rsidRDefault="004F25D8">
      <w:pPr>
        <w:pStyle w:val="Indent1Normal"/>
        <w:spacing w:line="240" w:lineRule="auto"/>
        <w:ind w:left="0"/>
        <w:jc w:val="both"/>
        <w:rPr>
          <w:szCs w:val="22"/>
          <w:lang w:val="en-AU"/>
        </w:rPr>
      </w:pPr>
      <w:r w:rsidRPr="007A1703">
        <w:rPr>
          <w:szCs w:val="22"/>
          <w:lang w:val="en-AU"/>
        </w:rPr>
        <w:t xml:space="preserve">Human normal immunoglobulin intravenous </w:t>
      </w:r>
      <w:r w:rsidR="0037530F" w:rsidRPr="007A1703">
        <w:rPr>
          <w:szCs w:val="22"/>
          <w:lang w:val="en-AU"/>
        </w:rPr>
        <w:t xml:space="preserve">(IGIV) products can contain blood group antibodies which may act as </w:t>
      </w:r>
      <w:r w:rsidR="00B72FBC" w:rsidRPr="007A1703">
        <w:rPr>
          <w:szCs w:val="22"/>
          <w:lang w:val="en-AU"/>
        </w:rPr>
        <w:t>haemolysi</w:t>
      </w:r>
      <w:r w:rsidR="0037530F" w:rsidRPr="007A1703">
        <w:rPr>
          <w:szCs w:val="22"/>
          <w:lang w:val="en-AU"/>
        </w:rPr>
        <w:t xml:space="preserve">ns and induce </w:t>
      </w:r>
      <w:r w:rsidR="0037530F" w:rsidRPr="007A1703">
        <w:rPr>
          <w:i/>
          <w:szCs w:val="22"/>
          <w:lang w:val="en-AU"/>
        </w:rPr>
        <w:t>in vivo</w:t>
      </w:r>
      <w:r w:rsidR="0037530F" w:rsidRPr="007A1703">
        <w:rPr>
          <w:szCs w:val="22"/>
          <w:lang w:val="en-AU"/>
        </w:rPr>
        <w:t xml:space="preserve"> coating of </w:t>
      </w:r>
      <w:r w:rsidR="00F24384" w:rsidRPr="007A1703">
        <w:rPr>
          <w:szCs w:val="22"/>
          <w:lang w:val="en-AU"/>
        </w:rPr>
        <w:t xml:space="preserve">red blood cells </w:t>
      </w:r>
      <w:r w:rsidR="0037530F" w:rsidRPr="007A1703">
        <w:rPr>
          <w:szCs w:val="22"/>
          <w:lang w:val="en-AU"/>
        </w:rPr>
        <w:t xml:space="preserve">with </w:t>
      </w:r>
      <w:r w:rsidR="0037530F" w:rsidRPr="007A1703">
        <w:rPr>
          <w:szCs w:val="22"/>
          <w:lang w:val="en-AU"/>
        </w:rPr>
        <w:lastRenderedPageBreak/>
        <w:t xml:space="preserve">immunoglobulin, causing a positive direct </w:t>
      </w:r>
      <w:proofErr w:type="spellStart"/>
      <w:r w:rsidR="0037530F" w:rsidRPr="007A1703">
        <w:rPr>
          <w:szCs w:val="22"/>
          <w:lang w:val="en-AU"/>
        </w:rPr>
        <w:t>antiglobulin</w:t>
      </w:r>
      <w:proofErr w:type="spellEnd"/>
      <w:r w:rsidR="0037530F" w:rsidRPr="007A1703">
        <w:rPr>
          <w:szCs w:val="22"/>
          <w:lang w:val="en-AU"/>
        </w:rPr>
        <w:t xml:space="preserve"> reaction and, rarely, </w:t>
      </w:r>
      <w:r w:rsidR="00B72FBC" w:rsidRPr="007A1703">
        <w:rPr>
          <w:szCs w:val="22"/>
          <w:lang w:val="en-AU"/>
        </w:rPr>
        <w:t>haemolysis</w:t>
      </w:r>
      <w:r w:rsidR="00627036" w:rsidRPr="007A1703">
        <w:rPr>
          <w:szCs w:val="22"/>
          <w:lang w:val="en-AU"/>
        </w:rPr>
        <w:t>.</w:t>
      </w:r>
      <w:r w:rsidR="0037530F" w:rsidRPr="007A1703">
        <w:rPr>
          <w:szCs w:val="22"/>
          <w:vertAlign w:val="superscript"/>
          <w:lang w:val="en-AU"/>
        </w:rPr>
        <w:t xml:space="preserve"> </w:t>
      </w:r>
      <w:r w:rsidR="0037530F" w:rsidRPr="007A1703">
        <w:rPr>
          <w:szCs w:val="22"/>
          <w:lang w:val="en-AU"/>
        </w:rPr>
        <w:t xml:space="preserve"> </w:t>
      </w:r>
      <w:r w:rsidR="00172223" w:rsidRPr="007A1703">
        <w:rPr>
          <w:szCs w:val="22"/>
          <w:lang w:val="en-AU"/>
        </w:rPr>
        <w:t xml:space="preserve">Haemolytic </w:t>
      </w:r>
      <w:r w:rsidR="0037530F" w:rsidRPr="007A1703">
        <w:rPr>
          <w:szCs w:val="22"/>
          <w:lang w:val="en-AU"/>
        </w:rPr>
        <w:t>an</w:t>
      </w:r>
      <w:r w:rsidR="004C3586" w:rsidRPr="007A1703">
        <w:rPr>
          <w:szCs w:val="22"/>
          <w:lang w:val="en-AU"/>
        </w:rPr>
        <w:t>aemia</w:t>
      </w:r>
      <w:r w:rsidR="0037530F" w:rsidRPr="007A1703">
        <w:rPr>
          <w:szCs w:val="22"/>
          <w:lang w:val="en-AU"/>
        </w:rPr>
        <w:t xml:space="preserve"> can develop subsequent to IGIV therapy due to enhanced </w:t>
      </w:r>
      <w:r w:rsidR="00F24384" w:rsidRPr="007A1703">
        <w:rPr>
          <w:szCs w:val="22"/>
          <w:lang w:val="en-AU"/>
        </w:rPr>
        <w:t xml:space="preserve">red blood cells </w:t>
      </w:r>
      <w:r w:rsidR="0037530F" w:rsidRPr="007A1703">
        <w:rPr>
          <w:szCs w:val="22"/>
          <w:lang w:val="en-AU"/>
        </w:rPr>
        <w:t xml:space="preserve">sequestration.. IGIV recipients should be monitored for clinical signs and symptoms of </w:t>
      </w:r>
      <w:r w:rsidR="00B72FBC" w:rsidRPr="007A1703">
        <w:rPr>
          <w:szCs w:val="22"/>
          <w:lang w:val="en-AU"/>
        </w:rPr>
        <w:t>haemolysis</w:t>
      </w:r>
      <w:r w:rsidR="00627036" w:rsidRPr="007A1703">
        <w:rPr>
          <w:szCs w:val="22"/>
          <w:lang w:val="en-AU"/>
        </w:rPr>
        <w:t>.</w:t>
      </w:r>
      <w:r w:rsidR="0037530F" w:rsidRPr="007A1703">
        <w:rPr>
          <w:szCs w:val="22"/>
          <w:lang w:val="en-AU"/>
        </w:rPr>
        <w:t xml:space="preserve"> </w:t>
      </w:r>
    </w:p>
    <w:p w:rsidR="0037530F" w:rsidRPr="007A1703" w:rsidRDefault="0037530F">
      <w:pPr>
        <w:pStyle w:val="Indent1Normal"/>
        <w:spacing w:line="240" w:lineRule="auto"/>
        <w:ind w:left="0"/>
        <w:jc w:val="both"/>
        <w:rPr>
          <w:szCs w:val="22"/>
          <w:lang w:val="en-AU"/>
        </w:rPr>
      </w:pPr>
      <w:r w:rsidRPr="007A1703">
        <w:rPr>
          <w:szCs w:val="22"/>
          <w:lang w:val="en-AU"/>
        </w:rPr>
        <w:t xml:space="preserve"> </w:t>
      </w:r>
    </w:p>
    <w:p w:rsidR="006105D1" w:rsidRPr="007A1703" w:rsidRDefault="006105D1" w:rsidP="006105D1">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Pr="007A1703">
        <w:rPr>
          <w:szCs w:val="22"/>
          <w:lang w:val="en-AU"/>
        </w:rPr>
        <w:t xml:space="preserve"> may contain low levels of anti-Blood Group A and B antibodies primarily of the IgG</w:t>
      </w:r>
      <w:r w:rsidRPr="007A1703">
        <w:rPr>
          <w:szCs w:val="22"/>
          <w:vertAlign w:val="subscript"/>
          <w:lang w:val="en-AU"/>
        </w:rPr>
        <w:t>4</w:t>
      </w:r>
      <w:r w:rsidRPr="007A1703">
        <w:rPr>
          <w:szCs w:val="22"/>
          <w:lang w:val="en-AU"/>
        </w:rPr>
        <w:t xml:space="preserve"> class.  Direct </w:t>
      </w:r>
      <w:proofErr w:type="spellStart"/>
      <w:r w:rsidRPr="007A1703">
        <w:rPr>
          <w:szCs w:val="22"/>
          <w:lang w:val="en-AU"/>
        </w:rPr>
        <w:t>antiglobulin</w:t>
      </w:r>
      <w:proofErr w:type="spellEnd"/>
      <w:r w:rsidRPr="007A1703">
        <w:rPr>
          <w:szCs w:val="22"/>
          <w:lang w:val="en-AU"/>
        </w:rPr>
        <w:t xml:space="preserve"> tests (DAT or direct Coombs tests), which are carried out in some centres as a safety check prior to red blood cell transfusions, may become positive temporarily. GAMUNEX</w:t>
      </w:r>
      <w:r w:rsidRPr="007A1703">
        <w:rPr>
          <w:snapToGrid w:val="0"/>
          <w:szCs w:val="22"/>
          <w:vertAlign w:val="superscript"/>
          <w:lang w:val="en-AU" w:eastAsia="en-US"/>
        </w:rPr>
        <w:t>®</w:t>
      </w:r>
      <w:r w:rsidRPr="007A1703">
        <w:rPr>
          <w:szCs w:val="22"/>
          <w:lang w:val="en-AU"/>
        </w:rPr>
        <w:t xml:space="preserve"> does not contain irregular antibodies to Rhesus antigens or other non-ABO RBC antigens. Haemolytic events were not detected in association with positive DAT findings in clinical trials. </w:t>
      </w:r>
      <w:r w:rsidR="00F24384" w:rsidRPr="007A1703">
        <w:rPr>
          <w:szCs w:val="22"/>
          <w:lang w:val="en-AU"/>
        </w:rPr>
        <w:t>If signs and/or symptoms of haemolysis are present after IGIV infusion, appropriate confirmatory laboratory testing should be done.</w:t>
      </w:r>
    </w:p>
    <w:p w:rsidR="006105D1" w:rsidRPr="007A1703" w:rsidRDefault="006105D1">
      <w:pPr>
        <w:pStyle w:val="Indent1Normal"/>
        <w:spacing w:line="240" w:lineRule="auto"/>
        <w:ind w:left="0"/>
        <w:jc w:val="both"/>
        <w:rPr>
          <w:szCs w:val="22"/>
          <w:lang w:val="en-AU"/>
        </w:rPr>
      </w:pPr>
    </w:p>
    <w:p w:rsidR="0037530F" w:rsidRDefault="0037530F">
      <w:pPr>
        <w:pStyle w:val="Indent1Normal"/>
        <w:spacing w:line="240" w:lineRule="auto"/>
        <w:ind w:left="0"/>
        <w:jc w:val="both"/>
        <w:rPr>
          <w:b/>
          <w:szCs w:val="22"/>
          <w:lang w:val="en-AU"/>
        </w:rPr>
      </w:pPr>
      <w:r w:rsidRPr="007A1703">
        <w:rPr>
          <w:b/>
          <w:szCs w:val="22"/>
          <w:lang w:val="en-AU"/>
        </w:rPr>
        <w:t>Thrombotic events</w:t>
      </w:r>
    </w:p>
    <w:p w:rsidR="00433C47" w:rsidRPr="007A1703" w:rsidRDefault="00433C47">
      <w:pPr>
        <w:pStyle w:val="Indent1Normal"/>
        <w:spacing w:line="240" w:lineRule="auto"/>
        <w:ind w:left="0"/>
        <w:jc w:val="both"/>
        <w:rPr>
          <w:b/>
          <w:szCs w:val="22"/>
          <w:lang w:val="en-AU"/>
        </w:rPr>
      </w:pPr>
    </w:p>
    <w:p w:rsidR="0037530F" w:rsidRPr="007A1703" w:rsidRDefault="0037530F">
      <w:pPr>
        <w:pStyle w:val="Indent1Normal"/>
        <w:spacing w:line="240" w:lineRule="auto"/>
        <w:ind w:left="0"/>
        <w:jc w:val="both"/>
        <w:rPr>
          <w:szCs w:val="22"/>
          <w:lang w:val="en-AU"/>
        </w:rPr>
      </w:pPr>
      <w:r w:rsidRPr="007A1703">
        <w:rPr>
          <w:szCs w:val="22"/>
          <w:lang w:val="en-AU"/>
        </w:rPr>
        <w:t>Thrombotic events have been reported in association with IGIV</w:t>
      </w:r>
      <w:r w:rsidR="00547A99" w:rsidRPr="007A1703">
        <w:rPr>
          <w:szCs w:val="22"/>
          <w:lang w:val="en-AU"/>
        </w:rPr>
        <w:t xml:space="preserve"> </w:t>
      </w:r>
      <w:r w:rsidRPr="007A1703">
        <w:rPr>
          <w:szCs w:val="22"/>
          <w:lang w:val="en-AU"/>
        </w:rPr>
        <w:t xml:space="preserve">(See ADVERSE </w:t>
      </w:r>
      <w:r w:rsidR="004065EE">
        <w:rPr>
          <w:szCs w:val="22"/>
          <w:lang w:val="en-AU"/>
        </w:rPr>
        <w:t>EFFECTS</w:t>
      </w:r>
      <w:r w:rsidRPr="007A1703">
        <w:rPr>
          <w:szCs w:val="22"/>
          <w:lang w:val="en-AU"/>
        </w:rPr>
        <w:t xml:space="preserve">). </w:t>
      </w:r>
      <w:r w:rsidR="00AC6FA2">
        <w:rPr>
          <w:szCs w:val="22"/>
          <w:lang w:val="en-AU"/>
        </w:rPr>
        <w:t xml:space="preserve">This association is assumed to be related to a relative increase in blood viscosity through the influx of immunoglobulin in at-risk patients. </w:t>
      </w:r>
      <w:r w:rsidR="00862DFB">
        <w:rPr>
          <w:szCs w:val="22"/>
          <w:lang w:val="en-AU"/>
        </w:rPr>
        <w:t>Caution should be exercised in prescribing and infusing IG</w:t>
      </w:r>
      <w:r w:rsidR="00217363">
        <w:rPr>
          <w:szCs w:val="22"/>
          <w:lang w:val="en-AU"/>
        </w:rPr>
        <w:t>IV</w:t>
      </w:r>
      <w:r w:rsidR="00862DFB">
        <w:rPr>
          <w:szCs w:val="22"/>
          <w:lang w:val="en-AU"/>
        </w:rPr>
        <w:t xml:space="preserve"> in obese patients and in patients with pre-existing risk factors for thrombotic events (</w:t>
      </w:r>
      <w:r w:rsidR="004065EE">
        <w:rPr>
          <w:szCs w:val="22"/>
          <w:lang w:val="en-AU"/>
        </w:rPr>
        <w:t xml:space="preserve">such as </w:t>
      </w:r>
      <w:r w:rsidR="00862DFB" w:rsidRPr="007A1703">
        <w:rPr>
          <w:szCs w:val="22"/>
          <w:lang w:val="en-AU"/>
        </w:rPr>
        <w:t>advanced age</w:t>
      </w:r>
      <w:r w:rsidR="00862DFB">
        <w:rPr>
          <w:szCs w:val="22"/>
          <w:lang w:val="en-AU"/>
        </w:rPr>
        <w:t>,</w:t>
      </w:r>
      <w:r w:rsidR="00862DFB" w:rsidRPr="007A1703">
        <w:rPr>
          <w:szCs w:val="22"/>
          <w:lang w:val="en-AU"/>
        </w:rPr>
        <w:t xml:space="preserve"> </w:t>
      </w:r>
      <w:r w:rsidR="00862DFB">
        <w:rPr>
          <w:szCs w:val="22"/>
          <w:lang w:val="en-AU"/>
        </w:rPr>
        <w:t xml:space="preserve">hypertension, diabetes mellitus, </w:t>
      </w:r>
      <w:r w:rsidR="004065EE">
        <w:rPr>
          <w:szCs w:val="22"/>
          <w:lang w:val="en-AU"/>
        </w:rPr>
        <w:t xml:space="preserve">a </w:t>
      </w:r>
      <w:r w:rsidRPr="007A1703">
        <w:rPr>
          <w:szCs w:val="22"/>
          <w:lang w:val="en-AU"/>
        </w:rPr>
        <w:t xml:space="preserve">history of </w:t>
      </w:r>
      <w:r w:rsidR="004065EE">
        <w:rPr>
          <w:szCs w:val="22"/>
          <w:lang w:val="en-AU"/>
        </w:rPr>
        <w:t>vascular disease/</w:t>
      </w:r>
      <w:r w:rsidRPr="007A1703">
        <w:rPr>
          <w:szCs w:val="22"/>
          <w:lang w:val="en-AU"/>
        </w:rPr>
        <w:t>atherosclerosis</w:t>
      </w:r>
      <w:r w:rsidR="004065EE">
        <w:rPr>
          <w:szCs w:val="22"/>
          <w:lang w:val="en-AU"/>
        </w:rPr>
        <w:t xml:space="preserve"> or thrombotic episodes</w:t>
      </w:r>
      <w:r w:rsidRPr="007A1703">
        <w:rPr>
          <w:szCs w:val="22"/>
          <w:lang w:val="en-AU"/>
        </w:rPr>
        <w:t>, impaired cardiac output, coagulation disorders, prolonged periods of immobilization</w:t>
      </w:r>
      <w:r w:rsidR="004065EE">
        <w:rPr>
          <w:szCs w:val="22"/>
          <w:lang w:val="en-AU"/>
        </w:rPr>
        <w:t xml:space="preserve">, </w:t>
      </w:r>
      <w:r w:rsidR="00621F92">
        <w:rPr>
          <w:szCs w:val="22"/>
          <w:lang w:val="en-AU"/>
        </w:rPr>
        <w:t xml:space="preserve">severe </w:t>
      </w:r>
      <w:proofErr w:type="spellStart"/>
      <w:r w:rsidR="00621F92">
        <w:rPr>
          <w:szCs w:val="22"/>
          <w:lang w:val="en-AU"/>
        </w:rPr>
        <w:t>hypovolaemia</w:t>
      </w:r>
      <w:proofErr w:type="spellEnd"/>
      <w:r w:rsidRPr="007A1703">
        <w:rPr>
          <w:szCs w:val="22"/>
          <w:lang w:val="en-AU"/>
        </w:rPr>
        <w:t xml:space="preserve"> and/or </w:t>
      </w:r>
      <w:r w:rsidR="00621F92">
        <w:rPr>
          <w:szCs w:val="22"/>
          <w:lang w:val="en-AU"/>
        </w:rPr>
        <w:t>diseases which</w:t>
      </w:r>
      <w:r w:rsidR="009728E9">
        <w:rPr>
          <w:szCs w:val="22"/>
          <w:lang w:val="en-AU"/>
        </w:rPr>
        <w:t xml:space="preserve"> may</w:t>
      </w:r>
      <w:r w:rsidR="00621F92">
        <w:rPr>
          <w:szCs w:val="22"/>
          <w:lang w:val="en-AU"/>
        </w:rPr>
        <w:t xml:space="preserve"> increase blood viscosity</w:t>
      </w:r>
      <w:r w:rsidR="00862DFB">
        <w:rPr>
          <w:szCs w:val="22"/>
          <w:lang w:val="en-AU"/>
        </w:rPr>
        <w:t>)</w:t>
      </w:r>
      <w:r w:rsidRPr="007A1703">
        <w:rPr>
          <w:szCs w:val="22"/>
          <w:lang w:val="en-AU"/>
        </w:rPr>
        <w:t xml:space="preserve">. The potential risks and benefits of IGIV should be weighed against those of alternative therapies for all patients for whom IGIV administration is being considered. Baseline assessment of blood viscosity should be considered in patients at risk for </w:t>
      </w:r>
      <w:proofErr w:type="spellStart"/>
      <w:r w:rsidRPr="007A1703">
        <w:rPr>
          <w:szCs w:val="22"/>
          <w:lang w:val="en-AU"/>
        </w:rPr>
        <w:t>hyperviscosity</w:t>
      </w:r>
      <w:proofErr w:type="spellEnd"/>
      <w:r w:rsidRPr="007A1703">
        <w:rPr>
          <w:szCs w:val="22"/>
          <w:lang w:val="en-AU"/>
        </w:rPr>
        <w:t xml:space="preserve">, including those with </w:t>
      </w:r>
      <w:proofErr w:type="spellStart"/>
      <w:r w:rsidRPr="007A1703">
        <w:rPr>
          <w:szCs w:val="22"/>
          <w:lang w:val="en-AU"/>
        </w:rPr>
        <w:t>cryoglobulins</w:t>
      </w:r>
      <w:proofErr w:type="spellEnd"/>
      <w:r w:rsidRPr="007A1703">
        <w:rPr>
          <w:szCs w:val="22"/>
          <w:lang w:val="en-AU"/>
        </w:rPr>
        <w:t xml:space="preserve">, fasting </w:t>
      </w:r>
      <w:proofErr w:type="spellStart"/>
      <w:r w:rsidRPr="007A1703">
        <w:rPr>
          <w:szCs w:val="22"/>
          <w:lang w:val="en-AU"/>
        </w:rPr>
        <w:t>chylomicron</w:t>
      </w:r>
      <w:r w:rsidR="004C3586" w:rsidRPr="007A1703">
        <w:rPr>
          <w:szCs w:val="22"/>
          <w:lang w:val="en-AU"/>
        </w:rPr>
        <w:t>aemia</w:t>
      </w:r>
      <w:proofErr w:type="spellEnd"/>
      <w:r w:rsidRPr="007A1703">
        <w:rPr>
          <w:szCs w:val="22"/>
          <w:lang w:val="en-AU"/>
        </w:rPr>
        <w:t xml:space="preserve">/markedly high </w:t>
      </w:r>
      <w:proofErr w:type="spellStart"/>
      <w:r w:rsidRPr="007A1703">
        <w:rPr>
          <w:szCs w:val="22"/>
          <w:lang w:val="en-AU"/>
        </w:rPr>
        <w:t>triacylglycerols</w:t>
      </w:r>
      <w:proofErr w:type="spellEnd"/>
      <w:r w:rsidRPr="007A1703">
        <w:rPr>
          <w:szCs w:val="22"/>
          <w:lang w:val="en-AU"/>
        </w:rPr>
        <w:t xml:space="preserve"> (triglycerides), or monoclonal </w:t>
      </w:r>
      <w:proofErr w:type="spellStart"/>
      <w:r w:rsidRPr="007A1703">
        <w:rPr>
          <w:szCs w:val="22"/>
          <w:lang w:val="en-AU"/>
        </w:rPr>
        <w:t>gammopathies</w:t>
      </w:r>
      <w:proofErr w:type="spellEnd"/>
      <w:r w:rsidRPr="007A1703">
        <w:rPr>
          <w:szCs w:val="22"/>
          <w:lang w:val="en-AU"/>
        </w:rPr>
        <w:t>.</w:t>
      </w:r>
    </w:p>
    <w:p w:rsidR="0037530F" w:rsidRPr="007A1703" w:rsidRDefault="0037530F">
      <w:pPr>
        <w:pStyle w:val="Lemm1"/>
        <w:jc w:val="both"/>
        <w:outlineLvl w:val="0"/>
        <w:rPr>
          <w:b/>
          <w:szCs w:val="22"/>
          <w:lang w:val="en-AU"/>
        </w:rPr>
      </w:pPr>
    </w:p>
    <w:p w:rsidR="00135C26" w:rsidRDefault="00135C26">
      <w:pPr>
        <w:pStyle w:val="Lemm1"/>
        <w:jc w:val="both"/>
        <w:outlineLvl w:val="0"/>
        <w:rPr>
          <w:b/>
          <w:szCs w:val="22"/>
          <w:lang w:val="en-AU"/>
        </w:rPr>
      </w:pPr>
      <w:r>
        <w:rPr>
          <w:b/>
          <w:szCs w:val="22"/>
          <w:lang w:val="en-AU"/>
        </w:rPr>
        <w:t>P</w:t>
      </w:r>
      <w:r w:rsidR="004D3D3C">
        <w:rPr>
          <w:b/>
          <w:szCs w:val="22"/>
          <w:lang w:val="en-AU"/>
        </w:rPr>
        <w:t>a</w:t>
      </w:r>
      <w:r>
        <w:rPr>
          <w:b/>
          <w:szCs w:val="22"/>
          <w:lang w:val="en-AU"/>
        </w:rPr>
        <w:t>ediatric Use</w:t>
      </w:r>
    </w:p>
    <w:p w:rsidR="00135C26" w:rsidRDefault="00135C26" w:rsidP="00135C26">
      <w:pPr>
        <w:pStyle w:val="Lemm1"/>
        <w:jc w:val="both"/>
        <w:rPr>
          <w:szCs w:val="22"/>
          <w:lang w:val="en-AU"/>
        </w:rPr>
      </w:pPr>
    </w:p>
    <w:p w:rsidR="00135C26" w:rsidRPr="000D5970" w:rsidRDefault="00135C26" w:rsidP="00135C26">
      <w:pPr>
        <w:pStyle w:val="Lemm1"/>
        <w:jc w:val="both"/>
        <w:rPr>
          <w:szCs w:val="22"/>
          <w:lang w:val="en-AU"/>
        </w:rPr>
      </w:pPr>
      <w:r w:rsidRPr="00032AA6">
        <w:rPr>
          <w:szCs w:val="22"/>
          <w:lang w:val="en-AU"/>
        </w:rPr>
        <w:t>Efficacy and safety data in paediatric patients with CIDP is not available.</w:t>
      </w:r>
      <w:r w:rsidRPr="005A0637">
        <w:rPr>
          <w:color w:val="008000"/>
        </w:rPr>
        <w:t xml:space="preserve"> </w:t>
      </w:r>
      <w:r w:rsidRPr="000D5970">
        <w:t>Efficacy and safety in pediatric patients with PI using the SC route of administration have not been established</w:t>
      </w:r>
    </w:p>
    <w:p w:rsidR="00135C26" w:rsidRDefault="00135C26">
      <w:pPr>
        <w:pStyle w:val="Lemm1"/>
        <w:jc w:val="both"/>
        <w:outlineLvl w:val="0"/>
        <w:rPr>
          <w:b/>
          <w:szCs w:val="22"/>
          <w:lang w:val="en-AU"/>
        </w:rPr>
      </w:pPr>
    </w:p>
    <w:p w:rsidR="0037530F" w:rsidRDefault="0037530F">
      <w:pPr>
        <w:pStyle w:val="Lemm1"/>
        <w:jc w:val="both"/>
        <w:outlineLvl w:val="0"/>
        <w:rPr>
          <w:b/>
          <w:szCs w:val="22"/>
          <w:lang w:val="en-AU"/>
        </w:rPr>
      </w:pPr>
      <w:r w:rsidRPr="007A1703">
        <w:rPr>
          <w:b/>
          <w:szCs w:val="22"/>
          <w:lang w:val="en-AU"/>
        </w:rPr>
        <w:t xml:space="preserve">Information for Patients </w:t>
      </w:r>
    </w:p>
    <w:p w:rsidR="00433C47" w:rsidRPr="007A1703" w:rsidRDefault="00433C47">
      <w:pPr>
        <w:pStyle w:val="Lemm1"/>
        <w:jc w:val="both"/>
        <w:outlineLvl w:val="0"/>
        <w:rPr>
          <w:b/>
          <w:szCs w:val="22"/>
          <w:lang w:val="en-AU"/>
        </w:rPr>
      </w:pPr>
    </w:p>
    <w:p w:rsidR="0037530F" w:rsidRPr="007A1703" w:rsidRDefault="0037530F">
      <w:pPr>
        <w:pStyle w:val="Lemm1"/>
        <w:jc w:val="both"/>
        <w:rPr>
          <w:szCs w:val="22"/>
          <w:lang w:val="en-AU"/>
        </w:rPr>
      </w:pPr>
      <w:r w:rsidRPr="007A1703">
        <w:rPr>
          <w:szCs w:val="22"/>
          <w:lang w:val="en-AU"/>
        </w:rPr>
        <w:t>Patients should be instructed to immediately report symptoms of decreased urine output, sudden weight gain, fluid retention/</w:t>
      </w:r>
      <w:r w:rsidR="00627036" w:rsidRPr="007A1703">
        <w:rPr>
          <w:szCs w:val="22"/>
          <w:lang w:val="en-AU"/>
        </w:rPr>
        <w:t>oedema</w:t>
      </w:r>
      <w:r w:rsidRPr="007A1703">
        <w:rPr>
          <w:szCs w:val="22"/>
          <w:lang w:val="en-AU"/>
        </w:rPr>
        <w:t>, and/or shortness of breath (which may suggest kidney damage) to their physicians.</w:t>
      </w:r>
    </w:p>
    <w:p w:rsidR="00803EEC" w:rsidRPr="007A1703" w:rsidRDefault="00803EEC">
      <w:pPr>
        <w:pStyle w:val="Lemm1"/>
        <w:jc w:val="both"/>
        <w:outlineLvl w:val="0"/>
        <w:rPr>
          <w:b/>
          <w:szCs w:val="22"/>
          <w:lang w:val="en-AU"/>
        </w:rPr>
      </w:pPr>
    </w:p>
    <w:p w:rsidR="009547CC" w:rsidRDefault="00803EEC">
      <w:pPr>
        <w:pStyle w:val="Lemm1"/>
        <w:jc w:val="both"/>
        <w:outlineLvl w:val="0"/>
        <w:rPr>
          <w:b/>
          <w:szCs w:val="22"/>
          <w:lang w:val="en-AU"/>
        </w:rPr>
      </w:pPr>
      <w:r w:rsidRPr="007A1703">
        <w:rPr>
          <w:b/>
          <w:szCs w:val="22"/>
          <w:lang w:val="en-AU"/>
        </w:rPr>
        <w:t>Effects on Fertility</w:t>
      </w:r>
    </w:p>
    <w:p w:rsidR="00583DEB" w:rsidRPr="007A1703" w:rsidRDefault="00583DEB">
      <w:pPr>
        <w:pStyle w:val="Lemm1"/>
        <w:jc w:val="both"/>
        <w:outlineLvl w:val="0"/>
        <w:rPr>
          <w:b/>
          <w:szCs w:val="22"/>
          <w:lang w:val="en-AU"/>
        </w:rPr>
      </w:pPr>
    </w:p>
    <w:p w:rsidR="00803EEC" w:rsidRPr="007A1703" w:rsidRDefault="00803EEC">
      <w:pPr>
        <w:pStyle w:val="Lemm1"/>
        <w:jc w:val="both"/>
        <w:outlineLvl w:val="0"/>
        <w:rPr>
          <w:szCs w:val="22"/>
          <w:lang w:val="en-AU"/>
        </w:rPr>
      </w:pPr>
      <w:r w:rsidRPr="007A1703">
        <w:rPr>
          <w:szCs w:val="22"/>
          <w:lang w:val="en-AU"/>
        </w:rPr>
        <w:t>No studies have been conducted on the effects of GAMUNEX</w:t>
      </w:r>
      <w:r w:rsidRPr="007A1703">
        <w:rPr>
          <w:rFonts w:cs="Arial"/>
          <w:snapToGrid w:val="0"/>
          <w:szCs w:val="22"/>
          <w:vertAlign w:val="superscript"/>
          <w:lang w:val="en-AU" w:eastAsia="en-US"/>
        </w:rPr>
        <w:t xml:space="preserve">® </w:t>
      </w:r>
      <w:r w:rsidRPr="007A1703">
        <w:rPr>
          <w:rFonts w:cs="Arial"/>
          <w:snapToGrid w:val="0"/>
          <w:szCs w:val="22"/>
          <w:lang w:val="en-AU" w:eastAsia="en-US"/>
        </w:rPr>
        <w:t>on fertility.</w:t>
      </w:r>
    </w:p>
    <w:p w:rsidR="00803EEC" w:rsidRPr="007A1703" w:rsidRDefault="00803EEC">
      <w:pPr>
        <w:pStyle w:val="Lemm1"/>
        <w:jc w:val="both"/>
        <w:outlineLvl w:val="0"/>
        <w:rPr>
          <w:b/>
          <w:szCs w:val="22"/>
          <w:lang w:val="en-AU"/>
        </w:rPr>
      </w:pPr>
    </w:p>
    <w:p w:rsidR="0037530F" w:rsidRDefault="00803EEC">
      <w:pPr>
        <w:pStyle w:val="Lemm1"/>
        <w:jc w:val="both"/>
        <w:outlineLvl w:val="0"/>
        <w:rPr>
          <w:b/>
          <w:szCs w:val="22"/>
          <w:lang w:val="en-AU"/>
        </w:rPr>
      </w:pPr>
      <w:r w:rsidRPr="007A1703">
        <w:rPr>
          <w:b/>
          <w:szCs w:val="22"/>
          <w:lang w:val="en-AU"/>
        </w:rPr>
        <w:t>Use in Pregnancy</w:t>
      </w:r>
    </w:p>
    <w:p w:rsidR="00433C47" w:rsidRPr="007A1703" w:rsidRDefault="00433C47">
      <w:pPr>
        <w:pStyle w:val="Lemm1"/>
        <w:jc w:val="both"/>
        <w:outlineLvl w:val="0"/>
        <w:rPr>
          <w:b/>
          <w:szCs w:val="22"/>
          <w:lang w:val="en-AU"/>
        </w:rPr>
      </w:pPr>
    </w:p>
    <w:p w:rsidR="0037530F" w:rsidRPr="007A1703" w:rsidRDefault="0037530F">
      <w:pPr>
        <w:pStyle w:val="Lemm1"/>
        <w:jc w:val="both"/>
        <w:rPr>
          <w:szCs w:val="22"/>
          <w:lang w:val="en-AU"/>
        </w:rPr>
      </w:pPr>
      <w:r w:rsidRPr="007A1703">
        <w:rPr>
          <w:szCs w:val="22"/>
          <w:lang w:val="en-AU"/>
        </w:rPr>
        <w:t xml:space="preserve">Animal reproduction studies have not been conducted with </w:t>
      </w:r>
      <w:r w:rsidR="00D4784F" w:rsidRPr="007A1703">
        <w:rPr>
          <w:rFonts w:cs="Arial"/>
          <w:szCs w:val="22"/>
          <w:lang w:val="en-AU"/>
        </w:rPr>
        <w:t>GAMUNEX</w:t>
      </w:r>
      <w:r w:rsidR="00D4784F" w:rsidRPr="007A1703">
        <w:rPr>
          <w:rFonts w:cs="Arial"/>
          <w:snapToGrid w:val="0"/>
          <w:szCs w:val="22"/>
          <w:vertAlign w:val="superscript"/>
          <w:lang w:val="en-AU" w:eastAsia="en-US"/>
        </w:rPr>
        <w:t>®</w:t>
      </w:r>
      <w:r w:rsidRPr="007A1703">
        <w:rPr>
          <w:snapToGrid w:val="0"/>
          <w:szCs w:val="22"/>
          <w:lang w:val="en-AU" w:eastAsia="en-US"/>
        </w:rPr>
        <w:t xml:space="preserve">. </w:t>
      </w:r>
      <w:r w:rsidRPr="007A1703">
        <w:rPr>
          <w:szCs w:val="22"/>
          <w:lang w:val="en-AU"/>
        </w:rPr>
        <w:t xml:space="preserve">It is not known whether </w:t>
      </w:r>
      <w:r w:rsidR="00D4784F" w:rsidRPr="007A1703">
        <w:rPr>
          <w:rFonts w:cs="Arial"/>
          <w:szCs w:val="22"/>
          <w:lang w:val="en-AU"/>
        </w:rPr>
        <w:t>GAMUNEX</w:t>
      </w:r>
      <w:r w:rsidR="00D4784F" w:rsidRPr="007A1703">
        <w:rPr>
          <w:rFonts w:cs="Arial"/>
          <w:snapToGrid w:val="0"/>
          <w:szCs w:val="22"/>
          <w:vertAlign w:val="superscript"/>
          <w:lang w:val="en-AU" w:eastAsia="en-US"/>
        </w:rPr>
        <w:t>®</w:t>
      </w:r>
      <w:r w:rsidRPr="007A1703">
        <w:rPr>
          <w:snapToGrid w:val="0"/>
          <w:szCs w:val="22"/>
          <w:lang w:val="en-AU" w:eastAsia="en-US"/>
        </w:rPr>
        <w:t xml:space="preserve"> </w:t>
      </w:r>
      <w:r w:rsidRPr="007A1703">
        <w:rPr>
          <w:szCs w:val="22"/>
          <w:lang w:val="en-AU"/>
        </w:rPr>
        <w:t xml:space="preserve">can cause </w:t>
      </w:r>
      <w:proofErr w:type="spellStart"/>
      <w:r w:rsidRPr="007A1703">
        <w:rPr>
          <w:szCs w:val="22"/>
          <w:lang w:val="en-AU"/>
        </w:rPr>
        <w:t>fetal</w:t>
      </w:r>
      <w:proofErr w:type="spellEnd"/>
      <w:r w:rsidRPr="007A1703">
        <w:rPr>
          <w:szCs w:val="22"/>
          <w:lang w:val="en-AU"/>
        </w:rPr>
        <w:t xml:space="preserve"> harm when administered to a pregnant woman or can affect reproduction capacity. </w:t>
      </w:r>
      <w:r w:rsidR="00D4784F" w:rsidRPr="007A1703">
        <w:rPr>
          <w:rFonts w:cs="Arial"/>
          <w:szCs w:val="22"/>
          <w:lang w:val="en-AU"/>
        </w:rPr>
        <w:t>GAMUNEX</w:t>
      </w:r>
      <w:r w:rsidR="00D4784F" w:rsidRPr="007A1703">
        <w:rPr>
          <w:rFonts w:cs="Arial"/>
          <w:snapToGrid w:val="0"/>
          <w:szCs w:val="22"/>
          <w:vertAlign w:val="superscript"/>
          <w:lang w:val="en-AU" w:eastAsia="en-US"/>
        </w:rPr>
        <w:t>®</w:t>
      </w:r>
      <w:r w:rsidRPr="007A1703">
        <w:rPr>
          <w:snapToGrid w:val="0"/>
          <w:szCs w:val="22"/>
          <w:lang w:val="en-AU" w:eastAsia="en-US"/>
        </w:rPr>
        <w:t xml:space="preserve"> </w:t>
      </w:r>
      <w:r w:rsidRPr="007A1703">
        <w:rPr>
          <w:szCs w:val="22"/>
          <w:lang w:val="en-AU"/>
        </w:rPr>
        <w:t>should be given to a pregnant woman only if clearly needed.</w:t>
      </w:r>
    </w:p>
    <w:p w:rsidR="0037530F" w:rsidRPr="007A1703" w:rsidRDefault="0037530F">
      <w:pPr>
        <w:pStyle w:val="Lemm1"/>
        <w:jc w:val="both"/>
        <w:rPr>
          <w:b/>
          <w:szCs w:val="22"/>
          <w:lang w:val="en-AU"/>
        </w:rPr>
      </w:pPr>
    </w:p>
    <w:p w:rsidR="00803EEC" w:rsidRDefault="000A4ED0">
      <w:pPr>
        <w:pStyle w:val="Lemm1"/>
        <w:jc w:val="both"/>
        <w:rPr>
          <w:b/>
          <w:szCs w:val="22"/>
          <w:lang w:val="en-AU"/>
        </w:rPr>
      </w:pPr>
      <w:r>
        <w:rPr>
          <w:b/>
          <w:szCs w:val="22"/>
          <w:lang w:val="en-AU"/>
        </w:rPr>
        <w:br w:type="page"/>
      </w:r>
      <w:r w:rsidR="00803EEC" w:rsidRPr="007A1703">
        <w:rPr>
          <w:b/>
          <w:szCs w:val="22"/>
          <w:lang w:val="en-AU"/>
        </w:rPr>
        <w:lastRenderedPageBreak/>
        <w:t>Use in Lactation</w:t>
      </w:r>
    </w:p>
    <w:p w:rsidR="00433C47" w:rsidRPr="007A1703" w:rsidRDefault="00433C47">
      <w:pPr>
        <w:pStyle w:val="Lemm1"/>
        <w:jc w:val="both"/>
        <w:rPr>
          <w:b/>
          <w:szCs w:val="22"/>
          <w:lang w:val="en-AU"/>
        </w:rPr>
      </w:pPr>
    </w:p>
    <w:p w:rsidR="00803EEC" w:rsidRPr="007A1703" w:rsidRDefault="00803EEC">
      <w:pPr>
        <w:pStyle w:val="Lemm1"/>
        <w:jc w:val="both"/>
        <w:rPr>
          <w:szCs w:val="22"/>
          <w:lang w:val="en-AU"/>
        </w:rPr>
      </w:pPr>
      <w:r w:rsidRPr="007A1703">
        <w:rPr>
          <w:szCs w:val="22"/>
          <w:lang w:val="en-AU"/>
        </w:rPr>
        <w:t>The safety of GAMUNEX</w:t>
      </w:r>
      <w:r w:rsidRPr="007A1703">
        <w:rPr>
          <w:rFonts w:cs="Arial"/>
          <w:snapToGrid w:val="0"/>
          <w:szCs w:val="22"/>
          <w:vertAlign w:val="superscript"/>
          <w:lang w:val="en-AU" w:eastAsia="en-US"/>
        </w:rPr>
        <w:t>®</w:t>
      </w:r>
      <w:r w:rsidRPr="007A1703">
        <w:rPr>
          <w:szCs w:val="22"/>
          <w:lang w:val="en-AU"/>
        </w:rPr>
        <w:t xml:space="preserve"> for use in human lactation has not been established in controlled clinical trials. </w:t>
      </w:r>
      <w:proofErr w:type="spellStart"/>
      <w:r w:rsidRPr="007A1703">
        <w:rPr>
          <w:szCs w:val="22"/>
          <w:lang w:val="en-AU"/>
        </w:rPr>
        <w:t>Immunoglobulins</w:t>
      </w:r>
      <w:proofErr w:type="spellEnd"/>
      <w:r w:rsidRPr="007A1703">
        <w:rPr>
          <w:szCs w:val="22"/>
          <w:lang w:val="en-AU"/>
        </w:rPr>
        <w:t xml:space="preserve"> are excreted into breast milk and </w:t>
      </w:r>
      <w:r w:rsidR="002F34FC" w:rsidRPr="007A1703">
        <w:rPr>
          <w:szCs w:val="22"/>
          <w:lang w:val="en-AU"/>
        </w:rPr>
        <w:t>GAMUNEX</w:t>
      </w:r>
      <w:r w:rsidR="002F34FC" w:rsidRPr="00924C3E">
        <w:rPr>
          <w:szCs w:val="22"/>
          <w:vertAlign w:val="superscript"/>
          <w:lang w:val="en-AU"/>
        </w:rPr>
        <w:t>®</w:t>
      </w:r>
      <w:r w:rsidRPr="007A1703">
        <w:rPr>
          <w:szCs w:val="22"/>
          <w:lang w:val="en-AU"/>
        </w:rPr>
        <w:t xml:space="preserve"> should only be given with caution to breastfeeding mothers. </w:t>
      </w:r>
    </w:p>
    <w:p w:rsidR="00803EEC" w:rsidRPr="007A1703" w:rsidRDefault="00803EEC">
      <w:pPr>
        <w:pStyle w:val="Lemm1"/>
        <w:jc w:val="both"/>
        <w:rPr>
          <w:szCs w:val="22"/>
          <w:lang w:val="en-AU"/>
        </w:rPr>
      </w:pPr>
    </w:p>
    <w:p w:rsidR="00803EEC" w:rsidRDefault="00803EEC">
      <w:pPr>
        <w:pStyle w:val="Lemm1"/>
        <w:jc w:val="both"/>
        <w:rPr>
          <w:b/>
          <w:szCs w:val="22"/>
          <w:lang w:val="en-AU"/>
        </w:rPr>
      </w:pPr>
      <w:r w:rsidRPr="007A1703">
        <w:rPr>
          <w:b/>
          <w:szCs w:val="22"/>
          <w:lang w:val="en-AU"/>
        </w:rPr>
        <w:t>Carcinogenicity</w:t>
      </w:r>
    </w:p>
    <w:p w:rsidR="00583DEB" w:rsidRPr="007A1703" w:rsidRDefault="00583DEB">
      <w:pPr>
        <w:pStyle w:val="Lemm1"/>
        <w:jc w:val="both"/>
        <w:rPr>
          <w:b/>
          <w:szCs w:val="22"/>
          <w:lang w:val="en-AU"/>
        </w:rPr>
      </w:pPr>
    </w:p>
    <w:p w:rsidR="00803EEC" w:rsidRPr="007A1703" w:rsidRDefault="00803EEC">
      <w:pPr>
        <w:pStyle w:val="Lemm1"/>
        <w:jc w:val="both"/>
        <w:rPr>
          <w:rFonts w:cs="Arial"/>
          <w:snapToGrid w:val="0"/>
          <w:szCs w:val="22"/>
          <w:lang w:val="en-AU" w:eastAsia="en-US"/>
        </w:rPr>
      </w:pPr>
      <w:r w:rsidRPr="007A1703">
        <w:rPr>
          <w:szCs w:val="22"/>
          <w:lang w:val="en-AU"/>
        </w:rPr>
        <w:t>No carcinogenicity studies have been conducted on GAMUNEX</w:t>
      </w:r>
      <w:r w:rsidRPr="007A1703">
        <w:rPr>
          <w:rFonts w:cs="Arial"/>
          <w:snapToGrid w:val="0"/>
          <w:szCs w:val="22"/>
          <w:vertAlign w:val="superscript"/>
          <w:lang w:val="en-AU" w:eastAsia="en-US"/>
        </w:rPr>
        <w:t>®</w:t>
      </w:r>
      <w:r w:rsidRPr="007A1703">
        <w:rPr>
          <w:rFonts w:cs="Arial"/>
          <w:snapToGrid w:val="0"/>
          <w:szCs w:val="22"/>
          <w:lang w:val="en-AU" w:eastAsia="en-US"/>
        </w:rPr>
        <w:t>.</w:t>
      </w:r>
    </w:p>
    <w:p w:rsidR="00803EEC" w:rsidRPr="007A1703" w:rsidRDefault="00803EEC">
      <w:pPr>
        <w:pStyle w:val="Lemm1"/>
        <w:jc w:val="both"/>
        <w:rPr>
          <w:rFonts w:cs="Arial"/>
          <w:snapToGrid w:val="0"/>
          <w:szCs w:val="22"/>
          <w:lang w:val="en-AU" w:eastAsia="en-US"/>
        </w:rPr>
      </w:pPr>
    </w:p>
    <w:p w:rsidR="00803EEC" w:rsidRDefault="00803EEC">
      <w:pPr>
        <w:pStyle w:val="Lemm1"/>
        <w:jc w:val="both"/>
        <w:rPr>
          <w:rFonts w:cs="Arial"/>
          <w:b/>
          <w:snapToGrid w:val="0"/>
          <w:szCs w:val="22"/>
          <w:lang w:val="en-AU" w:eastAsia="en-US"/>
        </w:rPr>
      </w:pPr>
      <w:proofErr w:type="spellStart"/>
      <w:r w:rsidRPr="007A1703">
        <w:rPr>
          <w:rFonts w:cs="Arial"/>
          <w:b/>
          <w:snapToGrid w:val="0"/>
          <w:szCs w:val="22"/>
          <w:lang w:val="en-AU" w:eastAsia="en-US"/>
        </w:rPr>
        <w:t>Genotoxicity</w:t>
      </w:r>
      <w:proofErr w:type="spellEnd"/>
    </w:p>
    <w:p w:rsidR="00433C47" w:rsidRPr="007A1703" w:rsidRDefault="00433C47">
      <w:pPr>
        <w:pStyle w:val="Lemm1"/>
        <w:jc w:val="both"/>
        <w:rPr>
          <w:rFonts w:cs="Arial"/>
          <w:b/>
          <w:snapToGrid w:val="0"/>
          <w:szCs w:val="22"/>
          <w:lang w:val="en-AU" w:eastAsia="en-US"/>
        </w:rPr>
      </w:pPr>
    </w:p>
    <w:p w:rsidR="00803EEC" w:rsidRPr="007A1703" w:rsidRDefault="00803EEC">
      <w:pPr>
        <w:pStyle w:val="Lemm1"/>
        <w:jc w:val="both"/>
        <w:rPr>
          <w:rFonts w:cs="Arial"/>
          <w:snapToGrid w:val="0"/>
          <w:szCs w:val="22"/>
          <w:lang w:val="en-AU" w:eastAsia="en-US"/>
        </w:rPr>
      </w:pPr>
      <w:r w:rsidRPr="007A1703">
        <w:rPr>
          <w:rFonts w:cs="Arial"/>
          <w:snapToGrid w:val="0"/>
          <w:szCs w:val="22"/>
          <w:lang w:val="en-AU" w:eastAsia="en-US"/>
        </w:rPr>
        <w:t xml:space="preserve">No </w:t>
      </w:r>
      <w:proofErr w:type="spellStart"/>
      <w:r w:rsidRPr="007A1703">
        <w:rPr>
          <w:rFonts w:cs="Arial"/>
          <w:snapToGrid w:val="0"/>
          <w:szCs w:val="22"/>
          <w:lang w:val="en-AU" w:eastAsia="en-US"/>
        </w:rPr>
        <w:t>genotoxicity</w:t>
      </w:r>
      <w:proofErr w:type="spellEnd"/>
      <w:r w:rsidRPr="007A1703">
        <w:rPr>
          <w:rFonts w:cs="Arial"/>
          <w:snapToGrid w:val="0"/>
          <w:szCs w:val="22"/>
          <w:lang w:val="en-AU" w:eastAsia="en-US"/>
        </w:rPr>
        <w:t xml:space="preserve"> studies have been conducted on </w:t>
      </w:r>
      <w:r w:rsidRPr="007A1703">
        <w:rPr>
          <w:szCs w:val="22"/>
          <w:lang w:val="en-AU"/>
        </w:rPr>
        <w:t>GAMUNEX</w:t>
      </w:r>
      <w:r w:rsidRPr="007A1703">
        <w:rPr>
          <w:rFonts w:cs="Arial"/>
          <w:snapToGrid w:val="0"/>
          <w:szCs w:val="22"/>
          <w:vertAlign w:val="superscript"/>
          <w:lang w:val="en-AU" w:eastAsia="en-US"/>
        </w:rPr>
        <w:t>®</w:t>
      </w:r>
      <w:r w:rsidRPr="007A1703">
        <w:rPr>
          <w:rFonts w:cs="Arial"/>
          <w:snapToGrid w:val="0"/>
          <w:szCs w:val="22"/>
          <w:lang w:val="en-AU" w:eastAsia="en-US"/>
        </w:rPr>
        <w:t>.</w:t>
      </w:r>
    </w:p>
    <w:p w:rsidR="004D6E28" w:rsidRPr="007A1703" w:rsidRDefault="004D6E28">
      <w:pPr>
        <w:pStyle w:val="Lemm1"/>
        <w:jc w:val="both"/>
        <w:rPr>
          <w:rFonts w:cs="Arial"/>
          <w:snapToGrid w:val="0"/>
          <w:szCs w:val="22"/>
          <w:lang w:val="en-AU" w:eastAsia="en-US"/>
        </w:rPr>
      </w:pPr>
    </w:p>
    <w:p w:rsidR="004D6E28" w:rsidRDefault="004D6E28" w:rsidP="004D6E28">
      <w:pPr>
        <w:pStyle w:val="Lemm1"/>
        <w:jc w:val="both"/>
        <w:outlineLvl w:val="0"/>
        <w:rPr>
          <w:b/>
          <w:szCs w:val="22"/>
          <w:lang w:val="en-AU"/>
        </w:rPr>
      </w:pPr>
      <w:r w:rsidRPr="007A1703">
        <w:rPr>
          <w:b/>
          <w:szCs w:val="22"/>
          <w:lang w:val="en-AU"/>
        </w:rPr>
        <w:t xml:space="preserve">Interactions </w:t>
      </w:r>
      <w:r w:rsidR="001F7FD5">
        <w:rPr>
          <w:b/>
          <w:szCs w:val="22"/>
          <w:lang w:val="en-AU"/>
        </w:rPr>
        <w:t>w</w:t>
      </w:r>
      <w:r w:rsidR="001F7FD5" w:rsidRPr="007A1703">
        <w:rPr>
          <w:b/>
          <w:szCs w:val="22"/>
          <w:lang w:val="en-AU"/>
        </w:rPr>
        <w:t xml:space="preserve">ith </w:t>
      </w:r>
      <w:r w:rsidRPr="007A1703">
        <w:rPr>
          <w:b/>
          <w:szCs w:val="22"/>
          <w:lang w:val="en-AU"/>
        </w:rPr>
        <w:t>Other Medicines</w:t>
      </w:r>
    </w:p>
    <w:p w:rsidR="00433C47" w:rsidRPr="007A1703" w:rsidRDefault="00433C47" w:rsidP="004D6E28">
      <w:pPr>
        <w:pStyle w:val="Lemm1"/>
        <w:jc w:val="both"/>
        <w:outlineLvl w:val="0"/>
        <w:rPr>
          <w:b/>
          <w:szCs w:val="22"/>
          <w:lang w:val="en-AU"/>
        </w:rPr>
      </w:pPr>
    </w:p>
    <w:p w:rsidR="004D6E28" w:rsidRPr="007A1703" w:rsidRDefault="004D6E28" w:rsidP="004D6E28">
      <w:pPr>
        <w:pStyle w:val="Lemm1"/>
        <w:jc w:val="both"/>
        <w:rPr>
          <w:szCs w:val="22"/>
          <w:lang w:val="en-AU"/>
        </w:rPr>
      </w:pPr>
      <w:r w:rsidRPr="007A1703">
        <w:rPr>
          <w:szCs w:val="22"/>
          <w:lang w:val="en-AU"/>
        </w:rPr>
        <w:t xml:space="preserve">Antibodies in </w:t>
      </w:r>
      <w:r w:rsidRPr="007A1703">
        <w:rPr>
          <w:rFonts w:cs="Arial"/>
          <w:szCs w:val="22"/>
          <w:lang w:val="en-AU"/>
        </w:rPr>
        <w:t>GAMUNEX</w:t>
      </w:r>
      <w:r w:rsidRPr="007A1703">
        <w:rPr>
          <w:rFonts w:cs="Arial"/>
          <w:snapToGrid w:val="0"/>
          <w:szCs w:val="22"/>
          <w:vertAlign w:val="superscript"/>
          <w:lang w:val="en-AU" w:eastAsia="en-US"/>
        </w:rPr>
        <w:t>®</w:t>
      </w:r>
      <w:r w:rsidRPr="007A1703">
        <w:rPr>
          <w:szCs w:val="22"/>
          <w:lang w:val="en-AU"/>
        </w:rPr>
        <w:t xml:space="preserve"> may interfere with the response to live viral vaccines such as measles, mumps and rubella. Therefore, use of such vaccines should be deferred until approximately 6 months after </w:t>
      </w:r>
      <w:r w:rsidRPr="007A1703">
        <w:rPr>
          <w:rFonts w:cs="Arial"/>
          <w:szCs w:val="22"/>
          <w:lang w:val="en-AU"/>
        </w:rPr>
        <w:t>GAMUNEX</w:t>
      </w:r>
      <w:r w:rsidRPr="007A1703">
        <w:rPr>
          <w:rFonts w:cs="Arial"/>
          <w:snapToGrid w:val="0"/>
          <w:szCs w:val="22"/>
          <w:vertAlign w:val="superscript"/>
          <w:lang w:val="en-AU" w:eastAsia="en-US"/>
        </w:rPr>
        <w:t>®</w:t>
      </w:r>
      <w:r w:rsidRPr="007A1703">
        <w:rPr>
          <w:szCs w:val="22"/>
          <w:lang w:val="en-AU"/>
        </w:rPr>
        <w:t xml:space="preserve"> administration.</w:t>
      </w:r>
    </w:p>
    <w:p w:rsidR="00924C3E" w:rsidRDefault="00924C3E" w:rsidP="004D6E28">
      <w:pPr>
        <w:pStyle w:val="Lemm1"/>
        <w:jc w:val="both"/>
        <w:rPr>
          <w:szCs w:val="22"/>
          <w:lang w:val="en-AU"/>
        </w:rPr>
      </w:pPr>
    </w:p>
    <w:p w:rsidR="004D6E28" w:rsidRDefault="004D6E28" w:rsidP="004D6E28">
      <w:pPr>
        <w:pStyle w:val="Lemm1"/>
        <w:jc w:val="both"/>
        <w:rPr>
          <w:szCs w:val="22"/>
          <w:lang w:val="en-AU"/>
        </w:rPr>
      </w:pPr>
      <w:r w:rsidRPr="007A1703">
        <w:rPr>
          <w:szCs w:val="22"/>
          <w:lang w:val="en-AU"/>
        </w:rPr>
        <w:t>Please see DOSAGE AND ADMINISTRATION for other drug interactions.</w:t>
      </w:r>
    </w:p>
    <w:p w:rsidR="001F7FD5" w:rsidRDefault="001F7FD5" w:rsidP="004D6E28">
      <w:pPr>
        <w:pStyle w:val="Lemm1"/>
        <w:jc w:val="both"/>
        <w:rPr>
          <w:szCs w:val="22"/>
          <w:lang w:val="en-AU"/>
        </w:rPr>
      </w:pPr>
    </w:p>
    <w:p w:rsidR="001F7FD5" w:rsidRPr="001F7FD5" w:rsidRDefault="001F7FD5" w:rsidP="004D6E28">
      <w:pPr>
        <w:pStyle w:val="Lemm1"/>
        <w:jc w:val="both"/>
        <w:rPr>
          <w:szCs w:val="22"/>
          <w:u w:val="single"/>
          <w:lang w:val="en-AU"/>
        </w:rPr>
      </w:pPr>
      <w:r w:rsidRPr="001F7FD5">
        <w:rPr>
          <w:szCs w:val="22"/>
          <w:u w:val="single"/>
          <w:lang w:val="en-AU"/>
        </w:rPr>
        <w:t>Interference with serological testing</w:t>
      </w:r>
    </w:p>
    <w:p w:rsidR="001F7FD5" w:rsidRPr="007A1703" w:rsidRDefault="001F7FD5" w:rsidP="004D6E28">
      <w:pPr>
        <w:pStyle w:val="Lemm1"/>
        <w:jc w:val="both"/>
        <w:rPr>
          <w:szCs w:val="22"/>
          <w:lang w:val="en-AU"/>
        </w:rPr>
      </w:pPr>
      <w:r>
        <w:rPr>
          <w:szCs w:val="22"/>
          <w:lang w:val="en-AU"/>
        </w:rPr>
        <w:t>After injection of immunoglobulin the transitory rise of the various passively transferred antibodies in the patient’s blood may result in misleading positive results in serological testing.</w:t>
      </w:r>
      <w:r w:rsidR="00AB13F9">
        <w:rPr>
          <w:szCs w:val="22"/>
          <w:lang w:val="en-AU"/>
        </w:rPr>
        <w:t xml:space="preserve"> </w:t>
      </w:r>
      <w:r>
        <w:rPr>
          <w:szCs w:val="22"/>
          <w:lang w:val="en-AU"/>
        </w:rPr>
        <w:t xml:space="preserve">Passive transmission of antibodies to erythrocyte antigens e.g. A, B, D may interfere with some serological tests for red cell </w:t>
      </w:r>
      <w:proofErr w:type="spellStart"/>
      <w:r>
        <w:rPr>
          <w:szCs w:val="22"/>
          <w:lang w:val="en-AU"/>
        </w:rPr>
        <w:t>allo</w:t>
      </w:r>
      <w:proofErr w:type="spellEnd"/>
      <w:r>
        <w:rPr>
          <w:szCs w:val="22"/>
          <w:lang w:val="en-AU"/>
        </w:rPr>
        <w:t xml:space="preserve">-antibodies (e.g. Coombs test), </w:t>
      </w:r>
      <w:proofErr w:type="spellStart"/>
      <w:r>
        <w:rPr>
          <w:szCs w:val="22"/>
          <w:lang w:val="en-AU"/>
        </w:rPr>
        <w:t>reticulocyte</w:t>
      </w:r>
      <w:proofErr w:type="spellEnd"/>
      <w:r>
        <w:rPr>
          <w:szCs w:val="22"/>
          <w:lang w:val="en-AU"/>
        </w:rPr>
        <w:t xml:space="preserve"> count and </w:t>
      </w:r>
      <w:proofErr w:type="spellStart"/>
      <w:r>
        <w:rPr>
          <w:szCs w:val="22"/>
          <w:lang w:val="en-AU"/>
        </w:rPr>
        <w:t>haptoglobin</w:t>
      </w:r>
      <w:proofErr w:type="spellEnd"/>
      <w:r>
        <w:rPr>
          <w:szCs w:val="22"/>
          <w:lang w:val="en-AU"/>
        </w:rPr>
        <w:t xml:space="preserve">. </w:t>
      </w:r>
    </w:p>
    <w:p w:rsidR="004D6E28" w:rsidRPr="007A1703" w:rsidRDefault="004D6E28" w:rsidP="004D6E28">
      <w:pPr>
        <w:pStyle w:val="BodyText"/>
        <w:spacing w:before="80"/>
        <w:rPr>
          <w:sz w:val="22"/>
          <w:szCs w:val="22"/>
          <w:lang w:val="en-AU"/>
        </w:rPr>
      </w:pPr>
    </w:p>
    <w:p w:rsidR="0037530F" w:rsidRPr="007A1703" w:rsidRDefault="0037530F">
      <w:pPr>
        <w:pStyle w:val="Lemm1"/>
        <w:jc w:val="both"/>
        <w:outlineLvl w:val="0"/>
        <w:rPr>
          <w:b/>
          <w:szCs w:val="22"/>
          <w:lang w:val="en-AU"/>
        </w:rPr>
      </w:pPr>
      <w:r w:rsidRPr="007A1703">
        <w:rPr>
          <w:b/>
          <w:szCs w:val="22"/>
          <w:lang w:val="en-AU"/>
        </w:rPr>
        <w:t xml:space="preserve">ADVERSE </w:t>
      </w:r>
      <w:r w:rsidR="00AC2249">
        <w:rPr>
          <w:b/>
          <w:szCs w:val="22"/>
          <w:lang w:val="en-AU"/>
        </w:rPr>
        <w:t>EFFECTS</w:t>
      </w:r>
    </w:p>
    <w:p w:rsidR="0037530F" w:rsidRPr="007A1703" w:rsidRDefault="0037530F">
      <w:pPr>
        <w:pStyle w:val="BodyText"/>
        <w:rPr>
          <w:sz w:val="22"/>
          <w:szCs w:val="22"/>
          <w:lang w:val="en-AU"/>
        </w:rPr>
      </w:pPr>
    </w:p>
    <w:p w:rsidR="008C0BAB" w:rsidRPr="007A1703" w:rsidRDefault="008C0BAB" w:rsidP="008C0BAB">
      <w:pPr>
        <w:pStyle w:val="Lemm1"/>
        <w:jc w:val="both"/>
        <w:rPr>
          <w:lang w:val="en-AU"/>
        </w:rPr>
      </w:pPr>
      <w:r w:rsidRPr="007A1703">
        <w:rPr>
          <w:lang w:val="en-AU"/>
        </w:rPr>
        <w:t xml:space="preserve">The following drug related adverse events were compiled from clinical trials </w:t>
      </w:r>
      <w:r w:rsidR="00D47D02">
        <w:rPr>
          <w:lang w:val="en-AU"/>
        </w:rPr>
        <w:t>with GAMUNEX</w:t>
      </w:r>
      <w:r w:rsidR="00D47D02" w:rsidRPr="007A1703">
        <w:rPr>
          <w:rFonts w:cs="Arial"/>
          <w:snapToGrid w:val="0"/>
          <w:szCs w:val="22"/>
          <w:vertAlign w:val="superscript"/>
          <w:lang w:val="en-AU" w:eastAsia="en-US"/>
        </w:rPr>
        <w:t>®</w:t>
      </w:r>
    </w:p>
    <w:p w:rsidR="008C0BAB" w:rsidRDefault="008C0BAB" w:rsidP="008C0BAB">
      <w:pPr>
        <w:pStyle w:val="Lemm1"/>
        <w:jc w:val="both"/>
        <w:rPr>
          <w:lang w:val="en-AU"/>
        </w:rPr>
      </w:pPr>
    </w:p>
    <w:p w:rsidR="00344A16" w:rsidRPr="00C25CDA" w:rsidRDefault="00344A16" w:rsidP="008C0BAB">
      <w:pPr>
        <w:pStyle w:val="Lemm1"/>
        <w:jc w:val="both"/>
        <w:rPr>
          <w:b/>
          <w:i/>
          <w:lang w:val="fr-FR"/>
        </w:rPr>
      </w:pPr>
      <w:r w:rsidRPr="00C25CDA">
        <w:rPr>
          <w:b/>
          <w:i/>
          <w:lang w:val="fr-FR"/>
        </w:rPr>
        <w:t>Intravenous Administration</w:t>
      </w:r>
      <w:r w:rsidR="00032AA6" w:rsidRPr="00C25CDA">
        <w:rPr>
          <w:b/>
          <w:i/>
          <w:lang w:val="fr-FR"/>
        </w:rPr>
        <w:t xml:space="preserve"> (PI</w:t>
      </w:r>
      <w:r w:rsidR="00AA6A91" w:rsidRPr="00C25CDA">
        <w:rPr>
          <w:b/>
          <w:i/>
          <w:lang w:val="fr-FR"/>
        </w:rPr>
        <w:t>, ITP, CIDP)</w:t>
      </w:r>
    </w:p>
    <w:p w:rsidR="00344A16" w:rsidRPr="00C25CDA" w:rsidRDefault="00344A16" w:rsidP="008C0BAB">
      <w:pPr>
        <w:pStyle w:val="Lemm1"/>
        <w:jc w:val="both"/>
        <w:rPr>
          <w:lang w:val="fr-FR"/>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600"/>
      </w:tblGrid>
      <w:tr w:rsidR="008C0BAB" w:rsidRPr="007A1703">
        <w:trPr>
          <w:cantSplit/>
          <w:tblHeader/>
        </w:trPr>
        <w:tc>
          <w:tcPr>
            <w:tcW w:w="5670" w:type="dxa"/>
          </w:tcPr>
          <w:p w:rsidR="008C0BAB" w:rsidRPr="007A1703" w:rsidRDefault="008C0BAB" w:rsidP="004F25D8">
            <w:pPr>
              <w:rPr>
                <w:rFonts w:ascii="Arial" w:hAnsi="Arial"/>
                <w:b/>
                <w:sz w:val="24"/>
                <w:lang w:val="en-AU"/>
              </w:rPr>
            </w:pPr>
            <w:proofErr w:type="spellStart"/>
            <w:r w:rsidRPr="007A1703">
              <w:rPr>
                <w:rFonts w:ascii="Arial" w:hAnsi="Arial"/>
                <w:b/>
                <w:sz w:val="24"/>
                <w:lang w:val="en-AU"/>
              </w:rPr>
              <w:t>MedDRA</w:t>
            </w:r>
            <w:proofErr w:type="spellEnd"/>
            <w:r w:rsidRPr="007A1703">
              <w:rPr>
                <w:rFonts w:ascii="Arial" w:hAnsi="Arial"/>
                <w:b/>
                <w:sz w:val="24"/>
                <w:lang w:val="en-AU"/>
              </w:rPr>
              <w:t xml:space="preserve"> System Organ Class</w:t>
            </w:r>
          </w:p>
          <w:p w:rsidR="008C0BAB" w:rsidRPr="007A1703" w:rsidRDefault="008C0BAB" w:rsidP="004F25D8">
            <w:pPr>
              <w:rPr>
                <w:rFonts w:ascii="Arial" w:hAnsi="Arial"/>
                <w:b/>
                <w:sz w:val="24"/>
                <w:lang w:val="en-AU"/>
              </w:rPr>
            </w:pPr>
          </w:p>
        </w:tc>
        <w:tc>
          <w:tcPr>
            <w:tcW w:w="3600" w:type="dxa"/>
            <w:tcBorders>
              <w:right w:val="single" w:sz="4" w:space="0" w:color="auto"/>
            </w:tcBorders>
          </w:tcPr>
          <w:p w:rsidR="008C0BAB" w:rsidRPr="007A1703" w:rsidRDefault="008C0BAB" w:rsidP="004F25D8">
            <w:pPr>
              <w:rPr>
                <w:rFonts w:ascii="Arial" w:hAnsi="Arial"/>
                <w:b/>
                <w:sz w:val="24"/>
                <w:lang w:val="en-AU"/>
              </w:rPr>
            </w:pPr>
            <w:proofErr w:type="spellStart"/>
            <w:r w:rsidRPr="007A1703">
              <w:rPr>
                <w:rFonts w:ascii="Arial" w:hAnsi="Arial"/>
                <w:b/>
                <w:sz w:val="24"/>
                <w:lang w:val="en-AU"/>
              </w:rPr>
              <w:t>MedDRA</w:t>
            </w:r>
            <w:proofErr w:type="spellEnd"/>
            <w:r w:rsidRPr="007A1703">
              <w:rPr>
                <w:rFonts w:ascii="Arial" w:hAnsi="Arial"/>
                <w:b/>
                <w:sz w:val="24"/>
                <w:lang w:val="en-AU"/>
              </w:rPr>
              <w:t xml:space="preserve"> Term</w:t>
            </w:r>
          </w:p>
        </w:tc>
      </w:tr>
      <w:tr w:rsidR="00D47D02" w:rsidRPr="007A1703">
        <w:trPr>
          <w:cantSplit/>
        </w:trPr>
        <w:tc>
          <w:tcPr>
            <w:tcW w:w="9270" w:type="dxa"/>
            <w:gridSpan w:val="2"/>
          </w:tcPr>
          <w:p w:rsidR="00D47D02" w:rsidRPr="007A1703" w:rsidRDefault="00D47D02" w:rsidP="00D47D02">
            <w:pPr>
              <w:pStyle w:val="Lemm1"/>
              <w:spacing w:line="240" w:lineRule="atLeast"/>
              <w:rPr>
                <w:b/>
                <w:snapToGrid w:val="0"/>
                <w:lang w:val="en-AU" w:eastAsia="en-US"/>
              </w:rPr>
            </w:pPr>
            <w:r w:rsidRPr="007A1703">
              <w:rPr>
                <w:b/>
                <w:snapToGrid w:val="0"/>
                <w:lang w:val="en-AU" w:eastAsia="en-US"/>
              </w:rPr>
              <w:t xml:space="preserve">Incidence of frequency </w:t>
            </w:r>
            <w:r w:rsidRPr="007A1703">
              <w:rPr>
                <w:b/>
                <w:snapToGrid w:val="0"/>
                <w:lang w:val="en-AU" w:eastAsia="en-US"/>
              </w:rPr>
              <w:sym w:font="Symbol" w:char="F0B3"/>
            </w:r>
            <w:r w:rsidRPr="007A1703">
              <w:rPr>
                <w:b/>
                <w:snapToGrid w:val="0"/>
                <w:lang w:val="en-AU" w:eastAsia="en-US"/>
              </w:rPr>
              <w:t xml:space="preserve"> 1 % and &lt; 10% (common)</w:t>
            </w:r>
          </w:p>
        </w:tc>
      </w:tr>
      <w:tr w:rsidR="008C0BAB" w:rsidRPr="007A1703">
        <w:trPr>
          <w:cantSplit/>
        </w:trPr>
        <w:tc>
          <w:tcPr>
            <w:tcW w:w="5670" w:type="dxa"/>
          </w:tcPr>
          <w:p w:rsidR="008C0BAB" w:rsidRPr="007A1703" w:rsidRDefault="008C0BAB" w:rsidP="004F25D8">
            <w:pPr>
              <w:spacing w:line="240" w:lineRule="atLeast"/>
              <w:rPr>
                <w:rFonts w:ascii="Arial" w:hAnsi="Arial"/>
                <w:sz w:val="22"/>
                <w:lang w:val="en-AU"/>
              </w:rPr>
            </w:pPr>
            <w:r w:rsidRPr="007A1703">
              <w:rPr>
                <w:rFonts w:ascii="Arial" w:hAnsi="Arial"/>
                <w:snapToGrid w:val="0"/>
                <w:color w:val="000000"/>
                <w:sz w:val="22"/>
                <w:lang w:val="en-AU" w:eastAsia="en-US"/>
              </w:rPr>
              <w:t>Nervous System Disorders</w:t>
            </w:r>
          </w:p>
        </w:tc>
        <w:tc>
          <w:tcPr>
            <w:tcW w:w="3600" w:type="dxa"/>
            <w:tcBorders>
              <w:right w:val="single" w:sz="4" w:space="0" w:color="auto"/>
            </w:tcBorders>
            <w:vAlign w:val="center"/>
          </w:tcPr>
          <w:p w:rsidR="008C0BAB" w:rsidRPr="007A1703" w:rsidRDefault="008C0BAB" w:rsidP="004F25D8">
            <w:pPr>
              <w:spacing w:line="240" w:lineRule="atLeast"/>
              <w:rPr>
                <w:rFonts w:ascii="Arial" w:hAnsi="Arial"/>
                <w:sz w:val="22"/>
                <w:lang w:val="en-AU"/>
              </w:rPr>
            </w:pPr>
            <w:r w:rsidRPr="007A1703">
              <w:rPr>
                <w:rFonts w:ascii="Arial" w:hAnsi="Arial"/>
                <w:sz w:val="22"/>
                <w:lang w:val="en-AU"/>
              </w:rPr>
              <w:t>Headache</w:t>
            </w:r>
          </w:p>
        </w:tc>
      </w:tr>
      <w:tr w:rsidR="008C0BAB" w:rsidRPr="007A1703">
        <w:trPr>
          <w:cantSplit/>
        </w:trPr>
        <w:tc>
          <w:tcPr>
            <w:tcW w:w="5670" w:type="dxa"/>
          </w:tcPr>
          <w:p w:rsidR="008C0BAB" w:rsidRPr="007A1703" w:rsidRDefault="008C0BAB" w:rsidP="004F25D8">
            <w:pPr>
              <w:spacing w:line="240" w:lineRule="atLeast"/>
              <w:rPr>
                <w:rFonts w:ascii="Arial" w:hAnsi="Arial"/>
                <w:sz w:val="22"/>
                <w:lang w:val="en-AU"/>
              </w:rPr>
            </w:pPr>
            <w:r w:rsidRPr="007A1703">
              <w:rPr>
                <w:rFonts w:ascii="Arial" w:hAnsi="Arial"/>
                <w:snapToGrid w:val="0"/>
                <w:color w:val="000000"/>
                <w:sz w:val="22"/>
                <w:lang w:val="en-AU" w:eastAsia="en-US"/>
              </w:rPr>
              <w:t>General Disorders and Administration Site Conditions</w:t>
            </w:r>
          </w:p>
        </w:tc>
        <w:tc>
          <w:tcPr>
            <w:tcW w:w="3600" w:type="dxa"/>
            <w:tcBorders>
              <w:right w:val="single" w:sz="4" w:space="0" w:color="auto"/>
            </w:tcBorders>
            <w:vAlign w:val="center"/>
          </w:tcPr>
          <w:p w:rsidR="008C0BAB" w:rsidRPr="007A1703" w:rsidRDefault="008C0BAB" w:rsidP="004F25D8">
            <w:pPr>
              <w:spacing w:line="240" w:lineRule="atLeast"/>
              <w:rPr>
                <w:rFonts w:ascii="Arial" w:hAnsi="Arial"/>
                <w:sz w:val="22"/>
                <w:lang w:val="en-AU"/>
              </w:rPr>
            </w:pPr>
            <w:r w:rsidRPr="007A1703">
              <w:rPr>
                <w:rFonts w:ascii="Arial" w:hAnsi="Arial"/>
                <w:sz w:val="22"/>
                <w:lang w:val="en-AU"/>
              </w:rPr>
              <w:t xml:space="preserve">Pyrexia </w:t>
            </w:r>
          </w:p>
        </w:tc>
      </w:tr>
      <w:tr w:rsidR="008C0BAB" w:rsidRPr="007A1703">
        <w:trPr>
          <w:cantSplit/>
        </w:trPr>
        <w:tc>
          <w:tcPr>
            <w:tcW w:w="9270" w:type="dxa"/>
            <w:gridSpan w:val="2"/>
          </w:tcPr>
          <w:p w:rsidR="008C0BAB" w:rsidRPr="007A1703" w:rsidRDefault="008C0BAB" w:rsidP="004F25D8">
            <w:pPr>
              <w:spacing w:line="240" w:lineRule="atLeast"/>
              <w:rPr>
                <w:rFonts w:ascii="Arial" w:hAnsi="Arial"/>
                <w:b/>
                <w:snapToGrid w:val="0"/>
                <w:sz w:val="22"/>
                <w:lang w:val="en-AU" w:eastAsia="en-US"/>
              </w:rPr>
            </w:pPr>
          </w:p>
          <w:p w:rsidR="008C0BAB" w:rsidRPr="007A1703" w:rsidRDefault="008C0BAB" w:rsidP="004F25D8">
            <w:pPr>
              <w:spacing w:line="240" w:lineRule="atLeast"/>
              <w:rPr>
                <w:rFonts w:ascii="Arial" w:hAnsi="Arial"/>
                <w:b/>
                <w:sz w:val="22"/>
                <w:lang w:val="en-AU"/>
              </w:rPr>
            </w:pPr>
            <w:r w:rsidRPr="007A1703">
              <w:rPr>
                <w:rFonts w:ascii="Arial" w:hAnsi="Arial"/>
                <w:b/>
                <w:snapToGrid w:val="0"/>
                <w:sz w:val="22"/>
                <w:lang w:val="en-AU" w:eastAsia="en-US"/>
              </w:rPr>
              <w:t xml:space="preserve">Incidence of frequency </w:t>
            </w:r>
            <w:r w:rsidRPr="007A1703">
              <w:rPr>
                <w:rFonts w:ascii="Arial" w:hAnsi="Arial"/>
                <w:b/>
                <w:snapToGrid w:val="0"/>
                <w:sz w:val="22"/>
                <w:lang w:val="en-AU" w:eastAsia="en-US"/>
              </w:rPr>
              <w:sym w:font="Symbol" w:char="F0B3"/>
            </w:r>
            <w:r w:rsidRPr="007A1703">
              <w:rPr>
                <w:rFonts w:ascii="Arial" w:hAnsi="Arial"/>
                <w:b/>
                <w:snapToGrid w:val="0"/>
                <w:sz w:val="22"/>
                <w:lang w:val="en-AU" w:eastAsia="en-US"/>
              </w:rPr>
              <w:t xml:space="preserve"> 0.1% and &lt; 1% (uncommon)</w:t>
            </w:r>
          </w:p>
        </w:tc>
      </w:tr>
      <w:tr w:rsidR="00D47D02" w:rsidRPr="007A1703">
        <w:trPr>
          <w:cantSplit/>
        </w:trPr>
        <w:tc>
          <w:tcPr>
            <w:tcW w:w="5670" w:type="dxa"/>
          </w:tcPr>
          <w:p w:rsidR="00D47D02" w:rsidRPr="007A1703" w:rsidRDefault="00D47D02" w:rsidP="00D47D02">
            <w:pPr>
              <w:spacing w:line="240" w:lineRule="atLeast"/>
              <w:rPr>
                <w:rFonts w:ascii="Arial" w:hAnsi="Arial"/>
                <w:snapToGrid w:val="0"/>
                <w:color w:val="000000"/>
                <w:sz w:val="22"/>
                <w:lang w:val="en-AU" w:eastAsia="en-US"/>
              </w:rPr>
            </w:pPr>
            <w:r>
              <w:rPr>
                <w:rFonts w:ascii="Arial" w:hAnsi="Arial"/>
                <w:snapToGrid w:val="0"/>
                <w:color w:val="000000"/>
                <w:sz w:val="22"/>
                <w:lang w:val="en-AU" w:eastAsia="en-US"/>
              </w:rPr>
              <w:t>Investigations</w:t>
            </w:r>
          </w:p>
        </w:tc>
        <w:tc>
          <w:tcPr>
            <w:tcW w:w="3600" w:type="dxa"/>
            <w:tcBorders>
              <w:bottom w:val="single" w:sz="4" w:space="0" w:color="auto"/>
              <w:right w:val="single" w:sz="4" w:space="0" w:color="auto"/>
            </w:tcBorders>
            <w:vAlign w:val="center"/>
          </w:tcPr>
          <w:p w:rsidR="00D47D02" w:rsidRPr="007A1703" w:rsidRDefault="00D47D02" w:rsidP="00D47D02">
            <w:pPr>
              <w:spacing w:line="240" w:lineRule="atLeast"/>
              <w:rPr>
                <w:rFonts w:ascii="Arial" w:hAnsi="Arial"/>
                <w:sz w:val="22"/>
                <w:lang w:val="en-AU"/>
              </w:rPr>
            </w:pPr>
            <w:r>
              <w:rPr>
                <w:rFonts w:ascii="Arial" w:hAnsi="Arial"/>
                <w:sz w:val="22"/>
                <w:lang w:val="en-AU"/>
              </w:rPr>
              <w:t>White blood cell count decreased</w:t>
            </w:r>
          </w:p>
        </w:tc>
      </w:tr>
      <w:tr w:rsidR="00D47D02" w:rsidRPr="007A1703">
        <w:trPr>
          <w:cantSplit/>
        </w:trPr>
        <w:tc>
          <w:tcPr>
            <w:tcW w:w="5670" w:type="dxa"/>
          </w:tcPr>
          <w:p w:rsidR="00D47D02" w:rsidRPr="007A1703" w:rsidRDefault="00D47D02" w:rsidP="00D47D02">
            <w:pPr>
              <w:spacing w:line="240" w:lineRule="atLeast"/>
              <w:rPr>
                <w:rFonts w:ascii="Arial" w:hAnsi="Arial"/>
                <w:sz w:val="22"/>
                <w:lang w:val="en-AU"/>
              </w:rPr>
            </w:pPr>
            <w:r w:rsidRPr="007A1703">
              <w:rPr>
                <w:rFonts w:ascii="Arial" w:hAnsi="Arial"/>
                <w:snapToGrid w:val="0"/>
                <w:color w:val="000000"/>
                <w:sz w:val="22"/>
                <w:lang w:val="en-AU" w:eastAsia="en-US"/>
              </w:rPr>
              <w:t>Nervous System Disorders</w:t>
            </w:r>
          </w:p>
        </w:tc>
        <w:tc>
          <w:tcPr>
            <w:tcW w:w="3600" w:type="dxa"/>
            <w:tcBorders>
              <w:bottom w:val="single" w:sz="4" w:space="0" w:color="auto"/>
              <w:right w:val="single" w:sz="4" w:space="0" w:color="auto"/>
            </w:tcBorders>
            <w:vAlign w:val="center"/>
          </w:tcPr>
          <w:p w:rsidR="00D47D02" w:rsidRPr="007A1703" w:rsidRDefault="00D47D02" w:rsidP="00D47D02">
            <w:pPr>
              <w:spacing w:line="240" w:lineRule="atLeast"/>
              <w:rPr>
                <w:rFonts w:ascii="Arial" w:hAnsi="Arial"/>
                <w:sz w:val="22"/>
                <w:lang w:val="en-AU"/>
              </w:rPr>
            </w:pPr>
            <w:r w:rsidRPr="007A1703">
              <w:rPr>
                <w:rFonts w:ascii="Arial" w:hAnsi="Arial"/>
                <w:sz w:val="22"/>
                <w:lang w:val="en-AU"/>
              </w:rPr>
              <w:t>Dizziness</w:t>
            </w:r>
          </w:p>
        </w:tc>
      </w:tr>
      <w:tr w:rsidR="00D47D02" w:rsidRPr="007A1703">
        <w:trPr>
          <w:cantSplit/>
        </w:trPr>
        <w:tc>
          <w:tcPr>
            <w:tcW w:w="5670" w:type="dxa"/>
          </w:tcPr>
          <w:p w:rsidR="00D47D02" w:rsidRPr="007A1703" w:rsidRDefault="00D47D02" w:rsidP="00D47D02">
            <w:pPr>
              <w:spacing w:line="240" w:lineRule="atLeast"/>
              <w:rPr>
                <w:rFonts w:ascii="Arial" w:hAnsi="Arial"/>
                <w:snapToGrid w:val="0"/>
                <w:color w:val="000000"/>
                <w:sz w:val="22"/>
                <w:lang w:val="en-AU" w:eastAsia="en-US"/>
              </w:rPr>
            </w:pPr>
            <w:r w:rsidRPr="007A1703">
              <w:rPr>
                <w:rFonts w:ascii="Arial" w:hAnsi="Arial"/>
                <w:snapToGrid w:val="0"/>
                <w:color w:val="000000"/>
                <w:sz w:val="22"/>
                <w:lang w:val="en-AU" w:eastAsia="en-US"/>
              </w:rPr>
              <w:t xml:space="preserve">*Skin and Subcutaneous Disorder </w:t>
            </w:r>
          </w:p>
          <w:p w:rsidR="00D47D02" w:rsidRPr="007A1703" w:rsidRDefault="00D47D02" w:rsidP="00D47D02">
            <w:pPr>
              <w:spacing w:line="240" w:lineRule="atLeast"/>
              <w:rPr>
                <w:rFonts w:ascii="Arial" w:hAnsi="Arial"/>
                <w:sz w:val="22"/>
                <w:lang w:val="en-AU"/>
              </w:rPr>
            </w:pPr>
            <w:r w:rsidRPr="007A1703">
              <w:rPr>
                <w:rFonts w:ascii="Arial" w:hAnsi="Arial"/>
                <w:snapToGrid w:val="0"/>
                <w:color w:val="000000"/>
                <w:sz w:val="22"/>
                <w:lang w:val="en-AU" w:eastAsia="en-US"/>
              </w:rPr>
              <w:t>*Immune Disorders</w:t>
            </w:r>
          </w:p>
        </w:tc>
        <w:tc>
          <w:tcPr>
            <w:tcW w:w="3600" w:type="dxa"/>
            <w:tcBorders>
              <w:bottom w:val="single" w:sz="4" w:space="0" w:color="auto"/>
              <w:right w:val="single" w:sz="4" w:space="0" w:color="auto"/>
            </w:tcBorders>
            <w:vAlign w:val="center"/>
          </w:tcPr>
          <w:p w:rsidR="00D47D02" w:rsidRPr="007A1703" w:rsidRDefault="00D47D02" w:rsidP="00D47D02">
            <w:pPr>
              <w:spacing w:line="240" w:lineRule="atLeast"/>
              <w:rPr>
                <w:rFonts w:ascii="Arial" w:hAnsi="Arial"/>
                <w:sz w:val="22"/>
                <w:lang w:val="en-AU"/>
              </w:rPr>
            </w:pPr>
            <w:proofErr w:type="spellStart"/>
            <w:r w:rsidRPr="007A1703">
              <w:rPr>
                <w:rFonts w:ascii="Arial" w:hAnsi="Arial"/>
                <w:sz w:val="22"/>
                <w:lang w:val="en-AU"/>
              </w:rPr>
              <w:t>Urticaria</w:t>
            </w:r>
            <w:proofErr w:type="spellEnd"/>
            <w:r>
              <w:rPr>
                <w:rFonts w:ascii="Arial" w:hAnsi="Arial"/>
                <w:sz w:val="22"/>
                <w:lang w:val="en-AU"/>
              </w:rPr>
              <w:t xml:space="preserve">, dermatitis, </w:t>
            </w:r>
            <w:proofErr w:type="spellStart"/>
            <w:r>
              <w:rPr>
                <w:rFonts w:ascii="Arial" w:hAnsi="Arial"/>
                <w:sz w:val="22"/>
                <w:lang w:val="en-AU"/>
              </w:rPr>
              <w:t>pruritis</w:t>
            </w:r>
            <w:proofErr w:type="spellEnd"/>
            <w:r>
              <w:rPr>
                <w:rFonts w:ascii="Arial" w:hAnsi="Arial"/>
                <w:sz w:val="22"/>
                <w:lang w:val="en-AU"/>
              </w:rPr>
              <w:t>, rash</w:t>
            </w:r>
          </w:p>
        </w:tc>
      </w:tr>
      <w:tr w:rsidR="008C0BAB" w:rsidRPr="00263A50">
        <w:trPr>
          <w:cantSplit/>
        </w:trPr>
        <w:tc>
          <w:tcPr>
            <w:tcW w:w="5670" w:type="dxa"/>
          </w:tcPr>
          <w:p w:rsidR="008C0BAB" w:rsidRPr="007A1703" w:rsidRDefault="008C0BAB" w:rsidP="004F25D8">
            <w:pPr>
              <w:spacing w:line="240" w:lineRule="atLeast"/>
              <w:rPr>
                <w:rFonts w:ascii="Arial" w:hAnsi="Arial"/>
                <w:sz w:val="22"/>
                <w:lang w:val="en-AU"/>
              </w:rPr>
            </w:pPr>
            <w:r w:rsidRPr="007A1703">
              <w:rPr>
                <w:rFonts w:ascii="Arial" w:hAnsi="Arial"/>
                <w:snapToGrid w:val="0"/>
                <w:color w:val="000000"/>
                <w:sz w:val="22"/>
                <w:lang w:val="en-AU" w:eastAsia="en-US"/>
              </w:rPr>
              <w:t>Gastrointestinal Disorders</w:t>
            </w:r>
          </w:p>
        </w:tc>
        <w:tc>
          <w:tcPr>
            <w:tcW w:w="3600" w:type="dxa"/>
            <w:tcBorders>
              <w:bottom w:val="single" w:sz="4" w:space="0" w:color="auto"/>
              <w:right w:val="single" w:sz="4" w:space="0" w:color="auto"/>
            </w:tcBorders>
            <w:vAlign w:val="center"/>
          </w:tcPr>
          <w:p w:rsidR="008C0BAB" w:rsidRPr="00263A50" w:rsidRDefault="00D47D02" w:rsidP="004F25D8">
            <w:pPr>
              <w:spacing w:line="240" w:lineRule="atLeast"/>
              <w:rPr>
                <w:rFonts w:ascii="Arial" w:hAnsi="Arial"/>
                <w:sz w:val="22"/>
                <w:lang w:val="pt-BR"/>
              </w:rPr>
            </w:pPr>
            <w:r w:rsidRPr="00263A50">
              <w:rPr>
                <w:rFonts w:ascii="Arial" w:hAnsi="Arial"/>
                <w:sz w:val="22"/>
                <w:lang w:val="pt-BR"/>
              </w:rPr>
              <w:t>Abdominal pain, d</w:t>
            </w:r>
            <w:r w:rsidR="008C0BAB" w:rsidRPr="00263A50">
              <w:rPr>
                <w:rFonts w:ascii="Arial" w:hAnsi="Arial"/>
                <w:sz w:val="22"/>
                <w:lang w:val="pt-BR"/>
              </w:rPr>
              <w:t>iarrhoea</w:t>
            </w:r>
            <w:r w:rsidRPr="00263A50">
              <w:rPr>
                <w:rFonts w:ascii="Arial" w:hAnsi="Arial"/>
                <w:sz w:val="22"/>
                <w:lang w:val="pt-BR"/>
              </w:rPr>
              <w:t>, nausea, vomiting</w:t>
            </w:r>
          </w:p>
        </w:tc>
      </w:tr>
      <w:tr w:rsidR="00DC4898" w:rsidRPr="007A1703">
        <w:trPr>
          <w:cantSplit/>
        </w:trPr>
        <w:tc>
          <w:tcPr>
            <w:tcW w:w="5670" w:type="dxa"/>
          </w:tcPr>
          <w:p w:rsidR="00DC4898" w:rsidRPr="007A1703" w:rsidRDefault="00DC4898" w:rsidP="004F25D8">
            <w:pPr>
              <w:spacing w:line="240" w:lineRule="atLeast"/>
              <w:rPr>
                <w:rFonts w:ascii="Arial" w:hAnsi="Arial"/>
                <w:snapToGrid w:val="0"/>
                <w:color w:val="000000"/>
                <w:sz w:val="22"/>
                <w:lang w:val="en-AU" w:eastAsia="en-US"/>
              </w:rPr>
            </w:pPr>
            <w:r>
              <w:rPr>
                <w:rFonts w:ascii="Arial" w:hAnsi="Arial"/>
                <w:snapToGrid w:val="0"/>
                <w:color w:val="000000"/>
                <w:sz w:val="22"/>
                <w:lang w:val="en-AU" w:eastAsia="en-US"/>
              </w:rPr>
              <w:t>Vascular Disorders</w:t>
            </w:r>
          </w:p>
        </w:tc>
        <w:tc>
          <w:tcPr>
            <w:tcW w:w="3600" w:type="dxa"/>
            <w:tcBorders>
              <w:bottom w:val="single" w:sz="4" w:space="0" w:color="auto"/>
              <w:right w:val="single" w:sz="4" w:space="0" w:color="auto"/>
            </w:tcBorders>
            <w:vAlign w:val="center"/>
          </w:tcPr>
          <w:p w:rsidR="00DC4898" w:rsidRDefault="00DC4898" w:rsidP="004F25D8">
            <w:pPr>
              <w:pStyle w:val="Lemm1"/>
              <w:spacing w:line="240" w:lineRule="atLeast"/>
              <w:rPr>
                <w:lang w:val="en-AU"/>
              </w:rPr>
            </w:pPr>
            <w:r>
              <w:rPr>
                <w:lang w:val="en-AU"/>
              </w:rPr>
              <w:t>Hypertension, hypotension</w:t>
            </w:r>
          </w:p>
        </w:tc>
      </w:tr>
      <w:tr w:rsidR="00DC4898" w:rsidRPr="007A1703">
        <w:trPr>
          <w:cantSplit/>
        </w:trPr>
        <w:tc>
          <w:tcPr>
            <w:tcW w:w="5670" w:type="dxa"/>
          </w:tcPr>
          <w:p w:rsidR="00DC4898" w:rsidRPr="007A1703" w:rsidRDefault="00DC4898" w:rsidP="004F25D8">
            <w:pPr>
              <w:spacing w:line="240" w:lineRule="atLeast"/>
              <w:rPr>
                <w:rFonts w:ascii="Arial" w:hAnsi="Arial"/>
                <w:snapToGrid w:val="0"/>
                <w:color w:val="000000"/>
                <w:sz w:val="22"/>
                <w:lang w:val="en-AU" w:eastAsia="en-US"/>
              </w:rPr>
            </w:pPr>
            <w:r>
              <w:rPr>
                <w:rFonts w:ascii="Arial" w:hAnsi="Arial"/>
                <w:snapToGrid w:val="0"/>
                <w:color w:val="000000"/>
                <w:sz w:val="22"/>
                <w:lang w:val="en-AU" w:eastAsia="en-US"/>
              </w:rPr>
              <w:t xml:space="preserve">Respiratory, thoracic and </w:t>
            </w:r>
            <w:proofErr w:type="spellStart"/>
            <w:r>
              <w:rPr>
                <w:rFonts w:ascii="Arial" w:hAnsi="Arial"/>
                <w:snapToGrid w:val="0"/>
                <w:color w:val="000000"/>
                <w:sz w:val="22"/>
                <w:lang w:val="en-AU" w:eastAsia="en-US"/>
              </w:rPr>
              <w:t>mediastinal</w:t>
            </w:r>
            <w:proofErr w:type="spellEnd"/>
            <w:r>
              <w:rPr>
                <w:rFonts w:ascii="Arial" w:hAnsi="Arial"/>
                <w:snapToGrid w:val="0"/>
                <w:color w:val="000000"/>
                <w:sz w:val="22"/>
                <w:lang w:val="en-AU" w:eastAsia="en-US"/>
              </w:rPr>
              <w:t xml:space="preserve"> disorders</w:t>
            </w:r>
          </w:p>
        </w:tc>
        <w:tc>
          <w:tcPr>
            <w:tcW w:w="3600" w:type="dxa"/>
            <w:tcBorders>
              <w:bottom w:val="single" w:sz="4" w:space="0" w:color="auto"/>
              <w:right w:val="single" w:sz="4" w:space="0" w:color="auto"/>
            </w:tcBorders>
            <w:vAlign w:val="center"/>
          </w:tcPr>
          <w:p w:rsidR="00DC4898" w:rsidRDefault="00DC4898" w:rsidP="004F25D8">
            <w:pPr>
              <w:pStyle w:val="Lemm1"/>
              <w:spacing w:line="240" w:lineRule="atLeast"/>
              <w:rPr>
                <w:lang w:val="en-AU"/>
              </w:rPr>
            </w:pPr>
            <w:proofErr w:type="spellStart"/>
            <w:r>
              <w:rPr>
                <w:lang w:val="en-AU"/>
              </w:rPr>
              <w:t>Pharyngitis</w:t>
            </w:r>
            <w:proofErr w:type="spellEnd"/>
            <w:r>
              <w:rPr>
                <w:lang w:val="en-AU"/>
              </w:rPr>
              <w:t>, cough, nasal congestion, wheezing</w:t>
            </w:r>
          </w:p>
        </w:tc>
      </w:tr>
      <w:tr w:rsidR="00E73063" w:rsidRPr="007A1703">
        <w:trPr>
          <w:cantSplit/>
        </w:trPr>
        <w:tc>
          <w:tcPr>
            <w:tcW w:w="5670" w:type="dxa"/>
          </w:tcPr>
          <w:p w:rsidR="00E73063" w:rsidRPr="007A1703" w:rsidRDefault="00E73063" w:rsidP="00E73063">
            <w:pPr>
              <w:spacing w:line="240" w:lineRule="atLeast"/>
              <w:rPr>
                <w:rFonts w:ascii="Arial" w:hAnsi="Arial"/>
                <w:sz w:val="22"/>
                <w:lang w:val="en-AU"/>
              </w:rPr>
            </w:pPr>
            <w:r w:rsidRPr="007A1703">
              <w:rPr>
                <w:rFonts w:ascii="Arial" w:hAnsi="Arial"/>
                <w:snapToGrid w:val="0"/>
                <w:color w:val="000000"/>
                <w:sz w:val="22"/>
                <w:lang w:val="en-AU" w:eastAsia="en-US"/>
              </w:rPr>
              <w:lastRenderedPageBreak/>
              <w:t>Musculoskeletal &amp; Connective Tissue Disorders</w:t>
            </w:r>
          </w:p>
        </w:tc>
        <w:tc>
          <w:tcPr>
            <w:tcW w:w="3600" w:type="dxa"/>
            <w:tcBorders>
              <w:bottom w:val="single" w:sz="4" w:space="0" w:color="auto"/>
              <w:right w:val="single" w:sz="4" w:space="0" w:color="auto"/>
            </w:tcBorders>
            <w:vAlign w:val="center"/>
          </w:tcPr>
          <w:p w:rsidR="00E73063" w:rsidRPr="007A1703" w:rsidRDefault="00E373D6" w:rsidP="00E73063">
            <w:pPr>
              <w:spacing w:line="240" w:lineRule="atLeast"/>
              <w:rPr>
                <w:rFonts w:ascii="Arial" w:hAnsi="Arial"/>
                <w:sz w:val="22"/>
                <w:lang w:val="en-AU"/>
              </w:rPr>
            </w:pPr>
            <w:proofErr w:type="spellStart"/>
            <w:r>
              <w:rPr>
                <w:rFonts w:ascii="Arial" w:hAnsi="Arial"/>
                <w:sz w:val="22"/>
                <w:lang w:val="en-AU"/>
              </w:rPr>
              <w:t>A</w:t>
            </w:r>
            <w:r w:rsidRPr="007A1703">
              <w:rPr>
                <w:rFonts w:ascii="Arial" w:hAnsi="Arial"/>
                <w:sz w:val="22"/>
                <w:lang w:val="en-AU"/>
              </w:rPr>
              <w:t>rthralgia</w:t>
            </w:r>
            <w:proofErr w:type="spellEnd"/>
            <w:r>
              <w:rPr>
                <w:rFonts w:ascii="Arial" w:hAnsi="Arial"/>
                <w:sz w:val="22"/>
                <w:lang w:val="en-AU"/>
              </w:rPr>
              <w:t>, b</w:t>
            </w:r>
            <w:r w:rsidR="00E73063" w:rsidRPr="007A1703">
              <w:rPr>
                <w:rFonts w:ascii="Arial" w:hAnsi="Arial"/>
                <w:sz w:val="22"/>
                <w:lang w:val="en-AU"/>
              </w:rPr>
              <w:t xml:space="preserve">ack pain, </w:t>
            </w:r>
            <w:r w:rsidR="00E73063">
              <w:rPr>
                <w:rFonts w:ascii="Arial" w:hAnsi="Arial"/>
                <w:sz w:val="22"/>
                <w:lang w:val="en-AU"/>
              </w:rPr>
              <w:t>neck pain, shoulder pain</w:t>
            </w:r>
          </w:p>
        </w:tc>
      </w:tr>
      <w:tr w:rsidR="006166B9" w:rsidRPr="007A1703">
        <w:trPr>
          <w:cantSplit/>
        </w:trPr>
        <w:tc>
          <w:tcPr>
            <w:tcW w:w="5670" w:type="dxa"/>
          </w:tcPr>
          <w:p w:rsidR="006166B9" w:rsidRPr="007A1703" w:rsidRDefault="006166B9" w:rsidP="004F25D8">
            <w:pPr>
              <w:spacing w:line="240" w:lineRule="atLeast"/>
              <w:rPr>
                <w:rFonts w:ascii="Arial" w:hAnsi="Arial"/>
                <w:snapToGrid w:val="0"/>
                <w:color w:val="000000"/>
                <w:sz w:val="22"/>
                <w:lang w:val="en-AU" w:eastAsia="en-US"/>
              </w:rPr>
            </w:pPr>
            <w:r>
              <w:rPr>
                <w:rFonts w:ascii="Arial" w:hAnsi="Arial"/>
                <w:snapToGrid w:val="0"/>
                <w:color w:val="000000"/>
                <w:sz w:val="22"/>
                <w:lang w:val="en-AU" w:eastAsia="en-US"/>
              </w:rPr>
              <w:t>Cardiac Disorders</w:t>
            </w:r>
          </w:p>
        </w:tc>
        <w:tc>
          <w:tcPr>
            <w:tcW w:w="3600" w:type="dxa"/>
            <w:tcBorders>
              <w:right w:val="single" w:sz="4" w:space="0" w:color="auto"/>
            </w:tcBorders>
            <w:vAlign w:val="center"/>
          </w:tcPr>
          <w:p w:rsidR="006166B9" w:rsidRDefault="006166B9" w:rsidP="004F25D8">
            <w:pPr>
              <w:pStyle w:val="Lemm1"/>
              <w:spacing w:line="240" w:lineRule="atLeast"/>
              <w:rPr>
                <w:lang w:val="en-AU"/>
              </w:rPr>
            </w:pPr>
            <w:r>
              <w:rPr>
                <w:lang w:val="en-AU"/>
              </w:rPr>
              <w:t>Chest pain</w:t>
            </w:r>
          </w:p>
        </w:tc>
      </w:tr>
      <w:tr w:rsidR="008C0BAB" w:rsidRPr="007A1703">
        <w:trPr>
          <w:cantSplit/>
        </w:trPr>
        <w:tc>
          <w:tcPr>
            <w:tcW w:w="5670" w:type="dxa"/>
          </w:tcPr>
          <w:p w:rsidR="008C0BAB" w:rsidRPr="007A1703" w:rsidRDefault="008C0BAB" w:rsidP="004F25D8">
            <w:pPr>
              <w:spacing w:line="240" w:lineRule="atLeast"/>
              <w:rPr>
                <w:rFonts w:ascii="Arial" w:hAnsi="Arial"/>
                <w:sz w:val="22"/>
                <w:lang w:val="en-AU"/>
              </w:rPr>
            </w:pPr>
            <w:r w:rsidRPr="007A1703">
              <w:rPr>
                <w:rFonts w:ascii="Arial" w:hAnsi="Arial"/>
                <w:snapToGrid w:val="0"/>
                <w:color w:val="000000"/>
                <w:sz w:val="22"/>
                <w:lang w:val="en-AU" w:eastAsia="en-US"/>
              </w:rPr>
              <w:t>General Disorders and Administration Site Conditions</w:t>
            </w:r>
          </w:p>
        </w:tc>
        <w:tc>
          <w:tcPr>
            <w:tcW w:w="3600" w:type="dxa"/>
            <w:tcBorders>
              <w:right w:val="single" w:sz="4" w:space="0" w:color="auto"/>
            </w:tcBorders>
            <w:vAlign w:val="center"/>
          </w:tcPr>
          <w:p w:rsidR="008C0BAB" w:rsidRPr="007A1703" w:rsidRDefault="002633F9" w:rsidP="004F25D8">
            <w:pPr>
              <w:pStyle w:val="Lemm1"/>
              <w:spacing w:line="240" w:lineRule="atLeast"/>
              <w:rPr>
                <w:lang w:val="en-AU"/>
              </w:rPr>
            </w:pPr>
            <w:r>
              <w:rPr>
                <w:lang w:val="en-AU"/>
              </w:rPr>
              <w:t>Influenza like illness, malaise, fatigue, chills, a</w:t>
            </w:r>
            <w:r w:rsidR="008C0BAB" w:rsidRPr="007A1703">
              <w:rPr>
                <w:lang w:val="en-AU"/>
              </w:rPr>
              <w:t>sthenia</w:t>
            </w:r>
            <w:r w:rsidR="008727E7">
              <w:rPr>
                <w:lang w:val="en-AU"/>
              </w:rPr>
              <w:t xml:space="preserve">, </w:t>
            </w:r>
            <w:r>
              <w:rPr>
                <w:lang w:val="en-AU"/>
              </w:rPr>
              <w:t>i</w:t>
            </w:r>
            <w:r w:rsidR="008727E7" w:rsidRPr="007A1703">
              <w:rPr>
                <w:lang w:val="en-AU"/>
              </w:rPr>
              <w:t>njection site reaction</w:t>
            </w:r>
          </w:p>
        </w:tc>
      </w:tr>
    </w:tbl>
    <w:p w:rsidR="008C0BAB" w:rsidRDefault="008C0BAB" w:rsidP="008C0BAB">
      <w:pPr>
        <w:rPr>
          <w:rFonts w:ascii="Arial" w:hAnsi="Arial"/>
          <w:lang w:val="en-AU"/>
        </w:rPr>
      </w:pPr>
      <w:r w:rsidRPr="007A1703">
        <w:rPr>
          <w:rFonts w:ascii="Arial" w:hAnsi="Arial"/>
          <w:sz w:val="22"/>
          <w:lang w:val="en-AU"/>
        </w:rPr>
        <w:t>*</w:t>
      </w:r>
      <w:r w:rsidRPr="007A1703">
        <w:rPr>
          <w:rFonts w:ascii="Arial" w:hAnsi="Arial"/>
          <w:lang w:val="en-AU"/>
        </w:rPr>
        <w:t>Two System Organ Classes</w:t>
      </w:r>
    </w:p>
    <w:p w:rsidR="004356FF" w:rsidRDefault="004356FF" w:rsidP="008C0BAB">
      <w:pPr>
        <w:rPr>
          <w:rFonts w:ascii="Arial" w:hAnsi="Arial"/>
          <w:lang w:val="en-AU"/>
        </w:rPr>
      </w:pPr>
    </w:p>
    <w:p w:rsidR="004356FF" w:rsidRDefault="004356FF" w:rsidP="005B1F80">
      <w:pPr>
        <w:jc w:val="both"/>
        <w:rPr>
          <w:rFonts w:ascii="Arial" w:hAnsi="Arial"/>
          <w:sz w:val="22"/>
          <w:lang w:val="en-AU"/>
        </w:rPr>
      </w:pPr>
      <w:r>
        <w:rPr>
          <w:rFonts w:ascii="Arial" w:hAnsi="Arial"/>
          <w:sz w:val="22"/>
          <w:lang w:val="en-AU"/>
        </w:rPr>
        <w:t>The following a</w:t>
      </w:r>
      <w:r w:rsidRPr="004356FF">
        <w:rPr>
          <w:rFonts w:ascii="Arial" w:hAnsi="Arial"/>
          <w:sz w:val="22"/>
          <w:lang w:val="en-AU"/>
        </w:rPr>
        <w:t>dverse effects have been reported in clinical trials with GAMUNEX</w:t>
      </w:r>
      <w:r w:rsidRPr="004356FF">
        <w:rPr>
          <w:rFonts w:ascii="Arial" w:hAnsi="Arial"/>
          <w:sz w:val="22"/>
          <w:szCs w:val="22"/>
          <w:vertAlign w:val="superscript"/>
          <w:lang w:val="en-AU"/>
        </w:rPr>
        <w:t>®</w:t>
      </w:r>
      <w:r w:rsidRPr="004356FF">
        <w:rPr>
          <w:rFonts w:ascii="Arial" w:hAnsi="Arial"/>
          <w:sz w:val="22"/>
          <w:lang w:val="en-AU"/>
        </w:rPr>
        <w:t xml:space="preserve"> in</w:t>
      </w:r>
      <w:r>
        <w:rPr>
          <w:rFonts w:ascii="Arial" w:hAnsi="Arial"/>
          <w:sz w:val="22"/>
          <w:lang w:val="en-AU"/>
        </w:rPr>
        <w:t xml:space="preserve"> </w:t>
      </w:r>
      <w:r w:rsidRPr="00071593">
        <w:rPr>
          <w:rFonts w:ascii="Arial" w:hAnsi="Arial"/>
          <w:b/>
          <w:sz w:val="22"/>
          <w:lang w:val="en-AU"/>
        </w:rPr>
        <w:t>rare</w:t>
      </w:r>
      <w:r>
        <w:rPr>
          <w:rFonts w:ascii="Arial" w:hAnsi="Arial"/>
          <w:sz w:val="22"/>
          <w:lang w:val="en-AU"/>
        </w:rPr>
        <w:t xml:space="preserve"> frequencies</w:t>
      </w:r>
      <w:r w:rsidR="00071593">
        <w:rPr>
          <w:rFonts w:ascii="Arial" w:hAnsi="Arial"/>
          <w:sz w:val="22"/>
          <w:lang w:val="en-AU"/>
        </w:rPr>
        <w:t xml:space="preserve"> </w:t>
      </w:r>
      <w:r w:rsidR="00071593" w:rsidRPr="00071593">
        <w:rPr>
          <w:rFonts w:ascii="Arial" w:hAnsi="Arial"/>
          <w:b/>
          <w:snapToGrid w:val="0"/>
          <w:sz w:val="22"/>
          <w:lang w:val="en-AU" w:eastAsia="en-US"/>
        </w:rPr>
        <w:t>(</w:t>
      </w:r>
      <w:r w:rsidR="00071593" w:rsidRPr="00071593">
        <w:rPr>
          <w:rFonts w:ascii="Arial" w:hAnsi="Arial"/>
          <w:b/>
          <w:snapToGrid w:val="0"/>
          <w:sz w:val="22"/>
          <w:lang w:val="en-AU" w:eastAsia="en-US"/>
        </w:rPr>
        <w:sym w:font="Symbol" w:char="F0B3"/>
      </w:r>
      <w:r w:rsidR="00071593" w:rsidRPr="00071593">
        <w:rPr>
          <w:rFonts w:ascii="Arial" w:hAnsi="Arial"/>
          <w:b/>
          <w:snapToGrid w:val="0"/>
          <w:sz w:val="22"/>
          <w:lang w:val="en-AU" w:eastAsia="en-US"/>
        </w:rPr>
        <w:t xml:space="preserve"> 0.01 % and &lt; 0.1%</w:t>
      </w:r>
      <w:r w:rsidR="00071593">
        <w:rPr>
          <w:rFonts w:ascii="Arial" w:hAnsi="Arial"/>
          <w:b/>
          <w:snapToGrid w:val="0"/>
          <w:sz w:val="22"/>
          <w:lang w:val="en-AU" w:eastAsia="en-US"/>
        </w:rPr>
        <w:t>)</w:t>
      </w:r>
      <w:r w:rsidRPr="00071593">
        <w:rPr>
          <w:rFonts w:ascii="Arial" w:hAnsi="Arial"/>
          <w:b/>
          <w:snapToGrid w:val="0"/>
          <w:sz w:val="22"/>
          <w:lang w:val="en-AU" w:eastAsia="en-US"/>
        </w:rPr>
        <w:t>:</w:t>
      </w:r>
    </w:p>
    <w:p w:rsidR="004356FF" w:rsidRPr="007A1703" w:rsidRDefault="004356FF" w:rsidP="005B1F80">
      <w:pPr>
        <w:jc w:val="both"/>
        <w:rPr>
          <w:rFonts w:ascii="Arial" w:hAnsi="Arial"/>
          <w:sz w:val="22"/>
          <w:lang w:val="en-AU"/>
        </w:rPr>
      </w:pPr>
      <w:r>
        <w:rPr>
          <w:rFonts w:ascii="Arial" w:hAnsi="Arial"/>
          <w:sz w:val="22"/>
          <w:lang w:val="en-AU"/>
        </w:rPr>
        <w:t xml:space="preserve">Haemolytic anaemia, dyspnoea, sinusitis, skin exfoliation, anxiety, </w:t>
      </w:r>
      <w:proofErr w:type="spellStart"/>
      <w:r>
        <w:rPr>
          <w:rFonts w:ascii="Arial" w:hAnsi="Arial"/>
          <w:sz w:val="22"/>
          <w:lang w:val="en-AU"/>
        </w:rPr>
        <w:t>myalgia</w:t>
      </w:r>
      <w:proofErr w:type="spellEnd"/>
      <w:r>
        <w:rPr>
          <w:rFonts w:ascii="Arial" w:hAnsi="Arial"/>
          <w:sz w:val="22"/>
          <w:lang w:val="en-AU"/>
        </w:rPr>
        <w:t xml:space="preserve">, haemoglobin decreased, dyspepsia, contusion, dermatitis, flushing, musculoskeletal stiffness, </w:t>
      </w:r>
      <w:proofErr w:type="spellStart"/>
      <w:r>
        <w:rPr>
          <w:rFonts w:ascii="Arial" w:hAnsi="Arial"/>
          <w:sz w:val="22"/>
          <w:lang w:val="en-AU"/>
        </w:rPr>
        <w:t>palmar</w:t>
      </w:r>
      <w:proofErr w:type="spellEnd"/>
      <w:r>
        <w:rPr>
          <w:rFonts w:ascii="Arial" w:hAnsi="Arial"/>
          <w:sz w:val="22"/>
          <w:lang w:val="en-AU"/>
        </w:rPr>
        <w:t xml:space="preserve"> </w:t>
      </w:r>
      <w:proofErr w:type="spellStart"/>
      <w:r>
        <w:rPr>
          <w:rFonts w:ascii="Arial" w:hAnsi="Arial"/>
          <w:sz w:val="22"/>
          <w:lang w:val="en-AU"/>
        </w:rPr>
        <w:t>erythema</w:t>
      </w:r>
      <w:proofErr w:type="spellEnd"/>
      <w:r>
        <w:rPr>
          <w:rFonts w:ascii="Arial" w:hAnsi="Arial"/>
          <w:sz w:val="22"/>
          <w:lang w:val="en-AU"/>
        </w:rPr>
        <w:t xml:space="preserve">, </w:t>
      </w:r>
      <w:proofErr w:type="spellStart"/>
      <w:r>
        <w:rPr>
          <w:rFonts w:ascii="Arial" w:hAnsi="Arial"/>
          <w:sz w:val="22"/>
          <w:lang w:val="en-AU"/>
        </w:rPr>
        <w:t>aphonia</w:t>
      </w:r>
      <w:proofErr w:type="spellEnd"/>
      <w:r>
        <w:rPr>
          <w:rFonts w:ascii="Arial" w:hAnsi="Arial"/>
          <w:sz w:val="22"/>
          <w:lang w:val="en-AU"/>
        </w:rPr>
        <w:t xml:space="preserve">. </w:t>
      </w:r>
      <w:r w:rsidRPr="004356FF">
        <w:rPr>
          <w:rFonts w:ascii="Arial" w:hAnsi="Arial"/>
          <w:sz w:val="22"/>
          <w:lang w:val="en-AU"/>
        </w:rPr>
        <w:t xml:space="preserve">  </w:t>
      </w:r>
    </w:p>
    <w:p w:rsidR="008C0BAB" w:rsidRPr="007A1703" w:rsidRDefault="008C0BAB" w:rsidP="008C0BAB">
      <w:pPr>
        <w:rPr>
          <w:rFonts w:ascii="Arial" w:hAnsi="Arial"/>
          <w:sz w:val="22"/>
          <w:lang w:val="en-AU"/>
        </w:rPr>
      </w:pPr>
    </w:p>
    <w:p w:rsidR="00344A16" w:rsidRPr="005C1FFC" w:rsidRDefault="00344A16" w:rsidP="00344A16">
      <w:pPr>
        <w:pStyle w:val="Lemm1"/>
        <w:jc w:val="both"/>
        <w:rPr>
          <w:b/>
          <w:i/>
          <w:lang w:val="en-AU"/>
        </w:rPr>
      </w:pPr>
      <w:r w:rsidRPr="005C1FFC">
        <w:rPr>
          <w:b/>
          <w:i/>
          <w:lang w:val="en-AU"/>
        </w:rPr>
        <w:t>Subcutaneous Administration</w:t>
      </w:r>
      <w:r w:rsidR="00AA6A91">
        <w:rPr>
          <w:b/>
          <w:i/>
          <w:lang w:val="en-AU"/>
        </w:rPr>
        <w:t xml:space="preserve"> (PI)</w:t>
      </w:r>
    </w:p>
    <w:p w:rsidR="00344A16" w:rsidRPr="005C1FFC" w:rsidRDefault="00344A16" w:rsidP="008C0BAB">
      <w:pPr>
        <w:pStyle w:val="Lemm1"/>
        <w:rPr>
          <w:lang w:val="en-AU"/>
        </w:rPr>
      </w:pPr>
    </w:p>
    <w:p w:rsidR="00642B9B" w:rsidRPr="005C1FFC" w:rsidRDefault="00642B9B" w:rsidP="00642B9B">
      <w:pPr>
        <w:jc w:val="both"/>
        <w:rPr>
          <w:rFonts w:ascii="Arial" w:hAnsi="Arial"/>
          <w:sz w:val="22"/>
          <w:lang w:val="en-AU"/>
        </w:rPr>
      </w:pPr>
      <w:r w:rsidRPr="005C1FFC">
        <w:rPr>
          <w:rFonts w:ascii="Arial" w:hAnsi="Arial"/>
          <w:sz w:val="22"/>
          <w:lang w:val="en-AU"/>
        </w:rPr>
        <w:t>Treatment of Primary Immunodeficiency by the subcutaneous route (Study 060001)</w:t>
      </w:r>
    </w:p>
    <w:p w:rsidR="00642B9B" w:rsidRPr="005C1FFC" w:rsidRDefault="00642B9B" w:rsidP="00642B9B">
      <w:pPr>
        <w:jc w:val="both"/>
        <w:rPr>
          <w:rFonts w:ascii="Arial" w:hAnsi="Arial"/>
          <w:sz w:val="22"/>
          <w:lang w:val="en-AU"/>
        </w:rPr>
      </w:pPr>
    </w:p>
    <w:p w:rsidR="00642B9B" w:rsidRPr="005C1FFC" w:rsidRDefault="00642B9B" w:rsidP="00642B9B">
      <w:pPr>
        <w:jc w:val="both"/>
        <w:rPr>
          <w:rFonts w:ascii="Arial" w:hAnsi="Arial"/>
          <w:sz w:val="22"/>
          <w:lang w:val="en-AU"/>
        </w:rPr>
      </w:pPr>
      <w:r w:rsidRPr="005C1FFC">
        <w:rPr>
          <w:rFonts w:ascii="Arial" w:hAnsi="Arial"/>
          <w:sz w:val="22"/>
          <w:lang w:val="en-AU"/>
        </w:rPr>
        <w:t xml:space="preserve">Adverse events occurring in study 060001 were divided into 2 types: 1) Local infusion site reactions, and 2) Non-infusion site adverse events.  Table </w:t>
      </w:r>
      <w:r w:rsidR="008E4FE7">
        <w:rPr>
          <w:rFonts w:ascii="Arial" w:hAnsi="Arial"/>
          <w:sz w:val="22"/>
          <w:lang w:val="en-AU"/>
        </w:rPr>
        <w:t>7</w:t>
      </w:r>
      <w:r w:rsidRPr="005C1FFC">
        <w:rPr>
          <w:rFonts w:ascii="Arial" w:hAnsi="Arial"/>
          <w:sz w:val="22"/>
          <w:lang w:val="en-AU"/>
        </w:rPr>
        <w:t xml:space="preserve"> below displays those adverse events occurring in ≥ 2% of infusions during the SC phase of the study.</w:t>
      </w:r>
    </w:p>
    <w:p w:rsidR="00642B9B" w:rsidRPr="005C1FFC" w:rsidRDefault="00642B9B" w:rsidP="001748B2">
      <w:pPr>
        <w:jc w:val="both"/>
        <w:rPr>
          <w:rFonts w:ascii="Arial" w:hAnsi="Arial" w:cs="Arial"/>
          <w:b/>
          <w:sz w:val="22"/>
          <w:szCs w:val="22"/>
          <w:lang w:val="en-GB"/>
        </w:rPr>
      </w:pPr>
    </w:p>
    <w:p w:rsidR="00642B9B" w:rsidRPr="005C1FFC" w:rsidRDefault="00642B9B" w:rsidP="001748B2">
      <w:pPr>
        <w:jc w:val="both"/>
        <w:rPr>
          <w:rFonts w:ascii="Arial" w:hAnsi="Arial" w:cs="Arial"/>
          <w:b/>
          <w:sz w:val="22"/>
          <w:szCs w:val="22"/>
          <w:lang w:val="en-GB"/>
        </w:rPr>
      </w:pPr>
      <w:r w:rsidRPr="005C1FFC">
        <w:rPr>
          <w:rFonts w:ascii="Arial" w:hAnsi="Arial" w:cs="Arial"/>
          <w:b/>
          <w:sz w:val="22"/>
          <w:szCs w:val="22"/>
          <w:lang w:val="en-GB"/>
        </w:rPr>
        <w:t xml:space="preserve">Table </w:t>
      </w:r>
      <w:r w:rsidR="008E4FE7">
        <w:rPr>
          <w:rFonts w:ascii="Arial" w:hAnsi="Arial" w:cs="Arial"/>
          <w:b/>
          <w:sz w:val="22"/>
          <w:szCs w:val="22"/>
          <w:lang w:val="en-GB"/>
        </w:rPr>
        <w:t>7</w:t>
      </w:r>
      <w:r w:rsidRPr="005C1FFC">
        <w:rPr>
          <w:rFonts w:ascii="Arial" w:hAnsi="Arial" w:cs="Arial"/>
          <w:b/>
          <w:sz w:val="22"/>
          <w:szCs w:val="22"/>
          <w:lang w:val="en-GB"/>
        </w:rPr>
        <w:t>:</w:t>
      </w:r>
      <w:r w:rsidR="001748B2" w:rsidRPr="005C1FFC">
        <w:rPr>
          <w:rFonts w:ascii="Arial" w:hAnsi="Arial" w:cs="Arial"/>
          <w:b/>
          <w:sz w:val="22"/>
          <w:szCs w:val="22"/>
          <w:lang w:val="en-GB"/>
        </w:rPr>
        <w:t xml:space="preserve"> </w:t>
      </w:r>
      <w:r w:rsidRPr="005C1FFC">
        <w:rPr>
          <w:rFonts w:ascii="Arial" w:hAnsi="Arial" w:cs="Arial"/>
          <w:b/>
          <w:sz w:val="22"/>
          <w:szCs w:val="22"/>
          <w:lang w:val="en-GB"/>
        </w:rPr>
        <w:t>Most Frequent Adverse Events (</w:t>
      </w:r>
      <w:r w:rsidR="00F17EDF" w:rsidRPr="005C1FFC">
        <w:rPr>
          <w:rFonts w:ascii="Arial" w:hAnsi="Arial" w:cs="Arial"/>
          <w:b/>
          <w:sz w:val="22"/>
          <w:szCs w:val="22"/>
        </w:rPr>
        <w:t>≥</w:t>
      </w:r>
      <w:r w:rsidRPr="005C1FFC">
        <w:rPr>
          <w:rFonts w:ascii="Arial" w:hAnsi="Arial" w:cs="Arial"/>
          <w:b/>
          <w:sz w:val="22"/>
          <w:szCs w:val="22"/>
          <w:lang w:val="en-GB"/>
        </w:rPr>
        <w:t xml:space="preserve">2% of infusions) by Infusion Irrespective of </w:t>
      </w:r>
      <w:r w:rsidR="001748B2" w:rsidRPr="005C1FFC">
        <w:rPr>
          <w:rFonts w:ascii="Arial" w:hAnsi="Arial" w:cs="Arial"/>
          <w:b/>
          <w:sz w:val="22"/>
          <w:szCs w:val="22"/>
          <w:lang w:val="en-GB"/>
        </w:rPr>
        <w:t>c</w:t>
      </w:r>
      <w:r w:rsidRPr="005C1FFC">
        <w:rPr>
          <w:rFonts w:ascii="Arial" w:hAnsi="Arial" w:cs="Arial"/>
          <w:b/>
          <w:sz w:val="22"/>
          <w:szCs w:val="22"/>
          <w:lang w:val="en-GB"/>
        </w:rPr>
        <w:t xml:space="preserve">ausality in the SC Phase  </w:t>
      </w:r>
    </w:p>
    <w:p w:rsidR="001748B2" w:rsidRPr="005C1FFC" w:rsidRDefault="001748B2" w:rsidP="001748B2">
      <w:pPr>
        <w:jc w:val="both"/>
        <w:rPr>
          <w:rFonts w:ascii="Arial" w:hAnsi="Arial" w:cs="Arial"/>
          <w:b/>
          <w:sz w:val="22"/>
          <w:szCs w:val="22"/>
          <w:lang w:val="en-GB"/>
        </w:rPr>
      </w:pPr>
    </w:p>
    <w:tbl>
      <w:tblPr>
        <w:tblW w:w="3587" w:type="pct"/>
        <w:jc w:val="center"/>
        <w:tblBorders>
          <w:top w:val="single" w:sz="12" w:space="0" w:color="000000"/>
          <w:left w:val="nil"/>
          <w:bottom w:val="single" w:sz="12" w:space="0" w:color="000000"/>
          <w:right w:val="nil"/>
          <w:insideH w:val="nil"/>
          <w:insideV w:val="nil"/>
        </w:tblBorders>
        <w:tblLook w:val="0033"/>
      </w:tblPr>
      <w:tblGrid>
        <w:gridCol w:w="3442"/>
        <w:gridCol w:w="3252"/>
      </w:tblGrid>
      <w:tr w:rsidR="00642B9B" w:rsidRPr="005C1FFC">
        <w:trPr>
          <w:trHeight w:val="827"/>
          <w:tblHeader/>
          <w:jc w:val="center"/>
        </w:trPr>
        <w:tc>
          <w:tcPr>
            <w:tcW w:w="2571"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Adverse Events</w:t>
            </w:r>
          </w:p>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(≥2% of infusions)</w:t>
            </w:r>
          </w:p>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(Number of infusions: 725)</w:t>
            </w:r>
          </w:p>
        </w:tc>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No. of Adverse Events</w:t>
            </w:r>
          </w:p>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(Rate*)</w:t>
            </w:r>
          </w:p>
        </w:tc>
      </w:tr>
      <w:tr w:rsidR="00642B9B" w:rsidRPr="005C1FFC">
        <w:trPr>
          <w:jc w:val="center"/>
        </w:trPr>
        <w:tc>
          <w:tcPr>
            <w:tcW w:w="2571" w:type="pct"/>
            <w:tcBorders>
              <w:top w:val="single" w:sz="4" w:space="0" w:color="auto"/>
              <w:left w:val="single" w:sz="4" w:space="0" w:color="auto"/>
              <w:bottom w:val="single" w:sz="4" w:space="0" w:color="999999"/>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Local Infusion Site reactions</w:t>
            </w:r>
          </w:p>
        </w:tc>
        <w:tc>
          <w:tcPr>
            <w:tcW w:w="2429" w:type="pct"/>
            <w:tcBorders>
              <w:top w:val="single" w:sz="4" w:space="0" w:color="auto"/>
              <w:left w:val="single" w:sz="4" w:space="0" w:color="auto"/>
              <w:bottom w:val="single" w:sz="4" w:space="0" w:color="999999"/>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427 (0.59)</w:t>
            </w:r>
          </w:p>
        </w:tc>
      </w:tr>
      <w:tr w:rsidR="00642B9B" w:rsidRPr="005C1FFC">
        <w:trPr>
          <w:jc w:val="center"/>
        </w:trPr>
        <w:tc>
          <w:tcPr>
            <w:tcW w:w="2571" w:type="pct"/>
            <w:tcBorders>
              <w:left w:val="single" w:sz="4" w:space="0" w:color="auto"/>
              <w:bottom w:val="single" w:sz="4" w:space="0" w:color="999999"/>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Mild</w:t>
            </w:r>
          </w:p>
        </w:tc>
        <w:tc>
          <w:tcPr>
            <w:tcW w:w="2429" w:type="pct"/>
            <w:tcBorders>
              <w:top w:val="single" w:sz="4" w:space="0" w:color="999999"/>
              <w:left w:val="single" w:sz="4" w:space="0" w:color="auto"/>
              <w:bottom w:val="single" w:sz="4" w:space="0" w:color="999999"/>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389 (0.54)</w:t>
            </w:r>
          </w:p>
        </w:tc>
      </w:tr>
      <w:tr w:rsidR="00642B9B" w:rsidRPr="005C1FFC">
        <w:trPr>
          <w:jc w:val="center"/>
        </w:trPr>
        <w:tc>
          <w:tcPr>
            <w:tcW w:w="2571" w:type="pct"/>
            <w:tcBorders>
              <w:left w:val="single" w:sz="4" w:space="0" w:color="auto"/>
              <w:bottom w:val="single" w:sz="4" w:space="0" w:color="999999"/>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Moderate</w:t>
            </w:r>
          </w:p>
        </w:tc>
        <w:tc>
          <w:tcPr>
            <w:tcW w:w="2429" w:type="pct"/>
            <w:tcBorders>
              <w:top w:val="single" w:sz="4" w:space="0" w:color="999999"/>
              <w:left w:val="single" w:sz="4" w:space="0" w:color="auto"/>
              <w:bottom w:val="single" w:sz="4" w:space="0" w:color="999999"/>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29 (0.04)</w:t>
            </w:r>
          </w:p>
        </w:tc>
      </w:tr>
      <w:tr w:rsidR="00642B9B" w:rsidRPr="005C1FFC">
        <w:trPr>
          <w:jc w:val="center"/>
        </w:trPr>
        <w:tc>
          <w:tcPr>
            <w:tcW w:w="2571" w:type="pct"/>
            <w:tcBorders>
              <w:top w:val="single" w:sz="4" w:space="0" w:color="999999"/>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Severe</w:t>
            </w:r>
          </w:p>
        </w:tc>
        <w:tc>
          <w:tcPr>
            <w:tcW w:w="2429" w:type="pct"/>
            <w:tcBorders>
              <w:top w:val="single" w:sz="4" w:space="0" w:color="999999"/>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9 (0.01)</w:t>
            </w:r>
          </w:p>
        </w:tc>
      </w:tr>
      <w:tr w:rsidR="00642B9B" w:rsidRPr="005C1FFC">
        <w:trPr>
          <w:jc w:val="center"/>
        </w:trPr>
        <w:tc>
          <w:tcPr>
            <w:tcW w:w="2571" w:type="pct"/>
            <w:tcBorders>
              <w:top w:val="single" w:sz="4" w:space="0" w:color="auto"/>
              <w:left w:val="single" w:sz="4" w:space="0" w:color="auto"/>
              <w:bottom w:val="single" w:sz="4" w:space="0" w:color="999999"/>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Non-infusion site adverse events</w:t>
            </w:r>
          </w:p>
        </w:tc>
        <w:tc>
          <w:tcPr>
            <w:tcW w:w="2429" w:type="pct"/>
            <w:tcBorders>
              <w:top w:val="single" w:sz="4" w:space="0" w:color="auto"/>
              <w:left w:val="single" w:sz="4" w:space="0" w:color="auto"/>
              <w:bottom w:val="single" w:sz="4" w:space="0" w:color="999999"/>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p>
        </w:tc>
      </w:tr>
      <w:tr w:rsidR="00642B9B" w:rsidRPr="005C1FFC">
        <w:trPr>
          <w:jc w:val="center"/>
        </w:trPr>
        <w:tc>
          <w:tcPr>
            <w:tcW w:w="2571" w:type="pct"/>
            <w:tcBorders>
              <w:top w:val="single" w:sz="4" w:space="0" w:color="999999"/>
              <w:left w:val="single" w:sz="4" w:space="0" w:color="auto"/>
              <w:bottom w:val="single" w:sz="4" w:space="0" w:color="999999"/>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 xml:space="preserve">        Headache</w:t>
            </w:r>
          </w:p>
        </w:tc>
        <w:tc>
          <w:tcPr>
            <w:tcW w:w="2429" w:type="pct"/>
            <w:tcBorders>
              <w:top w:val="single" w:sz="4" w:space="0" w:color="999999"/>
              <w:left w:val="single" w:sz="4" w:space="0" w:color="auto"/>
              <w:bottom w:val="single" w:sz="4" w:space="0" w:color="999999"/>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r w:rsidRPr="005C1FFC">
              <w:rPr>
                <w:rFonts w:ascii="Arial" w:hAnsi="Arial" w:cs="Arial"/>
                <w:sz w:val="20"/>
              </w:rPr>
              <w:t xml:space="preserve">  37 (0.05)</w:t>
            </w:r>
          </w:p>
        </w:tc>
      </w:tr>
      <w:tr w:rsidR="00642B9B" w:rsidRPr="005C1FFC">
        <w:trPr>
          <w:jc w:val="center"/>
        </w:trPr>
        <w:tc>
          <w:tcPr>
            <w:tcW w:w="2571" w:type="pct"/>
            <w:tcBorders>
              <w:top w:val="single" w:sz="4" w:space="0" w:color="999999"/>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Sinusitis</w:t>
            </w:r>
          </w:p>
        </w:tc>
        <w:tc>
          <w:tcPr>
            <w:tcW w:w="2429" w:type="pct"/>
            <w:tcBorders>
              <w:top w:val="single" w:sz="4" w:space="0" w:color="999999"/>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11 (0.02)</w:t>
            </w:r>
          </w:p>
        </w:tc>
      </w:tr>
    </w:tbl>
    <w:p w:rsidR="00642B9B" w:rsidRPr="005C1FFC" w:rsidRDefault="00642B9B" w:rsidP="00642B9B">
      <w:pPr>
        <w:pStyle w:val="TableFootnoteSymbol"/>
        <w:rPr>
          <w:rFonts w:ascii="Arial" w:hAnsi="Arial" w:cs="Arial"/>
          <w:szCs w:val="20"/>
        </w:rPr>
      </w:pPr>
      <w:r w:rsidRPr="005C1FFC">
        <w:rPr>
          <w:rFonts w:ascii="Arial" w:hAnsi="Arial" w:cs="Arial"/>
          <w:szCs w:val="20"/>
        </w:rPr>
        <w:t>*Rate is calculated by the total number of events divided by the number of infusions received (725)</w:t>
      </w:r>
    </w:p>
    <w:p w:rsidR="001748B2" w:rsidRPr="002B545D" w:rsidRDefault="001748B2" w:rsidP="00642B9B">
      <w:pPr>
        <w:pStyle w:val="Lemm1"/>
        <w:jc w:val="both"/>
        <w:rPr>
          <w:rFonts w:cs="Arial"/>
          <w:szCs w:val="22"/>
          <w:highlight w:val="yellow"/>
        </w:rPr>
      </w:pPr>
    </w:p>
    <w:p w:rsidR="00642B9B" w:rsidRPr="005C1FFC" w:rsidRDefault="000A4ED0" w:rsidP="00642B9B">
      <w:pPr>
        <w:pStyle w:val="Lemm1"/>
        <w:jc w:val="both"/>
        <w:rPr>
          <w:rFonts w:cs="Arial"/>
          <w:szCs w:val="22"/>
        </w:rPr>
      </w:pPr>
      <w:r>
        <w:rPr>
          <w:rFonts w:cs="Arial"/>
          <w:szCs w:val="22"/>
        </w:rPr>
        <w:br w:type="page"/>
      </w:r>
      <w:r w:rsidR="00642B9B" w:rsidRPr="005C1FFC">
        <w:rPr>
          <w:rFonts w:cs="Arial"/>
          <w:szCs w:val="22"/>
        </w:rPr>
        <w:lastRenderedPageBreak/>
        <w:t xml:space="preserve">Drug-related adverse events occurring in ≥5% of subjects are shown below in Table </w:t>
      </w:r>
      <w:r w:rsidR="008E4FE7">
        <w:rPr>
          <w:rFonts w:cs="Arial"/>
          <w:szCs w:val="22"/>
        </w:rPr>
        <w:t>8</w:t>
      </w:r>
      <w:r w:rsidR="00642B9B" w:rsidRPr="005C1FFC">
        <w:rPr>
          <w:rFonts w:cs="Arial"/>
          <w:szCs w:val="22"/>
        </w:rPr>
        <w:t xml:space="preserve">.  All local infusion site reactions were </w:t>
      </w:r>
      <w:r w:rsidR="00642B9B" w:rsidRPr="005C1FFC">
        <w:rPr>
          <w:rFonts w:cs="Arial"/>
          <w:i/>
          <w:szCs w:val="22"/>
        </w:rPr>
        <w:t xml:space="preserve">a priori </w:t>
      </w:r>
      <w:r w:rsidR="00642B9B" w:rsidRPr="005C1FFC">
        <w:rPr>
          <w:rFonts w:cs="Arial"/>
          <w:szCs w:val="22"/>
        </w:rPr>
        <w:t xml:space="preserve">considered drug-related. </w:t>
      </w:r>
    </w:p>
    <w:p w:rsidR="00642B9B" w:rsidRPr="005C1FFC" w:rsidRDefault="00642B9B" w:rsidP="00642B9B">
      <w:pPr>
        <w:pStyle w:val="Lemm1"/>
        <w:jc w:val="both"/>
        <w:rPr>
          <w:rFonts w:ascii="Times New Roman" w:hAnsi="Times New Roman"/>
          <w:sz w:val="20"/>
        </w:rPr>
      </w:pPr>
    </w:p>
    <w:p w:rsidR="00642B9B" w:rsidRPr="005C1FFC" w:rsidRDefault="001748B2" w:rsidP="001748B2">
      <w:pPr>
        <w:jc w:val="both"/>
        <w:rPr>
          <w:b/>
        </w:rPr>
      </w:pPr>
      <w:r w:rsidRPr="005C1FFC">
        <w:rPr>
          <w:rFonts w:ascii="Arial" w:hAnsi="Arial" w:cs="Arial"/>
          <w:b/>
          <w:sz w:val="22"/>
          <w:szCs w:val="22"/>
          <w:lang w:val="en-GB"/>
        </w:rPr>
        <w:t xml:space="preserve">Table </w:t>
      </w:r>
      <w:r w:rsidR="008E4FE7">
        <w:rPr>
          <w:rFonts w:ascii="Arial" w:hAnsi="Arial" w:cs="Arial"/>
          <w:b/>
          <w:sz w:val="22"/>
          <w:szCs w:val="22"/>
          <w:lang w:val="en-GB"/>
        </w:rPr>
        <w:t>8</w:t>
      </w:r>
      <w:r w:rsidR="00642B9B" w:rsidRPr="005C1FFC">
        <w:rPr>
          <w:rFonts w:ascii="Arial" w:hAnsi="Arial" w:cs="Arial"/>
          <w:b/>
          <w:sz w:val="22"/>
          <w:szCs w:val="22"/>
          <w:lang w:val="en-GB"/>
        </w:rPr>
        <w:t>:</w:t>
      </w:r>
      <w:r w:rsidR="00F17EDF" w:rsidRPr="005C1FFC">
        <w:rPr>
          <w:rFonts w:ascii="Arial" w:hAnsi="Arial" w:cs="Arial"/>
          <w:b/>
          <w:sz w:val="22"/>
          <w:szCs w:val="22"/>
          <w:lang w:val="en-GB"/>
        </w:rPr>
        <w:t xml:space="preserve"> </w:t>
      </w:r>
      <w:r w:rsidR="00642B9B" w:rsidRPr="005C1FFC">
        <w:rPr>
          <w:rFonts w:ascii="Arial" w:hAnsi="Arial" w:cs="Arial"/>
          <w:b/>
          <w:sz w:val="22"/>
          <w:szCs w:val="22"/>
          <w:lang w:val="en-GB"/>
        </w:rPr>
        <w:t>Most Frequent Drug-Related Adverse Events (≥5% of subjects) by Subject in the SC phase</w:t>
      </w:r>
      <w:r w:rsidR="00642B9B" w:rsidRPr="005C1FFC">
        <w:rPr>
          <w:b/>
          <w:color w:val="FF0000"/>
        </w:rPr>
        <w:t xml:space="preserve"> </w:t>
      </w:r>
    </w:p>
    <w:p w:rsidR="001748B2" w:rsidRPr="005C1FFC" w:rsidRDefault="001748B2" w:rsidP="001748B2">
      <w:pPr>
        <w:jc w:val="both"/>
      </w:pPr>
    </w:p>
    <w:tbl>
      <w:tblPr>
        <w:tblW w:w="4029" w:type="pct"/>
        <w:jc w:val="center"/>
        <w:tblBorders>
          <w:top w:val="single" w:sz="12" w:space="0" w:color="000000"/>
          <w:left w:val="nil"/>
          <w:bottom w:val="single" w:sz="12" w:space="0" w:color="000000"/>
          <w:right w:val="nil"/>
          <w:insideH w:val="nil"/>
          <w:insideV w:val="nil"/>
        </w:tblBorders>
        <w:tblLook w:val="0033"/>
      </w:tblPr>
      <w:tblGrid>
        <w:gridCol w:w="3759"/>
        <w:gridCol w:w="3760"/>
      </w:tblGrid>
      <w:tr w:rsidR="00642B9B" w:rsidRPr="005C1FFC">
        <w:trPr>
          <w:trHeight w:val="20"/>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Drug-related Adverse Event</w:t>
            </w:r>
          </w:p>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(≥5% of subjects)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No. of Subjects</w:t>
            </w:r>
          </w:p>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n=32 (%)</w:t>
            </w:r>
          </w:p>
        </w:tc>
      </w:tr>
      <w:tr w:rsidR="00642B9B" w:rsidRPr="005C1FFC">
        <w:trPr>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Local Infusion Site Reactions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24 (75%)</w:t>
            </w:r>
          </w:p>
        </w:tc>
      </w:tr>
      <w:tr w:rsidR="00642B9B" w:rsidRPr="005C1FFC">
        <w:trPr>
          <w:jc w:val="center"/>
        </w:trPr>
        <w:tc>
          <w:tcPr>
            <w:tcW w:w="2500" w:type="pct"/>
            <w:tcBorders>
              <w:top w:val="single" w:sz="4" w:space="0" w:color="auto"/>
              <w:left w:val="single" w:sz="4" w:space="0" w:color="auto"/>
              <w:bottom w:val="nil"/>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Non-infusion site adverse events</w:t>
            </w:r>
          </w:p>
        </w:tc>
        <w:tc>
          <w:tcPr>
            <w:tcW w:w="2500" w:type="pct"/>
            <w:tcBorders>
              <w:top w:val="single" w:sz="4" w:space="0" w:color="auto"/>
              <w:left w:val="single" w:sz="4" w:space="0" w:color="auto"/>
              <w:bottom w:val="nil"/>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p>
        </w:tc>
      </w:tr>
      <w:tr w:rsidR="00642B9B" w:rsidRPr="005C1FFC">
        <w:trPr>
          <w:jc w:val="center"/>
        </w:trPr>
        <w:tc>
          <w:tcPr>
            <w:tcW w:w="2500" w:type="pct"/>
            <w:tcBorders>
              <w:top w:val="nil"/>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 xml:space="preserve">        Headache</w:t>
            </w:r>
          </w:p>
        </w:tc>
        <w:tc>
          <w:tcPr>
            <w:tcW w:w="2500" w:type="pct"/>
            <w:tcBorders>
              <w:top w:val="nil"/>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r w:rsidRPr="005C1FFC">
              <w:rPr>
                <w:rFonts w:ascii="Arial" w:hAnsi="Arial" w:cs="Arial"/>
                <w:sz w:val="20"/>
              </w:rPr>
              <w:t>4 (13%)</w:t>
            </w:r>
          </w:p>
        </w:tc>
      </w:tr>
      <w:tr w:rsidR="00642B9B" w:rsidRPr="005C1FFC">
        <w:trPr>
          <w:trHeight w:val="278"/>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w:t>
            </w:r>
            <w:proofErr w:type="spellStart"/>
            <w:r w:rsidRPr="005C1FFC">
              <w:rPr>
                <w:rFonts w:ascii="Arial" w:hAnsi="Arial" w:cs="Arial"/>
                <w:sz w:val="20"/>
                <w:szCs w:val="20"/>
              </w:rPr>
              <w:t>Arthralgia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2 (6.3%)</w:t>
            </w:r>
          </w:p>
        </w:tc>
      </w:tr>
      <w:tr w:rsidR="00642B9B" w:rsidRPr="005C1FFC">
        <w:trPr>
          <w:trHeight w:val="80"/>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Fatigue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2 (6.3%)</w:t>
            </w:r>
          </w:p>
        </w:tc>
      </w:tr>
      <w:tr w:rsidR="00642B9B" w:rsidRPr="005C1FFC">
        <w:trPr>
          <w:trHeight w:val="80"/>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Pyrexia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2 (6.3%) </w:t>
            </w:r>
          </w:p>
        </w:tc>
      </w:tr>
    </w:tbl>
    <w:p w:rsidR="00642B9B" w:rsidRPr="005C1FFC" w:rsidRDefault="00642B9B" w:rsidP="00642B9B">
      <w:pPr>
        <w:pStyle w:val="TableFootnoteSymbol"/>
        <w:rPr>
          <w:sz w:val="16"/>
          <w:szCs w:val="16"/>
        </w:rPr>
      </w:pPr>
    </w:p>
    <w:p w:rsidR="00642B9B" w:rsidRPr="005C1FFC" w:rsidRDefault="00642B9B" w:rsidP="00642B9B">
      <w:pPr>
        <w:pStyle w:val="Lemm1"/>
        <w:jc w:val="both"/>
        <w:rPr>
          <w:rFonts w:cs="Arial"/>
          <w:szCs w:val="22"/>
        </w:rPr>
      </w:pPr>
      <w:r w:rsidRPr="005C1FFC">
        <w:rPr>
          <w:rFonts w:cs="Arial"/>
          <w:szCs w:val="22"/>
        </w:rPr>
        <w:t xml:space="preserve">Table </w:t>
      </w:r>
      <w:r w:rsidR="008E4FE7">
        <w:rPr>
          <w:rFonts w:cs="Arial"/>
          <w:szCs w:val="22"/>
        </w:rPr>
        <w:t>9</w:t>
      </w:r>
      <w:r w:rsidRPr="005C1FFC">
        <w:rPr>
          <w:rFonts w:cs="Arial"/>
          <w:szCs w:val="22"/>
        </w:rPr>
        <w:t xml:space="preserve"> shows the frequency of drug-related adverse events per infusion that occurred at a rate ≥ 0.01.</w:t>
      </w:r>
    </w:p>
    <w:p w:rsidR="00642B9B" w:rsidRPr="005C1FFC" w:rsidRDefault="00642B9B" w:rsidP="00642B9B">
      <w:pPr>
        <w:pStyle w:val="Lemm1"/>
        <w:jc w:val="both"/>
        <w:rPr>
          <w:rFonts w:ascii="Times New Roman" w:hAnsi="Times New Roman"/>
          <w:sz w:val="20"/>
        </w:rPr>
      </w:pPr>
    </w:p>
    <w:p w:rsidR="00642B9B" w:rsidRPr="005C1FFC" w:rsidRDefault="00F17EDF" w:rsidP="00F17EDF">
      <w:pPr>
        <w:jc w:val="both"/>
        <w:rPr>
          <w:rFonts w:ascii="Arial" w:hAnsi="Arial" w:cs="Arial"/>
          <w:b/>
          <w:sz w:val="22"/>
          <w:szCs w:val="22"/>
          <w:lang w:val="en-GB"/>
        </w:rPr>
      </w:pPr>
      <w:r w:rsidRPr="005C1FFC">
        <w:rPr>
          <w:rFonts w:ascii="Arial" w:hAnsi="Arial" w:cs="Arial"/>
          <w:b/>
          <w:sz w:val="22"/>
          <w:szCs w:val="22"/>
          <w:lang w:val="en-GB"/>
        </w:rPr>
        <w:t xml:space="preserve">Table </w:t>
      </w:r>
      <w:r w:rsidR="008E4FE7">
        <w:rPr>
          <w:rFonts w:ascii="Arial" w:hAnsi="Arial" w:cs="Arial"/>
          <w:b/>
          <w:sz w:val="22"/>
          <w:szCs w:val="22"/>
          <w:lang w:val="en-GB"/>
        </w:rPr>
        <w:t>9</w:t>
      </w:r>
      <w:r w:rsidR="00642B9B" w:rsidRPr="005C1FFC">
        <w:rPr>
          <w:rFonts w:ascii="Arial" w:hAnsi="Arial" w:cs="Arial"/>
          <w:b/>
          <w:sz w:val="22"/>
          <w:szCs w:val="22"/>
          <w:lang w:val="en-GB"/>
        </w:rPr>
        <w:t>: Most Frequent Drug-Related Adverse Events per Infusion in the SC phase</w:t>
      </w:r>
    </w:p>
    <w:p w:rsidR="00F17EDF" w:rsidRPr="005C1FFC" w:rsidRDefault="00F17EDF" w:rsidP="00F17EDF">
      <w:pPr>
        <w:jc w:val="both"/>
        <w:rPr>
          <w:rFonts w:ascii="Arial" w:hAnsi="Arial" w:cs="Arial"/>
          <w:b/>
          <w:sz w:val="22"/>
          <w:szCs w:val="22"/>
          <w:lang w:val="en-GB"/>
        </w:rPr>
      </w:pPr>
    </w:p>
    <w:tbl>
      <w:tblPr>
        <w:tblW w:w="4029" w:type="pct"/>
        <w:jc w:val="center"/>
        <w:tblBorders>
          <w:top w:val="single" w:sz="12" w:space="0" w:color="000000"/>
          <w:left w:val="nil"/>
          <w:bottom w:val="single" w:sz="12" w:space="0" w:color="000000"/>
          <w:right w:val="nil"/>
          <w:insideH w:val="nil"/>
          <w:insideV w:val="nil"/>
        </w:tblBorders>
        <w:tblLook w:val="0033"/>
      </w:tblPr>
      <w:tblGrid>
        <w:gridCol w:w="3759"/>
        <w:gridCol w:w="3760"/>
      </w:tblGrid>
      <w:tr w:rsidR="00642B9B" w:rsidRPr="005C1FFC">
        <w:trPr>
          <w:trHeight w:val="20"/>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Drug-related Adverse Event</w:t>
            </w:r>
          </w:p>
          <w:p w:rsidR="00642B9B" w:rsidRPr="005C1FFC" w:rsidRDefault="00642B9B" w:rsidP="00264C13">
            <w:pPr>
              <w:pStyle w:val="TableHead"/>
              <w:spacing w:after="0"/>
              <w:rPr>
                <w:rFonts w:ascii="Arial" w:hAnsi="Arial" w:cs="Arial"/>
                <w:sz w:val="20"/>
                <w:szCs w:val="20"/>
              </w:rPr>
            </w:pPr>
            <w:r w:rsidRPr="005C1FFC">
              <w:rPr>
                <w:rFonts w:ascii="Arial" w:hAnsi="Arial" w:cs="Arial"/>
                <w:sz w:val="20"/>
                <w:szCs w:val="20"/>
              </w:rPr>
              <w:t>(Number of infusions: 725)</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No. of Adverse Events</w:t>
            </w:r>
          </w:p>
          <w:p w:rsidR="00642B9B" w:rsidRPr="005C1FFC" w:rsidRDefault="00642B9B" w:rsidP="00264C13">
            <w:pPr>
              <w:pStyle w:val="TableHead"/>
              <w:adjustRightInd w:val="0"/>
              <w:snapToGrid w:val="0"/>
              <w:spacing w:after="0"/>
              <w:rPr>
                <w:rFonts w:ascii="Arial" w:hAnsi="Arial" w:cs="Arial"/>
                <w:sz w:val="20"/>
                <w:szCs w:val="20"/>
              </w:rPr>
            </w:pPr>
            <w:r w:rsidRPr="005C1FFC">
              <w:rPr>
                <w:rFonts w:ascii="Arial" w:hAnsi="Arial" w:cs="Arial"/>
                <w:sz w:val="20"/>
                <w:szCs w:val="20"/>
              </w:rPr>
              <w:t>(Rate*)</w:t>
            </w:r>
          </w:p>
        </w:tc>
      </w:tr>
      <w:tr w:rsidR="00642B9B" w:rsidRPr="005C1FFC">
        <w:trPr>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Local Infusion Site Reactions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427 (0.59)</w:t>
            </w:r>
          </w:p>
        </w:tc>
      </w:tr>
      <w:tr w:rsidR="00642B9B" w:rsidRPr="005C1FFC">
        <w:trPr>
          <w:jc w:val="center"/>
        </w:trPr>
        <w:tc>
          <w:tcPr>
            <w:tcW w:w="2500" w:type="pct"/>
            <w:tcBorders>
              <w:top w:val="single" w:sz="4" w:space="0" w:color="auto"/>
              <w:left w:val="single" w:sz="4" w:space="0" w:color="auto"/>
              <w:bottom w:val="nil"/>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Non-infusion site adverse events</w:t>
            </w:r>
          </w:p>
        </w:tc>
        <w:tc>
          <w:tcPr>
            <w:tcW w:w="2500" w:type="pct"/>
            <w:tcBorders>
              <w:top w:val="single" w:sz="4" w:space="0" w:color="auto"/>
              <w:left w:val="single" w:sz="4" w:space="0" w:color="auto"/>
              <w:bottom w:val="nil"/>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p>
        </w:tc>
      </w:tr>
      <w:tr w:rsidR="00642B9B" w:rsidRPr="005C1FFC">
        <w:trPr>
          <w:jc w:val="center"/>
        </w:trPr>
        <w:tc>
          <w:tcPr>
            <w:tcW w:w="2500" w:type="pct"/>
            <w:tcBorders>
              <w:top w:val="nil"/>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rPr>
            </w:pPr>
            <w:r w:rsidRPr="005C1FFC">
              <w:rPr>
                <w:rFonts w:ascii="Arial" w:hAnsi="Arial" w:cs="Arial"/>
                <w:sz w:val="20"/>
              </w:rPr>
              <w:t xml:space="preserve">        Headache</w:t>
            </w:r>
          </w:p>
        </w:tc>
        <w:tc>
          <w:tcPr>
            <w:tcW w:w="2500" w:type="pct"/>
            <w:tcBorders>
              <w:top w:val="nil"/>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rPr>
            </w:pPr>
            <w:r w:rsidRPr="005C1FFC">
              <w:rPr>
                <w:rFonts w:ascii="Arial" w:hAnsi="Arial" w:cs="Arial"/>
                <w:sz w:val="20"/>
              </w:rPr>
              <w:t xml:space="preserve"> 21  (0.03)</w:t>
            </w:r>
          </w:p>
        </w:tc>
      </w:tr>
      <w:tr w:rsidR="00642B9B" w:rsidRPr="005C1FFC">
        <w:trPr>
          <w:trHeight w:val="278"/>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w:t>
            </w:r>
            <w:proofErr w:type="spellStart"/>
            <w:r w:rsidRPr="005C1FFC">
              <w:rPr>
                <w:rFonts w:ascii="Arial" w:hAnsi="Arial" w:cs="Arial"/>
                <w:sz w:val="20"/>
                <w:szCs w:val="20"/>
              </w:rPr>
              <w:t>Arthralgia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4   (0.01)</w:t>
            </w:r>
          </w:p>
        </w:tc>
      </w:tr>
      <w:tr w:rsidR="00642B9B" w:rsidRPr="005C1FFC">
        <w:trPr>
          <w:trHeight w:val="80"/>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Fatigue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3  (≤0.01)</w:t>
            </w:r>
          </w:p>
        </w:tc>
      </w:tr>
      <w:tr w:rsidR="00642B9B" w:rsidRPr="005C1FFC">
        <w:trPr>
          <w:trHeight w:val="80"/>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w:t>
            </w:r>
            <w:proofErr w:type="spellStart"/>
            <w:r w:rsidRPr="005C1FFC">
              <w:rPr>
                <w:rFonts w:ascii="Arial" w:hAnsi="Arial" w:cs="Arial"/>
                <w:sz w:val="20"/>
                <w:szCs w:val="20"/>
              </w:rPr>
              <w:t>Hyperhidrosis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2  (≤0.01)</w:t>
            </w:r>
          </w:p>
        </w:tc>
      </w:tr>
      <w:tr w:rsidR="00642B9B" w:rsidRPr="005C1FFC">
        <w:trPr>
          <w:trHeight w:val="80"/>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42B9B" w:rsidRPr="005C1FFC" w:rsidRDefault="00642B9B" w:rsidP="00264C13">
            <w:pPr>
              <w:pStyle w:val="TableCenter"/>
              <w:spacing w:after="0"/>
              <w:jc w:val="left"/>
              <w:rPr>
                <w:rFonts w:ascii="Arial" w:hAnsi="Arial" w:cs="Arial"/>
                <w:sz w:val="20"/>
                <w:szCs w:val="20"/>
              </w:rPr>
            </w:pPr>
            <w:r w:rsidRPr="005C1FFC">
              <w:rPr>
                <w:rFonts w:ascii="Arial" w:hAnsi="Arial" w:cs="Arial"/>
                <w:sz w:val="20"/>
                <w:szCs w:val="20"/>
              </w:rPr>
              <w:t xml:space="preserve">        Pyrexia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642B9B" w:rsidRPr="005C1FFC" w:rsidRDefault="00642B9B" w:rsidP="00264C13">
            <w:pPr>
              <w:pStyle w:val="TableCenter"/>
              <w:spacing w:after="0"/>
              <w:ind w:firstLine="27"/>
              <w:jc w:val="left"/>
              <w:rPr>
                <w:rFonts w:ascii="Arial" w:hAnsi="Arial" w:cs="Arial"/>
                <w:sz w:val="20"/>
                <w:szCs w:val="20"/>
              </w:rPr>
            </w:pPr>
            <w:r w:rsidRPr="005C1FFC">
              <w:rPr>
                <w:rFonts w:ascii="Arial" w:hAnsi="Arial" w:cs="Arial"/>
                <w:sz w:val="20"/>
                <w:szCs w:val="20"/>
              </w:rPr>
              <w:t xml:space="preserve">  2  (≤0.01)</w:t>
            </w:r>
          </w:p>
        </w:tc>
      </w:tr>
    </w:tbl>
    <w:p w:rsidR="00642B9B" w:rsidRPr="005C1FFC" w:rsidRDefault="00642B9B" w:rsidP="00642B9B">
      <w:pPr>
        <w:pStyle w:val="TableFootnoteSymbol"/>
        <w:rPr>
          <w:rFonts w:ascii="Arial" w:hAnsi="Arial" w:cs="Arial"/>
          <w:szCs w:val="20"/>
        </w:rPr>
      </w:pPr>
      <w:r w:rsidRPr="005C1FFC">
        <w:rPr>
          <w:rFonts w:ascii="Arial" w:hAnsi="Arial" w:cs="Arial"/>
          <w:szCs w:val="20"/>
        </w:rPr>
        <w:t>*Rate is calculated by the total number of events divided by the number of infusions received (725)</w:t>
      </w:r>
    </w:p>
    <w:p w:rsidR="00642B9B" w:rsidRPr="002B545D" w:rsidRDefault="00642B9B" w:rsidP="00F17EDF">
      <w:pPr>
        <w:pStyle w:val="TableFootnoteLetter"/>
        <w:numPr>
          <w:ilvl w:val="0"/>
          <w:numId w:val="0"/>
        </w:numPr>
        <w:spacing w:after="0"/>
        <w:rPr>
          <w:rFonts w:ascii="Arial" w:hAnsi="Arial" w:cs="Arial"/>
          <w:sz w:val="16"/>
          <w:szCs w:val="16"/>
          <w:highlight w:val="yellow"/>
        </w:rPr>
      </w:pPr>
    </w:p>
    <w:p w:rsidR="00642B9B" w:rsidRPr="00C25CDA" w:rsidRDefault="00642B9B" w:rsidP="007A3AFF">
      <w:pPr>
        <w:pStyle w:val="TableLeft"/>
        <w:keepNext/>
        <w:spacing w:after="0"/>
        <w:jc w:val="both"/>
        <w:rPr>
          <w:rFonts w:ascii="Arial" w:hAnsi="Arial"/>
          <w:sz w:val="22"/>
          <w:szCs w:val="22"/>
        </w:rPr>
      </w:pPr>
      <w:r w:rsidRPr="00C25CDA">
        <w:rPr>
          <w:rFonts w:ascii="Arial" w:hAnsi="Arial"/>
          <w:sz w:val="22"/>
          <w:szCs w:val="22"/>
        </w:rPr>
        <w:t>There were no serious bacterial infections in the SC phase of study 060001.</w:t>
      </w:r>
    </w:p>
    <w:p w:rsidR="00642B9B" w:rsidRPr="005C1FFC" w:rsidRDefault="00642B9B" w:rsidP="007A3AFF">
      <w:pPr>
        <w:pStyle w:val="TableFootnoteLetter"/>
        <w:numPr>
          <w:ilvl w:val="0"/>
          <w:numId w:val="0"/>
        </w:numPr>
        <w:spacing w:after="0"/>
        <w:jc w:val="both"/>
        <w:rPr>
          <w:rFonts w:ascii="Arial" w:hAnsi="Arial" w:cs="Arial"/>
        </w:rPr>
      </w:pPr>
    </w:p>
    <w:p w:rsidR="00642B9B" w:rsidRPr="005C1FFC" w:rsidRDefault="00642B9B" w:rsidP="007A3AFF">
      <w:pPr>
        <w:pStyle w:val="Lemm1"/>
        <w:jc w:val="both"/>
        <w:rPr>
          <w:rFonts w:cs="Arial"/>
          <w:szCs w:val="22"/>
        </w:rPr>
      </w:pPr>
      <w:r w:rsidRPr="005C1FFC">
        <w:rPr>
          <w:rFonts w:cs="Arial"/>
          <w:szCs w:val="22"/>
        </w:rPr>
        <w:t>Local infusion site reactions with SC GAMUNEX</w:t>
      </w:r>
      <w:r w:rsidR="00F17EDF" w:rsidRPr="005C1FFC">
        <w:rPr>
          <w:rFonts w:cs="Arial"/>
          <w:snapToGrid w:val="0"/>
          <w:szCs w:val="22"/>
          <w:vertAlign w:val="superscript"/>
          <w:lang w:val="en-AU" w:eastAsia="en-US"/>
        </w:rPr>
        <w:t>®</w:t>
      </w:r>
      <w:r w:rsidRPr="005C1FFC">
        <w:rPr>
          <w:rFonts w:cs="Arial"/>
          <w:szCs w:val="22"/>
        </w:rPr>
        <w:t xml:space="preserve"> consisted primarily of mild to moderate </w:t>
      </w:r>
      <w:proofErr w:type="spellStart"/>
      <w:r w:rsidRPr="005C1FFC">
        <w:rPr>
          <w:rFonts w:cs="Arial"/>
          <w:szCs w:val="22"/>
        </w:rPr>
        <w:t>erythema</w:t>
      </w:r>
      <w:proofErr w:type="spellEnd"/>
      <w:r w:rsidRPr="005C1FFC">
        <w:rPr>
          <w:rFonts w:cs="Arial"/>
          <w:szCs w:val="22"/>
        </w:rPr>
        <w:t>, pain and swelling. No serious local infusion site reactions were observed. The majority of local infusion site reactions resolved within 3 days. The number of subjects experiencing an infusion site reaction and the number of infusion site reactions decreased substantially over time as subjects received continued weekly SC infusions. At the beginning of the SC phase, a rate of approximately 1 infusion site reaction per infusion was reported, whereas at the end of the study this rate was reduced to 0.5 infusion site reactions per infusion, a reduction of 50%.  See Figure</w:t>
      </w:r>
      <w:r w:rsidR="002B545D" w:rsidRPr="005C1FFC">
        <w:rPr>
          <w:rFonts w:cs="Arial"/>
          <w:szCs w:val="22"/>
        </w:rPr>
        <w:t xml:space="preserve"> below</w:t>
      </w:r>
      <w:r w:rsidRPr="005C1FFC">
        <w:rPr>
          <w:rFonts w:cs="Arial"/>
          <w:szCs w:val="22"/>
        </w:rPr>
        <w:t>.</w:t>
      </w:r>
    </w:p>
    <w:p w:rsidR="00642B9B" w:rsidRPr="005C1FFC" w:rsidRDefault="00642B9B" w:rsidP="00642B9B">
      <w:pPr>
        <w:pStyle w:val="TableFootnoteLetter"/>
        <w:numPr>
          <w:ilvl w:val="0"/>
          <w:numId w:val="0"/>
        </w:numPr>
      </w:pPr>
    </w:p>
    <w:p w:rsidR="00642B9B" w:rsidRPr="005C1FFC" w:rsidRDefault="000A4ED0" w:rsidP="007A3AFF">
      <w:pPr>
        <w:pStyle w:val="TableFootnoteLetter"/>
        <w:numPr>
          <w:ilvl w:val="0"/>
          <w:numId w:val="0"/>
        </w:numPr>
        <w:jc w:val="both"/>
        <w:rPr>
          <w:rFonts w:ascii="Arial" w:hAnsi="Arial" w:cs="Arial"/>
          <w:b/>
          <w:sz w:val="22"/>
          <w:szCs w:val="22"/>
        </w:rPr>
      </w:pPr>
      <w:r>
        <w:rPr>
          <w:rFonts w:ascii="Arial" w:hAnsi="Arial" w:cs="Arial"/>
          <w:b/>
          <w:sz w:val="22"/>
          <w:szCs w:val="22"/>
        </w:rPr>
        <w:br w:type="page"/>
      </w:r>
      <w:r w:rsidR="00642B9B" w:rsidRPr="005C1FFC">
        <w:rPr>
          <w:rFonts w:ascii="Arial" w:hAnsi="Arial" w:cs="Arial"/>
          <w:b/>
          <w:sz w:val="22"/>
          <w:szCs w:val="22"/>
        </w:rPr>
        <w:lastRenderedPageBreak/>
        <w:t xml:space="preserve">Figure: Rate of local infusion site reactions after repeated SC infusions </w:t>
      </w:r>
    </w:p>
    <w:p w:rsidR="00642B9B" w:rsidRPr="002B545D" w:rsidRDefault="00642B9B" w:rsidP="00642B9B">
      <w:pPr>
        <w:pStyle w:val="TableFootnoteLetter"/>
        <w:numPr>
          <w:ilvl w:val="0"/>
          <w:numId w:val="0"/>
        </w:numPr>
        <w:rPr>
          <w:rFonts w:ascii="Arial" w:hAnsi="Arial" w:cs="Arial"/>
          <w:sz w:val="22"/>
          <w:szCs w:val="22"/>
          <w:highlight w:val="yellow"/>
        </w:rPr>
      </w:pPr>
    </w:p>
    <w:p w:rsidR="00642B9B" w:rsidRPr="002B545D" w:rsidRDefault="001A2734" w:rsidP="00642B9B">
      <w:pPr>
        <w:pStyle w:val="TableFootnoteLetter"/>
        <w:numPr>
          <w:ilvl w:val="0"/>
          <w:numId w:val="0"/>
        </w:numPr>
      </w:pPr>
      <w:r>
        <w:rPr>
          <w:noProof/>
          <w:lang w:val="en-AU" w:eastAsia="en-AU"/>
        </w:rPr>
        <w:drawing>
          <wp:anchor distT="0" distB="0" distL="114300" distR="114300" simplePos="0" relativeHeight="251657728" behindDoc="0" locked="0" layoutInCell="1" allowOverlap="1">
            <wp:simplePos x="0" y="0"/>
            <wp:positionH relativeFrom="column">
              <wp:posOffset>508635</wp:posOffset>
            </wp:positionH>
            <wp:positionV relativeFrom="paragraph">
              <wp:posOffset>62865</wp:posOffset>
            </wp:positionV>
            <wp:extent cx="4229100" cy="308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32000"/>
                      <a:grayscl/>
                      <a:biLevel thresh="50000"/>
                    </a:blip>
                    <a:srcRect/>
                    <a:stretch>
                      <a:fillRect/>
                    </a:stretch>
                  </pic:blipFill>
                  <pic:spPr bwMode="auto">
                    <a:xfrm>
                      <a:off x="0" y="0"/>
                      <a:ext cx="4229100" cy="3086100"/>
                    </a:xfrm>
                    <a:prstGeom prst="rect">
                      <a:avLst/>
                    </a:prstGeom>
                    <a:noFill/>
                  </pic:spPr>
                </pic:pic>
              </a:graphicData>
            </a:graphic>
          </wp:anchor>
        </w:drawing>
      </w: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pStyle w:val="TableFootnoteLetter"/>
        <w:numPr>
          <w:ilvl w:val="0"/>
          <w:numId w:val="0"/>
        </w:numPr>
      </w:pPr>
    </w:p>
    <w:p w:rsidR="00642B9B" w:rsidRPr="002B545D" w:rsidRDefault="00642B9B" w:rsidP="00642B9B">
      <w:pPr>
        <w:autoSpaceDE w:val="0"/>
        <w:autoSpaceDN w:val="0"/>
        <w:adjustRightInd w:val="0"/>
        <w:jc w:val="center"/>
        <w:rPr>
          <w:szCs w:val="32"/>
        </w:rPr>
      </w:pPr>
      <w:r w:rsidRPr="002B545D">
        <w:tab/>
      </w:r>
    </w:p>
    <w:p w:rsidR="00642B9B" w:rsidRPr="002B545D" w:rsidRDefault="00642B9B" w:rsidP="00642B9B">
      <w:pPr>
        <w:pStyle w:val="TableFootnoteLetter"/>
        <w:numPr>
          <w:ilvl w:val="0"/>
          <w:numId w:val="0"/>
        </w:numPr>
      </w:pPr>
      <w:r w:rsidRPr="002B545D">
        <w:tab/>
      </w:r>
    </w:p>
    <w:p w:rsidR="00642B9B" w:rsidRPr="002B545D" w:rsidRDefault="00642B9B" w:rsidP="00642B9B">
      <w:pPr>
        <w:pStyle w:val="TableFootnoteLetter"/>
        <w:numPr>
          <w:ilvl w:val="0"/>
          <w:numId w:val="0"/>
        </w:numPr>
      </w:pPr>
    </w:p>
    <w:p w:rsidR="0050102F" w:rsidRPr="001D7FA3" w:rsidRDefault="0050102F" w:rsidP="005B1F80">
      <w:pPr>
        <w:pStyle w:val="NormalBodyTextChar"/>
        <w:spacing w:before="0" w:after="0"/>
        <w:jc w:val="both"/>
        <w:rPr>
          <w:b/>
          <w:sz w:val="22"/>
          <w:szCs w:val="22"/>
          <w:highlight w:val="yellow"/>
        </w:rPr>
      </w:pPr>
    </w:p>
    <w:p w:rsidR="00344A16" w:rsidRPr="00344A16" w:rsidRDefault="00344A16" w:rsidP="007A3AFF">
      <w:pPr>
        <w:pStyle w:val="Lemm1"/>
        <w:jc w:val="both"/>
        <w:rPr>
          <w:b/>
          <w:i/>
          <w:lang w:val="en-AU"/>
        </w:rPr>
      </w:pPr>
      <w:r w:rsidRPr="005C1FFC">
        <w:rPr>
          <w:b/>
          <w:i/>
          <w:lang w:val="en-AU"/>
        </w:rPr>
        <w:t>Post-marketing</w:t>
      </w:r>
    </w:p>
    <w:p w:rsidR="0050102F" w:rsidRDefault="0050102F" w:rsidP="007A3AFF">
      <w:pPr>
        <w:pStyle w:val="Lemm1"/>
        <w:jc w:val="both"/>
        <w:rPr>
          <w:lang w:val="en-AU"/>
        </w:rPr>
      </w:pPr>
    </w:p>
    <w:p w:rsidR="008C0BAB" w:rsidRPr="0016487A" w:rsidRDefault="008C0BAB" w:rsidP="007A3AFF">
      <w:pPr>
        <w:pStyle w:val="Lemm1"/>
        <w:jc w:val="both"/>
      </w:pPr>
      <w:r w:rsidRPr="007A1703">
        <w:rPr>
          <w:lang w:val="en-AU"/>
        </w:rPr>
        <w:t xml:space="preserve">The following post-marketing </w:t>
      </w:r>
      <w:r w:rsidRPr="003D3456">
        <w:rPr>
          <w:b/>
          <w:lang w:val="en-AU"/>
        </w:rPr>
        <w:t>serious</w:t>
      </w:r>
      <w:r w:rsidRPr="007A1703">
        <w:rPr>
          <w:lang w:val="en-AU"/>
        </w:rPr>
        <w:t xml:space="preserve"> adverse events have been reported</w:t>
      </w:r>
      <w:r w:rsidR="00911E1C">
        <w:rPr>
          <w:lang w:val="en-AU"/>
        </w:rPr>
        <w:t>.</w:t>
      </w:r>
    </w:p>
    <w:p w:rsidR="008C0BAB" w:rsidRPr="007A1703" w:rsidRDefault="008C0BAB" w:rsidP="008C0BAB">
      <w:pPr>
        <w:rPr>
          <w:rFonts w:ascii="ArialMT" w:hAnsi="ArialMT"/>
          <w:snapToGrid w:val="0"/>
          <w:sz w:val="22"/>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4248"/>
      </w:tblGrid>
      <w:tr w:rsidR="008C0BAB" w:rsidRPr="007A1703">
        <w:tc>
          <w:tcPr>
            <w:tcW w:w="4608" w:type="dxa"/>
          </w:tcPr>
          <w:p w:rsidR="008C0BAB" w:rsidRPr="007A1703" w:rsidRDefault="008C0BAB" w:rsidP="004F25D8">
            <w:pPr>
              <w:pStyle w:val="Heading1"/>
              <w:jc w:val="left"/>
              <w:rPr>
                <w:lang w:val="en-AU"/>
              </w:rPr>
            </w:pPr>
            <w:proofErr w:type="spellStart"/>
            <w:r w:rsidRPr="007A1703">
              <w:rPr>
                <w:sz w:val="24"/>
                <w:lang w:val="en-AU"/>
              </w:rPr>
              <w:t>MedDRA</w:t>
            </w:r>
            <w:proofErr w:type="spellEnd"/>
            <w:r w:rsidRPr="007A1703">
              <w:rPr>
                <w:sz w:val="24"/>
                <w:lang w:val="en-AU"/>
              </w:rPr>
              <w:t xml:space="preserve"> System Organ Class</w:t>
            </w:r>
          </w:p>
        </w:tc>
        <w:tc>
          <w:tcPr>
            <w:tcW w:w="4248" w:type="dxa"/>
          </w:tcPr>
          <w:p w:rsidR="008C0BAB" w:rsidRPr="007A1703" w:rsidRDefault="008C0BAB" w:rsidP="004F25D8">
            <w:pPr>
              <w:pStyle w:val="Heading1"/>
              <w:jc w:val="left"/>
              <w:rPr>
                <w:lang w:val="en-AU"/>
              </w:rPr>
            </w:pPr>
            <w:proofErr w:type="spellStart"/>
            <w:r w:rsidRPr="007A1703">
              <w:rPr>
                <w:sz w:val="24"/>
                <w:lang w:val="en-AU"/>
              </w:rPr>
              <w:t>MedDRA</w:t>
            </w:r>
            <w:proofErr w:type="spellEnd"/>
            <w:r w:rsidRPr="007A1703">
              <w:rPr>
                <w:sz w:val="24"/>
                <w:lang w:val="en-AU"/>
              </w:rPr>
              <w:t xml:space="preserve"> Term</w:t>
            </w:r>
          </w:p>
        </w:tc>
      </w:tr>
      <w:tr w:rsidR="008C0BAB" w:rsidRPr="007A1703">
        <w:trPr>
          <w:cantSplit/>
        </w:trPr>
        <w:tc>
          <w:tcPr>
            <w:tcW w:w="8856" w:type="dxa"/>
            <w:gridSpan w:val="2"/>
          </w:tcPr>
          <w:p w:rsidR="008C0BAB" w:rsidRPr="00DD7AFF" w:rsidRDefault="008C0BAB" w:rsidP="004F25D8">
            <w:pPr>
              <w:rPr>
                <w:rFonts w:ascii="Arial" w:hAnsi="Arial" w:cs="Arial"/>
                <w:b/>
                <w:snapToGrid w:val="0"/>
                <w:sz w:val="22"/>
                <w:lang w:val="en-AU" w:eastAsia="en-US"/>
              </w:rPr>
            </w:pPr>
          </w:p>
          <w:p w:rsidR="008C0BAB" w:rsidRPr="00DD7AFF" w:rsidRDefault="008C0BAB" w:rsidP="004F25D8">
            <w:pPr>
              <w:rPr>
                <w:rFonts w:ascii="Arial" w:hAnsi="Arial" w:cs="Arial"/>
                <w:snapToGrid w:val="0"/>
                <w:sz w:val="22"/>
                <w:lang w:val="en-AU" w:eastAsia="en-US"/>
              </w:rPr>
            </w:pPr>
            <w:r w:rsidRPr="00DD7AFF">
              <w:rPr>
                <w:rFonts w:ascii="Arial" w:hAnsi="Arial" w:cs="Arial"/>
                <w:b/>
                <w:snapToGrid w:val="0"/>
                <w:sz w:val="22"/>
                <w:lang w:val="en-AU" w:eastAsia="en-US"/>
              </w:rPr>
              <w:t>Incidence of frequency &lt; 0.01% (very rare)</w:t>
            </w:r>
          </w:p>
        </w:tc>
      </w:tr>
      <w:tr w:rsidR="008C0BAB" w:rsidRPr="007A1703">
        <w:tc>
          <w:tcPr>
            <w:tcW w:w="4608" w:type="dxa"/>
          </w:tcPr>
          <w:p w:rsidR="008C0BAB" w:rsidRPr="007A1703" w:rsidRDefault="0039773F" w:rsidP="004F25D8">
            <w:pPr>
              <w:rPr>
                <w:rFonts w:ascii="ArialMT" w:hAnsi="ArialMT"/>
                <w:snapToGrid w:val="0"/>
                <w:sz w:val="22"/>
                <w:lang w:val="en-AU" w:eastAsia="en-US"/>
              </w:rPr>
            </w:pPr>
            <w:r w:rsidRPr="007A1703">
              <w:rPr>
                <w:rFonts w:ascii="ArialMT" w:hAnsi="ArialMT"/>
                <w:snapToGrid w:val="0"/>
                <w:sz w:val="22"/>
                <w:lang w:val="en-AU" w:eastAsia="en-US"/>
              </w:rPr>
              <w:t>Infections and infestations</w:t>
            </w:r>
          </w:p>
        </w:tc>
        <w:tc>
          <w:tcPr>
            <w:tcW w:w="4248" w:type="dxa"/>
          </w:tcPr>
          <w:p w:rsidR="008C0BAB" w:rsidRPr="007A1703" w:rsidRDefault="0039773F" w:rsidP="004F25D8">
            <w:pPr>
              <w:rPr>
                <w:rFonts w:ascii="ArialMT" w:hAnsi="ArialMT"/>
                <w:snapToGrid w:val="0"/>
                <w:sz w:val="22"/>
                <w:lang w:val="en-AU" w:eastAsia="en-US"/>
              </w:rPr>
            </w:pPr>
            <w:r w:rsidRPr="007A1703">
              <w:rPr>
                <w:rFonts w:ascii="ArialMT" w:hAnsi="ArialMT"/>
                <w:snapToGrid w:val="0"/>
                <w:sz w:val="22"/>
                <w:lang w:val="en-AU" w:eastAsia="en-US"/>
              </w:rPr>
              <w:t>Aseptic meningitis</w:t>
            </w:r>
          </w:p>
        </w:tc>
      </w:tr>
      <w:tr w:rsidR="0039773F" w:rsidRPr="007A1703">
        <w:tc>
          <w:tcPr>
            <w:tcW w:w="4608" w:type="dxa"/>
          </w:tcPr>
          <w:p w:rsidR="0039773F" w:rsidRPr="007A1703" w:rsidRDefault="0039773F" w:rsidP="004F25D8">
            <w:pPr>
              <w:rPr>
                <w:rFonts w:ascii="ArialMT" w:hAnsi="ArialMT"/>
                <w:snapToGrid w:val="0"/>
                <w:sz w:val="22"/>
                <w:lang w:val="en-AU" w:eastAsia="en-US"/>
              </w:rPr>
            </w:pPr>
            <w:r w:rsidRPr="007A1703">
              <w:rPr>
                <w:rFonts w:ascii="ArialMT" w:hAnsi="ArialMT"/>
                <w:snapToGrid w:val="0"/>
                <w:sz w:val="22"/>
                <w:lang w:val="en-AU" w:eastAsia="en-US"/>
              </w:rPr>
              <w:t>Immune Disorders</w:t>
            </w:r>
          </w:p>
        </w:tc>
        <w:tc>
          <w:tcPr>
            <w:tcW w:w="4248" w:type="dxa"/>
          </w:tcPr>
          <w:p w:rsidR="0039773F" w:rsidRPr="007A1703" w:rsidRDefault="0039773F" w:rsidP="004F25D8">
            <w:pPr>
              <w:rPr>
                <w:rFonts w:ascii="ArialMT" w:hAnsi="ArialMT"/>
                <w:snapToGrid w:val="0"/>
                <w:sz w:val="22"/>
                <w:lang w:val="en-AU" w:eastAsia="en-US"/>
              </w:rPr>
            </w:pPr>
            <w:proofErr w:type="spellStart"/>
            <w:r w:rsidRPr="007A1703">
              <w:rPr>
                <w:rFonts w:ascii="ArialMT" w:hAnsi="ArialMT"/>
                <w:snapToGrid w:val="0"/>
                <w:sz w:val="22"/>
                <w:lang w:val="en-AU" w:eastAsia="en-US"/>
              </w:rPr>
              <w:t>Anaphylactoid</w:t>
            </w:r>
            <w:proofErr w:type="spellEnd"/>
            <w:r w:rsidRPr="007A1703">
              <w:rPr>
                <w:rFonts w:ascii="ArialMT" w:hAnsi="ArialMT"/>
                <w:snapToGrid w:val="0"/>
                <w:sz w:val="22"/>
                <w:lang w:val="en-AU" w:eastAsia="en-US"/>
              </w:rPr>
              <w:t xml:space="preserve"> Reaction</w:t>
            </w:r>
          </w:p>
        </w:tc>
      </w:tr>
    </w:tbl>
    <w:p w:rsidR="008C0BAB" w:rsidRDefault="008C0BAB" w:rsidP="008C0BAB">
      <w:pPr>
        <w:rPr>
          <w:rFonts w:ascii="Arial" w:hAnsi="Arial"/>
          <w:sz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5"/>
        <w:gridCol w:w="4232"/>
      </w:tblGrid>
      <w:tr w:rsidR="002E3488" w:rsidRPr="00DD7AFF" w:rsidTr="00A00365">
        <w:tc>
          <w:tcPr>
            <w:tcW w:w="8897" w:type="dxa"/>
            <w:gridSpan w:val="2"/>
          </w:tcPr>
          <w:p w:rsidR="002E3488" w:rsidRPr="00DD7AFF" w:rsidRDefault="002E3488" w:rsidP="008C0BAB">
            <w:pPr>
              <w:rPr>
                <w:rFonts w:ascii="Arial" w:hAnsi="Arial" w:cs="Arial"/>
                <w:sz w:val="22"/>
                <w:lang w:val="en-AU"/>
              </w:rPr>
            </w:pPr>
            <w:r w:rsidRPr="00DD7AFF">
              <w:rPr>
                <w:rFonts w:ascii="Arial" w:hAnsi="Arial" w:cs="Arial"/>
                <w:b/>
                <w:snapToGrid w:val="0"/>
                <w:sz w:val="22"/>
                <w:lang w:val="en-AU" w:eastAsia="en-US"/>
              </w:rPr>
              <w:t>Incidence of frequency &lt; 0.1% (rare)</w:t>
            </w:r>
          </w:p>
        </w:tc>
      </w:tr>
      <w:tr w:rsidR="002E3488" w:rsidRPr="00A00365" w:rsidTr="00A00365">
        <w:tc>
          <w:tcPr>
            <w:tcW w:w="4665" w:type="dxa"/>
          </w:tcPr>
          <w:p w:rsidR="002E3488" w:rsidRPr="00A00365" w:rsidRDefault="002E3488" w:rsidP="008C0BAB">
            <w:pPr>
              <w:rPr>
                <w:rFonts w:ascii="Arial" w:hAnsi="Arial"/>
                <w:sz w:val="22"/>
                <w:lang w:val="en-AU"/>
              </w:rPr>
            </w:pPr>
            <w:r w:rsidRPr="00A00365">
              <w:rPr>
                <w:rFonts w:ascii="ArialMT" w:hAnsi="ArialMT"/>
                <w:snapToGrid w:val="0"/>
                <w:sz w:val="22"/>
                <w:lang w:val="en-AU" w:eastAsia="en-US"/>
              </w:rPr>
              <w:t>Blood and Lymphatic System</w:t>
            </w:r>
          </w:p>
        </w:tc>
        <w:tc>
          <w:tcPr>
            <w:tcW w:w="4232" w:type="dxa"/>
          </w:tcPr>
          <w:p w:rsidR="002E3488" w:rsidRPr="00A00365" w:rsidRDefault="002E3488" w:rsidP="008C0BAB">
            <w:pPr>
              <w:rPr>
                <w:rFonts w:ascii="Arial" w:hAnsi="Arial"/>
                <w:sz w:val="22"/>
                <w:lang w:val="en-AU"/>
              </w:rPr>
            </w:pPr>
            <w:r w:rsidRPr="00A00365">
              <w:rPr>
                <w:rFonts w:ascii="ArialMT" w:hAnsi="ArialMT"/>
                <w:snapToGrid w:val="0"/>
                <w:sz w:val="22"/>
                <w:lang w:val="en-AU" w:eastAsia="en-US"/>
              </w:rPr>
              <w:t>Haemolytic anaemia</w:t>
            </w:r>
          </w:p>
        </w:tc>
      </w:tr>
    </w:tbl>
    <w:p w:rsidR="002E3488" w:rsidRDefault="002E3488" w:rsidP="008C0BAB">
      <w:pPr>
        <w:rPr>
          <w:rFonts w:ascii="Arial" w:hAnsi="Arial"/>
          <w:sz w:val="22"/>
          <w:lang w:val="en-AU"/>
        </w:rPr>
      </w:pPr>
    </w:p>
    <w:p w:rsidR="002E3488" w:rsidRDefault="002E3488" w:rsidP="005B1F80">
      <w:pPr>
        <w:jc w:val="both"/>
        <w:rPr>
          <w:rFonts w:ascii="Arial" w:hAnsi="Arial"/>
          <w:sz w:val="22"/>
          <w:lang w:val="en-AU"/>
        </w:rPr>
      </w:pPr>
      <w:r>
        <w:rPr>
          <w:rFonts w:ascii="Arial" w:hAnsi="Arial"/>
          <w:sz w:val="22"/>
          <w:lang w:val="en-AU"/>
        </w:rPr>
        <w:t>Some cases of haemolytic anaemia, especially in association with pre-existing renal impairment, were severe and required blood component transfusion.</w:t>
      </w:r>
    </w:p>
    <w:p w:rsidR="002E3488" w:rsidRDefault="002E3488" w:rsidP="005B1F80">
      <w:pPr>
        <w:jc w:val="both"/>
        <w:rPr>
          <w:rFonts w:ascii="Arial" w:hAnsi="Arial"/>
          <w:sz w:val="22"/>
          <w:lang w:val="en-AU"/>
        </w:rPr>
      </w:pPr>
    </w:p>
    <w:p w:rsidR="00D859FF" w:rsidRDefault="00D859FF" w:rsidP="005B1F80">
      <w:pPr>
        <w:jc w:val="both"/>
        <w:rPr>
          <w:rFonts w:ascii="Arial" w:hAnsi="Arial"/>
          <w:sz w:val="22"/>
          <w:lang w:val="en-AU"/>
        </w:rPr>
      </w:pPr>
      <w:r>
        <w:rPr>
          <w:rFonts w:ascii="Arial" w:hAnsi="Arial"/>
          <w:sz w:val="22"/>
          <w:lang w:val="en-AU"/>
        </w:rPr>
        <w:t xml:space="preserve">In isolated instances, impairment of renal function with elevation of serum </w:t>
      </w:r>
      <w:proofErr w:type="spellStart"/>
      <w:r>
        <w:rPr>
          <w:rFonts w:ascii="Arial" w:hAnsi="Arial"/>
          <w:sz w:val="22"/>
          <w:lang w:val="en-AU"/>
        </w:rPr>
        <w:t>creatinine</w:t>
      </w:r>
      <w:proofErr w:type="spellEnd"/>
      <w:r>
        <w:rPr>
          <w:rFonts w:ascii="Arial" w:hAnsi="Arial"/>
          <w:sz w:val="22"/>
          <w:lang w:val="en-AU"/>
        </w:rPr>
        <w:t>, to the point of acute renal failure, may occur in the context of</w:t>
      </w:r>
      <w:r w:rsidR="00AB13F9">
        <w:rPr>
          <w:rFonts w:ascii="Arial" w:hAnsi="Arial"/>
          <w:sz w:val="22"/>
          <w:lang w:val="en-AU"/>
        </w:rPr>
        <w:t xml:space="preserve"> administration of </w:t>
      </w:r>
      <w:proofErr w:type="spellStart"/>
      <w:r>
        <w:rPr>
          <w:rFonts w:ascii="Arial" w:hAnsi="Arial"/>
          <w:sz w:val="22"/>
          <w:lang w:val="en-AU"/>
        </w:rPr>
        <w:t>immunoglobulin</w:t>
      </w:r>
      <w:r w:rsidR="00AB13F9">
        <w:rPr>
          <w:rFonts w:ascii="Arial" w:hAnsi="Arial"/>
          <w:sz w:val="22"/>
          <w:lang w:val="en-AU"/>
        </w:rPr>
        <w:t>s</w:t>
      </w:r>
      <w:proofErr w:type="spellEnd"/>
      <w:r>
        <w:rPr>
          <w:rFonts w:ascii="Arial" w:hAnsi="Arial"/>
          <w:sz w:val="22"/>
          <w:lang w:val="en-AU"/>
        </w:rPr>
        <w:t xml:space="preserve"> (see PRECAUTIONS, Renal effects).</w:t>
      </w:r>
    </w:p>
    <w:p w:rsidR="00D859FF" w:rsidRPr="007A1703" w:rsidRDefault="00D859FF" w:rsidP="005B1F80">
      <w:pPr>
        <w:jc w:val="both"/>
        <w:rPr>
          <w:rFonts w:ascii="Arial" w:hAnsi="Arial"/>
          <w:sz w:val="22"/>
          <w:lang w:val="en-AU"/>
        </w:rPr>
      </w:pPr>
    </w:p>
    <w:p w:rsidR="00F24384" w:rsidRPr="007A1703" w:rsidRDefault="003E3811" w:rsidP="005B1F80">
      <w:pPr>
        <w:pStyle w:val="BodyText"/>
        <w:rPr>
          <w:sz w:val="22"/>
          <w:szCs w:val="22"/>
          <w:lang w:val="en-AU"/>
        </w:rPr>
      </w:pPr>
      <w:r>
        <w:rPr>
          <w:sz w:val="22"/>
          <w:szCs w:val="22"/>
          <w:lang w:val="en-AU"/>
        </w:rPr>
        <w:t xml:space="preserve">Very rarely: </w:t>
      </w:r>
      <w:proofErr w:type="spellStart"/>
      <w:r w:rsidR="00F9361F" w:rsidRPr="007A1703">
        <w:rPr>
          <w:sz w:val="22"/>
          <w:szCs w:val="22"/>
          <w:lang w:val="en-AU"/>
        </w:rPr>
        <w:t>Thromboembolic</w:t>
      </w:r>
      <w:proofErr w:type="spellEnd"/>
      <w:r w:rsidR="00F9361F" w:rsidRPr="007A1703">
        <w:rPr>
          <w:sz w:val="22"/>
          <w:szCs w:val="22"/>
          <w:lang w:val="en-AU"/>
        </w:rPr>
        <w:t xml:space="preserve"> events</w:t>
      </w:r>
      <w:r w:rsidR="000016B2">
        <w:rPr>
          <w:sz w:val="22"/>
          <w:szCs w:val="22"/>
          <w:lang w:val="en-AU"/>
        </w:rPr>
        <w:t xml:space="preserve"> such as myocardial infarction, stroke, pulmonary embolism and deep vein thromboses</w:t>
      </w:r>
      <w:r w:rsidR="00F9361F" w:rsidRPr="007A1703">
        <w:rPr>
          <w:sz w:val="22"/>
          <w:szCs w:val="22"/>
          <w:lang w:val="en-AU"/>
        </w:rPr>
        <w:t xml:space="preserve"> have been reported in association with </w:t>
      </w:r>
      <w:proofErr w:type="spellStart"/>
      <w:r w:rsidR="00F9361F" w:rsidRPr="007A1703">
        <w:rPr>
          <w:sz w:val="22"/>
          <w:szCs w:val="22"/>
          <w:lang w:val="en-AU"/>
        </w:rPr>
        <w:t>immunoglobulins</w:t>
      </w:r>
      <w:proofErr w:type="spellEnd"/>
      <w:r w:rsidR="00F20E20">
        <w:rPr>
          <w:sz w:val="22"/>
          <w:szCs w:val="22"/>
          <w:lang w:val="en-AU"/>
        </w:rPr>
        <w:t xml:space="preserve"> in patients at risk</w:t>
      </w:r>
      <w:r w:rsidR="00C24747">
        <w:rPr>
          <w:sz w:val="22"/>
          <w:szCs w:val="22"/>
          <w:lang w:val="en-AU"/>
        </w:rPr>
        <w:t xml:space="preserve"> (see PRECAUTIONS, Thrombotic events)</w:t>
      </w:r>
      <w:r w:rsidR="00F9361F" w:rsidRPr="007A1703">
        <w:rPr>
          <w:sz w:val="22"/>
          <w:szCs w:val="22"/>
          <w:lang w:val="en-AU"/>
        </w:rPr>
        <w:t xml:space="preserve">. </w:t>
      </w:r>
    </w:p>
    <w:p w:rsidR="00054AFA" w:rsidRDefault="00054AFA">
      <w:pPr>
        <w:pStyle w:val="Lemm1"/>
        <w:jc w:val="both"/>
        <w:rPr>
          <w:b/>
          <w:szCs w:val="22"/>
          <w:lang w:val="en-AU"/>
        </w:rPr>
      </w:pPr>
    </w:p>
    <w:p w:rsidR="00DA3C17" w:rsidRDefault="00DA3C17" w:rsidP="00DA3C17">
      <w:pPr>
        <w:pStyle w:val="Indent1Normal"/>
        <w:spacing w:line="240" w:lineRule="auto"/>
        <w:ind w:left="0"/>
        <w:jc w:val="both"/>
        <w:rPr>
          <w:b/>
          <w:szCs w:val="22"/>
          <w:lang w:val="en-AU"/>
        </w:rPr>
      </w:pPr>
      <w:r w:rsidRPr="007A1703">
        <w:rPr>
          <w:b/>
          <w:szCs w:val="22"/>
          <w:lang w:val="en-AU"/>
        </w:rPr>
        <w:t>Transfusion-Related Acute Lung Injury (TRALI)</w:t>
      </w:r>
    </w:p>
    <w:p w:rsidR="00DA3C17" w:rsidRPr="007A1703" w:rsidRDefault="00DA3C17" w:rsidP="00DA3C17">
      <w:pPr>
        <w:pStyle w:val="Indent1Normal"/>
        <w:spacing w:line="240" w:lineRule="auto"/>
        <w:ind w:left="0"/>
        <w:jc w:val="both"/>
        <w:rPr>
          <w:b/>
          <w:szCs w:val="22"/>
          <w:lang w:val="en-AU"/>
        </w:rPr>
      </w:pPr>
    </w:p>
    <w:p w:rsidR="00DA3C17" w:rsidRPr="007A1703" w:rsidRDefault="00DA3C17" w:rsidP="00DA3C17">
      <w:pPr>
        <w:pStyle w:val="Indent1Normal"/>
        <w:spacing w:line="240" w:lineRule="auto"/>
        <w:ind w:left="0"/>
        <w:jc w:val="both"/>
        <w:rPr>
          <w:szCs w:val="22"/>
          <w:lang w:val="en-AU"/>
        </w:rPr>
      </w:pPr>
      <w:r w:rsidRPr="007A1703">
        <w:rPr>
          <w:szCs w:val="22"/>
          <w:lang w:val="en-AU"/>
        </w:rPr>
        <w:t xml:space="preserve">There have been reports of </w:t>
      </w:r>
      <w:proofErr w:type="spellStart"/>
      <w:r w:rsidRPr="007A1703">
        <w:rPr>
          <w:szCs w:val="22"/>
          <w:lang w:val="en-AU"/>
        </w:rPr>
        <w:t>noncardiogenic</w:t>
      </w:r>
      <w:proofErr w:type="spellEnd"/>
      <w:r w:rsidRPr="007A1703">
        <w:rPr>
          <w:szCs w:val="22"/>
          <w:lang w:val="en-AU"/>
        </w:rPr>
        <w:t xml:space="preserve"> pulmonary oedema [Transfusion-Related Acute Lung Injury (TRALI] in patients administered IGIV. [33]</w:t>
      </w:r>
      <w:r w:rsidRPr="007A1703">
        <w:rPr>
          <w:szCs w:val="22"/>
          <w:vertAlign w:val="superscript"/>
          <w:lang w:val="en-AU"/>
        </w:rPr>
        <w:t xml:space="preserve"> </w:t>
      </w:r>
      <w:r w:rsidRPr="007A1703">
        <w:rPr>
          <w:szCs w:val="22"/>
          <w:lang w:val="en-AU"/>
        </w:rPr>
        <w:t xml:space="preserve">TRALI is characterized by severe respiratory distress, pulmonary oedema, </w:t>
      </w:r>
      <w:proofErr w:type="spellStart"/>
      <w:r w:rsidRPr="007A1703">
        <w:rPr>
          <w:szCs w:val="22"/>
          <w:lang w:val="en-AU"/>
        </w:rPr>
        <w:t>hypoxaemia</w:t>
      </w:r>
      <w:proofErr w:type="spellEnd"/>
      <w:r w:rsidRPr="007A1703">
        <w:rPr>
          <w:szCs w:val="22"/>
          <w:lang w:val="en-AU"/>
        </w:rPr>
        <w:t xml:space="preserve">, normal left ventricular function, and </w:t>
      </w:r>
      <w:r w:rsidRPr="007A1703">
        <w:rPr>
          <w:szCs w:val="22"/>
          <w:lang w:val="en-AU"/>
        </w:rPr>
        <w:lastRenderedPageBreak/>
        <w:t xml:space="preserve">fever and typically occurs within 1-6 hrs after transfusion. Patients with TRALI may be managed using oxygen therapy with adequate </w:t>
      </w:r>
      <w:proofErr w:type="spellStart"/>
      <w:r w:rsidRPr="007A1703">
        <w:rPr>
          <w:szCs w:val="22"/>
          <w:lang w:val="en-AU"/>
        </w:rPr>
        <w:t>ventilatory</w:t>
      </w:r>
      <w:proofErr w:type="spellEnd"/>
      <w:r w:rsidRPr="007A1703">
        <w:rPr>
          <w:szCs w:val="22"/>
          <w:lang w:val="en-AU"/>
        </w:rPr>
        <w:t xml:space="preserve"> support. </w:t>
      </w:r>
    </w:p>
    <w:p w:rsidR="00DA3C17" w:rsidRPr="007A1703" w:rsidRDefault="00DA3C17" w:rsidP="00DA3C17">
      <w:pPr>
        <w:pStyle w:val="Indent1Normal"/>
        <w:spacing w:before="80" w:line="240" w:lineRule="auto"/>
        <w:ind w:left="0"/>
        <w:jc w:val="both"/>
        <w:rPr>
          <w:szCs w:val="22"/>
          <w:lang w:val="en-AU"/>
        </w:rPr>
      </w:pPr>
      <w:r w:rsidRPr="007A1703">
        <w:rPr>
          <w:szCs w:val="22"/>
          <w:lang w:val="en-AU"/>
        </w:rPr>
        <w:t>IGIV recipients should be monitored for pulmonary adverse reactions. If TRALI is suspected, appropriate tests should be performed for the presence of anti-</w:t>
      </w:r>
      <w:proofErr w:type="spellStart"/>
      <w:r w:rsidRPr="007A1703">
        <w:rPr>
          <w:szCs w:val="22"/>
          <w:lang w:val="en-AU"/>
        </w:rPr>
        <w:t>neutrophil</w:t>
      </w:r>
      <w:proofErr w:type="spellEnd"/>
      <w:r w:rsidRPr="007A1703">
        <w:rPr>
          <w:szCs w:val="22"/>
          <w:lang w:val="en-AU"/>
        </w:rPr>
        <w:t xml:space="preserve"> antibodies in both the product and patient serum.</w:t>
      </w:r>
    </w:p>
    <w:p w:rsidR="00DA3C17" w:rsidRDefault="00DA3C17">
      <w:pPr>
        <w:pStyle w:val="Lemm1"/>
        <w:jc w:val="both"/>
        <w:rPr>
          <w:b/>
          <w:szCs w:val="22"/>
          <w:lang w:val="en-AU"/>
        </w:rPr>
      </w:pPr>
    </w:p>
    <w:p w:rsidR="0037530F" w:rsidRDefault="0037530F">
      <w:pPr>
        <w:pStyle w:val="Lemm1"/>
        <w:jc w:val="both"/>
        <w:rPr>
          <w:b/>
          <w:szCs w:val="22"/>
          <w:lang w:val="en-AU"/>
        </w:rPr>
      </w:pPr>
      <w:r w:rsidRPr="007A1703">
        <w:rPr>
          <w:b/>
          <w:szCs w:val="22"/>
          <w:lang w:val="en-AU"/>
        </w:rPr>
        <w:t>DOSAGE AND ADMINISTRATION</w:t>
      </w:r>
    </w:p>
    <w:p w:rsidR="00EF5DF4" w:rsidRPr="007A1703" w:rsidRDefault="00EF5DF4">
      <w:pPr>
        <w:pStyle w:val="Lemm1"/>
        <w:jc w:val="both"/>
        <w:rPr>
          <w:b/>
          <w:szCs w:val="22"/>
          <w:lang w:val="en-AU"/>
        </w:rPr>
      </w:pPr>
    </w:p>
    <w:p w:rsidR="0037530F" w:rsidRPr="003A5AF4" w:rsidRDefault="003A5AF4">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Pr="003A5AF4">
        <w:rPr>
          <w:szCs w:val="22"/>
          <w:lang w:val="en-AU"/>
        </w:rPr>
        <w:t xml:space="preserve"> is recommended for administration by intravenous infusion for all indications. </w:t>
      </w:r>
      <w:r w:rsidRPr="007A1703">
        <w:rPr>
          <w:rFonts w:cs="Arial"/>
          <w:szCs w:val="22"/>
          <w:lang w:val="en-AU"/>
        </w:rPr>
        <w:t>GAMUNEX</w:t>
      </w:r>
      <w:r w:rsidRPr="007A1703">
        <w:rPr>
          <w:rFonts w:cs="Arial"/>
          <w:snapToGrid w:val="0"/>
          <w:szCs w:val="22"/>
          <w:vertAlign w:val="superscript"/>
          <w:lang w:val="en-AU" w:eastAsia="en-US"/>
        </w:rPr>
        <w:t>®</w:t>
      </w:r>
      <w:r>
        <w:rPr>
          <w:rFonts w:cs="Arial"/>
          <w:snapToGrid w:val="0"/>
          <w:szCs w:val="22"/>
          <w:vertAlign w:val="superscript"/>
          <w:lang w:val="en-AU" w:eastAsia="en-US"/>
        </w:rPr>
        <w:t xml:space="preserve"> </w:t>
      </w:r>
      <w:r w:rsidRPr="003A5AF4">
        <w:rPr>
          <w:szCs w:val="22"/>
          <w:lang w:val="en-AU"/>
        </w:rPr>
        <w:t xml:space="preserve">can also be administered by subcutaneous infusion for replacement therapy in primary </w:t>
      </w:r>
      <w:r w:rsidR="00BC130A">
        <w:rPr>
          <w:szCs w:val="22"/>
          <w:lang w:val="en-AU"/>
        </w:rPr>
        <w:t>immuno</w:t>
      </w:r>
      <w:r w:rsidRPr="003A5AF4">
        <w:rPr>
          <w:szCs w:val="22"/>
          <w:lang w:val="en-AU"/>
        </w:rPr>
        <w:t xml:space="preserve">deficiency indications only. Safety and efficacy of subcutaneous administration has not been demonstrated for other indications. </w:t>
      </w:r>
    </w:p>
    <w:p w:rsidR="003A5AF4" w:rsidRPr="007A1703" w:rsidRDefault="003A5AF4">
      <w:pPr>
        <w:pStyle w:val="Lemm1"/>
        <w:jc w:val="both"/>
        <w:rPr>
          <w:b/>
          <w:szCs w:val="22"/>
          <w:lang w:val="en-AU"/>
        </w:rPr>
      </w:pPr>
    </w:p>
    <w:p w:rsidR="0037530F" w:rsidRPr="007A1703" w:rsidRDefault="0037530F">
      <w:pPr>
        <w:pStyle w:val="Lemm1"/>
        <w:jc w:val="both"/>
        <w:rPr>
          <w:b/>
          <w:szCs w:val="22"/>
          <w:lang w:val="en-AU"/>
        </w:rPr>
      </w:pPr>
      <w:r w:rsidRPr="007A1703">
        <w:rPr>
          <w:b/>
          <w:szCs w:val="22"/>
          <w:lang w:val="en-AU"/>
        </w:rPr>
        <w:t>Dosage</w:t>
      </w:r>
    </w:p>
    <w:p w:rsidR="0037530F" w:rsidRPr="007A1703" w:rsidRDefault="0037530F">
      <w:pPr>
        <w:pStyle w:val="Lemm1"/>
        <w:jc w:val="both"/>
        <w:rPr>
          <w:b/>
          <w:szCs w:val="22"/>
          <w:lang w:val="en-AU"/>
        </w:rPr>
      </w:pPr>
    </w:p>
    <w:p w:rsidR="0037530F" w:rsidRDefault="008C17FC" w:rsidP="005B1F80">
      <w:pPr>
        <w:pStyle w:val="Lemm1"/>
        <w:jc w:val="both"/>
        <w:rPr>
          <w:b/>
          <w:szCs w:val="22"/>
          <w:lang w:val="en-AU"/>
        </w:rPr>
      </w:pPr>
      <w:r>
        <w:rPr>
          <w:b/>
          <w:szCs w:val="22"/>
          <w:lang w:val="en-AU"/>
        </w:rPr>
        <w:t xml:space="preserve">Replacement therapy in </w:t>
      </w:r>
      <w:r w:rsidR="0037530F" w:rsidRPr="007A1703">
        <w:rPr>
          <w:b/>
          <w:szCs w:val="22"/>
          <w:lang w:val="en-AU"/>
        </w:rPr>
        <w:t>Primary Immunodeficiency (PI)</w:t>
      </w:r>
      <w:r w:rsidR="00764B26">
        <w:rPr>
          <w:b/>
          <w:szCs w:val="22"/>
          <w:lang w:val="en-AU"/>
        </w:rPr>
        <w:t xml:space="preserve"> Diseases</w:t>
      </w:r>
    </w:p>
    <w:p w:rsidR="000B6243" w:rsidRDefault="000B6243" w:rsidP="005B1F80">
      <w:pPr>
        <w:pStyle w:val="Lemm1"/>
        <w:jc w:val="both"/>
        <w:rPr>
          <w:b/>
          <w:szCs w:val="22"/>
          <w:lang w:val="en-AU"/>
        </w:rPr>
      </w:pPr>
    </w:p>
    <w:p w:rsidR="000B6243" w:rsidRPr="000B6243" w:rsidRDefault="000B6243" w:rsidP="005B1F80">
      <w:pPr>
        <w:pStyle w:val="Lemm1"/>
        <w:jc w:val="both"/>
        <w:rPr>
          <w:b/>
          <w:i/>
          <w:szCs w:val="22"/>
          <w:lang w:val="en-AU"/>
        </w:rPr>
      </w:pPr>
      <w:r w:rsidRPr="005C1FFC">
        <w:rPr>
          <w:b/>
          <w:i/>
          <w:szCs w:val="22"/>
          <w:lang w:val="en-AU"/>
        </w:rPr>
        <w:t>Intravenous</w:t>
      </w:r>
      <w:r w:rsidR="00576A3F" w:rsidRPr="005C1FFC">
        <w:rPr>
          <w:b/>
          <w:i/>
          <w:szCs w:val="22"/>
          <w:lang w:val="en-AU"/>
        </w:rPr>
        <w:t xml:space="preserve"> (IV)</w:t>
      </w:r>
    </w:p>
    <w:p w:rsidR="0037530F" w:rsidRDefault="004C3586" w:rsidP="005B1F80">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0037530F" w:rsidRPr="007A1703">
        <w:rPr>
          <w:szCs w:val="22"/>
          <w:lang w:val="en-AU"/>
        </w:rPr>
        <w:t xml:space="preserve"> doses between 300 and 600 mg/kg (3 and 6 </w:t>
      </w:r>
      <w:proofErr w:type="spellStart"/>
      <w:r w:rsidR="0037530F" w:rsidRPr="007A1703">
        <w:rPr>
          <w:szCs w:val="22"/>
          <w:lang w:val="en-AU"/>
        </w:rPr>
        <w:t>mL</w:t>
      </w:r>
      <w:proofErr w:type="spellEnd"/>
      <w:r w:rsidR="0037530F" w:rsidRPr="007A1703">
        <w:rPr>
          <w:szCs w:val="22"/>
          <w:lang w:val="en-AU"/>
        </w:rPr>
        <w:t xml:space="preserve">/kg), which represented the dose range for 92% of the subjects in the </w:t>
      </w:r>
      <w:r w:rsidR="001A0DC9" w:rsidRPr="007A1703">
        <w:rPr>
          <w:szCs w:val="22"/>
          <w:lang w:val="en-AU"/>
        </w:rPr>
        <w:t>larger efficacy trial</w:t>
      </w:r>
      <w:r w:rsidR="0037530F" w:rsidRPr="007A1703">
        <w:rPr>
          <w:szCs w:val="22"/>
          <w:lang w:val="en-AU"/>
        </w:rPr>
        <w:t xml:space="preserve">, may be used for infection prophylaxis. The dose should be individualized taking into account dosing intervals (e.g. 3 or 4 weeks) and </w:t>
      </w:r>
      <w:r w:rsidRPr="007A1703">
        <w:rPr>
          <w:rFonts w:cs="Arial"/>
          <w:szCs w:val="22"/>
          <w:lang w:val="en-AU"/>
        </w:rPr>
        <w:t>GAMUNEX</w:t>
      </w:r>
      <w:r w:rsidRPr="007A1703">
        <w:rPr>
          <w:rFonts w:cs="Arial"/>
          <w:snapToGrid w:val="0"/>
          <w:szCs w:val="22"/>
          <w:vertAlign w:val="superscript"/>
          <w:lang w:val="en-AU" w:eastAsia="en-US"/>
        </w:rPr>
        <w:t>®</w:t>
      </w:r>
      <w:r w:rsidR="0037530F" w:rsidRPr="007A1703">
        <w:rPr>
          <w:szCs w:val="22"/>
          <w:lang w:val="en-AU"/>
        </w:rPr>
        <w:t xml:space="preserve"> dose (between 300 and 600 mg/kg). A target serum </w:t>
      </w:r>
      <w:proofErr w:type="spellStart"/>
      <w:r w:rsidR="0037530F" w:rsidRPr="007A1703">
        <w:rPr>
          <w:szCs w:val="22"/>
          <w:lang w:val="en-AU"/>
        </w:rPr>
        <w:t>IgG</w:t>
      </w:r>
      <w:proofErr w:type="spellEnd"/>
      <w:r w:rsidR="0037530F" w:rsidRPr="007A1703">
        <w:rPr>
          <w:szCs w:val="22"/>
          <w:lang w:val="en-AU"/>
        </w:rPr>
        <w:t xml:space="preserve"> trough level (i.e. prior to the next infusion) of at least 5 g/L has been proposed in the literature, however no randomized controlled trial data are available to validate this recommendation.</w:t>
      </w:r>
      <w:r w:rsidR="0057078D" w:rsidRPr="007A1703">
        <w:rPr>
          <w:szCs w:val="22"/>
          <w:lang w:val="en-AU"/>
        </w:rPr>
        <w:t xml:space="preserve"> See CLINICAL TRIALS section. </w:t>
      </w:r>
      <w:r w:rsidR="0037530F" w:rsidRPr="007A1703">
        <w:rPr>
          <w:szCs w:val="22"/>
          <w:lang w:val="en-AU"/>
        </w:rPr>
        <w:t xml:space="preserve"> </w:t>
      </w:r>
    </w:p>
    <w:p w:rsidR="000B6243" w:rsidRDefault="000B6243" w:rsidP="005B1F80">
      <w:pPr>
        <w:pStyle w:val="Lemm1"/>
        <w:jc w:val="both"/>
        <w:rPr>
          <w:szCs w:val="22"/>
          <w:lang w:val="en-AU"/>
        </w:rPr>
      </w:pPr>
    </w:p>
    <w:p w:rsidR="000B6243" w:rsidRPr="005C1FFC" w:rsidRDefault="000B6243" w:rsidP="005B1F80">
      <w:pPr>
        <w:pStyle w:val="Lemm1"/>
        <w:jc w:val="both"/>
        <w:rPr>
          <w:b/>
          <w:i/>
          <w:szCs w:val="22"/>
          <w:lang w:val="en-AU"/>
        </w:rPr>
      </w:pPr>
      <w:r w:rsidRPr="005C1FFC">
        <w:rPr>
          <w:b/>
          <w:i/>
          <w:szCs w:val="22"/>
          <w:lang w:val="en-AU"/>
        </w:rPr>
        <w:t>Subcutaneous</w:t>
      </w:r>
      <w:r w:rsidR="00576A3F" w:rsidRPr="005C1FFC">
        <w:rPr>
          <w:b/>
          <w:i/>
          <w:szCs w:val="22"/>
          <w:lang w:val="en-AU"/>
        </w:rPr>
        <w:t xml:space="preserve"> (SC)</w:t>
      </w:r>
    </w:p>
    <w:p w:rsidR="007A4B4A" w:rsidRDefault="00576A3F" w:rsidP="000B6243">
      <w:pPr>
        <w:pStyle w:val="Lemm1"/>
        <w:rPr>
          <w:szCs w:val="22"/>
          <w:lang w:val="en-AU"/>
        </w:rPr>
      </w:pPr>
      <w:r w:rsidRPr="005C1FFC">
        <w:rPr>
          <w:bCs/>
          <w:szCs w:val="22"/>
          <w:lang w:val="en-AU"/>
        </w:rPr>
        <w:t>The weekly SC GAMUNEX</w:t>
      </w:r>
      <w:r w:rsidRPr="005C1FFC">
        <w:rPr>
          <w:snapToGrid w:val="0"/>
          <w:szCs w:val="22"/>
          <w:vertAlign w:val="superscript"/>
          <w:lang w:val="en-AU"/>
        </w:rPr>
        <w:t>®</w:t>
      </w:r>
      <w:r w:rsidRPr="005C1FFC">
        <w:rPr>
          <w:bCs/>
          <w:szCs w:val="22"/>
          <w:lang w:val="en-AU"/>
        </w:rPr>
        <w:t xml:space="preserve"> dose for replacement therapy in primary immunodeficienc</w:t>
      </w:r>
      <w:r w:rsidR="00764B26">
        <w:rPr>
          <w:bCs/>
          <w:szCs w:val="22"/>
          <w:lang w:val="en-AU"/>
        </w:rPr>
        <w:t>y diseases</w:t>
      </w:r>
      <w:r w:rsidRPr="005C1FFC">
        <w:rPr>
          <w:bCs/>
          <w:szCs w:val="22"/>
          <w:lang w:val="en-AU"/>
        </w:rPr>
        <w:t xml:space="preserve"> </w:t>
      </w:r>
      <w:r w:rsidR="00764B26">
        <w:rPr>
          <w:bCs/>
          <w:szCs w:val="22"/>
          <w:lang w:val="en-AU"/>
        </w:rPr>
        <w:t xml:space="preserve">may be initiated with a dose comparable to the </w:t>
      </w:r>
      <w:proofErr w:type="spellStart"/>
      <w:r w:rsidR="00764B26">
        <w:rPr>
          <w:bCs/>
          <w:szCs w:val="22"/>
          <w:lang w:val="en-AU"/>
        </w:rPr>
        <w:t>IVIg</w:t>
      </w:r>
      <w:proofErr w:type="spellEnd"/>
      <w:r w:rsidR="00764B26">
        <w:rPr>
          <w:bCs/>
          <w:szCs w:val="22"/>
          <w:lang w:val="en-AU"/>
        </w:rPr>
        <w:t xml:space="preserve"> replacement dose adjusted for previous IV treatment interval. The dose and dosage interval must be individualised based on measured </w:t>
      </w:r>
      <w:proofErr w:type="spellStart"/>
      <w:r w:rsidR="00764B26">
        <w:rPr>
          <w:bCs/>
          <w:szCs w:val="22"/>
          <w:lang w:val="en-AU"/>
        </w:rPr>
        <w:t>IgG</w:t>
      </w:r>
      <w:proofErr w:type="spellEnd"/>
      <w:r w:rsidR="00764B26">
        <w:rPr>
          <w:bCs/>
          <w:szCs w:val="22"/>
          <w:lang w:val="en-AU"/>
        </w:rPr>
        <w:t xml:space="preserve"> trough levels and ongoing clinical response.</w:t>
      </w:r>
      <w:r w:rsidR="00764B26" w:rsidRPr="005C1FFC" w:rsidDel="00764B26">
        <w:rPr>
          <w:bCs/>
          <w:szCs w:val="22"/>
          <w:lang w:val="en-AU"/>
        </w:rPr>
        <w:t xml:space="preserve"> </w:t>
      </w:r>
    </w:p>
    <w:p w:rsidR="00A53AA8" w:rsidRDefault="00A53AA8" w:rsidP="005B1F80">
      <w:pPr>
        <w:pStyle w:val="Lemm1"/>
        <w:jc w:val="both"/>
        <w:rPr>
          <w:szCs w:val="22"/>
        </w:rPr>
      </w:pPr>
    </w:p>
    <w:p w:rsidR="008A04D3" w:rsidRDefault="00FD71F0">
      <w:pPr>
        <w:pStyle w:val="Lemm1"/>
        <w:rPr>
          <w:szCs w:val="22"/>
          <w:lang w:val="en-AU"/>
        </w:rPr>
      </w:pPr>
      <w:r>
        <w:rPr>
          <w:b/>
          <w:szCs w:val="22"/>
          <w:lang w:val="en-AU"/>
        </w:rPr>
        <w:t xml:space="preserve">Replacement therapy in symptomatic secondary </w:t>
      </w:r>
      <w:proofErr w:type="spellStart"/>
      <w:r>
        <w:rPr>
          <w:b/>
          <w:szCs w:val="22"/>
          <w:lang w:val="en-AU"/>
        </w:rPr>
        <w:t>hypogammaglobulinaemia</w:t>
      </w:r>
      <w:proofErr w:type="spellEnd"/>
    </w:p>
    <w:p w:rsidR="00FD71F0" w:rsidRPr="00FD71F0" w:rsidRDefault="00FD71F0">
      <w:pPr>
        <w:pStyle w:val="Lemm1"/>
        <w:rPr>
          <w:szCs w:val="22"/>
          <w:lang w:val="en-AU"/>
        </w:rPr>
      </w:pPr>
      <w:r>
        <w:rPr>
          <w:szCs w:val="22"/>
          <w:lang w:val="en-AU"/>
        </w:rPr>
        <w:t>The recommended dose is 200 to 400 mg/kg every 3 to 4 weeks, to obtain a trough level of at least 5 to 6 g/L.</w:t>
      </w:r>
    </w:p>
    <w:p w:rsidR="00FD71F0" w:rsidRPr="007A1703" w:rsidRDefault="00FD71F0">
      <w:pPr>
        <w:pStyle w:val="Lemm1"/>
        <w:rPr>
          <w:szCs w:val="22"/>
          <w:lang w:val="en-AU"/>
        </w:rPr>
      </w:pPr>
    </w:p>
    <w:p w:rsidR="0037530F" w:rsidRDefault="0037530F">
      <w:pPr>
        <w:pStyle w:val="Lemm1"/>
        <w:jc w:val="both"/>
        <w:rPr>
          <w:b/>
          <w:szCs w:val="22"/>
          <w:lang w:val="en-AU"/>
        </w:rPr>
      </w:pPr>
      <w:r w:rsidRPr="007A1703">
        <w:rPr>
          <w:b/>
          <w:szCs w:val="22"/>
          <w:lang w:val="en-AU"/>
        </w:rPr>
        <w:t xml:space="preserve">Idiopathic </w:t>
      </w:r>
      <w:proofErr w:type="spellStart"/>
      <w:r w:rsidRPr="007A1703">
        <w:rPr>
          <w:b/>
          <w:szCs w:val="22"/>
          <w:lang w:val="en-AU"/>
        </w:rPr>
        <w:t>Thrombocytop</w:t>
      </w:r>
      <w:r w:rsidR="004C3586" w:rsidRPr="007A1703">
        <w:rPr>
          <w:b/>
          <w:szCs w:val="22"/>
          <w:lang w:val="en-AU"/>
        </w:rPr>
        <w:t>a</w:t>
      </w:r>
      <w:r w:rsidRPr="007A1703">
        <w:rPr>
          <w:b/>
          <w:szCs w:val="22"/>
          <w:lang w:val="en-AU"/>
        </w:rPr>
        <w:t>enic</w:t>
      </w:r>
      <w:proofErr w:type="spellEnd"/>
      <w:r w:rsidRPr="007A1703">
        <w:rPr>
          <w:b/>
          <w:szCs w:val="22"/>
          <w:lang w:val="en-AU"/>
        </w:rPr>
        <w:t xml:space="preserve"> </w:t>
      </w:r>
      <w:proofErr w:type="spellStart"/>
      <w:r w:rsidRPr="007A1703">
        <w:rPr>
          <w:b/>
          <w:szCs w:val="22"/>
          <w:lang w:val="en-AU"/>
        </w:rPr>
        <w:t>Purpura</w:t>
      </w:r>
      <w:proofErr w:type="spellEnd"/>
      <w:r w:rsidRPr="007A1703">
        <w:rPr>
          <w:b/>
          <w:szCs w:val="22"/>
          <w:lang w:val="en-AU"/>
        </w:rPr>
        <w:t xml:space="preserve"> (ITP)</w:t>
      </w:r>
    </w:p>
    <w:p w:rsidR="0037530F" w:rsidRPr="007A1703" w:rsidRDefault="004C3586">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0037530F" w:rsidRPr="007A1703">
        <w:rPr>
          <w:szCs w:val="22"/>
          <w:lang w:val="en-AU"/>
        </w:rPr>
        <w:t xml:space="preserve"> may be administered at a total dose of 2 g/kg, divided in two doses of 1 g/kg (10 </w:t>
      </w:r>
      <w:proofErr w:type="spellStart"/>
      <w:r w:rsidR="0037530F" w:rsidRPr="007A1703">
        <w:rPr>
          <w:szCs w:val="22"/>
          <w:lang w:val="en-AU"/>
        </w:rPr>
        <w:t>mL</w:t>
      </w:r>
      <w:proofErr w:type="spellEnd"/>
      <w:r w:rsidR="0037530F" w:rsidRPr="007A1703">
        <w:rPr>
          <w:szCs w:val="22"/>
          <w:lang w:val="en-AU"/>
        </w:rPr>
        <w:t>/kg) given on two consecutive days or into five doses of 0.4 g/kg (4 </w:t>
      </w:r>
      <w:proofErr w:type="spellStart"/>
      <w:r w:rsidR="0037530F" w:rsidRPr="007A1703">
        <w:rPr>
          <w:szCs w:val="22"/>
          <w:lang w:val="en-AU"/>
        </w:rPr>
        <w:t>mL</w:t>
      </w:r>
      <w:proofErr w:type="spellEnd"/>
      <w:r w:rsidR="0037530F" w:rsidRPr="007A1703">
        <w:rPr>
          <w:szCs w:val="22"/>
          <w:lang w:val="en-AU"/>
        </w:rPr>
        <w:t>/kg) given on five consecutive days. If after administration of the first of two daily 1 g/kg (10 </w:t>
      </w:r>
      <w:proofErr w:type="spellStart"/>
      <w:r w:rsidR="0037530F" w:rsidRPr="007A1703">
        <w:rPr>
          <w:szCs w:val="22"/>
          <w:lang w:val="en-AU"/>
        </w:rPr>
        <w:t>mL</w:t>
      </w:r>
      <w:proofErr w:type="spellEnd"/>
      <w:r w:rsidR="0037530F" w:rsidRPr="007A1703">
        <w:rPr>
          <w:szCs w:val="22"/>
          <w:lang w:val="en-AU"/>
        </w:rPr>
        <w:t>/kg) doses, an adequate increase in the platelet count is observed at 24 hours, the second dose of 1g/kg body weight may be withheld.</w:t>
      </w:r>
      <w:r w:rsidR="0057078D" w:rsidRPr="007A1703">
        <w:rPr>
          <w:szCs w:val="22"/>
          <w:lang w:val="en-AU"/>
        </w:rPr>
        <w:t xml:space="preserve"> Likewise, subsequent 0.4 g/Kg doses maybe withheld when an adequate increase in platelet count is observed.</w:t>
      </w:r>
    </w:p>
    <w:p w:rsidR="0037530F" w:rsidRDefault="0037530F">
      <w:pPr>
        <w:pStyle w:val="Lemm1"/>
        <w:jc w:val="both"/>
        <w:rPr>
          <w:szCs w:val="22"/>
          <w:lang w:val="en-AU"/>
        </w:rPr>
      </w:pPr>
      <w:r w:rsidRPr="007A1703">
        <w:rPr>
          <w:szCs w:val="22"/>
          <w:lang w:val="en-AU"/>
        </w:rPr>
        <w:t>The high dose regimen (1 g/kg × 1-2 days) is not recommended for individuals with expanded fluid volumes or where fluid volume may be a concern.</w:t>
      </w:r>
    </w:p>
    <w:p w:rsidR="00A53AA8" w:rsidRDefault="00A53AA8">
      <w:pPr>
        <w:pStyle w:val="Lemm1"/>
        <w:jc w:val="both"/>
        <w:rPr>
          <w:szCs w:val="22"/>
          <w:lang w:val="en-AU"/>
        </w:rPr>
      </w:pPr>
    </w:p>
    <w:p w:rsidR="00A53AA8" w:rsidRDefault="00A53AA8">
      <w:pPr>
        <w:pStyle w:val="Lemm1"/>
        <w:jc w:val="both"/>
        <w:rPr>
          <w:szCs w:val="22"/>
        </w:rPr>
      </w:pPr>
      <w:proofErr w:type="spellStart"/>
      <w:r w:rsidRPr="00A53AA8">
        <w:rPr>
          <w:b/>
          <w:szCs w:val="22"/>
        </w:rPr>
        <w:t>Guillain</w:t>
      </w:r>
      <w:proofErr w:type="spellEnd"/>
      <w:r w:rsidRPr="00A53AA8">
        <w:rPr>
          <w:b/>
          <w:szCs w:val="22"/>
        </w:rPr>
        <w:t xml:space="preserve"> </w:t>
      </w:r>
      <w:proofErr w:type="spellStart"/>
      <w:r w:rsidRPr="00A53AA8">
        <w:rPr>
          <w:b/>
          <w:szCs w:val="22"/>
        </w:rPr>
        <w:t>Barr</w:t>
      </w:r>
      <w:r>
        <w:rPr>
          <w:rFonts w:cs="Arial"/>
          <w:b/>
          <w:szCs w:val="22"/>
        </w:rPr>
        <w:t>é</w:t>
      </w:r>
      <w:proofErr w:type="spellEnd"/>
      <w:r w:rsidRPr="00A53AA8">
        <w:rPr>
          <w:b/>
          <w:szCs w:val="22"/>
        </w:rPr>
        <w:t xml:space="preserve"> Syndrome</w:t>
      </w:r>
      <w:r w:rsidR="00632318">
        <w:rPr>
          <w:b/>
          <w:szCs w:val="22"/>
        </w:rPr>
        <w:t xml:space="preserve"> (GBS)</w:t>
      </w:r>
    </w:p>
    <w:p w:rsidR="00A53AA8" w:rsidRDefault="00A53AA8">
      <w:pPr>
        <w:pStyle w:val="Lemm1"/>
        <w:jc w:val="both"/>
        <w:rPr>
          <w:szCs w:val="22"/>
        </w:rPr>
      </w:pPr>
      <w:r>
        <w:rPr>
          <w:szCs w:val="22"/>
        </w:rPr>
        <w:t xml:space="preserve">400 mg/kg (4 </w:t>
      </w:r>
      <w:proofErr w:type="spellStart"/>
      <w:r>
        <w:rPr>
          <w:szCs w:val="22"/>
        </w:rPr>
        <w:t>mL</w:t>
      </w:r>
      <w:proofErr w:type="spellEnd"/>
      <w:r>
        <w:rPr>
          <w:szCs w:val="22"/>
        </w:rPr>
        <w:t xml:space="preserve">/kg) on three to seven consecutive days. The treatment should commence within 14 days of the onset of symptoms. </w:t>
      </w:r>
    </w:p>
    <w:p w:rsidR="00A53AA8" w:rsidRDefault="00A53AA8">
      <w:pPr>
        <w:pStyle w:val="Lemm1"/>
        <w:jc w:val="both"/>
        <w:rPr>
          <w:szCs w:val="22"/>
        </w:rPr>
      </w:pPr>
      <w:r>
        <w:rPr>
          <w:szCs w:val="22"/>
        </w:rPr>
        <w:t xml:space="preserve">Only limited experience is available </w:t>
      </w:r>
      <w:r w:rsidR="00731C19">
        <w:rPr>
          <w:szCs w:val="22"/>
        </w:rPr>
        <w:t>of</w:t>
      </w:r>
      <w:r>
        <w:rPr>
          <w:szCs w:val="22"/>
        </w:rPr>
        <w:t xml:space="preserve"> use of intravenous </w:t>
      </w:r>
      <w:proofErr w:type="spellStart"/>
      <w:r>
        <w:rPr>
          <w:szCs w:val="22"/>
        </w:rPr>
        <w:t>immunoglobulins</w:t>
      </w:r>
      <w:proofErr w:type="spellEnd"/>
      <w:r>
        <w:rPr>
          <w:szCs w:val="22"/>
        </w:rPr>
        <w:t xml:space="preserve"> in children with </w:t>
      </w:r>
      <w:proofErr w:type="spellStart"/>
      <w:r w:rsidRPr="00F349CE">
        <w:rPr>
          <w:szCs w:val="22"/>
        </w:rPr>
        <w:t>Guillain</w:t>
      </w:r>
      <w:proofErr w:type="spellEnd"/>
      <w:r w:rsidRPr="00F349CE">
        <w:rPr>
          <w:szCs w:val="22"/>
        </w:rPr>
        <w:t xml:space="preserve"> </w:t>
      </w:r>
      <w:proofErr w:type="spellStart"/>
      <w:r w:rsidRPr="00F349CE">
        <w:rPr>
          <w:szCs w:val="22"/>
        </w:rPr>
        <w:t>Barr</w:t>
      </w:r>
      <w:r w:rsidRPr="00F349CE">
        <w:rPr>
          <w:rFonts w:cs="Arial"/>
          <w:szCs w:val="22"/>
        </w:rPr>
        <w:t>é</w:t>
      </w:r>
      <w:proofErr w:type="spellEnd"/>
      <w:r w:rsidRPr="00F349CE">
        <w:rPr>
          <w:szCs w:val="22"/>
        </w:rPr>
        <w:t xml:space="preserve"> Syndrome.</w:t>
      </w:r>
    </w:p>
    <w:p w:rsidR="00F349CE" w:rsidRDefault="00F349CE" w:rsidP="00F349CE">
      <w:pPr>
        <w:pStyle w:val="Lemm1"/>
        <w:rPr>
          <w:szCs w:val="22"/>
        </w:rPr>
      </w:pPr>
    </w:p>
    <w:p w:rsidR="00F349CE" w:rsidRPr="00F349CE" w:rsidRDefault="00F349CE" w:rsidP="005B1F80">
      <w:pPr>
        <w:pStyle w:val="Lemm1"/>
        <w:jc w:val="both"/>
        <w:rPr>
          <w:b/>
          <w:szCs w:val="22"/>
        </w:rPr>
      </w:pPr>
      <w:r w:rsidRPr="00F349CE">
        <w:rPr>
          <w:b/>
          <w:szCs w:val="22"/>
        </w:rPr>
        <w:lastRenderedPageBreak/>
        <w:t xml:space="preserve">Chronic Inflammatory </w:t>
      </w:r>
      <w:proofErr w:type="spellStart"/>
      <w:r w:rsidRPr="00F349CE">
        <w:rPr>
          <w:b/>
          <w:szCs w:val="22"/>
        </w:rPr>
        <w:t>Demyelinating</w:t>
      </w:r>
      <w:proofErr w:type="spellEnd"/>
      <w:r w:rsidRPr="00F349CE">
        <w:rPr>
          <w:b/>
          <w:szCs w:val="22"/>
        </w:rPr>
        <w:t xml:space="preserve"> </w:t>
      </w:r>
      <w:proofErr w:type="spellStart"/>
      <w:r w:rsidRPr="00F349CE">
        <w:rPr>
          <w:b/>
          <w:szCs w:val="22"/>
        </w:rPr>
        <w:t>Polyneuropathy</w:t>
      </w:r>
      <w:proofErr w:type="spellEnd"/>
      <w:r w:rsidRPr="00F349CE">
        <w:rPr>
          <w:b/>
          <w:szCs w:val="22"/>
        </w:rPr>
        <w:t xml:space="preserve"> (CIDP)</w:t>
      </w:r>
    </w:p>
    <w:p w:rsidR="00F349CE" w:rsidRDefault="00604CB9" w:rsidP="005B1F80">
      <w:pPr>
        <w:pStyle w:val="Lemm1"/>
        <w:jc w:val="both"/>
        <w:rPr>
          <w:szCs w:val="22"/>
          <w:lang w:val="en-AU"/>
        </w:rPr>
      </w:pPr>
      <w:r>
        <w:rPr>
          <w:szCs w:val="22"/>
        </w:rPr>
        <w:t xml:space="preserve">Loading dose: </w:t>
      </w:r>
      <w:r>
        <w:rPr>
          <w:szCs w:val="22"/>
          <w:lang w:val="en-AU"/>
        </w:rPr>
        <w:t xml:space="preserve">2 g/kg (20 </w:t>
      </w:r>
      <w:proofErr w:type="spellStart"/>
      <w:r>
        <w:rPr>
          <w:szCs w:val="22"/>
          <w:lang w:val="en-AU"/>
        </w:rPr>
        <w:t>mL</w:t>
      </w:r>
      <w:proofErr w:type="spellEnd"/>
      <w:r>
        <w:rPr>
          <w:szCs w:val="22"/>
          <w:lang w:val="en-AU"/>
        </w:rPr>
        <w:t xml:space="preserve">/kg) in divided doses over </w:t>
      </w:r>
      <w:r w:rsidR="00731C19">
        <w:rPr>
          <w:szCs w:val="22"/>
          <w:lang w:val="en-AU"/>
        </w:rPr>
        <w:t>2</w:t>
      </w:r>
      <w:r>
        <w:rPr>
          <w:szCs w:val="22"/>
          <w:lang w:val="en-AU"/>
        </w:rPr>
        <w:t xml:space="preserve"> to </w:t>
      </w:r>
      <w:r w:rsidR="00731C19">
        <w:rPr>
          <w:szCs w:val="22"/>
          <w:lang w:val="en-AU"/>
        </w:rPr>
        <w:t>4</w:t>
      </w:r>
      <w:r>
        <w:rPr>
          <w:szCs w:val="22"/>
          <w:lang w:val="en-AU"/>
        </w:rPr>
        <w:t xml:space="preserve"> consecutive days.</w:t>
      </w:r>
    </w:p>
    <w:p w:rsidR="00604CB9" w:rsidRDefault="00604CB9" w:rsidP="005B1F80">
      <w:pPr>
        <w:pStyle w:val="Lemm1"/>
        <w:jc w:val="both"/>
        <w:rPr>
          <w:szCs w:val="22"/>
          <w:lang w:val="en-AU"/>
        </w:rPr>
      </w:pPr>
      <w:r>
        <w:rPr>
          <w:szCs w:val="22"/>
          <w:lang w:val="en-AU"/>
        </w:rPr>
        <w:t xml:space="preserve">Maintenance dose: 1 g/kg administered over </w:t>
      </w:r>
      <w:r w:rsidR="00731C19">
        <w:rPr>
          <w:szCs w:val="22"/>
          <w:lang w:val="en-AU"/>
        </w:rPr>
        <w:t>1</w:t>
      </w:r>
      <w:r>
        <w:rPr>
          <w:szCs w:val="22"/>
          <w:lang w:val="en-AU"/>
        </w:rPr>
        <w:t xml:space="preserve"> day (10 </w:t>
      </w:r>
      <w:proofErr w:type="spellStart"/>
      <w:r>
        <w:rPr>
          <w:szCs w:val="22"/>
          <w:lang w:val="en-AU"/>
        </w:rPr>
        <w:t>mL</w:t>
      </w:r>
      <w:proofErr w:type="spellEnd"/>
      <w:r>
        <w:rPr>
          <w:szCs w:val="22"/>
          <w:lang w:val="en-AU"/>
        </w:rPr>
        <w:t xml:space="preserve">/kg) or divided into two doses of 500 mg/kg (5 </w:t>
      </w:r>
      <w:proofErr w:type="spellStart"/>
      <w:r>
        <w:rPr>
          <w:szCs w:val="22"/>
          <w:lang w:val="en-AU"/>
        </w:rPr>
        <w:t>mL</w:t>
      </w:r>
      <w:proofErr w:type="spellEnd"/>
      <w:r>
        <w:rPr>
          <w:szCs w:val="22"/>
          <w:lang w:val="en-AU"/>
        </w:rPr>
        <w:t xml:space="preserve">/kg) given on two consecutive days, every </w:t>
      </w:r>
      <w:r w:rsidR="00731C19">
        <w:rPr>
          <w:szCs w:val="22"/>
          <w:lang w:val="en-AU"/>
        </w:rPr>
        <w:t>3</w:t>
      </w:r>
      <w:r>
        <w:rPr>
          <w:szCs w:val="22"/>
          <w:lang w:val="en-AU"/>
        </w:rPr>
        <w:t xml:space="preserve"> weeks.</w:t>
      </w:r>
    </w:p>
    <w:p w:rsidR="00604CB9" w:rsidRDefault="00604CB9" w:rsidP="005B1F80">
      <w:pPr>
        <w:pStyle w:val="Lemm1"/>
        <w:jc w:val="both"/>
        <w:rPr>
          <w:szCs w:val="22"/>
        </w:rPr>
      </w:pPr>
      <w:r>
        <w:rPr>
          <w:szCs w:val="22"/>
        </w:rPr>
        <w:t xml:space="preserve">Only limited experience is available </w:t>
      </w:r>
      <w:r w:rsidR="00731C19">
        <w:rPr>
          <w:szCs w:val="22"/>
        </w:rPr>
        <w:t>of</w:t>
      </w:r>
      <w:r>
        <w:rPr>
          <w:szCs w:val="22"/>
        </w:rPr>
        <w:t xml:space="preserve"> use of intravenous </w:t>
      </w:r>
      <w:proofErr w:type="spellStart"/>
      <w:r>
        <w:rPr>
          <w:szCs w:val="22"/>
        </w:rPr>
        <w:t>immunoglobulins</w:t>
      </w:r>
      <w:proofErr w:type="spellEnd"/>
      <w:r>
        <w:rPr>
          <w:szCs w:val="22"/>
        </w:rPr>
        <w:t xml:space="preserve"> in children with CIDP.</w:t>
      </w:r>
    </w:p>
    <w:p w:rsidR="00604CB9" w:rsidRDefault="00604CB9" w:rsidP="005B1F80">
      <w:pPr>
        <w:pStyle w:val="Lemm1"/>
        <w:jc w:val="both"/>
        <w:rPr>
          <w:szCs w:val="22"/>
          <w:lang w:val="en-AU"/>
        </w:rPr>
      </w:pPr>
      <w:r>
        <w:rPr>
          <w:szCs w:val="22"/>
        </w:rPr>
        <w:t xml:space="preserve">Clinical studies of </w:t>
      </w:r>
      <w:r w:rsidR="00C556B3" w:rsidRPr="007A1703">
        <w:rPr>
          <w:rFonts w:cs="Arial"/>
          <w:szCs w:val="22"/>
          <w:lang w:val="en-AU"/>
        </w:rPr>
        <w:t>GAMUNEX</w:t>
      </w:r>
      <w:r w:rsidR="00C556B3" w:rsidRPr="007A1703">
        <w:rPr>
          <w:rFonts w:cs="Arial"/>
          <w:snapToGrid w:val="0"/>
          <w:szCs w:val="22"/>
          <w:vertAlign w:val="superscript"/>
          <w:lang w:val="en-AU" w:eastAsia="en-US"/>
        </w:rPr>
        <w:t>®</w:t>
      </w:r>
      <w:r>
        <w:rPr>
          <w:szCs w:val="22"/>
        </w:rPr>
        <w:t xml:space="preserve"> did not include sufficient numbers of subjects aged 65 and over to determine a precise treatment effect.</w:t>
      </w:r>
    </w:p>
    <w:p w:rsidR="00632318" w:rsidRDefault="00632318" w:rsidP="005B1F80">
      <w:pPr>
        <w:pStyle w:val="Lemm1"/>
        <w:jc w:val="both"/>
        <w:rPr>
          <w:szCs w:val="22"/>
        </w:rPr>
      </w:pPr>
    </w:p>
    <w:p w:rsidR="00632318" w:rsidRDefault="00632318" w:rsidP="005B1F80">
      <w:pPr>
        <w:pStyle w:val="Lemm1"/>
        <w:jc w:val="both"/>
        <w:rPr>
          <w:b/>
          <w:szCs w:val="22"/>
        </w:rPr>
      </w:pPr>
      <w:smartTag w:uri="urn:schemas-microsoft-com:office:smarttags" w:element="place">
        <w:smartTag w:uri="urn:schemas-microsoft-com:office:smarttags" w:element="City">
          <w:r w:rsidRPr="00F349CE">
            <w:rPr>
              <w:b/>
              <w:szCs w:val="22"/>
            </w:rPr>
            <w:t>Kawasaki</w:t>
          </w:r>
        </w:smartTag>
      </w:smartTag>
      <w:r w:rsidRPr="00F349CE">
        <w:rPr>
          <w:b/>
          <w:szCs w:val="22"/>
        </w:rPr>
        <w:t xml:space="preserve"> disease</w:t>
      </w:r>
    </w:p>
    <w:p w:rsidR="00632318" w:rsidRPr="00F349CE" w:rsidRDefault="00632318" w:rsidP="005B1F80">
      <w:pPr>
        <w:pStyle w:val="Lemm1"/>
        <w:jc w:val="both"/>
        <w:rPr>
          <w:szCs w:val="22"/>
        </w:rPr>
      </w:pPr>
      <w:r>
        <w:rPr>
          <w:szCs w:val="22"/>
        </w:rPr>
        <w:t xml:space="preserve">1.6 to 2 g/kg (16 to 20 </w:t>
      </w:r>
      <w:proofErr w:type="spellStart"/>
      <w:r>
        <w:rPr>
          <w:szCs w:val="22"/>
        </w:rPr>
        <w:t>mL</w:t>
      </w:r>
      <w:proofErr w:type="spellEnd"/>
      <w:r>
        <w:rPr>
          <w:szCs w:val="22"/>
        </w:rPr>
        <w:t xml:space="preserve">/kg) as a single infusion or in divided doses over </w:t>
      </w:r>
      <w:r w:rsidR="00731C19">
        <w:rPr>
          <w:szCs w:val="22"/>
        </w:rPr>
        <w:t>2</w:t>
      </w:r>
      <w:r>
        <w:rPr>
          <w:szCs w:val="22"/>
        </w:rPr>
        <w:t xml:space="preserve"> to </w:t>
      </w:r>
      <w:r w:rsidR="00731C19">
        <w:rPr>
          <w:szCs w:val="22"/>
        </w:rPr>
        <w:t>5</w:t>
      </w:r>
      <w:r>
        <w:rPr>
          <w:szCs w:val="22"/>
        </w:rPr>
        <w:t xml:space="preserve"> days.</w:t>
      </w:r>
    </w:p>
    <w:p w:rsidR="00604CB9" w:rsidRPr="00632318" w:rsidRDefault="00604CB9">
      <w:pPr>
        <w:pStyle w:val="Lemm1"/>
        <w:jc w:val="both"/>
        <w:rPr>
          <w:szCs w:val="22"/>
        </w:rPr>
      </w:pPr>
    </w:p>
    <w:p w:rsidR="0037530F" w:rsidRPr="007A1703" w:rsidRDefault="0037530F">
      <w:pPr>
        <w:pStyle w:val="Lemm1"/>
        <w:jc w:val="both"/>
        <w:rPr>
          <w:szCs w:val="22"/>
          <w:lang w:val="en-AU"/>
        </w:rPr>
      </w:pPr>
      <w:r w:rsidRPr="007A1703">
        <w:rPr>
          <w:b/>
          <w:szCs w:val="22"/>
          <w:lang w:val="en-AU"/>
        </w:rPr>
        <w:t>Administration</w:t>
      </w:r>
    </w:p>
    <w:p w:rsidR="0037530F" w:rsidRPr="007A1703" w:rsidRDefault="0037530F">
      <w:pPr>
        <w:pStyle w:val="Lemm1"/>
        <w:jc w:val="both"/>
        <w:rPr>
          <w:b/>
          <w:szCs w:val="22"/>
          <w:lang w:val="en-AU"/>
        </w:rPr>
      </w:pPr>
    </w:p>
    <w:p w:rsidR="0037530F" w:rsidRDefault="004C3586">
      <w:pPr>
        <w:pStyle w:val="Lemm1"/>
        <w:jc w:val="both"/>
        <w:rPr>
          <w:b/>
          <w:szCs w:val="22"/>
          <w:lang w:val="en-AU"/>
        </w:rPr>
      </w:pPr>
      <w:r w:rsidRPr="007A1703">
        <w:rPr>
          <w:rFonts w:cs="Arial"/>
          <w:b/>
          <w:szCs w:val="22"/>
          <w:lang w:val="en-AU"/>
        </w:rPr>
        <w:t>GAMUNEX</w:t>
      </w:r>
      <w:r w:rsidRPr="007A1703">
        <w:rPr>
          <w:rFonts w:cs="Arial"/>
          <w:b/>
          <w:snapToGrid w:val="0"/>
          <w:szCs w:val="22"/>
          <w:vertAlign w:val="superscript"/>
          <w:lang w:val="en-AU" w:eastAsia="en-US"/>
        </w:rPr>
        <w:t>®</w:t>
      </w:r>
      <w:r w:rsidR="0037530F" w:rsidRPr="007A1703">
        <w:rPr>
          <w:b/>
          <w:szCs w:val="22"/>
          <w:lang w:val="en-AU"/>
        </w:rPr>
        <w:t xml:space="preserve"> is not compatible with saline. If dilution is required, </w:t>
      </w:r>
      <w:r w:rsidRPr="007A1703">
        <w:rPr>
          <w:rFonts w:cs="Arial"/>
          <w:b/>
          <w:szCs w:val="22"/>
          <w:lang w:val="en-AU"/>
        </w:rPr>
        <w:t>GAMUNEX</w:t>
      </w:r>
      <w:r w:rsidRPr="007A1703">
        <w:rPr>
          <w:rFonts w:cs="Arial"/>
          <w:b/>
          <w:snapToGrid w:val="0"/>
          <w:szCs w:val="22"/>
          <w:vertAlign w:val="superscript"/>
          <w:lang w:val="en-AU" w:eastAsia="en-US"/>
        </w:rPr>
        <w:t>®</w:t>
      </w:r>
      <w:r w:rsidR="0037530F" w:rsidRPr="007A1703">
        <w:rPr>
          <w:b/>
          <w:szCs w:val="22"/>
          <w:lang w:val="en-AU"/>
        </w:rPr>
        <w:t xml:space="preserve"> may be diluted with 5% dextrose in water (D5/W). No other drug interactions or compatibilities have been evaluated.</w:t>
      </w:r>
    </w:p>
    <w:p w:rsidR="00601867" w:rsidRDefault="00601867">
      <w:pPr>
        <w:pStyle w:val="Lemm1"/>
        <w:jc w:val="both"/>
        <w:rPr>
          <w:b/>
          <w:szCs w:val="22"/>
          <w:lang w:val="en-AU"/>
        </w:rPr>
      </w:pPr>
    </w:p>
    <w:p w:rsidR="00601867" w:rsidRPr="005C1FFC" w:rsidRDefault="00601867" w:rsidP="00601867">
      <w:pPr>
        <w:pStyle w:val="BodyText3"/>
        <w:jc w:val="both"/>
        <w:rPr>
          <w:szCs w:val="22"/>
        </w:rPr>
      </w:pPr>
      <w:r w:rsidRPr="005C1FFC">
        <w:rPr>
          <w:szCs w:val="22"/>
        </w:rPr>
        <w:t>GAMUNEX</w:t>
      </w:r>
      <w:r w:rsidRPr="005C1FFC">
        <w:rPr>
          <w:rFonts w:cs="Arial"/>
          <w:b/>
          <w:snapToGrid w:val="0"/>
          <w:szCs w:val="22"/>
          <w:vertAlign w:val="superscript"/>
          <w:lang w:val="en-AU" w:eastAsia="en-US"/>
        </w:rPr>
        <w:t>®</w:t>
      </w:r>
      <w:r w:rsidRPr="005C1FFC">
        <w:rPr>
          <w:snapToGrid w:val="0"/>
          <w:szCs w:val="22"/>
          <w:vertAlign w:val="superscript"/>
        </w:rPr>
        <w:t xml:space="preserve"> </w:t>
      </w:r>
      <w:r w:rsidRPr="005C1FFC">
        <w:rPr>
          <w:szCs w:val="22"/>
        </w:rPr>
        <w:t>should be inspected visually for particulate matter and discoloration prior to administration, whenever solution and container permit.  Do not use if turbid and/or if discoloration is observed.</w:t>
      </w:r>
    </w:p>
    <w:p w:rsidR="00601867" w:rsidRPr="005C1FFC" w:rsidRDefault="00601867" w:rsidP="00601867">
      <w:pPr>
        <w:pStyle w:val="BodyText3"/>
        <w:jc w:val="both"/>
        <w:rPr>
          <w:szCs w:val="22"/>
        </w:rPr>
      </w:pPr>
    </w:p>
    <w:p w:rsidR="00601867" w:rsidRPr="005C1FFC" w:rsidRDefault="00601867" w:rsidP="00601867">
      <w:pPr>
        <w:pStyle w:val="BodyText3"/>
        <w:jc w:val="both"/>
        <w:rPr>
          <w:szCs w:val="22"/>
        </w:rPr>
      </w:pPr>
      <w:r w:rsidRPr="005C1FFC">
        <w:rPr>
          <w:szCs w:val="22"/>
        </w:rPr>
        <w:t>For intravenous or subcutaneous administration</w:t>
      </w:r>
      <w:r w:rsidR="00AC7656">
        <w:rPr>
          <w:szCs w:val="22"/>
        </w:rPr>
        <w:t>,</w:t>
      </w:r>
      <w:r w:rsidRPr="005C1FFC">
        <w:rPr>
          <w:szCs w:val="22"/>
        </w:rPr>
        <w:t xml:space="preserve"> GAMUNEX</w:t>
      </w:r>
      <w:r w:rsidRPr="005C1FFC">
        <w:rPr>
          <w:rFonts w:cs="Arial"/>
          <w:b/>
          <w:snapToGrid w:val="0"/>
          <w:szCs w:val="22"/>
          <w:vertAlign w:val="superscript"/>
          <w:lang w:val="en-AU" w:eastAsia="en-US"/>
        </w:rPr>
        <w:t>®</w:t>
      </w:r>
      <w:r w:rsidRPr="005C1FFC">
        <w:rPr>
          <w:szCs w:val="22"/>
        </w:rPr>
        <w:t xml:space="preserve"> should be at room temperature during administration.</w:t>
      </w:r>
    </w:p>
    <w:p w:rsidR="0037530F" w:rsidRPr="005C1FFC" w:rsidRDefault="0037530F">
      <w:pPr>
        <w:pStyle w:val="Lemm1"/>
        <w:jc w:val="both"/>
        <w:rPr>
          <w:szCs w:val="22"/>
          <w:lang w:val="en-AU"/>
        </w:rPr>
      </w:pPr>
    </w:p>
    <w:p w:rsidR="00DA3C17" w:rsidRPr="007A1703" w:rsidRDefault="00706D42" w:rsidP="00DA3C17">
      <w:pPr>
        <w:pStyle w:val="Lemm1"/>
        <w:jc w:val="both"/>
        <w:rPr>
          <w:szCs w:val="22"/>
          <w:lang w:val="en-AU"/>
        </w:rPr>
      </w:pPr>
      <w:r w:rsidRPr="005C1FFC">
        <w:rPr>
          <w:b/>
          <w:i/>
          <w:szCs w:val="22"/>
        </w:rPr>
        <w:t>Intravenous</w:t>
      </w:r>
      <w:r w:rsidR="00601867" w:rsidRPr="005C1FFC">
        <w:rPr>
          <w:b/>
          <w:i/>
          <w:szCs w:val="22"/>
        </w:rPr>
        <w:t xml:space="preserve"> (IV)</w:t>
      </w:r>
      <w:r w:rsidRPr="005C1FFC">
        <w:rPr>
          <w:b/>
          <w:i/>
          <w:szCs w:val="22"/>
        </w:rPr>
        <w:t>:</w:t>
      </w:r>
      <w:r>
        <w:rPr>
          <w:b/>
          <w:i/>
          <w:szCs w:val="22"/>
        </w:rPr>
        <w:t xml:space="preserve"> </w:t>
      </w:r>
      <w:r w:rsidR="00DA3C17" w:rsidRPr="007A1703">
        <w:rPr>
          <w:szCs w:val="22"/>
          <w:lang w:val="en-AU"/>
        </w:rPr>
        <w:t xml:space="preserve">It is recommended that </w:t>
      </w:r>
      <w:r w:rsidR="00DA3C17" w:rsidRPr="007A1703">
        <w:rPr>
          <w:rFonts w:cs="Arial"/>
          <w:szCs w:val="22"/>
          <w:lang w:val="en-AU"/>
        </w:rPr>
        <w:t>GAMUNEX</w:t>
      </w:r>
      <w:r w:rsidR="00DA3C17" w:rsidRPr="007A1703">
        <w:rPr>
          <w:rFonts w:cs="Arial"/>
          <w:snapToGrid w:val="0"/>
          <w:szCs w:val="22"/>
          <w:vertAlign w:val="superscript"/>
          <w:lang w:val="en-AU" w:eastAsia="en-US"/>
        </w:rPr>
        <w:t>®</w:t>
      </w:r>
      <w:r w:rsidR="00DA3C17" w:rsidRPr="007A1703">
        <w:rPr>
          <w:szCs w:val="22"/>
          <w:lang w:val="en-AU"/>
        </w:rPr>
        <w:t xml:space="preserve"> should initially be infused at a rate of 0.01 </w:t>
      </w:r>
      <w:proofErr w:type="spellStart"/>
      <w:r w:rsidR="00DA3C17" w:rsidRPr="007A1703">
        <w:rPr>
          <w:szCs w:val="22"/>
          <w:lang w:val="en-AU"/>
        </w:rPr>
        <w:t>mL</w:t>
      </w:r>
      <w:proofErr w:type="spellEnd"/>
      <w:r w:rsidR="00DA3C17" w:rsidRPr="007A1703">
        <w:rPr>
          <w:szCs w:val="22"/>
          <w:lang w:val="en-AU"/>
        </w:rPr>
        <w:t xml:space="preserve">/kg per minute (1 mg/kg per minute) for the first 30 minutes. If well-tolerated, the rate may be gradually increased to a maximum of 0.08 </w:t>
      </w:r>
      <w:proofErr w:type="spellStart"/>
      <w:r w:rsidR="00DA3C17" w:rsidRPr="007A1703">
        <w:rPr>
          <w:szCs w:val="22"/>
          <w:lang w:val="en-AU"/>
        </w:rPr>
        <w:t>mL</w:t>
      </w:r>
      <w:proofErr w:type="spellEnd"/>
      <w:r w:rsidR="00DA3C17" w:rsidRPr="007A1703">
        <w:rPr>
          <w:szCs w:val="22"/>
          <w:lang w:val="en-AU"/>
        </w:rPr>
        <w:t>/kg per minute (8 mg/kg per minute). If side effects occur, the rate may be reduced, or the infusion interrupted until symptoms subside. The infusion may then be resumed at the rate which is comfortable for the patient.</w:t>
      </w:r>
    </w:p>
    <w:p w:rsidR="00DA3C17" w:rsidRPr="007A1703" w:rsidRDefault="00DA3C17" w:rsidP="00DA3C17">
      <w:pPr>
        <w:pStyle w:val="Lemm1"/>
        <w:jc w:val="both"/>
        <w:rPr>
          <w:szCs w:val="22"/>
          <w:lang w:val="en-AU"/>
        </w:rPr>
      </w:pPr>
    </w:p>
    <w:p w:rsidR="00DA3C17" w:rsidRPr="007A1703" w:rsidRDefault="00DA3C17" w:rsidP="00DA3C17">
      <w:pPr>
        <w:pStyle w:val="Lemm1"/>
        <w:jc w:val="both"/>
        <w:rPr>
          <w:szCs w:val="22"/>
          <w:lang w:val="en-AU"/>
        </w:rPr>
      </w:pPr>
      <w:r w:rsidRPr="007A1703">
        <w:rPr>
          <w:szCs w:val="22"/>
          <w:lang w:val="en-AU"/>
        </w:rPr>
        <w:t xml:space="preserve">For patients judged to be at increased risk for developing renal dysfunction, it may be prudent to reduce the amount of product infused per unit time by infusing </w:t>
      </w:r>
      <w:r w:rsidRPr="007A1703">
        <w:rPr>
          <w:rFonts w:cs="Arial"/>
          <w:szCs w:val="22"/>
          <w:lang w:val="en-AU"/>
        </w:rPr>
        <w:t>GAMUNEX</w:t>
      </w:r>
      <w:r w:rsidRPr="007A1703">
        <w:rPr>
          <w:rFonts w:cs="Arial"/>
          <w:snapToGrid w:val="0"/>
          <w:szCs w:val="22"/>
          <w:vertAlign w:val="superscript"/>
          <w:lang w:val="en-AU" w:eastAsia="en-US"/>
        </w:rPr>
        <w:t>®</w:t>
      </w:r>
      <w:r w:rsidRPr="007A1703">
        <w:rPr>
          <w:szCs w:val="22"/>
          <w:lang w:val="en-AU"/>
        </w:rPr>
        <w:t xml:space="preserve"> </w:t>
      </w:r>
      <w:r w:rsidRPr="007A1703">
        <w:rPr>
          <w:snapToGrid w:val="0"/>
          <w:szCs w:val="22"/>
          <w:lang w:val="en-AU" w:eastAsia="en-US"/>
        </w:rPr>
        <w:t>(</w:t>
      </w:r>
      <w:r w:rsidRPr="007A1703">
        <w:rPr>
          <w:szCs w:val="22"/>
          <w:lang w:val="en-AU"/>
        </w:rPr>
        <w:t xml:space="preserve">human normal immunoglobulin intravenous, 10% </w:t>
      </w:r>
      <w:proofErr w:type="spellStart"/>
      <w:r w:rsidRPr="007A1703">
        <w:rPr>
          <w:szCs w:val="22"/>
          <w:lang w:val="en-AU"/>
        </w:rPr>
        <w:t>Caprylate</w:t>
      </w:r>
      <w:proofErr w:type="spellEnd"/>
      <w:r w:rsidRPr="007A1703">
        <w:rPr>
          <w:szCs w:val="22"/>
          <w:lang w:val="en-AU"/>
        </w:rPr>
        <w:t>/Chromatography Purified) at a rate less than 8 mg/kg/min (0.08 </w:t>
      </w:r>
      <w:proofErr w:type="spellStart"/>
      <w:r w:rsidRPr="007A1703">
        <w:rPr>
          <w:szCs w:val="22"/>
          <w:lang w:val="en-AU"/>
        </w:rPr>
        <w:t>mL</w:t>
      </w:r>
      <w:proofErr w:type="spellEnd"/>
      <w:r w:rsidRPr="007A1703">
        <w:rPr>
          <w:szCs w:val="22"/>
          <w:lang w:val="en-AU"/>
        </w:rPr>
        <w:t>/kg/min). No prospective data are presently available to identify a maximum safe dose, concentration, and rate of infusion in patients determined to be at increased risk of acute renal failure. In the absence of prospective data, recommended doses should not be exceeded and the concentration and infusion rate should be the minimum level practicable. Reduction in dose, concentration, and/or rate of administration in patients at risk of acute renal failure has been proposed in the literature in order to reduce the risk of acute renal failure.</w:t>
      </w:r>
    </w:p>
    <w:p w:rsidR="0037530F" w:rsidRPr="007A1703" w:rsidRDefault="0037530F">
      <w:pPr>
        <w:pStyle w:val="Lemm1"/>
        <w:jc w:val="both"/>
        <w:rPr>
          <w:szCs w:val="22"/>
          <w:lang w:val="en-AU"/>
        </w:rPr>
      </w:pPr>
    </w:p>
    <w:p w:rsidR="0037530F" w:rsidRPr="007A1703" w:rsidRDefault="0037530F">
      <w:pPr>
        <w:pStyle w:val="BodyText3"/>
        <w:jc w:val="both"/>
        <w:rPr>
          <w:sz w:val="20"/>
          <w:lang w:val="en-AU"/>
        </w:rPr>
      </w:pPr>
      <w:r w:rsidRPr="007A1703">
        <w:rPr>
          <w:szCs w:val="22"/>
          <w:lang w:val="en-AU"/>
        </w:rPr>
        <w:t xml:space="preserve">Only 18 gauge needles should be used to penetrate the stopper for dispensing product from 10mL vial sizes; 16 gauge needles or dispensing pins should only be used with 25 </w:t>
      </w:r>
      <w:proofErr w:type="spellStart"/>
      <w:r w:rsidRPr="007A1703">
        <w:rPr>
          <w:szCs w:val="22"/>
          <w:lang w:val="en-AU"/>
        </w:rPr>
        <w:t>mL</w:t>
      </w:r>
      <w:proofErr w:type="spellEnd"/>
      <w:r w:rsidRPr="007A1703">
        <w:rPr>
          <w:szCs w:val="22"/>
          <w:lang w:val="en-AU"/>
        </w:rPr>
        <w:t xml:space="preserve"> vial sizes and larger. Needles or dispensing pins should only be inserted within the stopper area delineated by the raised ring.  The stopper should be penetrated perpendicular to the plane of the stopper within the ring.</w:t>
      </w:r>
    </w:p>
    <w:p w:rsidR="0037530F" w:rsidRPr="007A1703" w:rsidRDefault="0037530F">
      <w:pPr>
        <w:pStyle w:val="BodyText3"/>
        <w:jc w:val="both"/>
        <w:rPr>
          <w:sz w:val="2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7530F" w:rsidRPr="007A1703">
        <w:tc>
          <w:tcPr>
            <w:tcW w:w="4428" w:type="dxa"/>
          </w:tcPr>
          <w:p w:rsidR="0037530F" w:rsidRPr="007A1703" w:rsidRDefault="004C3586">
            <w:pPr>
              <w:pStyle w:val="BodyText3"/>
              <w:jc w:val="both"/>
              <w:rPr>
                <w:sz w:val="20"/>
                <w:lang w:val="en-AU"/>
              </w:rPr>
            </w:pPr>
            <w:r w:rsidRPr="007A1703">
              <w:rPr>
                <w:rFonts w:cs="Arial"/>
                <w:sz w:val="20"/>
                <w:lang w:val="en-AU"/>
              </w:rPr>
              <w:t>GAMUNEX</w:t>
            </w:r>
            <w:r w:rsidRPr="007A1703">
              <w:rPr>
                <w:rFonts w:cs="Arial"/>
                <w:snapToGrid w:val="0"/>
                <w:sz w:val="20"/>
                <w:vertAlign w:val="superscript"/>
                <w:lang w:val="en-AU" w:eastAsia="en-US"/>
              </w:rPr>
              <w:t>®</w:t>
            </w:r>
            <w:r w:rsidR="0037530F" w:rsidRPr="007A1703">
              <w:rPr>
                <w:sz w:val="20"/>
                <w:lang w:val="en-AU"/>
              </w:rPr>
              <w:t xml:space="preserve"> vial size</w:t>
            </w:r>
          </w:p>
        </w:tc>
        <w:tc>
          <w:tcPr>
            <w:tcW w:w="4428" w:type="dxa"/>
          </w:tcPr>
          <w:p w:rsidR="0037530F" w:rsidRPr="007A1703" w:rsidRDefault="0037530F">
            <w:pPr>
              <w:pStyle w:val="BodyText3"/>
              <w:jc w:val="both"/>
              <w:rPr>
                <w:sz w:val="20"/>
                <w:lang w:val="en-AU"/>
              </w:rPr>
            </w:pPr>
            <w:r w:rsidRPr="007A1703">
              <w:rPr>
                <w:sz w:val="20"/>
                <w:lang w:val="en-AU"/>
              </w:rPr>
              <w:t>Gauge of needle to penetrate stopper</w:t>
            </w:r>
          </w:p>
        </w:tc>
      </w:tr>
      <w:tr w:rsidR="0037530F" w:rsidRPr="007A1703">
        <w:tc>
          <w:tcPr>
            <w:tcW w:w="4428" w:type="dxa"/>
          </w:tcPr>
          <w:p w:rsidR="0037530F" w:rsidRPr="007A1703" w:rsidRDefault="0037530F">
            <w:pPr>
              <w:pStyle w:val="BodyText3"/>
              <w:jc w:val="both"/>
              <w:rPr>
                <w:sz w:val="20"/>
                <w:lang w:val="en-AU"/>
              </w:rPr>
            </w:pPr>
            <w:r w:rsidRPr="007A1703">
              <w:rPr>
                <w:sz w:val="20"/>
                <w:lang w:val="en-AU"/>
              </w:rPr>
              <w:t xml:space="preserve">10 </w:t>
            </w:r>
            <w:proofErr w:type="spellStart"/>
            <w:r w:rsidRPr="007A1703">
              <w:rPr>
                <w:sz w:val="20"/>
                <w:lang w:val="en-AU"/>
              </w:rPr>
              <w:t>mL</w:t>
            </w:r>
            <w:proofErr w:type="spellEnd"/>
          </w:p>
        </w:tc>
        <w:tc>
          <w:tcPr>
            <w:tcW w:w="4428" w:type="dxa"/>
          </w:tcPr>
          <w:p w:rsidR="0037530F" w:rsidRPr="007A1703" w:rsidRDefault="0037530F">
            <w:pPr>
              <w:pStyle w:val="BodyText3"/>
              <w:jc w:val="both"/>
              <w:rPr>
                <w:sz w:val="20"/>
                <w:lang w:val="en-AU"/>
              </w:rPr>
            </w:pPr>
            <w:r w:rsidRPr="007A1703">
              <w:rPr>
                <w:sz w:val="20"/>
                <w:lang w:val="en-AU"/>
              </w:rPr>
              <w:t>18 gauge</w:t>
            </w:r>
          </w:p>
        </w:tc>
      </w:tr>
      <w:tr w:rsidR="0037530F" w:rsidRPr="007A1703">
        <w:tc>
          <w:tcPr>
            <w:tcW w:w="4428" w:type="dxa"/>
          </w:tcPr>
          <w:p w:rsidR="0037530F" w:rsidRPr="007A1703" w:rsidRDefault="0037530F">
            <w:pPr>
              <w:pStyle w:val="BodyText3"/>
              <w:jc w:val="both"/>
              <w:rPr>
                <w:sz w:val="20"/>
                <w:lang w:val="en-AU"/>
              </w:rPr>
            </w:pPr>
            <w:r w:rsidRPr="007A1703">
              <w:rPr>
                <w:sz w:val="20"/>
                <w:lang w:val="en-AU"/>
              </w:rPr>
              <w:t xml:space="preserve">25, 50, 100, 200 </w:t>
            </w:r>
            <w:proofErr w:type="spellStart"/>
            <w:r w:rsidRPr="007A1703">
              <w:rPr>
                <w:sz w:val="20"/>
                <w:lang w:val="en-AU"/>
              </w:rPr>
              <w:t>mL</w:t>
            </w:r>
            <w:proofErr w:type="spellEnd"/>
          </w:p>
        </w:tc>
        <w:tc>
          <w:tcPr>
            <w:tcW w:w="4428" w:type="dxa"/>
          </w:tcPr>
          <w:p w:rsidR="0037530F" w:rsidRPr="007A1703" w:rsidRDefault="0037530F">
            <w:pPr>
              <w:pStyle w:val="BodyText3"/>
              <w:jc w:val="both"/>
              <w:rPr>
                <w:sz w:val="20"/>
                <w:lang w:val="en-AU"/>
              </w:rPr>
            </w:pPr>
            <w:r w:rsidRPr="007A1703">
              <w:rPr>
                <w:sz w:val="20"/>
                <w:lang w:val="en-AU"/>
              </w:rPr>
              <w:t>16 gauge</w:t>
            </w:r>
          </w:p>
        </w:tc>
      </w:tr>
    </w:tbl>
    <w:p w:rsidR="0037530F" w:rsidRPr="007A1703" w:rsidRDefault="0037530F">
      <w:pPr>
        <w:pStyle w:val="BodyText3"/>
        <w:jc w:val="both"/>
        <w:rPr>
          <w:sz w:val="20"/>
          <w:lang w:val="en-AU"/>
        </w:rPr>
      </w:pPr>
    </w:p>
    <w:p w:rsidR="0037530F" w:rsidRPr="007A1703" w:rsidRDefault="0037530F">
      <w:pPr>
        <w:pStyle w:val="Lemm1"/>
        <w:jc w:val="both"/>
        <w:rPr>
          <w:szCs w:val="22"/>
          <w:lang w:val="en-AU"/>
        </w:rPr>
      </w:pPr>
      <w:r w:rsidRPr="007A1703">
        <w:rPr>
          <w:szCs w:val="22"/>
          <w:lang w:val="en-AU"/>
        </w:rPr>
        <w:lastRenderedPageBreak/>
        <w:t>Content of vials may be pooled under aseptic conditions into sterile infusion bags and infused within 8 hours after pooling.</w:t>
      </w:r>
    </w:p>
    <w:p w:rsidR="0037530F" w:rsidRPr="007A1703" w:rsidRDefault="0037530F">
      <w:pPr>
        <w:pStyle w:val="Lemm1"/>
        <w:jc w:val="both"/>
        <w:rPr>
          <w:szCs w:val="22"/>
          <w:lang w:val="en-AU"/>
        </w:rPr>
      </w:pPr>
    </w:p>
    <w:p w:rsidR="0037530F" w:rsidRPr="007A1703" w:rsidRDefault="0037530F">
      <w:pPr>
        <w:pStyle w:val="Lemm1"/>
        <w:jc w:val="both"/>
        <w:rPr>
          <w:szCs w:val="22"/>
          <w:lang w:val="en-AU"/>
        </w:rPr>
      </w:pPr>
      <w:r w:rsidRPr="007A1703">
        <w:rPr>
          <w:szCs w:val="22"/>
          <w:lang w:val="en-AU"/>
        </w:rPr>
        <w:t xml:space="preserve">It is recommended to infuse </w:t>
      </w:r>
      <w:r w:rsidR="004C3586" w:rsidRPr="007A1703">
        <w:rPr>
          <w:rFonts w:cs="Arial"/>
          <w:szCs w:val="22"/>
          <w:lang w:val="en-AU"/>
        </w:rPr>
        <w:t>GAMUNEX</w:t>
      </w:r>
      <w:r w:rsidR="004C3586" w:rsidRPr="007A1703">
        <w:rPr>
          <w:rFonts w:cs="Arial"/>
          <w:snapToGrid w:val="0"/>
          <w:szCs w:val="22"/>
          <w:vertAlign w:val="superscript"/>
          <w:lang w:val="en-AU" w:eastAsia="en-US"/>
        </w:rPr>
        <w:t>®</w:t>
      </w:r>
      <w:r w:rsidRPr="007A1703">
        <w:rPr>
          <w:szCs w:val="22"/>
          <w:lang w:val="en-AU"/>
        </w:rPr>
        <w:t xml:space="preserve"> using a separate line by itself, without mixing with </w:t>
      </w:r>
      <w:r w:rsidRPr="00601867">
        <w:rPr>
          <w:szCs w:val="22"/>
          <w:lang w:val="en-AU"/>
        </w:rPr>
        <w:t>other intravenous</w:t>
      </w:r>
      <w:r w:rsidRPr="007A1703">
        <w:rPr>
          <w:szCs w:val="22"/>
          <w:lang w:val="en-AU"/>
        </w:rPr>
        <w:t xml:space="preserve"> fluids or medications the subject might be receiving. </w:t>
      </w:r>
    </w:p>
    <w:p w:rsidR="0037530F" w:rsidRDefault="0037530F">
      <w:pPr>
        <w:pStyle w:val="Lemm1"/>
        <w:jc w:val="both"/>
        <w:rPr>
          <w:szCs w:val="22"/>
          <w:lang w:val="en-AU"/>
        </w:rPr>
      </w:pPr>
    </w:p>
    <w:p w:rsidR="00601867" w:rsidRPr="005C1FFC" w:rsidRDefault="00601867" w:rsidP="007A3AFF">
      <w:pPr>
        <w:pStyle w:val="Lemm1"/>
        <w:jc w:val="both"/>
        <w:rPr>
          <w:b/>
          <w:i/>
          <w:szCs w:val="22"/>
        </w:rPr>
      </w:pPr>
      <w:r w:rsidRPr="005C1FFC">
        <w:rPr>
          <w:b/>
          <w:i/>
          <w:szCs w:val="22"/>
        </w:rPr>
        <w:t>Subcutaneous (SC)</w:t>
      </w:r>
    </w:p>
    <w:p w:rsidR="006D6AE3" w:rsidRPr="006D6AE3" w:rsidRDefault="006D6AE3" w:rsidP="007A3AFF">
      <w:pPr>
        <w:pStyle w:val="BodyText2"/>
        <w:ind w:left="0" w:firstLine="0"/>
        <w:jc w:val="both"/>
        <w:rPr>
          <w:snapToGrid w:val="0"/>
          <w:color w:val="000000"/>
          <w:sz w:val="22"/>
          <w:szCs w:val="22"/>
          <w:u w:val="single"/>
        </w:rPr>
      </w:pPr>
      <w:r>
        <w:rPr>
          <w:rFonts w:cs="Arial"/>
          <w:sz w:val="22"/>
          <w:szCs w:val="22"/>
          <w:lang w:val="en-GB"/>
        </w:rPr>
        <w:t xml:space="preserve">Subcutaneous infusion for home treatment should only be used for replacement therapy in patients with PI and should be initiated by a physician experienced in the guidance of patients for home treatment. </w:t>
      </w:r>
      <w:r w:rsidRPr="006D6AE3">
        <w:rPr>
          <w:color w:val="000000"/>
          <w:sz w:val="22"/>
          <w:szCs w:val="22"/>
        </w:rPr>
        <w:t>Provide the patient with instructions on subcutaneous infusion for home treatment, if the</w:t>
      </w:r>
      <w:r>
        <w:rPr>
          <w:color w:val="000000"/>
          <w:sz w:val="22"/>
          <w:szCs w:val="22"/>
        </w:rPr>
        <w:t xml:space="preserve"> </w:t>
      </w:r>
      <w:r w:rsidRPr="006D6AE3">
        <w:rPr>
          <w:color w:val="000000"/>
          <w:sz w:val="22"/>
          <w:szCs w:val="22"/>
        </w:rPr>
        <w:t>physician believes that home administration is appropriate for the patient. Include the type of equipment to be used along with its maintenance, proper infusion techniques, selection of appropriate infusion sites (e.g., abdomen, thighs, upper arms, and/or lateral hip), maintenance of a treatment diary, and measures to be taken in case of adverse reactions in the patient instructions.</w:t>
      </w:r>
    </w:p>
    <w:p w:rsidR="007A4B4A" w:rsidRDefault="007A4B4A" w:rsidP="00601867">
      <w:pPr>
        <w:pStyle w:val="Text"/>
        <w:spacing w:after="0"/>
        <w:jc w:val="both"/>
        <w:rPr>
          <w:rFonts w:ascii="Arial" w:hAnsi="Arial" w:cs="Arial"/>
          <w:sz w:val="22"/>
          <w:szCs w:val="22"/>
          <w:lang w:val="en-GB"/>
        </w:rPr>
      </w:pPr>
    </w:p>
    <w:p w:rsidR="00601867" w:rsidRPr="005C1FFC" w:rsidRDefault="00601867" w:rsidP="00601867">
      <w:pPr>
        <w:pStyle w:val="Text"/>
        <w:spacing w:after="0"/>
        <w:jc w:val="both"/>
        <w:rPr>
          <w:rFonts w:ascii="Arial" w:hAnsi="Arial" w:cs="Arial"/>
          <w:sz w:val="22"/>
          <w:szCs w:val="22"/>
          <w:lang w:val="en-GB"/>
        </w:rPr>
      </w:pPr>
      <w:r w:rsidRPr="005C1FFC">
        <w:rPr>
          <w:rFonts w:ascii="Arial" w:hAnsi="Arial" w:cs="Arial"/>
          <w:sz w:val="22"/>
          <w:szCs w:val="22"/>
          <w:lang w:val="en-GB"/>
        </w:rPr>
        <w:t>It is recommended that GAMUNEX</w:t>
      </w:r>
      <w:r w:rsidR="005B1F80" w:rsidRPr="005C1FFC">
        <w:rPr>
          <w:rFonts w:cs="Arial"/>
          <w:snapToGrid w:val="0"/>
          <w:szCs w:val="22"/>
          <w:vertAlign w:val="superscript"/>
          <w:lang w:val="en-AU" w:eastAsia="en-US"/>
        </w:rPr>
        <w:t>®</w:t>
      </w:r>
      <w:r w:rsidRPr="005C1FFC">
        <w:rPr>
          <w:rFonts w:ascii="Arial" w:hAnsi="Arial" w:cs="Arial"/>
          <w:sz w:val="22"/>
          <w:szCs w:val="22"/>
          <w:lang w:val="en-GB"/>
        </w:rPr>
        <w:t xml:space="preserve"> should be infused at a rate of 20 </w:t>
      </w:r>
      <w:proofErr w:type="spellStart"/>
      <w:r w:rsidRPr="005C1FFC">
        <w:rPr>
          <w:rFonts w:ascii="Arial" w:hAnsi="Arial" w:cs="Arial"/>
          <w:sz w:val="22"/>
          <w:szCs w:val="22"/>
          <w:lang w:val="en-GB"/>
        </w:rPr>
        <w:t>mL</w:t>
      </w:r>
      <w:proofErr w:type="spellEnd"/>
      <w:r w:rsidRPr="005C1FFC">
        <w:rPr>
          <w:rFonts w:ascii="Arial" w:hAnsi="Arial" w:cs="Arial"/>
          <w:sz w:val="22"/>
          <w:szCs w:val="22"/>
          <w:lang w:val="en-GB"/>
        </w:rPr>
        <w:t xml:space="preserve">/hr per infusion site. </w:t>
      </w:r>
    </w:p>
    <w:p w:rsidR="00601867" w:rsidRPr="005C1FFC" w:rsidRDefault="00601867" w:rsidP="00601867">
      <w:pPr>
        <w:pStyle w:val="Text"/>
        <w:spacing w:after="0"/>
        <w:jc w:val="both"/>
        <w:rPr>
          <w:rFonts w:ascii="Arial" w:hAnsi="Arial" w:cs="Arial"/>
          <w:sz w:val="22"/>
          <w:szCs w:val="22"/>
          <w:u w:val="single"/>
          <w:lang w:val="en-GB"/>
        </w:rPr>
      </w:pPr>
    </w:p>
    <w:p w:rsidR="00601867" w:rsidRPr="00C25CDA" w:rsidRDefault="00601867" w:rsidP="00601867">
      <w:pPr>
        <w:pStyle w:val="Text"/>
        <w:spacing w:after="0"/>
        <w:jc w:val="both"/>
        <w:rPr>
          <w:rStyle w:val="A5"/>
          <w:rFonts w:ascii="Arial" w:hAnsi="Arial" w:cs="Arial"/>
          <w:color w:val="auto"/>
          <w:sz w:val="22"/>
          <w:szCs w:val="22"/>
          <w:lang w:val="en-US"/>
        </w:rPr>
      </w:pPr>
      <w:r w:rsidRPr="005C1FFC">
        <w:rPr>
          <w:rFonts w:ascii="Arial" w:hAnsi="Arial" w:cs="Arial"/>
          <w:sz w:val="22"/>
          <w:szCs w:val="22"/>
          <w:lang w:val="en-GB"/>
        </w:rPr>
        <w:t>In clinical study 060001, the mean volume administered per infusion site was 34</w:t>
      </w:r>
      <w:r w:rsidR="00931AFF" w:rsidRPr="005C1FFC">
        <w:rPr>
          <w:rFonts w:ascii="Arial" w:hAnsi="Arial" w:cs="Arial"/>
          <w:sz w:val="22"/>
          <w:szCs w:val="22"/>
          <w:lang w:val="en-GB"/>
        </w:rPr>
        <w:t xml:space="preserve"> </w:t>
      </w:r>
      <w:proofErr w:type="spellStart"/>
      <w:r w:rsidRPr="005C1FFC">
        <w:rPr>
          <w:rFonts w:ascii="Arial" w:hAnsi="Arial" w:cs="Arial"/>
          <w:sz w:val="22"/>
          <w:szCs w:val="22"/>
          <w:lang w:val="en-GB"/>
        </w:rPr>
        <w:t>mL</w:t>
      </w:r>
      <w:proofErr w:type="spellEnd"/>
      <w:r w:rsidRPr="005C1FFC">
        <w:rPr>
          <w:rFonts w:ascii="Arial" w:hAnsi="Arial" w:cs="Arial"/>
          <w:sz w:val="22"/>
          <w:szCs w:val="22"/>
          <w:lang w:val="en-GB"/>
        </w:rPr>
        <w:t xml:space="preserve"> (17-69</w:t>
      </w:r>
      <w:r w:rsidR="00931AFF" w:rsidRPr="005C1FFC">
        <w:rPr>
          <w:rFonts w:ascii="Arial" w:hAnsi="Arial" w:cs="Arial"/>
          <w:sz w:val="22"/>
          <w:szCs w:val="22"/>
          <w:lang w:val="en-GB"/>
        </w:rPr>
        <w:t xml:space="preserve"> </w:t>
      </w:r>
      <w:proofErr w:type="spellStart"/>
      <w:r w:rsidRPr="005C1FFC">
        <w:rPr>
          <w:rFonts w:ascii="Arial" w:hAnsi="Arial" w:cs="Arial"/>
          <w:sz w:val="22"/>
          <w:szCs w:val="22"/>
          <w:lang w:val="en-GB"/>
        </w:rPr>
        <w:t>mL</w:t>
      </w:r>
      <w:proofErr w:type="spellEnd"/>
      <w:r w:rsidRPr="005C1FFC">
        <w:rPr>
          <w:rFonts w:ascii="Arial" w:hAnsi="Arial" w:cs="Arial"/>
          <w:sz w:val="22"/>
          <w:szCs w:val="22"/>
          <w:lang w:val="en-GB"/>
        </w:rPr>
        <w:t xml:space="preserve">) and the majority of infusions were administered at a rate of 20 </w:t>
      </w:r>
      <w:proofErr w:type="spellStart"/>
      <w:r w:rsidRPr="005C1FFC">
        <w:rPr>
          <w:rFonts w:ascii="Arial" w:hAnsi="Arial" w:cs="Arial"/>
          <w:sz w:val="22"/>
          <w:szCs w:val="22"/>
          <w:lang w:val="en-GB"/>
        </w:rPr>
        <w:t>mL</w:t>
      </w:r>
      <w:proofErr w:type="spellEnd"/>
      <w:r w:rsidRPr="005C1FFC">
        <w:rPr>
          <w:rFonts w:ascii="Arial" w:hAnsi="Arial" w:cs="Arial"/>
          <w:sz w:val="22"/>
          <w:szCs w:val="22"/>
          <w:lang w:val="en-GB"/>
        </w:rPr>
        <w:t>/hr per site. Multiple simultaneous infusion sites were enabled by administration tubing and Y-site connection tubing.  Most subjects utilized 4 infusion sites per infusion with abdomen and thighs being the most commonly used sites.</w:t>
      </w:r>
    </w:p>
    <w:p w:rsidR="00601867" w:rsidRPr="005C1FFC" w:rsidRDefault="00601867" w:rsidP="00601867">
      <w:pPr>
        <w:pStyle w:val="Pa2"/>
        <w:jc w:val="both"/>
        <w:rPr>
          <w:rStyle w:val="A5"/>
          <w:rFonts w:ascii="Arial" w:hAnsi="Arial" w:cs="Arial"/>
          <w:color w:val="auto"/>
          <w:sz w:val="22"/>
          <w:szCs w:val="22"/>
        </w:rPr>
      </w:pP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Prior to use, allow the solution to reach ambient room temperature. GAMUNEX</w:t>
      </w:r>
      <w:r w:rsidR="005B1F80" w:rsidRPr="005C1FFC">
        <w:rPr>
          <w:rFonts w:cs="Arial"/>
          <w:snapToGrid w:val="0"/>
          <w:szCs w:val="22"/>
          <w:vertAlign w:val="superscript"/>
          <w:lang w:val="en-AU"/>
        </w:rPr>
        <w:t>®</w:t>
      </w:r>
      <w:r w:rsidRPr="005C1FFC">
        <w:rPr>
          <w:rStyle w:val="A6"/>
          <w:rFonts w:ascii="Arial" w:hAnsi="Arial" w:cs="Arial"/>
          <w:color w:val="auto"/>
          <w:sz w:val="22"/>
          <w:szCs w:val="22"/>
        </w:rPr>
        <w:t xml:space="preserve"> </w:t>
      </w:r>
      <w:r w:rsidRPr="005C1FFC">
        <w:rPr>
          <w:rStyle w:val="A5"/>
          <w:rFonts w:ascii="Arial" w:hAnsi="Arial" w:cs="Arial"/>
          <w:color w:val="auto"/>
          <w:sz w:val="22"/>
          <w:szCs w:val="22"/>
        </w:rPr>
        <w:t>should be inspected visually for discoloration and particulate matter prior to administration. DO NOT SHAKE. Do not use if the solution is cloudy or has particulates. Check the product expiration date on the vial. Do not use beyond the expiration date.</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1. Use aseptic technique when preparing and administering GAMUNEX</w:t>
      </w:r>
      <w:r w:rsidR="005B1F80" w:rsidRPr="005C1FFC">
        <w:rPr>
          <w:rFonts w:cs="Arial"/>
          <w:snapToGrid w:val="0"/>
          <w:szCs w:val="22"/>
          <w:vertAlign w:val="superscript"/>
          <w:lang w:val="en-AU"/>
        </w:rPr>
        <w:t>®</w:t>
      </w:r>
      <w:r w:rsidRPr="005C1FFC">
        <w:rPr>
          <w:rStyle w:val="A6"/>
          <w:rFonts w:ascii="Arial" w:hAnsi="Arial" w:cs="Arial"/>
          <w:color w:val="auto"/>
          <w:sz w:val="22"/>
          <w:szCs w:val="22"/>
        </w:rPr>
        <w:t xml:space="preserve"> </w:t>
      </w:r>
      <w:r w:rsidRPr="005C1FFC">
        <w:rPr>
          <w:rStyle w:val="A5"/>
          <w:rFonts w:ascii="Arial" w:hAnsi="Arial" w:cs="Arial"/>
          <w:color w:val="auto"/>
          <w:sz w:val="22"/>
          <w:szCs w:val="22"/>
        </w:rPr>
        <w:t>for injection.</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2. Remove the protective cap from the vial to expose the central portion of the rubber stopper.</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3. Wipe the rubber stopper with alcohol and allow to dry.</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4. Using a sterile syringe and needle, prepare to withdraw GAMUNEX</w:t>
      </w:r>
      <w:r w:rsidR="005B1F80" w:rsidRPr="005C1FFC">
        <w:rPr>
          <w:rFonts w:cs="Arial"/>
          <w:snapToGrid w:val="0"/>
          <w:szCs w:val="22"/>
          <w:vertAlign w:val="superscript"/>
          <w:lang w:val="en-AU"/>
        </w:rPr>
        <w:t>®</w:t>
      </w:r>
      <w:r w:rsidRPr="005C1FFC">
        <w:rPr>
          <w:rStyle w:val="A6"/>
          <w:rFonts w:ascii="Arial" w:hAnsi="Arial" w:cs="Arial"/>
          <w:color w:val="auto"/>
          <w:sz w:val="22"/>
          <w:szCs w:val="22"/>
        </w:rPr>
        <w:t xml:space="preserve"> </w:t>
      </w:r>
      <w:r w:rsidRPr="005C1FFC">
        <w:rPr>
          <w:rStyle w:val="A5"/>
          <w:rFonts w:ascii="Arial" w:hAnsi="Arial" w:cs="Arial"/>
          <w:color w:val="auto"/>
          <w:sz w:val="22"/>
          <w:szCs w:val="22"/>
        </w:rPr>
        <w:t>by first injecting air into the vial that is equivalent to the amount of GAMUNEX</w:t>
      </w:r>
      <w:r w:rsidR="005B1F80" w:rsidRPr="005C1FFC">
        <w:rPr>
          <w:rFonts w:cs="Arial"/>
          <w:snapToGrid w:val="0"/>
          <w:szCs w:val="22"/>
          <w:vertAlign w:val="superscript"/>
          <w:lang w:val="en-AU"/>
        </w:rPr>
        <w:t>®</w:t>
      </w:r>
      <w:r w:rsidRPr="005C1FFC">
        <w:rPr>
          <w:rStyle w:val="A6"/>
          <w:rFonts w:ascii="Arial" w:hAnsi="Arial" w:cs="Arial"/>
          <w:color w:val="auto"/>
          <w:sz w:val="22"/>
          <w:szCs w:val="22"/>
        </w:rPr>
        <w:t xml:space="preserve"> </w:t>
      </w:r>
      <w:r w:rsidRPr="005C1FFC">
        <w:rPr>
          <w:rStyle w:val="A5"/>
          <w:rFonts w:ascii="Arial" w:hAnsi="Arial" w:cs="Arial"/>
          <w:color w:val="auto"/>
          <w:sz w:val="22"/>
          <w:szCs w:val="22"/>
        </w:rPr>
        <w:t>to be withdrawn. Then withdraw the desired volume of GAMUNEX</w:t>
      </w:r>
      <w:r w:rsidR="005B1F80" w:rsidRPr="005C1FFC">
        <w:rPr>
          <w:rFonts w:cs="Arial"/>
          <w:snapToGrid w:val="0"/>
          <w:szCs w:val="22"/>
          <w:vertAlign w:val="superscript"/>
          <w:lang w:val="en-AU"/>
        </w:rPr>
        <w:t>®</w:t>
      </w:r>
      <w:r w:rsidRPr="005C1FFC">
        <w:rPr>
          <w:rStyle w:val="A5"/>
          <w:rFonts w:ascii="Arial" w:hAnsi="Arial" w:cs="Arial"/>
          <w:color w:val="auto"/>
          <w:sz w:val="22"/>
          <w:szCs w:val="22"/>
        </w:rPr>
        <w:t>. If multiple vials are required to achieve the desired dose, repeat this step. (Figure 1)</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5. Follow the manufacturer’s instructions for filling the pump reservoir and preparing the pump, administration tubing and Y-site connection tubing, if needed. Be sure to prime the administration tubing to ensure that no air is left in the tubing or needle by filling the tubing/needle with GAMUNEX</w:t>
      </w:r>
      <w:r w:rsidR="005B1F80" w:rsidRPr="005C1FFC">
        <w:rPr>
          <w:rFonts w:cs="Arial"/>
          <w:snapToGrid w:val="0"/>
          <w:szCs w:val="22"/>
          <w:vertAlign w:val="superscript"/>
          <w:lang w:val="en-AU"/>
        </w:rPr>
        <w:t>®</w:t>
      </w:r>
      <w:r w:rsidRPr="005C1FFC">
        <w:rPr>
          <w:rStyle w:val="A5"/>
          <w:rFonts w:ascii="Arial" w:hAnsi="Arial" w:cs="Arial"/>
          <w:color w:val="auto"/>
          <w:sz w:val="22"/>
          <w:szCs w:val="22"/>
        </w:rPr>
        <w:t>.</w:t>
      </w:r>
    </w:p>
    <w:p w:rsidR="00601867" w:rsidRPr="005C1FFC" w:rsidRDefault="00601867" w:rsidP="00601867">
      <w:pPr>
        <w:pStyle w:val="Pa2"/>
        <w:jc w:val="both"/>
        <w:rPr>
          <w:rStyle w:val="A5"/>
          <w:rFonts w:ascii="Arial" w:hAnsi="Arial" w:cs="Arial"/>
          <w:color w:val="auto"/>
          <w:sz w:val="22"/>
          <w:szCs w:val="22"/>
        </w:rPr>
      </w:pPr>
      <w:r w:rsidRPr="005C1FFC">
        <w:rPr>
          <w:rStyle w:val="A5"/>
          <w:rFonts w:ascii="Arial" w:hAnsi="Arial" w:cs="Arial"/>
          <w:color w:val="auto"/>
          <w:sz w:val="22"/>
          <w:szCs w:val="22"/>
        </w:rPr>
        <w:t>6. Select the number and location of injection sites. (Figure 2)</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7. Cleanse the injection site(s) with antiseptic solution using a circular motion working from the center of the site and moving to the outside. Sites should be clean, dry, and at least two inches apart. (Figure 3)</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8. Grasp the skin between two fingers and insert the needle into the subcutaneous tissue. (Figure 4)</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9</w:t>
      </w:r>
      <w:r w:rsidR="006022B4">
        <w:rPr>
          <w:rStyle w:val="A5"/>
          <w:rFonts w:ascii="Arial" w:hAnsi="Arial" w:cs="Arial"/>
          <w:color w:val="auto"/>
          <w:sz w:val="22"/>
          <w:szCs w:val="22"/>
        </w:rPr>
        <w:t>.</w:t>
      </w:r>
      <w:r w:rsidRPr="005C1FFC">
        <w:rPr>
          <w:rStyle w:val="A5"/>
          <w:rFonts w:ascii="Arial" w:hAnsi="Arial" w:cs="Arial"/>
          <w:color w:val="auto"/>
          <w:sz w:val="22"/>
          <w:szCs w:val="22"/>
        </w:rPr>
        <w:t xml:space="preserve"> Repeat priming and needle insertion steps using a new needle, administration tubing and a new infusion site. Secure the needle in place by applying sterile gauze or transparent dressing over the site. (Figure 5)</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10.</w:t>
      </w:r>
      <w:r w:rsidR="006022B4">
        <w:rPr>
          <w:rStyle w:val="A5"/>
          <w:rFonts w:ascii="Arial" w:hAnsi="Arial" w:cs="Arial"/>
          <w:color w:val="auto"/>
          <w:sz w:val="22"/>
          <w:szCs w:val="22"/>
        </w:rPr>
        <w:t xml:space="preserve"> </w:t>
      </w:r>
      <w:r w:rsidRPr="005C1FFC">
        <w:rPr>
          <w:rStyle w:val="A5"/>
          <w:rFonts w:ascii="Arial" w:hAnsi="Arial" w:cs="Arial"/>
          <w:color w:val="auto"/>
          <w:sz w:val="22"/>
          <w:szCs w:val="22"/>
        </w:rPr>
        <w:t>If using multiple, simultaneous injection sites, use Y-site connection tubing and secure to the administration tubing.</w:t>
      </w:r>
    </w:p>
    <w:p w:rsidR="00601867" w:rsidRPr="005C1FFC" w:rsidRDefault="00601867" w:rsidP="00601867">
      <w:pPr>
        <w:pStyle w:val="Pa2"/>
        <w:jc w:val="both"/>
        <w:rPr>
          <w:rFonts w:ascii="Arial" w:hAnsi="Arial" w:cs="Arial"/>
          <w:sz w:val="22"/>
          <w:szCs w:val="22"/>
        </w:rPr>
      </w:pPr>
      <w:r w:rsidRPr="005C1FFC">
        <w:rPr>
          <w:rStyle w:val="A5"/>
          <w:rFonts w:ascii="Arial" w:hAnsi="Arial" w:cs="Arial"/>
          <w:color w:val="auto"/>
          <w:sz w:val="22"/>
          <w:szCs w:val="22"/>
        </w:rPr>
        <w:t>11. Infuse GAMUNEX</w:t>
      </w:r>
      <w:r w:rsidR="005B1F80" w:rsidRPr="005C1FFC">
        <w:rPr>
          <w:rFonts w:cs="Arial"/>
          <w:snapToGrid w:val="0"/>
          <w:szCs w:val="22"/>
          <w:vertAlign w:val="superscript"/>
          <w:lang w:val="en-AU"/>
        </w:rPr>
        <w:t>®</w:t>
      </w:r>
      <w:r w:rsidRPr="005C1FFC">
        <w:rPr>
          <w:rStyle w:val="A5"/>
          <w:rFonts w:ascii="Arial" w:hAnsi="Arial" w:cs="Arial"/>
          <w:color w:val="auto"/>
          <w:sz w:val="22"/>
          <w:szCs w:val="22"/>
        </w:rPr>
        <w:t xml:space="preserve"> following the manufacturer’s instructions for the pump. (Figure 6)</w:t>
      </w:r>
    </w:p>
    <w:p w:rsidR="00601867" w:rsidRPr="002B19C6" w:rsidRDefault="00601867" w:rsidP="00601867">
      <w:pPr>
        <w:pStyle w:val="Text"/>
        <w:jc w:val="both"/>
        <w:rPr>
          <w:rStyle w:val="A5"/>
          <w:rFonts w:ascii="Arial" w:hAnsi="Arial" w:cs="Arial"/>
          <w:color w:val="auto"/>
          <w:sz w:val="22"/>
          <w:szCs w:val="22"/>
          <w:highlight w:val="yellow"/>
        </w:rPr>
      </w:pPr>
    </w:p>
    <w:p w:rsidR="00601867" w:rsidRPr="002B19C6" w:rsidRDefault="00601867" w:rsidP="00601867">
      <w:pPr>
        <w:pStyle w:val="Lemm1"/>
        <w:jc w:val="both"/>
        <w:rPr>
          <w:rFonts w:ascii="Times New Roman" w:hAnsi="Times New Roman"/>
          <w:snapToGrid w:val="0"/>
          <w:sz w:val="20"/>
          <w:highlight w:val="yellow"/>
          <w:vertAlign w:val="superscript"/>
        </w:rPr>
      </w:pPr>
    </w:p>
    <w:p w:rsidR="00601867" w:rsidRPr="002B19C6" w:rsidRDefault="00601867" w:rsidP="00601867">
      <w:pPr>
        <w:pStyle w:val="Lemm1"/>
        <w:jc w:val="both"/>
        <w:rPr>
          <w:rFonts w:ascii="Times New Roman" w:hAnsi="Times New Roman"/>
          <w:snapToGrid w:val="0"/>
          <w:sz w:val="20"/>
          <w:highlight w:val="yellow"/>
          <w:vertAlign w:val="superscript"/>
        </w:rPr>
      </w:pPr>
    </w:p>
    <w:p w:rsidR="00601867" w:rsidRPr="005C1FFC" w:rsidRDefault="001A2734" w:rsidP="00601867">
      <w:pPr>
        <w:pStyle w:val="Lemm1"/>
        <w:jc w:val="both"/>
        <w:rPr>
          <w:rFonts w:ascii="Times New Roman" w:hAnsi="Times New Roman"/>
          <w:snapToGrid w:val="0"/>
          <w:color w:val="FF0000"/>
          <w:sz w:val="20"/>
          <w:vertAlign w:val="superscript"/>
        </w:rPr>
      </w:pPr>
      <w:r>
        <w:rPr>
          <w:rFonts w:ascii="Times New Roman" w:hAnsi="Times New Roman"/>
          <w:noProof/>
          <w:color w:val="FF0000"/>
          <w:sz w:val="20"/>
          <w:vertAlign w:val="superscript"/>
          <w:lang w:val="en-AU"/>
        </w:rPr>
        <w:drawing>
          <wp:inline distT="0" distB="0" distL="0" distR="0">
            <wp:extent cx="5486400" cy="4089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86400" cy="4089400"/>
                    </a:xfrm>
                    <a:prstGeom prst="rect">
                      <a:avLst/>
                    </a:prstGeom>
                    <a:noFill/>
                    <a:ln w="9525">
                      <a:noFill/>
                      <a:miter lim="800000"/>
                      <a:headEnd/>
                      <a:tailEnd/>
                    </a:ln>
                  </pic:spPr>
                </pic:pic>
              </a:graphicData>
            </a:graphic>
          </wp:inline>
        </w:drawing>
      </w:r>
    </w:p>
    <w:p w:rsidR="00601867" w:rsidRPr="005C1FFC" w:rsidRDefault="00601867">
      <w:pPr>
        <w:pStyle w:val="Lemm1"/>
        <w:jc w:val="both"/>
        <w:rPr>
          <w:szCs w:val="22"/>
          <w:lang w:val="en-AU"/>
        </w:rPr>
      </w:pPr>
    </w:p>
    <w:p w:rsidR="00601867" w:rsidRPr="005C1FFC" w:rsidRDefault="00601867">
      <w:pPr>
        <w:pStyle w:val="Lemm1"/>
        <w:jc w:val="both"/>
        <w:rPr>
          <w:b/>
          <w:i/>
          <w:szCs w:val="22"/>
        </w:rPr>
      </w:pPr>
      <w:r w:rsidRPr="005C1FFC">
        <w:rPr>
          <w:b/>
          <w:i/>
          <w:szCs w:val="22"/>
        </w:rPr>
        <w:t>General</w:t>
      </w:r>
    </w:p>
    <w:p w:rsidR="0037530F" w:rsidRPr="007A1703" w:rsidRDefault="0037530F">
      <w:pPr>
        <w:pStyle w:val="Lemm1"/>
        <w:jc w:val="both"/>
        <w:rPr>
          <w:szCs w:val="22"/>
          <w:lang w:val="en-AU"/>
        </w:rPr>
      </w:pPr>
      <w:r w:rsidRPr="007A1703">
        <w:rPr>
          <w:szCs w:val="22"/>
          <w:lang w:val="en-AU"/>
        </w:rPr>
        <w:t>A number of factors could reduce the efficacy of this product or even result in an ill effect following its use. These include improper storage and handling of the product, diagnosis, dosage, method of administration, and biological differences in individual subjects. Because of these factors, it is important that this product be stored properly and that the directions be followed carefully during use.</w:t>
      </w:r>
    </w:p>
    <w:p w:rsidR="00172223" w:rsidRPr="007A1703" w:rsidRDefault="00172223" w:rsidP="00172223">
      <w:pPr>
        <w:pStyle w:val="Lemm1"/>
        <w:jc w:val="both"/>
        <w:rPr>
          <w:szCs w:val="22"/>
          <w:lang w:val="en-AU"/>
        </w:rPr>
      </w:pPr>
    </w:p>
    <w:p w:rsidR="00172223" w:rsidRPr="007A1703" w:rsidRDefault="00172223" w:rsidP="00172223">
      <w:pPr>
        <w:pStyle w:val="Lemm1"/>
        <w:jc w:val="both"/>
        <w:rPr>
          <w:szCs w:val="22"/>
          <w:lang w:val="en-AU"/>
        </w:rPr>
      </w:pPr>
      <w:r w:rsidRPr="007A1703">
        <w:rPr>
          <w:szCs w:val="22"/>
          <w:lang w:val="en-AU"/>
        </w:rPr>
        <w:t>Any vial that has been entered should be used promptly. Partially used vials should be discarded. Visually inspect each bottle before use. Do not use if turbid. Solution that has been frozen should not be used.</w:t>
      </w:r>
    </w:p>
    <w:p w:rsidR="00EE34FD" w:rsidRDefault="00EE34FD">
      <w:pPr>
        <w:pStyle w:val="Lemm1"/>
        <w:jc w:val="both"/>
        <w:rPr>
          <w:b/>
          <w:szCs w:val="22"/>
          <w:lang w:val="en-AU"/>
        </w:rPr>
      </w:pPr>
    </w:p>
    <w:p w:rsidR="0037530F" w:rsidRDefault="0057078D">
      <w:pPr>
        <w:pStyle w:val="Lemm1"/>
        <w:jc w:val="both"/>
        <w:rPr>
          <w:b/>
          <w:szCs w:val="22"/>
          <w:lang w:val="en-AU"/>
        </w:rPr>
      </w:pPr>
      <w:r w:rsidRPr="007A1703">
        <w:rPr>
          <w:b/>
          <w:szCs w:val="22"/>
          <w:lang w:val="en-AU"/>
        </w:rPr>
        <w:t>OVERDOSAGE</w:t>
      </w:r>
    </w:p>
    <w:p w:rsidR="00433C47" w:rsidRPr="007A1703" w:rsidRDefault="00433C47">
      <w:pPr>
        <w:pStyle w:val="Lemm1"/>
        <w:jc w:val="both"/>
        <w:rPr>
          <w:b/>
          <w:szCs w:val="22"/>
          <w:lang w:val="en-AU"/>
        </w:rPr>
      </w:pPr>
    </w:p>
    <w:p w:rsidR="0057078D" w:rsidRPr="007A1703" w:rsidRDefault="0057078D">
      <w:pPr>
        <w:pStyle w:val="Lemm1"/>
        <w:jc w:val="both"/>
        <w:rPr>
          <w:szCs w:val="22"/>
          <w:lang w:val="en-AU"/>
        </w:rPr>
      </w:pPr>
      <w:proofErr w:type="spellStart"/>
      <w:r w:rsidRPr="007A1703">
        <w:rPr>
          <w:szCs w:val="22"/>
          <w:lang w:val="en-AU"/>
        </w:rPr>
        <w:t>Overdosage</w:t>
      </w:r>
      <w:proofErr w:type="spellEnd"/>
      <w:r w:rsidRPr="007A1703">
        <w:rPr>
          <w:szCs w:val="22"/>
          <w:lang w:val="en-AU"/>
        </w:rPr>
        <w:t xml:space="preserve"> may lead to fluid overload and </w:t>
      </w:r>
      <w:proofErr w:type="spellStart"/>
      <w:r w:rsidRPr="007A1703">
        <w:rPr>
          <w:szCs w:val="22"/>
          <w:lang w:val="en-AU"/>
        </w:rPr>
        <w:t>hyperviscosity</w:t>
      </w:r>
      <w:proofErr w:type="spellEnd"/>
      <w:r w:rsidRPr="007A1703">
        <w:rPr>
          <w:szCs w:val="22"/>
          <w:lang w:val="en-AU"/>
        </w:rPr>
        <w:t xml:space="preserve"> particularly in patients at risk including elderly patients and patients with renal impairment. </w:t>
      </w:r>
    </w:p>
    <w:p w:rsidR="0057078D" w:rsidRPr="007A1703" w:rsidRDefault="0057078D">
      <w:pPr>
        <w:pStyle w:val="Lemm1"/>
        <w:jc w:val="both"/>
        <w:rPr>
          <w:szCs w:val="22"/>
          <w:lang w:val="en-AU"/>
        </w:rPr>
      </w:pPr>
    </w:p>
    <w:p w:rsidR="0037530F" w:rsidRDefault="000A4ED0">
      <w:pPr>
        <w:pStyle w:val="Lemm1"/>
        <w:jc w:val="both"/>
        <w:rPr>
          <w:b/>
          <w:szCs w:val="22"/>
          <w:lang w:val="en-AU"/>
        </w:rPr>
      </w:pPr>
      <w:r>
        <w:rPr>
          <w:b/>
          <w:szCs w:val="22"/>
          <w:lang w:val="en-AU"/>
        </w:rPr>
        <w:br w:type="page"/>
      </w:r>
      <w:r w:rsidR="0057078D" w:rsidRPr="007A1703">
        <w:rPr>
          <w:b/>
          <w:szCs w:val="22"/>
          <w:lang w:val="en-AU"/>
        </w:rPr>
        <w:lastRenderedPageBreak/>
        <w:t>PRESENTATION</w:t>
      </w:r>
    </w:p>
    <w:p w:rsidR="00433C47" w:rsidRPr="007A1703" w:rsidRDefault="00433C47">
      <w:pPr>
        <w:pStyle w:val="Lemm1"/>
        <w:jc w:val="both"/>
        <w:rPr>
          <w:b/>
          <w:szCs w:val="22"/>
          <w:lang w:val="en-AU"/>
        </w:rPr>
      </w:pPr>
    </w:p>
    <w:p w:rsidR="0037530F" w:rsidRPr="007A1703" w:rsidRDefault="004C3586">
      <w:pPr>
        <w:pStyle w:val="Lemm1"/>
        <w:jc w:val="both"/>
        <w:rPr>
          <w:szCs w:val="22"/>
          <w:lang w:val="en-AU"/>
        </w:rPr>
      </w:pPr>
      <w:r w:rsidRPr="007A1703">
        <w:rPr>
          <w:rFonts w:cs="Arial"/>
          <w:szCs w:val="22"/>
          <w:lang w:val="en-AU"/>
        </w:rPr>
        <w:t>GAMUNEX</w:t>
      </w:r>
      <w:r w:rsidRPr="007A1703">
        <w:rPr>
          <w:rFonts w:cs="Arial"/>
          <w:snapToGrid w:val="0"/>
          <w:szCs w:val="22"/>
          <w:vertAlign w:val="superscript"/>
          <w:lang w:val="en-AU" w:eastAsia="en-US"/>
        </w:rPr>
        <w:t>®</w:t>
      </w:r>
      <w:r w:rsidR="0037530F" w:rsidRPr="007A1703">
        <w:rPr>
          <w:szCs w:val="22"/>
          <w:lang w:val="en-AU"/>
        </w:rPr>
        <w:t xml:space="preserve"> </w:t>
      </w:r>
      <w:r w:rsidR="0037530F" w:rsidRPr="005C1FFC">
        <w:rPr>
          <w:szCs w:val="22"/>
          <w:lang w:val="en-AU"/>
        </w:rPr>
        <w:t>is su</w:t>
      </w:r>
      <w:r w:rsidR="0037530F" w:rsidRPr="007A1703">
        <w:rPr>
          <w:szCs w:val="22"/>
          <w:lang w:val="en-AU"/>
        </w:rPr>
        <w:t>pplied in the following sizes:</w:t>
      </w:r>
    </w:p>
    <w:p w:rsidR="0037530F" w:rsidRPr="007A1703" w:rsidRDefault="0037530F">
      <w:pPr>
        <w:pStyle w:val="Lemm1"/>
        <w:jc w:val="both"/>
        <w:rPr>
          <w:szCs w:val="22"/>
          <w:lang w:val="en-AU"/>
        </w:rPr>
      </w:pPr>
    </w:p>
    <w:p w:rsidR="0037530F" w:rsidRPr="007A1703" w:rsidRDefault="0037530F">
      <w:pPr>
        <w:pStyle w:val="Lemm1"/>
        <w:tabs>
          <w:tab w:val="right" w:pos="-3330"/>
          <w:tab w:val="center" w:pos="2520"/>
          <w:tab w:val="center" w:pos="4320"/>
        </w:tabs>
        <w:jc w:val="both"/>
        <w:rPr>
          <w:szCs w:val="22"/>
          <w:lang w:val="en-AU"/>
        </w:rPr>
      </w:pPr>
      <w:r w:rsidRPr="007A1703">
        <w:rPr>
          <w:szCs w:val="22"/>
          <w:lang w:val="en-AU"/>
        </w:rPr>
        <w:t>Size</w:t>
      </w:r>
      <w:r w:rsidRPr="007A1703">
        <w:rPr>
          <w:szCs w:val="22"/>
          <w:lang w:val="en-AU"/>
        </w:rPr>
        <w:tab/>
        <w:t xml:space="preserve"> Grams Protein</w:t>
      </w:r>
    </w:p>
    <w:p w:rsidR="0037530F" w:rsidRPr="007A1703" w:rsidRDefault="0037530F">
      <w:pPr>
        <w:pStyle w:val="Lemm1"/>
        <w:tabs>
          <w:tab w:val="right" w:pos="2880"/>
          <w:tab w:val="right" w:pos="4320"/>
        </w:tabs>
        <w:jc w:val="both"/>
        <w:rPr>
          <w:szCs w:val="22"/>
          <w:lang w:val="en-AU"/>
        </w:rPr>
      </w:pPr>
      <w:r w:rsidRPr="007A1703">
        <w:rPr>
          <w:szCs w:val="22"/>
          <w:lang w:val="en-AU"/>
        </w:rPr>
        <w:t xml:space="preserve">10 </w:t>
      </w:r>
      <w:proofErr w:type="spellStart"/>
      <w:r w:rsidRPr="007A1703">
        <w:rPr>
          <w:szCs w:val="22"/>
          <w:lang w:val="en-AU"/>
        </w:rPr>
        <w:t>mL</w:t>
      </w:r>
      <w:proofErr w:type="spellEnd"/>
      <w:r w:rsidRPr="007A1703">
        <w:rPr>
          <w:szCs w:val="22"/>
          <w:lang w:val="en-AU"/>
        </w:rPr>
        <w:tab/>
        <w:t>1.0</w:t>
      </w:r>
    </w:p>
    <w:p w:rsidR="0037530F" w:rsidRPr="007A1703" w:rsidRDefault="0037530F">
      <w:pPr>
        <w:pStyle w:val="Lemm1"/>
        <w:tabs>
          <w:tab w:val="right" w:pos="2880"/>
          <w:tab w:val="right" w:pos="4320"/>
        </w:tabs>
        <w:jc w:val="both"/>
        <w:rPr>
          <w:szCs w:val="22"/>
          <w:lang w:val="en-AU"/>
        </w:rPr>
      </w:pPr>
      <w:r w:rsidRPr="007A1703">
        <w:rPr>
          <w:szCs w:val="22"/>
          <w:lang w:val="en-AU"/>
        </w:rPr>
        <w:t xml:space="preserve">25 </w:t>
      </w:r>
      <w:proofErr w:type="spellStart"/>
      <w:r w:rsidRPr="007A1703">
        <w:rPr>
          <w:szCs w:val="22"/>
          <w:lang w:val="en-AU"/>
        </w:rPr>
        <w:t>mL</w:t>
      </w:r>
      <w:proofErr w:type="spellEnd"/>
      <w:r w:rsidRPr="007A1703">
        <w:rPr>
          <w:szCs w:val="22"/>
          <w:lang w:val="en-AU"/>
        </w:rPr>
        <w:tab/>
        <w:t>2.5</w:t>
      </w:r>
    </w:p>
    <w:p w:rsidR="0037530F" w:rsidRPr="007A1703" w:rsidRDefault="0037530F">
      <w:pPr>
        <w:pStyle w:val="Lemm1"/>
        <w:tabs>
          <w:tab w:val="right" w:pos="2880"/>
          <w:tab w:val="right" w:pos="4320"/>
        </w:tabs>
        <w:jc w:val="both"/>
        <w:rPr>
          <w:szCs w:val="22"/>
          <w:lang w:val="en-AU"/>
        </w:rPr>
      </w:pPr>
      <w:r w:rsidRPr="007A1703">
        <w:rPr>
          <w:szCs w:val="22"/>
          <w:lang w:val="en-AU"/>
        </w:rPr>
        <w:t xml:space="preserve">50 </w:t>
      </w:r>
      <w:proofErr w:type="spellStart"/>
      <w:r w:rsidRPr="007A1703">
        <w:rPr>
          <w:szCs w:val="22"/>
          <w:lang w:val="en-AU"/>
        </w:rPr>
        <w:t>mL</w:t>
      </w:r>
      <w:proofErr w:type="spellEnd"/>
      <w:r w:rsidRPr="007A1703">
        <w:rPr>
          <w:szCs w:val="22"/>
          <w:lang w:val="en-AU"/>
        </w:rPr>
        <w:tab/>
        <w:t>5.0</w:t>
      </w:r>
    </w:p>
    <w:p w:rsidR="0037530F" w:rsidRPr="007A1703" w:rsidRDefault="0037530F">
      <w:pPr>
        <w:pStyle w:val="Lemm1"/>
        <w:tabs>
          <w:tab w:val="right" w:pos="2880"/>
          <w:tab w:val="right" w:pos="4320"/>
        </w:tabs>
        <w:jc w:val="both"/>
        <w:rPr>
          <w:szCs w:val="22"/>
          <w:lang w:val="en-AU"/>
        </w:rPr>
      </w:pPr>
      <w:r w:rsidRPr="007A1703">
        <w:rPr>
          <w:szCs w:val="22"/>
          <w:lang w:val="en-AU"/>
        </w:rPr>
        <w:t xml:space="preserve">100 </w:t>
      </w:r>
      <w:proofErr w:type="spellStart"/>
      <w:r w:rsidRPr="007A1703">
        <w:rPr>
          <w:szCs w:val="22"/>
          <w:lang w:val="en-AU"/>
        </w:rPr>
        <w:t>mL</w:t>
      </w:r>
      <w:proofErr w:type="spellEnd"/>
      <w:r w:rsidRPr="007A1703">
        <w:rPr>
          <w:szCs w:val="22"/>
          <w:lang w:val="en-AU"/>
        </w:rPr>
        <w:tab/>
        <w:t>10.0</w:t>
      </w:r>
    </w:p>
    <w:p w:rsidR="0037530F" w:rsidRDefault="0037530F">
      <w:pPr>
        <w:pStyle w:val="Lemm1"/>
        <w:tabs>
          <w:tab w:val="right" w:pos="2880"/>
          <w:tab w:val="right" w:pos="4320"/>
        </w:tabs>
        <w:jc w:val="both"/>
        <w:rPr>
          <w:szCs w:val="22"/>
          <w:lang w:val="en-AU"/>
        </w:rPr>
      </w:pPr>
      <w:r w:rsidRPr="007A1703">
        <w:rPr>
          <w:szCs w:val="22"/>
          <w:lang w:val="en-AU"/>
        </w:rPr>
        <w:t xml:space="preserve">200 </w:t>
      </w:r>
      <w:proofErr w:type="spellStart"/>
      <w:r w:rsidRPr="007A1703">
        <w:rPr>
          <w:szCs w:val="22"/>
          <w:lang w:val="en-AU"/>
        </w:rPr>
        <w:t>mL</w:t>
      </w:r>
      <w:proofErr w:type="spellEnd"/>
      <w:r w:rsidRPr="007A1703">
        <w:rPr>
          <w:szCs w:val="22"/>
          <w:lang w:val="en-AU"/>
        </w:rPr>
        <w:tab/>
        <w:t>20.0</w:t>
      </w:r>
    </w:p>
    <w:p w:rsidR="00F651EF" w:rsidRDefault="00F651EF">
      <w:pPr>
        <w:pStyle w:val="Lemm1"/>
        <w:tabs>
          <w:tab w:val="right" w:pos="2880"/>
          <w:tab w:val="right" w:pos="4320"/>
        </w:tabs>
        <w:jc w:val="both"/>
        <w:rPr>
          <w:szCs w:val="22"/>
          <w:lang w:val="en-AU"/>
        </w:rPr>
      </w:pPr>
    </w:p>
    <w:p w:rsidR="0037530F" w:rsidRDefault="0037530F">
      <w:pPr>
        <w:pStyle w:val="Lemm1"/>
        <w:jc w:val="both"/>
        <w:rPr>
          <w:b/>
          <w:szCs w:val="22"/>
          <w:lang w:val="en-AU"/>
        </w:rPr>
      </w:pPr>
      <w:r w:rsidRPr="007A1703">
        <w:rPr>
          <w:b/>
          <w:szCs w:val="22"/>
          <w:lang w:val="en-AU"/>
        </w:rPr>
        <w:t>STORAGE</w:t>
      </w:r>
    </w:p>
    <w:p w:rsidR="00433C47" w:rsidRPr="007A1703" w:rsidRDefault="00433C47">
      <w:pPr>
        <w:pStyle w:val="Lemm1"/>
        <w:jc w:val="both"/>
        <w:rPr>
          <w:b/>
          <w:szCs w:val="22"/>
          <w:lang w:val="en-AU"/>
        </w:rPr>
      </w:pPr>
    </w:p>
    <w:p w:rsidR="0037530F" w:rsidRPr="007A1703" w:rsidRDefault="004C3586" w:rsidP="001B1962">
      <w:pPr>
        <w:spacing w:line="240" w:lineRule="atLeast"/>
        <w:jc w:val="both"/>
        <w:rPr>
          <w:rFonts w:ascii="Arial" w:hAnsi="Arial" w:cs="Arial"/>
          <w:snapToGrid w:val="0"/>
          <w:sz w:val="22"/>
          <w:szCs w:val="22"/>
          <w:lang w:val="en-AU" w:eastAsia="en-US"/>
        </w:rPr>
      </w:pPr>
      <w:r w:rsidRPr="007A1703">
        <w:rPr>
          <w:rFonts w:ascii="Arial" w:hAnsi="Arial" w:cs="Arial"/>
          <w:sz w:val="22"/>
          <w:szCs w:val="22"/>
          <w:lang w:val="en-AU"/>
        </w:rPr>
        <w:t>GAMUNEX</w:t>
      </w:r>
      <w:r w:rsidRPr="007A1703">
        <w:rPr>
          <w:rFonts w:ascii="Arial" w:hAnsi="Arial" w:cs="Arial"/>
          <w:snapToGrid w:val="0"/>
          <w:sz w:val="22"/>
          <w:szCs w:val="22"/>
          <w:vertAlign w:val="superscript"/>
          <w:lang w:val="en-AU" w:eastAsia="en-US"/>
        </w:rPr>
        <w:t>®</w:t>
      </w:r>
      <w:r w:rsidR="0037530F" w:rsidRPr="007A1703">
        <w:rPr>
          <w:rFonts w:ascii="Arial" w:hAnsi="Arial" w:cs="Arial"/>
          <w:snapToGrid w:val="0"/>
          <w:sz w:val="22"/>
          <w:szCs w:val="22"/>
          <w:lang w:val="en-AU" w:eastAsia="en-US"/>
        </w:rPr>
        <w:t xml:space="preserve"> </w:t>
      </w:r>
      <w:r w:rsidR="0037530F" w:rsidRPr="005C1FFC">
        <w:rPr>
          <w:rFonts w:ascii="Arial" w:hAnsi="Arial" w:cs="Arial"/>
          <w:snapToGrid w:val="0"/>
          <w:sz w:val="22"/>
          <w:szCs w:val="22"/>
          <w:lang w:val="en-AU" w:eastAsia="en-US"/>
        </w:rPr>
        <w:t>may</w:t>
      </w:r>
      <w:r w:rsidR="0037530F" w:rsidRPr="007A1703">
        <w:rPr>
          <w:rFonts w:ascii="Arial" w:hAnsi="Arial" w:cs="Arial"/>
          <w:snapToGrid w:val="0"/>
          <w:sz w:val="22"/>
          <w:szCs w:val="22"/>
          <w:lang w:val="en-AU" w:eastAsia="en-US"/>
        </w:rPr>
        <w:t xml:space="preserve"> be stored for 36 months at 2</w:t>
      </w:r>
      <w:r w:rsidR="001B1962" w:rsidRPr="007A1703">
        <w:rPr>
          <w:rFonts w:ascii="Arial" w:hAnsi="Arial" w:cs="Arial"/>
          <w:snapToGrid w:val="0"/>
          <w:sz w:val="22"/>
          <w:szCs w:val="22"/>
          <w:vertAlign w:val="superscript"/>
          <w:lang w:val="en-AU" w:eastAsia="en-US"/>
        </w:rPr>
        <w:t>o</w:t>
      </w:r>
      <w:r w:rsidR="001B1962" w:rsidRPr="007A1703">
        <w:rPr>
          <w:rFonts w:ascii="Arial" w:hAnsi="Arial" w:cs="Arial"/>
          <w:snapToGrid w:val="0"/>
          <w:sz w:val="22"/>
          <w:szCs w:val="22"/>
          <w:lang w:val="en-AU" w:eastAsia="en-US"/>
        </w:rPr>
        <w:t>C</w:t>
      </w:r>
      <w:r w:rsidR="0037530F" w:rsidRPr="007A1703">
        <w:rPr>
          <w:rFonts w:ascii="Arial" w:hAnsi="Arial" w:cs="Arial"/>
          <w:snapToGrid w:val="0"/>
          <w:sz w:val="22"/>
          <w:szCs w:val="22"/>
          <w:lang w:val="en-AU" w:eastAsia="en-US"/>
        </w:rPr>
        <w:t xml:space="preserve"> - 8</w:t>
      </w:r>
      <w:r w:rsidR="0037530F" w:rsidRPr="007A1703">
        <w:rPr>
          <w:rFonts w:ascii="Arial" w:hAnsi="Arial" w:cs="Arial"/>
          <w:snapToGrid w:val="0"/>
          <w:sz w:val="22"/>
          <w:szCs w:val="22"/>
          <w:lang w:val="en-AU" w:eastAsia="en-US"/>
        </w:rPr>
        <w:sym w:font="Symbol" w:char="F0B0"/>
      </w:r>
      <w:r w:rsidR="001B1962" w:rsidRPr="007A1703">
        <w:rPr>
          <w:rFonts w:ascii="Arial" w:hAnsi="Arial" w:cs="Arial"/>
          <w:snapToGrid w:val="0"/>
          <w:sz w:val="22"/>
          <w:szCs w:val="22"/>
          <w:lang w:val="en-AU" w:eastAsia="en-US"/>
        </w:rPr>
        <w:t>C</w:t>
      </w:r>
      <w:r w:rsidR="00EB1D1E">
        <w:rPr>
          <w:rFonts w:ascii="Arial" w:hAnsi="Arial" w:cs="Arial"/>
          <w:snapToGrid w:val="0"/>
          <w:sz w:val="22"/>
          <w:szCs w:val="22"/>
          <w:lang w:val="en-AU" w:eastAsia="en-US"/>
        </w:rPr>
        <w:t xml:space="preserve"> (36-46</w:t>
      </w:r>
      <w:r w:rsidR="00EB1D1E" w:rsidRPr="007A1703">
        <w:rPr>
          <w:rFonts w:ascii="Arial" w:hAnsi="Arial" w:cs="Arial"/>
          <w:snapToGrid w:val="0"/>
          <w:sz w:val="22"/>
          <w:szCs w:val="22"/>
          <w:vertAlign w:val="superscript"/>
          <w:lang w:val="en-AU" w:eastAsia="en-US"/>
        </w:rPr>
        <w:t>o</w:t>
      </w:r>
      <w:r w:rsidR="00EB1D1E">
        <w:rPr>
          <w:rFonts w:ascii="Arial" w:hAnsi="Arial" w:cs="Arial"/>
          <w:snapToGrid w:val="0"/>
          <w:sz w:val="22"/>
          <w:szCs w:val="22"/>
          <w:lang w:val="en-AU" w:eastAsia="en-US"/>
        </w:rPr>
        <w:t>F)</w:t>
      </w:r>
      <w:r w:rsidR="0037530F" w:rsidRPr="007A1703">
        <w:rPr>
          <w:rFonts w:ascii="Arial" w:hAnsi="Arial" w:cs="Arial"/>
          <w:snapToGrid w:val="0"/>
          <w:sz w:val="22"/>
          <w:szCs w:val="22"/>
          <w:lang w:val="en-AU" w:eastAsia="en-US"/>
        </w:rPr>
        <w:t xml:space="preserve">, AND may be stored </w:t>
      </w:r>
      <w:r w:rsidR="00EB1D1E">
        <w:rPr>
          <w:rFonts w:ascii="Arial" w:hAnsi="Arial" w:cs="Arial"/>
          <w:snapToGrid w:val="0"/>
          <w:sz w:val="22"/>
          <w:szCs w:val="22"/>
          <w:lang w:val="en-AU" w:eastAsia="en-US"/>
        </w:rPr>
        <w:t>at temperatures not to exceed</w:t>
      </w:r>
      <w:r w:rsidR="001B1962" w:rsidRPr="007A1703">
        <w:rPr>
          <w:rFonts w:ascii="Arial" w:hAnsi="Arial" w:cs="Arial"/>
          <w:snapToGrid w:val="0"/>
          <w:sz w:val="22"/>
          <w:szCs w:val="22"/>
          <w:lang w:val="en-AU" w:eastAsia="en-US"/>
        </w:rPr>
        <w:t xml:space="preserve"> </w:t>
      </w:r>
      <w:r w:rsidR="0037530F" w:rsidRPr="007A1703">
        <w:rPr>
          <w:rFonts w:ascii="Arial" w:hAnsi="Arial" w:cs="Arial"/>
          <w:snapToGrid w:val="0"/>
          <w:sz w:val="22"/>
          <w:szCs w:val="22"/>
          <w:lang w:val="en-AU" w:eastAsia="en-US"/>
        </w:rPr>
        <w:t>25</w:t>
      </w:r>
      <w:r w:rsidR="0037530F" w:rsidRPr="007A1703">
        <w:rPr>
          <w:rFonts w:ascii="Arial" w:hAnsi="Arial" w:cs="Arial"/>
          <w:snapToGrid w:val="0"/>
          <w:sz w:val="22"/>
          <w:szCs w:val="22"/>
          <w:lang w:val="en-AU" w:eastAsia="en-US"/>
        </w:rPr>
        <w:sym w:font="Symbol" w:char="F0B0"/>
      </w:r>
      <w:r w:rsidR="0037530F" w:rsidRPr="007A1703">
        <w:rPr>
          <w:rFonts w:ascii="Arial" w:hAnsi="Arial" w:cs="Arial"/>
          <w:snapToGrid w:val="0"/>
          <w:sz w:val="22"/>
          <w:szCs w:val="22"/>
          <w:lang w:val="en-AU" w:eastAsia="en-US"/>
        </w:rPr>
        <w:t>C</w:t>
      </w:r>
      <w:r w:rsidR="00EB1D1E">
        <w:rPr>
          <w:rFonts w:ascii="Arial" w:hAnsi="Arial" w:cs="Arial"/>
          <w:snapToGrid w:val="0"/>
          <w:sz w:val="22"/>
          <w:szCs w:val="22"/>
          <w:lang w:val="en-AU" w:eastAsia="en-US"/>
        </w:rPr>
        <w:t xml:space="preserve"> (77</w:t>
      </w:r>
      <w:r w:rsidR="00EB1D1E" w:rsidRPr="007A1703">
        <w:rPr>
          <w:rFonts w:ascii="Arial" w:hAnsi="Arial" w:cs="Arial"/>
          <w:snapToGrid w:val="0"/>
          <w:sz w:val="22"/>
          <w:szCs w:val="22"/>
          <w:vertAlign w:val="superscript"/>
          <w:lang w:val="en-AU" w:eastAsia="en-US"/>
        </w:rPr>
        <w:t>o</w:t>
      </w:r>
      <w:r w:rsidR="00EB1D1E">
        <w:rPr>
          <w:rFonts w:ascii="Arial" w:hAnsi="Arial" w:cs="Arial"/>
          <w:snapToGrid w:val="0"/>
          <w:sz w:val="22"/>
          <w:szCs w:val="22"/>
          <w:lang w:val="en-AU" w:eastAsia="en-US"/>
        </w:rPr>
        <w:t>F)</w:t>
      </w:r>
      <w:r w:rsidR="0037530F" w:rsidRPr="007A1703">
        <w:rPr>
          <w:rFonts w:ascii="Arial" w:hAnsi="Arial" w:cs="Arial"/>
          <w:snapToGrid w:val="0"/>
          <w:sz w:val="22"/>
          <w:szCs w:val="22"/>
          <w:lang w:val="en-AU" w:eastAsia="en-US"/>
        </w:rPr>
        <w:t xml:space="preserve"> for up to </w:t>
      </w:r>
      <w:r w:rsidR="00DD4DA6">
        <w:rPr>
          <w:rFonts w:ascii="Arial" w:hAnsi="Arial" w:cs="Arial"/>
          <w:snapToGrid w:val="0"/>
          <w:sz w:val="22"/>
          <w:szCs w:val="22"/>
          <w:lang w:val="en-AU" w:eastAsia="en-US"/>
        </w:rPr>
        <w:t>6</w:t>
      </w:r>
      <w:r w:rsidR="0037530F" w:rsidRPr="007A1703">
        <w:rPr>
          <w:rFonts w:ascii="Arial" w:hAnsi="Arial" w:cs="Arial"/>
          <w:snapToGrid w:val="0"/>
          <w:sz w:val="22"/>
          <w:szCs w:val="22"/>
          <w:lang w:val="en-AU" w:eastAsia="en-US"/>
        </w:rPr>
        <w:t xml:space="preserve"> months </w:t>
      </w:r>
      <w:r w:rsidR="00EB1D1E">
        <w:rPr>
          <w:rFonts w:ascii="Arial" w:hAnsi="Arial" w:cs="Arial"/>
          <w:snapToGrid w:val="0"/>
          <w:sz w:val="22"/>
          <w:szCs w:val="22"/>
          <w:lang w:val="en-AU" w:eastAsia="en-US"/>
        </w:rPr>
        <w:t xml:space="preserve">anytime </w:t>
      </w:r>
      <w:r w:rsidR="0037530F" w:rsidRPr="007A1703">
        <w:rPr>
          <w:rFonts w:ascii="Arial" w:hAnsi="Arial" w:cs="Arial"/>
          <w:snapToGrid w:val="0"/>
          <w:sz w:val="22"/>
          <w:szCs w:val="22"/>
          <w:lang w:val="en-AU" w:eastAsia="en-US"/>
        </w:rPr>
        <w:t xml:space="preserve">during the </w:t>
      </w:r>
      <w:r w:rsidR="00DD4DA6">
        <w:rPr>
          <w:rFonts w:ascii="Arial" w:hAnsi="Arial" w:cs="Arial"/>
          <w:snapToGrid w:val="0"/>
          <w:sz w:val="22"/>
          <w:szCs w:val="22"/>
          <w:lang w:val="en-AU" w:eastAsia="en-US"/>
        </w:rPr>
        <w:t>36</w:t>
      </w:r>
      <w:r w:rsidR="0037530F" w:rsidRPr="007A1703">
        <w:rPr>
          <w:rFonts w:ascii="Arial" w:hAnsi="Arial" w:cs="Arial"/>
          <w:snapToGrid w:val="0"/>
          <w:sz w:val="22"/>
          <w:szCs w:val="22"/>
          <w:lang w:val="en-AU" w:eastAsia="en-US"/>
        </w:rPr>
        <w:t xml:space="preserve"> month </w:t>
      </w:r>
      <w:r w:rsidR="00EB1D1E">
        <w:rPr>
          <w:rFonts w:ascii="Arial" w:hAnsi="Arial" w:cs="Arial"/>
          <w:snapToGrid w:val="0"/>
          <w:sz w:val="22"/>
          <w:szCs w:val="22"/>
          <w:lang w:val="en-AU" w:eastAsia="en-US"/>
        </w:rPr>
        <w:t>shelf life</w:t>
      </w:r>
      <w:r w:rsidR="0037530F" w:rsidRPr="007A1703">
        <w:rPr>
          <w:rFonts w:ascii="Arial" w:hAnsi="Arial" w:cs="Arial"/>
          <w:snapToGrid w:val="0"/>
          <w:sz w:val="22"/>
          <w:szCs w:val="22"/>
          <w:lang w:val="en-AU" w:eastAsia="en-US"/>
        </w:rPr>
        <w:t>, after which the product must be used</w:t>
      </w:r>
      <w:r w:rsidR="00EB1D1E">
        <w:rPr>
          <w:rFonts w:ascii="Arial" w:hAnsi="Arial" w:cs="Arial"/>
          <w:snapToGrid w:val="0"/>
          <w:sz w:val="22"/>
          <w:szCs w:val="22"/>
          <w:lang w:val="en-AU" w:eastAsia="en-US"/>
        </w:rPr>
        <w:t xml:space="preserve"> immediately</w:t>
      </w:r>
      <w:r w:rsidR="0037530F" w:rsidRPr="007A1703">
        <w:rPr>
          <w:rFonts w:ascii="Arial" w:hAnsi="Arial" w:cs="Arial"/>
          <w:snapToGrid w:val="0"/>
          <w:sz w:val="22"/>
          <w:szCs w:val="22"/>
          <w:lang w:val="en-AU" w:eastAsia="en-US"/>
        </w:rPr>
        <w:t xml:space="preserve"> or discarded. </w:t>
      </w:r>
      <w:r w:rsidR="001B1962" w:rsidRPr="007A1703">
        <w:rPr>
          <w:rFonts w:ascii="Arial" w:hAnsi="Arial" w:cs="Arial"/>
          <w:snapToGrid w:val="0"/>
          <w:sz w:val="22"/>
          <w:szCs w:val="22"/>
          <w:lang w:val="en-AU" w:eastAsia="en-US"/>
        </w:rPr>
        <w:t xml:space="preserve">Refrigerate. </w:t>
      </w:r>
      <w:r w:rsidR="0037530F" w:rsidRPr="007A1703">
        <w:rPr>
          <w:rFonts w:ascii="Arial" w:hAnsi="Arial" w:cs="Arial"/>
          <w:snapToGrid w:val="0"/>
          <w:sz w:val="22"/>
          <w:szCs w:val="22"/>
          <w:lang w:val="en-AU" w:eastAsia="en-US"/>
        </w:rPr>
        <w:t xml:space="preserve">Do not freeze. Do not use after expiration date. </w:t>
      </w:r>
    </w:p>
    <w:p w:rsidR="00E76F0D" w:rsidRPr="007A1703" w:rsidRDefault="00E76F0D" w:rsidP="001B1962">
      <w:pPr>
        <w:spacing w:line="240" w:lineRule="atLeast"/>
        <w:jc w:val="both"/>
        <w:rPr>
          <w:rFonts w:ascii="Arial" w:hAnsi="Arial" w:cs="Arial"/>
          <w:snapToGrid w:val="0"/>
          <w:sz w:val="22"/>
          <w:szCs w:val="22"/>
          <w:lang w:val="en-AU" w:eastAsia="en-US"/>
        </w:rPr>
      </w:pPr>
    </w:p>
    <w:p w:rsidR="004F2DFF" w:rsidRDefault="004F2DFF" w:rsidP="004F2DFF">
      <w:pPr>
        <w:spacing w:line="240" w:lineRule="atLeast"/>
        <w:jc w:val="both"/>
        <w:rPr>
          <w:rFonts w:ascii="Arial" w:hAnsi="Arial" w:cs="Arial"/>
          <w:b/>
          <w:snapToGrid w:val="0"/>
          <w:sz w:val="22"/>
          <w:szCs w:val="22"/>
          <w:lang w:val="en-AU" w:eastAsia="en-US"/>
        </w:rPr>
      </w:pPr>
      <w:r w:rsidRPr="007A1703">
        <w:rPr>
          <w:rFonts w:ascii="Arial" w:hAnsi="Arial" w:cs="Arial"/>
          <w:b/>
          <w:snapToGrid w:val="0"/>
          <w:sz w:val="22"/>
          <w:szCs w:val="22"/>
          <w:lang w:val="en-AU" w:eastAsia="en-US"/>
        </w:rPr>
        <w:t>MANUFACTURER</w:t>
      </w:r>
    </w:p>
    <w:p w:rsidR="00433C47" w:rsidRPr="007A1703" w:rsidRDefault="00433C47" w:rsidP="004F2DFF">
      <w:pPr>
        <w:spacing w:line="240" w:lineRule="atLeast"/>
        <w:jc w:val="both"/>
        <w:rPr>
          <w:rFonts w:ascii="Arial" w:hAnsi="Arial" w:cs="Arial"/>
          <w:b/>
          <w:snapToGrid w:val="0"/>
          <w:sz w:val="22"/>
          <w:szCs w:val="22"/>
          <w:lang w:val="en-AU" w:eastAsia="en-US"/>
        </w:rPr>
      </w:pPr>
    </w:p>
    <w:p w:rsidR="004F2DFF" w:rsidRPr="007A1703" w:rsidRDefault="004F2DFF" w:rsidP="004F2DFF">
      <w:pPr>
        <w:autoSpaceDE w:val="0"/>
        <w:autoSpaceDN w:val="0"/>
        <w:adjustRightInd w:val="0"/>
        <w:spacing w:line="240" w:lineRule="atLeast"/>
        <w:rPr>
          <w:rFonts w:ascii="Helv" w:hAnsi="Helv" w:cs="Helv"/>
          <w:color w:val="000000"/>
          <w:sz w:val="22"/>
          <w:szCs w:val="22"/>
          <w:lang w:val="en-AU"/>
        </w:rPr>
      </w:pPr>
      <w:proofErr w:type="spellStart"/>
      <w:r w:rsidRPr="007A1703">
        <w:rPr>
          <w:rFonts w:ascii="Helv" w:hAnsi="Helv" w:cs="Helv"/>
          <w:color w:val="000000"/>
          <w:sz w:val="22"/>
          <w:szCs w:val="22"/>
          <w:lang w:val="en-AU"/>
        </w:rPr>
        <w:t>Talecris</w:t>
      </w:r>
      <w:proofErr w:type="spellEnd"/>
      <w:r w:rsidRPr="007A1703">
        <w:rPr>
          <w:rFonts w:ascii="Helv" w:hAnsi="Helv" w:cs="Helv"/>
          <w:color w:val="000000"/>
          <w:sz w:val="22"/>
          <w:szCs w:val="22"/>
          <w:lang w:val="en-AU"/>
        </w:rPr>
        <w:t xml:space="preserve"> </w:t>
      </w:r>
      <w:proofErr w:type="spellStart"/>
      <w:r w:rsidRPr="007A1703">
        <w:rPr>
          <w:rFonts w:ascii="Helv" w:hAnsi="Helv" w:cs="Helv"/>
          <w:color w:val="000000"/>
          <w:sz w:val="22"/>
          <w:szCs w:val="22"/>
          <w:lang w:val="en-AU"/>
        </w:rPr>
        <w:t>Biotherapeutics</w:t>
      </w:r>
      <w:proofErr w:type="spellEnd"/>
      <w:r w:rsidRPr="007A1703">
        <w:rPr>
          <w:rFonts w:ascii="Helv" w:hAnsi="Helv" w:cs="Helv"/>
          <w:color w:val="000000"/>
          <w:sz w:val="22"/>
          <w:szCs w:val="22"/>
          <w:lang w:val="en-AU"/>
        </w:rPr>
        <w:t>, Inc</w:t>
      </w:r>
    </w:p>
    <w:p w:rsidR="004F2DFF" w:rsidRPr="007A1703" w:rsidRDefault="00E057B6" w:rsidP="004F2DFF">
      <w:pPr>
        <w:autoSpaceDE w:val="0"/>
        <w:autoSpaceDN w:val="0"/>
        <w:adjustRightInd w:val="0"/>
        <w:spacing w:line="240" w:lineRule="atLeast"/>
        <w:rPr>
          <w:rFonts w:ascii="Helv" w:hAnsi="Helv" w:cs="Helv"/>
          <w:color w:val="000000"/>
          <w:sz w:val="22"/>
          <w:szCs w:val="22"/>
          <w:lang w:val="en-AU"/>
        </w:rPr>
      </w:pPr>
      <w:r>
        <w:rPr>
          <w:rFonts w:ascii="Helv" w:hAnsi="Helv" w:cs="Helv"/>
          <w:color w:val="000000"/>
          <w:sz w:val="22"/>
          <w:szCs w:val="22"/>
          <w:lang w:val="en-AU"/>
        </w:rPr>
        <w:t xml:space="preserve">8368 </w:t>
      </w:r>
      <w:r w:rsidR="00CF1354">
        <w:rPr>
          <w:rFonts w:ascii="Helv" w:hAnsi="Helv" w:cs="Helv"/>
          <w:color w:val="000000"/>
          <w:sz w:val="22"/>
          <w:szCs w:val="22"/>
          <w:lang w:val="en-AU"/>
        </w:rPr>
        <w:t>U</w:t>
      </w:r>
      <w:r>
        <w:rPr>
          <w:rFonts w:ascii="Helv" w:hAnsi="Helv" w:cs="Helv"/>
          <w:color w:val="000000"/>
          <w:sz w:val="22"/>
          <w:szCs w:val="22"/>
          <w:lang w:val="en-AU"/>
        </w:rPr>
        <w:t>.</w:t>
      </w:r>
      <w:r w:rsidR="00CF1354">
        <w:rPr>
          <w:rFonts w:ascii="Helv" w:hAnsi="Helv" w:cs="Helv"/>
          <w:color w:val="000000"/>
          <w:sz w:val="22"/>
          <w:szCs w:val="22"/>
          <w:lang w:val="en-AU"/>
        </w:rPr>
        <w:t>S</w:t>
      </w:r>
      <w:r>
        <w:rPr>
          <w:rFonts w:ascii="Helv" w:hAnsi="Helv" w:cs="Helv"/>
          <w:color w:val="000000"/>
          <w:sz w:val="22"/>
          <w:szCs w:val="22"/>
          <w:lang w:val="en-AU"/>
        </w:rPr>
        <w:t xml:space="preserve">. Highway Business </w:t>
      </w:r>
      <w:r w:rsidR="00CF1354">
        <w:rPr>
          <w:rFonts w:ascii="Helv" w:hAnsi="Helv" w:cs="Helv"/>
          <w:color w:val="000000"/>
          <w:sz w:val="22"/>
          <w:szCs w:val="22"/>
          <w:lang w:val="en-AU"/>
        </w:rPr>
        <w:t xml:space="preserve">70 </w:t>
      </w:r>
      <w:r>
        <w:rPr>
          <w:rFonts w:ascii="Helv" w:hAnsi="Helv" w:cs="Helv"/>
          <w:color w:val="000000"/>
          <w:sz w:val="22"/>
          <w:szCs w:val="22"/>
          <w:lang w:val="en-AU"/>
        </w:rPr>
        <w:t>West</w:t>
      </w:r>
    </w:p>
    <w:p w:rsidR="004F2DFF" w:rsidRPr="007A1703" w:rsidRDefault="00E057B6" w:rsidP="004F2DFF">
      <w:pPr>
        <w:spacing w:line="240" w:lineRule="atLeast"/>
        <w:jc w:val="both"/>
        <w:rPr>
          <w:rFonts w:ascii="Arial" w:hAnsi="Arial" w:cs="Arial"/>
          <w:sz w:val="22"/>
          <w:szCs w:val="22"/>
          <w:lang w:val="en-AU"/>
        </w:rPr>
      </w:pPr>
      <w:smartTag w:uri="urn:schemas-microsoft-com:office:smarttags" w:element="place">
        <w:smartTag w:uri="urn:schemas-microsoft-com:office:smarttags" w:element="City">
          <w:r>
            <w:rPr>
              <w:rFonts w:ascii="Helv" w:hAnsi="Helv" w:cs="Helv"/>
              <w:color w:val="000000"/>
              <w:sz w:val="22"/>
              <w:szCs w:val="22"/>
              <w:lang w:val="en-AU"/>
            </w:rPr>
            <w:t>Clayton</w:t>
          </w:r>
        </w:smartTag>
        <w:r>
          <w:rPr>
            <w:rFonts w:ascii="Helv" w:hAnsi="Helv" w:cs="Helv"/>
            <w:color w:val="000000"/>
            <w:sz w:val="22"/>
            <w:szCs w:val="22"/>
            <w:lang w:val="en-AU"/>
          </w:rPr>
          <w:t xml:space="preserve">, </w:t>
        </w:r>
        <w:smartTag w:uri="urn:schemas-microsoft-com:office:smarttags" w:element="State">
          <w:r>
            <w:rPr>
              <w:rFonts w:ascii="Helv" w:hAnsi="Helv" w:cs="Helv"/>
              <w:color w:val="000000"/>
              <w:sz w:val="22"/>
              <w:szCs w:val="22"/>
              <w:lang w:val="en-AU"/>
            </w:rPr>
            <w:t>NC</w:t>
          </w:r>
        </w:smartTag>
        <w:r w:rsidR="004F2DFF" w:rsidRPr="007A1703">
          <w:rPr>
            <w:rFonts w:ascii="Helv" w:hAnsi="Helv" w:cs="Helv"/>
            <w:color w:val="000000"/>
            <w:sz w:val="22"/>
            <w:szCs w:val="22"/>
            <w:lang w:val="en-AU"/>
          </w:rPr>
          <w:t xml:space="preserve"> </w:t>
        </w:r>
        <w:smartTag w:uri="urn:schemas-microsoft-com:office:smarttags" w:element="PostalCode">
          <w:r w:rsidR="004F2DFF" w:rsidRPr="007A1703">
            <w:rPr>
              <w:rFonts w:ascii="Helv" w:hAnsi="Helv" w:cs="Helv"/>
              <w:color w:val="000000"/>
              <w:sz w:val="22"/>
              <w:szCs w:val="22"/>
              <w:lang w:val="en-AU"/>
            </w:rPr>
            <w:t>27520</w:t>
          </w:r>
        </w:smartTag>
      </w:smartTag>
      <w:r w:rsidR="004F2DFF" w:rsidRPr="007A1703" w:rsidDel="00736A3C">
        <w:rPr>
          <w:rFonts w:ascii="Arial" w:hAnsi="Arial" w:cs="Arial"/>
          <w:sz w:val="22"/>
          <w:szCs w:val="22"/>
          <w:lang w:val="en-AU"/>
        </w:rPr>
        <w:t xml:space="preserve"> </w:t>
      </w:r>
      <w:r w:rsidR="004F2DFF" w:rsidRPr="007A1703">
        <w:rPr>
          <w:rFonts w:ascii="Arial" w:hAnsi="Arial" w:cs="Arial"/>
          <w:sz w:val="22"/>
          <w:szCs w:val="22"/>
          <w:lang w:val="en-AU"/>
        </w:rPr>
        <w:t xml:space="preserve"> </w:t>
      </w:r>
    </w:p>
    <w:p w:rsidR="004F2DFF" w:rsidRPr="007A1703" w:rsidRDefault="00E057B6" w:rsidP="004F2DFF">
      <w:pPr>
        <w:spacing w:line="240" w:lineRule="atLeast"/>
        <w:jc w:val="both"/>
        <w:rPr>
          <w:rFonts w:ascii="Arial" w:hAnsi="Arial" w:cs="Arial"/>
          <w:snapToGrid w:val="0"/>
          <w:sz w:val="22"/>
          <w:szCs w:val="22"/>
          <w:lang w:val="en-AU" w:eastAsia="en-US"/>
        </w:rPr>
      </w:pPr>
      <w:smartTag w:uri="urn:schemas-microsoft-com:office:smarttags" w:element="place">
        <w:smartTag w:uri="urn:schemas-microsoft-com:office:smarttags" w:element="country-region">
          <w:r>
            <w:rPr>
              <w:rFonts w:ascii="Arial" w:hAnsi="Arial" w:cs="Arial"/>
              <w:sz w:val="22"/>
              <w:szCs w:val="22"/>
              <w:lang w:val="en-AU"/>
            </w:rPr>
            <w:t>USA</w:t>
          </w:r>
        </w:smartTag>
      </w:smartTag>
    </w:p>
    <w:p w:rsidR="00E76F0D" w:rsidRPr="007A1703" w:rsidRDefault="00E76F0D" w:rsidP="001B1962">
      <w:pPr>
        <w:spacing w:line="240" w:lineRule="atLeast"/>
        <w:jc w:val="both"/>
        <w:rPr>
          <w:rFonts w:ascii="Arial" w:hAnsi="Arial" w:cs="Arial"/>
          <w:snapToGrid w:val="0"/>
          <w:sz w:val="22"/>
          <w:szCs w:val="22"/>
          <w:lang w:val="en-AU" w:eastAsia="en-US"/>
        </w:rPr>
      </w:pPr>
    </w:p>
    <w:p w:rsidR="008C416B" w:rsidRPr="008C416B" w:rsidRDefault="008C416B" w:rsidP="008C416B">
      <w:pPr>
        <w:pStyle w:val="Heading2"/>
        <w:jc w:val="both"/>
        <w:rPr>
          <w:rFonts w:ascii="Arial" w:hAnsi="Arial" w:cs="Arial"/>
          <w:sz w:val="22"/>
          <w:szCs w:val="22"/>
          <w:lang w:val="en-AU"/>
        </w:rPr>
      </w:pPr>
      <w:r w:rsidRPr="008C416B">
        <w:rPr>
          <w:rFonts w:ascii="Arial" w:hAnsi="Arial" w:cs="Arial"/>
          <w:sz w:val="22"/>
          <w:szCs w:val="22"/>
          <w:lang w:val="en-AU"/>
        </w:rPr>
        <w:t>NAME AND ADDRESS OF SPONSOR</w:t>
      </w:r>
    </w:p>
    <w:p w:rsidR="00D50A66" w:rsidRDefault="00D50A66" w:rsidP="008C416B">
      <w:pPr>
        <w:autoSpaceDE w:val="0"/>
        <w:autoSpaceDN w:val="0"/>
        <w:adjustRightInd w:val="0"/>
        <w:spacing w:line="240" w:lineRule="atLeast"/>
        <w:rPr>
          <w:rFonts w:ascii="Helvetica" w:hAnsi="Helvetica" w:cs="Courier"/>
          <w:strike/>
          <w:color w:val="FF0000"/>
          <w:sz w:val="22"/>
          <w:szCs w:val="22"/>
          <w:lang w:eastAsia="en-US"/>
        </w:rPr>
      </w:pPr>
    </w:p>
    <w:p w:rsidR="008C416B" w:rsidRPr="00DA0F7A" w:rsidRDefault="008C416B" w:rsidP="008C416B">
      <w:pPr>
        <w:autoSpaceDE w:val="0"/>
        <w:autoSpaceDN w:val="0"/>
        <w:adjustRightInd w:val="0"/>
        <w:spacing w:line="240" w:lineRule="atLeast"/>
        <w:rPr>
          <w:rFonts w:ascii="Helvetica" w:hAnsi="Helvetica" w:cs="Courier"/>
          <w:sz w:val="22"/>
          <w:szCs w:val="22"/>
          <w:lang w:eastAsia="en-US"/>
        </w:rPr>
      </w:pPr>
      <w:r w:rsidRPr="00DA0F7A">
        <w:rPr>
          <w:rFonts w:ascii="Helvetica" w:hAnsi="Helvetica" w:cs="Courier"/>
          <w:sz w:val="22"/>
          <w:szCs w:val="22"/>
          <w:lang w:eastAsia="en-US"/>
        </w:rPr>
        <w:t>Distributor:</w:t>
      </w:r>
    </w:p>
    <w:p w:rsidR="008C416B" w:rsidRPr="00BD4102" w:rsidRDefault="008C416B" w:rsidP="008C416B">
      <w:pPr>
        <w:autoSpaceDE w:val="0"/>
        <w:autoSpaceDN w:val="0"/>
        <w:adjustRightInd w:val="0"/>
        <w:spacing w:line="240" w:lineRule="atLeast"/>
        <w:rPr>
          <w:rFonts w:ascii="Helvetica" w:hAnsi="Helvetica" w:cs="Courier"/>
          <w:sz w:val="22"/>
          <w:szCs w:val="22"/>
          <w:lang w:eastAsia="en-US"/>
        </w:rPr>
      </w:pPr>
    </w:p>
    <w:p w:rsidR="00BD4102" w:rsidRDefault="00BD4102" w:rsidP="008C416B">
      <w:pPr>
        <w:autoSpaceDE w:val="0"/>
        <w:autoSpaceDN w:val="0"/>
        <w:adjustRightInd w:val="0"/>
        <w:spacing w:line="240" w:lineRule="atLeast"/>
        <w:rPr>
          <w:rFonts w:ascii="Arial" w:hAnsi="Arial" w:cs="Arial"/>
          <w:sz w:val="22"/>
          <w:szCs w:val="22"/>
        </w:rPr>
      </w:pPr>
      <w:proofErr w:type="spellStart"/>
      <w:r>
        <w:rPr>
          <w:rFonts w:ascii="Arial" w:hAnsi="Arial" w:cs="Arial"/>
          <w:sz w:val="22"/>
          <w:szCs w:val="22"/>
        </w:rPr>
        <w:t>Talecris</w:t>
      </w:r>
      <w:proofErr w:type="spellEnd"/>
      <w:r>
        <w:rPr>
          <w:rFonts w:ascii="Arial" w:hAnsi="Arial" w:cs="Arial"/>
          <w:sz w:val="22"/>
          <w:szCs w:val="22"/>
        </w:rPr>
        <w:t xml:space="preserve"> </w:t>
      </w:r>
      <w:proofErr w:type="spellStart"/>
      <w:r>
        <w:rPr>
          <w:rFonts w:ascii="Arial" w:hAnsi="Arial" w:cs="Arial"/>
          <w:sz w:val="22"/>
          <w:szCs w:val="22"/>
        </w:rPr>
        <w:t>Biotherapeutics</w:t>
      </w:r>
      <w:proofErr w:type="spellEnd"/>
      <w:r>
        <w:rPr>
          <w:rFonts w:ascii="Arial" w:hAnsi="Arial" w:cs="Arial"/>
          <w:sz w:val="22"/>
          <w:szCs w:val="22"/>
        </w:rPr>
        <w:t xml:space="preserve"> Pty Ltd</w:t>
      </w:r>
    </w:p>
    <w:p w:rsidR="00BD4102" w:rsidRDefault="00BD4102" w:rsidP="008C416B">
      <w:pPr>
        <w:autoSpaceDE w:val="0"/>
        <w:autoSpaceDN w:val="0"/>
        <w:adjustRightInd w:val="0"/>
        <w:spacing w:line="240" w:lineRule="atLeast"/>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Suite</w:t>
          </w:r>
        </w:smartTag>
        <w:r>
          <w:rPr>
            <w:rFonts w:ascii="Arial" w:hAnsi="Arial" w:cs="Arial"/>
            <w:sz w:val="22"/>
            <w:szCs w:val="22"/>
          </w:rPr>
          <w:t xml:space="preserve"> 26</w:t>
        </w:r>
      </w:smartTag>
      <w:r>
        <w:rPr>
          <w:rFonts w:ascii="Arial" w:hAnsi="Arial" w:cs="Arial"/>
          <w:sz w:val="22"/>
          <w:szCs w:val="22"/>
        </w:rPr>
        <w:t xml:space="preserve"> Level </w:t>
      </w:r>
      <w:smartTag w:uri="urn:schemas-microsoft-com:office:smarttags" w:element="Street">
        <w:smartTag w:uri="urn:schemas-microsoft-com:office:smarttags" w:element="address">
          <w:r>
            <w:rPr>
              <w:rFonts w:ascii="Arial" w:hAnsi="Arial" w:cs="Arial"/>
              <w:sz w:val="22"/>
              <w:szCs w:val="22"/>
            </w:rPr>
            <w:t>50/120 Collins Street</w:t>
          </w:r>
        </w:smartTag>
      </w:smartTag>
    </w:p>
    <w:p w:rsidR="00BD4102" w:rsidRPr="00BD4102" w:rsidRDefault="00BD4102" w:rsidP="008C416B">
      <w:pPr>
        <w:autoSpaceDE w:val="0"/>
        <w:autoSpaceDN w:val="0"/>
        <w:adjustRightInd w:val="0"/>
        <w:spacing w:line="240" w:lineRule="atLeast"/>
        <w:rPr>
          <w:rFonts w:ascii="Arial" w:hAnsi="Arial" w:cs="Arial"/>
          <w:sz w:val="22"/>
          <w:szCs w:val="22"/>
          <w:lang w:eastAsia="en-US"/>
        </w:rPr>
      </w:pPr>
      <w:smartTag w:uri="urn:schemas-microsoft-com:office:smarttags" w:element="place">
        <w:smartTag w:uri="urn:schemas-microsoft-com:office:smarttags" w:element="City">
          <w:r>
            <w:rPr>
              <w:rFonts w:ascii="Arial" w:hAnsi="Arial" w:cs="Arial"/>
              <w:sz w:val="22"/>
              <w:szCs w:val="22"/>
            </w:rPr>
            <w:t>MELBOURNE</w:t>
          </w:r>
        </w:smartTag>
      </w:smartTag>
      <w:r>
        <w:rPr>
          <w:rFonts w:ascii="Arial" w:hAnsi="Arial" w:cs="Arial"/>
          <w:sz w:val="22"/>
          <w:szCs w:val="22"/>
        </w:rPr>
        <w:t xml:space="preserve"> VIC 3000</w:t>
      </w:r>
    </w:p>
    <w:p w:rsidR="008C416B" w:rsidRPr="00DA0F7A" w:rsidRDefault="008C416B" w:rsidP="008C416B">
      <w:pPr>
        <w:spacing w:line="240" w:lineRule="atLeast"/>
        <w:jc w:val="both"/>
        <w:rPr>
          <w:rFonts w:ascii="Helvetica" w:hAnsi="Helvetica" w:cs="Courier"/>
          <w:sz w:val="22"/>
          <w:szCs w:val="22"/>
          <w:lang w:eastAsia="en-US"/>
        </w:rPr>
      </w:pPr>
      <w:smartTag w:uri="urn:schemas-microsoft-com:office:smarttags" w:element="place">
        <w:smartTag w:uri="urn:schemas-microsoft-com:office:smarttags" w:element="country-region">
          <w:r w:rsidRPr="00BD4102">
            <w:rPr>
              <w:rFonts w:ascii="Helvetica" w:hAnsi="Helvetica" w:cs="Courier"/>
              <w:sz w:val="22"/>
              <w:szCs w:val="22"/>
              <w:lang w:eastAsia="en-US"/>
            </w:rPr>
            <w:t>Australia</w:t>
          </w:r>
        </w:smartTag>
      </w:smartTag>
    </w:p>
    <w:p w:rsidR="00BC2101" w:rsidRDefault="00BC2101" w:rsidP="00E76F0D">
      <w:pPr>
        <w:spacing w:line="240" w:lineRule="atLeast"/>
        <w:jc w:val="both"/>
        <w:rPr>
          <w:rFonts w:ascii="Arial" w:hAnsi="Arial" w:cs="Arial"/>
          <w:color w:val="000000"/>
          <w:sz w:val="22"/>
          <w:szCs w:val="22"/>
          <w:lang w:eastAsia="en-US"/>
        </w:rPr>
      </w:pPr>
    </w:p>
    <w:p w:rsidR="00EE1887" w:rsidRPr="00EE1887" w:rsidRDefault="00EE1887" w:rsidP="00EE1887">
      <w:pPr>
        <w:rPr>
          <w:b/>
          <w:sz w:val="22"/>
          <w:szCs w:val="22"/>
          <w:lang w:eastAsia="en-US"/>
        </w:rPr>
      </w:pPr>
      <w:r w:rsidRPr="00EE1887">
        <w:rPr>
          <w:rFonts w:ascii="Arial" w:hAnsi="Arial" w:cs="Arial"/>
          <w:b/>
          <w:iCs/>
          <w:sz w:val="22"/>
          <w:szCs w:val="22"/>
          <w:lang w:eastAsia="en-US"/>
        </w:rPr>
        <w:t>For Medical/Technical Enquiries</w:t>
      </w:r>
    </w:p>
    <w:p w:rsidR="00EE1887" w:rsidRPr="00D31533" w:rsidRDefault="00EE1887" w:rsidP="00EE1887">
      <w:pPr>
        <w:rPr>
          <w:sz w:val="22"/>
          <w:szCs w:val="22"/>
          <w:lang w:eastAsia="en-US"/>
        </w:rPr>
      </w:pPr>
      <w:r w:rsidRPr="00D31533">
        <w:rPr>
          <w:rFonts w:ascii="Arial" w:hAnsi="Arial" w:cs="Arial"/>
          <w:iCs/>
          <w:sz w:val="22"/>
          <w:szCs w:val="22"/>
          <w:lang w:eastAsia="en-US"/>
        </w:rPr>
        <w:t xml:space="preserve">TOLL FREE: 1800 </w:t>
      </w:r>
      <w:r w:rsidR="00D208EA">
        <w:rPr>
          <w:rFonts w:ascii="Arial" w:hAnsi="Arial" w:cs="Arial"/>
          <w:iCs/>
          <w:sz w:val="22"/>
          <w:szCs w:val="22"/>
          <w:lang w:eastAsia="en-US"/>
        </w:rPr>
        <w:t>836 036</w:t>
      </w:r>
    </w:p>
    <w:p w:rsidR="00EE1887" w:rsidRDefault="00EE1887" w:rsidP="00E76F0D">
      <w:pPr>
        <w:spacing w:line="240" w:lineRule="atLeast"/>
        <w:jc w:val="both"/>
        <w:rPr>
          <w:rFonts w:ascii="Arial" w:hAnsi="Arial" w:cs="Arial"/>
          <w:b/>
          <w:sz w:val="22"/>
          <w:szCs w:val="22"/>
          <w:lang w:val="en-AU"/>
        </w:rPr>
      </w:pPr>
    </w:p>
    <w:p w:rsidR="00E76F0D" w:rsidRDefault="00AC2249" w:rsidP="00E76F0D">
      <w:pPr>
        <w:spacing w:line="240" w:lineRule="atLeast"/>
        <w:jc w:val="both"/>
        <w:rPr>
          <w:rFonts w:ascii="Arial" w:hAnsi="Arial" w:cs="Arial"/>
          <w:b/>
          <w:sz w:val="22"/>
          <w:szCs w:val="22"/>
          <w:lang w:val="en-AU"/>
        </w:rPr>
      </w:pPr>
      <w:r w:rsidRPr="00AC2249">
        <w:rPr>
          <w:rFonts w:ascii="Arial" w:hAnsi="Arial" w:cs="Arial"/>
          <w:b/>
          <w:sz w:val="22"/>
          <w:szCs w:val="22"/>
          <w:lang w:val="en-AU"/>
        </w:rPr>
        <w:t>POISON SCHEDULE OF THE MEDICINE</w:t>
      </w:r>
    </w:p>
    <w:p w:rsidR="00433C47" w:rsidRPr="00AC2249" w:rsidRDefault="00433C47" w:rsidP="00E76F0D">
      <w:pPr>
        <w:spacing w:line="240" w:lineRule="atLeast"/>
        <w:jc w:val="both"/>
        <w:rPr>
          <w:rFonts w:ascii="Arial" w:hAnsi="Arial" w:cs="Arial"/>
          <w:b/>
          <w:sz w:val="22"/>
          <w:szCs w:val="22"/>
          <w:lang w:val="en-AU"/>
        </w:rPr>
      </w:pPr>
    </w:p>
    <w:p w:rsidR="00AC2249" w:rsidRDefault="00AC2249" w:rsidP="00E76F0D">
      <w:pPr>
        <w:spacing w:line="240" w:lineRule="atLeast"/>
        <w:jc w:val="both"/>
        <w:rPr>
          <w:rFonts w:ascii="Arial" w:hAnsi="Arial" w:cs="Arial"/>
          <w:sz w:val="22"/>
          <w:szCs w:val="22"/>
          <w:lang w:val="en-AU"/>
        </w:rPr>
      </w:pPr>
      <w:r w:rsidRPr="00AC2249">
        <w:rPr>
          <w:rFonts w:ascii="Arial" w:hAnsi="Arial" w:cs="Arial"/>
          <w:b/>
          <w:sz w:val="22"/>
          <w:szCs w:val="22"/>
          <w:lang w:val="en-AU"/>
        </w:rPr>
        <w:t>S4</w:t>
      </w:r>
    </w:p>
    <w:p w:rsidR="00AC2249" w:rsidRPr="007A1703" w:rsidRDefault="00AC2249" w:rsidP="00E76F0D">
      <w:pPr>
        <w:spacing w:line="240" w:lineRule="atLeast"/>
        <w:jc w:val="both"/>
        <w:rPr>
          <w:rFonts w:ascii="Arial" w:hAnsi="Arial" w:cs="Arial"/>
          <w:sz w:val="22"/>
          <w:szCs w:val="22"/>
          <w:lang w:val="en-AU"/>
        </w:rPr>
      </w:pPr>
    </w:p>
    <w:p w:rsidR="00E76F0D" w:rsidRPr="00DA0F7A" w:rsidRDefault="00E76F0D" w:rsidP="00E76F0D">
      <w:pPr>
        <w:spacing w:line="240" w:lineRule="atLeast"/>
        <w:jc w:val="both"/>
        <w:rPr>
          <w:rFonts w:ascii="Arial" w:hAnsi="Arial" w:cs="Arial"/>
          <w:snapToGrid w:val="0"/>
          <w:sz w:val="22"/>
          <w:szCs w:val="22"/>
          <w:lang w:val="en-AU" w:eastAsia="en-US"/>
        </w:rPr>
      </w:pPr>
      <w:r w:rsidRPr="007A1703">
        <w:rPr>
          <w:rFonts w:ascii="Arial" w:hAnsi="Arial" w:cs="Arial"/>
          <w:b/>
          <w:sz w:val="22"/>
          <w:szCs w:val="22"/>
          <w:lang w:val="en-AU"/>
        </w:rPr>
        <w:t>DATE OF TGA APPROVAL:</w:t>
      </w:r>
      <w:r w:rsidR="003645C4" w:rsidRPr="007A1703">
        <w:rPr>
          <w:rFonts w:ascii="Arial" w:hAnsi="Arial" w:cs="Arial"/>
          <w:b/>
          <w:sz w:val="22"/>
          <w:szCs w:val="22"/>
          <w:lang w:val="en-AU"/>
        </w:rPr>
        <w:t xml:space="preserve"> </w:t>
      </w:r>
      <w:r w:rsidR="00B476BC" w:rsidRPr="00B476BC">
        <w:rPr>
          <w:rFonts w:ascii="Arial" w:hAnsi="Arial" w:cs="Arial"/>
          <w:sz w:val="22"/>
          <w:szCs w:val="22"/>
          <w:lang w:val="en-AU"/>
        </w:rPr>
        <w:t>17 October 2011</w:t>
      </w:r>
    </w:p>
    <w:p w:rsidR="00B476BC" w:rsidRDefault="00B476BC" w:rsidP="001B1962">
      <w:pPr>
        <w:spacing w:line="240" w:lineRule="atLeast"/>
        <w:jc w:val="both"/>
        <w:rPr>
          <w:rFonts w:ascii="Arial" w:hAnsi="Arial" w:cs="Arial"/>
          <w:sz w:val="22"/>
          <w:szCs w:val="22"/>
          <w:vertAlign w:val="superscript"/>
          <w:lang w:val="en-AU"/>
        </w:rPr>
      </w:pPr>
    </w:p>
    <w:p w:rsidR="001C444D" w:rsidRPr="007A1703" w:rsidRDefault="001C444D" w:rsidP="001B1962">
      <w:pPr>
        <w:spacing w:line="240" w:lineRule="atLeast"/>
        <w:jc w:val="both"/>
        <w:rPr>
          <w:rFonts w:ascii="Arial" w:hAnsi="Arial" w:cs="Arial"/>
          <w:snapToGrid w:val="0"/>
          <w:sz w:val="22"/>
          <w:szCs w:val="22"/>
          <w:lang w:val="en-AU" w:eastAsia="en-US"/>
        </w:rPr>
      </w:pPr>
      <w:r w:rsidRPr="007A1703">
        <w:rPr>
          <w:rFonts w:ascii="Arial" w:hAnsi="Arial" w:cs="Arial"/>
          <w:sz w:val="22"/>
          <w:szCs w:val="22"/>
          <w:vertAlign w:val="superscript"/>
          <w:lang w:val="en-AU"/>
        </w:rPr>
        <w:t>®</w:t>
      </w:r>
      <w:r w:rsidRPr="007A1703">
        <w:rPr>
          <w:rFonts w:ascii="Arial" w:hAnsi="Arial" w:cs="Arial"/>
          <w:sz w:val="22"/>
          <w:szCs w:val="22"/>
          <w:lang w:val="en-AU"/>
        </w:rPr>
        <w:t xml:space="preserve"> Registered Trade Mark</w:t>
      </w:r>
    </w:p>
    <w:sectPr w:rsidR="001C444D" w:rsidRPr="007A1703" w:rsidSect="007118F4">
      <w:headerReference w:type="default" r:id="rId11"/>
      <w:pgSz w:w="12240" w:h="15840" w:code="1"/>
      <w:pgMar w:top="1440" w:right="1325" w:bottom="994" w:left="1800" w:header="432" w:footer="0" w:gutter="0"/>
      <w:pgNumType w:start="5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65" w:rsidRDefault="00A00365">
      <w:r>
        <w:separator/>
      </w:r>
    </w:p>
  </w:endnote>
  <w:endnote w:type="continuationSeparator" w:id="0">
    <w:p w:rsidR="00A00365" w:rsidRDefault="00A00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67 CondensedBold">
    <w:altName w:val="Times New Roman"/>
    <w:panose1 w:val="00000000000000000000"/>
    <w:charset w:val="4D"/>
    <w:family w:val="auto"/>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65" w:rsidRDefault="00A00365">
      <w:r>
        <w:separator/>
      </w:r>
    </w:p>
  </w:footnote>
  <w:footnote w:type="continuationSeparator" w:id="0">
    <w:p w:rsidR="00A00365" w:rsidRDefault="00A00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shd w:val="clear" w:color="auto" w:fill="E4F2E0"/>
      <w:tblLook w:val="04A0"/>
    </w:tblPr>
    <w:tblGrid>
      <w:gridCol w:w="8720"/>
    </w:tblGrid>
    <w:tr w:rsidR="001A2734" w:rsidRPr="001A2734" w:rsidTr="001A2734">
      <w:tc>
        <w:tcPr>
          <w:tcW w:w="8720" w:type="dxa"/>
          <w:shd w:val="clear" w:color="auto" w:fill="E4F2E0"/>
        </w:tcPr>
        <w:p w:rsidR="001A2734" w:rsidRPr="001A2734" w:rsidRDefault="001A2734" w:rsidP="001A2734">
          <w:pPr>
            <w:spacing w:before="40" w:after="40" w:line="240" w:lineRule="atLeast"/>
            <w:rPr>
              <w:rFonts w:ascii="Cambria" w:eastAsia="Cambria" w:hAnsi="Cambria"/>
              <w:b/>
              <w:lang w:val="en-AU" w:eastAsia="en-US"/>
            </w:rPr>
          </w:pPr>
          <w:r w:rsidRPr="001A2734">
            <w:rPr>
              <w:rFonts w:ascii="Cambria" w:eastAsia="Cambria" w:hAnsi="Cambria"/>
              <w:b/>
              <w:lang w:val="en-AU" w:eastAsia="en-US"/>
            </w:rPr>
            <w:t xml:space="preserve">Attachment 1: Product information for </w:t>
          </w:r>
          <w:proofErr w:type="spellStart"/>
          <w:r w:rsidRPr="001A2734">
            <w:rPr>
              <w:rFonts w:ascii="Cambria" w:eastAsia="Cambria" w:hAnsi="Cambria"/>
              <w:b/>
              <w:lang w:val="en-AU" w:eastAsia="en-US"/>
            </w:rPr>
            <w:t>AusPAR</w:t>
          </w:r>
          <w:proofErr w:type="spellEnd"/>
          <w:r w:rsidRPr="001A2734">
            <w:rPr>
              <w:rFonts w:ascii="Cambria" w:eastAsia="Cambria" w:hAnsi="Cambria"/>
              <w:b/>
              <w:lang w:val="en-AU" w:eastAsia="en-US"/>
            </w:rPr>
            <w:t xml:space="preserve"> </w:t>
          </w:r>
          <w:proofErr w:type="spellStart"/>
          <w:r w:rsidRPr="001A2734">
            <w:rPr>
              <w:rFonts w:ascii="Cambria" w:eastAsia="Cambria" w:hAnsi="Cambria"/>
              <w:b/>
              <w:lang w:val="en-AU" w:eastAsia="en-US"/>
            </w:rPr>
            <w:t>Gamunex</w:t>
          </w:r>
          <w:proofErr w:type="spellEnd"/>
          <w:r w:rsidRPr="001A2734">
            <w:rPr>
              <w:rFonts w:ascii="Cambria" w:eastAsia="Cambria" w:hAnsi="Cambria"/>
              <w:b/>
              <w:lang w:val="en-AU" w:eastAsia="en-US"/>
            </w:rPr>
            <w:t xml:space="preserve"> Normal Immunoglobulin (human) </w:t>
          </w:r>
          <w:proofErr w:type="spellStart"/>
          <w:r w:rsidRPr="001A2734">
            <w:rPr>
              <w:rFonts w:ascii="Cambria" w:eastAsia="Cambria" w:hAnsi="Cambria"/>
              <w:b/>
              <w:lang w:val="en-AU" w:eastAsia="en-US"/>
            </w:rPr>
            <w:t>Talecris</w:t>
          </w:r>
          <w:proofErr w:type="spellEnd"/>
          <w:r w:rsidRPr="001A2734">
            <w:rPr>
              <w:rFonts w:ascii="Cambria" w:eastAsia="Cambria" w:hAnsi="Cambria"/>
              <w:b/>
              <w:lang w:val="en-AU" w:eastAsia="en-US"/>
            </w:rPr>
            <w:t xml:space="preserve"> </w:t>
          </w:r>
          <w:proofErr w:type="spellStart"/>
          <w:r w:rsidRPr="001A2734">
            <w:rPr>
              <w:rFonts w:ascii="Cambria" w:eastAsia="Cambria" w:hAnsi="Cambria"/>
              <w:b/>
              <w:lang w:val="en-AU" w:eastAsia="en-US"/>
            </w:rPr>
            <w:t>Biotherapeutics</w:t>
          </w:r>
          <w:proofErr w:type="spellEnd"/>
          <w:r w:rsidRPr="001A2734">
            <w:rPr>
              <w:rFonts w:ascii="Cambria" w:eastAsia="Cambria" w:hAnsi="Cambria"/>
              <w:b/>
              <w:lang w:val="en-AU" w:eastAsia="en-US"/>
            </w:rPr>
            <w:t xml:space="preserve"> Pty Ltd PM-2010-01870-3-201870-3-2 Final 13 December 2011. This Product Information was approved at the time this </w:t>
          </w:r>
          <w:proofErr w:type="spellStart"/>
          <w:r w:rsidRPr="001A2734">
            <w:rPr>
              <w:rFonts w:ascii="Cambria" w:eastAsia="Cambria" w:hAnsi="Cambria"/>
              <w:b/>
              <w:lang w:val="en-AU" w:eastAsia="en-US"/>
            </w:rPr>
            <w:t>AusPAR</w:t>
          </w:r>
          <w:proofErr w:type="spellEnd"/>
          <w:r w:rsidRPr="001A2734">
            <w:rPr>
              <w:rFonts w:ascii="Cambria" w:eastAsia="Cambria" w:hAnsi="Cambria"/>
              <w:b/>
              <w:lang w:val="en-AU" w:eastAsia="en-US"/>
            </w:rPr>
            <w:t xml:space="preserve"> was published.</w:t>
          </w:r>
        </w:p>
      </w:tc>
    </w:tr>
  </w:tbl>
  <w:p w:rsidR="009012BA" w:rsidRPr="001661D8" w:rsidRDefault="009012BA" w:rsidP="001661D8">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1D5D"/>
    <w:multiLevelType w:val="singleLevel"/>
    <w:tmpl w:val="F8B8759A"/>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
    <w:nsid w:val="10901F52"/>
    <w:multiLevelType w:val="multilevel"/>
    <w:tmpl w:val="A542705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1D432F9"/>
    <w:multiLevelType w:val="singleLevel"/>
    <w:tmpl w:val="8D4280AA"/>
    <w:lvl w:ilvl="0">
      <w:start w:val="28"/>
      <w:numFmt w:val="decimal"/>
      <w:lvlText w:val="%1."/>
      <w:lvlJc w:val="left"/>
      <w:pPr>
        <w:tabs>
          <w:tab w:val="num" w:pos="720"/>
        </w:tabs>
        <w:ind w:left="720" w:hanging="720"/>
      </w:pPr>
      <w:rPr>
        <w:rFonts w:hint="default"/>
      </w:rPr>
    </w:lvl>
  </w:abstractNum>
  <w:abstractNum w:abstractNumId="3">
    <w:nsid w:val="1A7237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140383"/>
    <w:multiLevelType w:val="hybridMultilevel"/>
    <w:tmpl w:val="D8E208E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3D019F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24B620B9"/>
    <w:multiLevelType w:val="hybridMultilevel"/>
    <w:tmpl w:val="2B64E1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49D1DA1"/>
    <w:multiLevelType w:val="hybridMultilevel"/>
    <w:tmpl w:val="DAE8B8BA"/>
    <w:lvl w:ilvl="0" w:tplc="2D6277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573F6D"/>
    <w:multiLevelType w:val="singleLevel"/>
    <w:tmpl w:val="0409000F"/>
    <w:lvl w:ilvl="0">
      <w:start w:val="38"/>
      <w:numFmt w:val="decimal"/>
      <w:lvlText w:val="%1."/>
      <w:lvlJc w:val="left"/>
      <w:pPr>
        <w:tabs>
          <w:tab w:val="num" w:pos="360"/>
        </w:tabs>
        <w:ind w:left="360" w:hanging="360"/>
      </w:pPr>
      <w:rPr>
        <w:rFonts w:hint="default"/>
      </w:rPr>
    </w:lvl>
  </w:abstractNum>
  <w:abstractNum w:abstractNumId="9">
    <w:nsid w:val="42921C7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nsid w:val="5E7D3AF4"/>
    <w:multiLevelType w:val="hybridMultilevel"/>
    <w:tmpl w:val="C890E7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1720C74"/>
    <w:multiLevelType w:val="hybridMultilevel"/>
    <w:tmpl w:val="C37C214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76A72419"/>
    <w:multiLevelType w:val="singleLevel"/>
    <w:tmpl w:val="04090001"/>
    <w:lvl w:ilvl="0">
      <w:start w:val="7137"/>
      <w:numFmt w:val="bullet"/>
      <w:lvlText w:val=""/>
      <w:lvlJc w:val="left"/>
      <w:pPr>
        <w:tabs>
          <w:tab w:val="num" w:pos="360"/>
        </w:tabs>
        <w:ind w:left="360" w:hanging="360"/>
      </w:pPr>
      <w:rPr>
        <w:rFonts w:ascii="Symbol" w:hAnsi="Symbol" w:hint="default"/>
      </w:rPr>
    </w:lvl>
  </w:abstractNum>
  <w:num w:numId="1">
    <w:abstractNumId w:val="9"/>
  </w:num>
  <w:num w:numId="2">
    <w:abstractNumId w:val="5"/>
  </w:num>
  <w:num w:numId="3">
    <w:abstractNumId w:val="12"/>
  </w:num>
  <w:num w:numId="4">
    <w:abstractNumId w:val="3"/>
  </w:num>
  <w:num w:numId="5">
    <w:abstractNumId w:val="8"/>
  </w:num>
  <w:num w:numId="6">
    <w:abstractNumId w:val="2"/>
  </w:num>
  <w:num w:numId="7">
    <w:abstractNumId w:val="11"/>
  </w:num>
  <w:num w:numId="8">
    <w:abstractNumId w:val="4"/>
  </w:num>
  <w:num w:numId="9">
    <w:abstractNumId w:val="6"/>
  </w:num>
  <w:num w:numId="10">
    <w:abstractNumId w:val="10"/>
  </w:num>
  <w:num w:numId="11">
    <w:abstractNumId w:val="7"/>
  </w:num>
  <w:num w:numId="12">
    <w:abstractNumId w:val="0"/>
  </w:num>
  <w:num w:numId="13">
    <w:abstractNumId w:val="0"/>
    <w:lvlOverride w:ilvl="0">
      <w:startOverride w:val="1"/>
    </w:lvlOverride>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1993254.enl&lt;/item&gt;&lt;/Libraries&gt;&lt;/ENLibraries&gt;"/>
    <w:docVar w:name="EN_Doc_Font_List_Name" w:val="Arial_x000D_TimesNewRoman"/>
    <w:docVar w:name="EN_Lib_Name_List_Name" w:val="17Literature PI.enl"/>
    <w:docVar w:name="EN_Main_Body_Style_Name" w:val="Numbered.ens"/>
  </w:docVars>
  <w:rsids>
    <w:rsidRoot w:val="001B1962"/>
    <w:rsid w:val="000011FB"/>
    <w:rsid w:val="000016B2"/>
    <w:rsid w:val="0000208E"/>
    <w:rsid w:val="000123E6"/>
    <w:rsid w:val="000166A3"/>
    <w:rsid w:val="0002039B"/>
    <w:rsid w:val="0002457D"/>
    <w:rsid w:val="00025756"/>
    <w:rsid w:val="00026FB3"/>
    <w:rsid w:val="00032AA6"/>
    <w:rsid w:val="0003434E"/>
    <w:rsid w:val="0004348F"/>
    <w:rsid w:val="00044034"/>
    <w:rsid w:val="0005268C"/>
    <w:rsid w:val="00054AFA"/>
    <w:rsid w:val="000575CF"/>
    <w:rsid w:val="00060D5B"/>
    <w:rsid w:val="0006700F"/>
    <w:rsid w:val="0006702B"/>
    <w:rsid w:val="00071593"/>
    <w:rsid w:val="00081B28"/>
    <w:rsid w:val="00085E65"/>
    <w:rsid w:val="00086987"/>
    <w:rsid w:val="00087720"/>
    <w:rsid w:val="000A0473"/>
    <w:rsid w:val="000A2EE3"/>
    <w:rsid w:val="000A4ED0"/>
    <w:rsid w:val="000B0746"/>
    <w:rsid w:val="000B1AA3"/>
    <w:rsid w:val="000B4BE7"/>
    <w:rsid w:val="000B4E7D"/>
    <w:rsid w:val="000B6243"/>
    <w:rsid w:val="000B794A"/>
    <w:rsid w:val="000C03D7"/>
    <w:rsid w:val="000C1112"/>
    <w:rsid w:val="000C171D"/>
    <w:rsid w:val="000C2138"/>
    <w:rsid w:val="000D2976"/>
    <w:rsid w:val="000D5970"/>
    <w:rsid w:val="000E441D"/>
    <w:rsid w:val="000F3415"/>
    <w:rsid w:val="00105A9B"/>
    <w:rsid w:val="00107532"/>
    <w:rsid w:val="0011125C"/>
    <w:rsid w:val="00111897"/>
    <w:rsid w:val="0011597A"/>
    <w:rsid w:val="001242E7"/>
    <w:rsid w:val="00124B9D"/>
    <w:rsid w:val="001273EC"/>
    <w:rsid w:val="00127946"/>
    <w:rsid w:val="00135C26"/>
    <w:rsid w:val="00143172"/>
    <w:rsid w:val="001458FF"/>
    <w:rsid w:val="00147606"/>
    <w:rsid w:val="00147D0D"/>
    <w:rsid w:val="00156AAE"/>
    <w:rsid w:val="001570DD"/>
    <w:rsid w:val="00161972"/>
    <w:rsid w:val="001620CD"/>
    <w:rsid w:val="00162DBE"/>
    <w:rsid w:val="0016329D"/>
    <w:rsid w:val="0016487A"/>
    <w:rsid w:val="001661D8"/>
    <w:rsid w:val="00170CC0"/>
    <w:rsid w:val="00172223"/>
    <w:rsid w:val="00172B5B"/>
    <w:rsid w:val="001748B2"/>
    <w:rsid w:val="00174A69"/>
    <w:rsid w:val="00176D8A"/>
    <w:rsid w:val="001813CA"/>
    <w:rsid w:val="0018649E"/>
    <w:rsid w:val="001942C0"/>
    <w:rsid w:val="001A0DC9"/>
    <w:rsid w:val="001A2734"/>
    <w:rsid w:val="001A7877"/>
    <w:rsid w:val="001B1962"/>
    <w:rsid w:val="001B2947"/>
    <w:rsid w:val="001B2CC4"/>
    <w:rsid w:val="001C444D"/>
    <w:rsid w:val="001D21DE"/>
    <w:rsid w:val="001D484E"/>
    <w:rsid w:val="001D7FA3"/>
    <w:rsid w:val="001E063E"/>
    <w:rsid w:val="001E63CB"/>
    <w:rsid w:val="001F7FD5"/>
    <w:rsid w:val="002032D9"/>
    <w:rsid w:val="00204616"/>
    <w:rsid w:val="0020475E"/>
    <w:rsid w:val="00217363"/>
    <w:rsid w:val="00223404"/>
    <w:rsid w:val="00223E64"/>
    <w:rsid w:val="0022576F"/>
    <w:rsid w:val="002263B7"/>
    <w:rsid w:val="0022767F"/>
    <w:rsid w:val="00251710"/>
    <w:rsid w:val="00252824"/>
    <w:rsid w:val="002579EB"/>
    <w:rsid w:val="002607A1"/>
    <w:rsid w:val="002633F9"/>
    <w:rsid w:val="00263A50"/>
    <w:rsid w:val="00264C13"/>
    <w:rsid w:val="00270804"/>
    <w:rsid w:val="00282F40"/>
    <w:rsid w:val="00287B97"/>
    <w:rsid w:val="002A38C0"/>
    <w:rsid w:val="002B19C6"/>
    <w:rsid w:val="002B545D"/>
    <w:rsid w:val="002B7ED7"/>
    <w:rsid w:val="002C3D6F"/>
    <w:rsid w:val="002C54F4"/>
    <w:rsid w:val="002D721C"/>
    <w:rsid w:val="002E3488"/>
    <w:rsid w:val="002E389C"/>
    <w:rsid w:val="002F123A"/>
    <w:rsid w:val="002F34FC"/>
    <w:rsid w:val="002F58B6"/>
    <w:rsid w:val="003046E7"/>
    <w:rsid w:val="00312743"/>
    <w:rsid w:val="00314710"/>
    <w:rsid w:val="00325407"/>
    <w:rsid w:val="003277CC"/>
    <w:rsid w:val="00332067"/>
    <w:rsid w:val="00344A16"/>
    <w:rsid w:val="00363DF7"/>
    <w:rsid w:val="00364175"/>
    <w:rsid w:val="003645C4"/>
    <w:rsid w:val="0037530F"/>
    <w:rsid w:val="00377A2F"/>
    <w:rsid w:val="00386FCD"/>
    <w:rsid w:val="00392A6A"/>
    <w:rsid w:val="00396656"/>
    <w:rsid w:val="0039773F"/>
    <w:rsid w:val="003A1191"/>
    <w:rsid w:val="003A55A2"/>
    <w:rsid w:val="003A5AF4"/>
    <w:rsid w:val="003B24DD"/>
    <w:rsid w:val="003B7382"/>
    <w:rsid w:val="003C43CA"/>
    <w:rsid w:val="003D3456"/>
    <w:rsid w:val="003E249A"/>
    <w:rsid w:val="003E3811"/>
    <w:rsid w:val="003E5FA4"/>
    <w:rsid w:val="003F17C2"/>
    <w:rsid w:val="003F2ED3"/>
    <w:rsid w:val="0040137E"/>
    <w:rsid w:val="004044FC"/>
    <w:rsid w:val="004065EE"/>
    <w:rsid w:val="00406830"/>
    <w:rsid w:val="00406B79"/>
    <w:rsid w:val="00416871"/>
    <w:rsid w:val="00433C47"/>
    <w:rsid w:val="004352B1"/>
    <w:rsid w:val="004356FF"/>
    <w:rsid w:val="00436D57"/>
    <w:rsid w:val="00444474"/>
    <w:rsid w:val="00446725"/>
    <w:rsid w:val="00452CD0"/>
    <w:rsid w:val="0045732D"/>
    <w:rsid w:val="00462A45"/>
    <w:rsid w:val="00464A1F"/>
    <w:rsid w:val="00467598"/>
    <w:rsid w:val="00467E52"/>
    <w:rsid w:val="0047740E"/>
    <w:rsid w:val="0048786D"/>
    <w:rsid w:val="004950DC"/>
    <w:rsid w:val="004963DC"/>
    <w:rsid w:val="004A799E"/>
    <w:rsid w:val="004C134D"/>
    <w:rsid w:val="004C280D"/>
    <w:rsid w:val="004C2D8A"/>
    <w:rsid w:val="004C3586"/>
    <w:rsid w:val="004C603F"/>
    <w:rsid w:val="004C7FE9"/>
    <w:rsid w:val="004D2F68"/>
    <w:rsid w:val="004D3D3C"/>
    <w:rsid w:val="004D6E28"/>
    <w:rsid w:val="004D79EA"/>
    <w:rsid w:val="004E3788"/>
    <w:rsid w:val="004E5624"/>
    <w:rsid w:val="004F25D8"/>
    <w:rsid w:val="004F2DFF"/>
    <w:rsid w:val="0050102F"/>
    <w:rsid w:val="0051012E"/>
    <w:rsid w:val="00510AB9"/>
    <w:rsid w:val="005141FF"/>
    <w:rsid w:val="005164B4"/>
    <w:rsid w:val="00521F66"/>
    <w:rsid w:val="00532AFB"/>
    <w:rsid w:val="00536D1F"/>
    <w:rsid w:val="00541DFA"/>
    <w:rsid w:val="00543FB1"/>
    <w:rsid w:val="00547084"/>
    <w:rsid w:val="00547A99"/>
    <w:rsid w:val="00561D49"/>
    <w:rsid w:val="00562D13"/>
    <w:rsid w:val="0056420E"/>
    <w:rsid w:val="0057078D"/>
    <w:rsid w:val="00575B07"/>
    <w:rsid w:val="0057605A"/>
    <w:rsid w:val="00576A3F"/>
    <w:rsid w:val="005838FF"/>
    <w:rsid w:val="00583DEB"/>
    <w:rsid w:val="0058442F"/>
    <w:rsid w:val="00584A43"/>
    <w:rsid w:val="00585C0F"/>
    <w:rsid w:val="0059522D"/>
    <w:rsid w:val="005A0637"/>
    <w:rsid w:val="005A21B3"/>
    <w:rsid w:val="005A5453"/>
    <w:rsid w:val="005A6D61"/>
    <w:rsid w:val="005B1EEB"/>
    <w:rsid w:val="005B1F80"/>
    <w:rsid w:val="005B2AA1"/>
    <w:rsid w:val="005C1FFC"/>
    <w:rsid w:val="005C5A9C"/>
    <w:rsid w:val="005C7C59"/>
    <w:rsid w:val="005D2ABA"/>
    <w:rsid w:val="005D5711"/>
    <w:rsid w:val="005D7560"/>
    <w:rsid w:val="005F0DD3"/>
    <w:rsid w:val="00601867"/>
    <w:rsid w:val="006018A0"/>
    <w:rsid w:val="00601B5D"/>
    <w:rsid w:val="006022B4"/>
    <w:rsid w:val="00602AE6"/>
    <w:rsid w:val="00604CB9"/>
    <w:rsid w:val="006105D1"/>
    <w:rsid w:val="006166B9"/>
    <w:rsid w:val="00616BAF"/>
    <w:rsid w:val="006204C3"/>
    <w:rsid w:val="00621F92"/>
    <w:rsid w:val="00627036"/>
    <w:rsid w:val="00632318"/>
    <w:rsid w:val="00642B9B"/>
    <w:rsid w:val="0064758D"/>
    <w:rsid w:val="00653FDF"/>
    <w:rsid w:val="00656455"/>
    <w:rsid w:val="00666571"/>
    <w:rsid w:val="006701E3"/>
    <w:rsid w:val="0067355C"/>
    <w:rsid w:val="00673B8D"/>
    <w:rsid w:val="00686982"/>
    <w:rsid w:val="00687D43"/>
    <w:rsid w:val="00695EC2"/>
    <w:rsid w:val="00696217"/>
    <w:rsid w:val="006A7F75"/>
    <w:rsid w:val="006C1E20"/>
    <w:rsid w:val="006C3BB5"/>
    <w:rsid w:val="006C7FA2"/>
    <w:rsid w:val="006D19A9"/>
    <w:rsid w:val="006D6AE3"/>
    <w:rsid w:val="006E7A6B"/>
    <w:rsid w:val="006F11E9"/>
    <w:rsid w:val="006F4095"/>
    <w:rsid w:val="006F7A6B"/>
    <w:rsid w:val="00701C91"/>
    <w:rsid w:val="00706D42"/>
    <w:rsid w:val="007118F4"/>
    <w:rsid w:val="00712A9B"/>
    <w:rsid w:val="00715730"/>
    <w:rsid w:val="00717E2A"/>
    <w:rsid w:val="007217D5"/>
    <w:rsid w:val="007232C9"/>
    <w:rsid w:val="00731C19"/>
    <w:rsid w:val="0073480B"/>
    <w:rsid w:val="00734E10"/>
    <w:rsid w:val="00736A3C"/>
    <w:rsid w:val="007370CE"/>
    <w:rsid w:val="0074366C"/>
    <w:rsid w:val="007573BF"/>
    <w:rsid w:val="00764B26"/>
    <w:rsid w:val="00764DB0"/>
    <w:rsid w:val="00782FE1"/>
    <w:rsid w:val="00791D41"/>
    <w:rsid w:val="007A1703"/>
    <w:rsid w:val="007A17EF"/>
    <w:rsid w:val="007A3AFF"/>
    <w:rsid w:val="007A4B4A"/>
    <w:rsid w:val="007B7E96"/>
    <w:rsid w:val="007C4530"/>
    <w:rsid w:val="007D1A1E"/>
    <w:rsid w:val="007D5199"/>
    <w:rsid w:val="007E118B"/>
    <w:rsid w:val="007E5E1B"/>
    <w:rsid w:val="00803EEC"/>
    <w:rsid w:val="00814AE1"/>
    <w:rsid w:val="00822BCA"/>
    <w:rsid w:val="008317DC"/>
    <w:rsid w:val="00840E2E"/>
    <w:rsid w:val="00842E31"/>
    <w:rsid w:val="008447FE"/>
    <w:rsid w:val="00855245"/>
    <w:rsid w:val="00862DFB"/>
    <w:rsid w:val="008727AB"/>
    <w:rsid w:val="008727E7"/>
    <w:rsid w:val="00873258"/>
    <w:rsid w:val="00876AA0"/>
    <w:rsid w:val="008826BB"/>
    <w:rsid w:val="008933C7"/>
    <w:rsid w:val="008A04D3"/>
    <w:rsid w:val="008C0BAB"/>
    <w:rsid w:val="008C17FC"/>
    <w:rsid w:val="008C2FF1"/>
    <w:rsid w:val="008C3C0B"/>
    <w:rsid w:val="008C416B"/>
    <w:rsid w:val="008E4FE7"/>
    <w:rsid w:val="008E64B3"/>
    <w:rsid w:val="008F7A38"/>
    <w:rsid w:val="009012BA"/>
    <w:rsid w:val="0090190C"/>
    <w:rsid w:val="0090540A"/>
    <w:rsid w:val="00906DCF"/>
    <w:rsid w:val="00910524"/>
    <w:rsid w:val="00911E1C"/>
    <w:rsid w:val="00912177"/>
    <w:rsid w:val="00914CDA"/>
    <w:rsid w:val="0091667C"/>
    <w:rsid w:val="00917BE1"/>
    <w:rsid w:val="00924C3E"/>
    <w:rsid w:val="009266BC"/>
    <w:rsid w:val="00931AFF"/>
    <w:rsid w:val="00933DE8"/>
    <w:rsid w:val="00945C96"/>
    <w:rsid w:val="009475CA"/>
    <w:rsid w:val="009517F0"/>
    <w:rsid w:val="009547CC"/>
    <w:rsid w:val="00954C02"/>
    <w:rsid w:val="009648F4"/>
    <w:rsid w:val="009728E9"/>
    <w:rsid w:val="00973227"/>
    <w:rsid w:val="00976EE4"/>
    <w:rsid w:val="0098457E"/>
    <w:rsid w:val="00993790"/>
    <w:rsid w:val="00994D2A"/>
    <w:rsid w:val="009956E7"/>
    <w:rsid w:val="009B2D39"/>
    <w:rsid w:val="009B3D86"/>
    <w:rsid w:val="009B4C91"/>
    <w:rsid w:val="009C0481"/>
    <w:rsid w:val="009C25CA"/>
    <w:rsid w:val="009C493C"/>
    <w:rsid w:val="009C73AB"/>
    <w:rsid w:val="009E019D"/>
    <w:rsid w:val="009F04F8"/>
    <w:rsid w:val="009F393B"/>
    <w:rsid w:val="009F478B"/>
    <w:rsid w:val="009F6BBB"/>
    <w:rsid w:val="009F6F9F"/>
    <w:rsid w:val="00A00365"/>
    <w:rsid w:val="00A0167C"/>
    <w:rsid w:val="00A01B29"/>
    <w:rsid w:val="00A02878"/>
    <w:rsid w:val="00A160B4"/>
    <w:rsid w:val="00A23F58"/>
    <w:rsid w:val="00A365C9"/>
    <w:rsid w:val="00A41EFE"/>
    <w:rsid w:val="00A42F64"/>
    <w:rsid w:val="00A53AA8"/>
    <w:rsid w:val="00A6186F"/>
    <w:rsid w:val="00A62FC2"/>
    <w:rsid w:val="00A67A36"/>
    <w:rsid w:val="00A7591E"/>
    <w:rsid w:val="00A76FBE"/>
    <w:rsid w:val="00A828C7"/>
    <w:rsid w:val="00A942D3"/>
    <w:rsid w:val="00A94FC4"/>
    <w:rsid w:val="00A96997"/>
    <w:rsid w:val="00AA33A0"/>
    <w:rsid w:val="00AA4213"/>
    <w:rsid w:val="00AA6A91"/>
    <w:rsid w:val="00AB13F9"/>
    <w:rsid w:val="00AB6B6A"/>
    <w:rsid w:val="00AC2249"/>
    <w:rsid w:val="00AC3AD9"/>
    <w:rsid w:val="00AC6FA2"/>
    <w:rsid w:val="00AC7656"/>
    <w:rsid w:val="00AE4868"/>
    <w:rsid w:val="00AE5637"/>
    <w:rsid w:val="00AF3144"/>
    <w:rsid w:val="00AF695F"/>
    <w:rsid w:val="00B04BA6"/>
    <w:rsid w:val="00B056BE"/>
    <w:rsid w:val="00B12B55"/>
    <w:rsid w:val="00B219FA"/>
    <w:rsid w:val="00B276F8"/>
    <w:rsid w:val="00B32898"/>
    <w:rsid w:val="00B34169"/>
    <w:rsid w:val="00B356FD"/>
    <w:rsid w:val="00B363F7"/>
    <w:rsid w:val="00B476BC"/>
    <w:rsid w:val="00B57AC5"/>
    <w:rsid w:val="00B62763"/>
    <w:rsid w:val="00B62A06"/>
    <w:rsid w:val="00B7020F"/>
    <w:rsid w:val="00B72FBC"/>
    <w:rsid w:val="00B811A6"/>
    <w:rsid w:val="00B91373"/>
    <w:rsid w:val="00BA65FB"/>
    <w:rsid w:val="00BA66A6"/>
    <w:rsid w:val="00BB1D7E"/>
    <w:rsid w:val="00BB21E4"/>
    <w:rsid w:val="00BB40D4"/>
    <w:rsid w:val="00BC130A"/>
    <w:rsid w:val="00BC2101"/>
    <w:rsid w:val="00BC4DD2"/>
    <w:rsid w:val="00BC4E33"/>
    <w:rsid w:val="00BD1D3A"/>
    <w:rsid w:val="00BD3E7A"/>
    <w:rsid w:val="00BD4102"/>
    <w:rsid w:val="00BD611F"/>
    <w:rsid w:val="00BD668A"/>
    <w:rsid w:val="00C040A3"/>
    <w:rsid w:val="00C15792"/>
    <w:rsid w:val="00C1627A"/>
    <w:rsid w:val="00C24747"/>
    <w:rsid w:val="00C25CDA"/>
    <w:rsid w:val="00C265E3"/>
    <w:rsid w:val="00C312A5"/>
    <w:rsid w:val="00C321FF"/>
    <w:rsid w:val="00C347EE"/>
    <w:rsid w:val="00C350EE"/>
    <w:rsid w:val="00C35C74"/>
    <w:rsid w:val="00C454D6"/>
    <w:rsid w:val="00C4565F"/>
    <w:rsid w:val="00C47590"/>
    <w:rsid w:val="00C544A9"/>
    <w:rsid w:val="00C556B3"/>
    <w:rsid w:val="00C666E4"/>
    <w:rsid w:val="00C70BD1"/>
    <w:rsid w:val="00C71120"/>
    <w:rsid w:val="00C72529"/>
    <w:rsid w:val="00C73F90"/>
    <w:rsid w:val="00C802AC"/>
    <w:rsid w:val="00C81835"/>
    <w:rsid w:val="00C81E3D"/>
    <w:rsid w:val="00C856BC"/>
    <w:rsid w:val="00C867F9"/>
    <w:rsid w:val="00CB2C0F"/>
    <w:rsid w:val="00CB428F"/>
    <w:rsid w:val="00CC36D1"/>
    <w:rsid w:val="00CC410F"/>
    <w:rsid w:val="00CC422D"/>
    <w:rsid w:val="00CD0D71"/>
    <w:rsid w:val="00CD1D5D"/>
    <w:rsid w:val="00CD6BF0"/>
    <w:rsid w:val="00CE49B1"/>
    <w:rsid w:val="00CF06DA"/>
    <w:rsid w:val="00CF1354"/>
    <w:rsid w:val="00D00EF9"/>
    <w:rsid w:val="00D013D4"/>
    <w:rsid w:val="00D02866"/>
    <w:rsid w:val="00D14B96"/>
    <w:rsid w:val="00D15A3C"/>
    <w:rsid w:val="00D208EA"/>
    <w:rsid w:val="00D27ABE"/>
    <w:rsid w:val="00D31533"/>
    <w:rsid w:val="00D322FE"/>
    <w:rsid w:val="00D429A4"/>
    <w:rsid w:val="00D438EF"/>
    <w:rsid w:val="00D4412A"/>
    <w:rsid w:val="00D45667"/>
    <w:rsid w:val="00D4784F"/>
    <w:rsid w:val="00D47D02"/>
    <w:rsid w:val="00D50A66"/>
    <w:rsid w:val="00D564FE"/>
    <w:rsid w:val="00D643D8"/>
    <w:rsid w:val="00D70C26"/>
    <w:rsid w:val="00D74F8A"/>
    <w:rsid w:val="00D753AF"/>
    <w:rsid w:val="00D771C7"/>
    <w:rsid w:val="00D801C1"/>
    <w:rsid w:val="00D801C4"/>
    <w:rsid w:val="00D815B4"/>
    <w:rsid w:val="00D81FA9"/>
    <w:rsid w:val="00D859FF"/>
    <w:rsid w:val="00D87A21"/>
    <w:rsid w:val="00D92742"/>
    <w:rsid w:val="00D9415F"/>
    <w:rsid w:val="00D95494"/>
    <w:rsid w:val="00D97D77"/>
    <w:rsid w:val="00DA0F7A"/>
    <w:rsid w:val="00DA3C17"/>
    <w:rsid w:val="00DB7DFD"/>
    <w:rsid w:val="00DC4898"/>
    <w:rsid w:val="00DC7464"/>
    <w:rsid w:val="00DD4DA6"/>
    <w:rsid w:val="00DD59FA"/>
    <w:rsid w:val="00DD7AFF"/>
    <w:rsid w:val="00DE04C8"/>
    <w:rsid w:val="00DE3A0B"/>
    <w:rsid w:val="00DE5F6C"/>
    <w:rsid w:val="00DE706C"/>
    <w:rsid w:val="00DF2070"/>
    <w:rsid w:val="00DF7285"/>
    <w:rsid w:val="00E011D2"/>
    <w:rsid w:val="00E057B6"/>
    <w:rsid w:val="00E06801"/>
    <w:rsid w:val="00E07692"/>
    <w:rsid w:val="00E1091E"/>
    <w:rsid w:val="00E14D4C"/>
    <w:rsid w:val="00E366CD"/>
    <w:rsid w:val="00E373D6"/>
    <w:rsid w:val="00E42DEF"/>
    <w:rsid w:val="00E439E8"/>
    <w:rsid w:val="00E51B34"/>
    <w:rsid w:val="00E53E74"/>
    <w:rsid w:val="00E6240D"/>
    <w:rsid w:val="00E70EFD"/>
    <w:rsid w:val="00E73063"/>
    <w:rsid w:val="00E76F0D"/>
    <w:rsid w:val="00E86205"/>
    <w:rsid w:val="00E935F5"/>
    <w:rsid w:val="00E97F3E"/>
    <w:rsid w:val="00EA31E7"/>
    <w:rsid w:val="00EB1D1E"/>
    <w:rsid w:val="00EB633F"/>
    <w:rsid w:val="00EC0331"/>
    <w:rsid w:val="00ED3208"/>
    <w:rsid w:val="00EE1887"/>
    <w:rsid w:val="00EE34FD"/>
    <w:rsid w:val="00EF10B4"/>
    <w:rsid w:val="00EF1A26"/>
    <w:rsid w:val="00EF2537"/>
    <w:rsid w:val="00EF4C6A"/>
    <w:rsid w:val="00EF5DF4"/>
    <w:rsid w:val="00EF796C"/>
    <w:rsid w:val="00F17EDF"/>
    <w:rsid w:val="00F20E20"/>
    <w:rsid w:val="00F2200E"/>
    <w:rsid w:val="00F24384"/>
    <w:rsid w:val="00F248DD"/>
    <w:rsid w:val="00F30242"/>
    <w:rsid w:val="00F3101C"/>
    <w:rsid w:val="00F349CE"/>
    <w:rsid w:val="00F37DE8"/>
    <w:rsid w:val="00F40CE9"/>
    <w:rsid w:val="00F47F8D"/>
    <w:rsid w:val="00F50FA5"/>
    <w:rsid w:val="00F60966"/>
    <w:rsid w:val="00F63E5F"/>
    <w:rsid w:val="00F651EF"/>
    <w:rsid w:val="00F67DA4"/>
    <w:rsid w:val="00F75974"/>
    <w:rsid w:val="00F9361F"/>
    <w:rsid w:val="00F942B3"/>
    <w:rsid w:val="00FA0141"/>
    <w:rsid w:val="00FA1F3F"/>
    <w:rsid w:val="00FA4DDA"/>
    <w:rsid w:val="00FB04F1"/>
    <w:rsid w:val="00FB2B44"/>
    <w:rsid w:val="00FB6996"/>
    <w:rsid w:val="00FC5942"/>
    <w:rsid w:val="00FC772B"/>
    <w:rsid w:val="00FD410B"/>
    <w:rsid w:val="00FD71F0"/>
    <w:rsid w:val="00FE3658"/>
    <w:rsid w:val="00FE3E44"/>
    <w:rsid w:val="00FF47E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91"/>
    <w:rPr>
      <w:lang w:val="en-US"/>
    </w:rPr>
  </w:style>
  <w:style w:type="paragraph" w:styleId="Heading1">
    <w:name w:val="heading 1"/>
    <w:basedOn w:val="Normal"/>
    <w:next w:val="Normal"/>
    <w:qFormat/>
    <w:rsid w:val="009B4C91"/>
    <w:pPr>
      <w:keepNext/>
      <w:jc w:val="center"/>
      <w:outlineLvl w:val="0"/>
    </w:pPr>
    <w:rPr>
      <w:rFonts w:ascii="Arial" w:hAnsi="Arial"/>
      <w:b/>
    </w:rPr>
  </w:style>
  <w:style w:type="paragraph" w:styleId="Heading2">
    <w:name w:val="heading 2"/>
    <w:aliases w:val="Bayer Heading 2"/>
    <w:basedOn w:val="Normal"/>
    <w:next w:val="Normal"/>
    <w:qFormat/>
    <w:rsid w:val="009B4C91"/>
    <w:pPr>
      <w:keepNext/>
      <w:outlineLvl w:val="1"/>
    </w:pPr>
    <w:rPr>
      <w:b/>
    </w:rPr>
  </w:style>
  <w:style w:type="paragraph" w:styleId="Heading3">
    <w:name w:val="heading 3"/>
    <w:aliases w:val="Bayer Heading 3"/>
    <w:basedOn w:val="Normal"/>
    <w:next w:val="Normal"/>
    <w:qFormat/>
    <w:rsid w:val="009B4C91"/>
    <w:pPr>
      <w:keepNext/>
      <w:outlineLvl w:val="2"/>
    </w:pPr>
    <w:rPr>
      <w:b/>
      <w:i/>
    </w:rPr>
  </w:style>
  <w:style w:type="paragraph" w:styleId="Heading4">
    <w:name w:val="heading 4"/>
    <w:basedOn w:val="Normal"/>
    <w:next w:val="Normal"/>
    <w:qFormat/>
    <w:rsid w:val="009B4C91"/>
    <w:pPr>
      <w:keepNext/>
      <w:spacing w:before="80"/>
      <w:jc w:val="both"/>
      <w:outlineLvl w:val="3"/>
    </w:pPr>
    <w:rPr>
      <w:rFonts w:ascii="Arial" w:hAnsi="Arial"/>
      <w:b/>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mm1">
    <w:name w:val="Lemm1"/>
    <w:basedOn w:val="Normal"/>
    <w:rsid w:val="009B4C91"/>
    <w:rPr>
      <w:rFonts w:ascii="Arial" w:hAnsi="Arial"/>
      <w:sz w:val="22"/>
    </w:rPr>
  </w:style>
  <w:style w:type="paragraph" w:customStyle="1" w:styleId="Header1Arial">
    <w:name w:val="Header1 Arial"/>
    <w:basedOn w:val="Normal"/>
    <w:next w:val="Normal"/>
    <w:rsid w:val="009B4C91"/>
    <w:pPr>
      <w:spacing w:after="120"/>
    </w:pPr>
    <w:rPr>
      <w:rFonts w:ascii="Arial" w:hAnsi="Arial"/>
      <w:b/>
      <w:sz w:val="24"/>
    </w:rPr>
  </w:style>
  <w:style w:type="paragraph" w:customStyle="1" w:styleId="Label1Arial">
    <w:name w:val="Label1 Arial"/>
    <w:basedOn w:val="Normal"/>
    <w:rsid w:val="009B4C91"/>
    <w:pPr>
      <w:framePr w:hSpace="187" w:vSpace="187" w:wrap="around" w:vAnchor="text" w:hAnchor="text" w:y="1"/>
    </w:pPr>
    <w:rPr>
      <w:rFonts w:ascii="Arial" w:hAnsi="Arial"/>
      <w:b/>
      <w:sz w:val="28"/>
    </w:rPr>
  </w:style>
  <w:style w:type="paragraph" w:customStyle="1" w:styleId="Header2Arial14">
    <w:name w:val="Header2 Arial 14"/>
    <w:basedOn w:val="Normal"/>
    <w:next w:val="Normal"/>
    <w:rsid w:val="009B4C91"/>
    <w:pPr>
      <w:spacing w:after="240"/>
    </w:pPr>
    <w:rPr>
      <w:rFonts w:ascii="Arial" w:hAnsi="Arial"/>
      <w:b/>
      <w:sz w:val="28"/>
    </w:rPr>
  </w:style>
  <w:style w:type="paragraph" w:customStyle="1" w:styleId="NormalArial">
    <w:name w:val="Normal Arial"/>
    <w:basedOn w:val="Normal"/>
    <w:rsid w:val="009B4C91"/>
    <w:pPr>
      <w:spacing w:after="120"/>
    </w:pPr>
    <w:rPr>
      <w:rFonts w:ascii="Arial" w:hAnsi="Arial"/>
      <w:sz w:val="22"/>
    </w:rPr>
  </w:style>
  <w:style w:type="paragraph" w:styleId="BodyTextIndent2">
    <w:name w:val="Body Text Indent 2"/>
    <w:basedOn w:val="Normal"/>
    <w:rsid w:val="009B4C91"/>
    <w:pPr>
      <w:keepLines/>
      <w:tabs>
        <w:tab w:val="left" w:pos="294"/>
        <w:tab w:val="left" w:pos="588"/>
        <w:tab w:val="left" w:pos="882"/>
        <w:tab w:val="left" w:pos="1176"/>
        <w:tab w:val="left" w:pos="1470"/>
        <w:tab w:val="left" w:pos="1764"/>
        <w:tab w:val="left" w:pos="2058"/>
        <w:tab w:val="left" w:pos="2352"/>
        <w:tab w:val="left" w:pos="2646"/>
        <w:tab w:val="left" w:pos="2940"/>
        <w:tab w:val="left" w:pos="3234"/>
        <w:tab w:val="left" w:pos="3528"/>
        <w:tab w:val="left" w:pos="3822"/>
        <w:tab w:val="left" w:pos="4116"/>
        <w:tab w:val="left" w:pos="4351"/>
        <w:tab w:val="left" w:pos="4645"/>
        <w:tab w:val="left" w:pos="4939"/>
        <w:tab w:val="left" w:pos="5233"/>
        <w:tab w:val="left" w:pos="5527"/>
        <w:tab w:val="left" w:pos="5821"/>
        <w:tab w:val="left" w:pos="6115"/>
        <w:tab w:val="left" w:pos="6409"/>
        <w:tab w:val="left" w:pos="6703"/>
        <w:tab w:val="left" w:pos="6997"/>
        <w:tab w:val="left" w:pos="7291"/>
        <w:tab w:val="left" w:pos="7585"/>
        <w:tab w:val="left" w:pos="7879"/>
        <w:tab w:val="left" w:pos="8173"/>
        <w:tab w:val="left" w:pos="8467"/>
        <w:tab w:val="left" w:pos="8761"/>
        <w:tab w:val="left" w:pos="9055"/>
        <w:tab w:val="left" w:pos="9349"/>
        <w:tab w:val="left" w:pos="9584"/>
      </w:tabs>
      <w:spacing w:line="360" w:lineRule="atLeast"/>
      <w:ind w:left="2004" w:hanging="2004"/>
    </w:pPr>
    <w:rPr>
      <w:rFonts w:ascii="Univers" w:hAnsi="Univers"/>
    </w:rPr>
  </w:style>
  <w:style w:type="paragraph" w:styleId="Header">
    <w:name w:val="header"/>
    <w:basedOn w:val="Normal"/>
    <w:rsid w:val="009B4C91"/>
    <w:pPr>
      <w:tabs>
        <w:tab w:val="center" w:pos="4320"/>
        <w:tab w:val="right" w:pos="8640"/>
      </w:tabs>
    </w:pPr>
  </w:style>
  <w:style w:type="paragraph" w:styleId="Footer">
    <w:name w:val="footer"/>
    <w:basedOn w:val="Normal"/>
    <w:link w:val="FooterChar"/>
    <w:uiPriority w:val="99"/>
    <w:rsid w:val="009B4C91"/>
    <w:pPr>
      <w:tabs>
        <w:tab w:val="center" w:pos="4320"/>
        <w:tab w:val="right" w:pos="8640"/>
      </w:tabs>
    </w:pPr>
  </w:style>
  <w:style w:type="paragraph" w:customStyle="1" w:styleId="BayerBodytext">
    <w:name w:val="Bayer Body text"/>
    <w:basedOn w:val="Normal"/>
    <w:rsid w:val="009B4C91"/>
    <w:pPr>
      <w:spacing w:after="240" w:line="360" w:lineRule="auto"/>
      <w:ind w:left="907"/>
    </w:pPr>
    <w:rPr>
      <w:sz w:val="24"/>
      <w:lang w:val="en-GB"/>
    </w:rPr>
  </w:style>
  <w:style w:type="paragraph" w:styleId="BodyText2">
    <w:name w:val="Body Text 2"/>
    <w:basedOn w:val="Normal"/>
    <w:rsid w:val="009B4C91"/>
    <w:pPr>
      <w:ind w:left="360" w:hanging="360"/>
    </w:pPr>
    <w:rPr>
      <w:rFonts w:ascii="Arial" w:hAnsi="Arial"/>
    </w:rPr>
  </w:style>
  <w:style w:type="paragraph" w:styleId="BodyTextIndent">
    <w:name w:val="Body Text Indent"/>
    <w:basedOn w:val="Normal"/>
    <w:rsid w:val="009B4C91"/>
    <w:pPr>
      <w:ind w:firstLine="360"/>
    </w:pPr>
  </w:style>
  <w:style w:type="paragraph" w:styleId="DocumentMap">
    <w:name w:val="Document Map"/>
    <w:basedOn w:val="Normal"/>
    <w:semiHidden/>
    <w:rsid w:val="009B4C91"/>
    <w:pPr>
      <w:shd w:val="clear" w:color="auto" w:fill="000080"/>
    </w:pPr>
    <w:rPr>
      <w:rFonts w:ascii="Tahoma" w:hAnsi="Tahoma"/>
    </w:rPr>
  </w:style>
  <w:style w:type="paragraph" w:styleId="FootnoteText">
    <w:name w:val="footnote text"/>
    <w:basedOn w:val="Normal"/>
    <w:semiHidden/>
    <w:rsid w:val="009B4C91"/>
  </w:style>
  <w:style w:type="character" w:styleId="FootnoteReference">
    <w:name w:val="footnote reference"/>
    <w:basedOn w:val="DefaultParagraphFont"/>
    <w:semiHidden/>
    <w:rsid w:val="009B4C91"/>
    <w:rPr>
      <w:vertAlign w:val="superscript"/>
    </w:rPr>
  </w:style>
  <w:style w:type="paragraph" w:customStyle="1" w:styleId="Head2">
    <w:name w:val="Head 2"/>
    <w:basedOn w:val="Normal"/>
    <w:rsid w:val="009B4C91"/>
    <w:pPr>
      <w:spacing w:line="320" w:lineRule="exact"/>
    </w:pPr>
    <w:rPr>
      <w:rFonts w:ascii="Univers 67 CondensedBold" w:hAnsi="Univers 67 CondensedBold"/>
      <w:spacing w:val="10"/>
      <w:sz w:val="24"/>
    </w:rPr>
  </w:style>
  <w:style w:type="character" w:styleId="CommentReference">
    <w:name w:val="annotation reference"/>
    <w:basedOn w:val="DefaultParagraphFont"/>
    <w:semiHidden/>
    <w:rsid w:val="009B4C91"/>
    <w:rPr>
      <w:sz w:val="16"/>
    </w:rPr>
  </w:style>
  <w:style w:type="paragraph" w:styleId="CommentText">
    <w:name w:val="annotation text"/>
    <w:basedOn w:val="Normal"/>
    <w:semiHidden/>
    <w:rsid w:val="009B4C91"/>
  </w:style>
  <w:style w:type="paragraph" w:styleId="BodyText3">
    <w:name w:val="Body Text 3"/>
    <w:basedOn w:val="Normal"/>
    <w:rsid w:val="009B4C91"/>
    <w:rPr>
      <w:rFonts w:ascii="Arial" w:hAnsi="Arial"/>
      <w:sz w:val="22"/>
    </w:rPr>
  </w:style>
  <w:style w:type="paragraph" w:customStyle="1" w:styleId="New">
    <w:name w:val="New"/>
    <w:basedOn w:val="Normal"/>
    <w:rsid w:val="009B4C91"/>
    <w:rPr>
      <w:color w:val="0000FF"/>
      <w:sz w:val="52"/>
      <w:effect w:val="sparkle"/>
    </w:rPr>
  </w:style>
  <w:style w:type="character" w:styleId="LineNumber">
    <w:name w:val="line number"/>
    <w:basedOn w:val="DefaultParagraphFont"/>
    <w:rsid w:val="009B4C91"/>
  </w:style>
  <w:style w:type="character" w:styleId="Hyperlink">
    <w:name w:val="Hyperlink"/>
    <w:basedOn w:val="DefaultParagraphFont"/>
    <w:rsid w:val="009B4C91"/>
    <w:rPr>
      <w:color w:val="0000FF"/>
      <w:u w:val="single"/>
    </w:rPr>
  </w:style>
  <w:style w:type="character" w:styleId="PageNumber">
    <w:name w:val="page number"/>
    <w:basedOn w:val="DefaultParagraphFont"/>
    <w:rsid w:val="009B4C91"/>
  </w:style>
  <w:style w:type="paragraph" w:customStyle="1" w:styleId="Indent1Normal">
    <w:name w:val="Indent1 Normal"/>
    <w:basedOn w:val="Normal"/>
    <w:rsid w:val="009B4C91"/>
    <w:pPr>
      <w:spacing w:line="360" w:lineRule="atLeast"/>
      <w:ind w:left="720"/>
    </w:pPr>
    <w:rPr>
      <w:rFonts w:ascii="Arial" w:hAnsi="Arial"/>
      <w:sz w:val="22"/>
    </w:rPr>
  </w:style>
  <w:style w:type="character" w:styleId="FollowedHyperlink">
    <w:name w:val="FollowedHyperlink"/>
    <w:basedOn w:val="DefaultParagraphFont"/>
    <w:rsid w:val="009B4C91"/>
    <w:rPr>
      <w:color w:val="800080"/>
      <w:u w:val="single"/>
    </w:rPr>
  </w:style>
  <w:style w:type="paragraph" w:styleId="BodyText">
    <w:name w:val="Body Text"/>
    <w:basedOn w:val="Normal"/>
    <w:rsid w:val="009B4C91"/>
    <w:pPr>
      <w:jc w:val="both"/>
    </w:pPr>
    <w:rPr>
      <w:rFonts w:ascii="Arial" w:hAnsi="Arial"/>
    </w:rPr>
  </w:style>
  <w:style w:type="paragraph" w:styleId="BalloonText">
    <w:name w:val="Balloon Text"/>
    <w:basedOn w:val="Normal"/>
    <w:semiHidden/>
    <w:rsid w:val="00803EEC"/>
    <w:rPr>
      <w:rFonts w:ascii="Tahoma" w:hAnsi="Tahoma" w:cs="Tahoma"/>
      <w:sz w:val="16"/>
      <w:szCs w:val="16"/>
    </w:rPr>
  </w:style>
  <w:style w:type="paragraph" w:styleId="CommentSubject">
    <w:name w:val="annotation subject"/>
    <w:basedOn w:val="CommentText"/>
    <w:next w:val="CommentText"/>
    <w:semiHidden/>
    <w:rsid w:val="006105D1"/>
    <w:rPr>
      <w:b/>
      <w:bCs/>
    </w:rPr>
  </w:style>
  <w:style w:type="table" w:styleId="TableGrid">
    <w:name w:val="Table Grid"/>
    <w:basedOn w:val="TableNormal"/>
    <w:rsid w:val="00A0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dyTextChar">
    <w:name w:val="Normal Body Text Char"/>
    <w:basedOn w:val="Normal"/>
    <w:link w:val="NormalBodyTextCharChar"/>
    <w:rsid w:val="009F6BBB"/>
    <w:pPr>
      <w:spacing w:before="120" w:after="120"/>
    </w:pPr>
    <w:rPr>
      <w:sz w:val="24"/>
      <w:szCs w:val="24"/>
      <w:lang w:val="en-GB" w:eastAsia="en-US"/>
    </w:rPr>
  </w:style>
  <w:style w:type="character" w:customStyle="1" w:styleId="NormalBodyTextCharChar">
    <w:name w:val="Normal Body Text Char Char"/>
    <w:basedOn w:val="DefaultParagraphFont"/>
    <w:link w:val="NormalBodyTextChar"/>
    <w:rsid w:val="009F6BBB"/>
    <w:rPr>
      <w:sz w:val="24"/>
      <w:szCs w:val="24"/>
      <w:lang w:val="en-GB" w:eastAsia="en-US" w:bidi="ar-SA"/>
    </w:rPr>
  </w:style>
  <w:style w:type="paragraph" w:styleId="Caption">
    <w:name w:val="caption"/>
    <w:aliases w:val="Table Caption,Bayer Caption"/>
    <w:basedOn w:val="NormalBodyTextChar"/>
    <w:next w:val="NormalBodyTextChar"/>
    <w:qFormat/>
    <w:rsid w:val="009F6BBB"/>
    <w:pPr>
      <w:keepNext/>
    </w:pPr>
    <w:rPr>
      <w:b/>
      <w:bCs/>
      <w:sz w:val="20"/>
      <w:lang w:val="fr-CA"/>
    </w:rPr>
  </w:style>
  <w:style w:type="paragraph" w:customStyle="1" w:styleId="TableColumnHeadingCentre">
    <w:name w:val="Table Column Heading Centre"/>
    <w:basedOn w:val="Normal"/>
    <w:rsid w:val="009F6BBB"/>
    <w:pPr>
      <w:jc w:val="center"/>
    </w:pPr>
    <w:rPr>
      <w:b/>
      <w:szCs w:val="24"/>
      <w:lang w:val="fr-CA" w:eastAsia="en-US"/>
    </w:rPr>
  </w:style>
  <w:style w:type="paragraph" w:customStyle="1" w:styleId="TableRowHeadingLeft">
    <w:name w:val="Table Row Heading Left"/>
    <w:basedOn w:val="Normal"/>
    <w:link w:val="TableRowHeadingLeftChar"/>
    <w:rsid w:val="009F6BBB"/>
    <w:rPr>
      <w:szCs w:val="24"/>
      <w:lang w:val="en-CA" w:eastAsia="en-US"/>
    </w:rPr>
  </w:style>
  <w:style w:type="character" w:customStyle="1" w:styleId="TableRowHeadingLeftChar">
    <w:name w:val="Table Row Heading Left Char"/>
    <w:basedOn w:val="DefaultParagraphFont"/>
    <w:link w:val="TableRowHeadingLeft"/>
    <w:rsid w:val="009F6BBB"/>
    <w:rPr>
      <w:szCs w:val="24"/>
      <w:lang w:val="en-CA" w:eastAsia="en-US" w:bidi="ar-SA"/>
    </w:rPr>
  </w:style>
  <w:style w:type="paragraph" w:customStyle="1" w:styleId="TableHead">
    <w:name w:val="Table Head"/>
    <w:basedOn w:val="Normal"/>
    <w:rsid w:val="009F6BBB"/>
    <w:pPr>
      <w:spacing w:after="60"/>
      <w:jc w:val="center"/>
    </w:pPr>
    <w:rPr>
      <w:b/>
      <w:sz w:val="24"/>
      <w:szCs w:val="48"/>
      <w:lang w:eastAsia="en-US"/>
    </w:rPr>
  </w:style>
  <w:style w:type="paragraph" w:customStyle="1" w:styleId="TableCenter">
    <w:name w:val="Table Center"/>
    <w:basedOn w:val="Normal"/>
    <w:rsid w:val="009F6BBB"/>
    <w:pPr>
      <w:spacing w:after="60"/>
      <w:jc w:val="center"/>
    </w:pPr>
    <w:rPr>
      <w:sz w:val="24"/>
      <w:szCs w:val="24"/>
      <w:lang w:eastAsia="en-US"/>
    </w:rPr>
  </w:style>
  <w:style w:type="paragraph" w:customStyle="1" w:styleId="Paragraph">
    <w:name w:val="Paragraph"/>
    <w:link w:val="ParagraphChar"/>
    <w:rsid w:val="009F6BBB"/>
    <w:pPr>
      <w:spacing w:after="240"/>
    </w:pPr>
    <w:rPr>
      <w:sz w:val="24"/>
      <w:szCs w:val="24"/>
      <w:lang w:val="en-US" w:eastAsia="en-US"/>
    </w:rPr>
  </w:style>
  <w:style w:type="paragraph" w:customStyle="1" w:styleId="TableLeft">
    <w:name w:val="Table Left"/>
    <w:rsid w:val="009F6BBB"/>
    <w:pPr>
      <w:spacing w:after="60"/>
    </w:pPr>
    <w:rPr>
      <w:rFonts w:cs="Arial"/>
      <w:bCs/>
      <w:kern w:val="32"/>
      <w:sz w:val="24"/>
      <w:szCs w:val="24"/>
      <w:lang w:val="en-US" w:eastAsia="en-US"/>
    </w:rPr>
  </w:style>
  <w:style w:type="paragraph" w:customStyle="1" w:styleId="TableFootnoteLetter">
    <w:name w:val="Table Footnote Letter"/>
    <w:basedOn w:val="Normal"/>
    <w:rsid w:val="009F6BBB"/>
    <w:pPr>
      <w:numPr>
        <w:numId w:val="12"/>
      </w:numPr>
      <w:spacing w:after="60"/>
    </w:pPr>
    <w:rPr>
      <w:lang w:eastAsia="en-US"/>
    </w:rPr>
  </w:style>
  <w:style w:type="character" w:customStyle="1" w:styleId="ParagraphChar">
    <w:name w:val="Paragraph Char"/>
    <w:basedOn w:val="DefaultParagraphFont"/>
    <w:link w:val="Paragraph"/>
    <w:rsid w:val="009F6BBB"/>
    <w:rPr>
      <w:sz w:val="24"/>
      <w:szCs w:val="24"/>
      <w:lang w:val="en-US" w:eastAsia="en-US" w:bidi="ar-SA"/>
    </w:rPr>
  </w:style>
  <w:style w:type="paragraph" w:customStyle="1" w:styleId="NormalBodyText">
    <w:name w:val="Normal Body Text"/>
    <w:basedOn w:val="Normal"/>
    <w:rsid w:val="00706D42"/>
    <w:pPr>
      <w:spacing w:before="120" w:after="120"/>
    </w:pPr>
    <w:rPr>
      <w:sz w:val="24"/>
      <w:szCs w:val="24"/>
      <w:lang w:val="en-GB" w:eastAsia="en-US"/>
    </w:rPr>
  </w:style>
  <w:style w:type="paragraph" w:customStyle="1" w:styleId="Text">
    <w:name w:val="Text"/>
    <w:basedOn w:val="Normal"/>
    <w:rsid w:val="00601867"/>
    <w:pPr>
      <w:spacing w:after="120"/>
    </w:pPr>
    <w:rPr>
      <w:rFonts w:ascii="Helvetica" w:hAnsi="Helvetica"/>
      <w:sz w:val="24"/>
      <w:lang w:val="de-DE" w:eastAsia="de-DE"/>
    </w:rPr>
  </w:style>
  <w:style w:type="character" w:customStyle="1" w:styleId="A5">
    <w:name w:val="A5"/>
    <w:rsid w:val="00601867"/>
    <w:rPr>
      <w:rFonts w:cs="Frutiger 47LightCn"/>
      <w:color w:val="221E1F"/>
      <w:sz w:val="12"/>
      <w:szCs w:val="12"/>
    </w:rPr>
  </w:style>
  <w:style w:type="paragraph" w:customStyle="1" w:styleId="Pa2">
    <w:name w:val="Pa2"/>
    <w:basedOn w:val="Normal"/>
    <w:next w:val="Normal"/>
    <w:rsid w:val="00601867"/>
    <w:pPr>
      <w:autoSpaceDE w:val="0"/>
      <w:autoSpaceDN w:val="0"/>
      <w:adjustRightInd w:val="0"/>
      <w:spacing w:line="241" w:lineRule="atLeast"/>
    </w:pPr>
    <w:rPr>
      <w:rFonts w:ascii="Frutiger 47LightCn" w:hAnsi="Frutiger 47LightCn"/>
      <w:sz w:val="24"/>
      <w:szCs w:val="24"/>
      <w:lang w:eastAsia="en-US"/>
    </w:rPr>
  </w:style>
  <w:style w:type="character" w:customStyle="1" w:styleId="A6">
    <w:name w:val="A6"/>
    <w:rsid w:val="00601867"/>
    <w:rPr>
      <w:rFonts w:cs="Frutiger 47LightCn"/>
      <w:color w:val="221E1F"/>
      <w:sz w:val="7"/>
      <w:szCs w:val="7"/>
    </w:rPr>
  </w:style>
  <w:style w:type="paragraph" w:customStyle="1" w:styleId="TableFootnoteSymbol">
    <w:name w:val="Table Footnote Symbol"/>
    <w:basedOn w:val="Normal"/>
    <w:rsid w:val="00642B9B"/>
    <w:pPr>
      <w:spacing w:after="60"/>
    </w:pPr>
    <w:rPr>
      <w:szCs w:val="48"/>
      <w:lang w:eastAsia="en-US"/>
    </w:rPr>
  </w:style>
  <w:style w:type="paragraph" w:customStyle="1" w:styleId="Default">
    <w:name w:val="Default"/>
    <w:rsid w:val="00143172"/>
    <w:pPr>
      <w:autoSpaceDE w:val="0"/>
      <w:autoSpaceDN w:val="0"/>
      <w:adjustRightInd w:val="0"/>
    </w:pPr>
    <w:rPr>
      <w:color w:val="000000"/>
      <w:sz w:val="24"/>
      <w:szCs w:val="24"/>
      <w:lang w:val="en-US" w:eastAsia="en-US"/>
    </w:rPr>
  </w:style>
  <w:style w:type="character" w:styleId="Emphasis">
    <w:name w:val="Emphasis"/>
    <w:basedOn w:val="DefaultParagraphFont"/>
    <w:qFormat/>
    <w:rsid w:val="00EE1887"/>
    <w:rPr>
      <w:i/>
      <w:iCs/>
    </w:rPr>
  </w:style>
  <w:style w:type="character" w:customStyle="1" w:styleId="FooterChar">
    <w:name w:val="Footer Char"/>
    <w:basedOn w:val="DefaultParagraphFont"/>
    <w:link w:val="Footer"/>
    <w:uiPriority w:val="99"/>
    <w:rsid w:val="001661D8"/>
    <w:rPr>
      <w:lang w:val="en-US"/>
    </w:rPr>
  </w:style>
  <w:style w:type="table" w:customStyle="1" w:styleId="TableGrid1">
    <w:name w:val="Table Grid1"/>
    <w:basedOn w:val="TableNormal"/>
    <w:next w:val="TableGrid"/>
    <w:uiPriority w:val="59"/>
    <w:rsid w:val="001A2734"/>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518774">
      <w:bodyDiv w:val="1"/>
      <w:marLeft w:val="0"/>
      <w:marRight w:val="0"/>
      <w:marTop w:val="0"/>
      <w:marBottom w:val="0"/>
      <w:divBdr>
        <w:top w:val="none" w:sz="0" w:space="0" w:color="auto"/>
        <w:left w:val="none" w:sz="0" w:space="0" w:color="auto"/>
        <w:bottom w:val="none" w:sz="0" w:space="0" w:color="auto"/>
        <w:right w:val="none" w:sz="0" w:space="0" w:color="auto"/>
      </w:divBdr>
    </w:div>
    <w:div w:id="701444330">
      <w:bodyDiv w:val="1"/>
      <w:marLeft w:val="0"/>
      <w:marRight w:val="0"/>
      <w:marTop w:val="0"/>
      <w:marBottom w:val="0"/>
      <w:divBdr>
        <w:top w:val="none" w:sz="0" w:space="0" w:color="auto"/>
        <w:left w:val="none" w:sz="0" w:space="0" w:color="auto"/>
        <w:bottom w:val="none" w:sz="0" w:space="0" w:color="auto"/>
        <w:right w:val="none" w:sz="0" w:space="0" w:color="auto"/>
      </w:divBdr>
      <w:divsChild>
        <w:div w:id="549076304">
          <w:marLeft w:val="0"/>
          <w:marRight w:val="0"/>
          <w:marTop w:val="0"/>
          <w:marBottom w:val="0"/>
          <w:divBdr>
            <w:top w:val="none" w:sz="0" w:space="0" w:color="auto"/>
            <w:left w:val="none" w:sz="0" w:space="0" w:color="auto"/>
            <w:bottom w:val="none" w:sz="0" w:space="0" w:color="auto"/>
            <w:right w:val="none" w:sz="0" w:space="0" w:color="auto"/>
          </w:divBdr>
        </w:div>
        <w:div w:id="1133985904">
          <w:marLeft w:val="0"/>
          <w:marRight w:val="0"/>
          <w:marTop w:val="0"/>
          <w:marBottom w:val="0"/>
          <w:divBdr>
            <w:top w:val="none" w:sz="0" w:space="0" w:color="auto"/>
            <w:left w:val="none" w:sz="0" w:space="0" w:color="auto"/>
            <w:bottom w:val="none" w:sz="0" w:space="0" w:color="auto"/>
            <w:right w:val="none" w:sz="0" w:space="0" w:color="auto"/>
          </w:divBdr>
        </w:div>
      </w:divsChild>
    </w:div>
    <w:div w:id="1768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7008</Words>
  <Characters>39612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Package Insert IGIV-C, 10%</vt:lpstr>
    </vt:vector>
  </TitlesOfParts>
  <Company>Talecris Biotherapeutics Pty Ltd</Company>
  <LinksUpToDate>false</LinksUpToDate>
  <CharactersWithSpaces>46527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Normal Immunoglobulin (human)</dc:title>
  <dc:subject>prescription medicine regulation</dc:subject>
  <dc:creator>Talecris Biotherapeutics Pty Ltd</dc:creator>
  <cp:keywords>product, information, prescription, medicine, regulation, gamunex, normal, immunoglobulin, human, talecris, biotherapeutics</cp:keywords>
  <cp:lastModifiedBy>dixonj</cp:lastModifiedBy>
  <cp:revision>5</cp:revision>
  <cp:lastPrinted>2011-09-20T08:46:00Z</cp:lastPrinted>
  <dcterms:created xsi:type="dcterms:W3CDTF">2014-01-22T22:32:00Z</dcterms:created>
  <dcterms:modified xsi:type="dcterms:W3CDTF">2014-01-22T22:35:00Z</dcterms:modified>
</cp:coreProperties>
</file>