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7"/>
      </w:tblGrid>
      <w:tr w:rsidR="008E7846" w:rsidRPr="00487162" w14:paraId="4E844DF1" w14:textId="77777777" w:rsidTr="007628A4">
        <w:trPr>
          <w:trHeight w:val="1406"/>
        </w:trPr>
        <w:tc>
          <w:tcPr>
            <w:tcW w:w="8797" w:type="dxa"/>
            <w:tcBorders>
              <w:top w:val="nil"/>
              <w:left w:val="nil"/>
              <w:bottom w:val="nil"/>
              <w:right w:val="nil"/>
            </w:tcBorders>
          </w:tcPr>
          <w:p w14:paraId="69D629B9" w14:textId="269AE5C9" w:rsidR="007628A4" w:rsidRPr="001459F5" w:rsidRDefault="00C409B6" w:rsidP="007628A4">
            <w:pPr>
              <w:ind w:left="3119" w:hanging="3119"/>
              <w:rPr>
                <w:rFonts w:asciiTheme="majorHAnsi" w:hAnsiTheme="majorHAnsi" w:cstheme="majorHAnsi"/>
                <w:b/>
                <w:sz w:val="32"/>
                <w:szCs w:val="32"/>
              </w:rPr>
            </w:pPr>
            <w:r>
              <w:rPr>
                <w:rFonts w:asciiTheme="majorHAnsi" w:hAnsiTheme="majorHAnsi" w:cstheme="majorHAnsi"/>
                <w:b/>
                <w:sz w:val="32"/>
                <w:szCs w:val="32"/>
              </w:rPr>
              <w:t xml:space="preserve">First </w:t>
            </w:r>
            <w:r w:rsidR="007628A4" w:rsidRPr="001459F5">
              <w:rPr>
                <w:rFonts w:asciiTheme="majorHAnsi" w:hAnsiTheme="majorHAnsi" w:cstheme="majorHAnsi"/>
                <w:b/>
                <w:sz w:val="32"/>
                <w:szCs w:val="32"/>
              </w:rPr>
              <w:t>round report: 7 June 2017</w:t>
            </w:r>
          </w:p>
          <w:p w14:paraId="580B8F46" w14:textId="1F6E109C" w:rsidR="008E7846" w:rsidRPr="00526B19" w:rsidRDefault="00C409B6" w:rsidP="00526B19">
            <w:pPr>
              <w:ind w:left="3119" w:hanging="3119"/>
              <w:rPr>
                <w:rFonts w:asciiTheme="majorHAnsi" w:hAnsiTheme="majorHAnsi" w:cstheme="majorHAnsi"/>
                <w:b/>
                <w:sz w:val="32"/>
                <w:szCs w:val="32"/>
              </w:rPr>
            </w:pPr>
            <w:r>
              <w:rPr>
                <w:rFonts w:asciiTheme="majorHAnsi" w:hAnsiTheme="majorHAnsi" w:cstheme="majorHAnsi"/>
                <w:b/>
                <w:sz w:val="32"/>
                <w:szCs w:val="32"/>
              </w:rPr>
              <w:t>Second</w:t>
            </w:r>
            <w:r w:rsidR="007628A4" w:rsidRPr="001459F5">
              <w:rPr>
                <w:rFonts w:asciiTheme="majorHAnsi" w:hAnsiTheme="majorHAnsi" w:cstheme="majorHAnsi"/>
                <w:b/>
                <w:sz w:val="32"/>
                <w:szCs w:val="32"/>
              </w:rPr>
              <w:t xml:space="preserve"> round report: 25 October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47D12B2" w14:textId="77777777" w:rsidTr="00E07F15">
        <w:trPr>
          <w:trHeight w:val="1548"/>
        </w:trPr>
        <w:tc>
          <w:tcPr>
            <w:tcW w:w="9079" w:type="dxa"/>
          </w:tcPr>
          <w:p w14:paraId="44AEE467"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1C1FED1D" w14:textId="77777777" w:rsidTr="00E07F15">
        <w:trPr>
          <w:trHeight w:val="868"/>
        </w:trPr>
        <w:tc>
          <w:tcPr>
            <w:tcW w:w="9079" w:type="dxa"/>
          </w:tcPr>
          <w:p w14:paraId="4D42F0E2" w14:textId="77777777" w:rsidR="00E07F15" w:rsidRPr="00A964D1" w:rsidRDefault="00E07F15" w:rsidP="007628A4">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628A4" w:rsidRPr="007628A4">
              <w:rPr>
                <w:color w:val="FFFFFF" w:themeColor="background1"/>
              </w:rPr>
              <w:t>Influenza virus haemagglutinin</w:t>
            </w:r>
          </w:p>
        </w:tc>
      </w:tr>
      <w:tr w:rsidR="00E07F15" w:rsidRPr="00B64760" w14:paraId="73E8208D" w14:textId="77777777" w:rsidTr="00E07F15">
        <w:tc>
          <w:tcPr>
            <w:tcW w:w="9079" w:type="dxa"/>
          </w:tcPr>
          <w:p w14:paraId="0FD8314D" w14:textId="77777777" w:rsidR="00E07F15" w:rsidRPr="008E7846" w:rsidRDefault="00E07F15" w:rsidP="00834306">
            <w:pPr>
              <w:pStyle w:val="Subtitle"/>
              <w:ind w:left="0"/>
              <w:rPr>
                <w:color w:val="FFFFFF" w:themeColor="background1"/>
              </w:rPr>
            </w:pPr>
            <w:r w:rsidRPr="008E7846">
              <w:rPr>
                <w:color w:val="FFFFFF" w:themeColor="background1"/>
              </w:rPr>
              <w:t xml:space="preserve">Proprietary Product Name: </w:t>
            </w:r>
            <w:r w:rsidR="007628A4">
              <w:rPr>
                <w:color w:val="FFFFFF" w:themeColor="background1"/>
              </w:rPr>
              <w:t>Fluzone High-Dose</w:t>
            </w:r>
          </w:p>
        </w:tc>
      </w:tr>
      <w:tr w:rsidR="00E07F15" w:rsidRPr="00B64760" w14:paraId="44ACADFD" w14:textId="77777777" w:rsidTr="00E07F15">
        <w:trPr>
          <w:trHeight w:val="486"/>
        </w:trPr>
        <w:tc>
          <w:tcPr>
            <w:tcW w:w="9079" w:type="dxa"/>
          </w:tcPr>
          <w:p w14:paraId="2B35A94D" w14:textId="77777777" w:rsidR="00E07F15" w:rsidRPr="008E7846" w:rsidRDefault="00E07F15" w:rsidP="00834306">
            <w:pPr>
              <w:pStyle w:val="Subtitle"/>
              <w:ind w:left="0"/>
              <w:rPr>
                <w:color w:val="FFFFFF" w:themeColor="background1"/>
              </w:rPr>
            </w:pPr>
            <w:r w:rsidRPr="008E7846">
              <w:rPr>
                <w:color w:val="FFFFFF" w:themeColor="background1"/>
              </w:rPr>
              <w:t xml:space="preserve">Sponsor: </w:t>
            </w:r>
            <w:r w:rsidR="007628A4" w:rsidRPr="007628A4">
              <w:rPr>
                <w:color w:val="FFFFFF" w:themeColor="background1"/>
              </w:rPr>
              <w:t>Sanofi-Aventis Australia</w:t>
            </w:r>
            <w:r w:rsidR="006A3980">
              <w:rPr>
                <w:color w:val="FFFFFF" w:themeColor="background1"/>
              </w:rPr>
              <w:t xml:space="preserve"> </w:t>
            </w:r>
          </w:p>
        </w:tc>
      </w:tr>
    </w:tbl>
    <w:p w14:paraId="2F9B9389" w14:textId="77777777" w:rsidR="008E7846" w:rsidRDefault="008E7846" w:rsidP="008E7846">
      <w:pPr>
        <w:pStyle w:val="NonTOCHeading2"/>
      </w:pPr>
      <w:r>
        <w:br w:type="page"/>
      </w:r>
    </w:p>
    <w:p w14:paraId="7E77B353" w14:textId="77777777" w:rsidR="008E7846" w:rsidRPr="001F6CBA" w:rsidRDefault="008E7846" w:rsidP="008E7846">
      <w:pPr>
        <w:pStyle w:val="NonTOCHeading2"/>
      </w:pPr>
      <w:r w:rsidRPr="001F6CBA">
        <w:lastRenderedPageBreak/>
        <w:t>About the Therapeutic Goods Administration (TGA)</w:t>
      </w:r>
    </w:p>
    <w:p w14:paraId="51277F1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342C28F"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632ECCCD"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573C132"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4C76426" w14:textId="68DC1799"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6A3980">
        <w:t>&gt;</w:t>
      </w:r>
      <w:r>
        <w:t>.</w:t>
      </w:r>
    </w:p>
    <w:p w14:paraId="4059B622"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4CAD1642"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273BCF00" w14:textId="77777777" w:rsidR="003D0A3B" w:rsidRDefault="003D0A3B" w:rsidP="003D0A3B">
      <w:pPr>
        <w:pStyle w:val="ListBullet"/>
      </w:pPr>
      <w:r w:rsidRPr="003D0A3B">
        <w:t>The words [Information redacted], where they appear in this document, indicate that confidential information has been deleted.</w:t>
      </w:r>
    </w:p>
    <w:p w14:paraId="3C80F17E" w14:textId="465D4222"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51446E">
        <w:t>&gt;</w:t>
      </w:r>
      <w:r w:rsidR="0017078F">
        <w:t>.</w:t>
      </w:r>
    </w:p>
    <w:p w14:paraId="39BD34FB" w14:textId="77777777" w:rsidR="00924482" w:rsidRPr="00DF1D7F" w:rsidRDefault="00924482" w:rsidP="0017078F">
      <w:pPr>
        <w:pStyle w:val="LegalSubheading"/>
        <w:spacing w:before="4320"/>
      </w:pPr>
      <w:r w:rsidRPr="00DF1D7F">
        <w:t>Copyright</w:t>
      </w:r>
    </w:p>
    <w:p w14:paraId="2AA66298" w14:textId="77777777"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proofErr w:type="gramStart"/>
      <w:r w:rsidR="006A3980">
        <w:rPr>
          <w:rFonts w:cs="Arial"/>
        </w:rPr>
        <w:t xml:space="preserve">&gt; </w:t>
      </w:r>
      <w:r w:rsidRPr="00191B3B">
        <w:rPr>
          <w:rFonts w:cs="Arial"/>
        </w:rPr>
        <w:t>.</w:t>
      </w:r>
      <w:proofErr w:type="gramEnd"/>
    </w:p>
    <w:p w14:paraId="4C2119CA"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14:paraId="2CE7398B" w14:textId="77777777" w:rsidR="0089635C" w:rsidRPr="0089635C" w:rsidRDefault="0089635C" w:rsidP="00943D71">
          <w:pPr>
            <w:pStyle w:val="Contents"/>
          </w:pPr>
          <w:r w:rsidRPr="0010788A">
            <w:t>Contents</w:t>
          </w:r>
        </w:p>
        <w:p w14:paraId="49DC7D28" w14:textId="77777777" w:rsidR="00CD7EF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2542345" w:history="1">
            <w:r w:rsidR="00CD7EF7" w:rsidRPr="00EA7C22">
              <w:rPr>
                <w:rStyle w:val="Hyperlink"/>
                <w:noProof/>
              </w:rPr>
              <w:t>List of common abbreviations</w:t>
            </w:r>
            <w:r w:rsidR="00CD7EF7">
              <w:rPr>
                <w:noProof/>
                <w:webHidden/>
              </w:rPr>
              <w:tab/>
            </w:r>
            <w:r w:rsidR="00CD7EF7">
              <w:rPr>
                <w:noProof/>
                <w:webHidden/>
              </w:rPr>
              <w:fldChar w:fldCharType="begin"/>
            </w:r>
            <w:r w:rsidR="00CD7EF7">
              <w:rPr>
                <w:noProof/>
                <w:webHidden/>
              </w:rPr>
              <w:instrText xml:space="preserve"> PAGEREF _Toc522542345 \h </w:instrText>
            </w:r>
            <w:r w:rsidR="00CD7EF7">
              <w:rPr>
                <w:noProof/>
                <w:webHidden/>
              </w:rPr>
            </w:r>
            <w:r w:rsidR="00CD7EF7">
              <w:rPr>
                <w:noProof/>
                <w:webHidden/>
              </w:rPr>
              <w:fldChar w:fldCharType="separate"/>
            </w:r>
            <w:r w:rsidR="00CD7EF7">
              <w:rPr>
                <w:noProof/>
                <w:webHidden/>
              </w:rPr>
              <w:t>5</w:t>
            </w:r>
            <w:r w:rsidR="00CD7EF7">
              <w:rPr>
                <w:noProof/>
                <w:webHidden/>
              </w:rPr>
              <w:fldChar w:fldCharType="end"/>
            </w:r>
          </w:hyperlink>
          <w:bookmarkStart w:id="2" w:name="_GoBack"/>
          <w:bookmarkEnd w:id="2"/>
        </w:p>
        <w:p w14:paraId="2ABA4531"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46" w:history="1">
            <w:r w:rsidRPr="00EA7C22">
              <w:rPr>
                <w:rStyle w:val="Hyperlink"/>
                <w:noProof/>
                <w:lang w:eastAsia="en-AU"/>
              </w:rPr>
              <w:t>1.</w:t>
            </w:r>
            <w:r>
              <w:rPr>
                <w:rFonts w:asciiTheme="minorHAnsi" w:eastAsiaTheme="minorEastAsia" w:hAnsiTheme="minorHAnsi" w:cstheme="minorBidi"/>
                <w:b w:val="0"/>
                <w:noProof/>
                <w:sz w:val="22"/>
                <w:lang w:eastAsia="en-AU"/>
              </w:rPr>
              <w:tab/>
            </w:r>
            <w:r w:rsidRPr="00EA7C22">
              <w:rPr>
                <w:rStyle w:val="Hyperlink"/>
                <w:noProof/>
                <w:lang w:eastAsia="en-AU"/>
              </w:rPr>
              <w:t>Introduction</w:t>
            </w:r>
            <w:r>
              <w:rPr>
                <w:noProof/>
                <w:webHidden/>
              </w:rPr>
              <w:tab/>
            </w:r>
            <w:r>
              <w:rPr>
                <w:noProof/>
                <w:webHidden/>
              </w:rPr>
              <w:fldChar w:fldCharType="begin"/>
            </w:r>
            <w:r>
              <w:rPr>
                <w:noProof/>
                <w:webHidden/>
              </w:rPr>
              <w:instrText xml:space="preserve"> PAGEREF _Toc522542346 \h </w:instrText>
            </w:r>
            <w:r>
              <w:rPr>
                <w:noProof/>
                <w:webHidden/>
              </w:rPr>
            </w:r>
            <w:r>
              <w:rPr>
                <w:noProof/>
                <w:webHidden/>
              </w:rPr>
              <w:fldChar w:fldCharType="separate"/>
            </w:r>
            <w:r>
              <w:rPr>
                <w:noProof/>
                <w:webHidden/>
              </w:rPr>
              <w:t>6</w:t>
            </w:r>
            <w:r>
              <w:rPr>
                <w:noProof/>
                <w:webHidden/>
              </w:rPr>
              <w:fldChar w:fldCharType="end"/>
            </w:r>
          </w:hyperlink>
        </w:p>
        <w:p w14:paraId="46FD4496"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47" w:history="1">
            <w:r w:rsidRPr="00EA7C22">
              <w:rPr>
                <w:rStyle w:val="Hyperlink"/>
                <w:noProof/>
              </w:rPr>
              <w:t>1.1.</w:t>
            </w:r>
            <w:r>
              <w:rPr>
                <w:rFonts w:asciiTheme="minorHAnsi" w:eastAsiaTheme="minorEastAsia" w:hAnsiTheme="minorHAnsi" w:cstheme="minorBidi"/>
                <w:noProof/>
                <w:lang w:eastAsia="en-AU"/>
              </w:rPr>
              <w:tab/>
            </w:r>
            <w:r w:rsidRPr="00EA7C22">
              <w:rPr>
                <w:rStyle w:val="Hyperlink"/>
                <w:caps/>
                <w:noProof/>
              </w:rPr>
              <w:t>I</w:t>
            </w:r>
            <w:r w:rsidRPr="00EA7C22">
              <w:rPr>
                <w:rStyle w:val="Hyperlink"/>
                <w:noProof/>
              </w:rPr>
              <w:t>dentifying information</w:t>
            </w:r>
            <w:r>
              <w:rPr>
                <w:noProof/>
                <w:webHidden/>
              </w:rPr>
              <w:tab/>
            </w:r>
            <w:r>
              <w:rPr>
                <w:noProof/>
                <w:webHidden/>
              </w:rPr>
              <w:fldChar w:fldCharType="begin"/>
            </w:r>
            <w:r>
              <w:rPr>
                <w:noProof/>
                <w:webHidden/>
              </w:rPr>
              <w:instrText xml:space="preserve"> PAGEREF _Toc522542347 \h </w:instrText>
            </w:r>
            <w:r>
              <w:rPr>
                <w:noProof/>
                <w:webHidden/>
              </w:rPr>
            </w:r>
            <w:r>
              <w:rPr>
                <w:noProof/>
                <w:webHidden/>
              </w:rPr>
              <w:fldChar w:fldCharType="separate"/>
            </w:r>
            <w:r>
              <w:rPr>
                <w:noProof/>
                <w:webHidden/>
              </w:rPr>
              <w:t>6</w:t>
            </w:r>
            <w:r>
              <w:rPr>
                <w:noProof/>
                <w:webHidden/>
              </w:rPr>
              <w:fldChar w:fldCharType="end"/>
            </w:r>
          </w:hyperlink>
        </w:p>
        <w:p w14:paraId="7D3D1BE2"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48" w:history="1">
            <w:r w:rsidRPr="00EA7C22">
              <w:rPr>
                <w:rStyle w:val="Hyperlink"/>
                <w:noProof/>
              </w:rPr>
              <w:t>1.2.</w:t>
            </w:r>
            <w:r>
              <w:rPr>
                <w:rFonts w:asciiTheme="minorHAnsi" w:eastAsiaTheme="minorEastAsia" w:hAnsiTheme="minorHAnsi" w:cstheme="minorBidi"/>
                <w:noProof/>
                <w:lang w:eastAsia="en-AU"/>
              </w:rPr>
              <w:tab/>
            </w:r>
            <w:r w:rsidRPr="00EA7C22">
              <w:rPr>
                <w:rStyle w:val="Hyperlink"/>
                <w:noProof/>
              </w:rPr>
              <w:t>Submission type</w:t>
            </w:r>
            <w:r>
              <w:rPr>
                <w:noProof/>
                <w:webHidden/>
              </w:rPr>
              <w:tab/>
            </w:r>
            <w:r>
              <w:rPr>
                <w:noProof/>
                <w:webHidden/>
              </w:rPr>
              <w:fldChar w:fldCharType="begin"/>
            </w:r>
            <w:r>
              <w:rPr>
                <w:noProof/>
                <w:webHidden/>
              </w:rPr>
              <w:instrText xml:space="preserve"> PAGEREF _Toc522542348 \h </w:instrText>
            </w:r>
            <w:r>
              <w:rPr>
                <w:noProof/>
                <w:webHidden/>
              </w:rPr>
            </w:r>
            <w:r>
              <w:rPr>
                <w:noProof/>
                <w:webHidden/>
              </w:rPr>
              <w:fldChar w:fldCharType="separate"/>
            </w:r>
            <w:r>
              <w:rPr>
                <w:noProof/>
                <w:webHidden/>
              </w:rPr>
              <w:t>6</w:t>
            </w:r>
            <w:r>
              <w:rPr>
                <w:noProof/>
                <w:webHidden/>
              </w:rPr>
              <w:fldChar w:fldCharType="end"/>
            </w:r>
          </w:hyperlink>
        </w:p>
        <w:p w14:paraId="2C63B4CC"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49" w:history="1">
            <w:r w:rsidRPr="00EA7C22">
              <w:rPr>
                <w:rStyle w:val="Hyperlink"/>
                <w:noProof/>
              </w:rPr>
              <w:t>1.3.</w:t>
            </w:r>
            <w:r>
              <w:rPr>
                <w:rFonts w:asciiTheme="minorHAnsi" w:eastAsiaTheme="minorEastAsia" w:hAnsiTheme="minorHAnsi" w:cstheme="minorBidi"/>
                <w:noProof/>
                <w:lang w:eastAsia="en-AU"/>
              </w:rPr>
              <w:tab/>
            </w:r>
            <w:r w:rsidRPr="00EA7C22">
              <w:rPr>
                <w:rStyle w:val="Hyperlink"/>
                <w:noProof/>
              </w:rPr>
              <w:t>Drug class and therapeutic indication</w:t>
            </w:r>
            <w:r>
              <w:rPr>
                <w:noProof/>
                <w:webHidden/>
              </w:rPr>
              <w:tab/>
            </w:r>
            <w:r>
              <w:rPr>
                <w:noProof/>
                <w:webHidden/>
              </w:rPr>
              <w:fldChar w:fldCharType="begin"/>
            </w:r>
            <w:r>
              <w:rPr>
                <w:noProof/>
                <w:webHidden/>
              </w:rPr>
              <w:instrText xml:space="preserve"> PAGEREF _Toc522542349 \h </w:instrText>
            </w:r>
            <w:r>
              <w:rPr>
                <w:noProof/>
                <w:webHidden/>
              </w:rPr>
            </w:r>
            <w:r>
              <w:rPr>
                <w:noProof/>
                <w:webHidden/>
              </w:rPr>
              <w:fldChar w:fldCharType="separate"/>
            </w:r>
            <w:r>
              <w:rPr>
                <w:noProof/>
                <w:webHidden/>
              </w:rPr>
              <w:t>6</w:t>
            </w:r>
            <w:r>
              <w:rPr>
                <w:noProof/>
                <w:webHidden/>
              </w:rPr>
              <w:fldChar w:fldCharType="end"/>
            </w:r>
          </w:hyperlink>
        </w:p>
        <w:p w14:paraId="081BCE27"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50" w:history="1">
            <w:r w:rsidRPr="00EA7C22">
              <w:rPr>
                <w:rStyle w:val="Hyperlink"/>
                <w:noProof/>
              </w:rPr>
              <w:t>1.4.</w:t>
            </w:r>
            <w:r>
              <w:rPr>
                <w:rFonts w:asciiTheme="minorHAnsi" w:eastAsiaTheme="minorEastAsia" w:hAnsiTheme="minorHAnsi" w:cstheme="minorBidi"/>
                <w:noProof/>
                <w:lang w:eastAsia="en-AU"/>
              </w:rPr>
              <w:tab/>
            </w:r>
            <w:r w:rsidRPr="00EA7C22">
              <w:rPr>
                <w:rStyle w:val="Hyperlink"/>
                <w:noProof/>
              </w:rPr>
              <w:t>Clinical rationale</w:t>
            </w:r>
            <w:r>
              <w:rPr>
                <w:noProof/>
                <w:webHidden/>
              </w:rPr>
              <w:tab/>
            </w:r>
            <w:r>
              <w:rPr>
                <w:noProof/>
                <w:webHidden/>
              </w:rPr>
              <w:fldChar w:fldCharType="begin"/>
            </w:r>
            <w:r>
              <w:rPr>
                <w:noProof/>
                <w:webHidden/>
              </w:rPr>
              <w:instrText xml:space="preserve"> PAGEREF _Toc522542350 \h </w:instrText>
            </w:r>
            <w:r>
              <w:rPr>
                <w:noProof/>
                <w:webHidden/>
              </w:rPr>
            </w:r>
            <w:r>
              <w:rPr>
                <w:noProof/>
                <w:webHidden/>
              </w:rPr>
              <w:fldChar w:fldCharType="separate"/>
            </w:r>
            <w:r>
              <w:rPr>
                <w:noProof/>
                <w:webHidden/>
              </w:rPr>
              <w:t>6</w:t>
            </w:r>
            <w:r>
              <w:rPr>
                <w:noProof/>
                <w:webHidden/>
              </w:rPr>
              <w:fldChar w:fldCharType="end"/>
            </w:r>
          </w:hyperlink>
        </w:p>
        <w:p w14:paraId="2DC0720E"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51" w:history="1">
            <w:r w:rsidRPr="00EA7C22">
              <w:rPr>
                <w:rStyle w:val="Hyperlink"/>
                <w:caps/>
                <w:noProof/>
              </w:rPr>
              <w:t>1.5.</w:t>
            </w:r>
            <w:r>
              <w:rPr>
                <w:rFonts w:asciiTheme="minorHAnsi" w:eastAsiaTheme="minorEastAsia" w:hAnsiTheme="minorHAnsi" w:cstheme="minorBidi"/>
                <w:noProof/>
                <w:lang w:eastAsia="en-AU"/>
              </w:rPr>
              <w:tab/>
            </w:r>
            <w:r w:rsidRPr="00EA7C22">
              <w:rPr>
                <w:rStyle w:val="Hyperlink"/>
                <w:noProof/>
              </w:rPr>
              <w:t>Formulation</w:t>
            </w:r>
            <w:r>
              <w:rPr>
                <w:noProof/>
                <w:webHidden/>
              </w:rPr>
              <w:tab/>
            </w:r>
            <w:r>
              <w:rPr>
                <w:noProof/>
                <w:webHidden/>
              </w:rPr>
              <w:fldChar w:fldCharType="begin"/>
            </w:r>
            <w:r>
              <w:rPr>
                <w:noProof/>
                <w:webHidden/>
              </w:rPr>
              <w:instrText xml:space="preserve"> PAGEREF _Toc522542351 \h </w:instrText>
            </w:r>
            <w:r>
              <w:rPr>
                <w:noProof/>
                <w:webHidden/>
              </w:rPr>
            </w:r>
            <w:r>
              <w:rPr>
                <w:noProof/>
                <w:webHidden/>
              </w:rPr>
              <w:fldChar w:fldCharType="separate"/>
            </w:r>
            <w:r>
              <w:rPr>
                <w:noProof/>
                <w:webHidden/>
              </w:rPr>
              <w:t>7</w:t>
            </w:r>
            <w:r>
              <w:rPr>
                <w:noProof/>
                <w:webHidden/>
              </w:rPr>
              <w:fldChar w:fldCharType="end"/>
            </w:r>
          </w:hyperlink>
        </w:p>
        <w:p w14:paraId="4AE44C4A"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52" w:history="1">
            <w:r w:rsidRPr="00EA7C22">
              <w:rPr>
                <w:rStyle w:val="Hyperlink"/>
                <w:noProof/>
                <w:lang w:eastAsia="en-AU"/>
              </w:rPr>
              <w:t>2.</w:t>
            </w:r>
            <w:r>
              <w:rPr>
                <w:rFonts w:asciiTheme="minorHAnsi" w:eastAsiaTheme="minorEastAsia" w:hAnsiTheme="minorHAnsi" w:cstheme="minorBidi"/>
                <w:b w:val="0"/>
                <w:noProof/>
                <w:sz w:val="22"/>
                <w:lang w:eastAsia="en-AU"/>
              </w:rPr>
              <w:tab/>
            </w:r>
            <w:r w:rsidRPr="00EA7C22">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_Toc522542352 \h </w:instrText>
            </w:r>
            <w:r>
              <w:rPr>
                <w:noProof/>
                <w:webHidden/>
              </w:rPr>
            </w:r>
            <w:r>
              <w:rPr>
                <w:noProof/>
                <w:webHidden/>
              </w:rPr>
              <w:fldChar w:fldCharType="separate"/>
            </w:r>
            <w:r>
              <w:rPr>
                <w:noProof/>
                <w:webHidden/>
              </w:rPr>
              <w:t>8</w:t>
            </w:r>
            <w:r>
              <w:rPr>
                <w:noProof/>
                <w:webHidden/>
              </w:rPr>
              <w:fldChar w:fldCharType="end"/>
            </w:r>
          </w:hyperlink>
        </w:p>
        <w:p w14:paraId="334F9E7B"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53" w:history="1">
            <w:r w:rsidRPr="00EA7C22">
              <w:rPr>
                <w:rStyle w:val="Hyperlink"/>
                <w:noProof/>
              </w:rPr>
              <w:t>2.1.</w:t>
            </w:r>
            <w:r>
              <w:rPr>
                <w:rFonts w:asciiTheme="minorHAnsi" w:eastAsiaTheme="minorEastAsia" w:hAnsiTheme="minorHAnsi" w:cstheme="minorBidi"/>
                <w:noProof/>
                <w:lang w:eastAsia="en-AU"/>
              </w:rPr>
              <w:tab/>
            </w:r>
            <w:r w:rsidRPr="00EA7C22">
              <w:rPr>
                <w:rStyle w:val="Hyperlink"/>
                <w:noProof/>
              </w:rPr>
              <w:t>Scope of the clinical dossier</w:t>
            </w:r>
            <w:r>
              <w:rPr>
                <w:noProof/>
                <w:webHidden/>
              </w:rPr>
              <w:tab/>
            </w:r>
            <w:r>
              <w:rPr>
                <w:noProof/>
                <w:webHidden/>
              </w:rPr>
              <w:fldChar w:fldCharType="begin"/>
            </w:r>
            <w:r>
              <w:rPr>
                <w:noProof/>
                <w:webHidden/>
              </w:rPr>
              <w:instrText xml:space="preserve"> PAGEREF _Toc522542353 \h </w:instrText>
            </w:r>
            <w:r>
              <w:rPr>
                <w:noProof/>
                <w:webHidden/>
              </w:rPr>
            </w:r>
            <w:r>
              <w:rPr>
                <w:noProof/>
                <w:webHidden/>
              </w:rPr>
              <w:fldChar w:fldCharType="separate"/>
            </w:r>
            <w:r>
              <w:rPr>
                <w:noProof/>
                <w:webHidden/>
              </w:rPr>
              <w:t>8</w:t>
            </w:r>
            <w:r>
              <w:rPr>
                <w:noProof/>
                <w:webHidden/>
              </w:rPr>
              <w:fldChar w:fldCharType="end"/>
            </w:r>
          </w:hyperlink>
        </w:p>
        <w:p w14:paraId="107FA83B"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54" w:history="1">
            <w:r w:rsidRPr="00EA7C22">
              <w:rPr>
                <w:rStyle w:val="Hyperlink"/>
                <w:rFonts w:cs="Arial"/>
                <w:noProof/>
              </w:rPr>
              <w:t>3.</w:t>
            </w:r>
            <w:r>
              <w:rPr>
                <w:rFonts w:asciiTheme="minorHAnsi" w:eastAsiaTheme="minorEastAsia" w:hAnsiTheme="minorHAnsi" w:cstheme="minorBidi"/>
                <w:b w:val="0"/>
                <w:noProof/>
                <w:sz w:val="22"/>
                <w:lang w:eastAsia="en-AU"/>
              </w:rPr>
              <w:tab/>
            </w:r>
            <w:r w:rsidRPr="00EA7C22">
              <w:rPr>
                <w:rStyle w:val="Hyperlink"/>
                <w:rFonts w:cs="Arial"/>
                <w:noProof/>
              </w:rPr>
              <w:t>Paediatric data</w:t>
            </w:r>
            <w:r>
              <w:rPr>
                <w:noProof/>
                <w:webHidden/>
              </w:rPr>
              <w:tab/>
            </w:r>
            <w:r>
              <w:rPr>
                <w:noProof/>
                <w:webHidden/>
              </w:rPr>
              <w:fldChar w:fldCharType="begin"/>
            </w:r>
            <w:r>
              <w:rPr>
                <w:noProof/>
                <w:webHidden/>
              </w:rPr>
              <w:instrText xml:space="preserve"> PAGEREF _Toc522542354 \h </w:instrText>
            </w:r>
            <w:r>
              <w:rPr>
                <w:noProof/>
                <w:webHidden/>
              </w:rPr>
            </w:r>
            <w:r>
              <w:rPr>
                <w:noProof/>
                <w:webHidden/>
              </w:rPr>
              <w:fldChar w:fldCharType="separate"/>
            </w:r>
            <w:r>
              <w:rPr>
                <w:noProof/>
                <w:webHidden/>
              </w:rPr>
              <w:t>8</w:t>
            </w:r>
            <w:r>
              <w:rPr>
                <w:noProof/>
                <w:webHidden/>
              </w:rPr>
              <w:fldChar w:fldCharType="end"/>
            </w:r>
          </w:hyperlink>
        </w:p>
        <w:p w14:paraId="0C65A738"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55" w:history="1">
            <w:r w:rsidRPr="00EA7C22">
              <w:rPr>
                <w:rStyle w:val="Hyperlink"/>
                <w:rFonts w:cs="Arial"/>
                <w:noProof/>
              </w:rPr>
              <w:t>4.</w:t>
            </w:r>
            <w:r>
              <w:rPr>
                <w:rFonts w:asciiTheme="minorHAnsi" w:eastAsiaTheme="minorEastAsia" w:hAnsiTheme="minorHAnsi" w:cstheme="minorBidi"/>
                <w:b w:val="0"/>
                <w:noProof/>
                <w:sz w:val="22"/>
                <w:lang w:eastAsia="en-AU"/>
              </w:rPr>
              <w:tab/>
            </w:r>
            <w:r w:rsidRPr="00EA7C22">
              <w:rPr>
                <w:rStyle w:val="Hyperlink"/>
                <w:rFonts w:cs="Arial"/>
                <w:noProof/>
              </w:rPr>
              <w:t>Good clinical practice</w:t>
            </w:r>
            <w:r>
              <w:rPr>
                <w:noProof/>
                <w:webHidden/>
              </w:rPr>
              <w:tab/>
            </w:r>
            <w:r>
              <w:rPr>
                <w:noProof/>
                <w:webHidden/>
              </w:rPr>
              <w:fldChar w:fldCharType="begin"/>
            </w:r>
            <w:r>
              <w:rPr>
                <w:noProof/>
                <w:webHidden/>
              </w:rPr>
              <w:instrText xml:space="preserve"> PAGEREF _Toc522542355 \h </w:instrText>
            </w:r>
            <w:r>
              <w:rPr>
                <w:noProof/>
                <w:webHidden/>
              </w:rPr>
            </w:r>
            <w:r>
              <w:rPr>
                <w:noProof/>
                <w:webHidden/>
              </w:rPr>
              <w:fldChar w:fldCharType="separate"/>
            </w:r>
            <w:r>
              <w:rPr>
                <w:noProof/>
                <w:webHidden/>
              </w:rPr>
              <w:t>8</w:t>
            </w:r>
            <w:r>
              <w:rPr>
                <w:noProof/>
                <w:webHidden/>
              </w:rPr>
              <w:fldChar w:fldCharType="end"/>
            </w:r>
          </w:hyperlink>
        </w:p>
        <w:p w14:paraId="32CCC345"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56" w:history="1">
            <w:r w:rsidRPr="00EA7C22">
              <w:rPr>
                <w:rStyle w:val="Hyperlink"/>
                <w:noProof/>
              </w:rPr>
              <w:t>5.</w:t>
            </w:r>
            <w:r>
              <w:rPr>
                <w:rFonts w:asciiTheme="minorHAnsi" w:eastAsiaTheme="minorEastAsia" w:hAnsiTheme="minorHAnsi" w:cstheme="minorBidi"/>
                <w:b w:val="0"/>
                <w:noProof/>
                <w:sz w:val="22"/>
                <w:lang w:eastAsia="en-AU"/>
              </w:rPr>
              <w:tab/>
            </w:r>
            <w:r w:rsidRPr="00EA7C22">
              <w:rPr>
                <w:rStyle w:val="Hyperlink"/>
                <w:noProof/>
              </w:rPr>
              <w:t>Pharmacokinetics</w:t>
            </w:r>
            <w:r>
              <w:rPr>
                <w:noProof/>
                <w:webHidden/>
              </w:rPr>
              <w:tab/>
            </w:r>
            <w:r>
              <w:rPr>
                <w:noProof/>
                <w:webHidden/>
              </w:rPr>
              <w:fldChar w:fldCharType="begin"/>
            </w:r>
            <w:r>
              <w:rPr>
                <w:noProof/>
                <w:webHidden/>
              </w:rPr>
              <w:instrText xml:space="preserve"> PAGEREF _Toc522542356 \h </w:instrText>
            </w:r>
            <w:r>
              <w:rPr>
                <w:noProof/>
                <w:webHidden/>
              </w:rPr>
            </w:r>
            <w:r>
              <w:rPr>
                <w:noProof/>
                <w:webHidden/>
              </w:rPr>
              <w:fldChar w:fldCharType="separate"/>
            </w:r>
            <w:r>
              <w:rPr>
                <w:noProof/>
                <w:webHidden/>
              </w:rPr>
              <w:t>9</w:t>
            </w:r>
            <w:r>
              <w:rPr>
                <w:noProof/>
                <w:webHidden/>
              </w:rPr>
              <w:fldChar w:fldCharType="end"/>
            </w:r>
          </w:hyperlink>
        </w:p>
        <w:p w14:paraId="746C032F"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57" w:history="1">
            <w:r w:rsidRPr="00EA7C22">
              <w:rPr>
                <w:rStyle w:val="Hyperlink"/>
                <w:noProof/>
              </w:rPr>
              <w:t>6.</w:t>
            </w:r>
            <w:r>
              <w:rPr>
                <w:rFonts w:asciiTheme="minorHAnsi" w:eastAsiaTheme="minorEastAsia" w:hAnsiTheme="minorHAnsi" w:cstheme="minorBidi"/>
                <w:b w:val="0"/>
                <w:noProof/>
                <w:sz w:val="22"/>
                <w:lang w:eastAsia="en-AU"/>
              </w:rPr>
              <w:tab/>
            </w:r>
            <w:r w:rsidRPr="00EA7C22">
              <w:rPr>
                <w:rStyle w:val="Hyperlink"/>
                <w:noProof/>
              </w:rPr>
              <w:t>Pharmacodynamics</w:t>
            </w:r>
            <w:r>
              <w:rPr>
                <w:noProof/>
                <w:webHidden/>
              </w:rPr>
              <w:tab/>
            </w:r>
            <w:r>
              <w:rPr>
                <w:noProof/>
                <w:webHidden/>
              </w:rPr>
              <w:fldChar w:fldCharType="begin"/>
            </w:r>
            <w:r>
              <w:rPr>
                <w:noProof/>
                <w:webHidden/>
              </w:rPr>
              <w:instrText xml:space="preserve"> PAGEREF _Toc522542357 \h </w:instrText>
            </w:r>
            <w:r>
              <w:rPr>
                <w:noProof/>
                <w:webHidden/>
              </w:rPr>
            </w:r>
            <w:r>
              <w:rPr>
                <w:noProof/>
                <w:webHidden/>
              </w:rPr>
              <w:fldChar w:fldCharType="separate"/>
            </w:r>
            <w:r>
              <w:rPr>
                <w:noProof/>
                <w:webHidden/>
              </w:rPr>
              <w:t>9</w:t>
            </w:r>
            <w:r>
              <w:rPr>
                <w:noProof/>
                <w:webHidden/>
              </w:rPr>
              <w:fldChar w:fldCharType="end"/>
            </w:r>
          </w:hyperlink>
        </w:p>
        <w:p w14:paraId="6EC30919"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58" w:history="1">
            <w:r w:rsidRPr="00EA7C22">
              <w:rPr>
                <w:rStyle w:val="Hyperlink"/>
                <w:noProof/>
              </w:rPr>
              <w:t>7.</w:t>
            </w:r>
            <w:r>
              <w:rPr>
                <w:rFonts w:asciiTheme="minorHAnsi" w:eastAsiaTheme="minorEastAsia" w:hAnsiTheme="minorHAnsi" w:cstheme="minorBidi"/>
                <w:b w:val="0"/>
                <w:noProof/>
                <w:sz w:val="22"/>
                <w:lang w:eastAsia="en-AU"/>
              </w:rPr>
              <w:tab/>
            </w:r>
            <w:r w:rsidRPr="00EA7C22">
              <w:rPr>
                <w:rStyle w:val="Hyperlink"/>
                <w:noProof/>
              </w:rPr>
              <w:t>Dosage selection for the pivotal studies</w:t>
            </w:r>
            <w:r>
              <w:rPr>
                <w:noProof/>
                <w:webHidden/>
              </w:rPr>
              <w:tab/>
            </w:r>
            <w:r>
              <w:rPr>
                <w:noProof/>
                <w:webHidden/>
              </w:rPr>
              <w:fldChar w:fldCharType="begin"/>
            </w:r>
            <w:r>
              <w:rPr>
                <w:noProof/>
                <w:webHidden/>
              </w:rPr>
              <w:instrText xml:space="preserve"> PAGEREF _Toc522542358 \h </w:instrText>
            </w:r>
            <w:r>
              <w:rPr>
                <w:noProof/>
                <w:webHidden/>
              </w:rPr>
            </w:r>
            <w:r>
              <w:rPr>
                <w:noProof/>
                <w:webHidden/>
              </w:rPr>
              <w:fldChar w:fldCharType="separate"/>
            </w:r>
            <w:r>
              <w:rPr>
                <w:noProof/>
                <w:webHidden/>
              </w:rPr>
              <w:t>9</w:t>
            </w:r>
            <w:r>
              <w:rPr>
                <w:noProof/>
                <w:webHidden/>
              </w:rPr>
              <w:fldChar w:fldCharType="end"/>
            </w:r>
          </w:hyperlink>
        </w:p>
        <w:p w14:paraId="4B40FAFE"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59" w:history="1">
            <w:r w:rsidRPr="00EA7C22">
              <w:rPr>
                <w:rStyle w:val="Hyperlink"/>
                <w:noProof/>
              </w:rPr>
              <w:t>7.1.</w:t>
            </w:r>
            <w:r>
              <w:rPr>
                <w:rFonts w:asciiTheme="minorHAnsi" w:eastAsiaTheme="minorEastAsia" w:hAnsiTheme="minorHAnsi" w:cstheme="minorBidi"/>
                <w:noProof/>
                <w:lang w:eastAsia="en-AU"/>
              </w:rPr>
              <w:tab/>
            </w:r>
            <w:r w:rsidRPr="00EA7C22">
              <w:rPr>
                <w:rStyle w:val="Hyperlink"/>
                <w:noProof/>
              </w:rPr>
              <w:t>Study NIH-01-597</w:t>
            </w:r>
            <w:r>
              <w:rPr>
                <w:noProof/>
                <w:webHidden/>
              </w:rPr>
              <w:tab/>
            </w:r>
            <w:r>
              <w:rPr>
                <w:noProof/>
                <w:webHidden/>
              </w:rPr>
              <w:fldChar w:fldCharType="begin"/>
            </w:r>
            <w:r>
              <w:rPr>
                <w:noProof/>
                <w:webHidden/>
              </w:rPr>
              <w:instrText xml:space="preserve"> PAGEREF _Toc522542359 \h </w:instrText>
            </w:r>
            <w:r>
              <w:rPr>
                <w:noProof/>
                <w:webHidden/>
              </w:rPr>
            </w:r>
            <w:r>
              <w:rPr>
                <w:noProof/>
                <w:webHidden/>
              </w:rPr>
              <w:fldChar w:fldCharType="separate"/>
            </w:r>
            <w:r>
              <w:rPr>
                <w:noProof/>
                <w:webHidden/>
              </w:rPr>
              <w:t>9</w:t>
            </w:r>
            <w:r>
              <w:rPr>
                <w:noProof/>
                <w:webHidden/>
              </w:rPr>
              <w:fldChar w:fldCharType="end"/>
            </w:r>
          </w:hyperlink>
        </w:p>
        <w:p w14:paraId="16E9C64E"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60" w:history="1">
            <w:r w:rsidRPr="00EA7C22">
              <w:rPr>
                <w:rStyle w:val="Hyperlink"/>
                <w:noProof/>
              </w:rPr>
              <w:t>8.</w:t>
            </w:r>
            <w:r>
              <w:rPr>
                <w:rFonts w:asciiTheme="minorHAnsi" w:eastAsiaTheme="minorEastAsia" w:hAnsiTheme="minorHAnsi" w:cstheme="minorBidi"/>
                <w:b w:val="0"/>
                <w:noProof/>
                <w:sz w:val="22"/>
                <w:lang w:eastAsia="en-AU"/>
              </w:rPr>
              <w:tab/>
            </w:r>
            <w:r w:rsidRPr="00EA7C22">
              <w:rPr>
                <w:rStyle w:val="Hyperlink"/>
                <w:noProof/>
              </w:rPr>
              <w:t>Clinical efficacy</w:t>
            </w:r>
            <w:r>
              <w:rPr>
                <w:noProof/>
                <w:webHidden/>
              </w:rPr>
              <w:tab/>
            </w:r>
            <w:r>
              <w:rPr>
                <w:noProof/>
                <w:webHidden/>
              </w:rPr>
              <w:fldChar w:fldCharType="begin"/>
            </w:r>
            <w:r>
              <w:rPr>
                <w:noProof/>
                <w:webHidden/>
              </w:rPr>
              <w:instrText xml:space="preserve"> PAGEREF _Toc522542360 \h </w:instrText>
            </w:r>
            <w:r>
              <w:rPr>
                <w:noProof/>
                <w:webHidden/>
              </w:rPr>
            </w:r>
            <w:r>
              <w:rPr>
                <w:noProof/>
                <w:webHidden/>
              </w:rPr>
              <w:fldChar w:fldCharType="separate"/>
            </w:r>
            <w:r>
              <w:rPr>
                <w:noProof/>
                <w:webHidden/>
              </w:rPr>
              <w:t>10</w:t>
            </w:r>
            <w:r>
              <w:rPr>
                <w:noProof/>
                <w:webHidden/>
              </w:rPr>
              <w:fldChar w:fldCharType="end"/>
            </w:r>
          </w:hyperlink>
        </w:p>
        <w:p w14:paraId="2169649F"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1" w:history="1">
            <w:r w:rsidRPr="00EA7C22">
              <w:rPr>
                <w:rStyle w:val="Hyperlink"/>
                <w:noProof/>
              </w:rPr>
              <w:t>8.1.</w:t>
            </w:r>
            <w:r>
              <w:rPr>
                <w:rFonts w:asciiTheme="minorHAnsi" w:eastAsiaTheme="minorEastAsia" w:hAnsiTheme="minorHAnsi" w:cstheme="minorBidi"/>
                <w:noProof/>
                <w:lang w:eastAsia="en-AU"/>
              </w:rPr>
              <w:tab/>
            </w:r>
            <w:r w:rsidRPr="00EA7C22">
              <w:rPr>
                <w:rStyle w:val="Hyperlink"/>
                <w:noProof/>
              </w:rPr>
              <w:t>Pivotal efficacy studies</w:t>
            </w:r>
            <w:r>
              <w:rPr>
                <w:noProof/>
                <w:webHidden/>
              </w:rPr>
              <w:tab/>
            </w:r>
            <w:r>
              <w:rPr>
                <w:noProof/>
                <w:webHidden/>
              </w:rPr>
              <w:fldChar w:fldCharType="begin"/>
            </w:r>
            <w:r>
              <w:rPr>
                <w:noProof/>
                <w:webHidden/>
              </w:rPr>
              <w:instrText xml:space="preserve"> PAGEREF _Toc522542361 \h </w:instrText>
            </w:r>
            <w:r>
              <w:rPr>
                <w:noProof/>
                <w:webHidden/>
              </w:rPr>
            </w:r>
            <w:r>
              <w:rPr>
                <w:noProof/>
                <w:webHidden/>
              </w:rPr>
              <w:fldChar w:fldCharType="separate"/>
            </w:r>
            <w:r>
              <w:rPr>
                <w:noProof/>
                <w:webHidden/>
              </w:rPr>
              <w:t>10</w:t>
            </w:r>
            <w:r>
              <w:rPr>
                <w:noProof/>
                <w:webHidden/>
              </w:rPr>
              <w:fldChar w:fldCharType="end"/>
            </w:r>
          </w:hyperlink>
        </w:p>
        <w:p w14:paraId="6345E9C6"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2" w:history="1">
            <w:r w:rsidRPr="00EA7C22">
              <w:rPr>
                <w:rStyle w:val="Hyperlink"/>
                <w:noProof/>
              </w:rPr>
              <w:t>8.2.</w:t>
            </w:r>
            <w:r>
              <w:rPr>
                <w:rFonts w:asciiTheme="minorHAnsi" w:eastAsiaTheme="minorEastAsia" w:hAnsiTheme="minorHAnsi" w:cstheme="minorBidi"/>
                <w:noProof/>
                <w:lang w:eastAsia="en-AU"/>
              </w:rPr>
              <w:tab/>
            </w:r>
            <w:r w:rsidRPr="00EA7C22">
              <w:rPr>
                <w:rStyle w:val="Hyperlink"/>
                <w:noProof/>
              </w:rPr>
              <w:t>Other efficacy studies</w:t>
            </w:r>
            <w:r>
              <w:rPr>
                <w:noProof/>
                <w:webHidden/>
              </w:rPr>
              <w:tab/>
            </w:r>
            <w:r>
              <w:rPr>
                <w:noProof/>
                <w:webHidden/>
              </w:rPr>
              <w:fldChar w:fldCharType="begin"/>
            </w:r>
            <w:r>
              <w:rPr>
                <w:noProof/>
                <w:webHidden/>
              </w:rPr>
              <w:instrText xml:space="preserve"> PAGEREF _Toc522542362 \h </w:instrText>
            </w:r>
            <w:r>
              <w:rPr>
                <w:noProof/>
                <w:webHidden/>
              </w:rPr>
            </w:r>
            <w:r>
              <w:rPr>
                <w:noProof/>
                <w:webHidden/>
              </w:rPr>
              <w:fldChar w:fldCharType="separate"/>
            </w:r>
            <w:r>
              <w:rPr>
                <w:noProof/>
                <w:webHidden/>
              </w:rPr>
              <w:t>22</w:t>
            </w:r>
            <w:r>
              <w:rPr>
                <w:noProof/>
                <w:webHidden/>
              </w:rPr>
              <w:fldChar w:fldCharType="end"/>
            </w:r>
          </w:hyperlink>
        </w:p>
        <w:p w14:paraId="0C262BBF"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3" w:history="1">
            <w:r w:rsidRPr="00EA7C22">
              <w:rPr>
                <w:rStyle w:val="Hyperlink"/>
                <w:noProof/>
              </w:rPr>
              <w:t>8.3.</w:t>
            </w:r>
            <w:r>
              <w:rPr>
                <w:rFonts w:asciiTheme="minorHAnsi" w:eastAsiaTheme="minorEastAsia" w:hAnsiTheme="minorHAnsi" w:cstheme="minorBidi"/>
                <w:noProof/>
                <w:lang w:eastAsia="en-AU"/>
              </w:rPr>
              <w:tab/>
            </w:r>
            <w:r w:rsidRPr="00EA7C22">
              <w:rPr>
                <w:rStyle w:val="Hyperlink"/>
                <w:noProof/>
              </w:rPr>
              <w:t>Evaluator’s conclusions on clinical efficacy</w:t>
            </w:r>
            <w:r>
              <w:rPr>
                <w:noProof/>
                <w:webHidden/>
              </w:rPr>
              <w:tab/>
            </w:r>
            <w:r>
              <w:rPr>
                <w:noProof/>
                <w:webHidden/>
              </w:rPr>
              <w:fldChar w:fldCharType="begin"/>
            </w:r>
            <w:r>
              <w:rPr>
                <w:noProof/>
                <w:webHidden/>
              </w:rPr>
              <w:instrText xml:space="preserve"> PAGEREF _Toc522542363 \h </w:instrText>
            </w:r>
            <w:r>
              <w:rPr>
                <w:noProof/>
                <w:webHidden/>
              </w:rPr>
            </w:r>
            <w:r>
              <w:rPr>
                <w:noProof/>
                <w:webHidden/>
              </w:rPr>
              <w:fldChar w:fldCharType="separate"/>
            </w:r>
            <w:r>
              <w:rPr>
                <w:noProof/>
                <w:webHidden/>
              </w:rPr>
              <w:t>26</w:t>
            </w:r>
            <w:r>
              <w:rPr>
                <w:noProof/>
                <w:webHidden/>
              </w:rPr>
              <w:fldChar w:fldCharType="end"/>
            </w:r>
          </w:hyperlink>
        </w:p>
        <w:p w14:paraId="2F68F78F" w14:textId="77777777" w:rsidR="00CD7EF7" w:rsidRDefault="00CD7EF7">
          <w:pPr>
            <w:pStyle w:val="TOC2"/>
            <w:tabs>
              <w:tab w:val="left" w:pos="1100"/>
            </w:tabs>
            <w:rPr>
              <w:rFonts w:asciiTheme="minorHAnsi" w:eastAsiaTheme="minorEastAsia" w:hAnsiTheme="minorHAnsi" w:cstheme="minorBidi"/>
              <w:b w:val="0"/>
              <w:noProof/>
              <w:sz w:val="22"/>
              <w:lang w:eastAsia="en-AU"/>
            </w:rPr>
          </w:pPr>
          <w:hyperlink w:anchor="_Toc522542364" w:history="1">
            <w:r w:rsidRPr="00EA7C22">
              <w:rPr>
                <w:rStyle w:val="Hyperlink"/>
                <w:noProof/>
              </w:rPr>
              <w:t>9.</w:t>
            </w:r>
            <w:r>
              <w:rPr>
                <w:rFonts w:asciiTheme="minorHAnsi" w:eastAsiaTheme="minorEastAsia" w:hAnsiTheme="minorHAnsi" w:cstheme="minorBidi"/>
                <w:b w:val="0"/>
                <w:noProof/>
                <w:sz w:val="22"/>
                <w:lang w:eastAsia="en-AU"/>
              </w:rPr>
              <w:tab/>
            </w:r>
            <w:r w:rsidRPr="00EA7C22">
              <w:rPr>
                <w:rStyle w:val="Hyperlink"/>
                <w:noProof/>
              </w:rPr>
              <w:t>Clinical safety</w:t>
            </w:r>
            <w:r>
              <w:rPr>
                <w:noProof/>
                <w:webHidden/>
              </w:rPr>
              <w:tab/>
            </w:r>
            <w:r>
              <w:rPr>
                <w:noProof/>
                <w:webHidden/>
              </w:rPr>
              <w:fldChar w:fldCharType="begin"/>
            </w:r>
            <w:r>
              <w:rPr>
                <w:noProof/>
                <w:webHidden/>
              </w:rPr>
              <w:instrText xml:space="preserve"> PAGEREF _Toc522542364 \h </w:instrText>
            </w:r>
            <w:r>
              <w:rPr>
                <w:noProof/>
                <w:webHidden/>
              </w:rPr>
            </w:r>
            <w:r>
              <w:rPr>
                <w:noProof/>
                <w:webHidden/>
              </w:rPr>
              <w:fldChar w:fldCharType="separate"/>
            </w:r>
            <w:r>
              <w:rPr>
                <w:noProof/>
                <w:webHidden/>
              </w:rPr>
              <w:t>28</w:t>
            </w:r>
            <w:r>
              <w:rPr>
                <w:noProof/>
                <w:webHidden/>
              </w:rPr>
              <w:fldChar w:fldCharType="end"/>
            </w:r>
          </w:hyperlink>
        </w:p>
        <w:p w14:paraId="68EDF320"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5" w:history="1">
            <w:r w:rsidRPr="00EA7C22">
              <w:rPr>
                <w:rStyle w:val="Hyperlink"/>
                <w:noProof/>
              </w:rPr>
              <w:t>9.1.</w:t>
            </w:r>
            <w:r>
              <w:rPr>
                <w:rFonts w:asciiTheme="minorHAnsi" w:eastAsiaTheme="minorEastAsia" w:hAnsiTheme="minorHAnsi" w:cstheme="minorBidi"/>
                <w:noProof/>
                <w:lang w:eastAsia="en-AU"/>
              </w:rPr>
              <w:tab/>
            </w:r>
            <w:r w:rsidRPr="00EA7C22">
              <w:rPr>
                <w:rStyle w:val="Hyperlink"/>
                <w:noProof/>
              </w:rPr>
              <w:t>Studies providing evaluable safety data</w:t>
            </w:r>
            <w:r>
              <w:rPr>
                <w:noProof/>
                <w:webHidden/>
              </w:rPr>
              <w:tab/>
            </w:r>
            <w:r>
              <w:rPr>
                <w:noProof/>
                <w:webHidden/>
              </w:rPr>
              <w:fldChar w:fldCharType="begin"/>
            </w:r>
            <w:r>
              <w:rPr>
                <w:noProof/>
                <w:webHidden/>
              </w:rPr>
              <w:instrText xml:space="preserve"> PAGEREF _Toc522542365 \h </w:instrText>
            </w:r>
            <w:r>
              <w:rPr>
                <w:noProof/>
                <w:webHidden/>
              </w:rPr>
            </w:r>
            <w:r>
              <w:rPr>
                <w:noProof/>
                <w:webHidden/>
              </w:rPr>
              <w:fldChar w:fldCharType="separate"/>
            </w:r>
            <w:r>
              <w:rPr>
                <w:noProof/>
                <w:webHidden/>
              </w:rPr>
              <w:t>28</w:t>
            </w:r>
            <w:r>
              <w:rPr>
                <w:noProof/>
                <w:webHidden/>
              </w:rPr>
              <w:fldChar w:fldCharType="end"/>
            </w:r>
          </w:hyperlink>
        </w:p>
        <w:p w14:paraId="0B950C16"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6" w:history="1">
            <w:r w:rsidRPr="00EA7C22">
              <w:rPr>
                <w:rStyle w:val="Hyperlink"/>
                <w:noProof/>
              </w:rPr>
              <w:t>9.2.</w:t>
            </w:r>
            <w:r>
              <w:rPr>
                <w:rFonts w:asciiTheme="minorHAnsi" w:eastAsiaTheme="minorEastAsia" w:hAnsiTheme="minorHAnsi" w:cstheme="minorBidi"/>
                <w:noProof/>
                <w:lang w:eastAsia="en-AU"/>
              </w:rPr>
              <w:tab/>
            </w:r>
            <w:r w:rsidRPr="00EA7C22">
              <w:rPr>
                <w:rStyle w:val="Hyperlink"/>
                <w:noProof/>
              </w:rPr>
              <w:t>Patient exposure</w:t>
            </w:r>
            <w:r>
              <w:rPr>
                <w:noProof/>
                <w:webHidden/>
              </w:rPr>
              <w:tab/>
            </w:r>
            <w:r>
              <w:rPr>
                <w:noProof/>
                <w:webHidden/>
              </w:rPr>
              <w:fldChar w:fldCharType="begin"/>
            </w:r>
            <w:r>
              <w:rPr>
                <w:noProof/>
                <w:webHidden/>
              </w:rPr>
              <w:instrText xml:space="preserve"> PAGEREF _Toc522542366 \h </w:instrText>
            </w:r>
            <w:r>
              <w:rPr>
                <w:noProof/>
                <w:webHidden/>
              </w:rPr>
            </w:r>
            <w:r>
              <w:rPr>
                <w:noProof/>
                <w:webHidden/>
              </w:rPr>
              <w:fldChar w:fldCharType="separate"/>
            </w:r>
            <w:r>
              <w:rPr>
                <w:noProof/>
                <w:webHidden/>
              </w:rPr>
              <w:t>30</w:t>
            </w:r>
            <w:r>
              <w:rPr>
                <w:noProof/>
                <w:webHidden/>
              </w:rPr>
              <w:fldChar w:fldCharType="end"/>
            </w:r>
          </w:hyperlink>
        </w:p>
        <w:p w14:paraId="6FFD6C53"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7" w:history="1">
            <w:r w:rsidRPr="00EA7C22">
              <w:rPr>
                <w:rStyle w:val="Hyperlink"/>
                <w:noProof/>
              </w:rPr>
              <w:t>9.3.</w:t>
            </w:r>
            <w:r>
              <w:rPr>
                <w:rFonts w:asciiTheme="minorHAnsi" w:eastAsiaTheme="minorEastAsia" w:hAnsiTheme="minorHAnsi" w:cstheme="minorBidi"/>
                <w:noProof/>
                <w:lang w:eastAsia="en-AU"/>
              </w:rPr>
              <w:tab/>
            </w:r>
            <w:r w:rsidRPr="00EA7C22">
              <w:rPr>
                <w:rStyle w:val="Hyperlink"/>
                <w:noProof/>
              </w:rPr>
              <w:t>Adverse events</w:t>
            </w:r>
            <w:r>
              <w:rPr>
                <w:noProof/>
                <w:webHidden/>
              </w:rPr>
              <w:tab/>
            </w:r>
            <w:r>
              <w:rPr>
                <w:noProof/>
                <w:webHidden/>
              </w:rPr>
              <w:fldChar w:fldCharType="begin"/>
            </w:r>
            <w:r>
              <w:rPr>
                <w:noProof/>
                <w:webHidden/>
              </w:rPr>
              <w:instrText xml:space="preserve"> PAGEREF _Toc522542367 \h </w:instrText>
            </w:r>
            <w:r>
              <w:rPr>
                <w:noProof/>
                <w:webHidden/>
              </w:rPr>
            </w:r>
            <w:r>
              <w:rPr>
                <w:noProof/>
                <w:webHidden/>
              </w:rPr>
              <w:fldChar w:fldCharType="separate"/>
            </w:r>
            <w:r>
              <w:rPr>
                <w:noProof/>
                <w:webHidden/>
              </w:rPr>
              <w:t>31</w:t>
            </w:r>
            <w:r>
              <w:rPr>
                <w:noProof/>
                <w:webHidden/>
              </w:rPr>
              <w:fldChar w:fldCharType="end"/>
            </w:r>
          </w:hyperlink>
        </w:p>
        <w:p w14:paraId="68319F2A"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8" w:history="1">
            <w:r w:rsidRPr="00EA7C22">
              <w:rPr>
                <w:rStyle w:val="Hyperlink"/>
                <w:noProof/>
              </w:rPr>
              <w:t>9.4.</w:t>
            </w:r>
            <w:r>
              <w:rPr>
                <w:rFonts w:asciiTheme="minorHAnsi" w:eastAsiaTheme="minorEastAsia" w:hAnsiTheme="minorHAnsi" w:cstheme="minorBidi"/>
                <w:noProof/>
                <w:lang w:eastAsia="en-AU"/>
              </w:rPr>
              <w:tab/>
            </w:r>
            <w:r w:rsidRPr="00EA7C22">
              <w:rPr>
                <w:rStyle w:val="Hyperlink"/>
                <w:noProof/>
              </w:rPr>
              <w:t>Laboratory tests</w:t>
            </w:r>
            <w:r>
              <w:rPr>
                <w:noProof/>
                <w:webHidden/>
              </w:rPr>
              <w:tab/>
            </w:r>
            <w:r>
              <w:rPr>
                <w:noProof/>
                <w:webHidden/>
              </w:rPr>
              <w:fldChar w:fldCharType="begin"/>
            </w:r>
            <w:r>
              <w:rPr>
                <w:noProof/>
                <w:webHidden/>
              </w:rPr>
              <w:instrText xml:space="preserve"> PAGEREF _Toc522542368 \h </w:instrText>
            </w:r>
            <w:r>
              <w:rPr>
                <w:noProof/>
                <w:webHidden/>
              </w:rPr>
            </w:r>
            <w:r>
              <w:rPr>
                <w:noProof/>
                <w:webHidden/>
              </w:rPr>
              <w:fldChar w:fldCharType="separate"/>
            </w:r>
            <w:r>
              <w:rPr>
                <w:noProof/>
                <w:webHidden/>
              </w:rPr>
              <w:t>37</w:t>
            </w:r>
            <w:r>
              <w:rPr>
                <w:noProof/>
                <w:webHidden/>
              </w:rPr>
              <w:fldChar w:fldCharType="end"/>
            </w:r>
          </w:hyperlink>
        </w:p>
        <w:p w14:paraId="52B40791"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69" w:history="1">
            <w:r w:rsidRPr="00EA7C22">
              <w:rPr>
                <w:rStyle w:val="Hyperlink"/>
                <w:noProof/>
              </w:rPr>
              <w:t>9.5.</w:t>
            </w:r>
            <w:r>
              <w:rPr>
                <w:rFonts w:asciiTheme="minorHAnsi" w:eastAsiaTheme="minorEastAsia" w:hAnsiTheme="minorHAnsi" w:cstheme="minorBidi"/>
                <w:noProof/>
                <w:lang w:eastAsia="en-AU"/>
              </w:rPr>
              <w:tab/>
            </w:r>
            <w:r w:rsidRPr="00EA7C22">
              <w:rPr>
                <w:rStyle w:val="Hyperlink"/>
                <w:noProof/>
              </w:rPr>
              <w:t>Adverse events of special interest</w:t>
            </w:r>
            <w:r>
              <w:rPr>
                <w:noProof/>
                <w:webHidden/>
              </w:rPr>
              <w:tab/>
            </w:r>
            <w:r>
              <w:rPr>
                <w:noProof/>
                <w:webHidden/>
              </w:rPr>
              <w:fldChar w:fldCharType="begin"/>
            </w:r>
            <w:r>
              <w:rPr>
                <w:noProof/>
                <w:webHidden/>
              </w:rPr>
              <w:instrText xml:space="preserve"> PAGEREF _Toc522542369 \h </w:instrText>
            </w:r>
            <w:r>
              <w:rPr>
                <w:noProof/>
                <w:webHidden/>
              </w:rPr>
            </w:r>
            <w:r>
              <w:rPr>
                <w:noProof/>
                <w:webHidden/>
              </w:rPr>
              <w:fldChar w:fldCharType="separate"/>
            </w:r>
            <w:r>
              <w:rPr>
                <w:noProof/>
                <w:webHidden/>
              </w:rPr>
              <w:t>37</w:t>
            </w:r>
            <w:r>
              <w:rPr>
                <w:noProof/>
                <w:webHidden/>
              </w:rPr>
              <w:fldChar w:fldCharType="end"/>
            </w:r>
          </w:hyperlink>
        </w:p>
        <w:p w14:paraId="5F93226F"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70" w:history="1">
            <w:r w:rsidRPr="00EA7C22">
              <w:rPr>
                <w:rStyle w:val="Hyperlink"/>
                <w:noProof/>
              </w:rPr>
              <w:t>9.6.</w:t>
            </w:r>
            <w:r>
              <w:rPr>
                <w:rFonts w:asciiTheme="minorHAnsi" w:eastAsiaTheme="minorEastAsia" w:hAnsiTheme="minorHAnsi" w:cstheme="minorBidi"/>
                <w:noProof/>
                <w:lang w:eastAsia="en-AU"/>
              </w:rPr>
              <w:tab/>
            </w:r>
            <w:r w:rsidRPr="00EA7C22">
              <w:rPr>
                <w:rStyle w:val="Hyperlink"/>
                <w:noProof/>
              </w:rPr>
              <w:t>Post-marketing experience</w:t>
            </w:r>
            <w:r>
              <w:rPr>
                <w:noProof/>
                <w:webHidden/>
              </w:rPr>
              <w:tab/>
            </w:r>
            <w:r>
              <w:rPr>
                <w:noProof/>
                <w:webHidden/>
              </w:rPr>
              <w:fldChar w:fldCharType="begin"/>
            </w:r>
            <w:r>
              <w:rPr>
                <w:noProof/>
                <w:webHidden/>
              </w:rPr>
              <w:instrText xml:space="preserve"> PAGEREF _Toc522542370 \h </w:instrText>
            </w:r>
            <w:r>
              <w:rPr>
                <w:noProof/>
                <w:webHidden/>
              </w:rPr>
            </w:r>
            <w:r>
              <w:rPr>
                <w:noProof/>
                <w:webHidden/>
              </w:rPr>
              <w:fldChar w:fldCharType="separate"/>
            </w:r>
            <w:r>
              <w:rPr>
                <w:noProof/>
                <w:webHidden/>
              </w:rPr>
              <w:t>38</w:t>
            </w:r>
            <w:r>
              <w:rPr>
                <w:noProof/>
                <w:webHidden/>
              </w:rPr>
              <w:fldChar w:fldCharType="end"/>
            </w:r>
          </w:hyperlink>
        </w:p>
        <w:p w14:paraId="2A9CF795"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71" w:history="1">
            <w:r w:rsidRPr="00EA7C22">
              <w:rPr>
                <w:rStyle w:val="Hyperlink"/>
                <w:noProof/>
              </w:rPr>
              <w:t>9.7.</w:t>
            </w:r>
            <w:r>
              <w:rPr>
                <w:rFonts w:asciiTheme="minorHAnsi" w:eastAsiaTheme="minorEastAsia" w:hAnsiTheme="minorHAnsi" w:cstheme="minorBidi"/>
                <w:noProof/>
                <w:lang w:eastAsia="en-AU"/>
              </w:rPr>
              <w:tab/>
            </w:r>
            <w:r w:rsidRPr="00EA7C22">
              <w:rPr>
                <w:rStyle w:val="Hyperlink"/>
                <w:noProof/>
              </w:rPr>
              <w:t>Evaluator’s overall conclusions on clinical safety</w:t>
            </w:r>
            <w:r>
              <w:rPr>
                <w:noProof/>
                <w:webHidden/>
              </w:rPr>
              <w:tab/>
            </w:r>
            <w:r>
              <w:rPr>
                <w:noProof/>
                <w:webHidden/>
              </w:rPr>
              <w:fldChar w:fldCharType="begin"/>
            </w:r>
            <w:r>
              <w:rPr>
                <w:noProof/>
                <w:webHidden/>
              </w:rPr>
              <w:instrText xml:space="preserve"> PAGEREF _Toc522542371 \h </w:instrText>
            </w:r>
            <w:r>
              <w:rPr>
                <w:noProof/>
                <w:webHidden/>
              </w:rPr>
            </w:r>
            <w:r>
              <w:rPr>
                <w:noProof/>
                <w:webHidden/>
              </w:rPr>
              <w:fldChar w:fldCharType="separate"/>
            </w:r>
            <w:r>
              <w:rPr>
                <w:noProof/>
                <w:webHidden/>
              </w:rPr>
              <w:t>39</w:t>
            </w:r>
            <w:r>
              <w:rPr>
                <w:noProof/>
                <w:webHidden/>
              </w:rPr>
              <w:fldChar w:fldCharType="end"/>
            </w:r>
          </w:hyperlink>
        </w:p>
        <w:p w14:paraId="62D2E140" w14:textId="77777777" w:rsidR="00CD7EF7" w:rsidRDefault="00CD7EF7">
          <w:pPr>
            <w:pStyle w:val="TOC2"/>
            <w:tabs>
              <w:tab w:val="left" w:pos="1320"/>
            </w:tabs>
            <w:rPr>
              <w:rFonts w:asciiTheme="minorHAnsi" w:eastAsiaTheme="minorEastAsia" w:hAnsiTheme="minorHAnsi" w:cstheme="minorBidi"/>
              <w:b w:val="0"/>
              <w:noProof/>
              <w:sz w:val="22"/>
              <w:lang w:eastAsia="en-AU"/>
            </w:rPr>
          </w:pPr>
          <w:hyperlink w:anchor="_Toc522542372" w:history="1">
            <w:r w:rsidRPr="00EA7C22">
              <w:rPr>
                <w:rStyle w:val="Hyperlink"/>
                <w:noProof/>
              </w:rPr>
              <w:t>10.</w:t>
            </w:r>
            <w:r>
              <w:rPr>
                <w:rFonts w:asciiTheme="minorHAnsi" w:eastAsiaTheme="minorEastAsia" w:hAnsiTheme="minorHAnsi" w:cstheme="minorBidi"/>
                <w:b w:val="0"/>
                <w:noProof/>
                <w:sz w:val="22"/>
                <w:lang w:eastAsia="en-AU"/>
              </w:rPr>
              <w:tab/>
            </w:r>
            <w:r w:rsidRPr="00EA7C22">
              <w:rPr>
                <w:rStyle w:val="Hyperlink"/>
                <w:noProof/>
              </w:rPr>
              <w:t>First round benefit-risk assessment</w:t>
            </w:r>
            <w:r>
              <w:rPr>
                <w:noProof/>
                <w:webHidden/>
              </w:rPr>
              <w:tab/>
            </w:r>
            <w:r>
              <w:rPr>
                <w:noProof/>
                <w:webHidden/>
              </w:rPr>
              <w:fldChar w:fldCharType="begin"/>
            </w:r>
            <w:r>
              <w:rPr>
                <w:noProof/>
                <w:webHidden/>
              </w:rPr>
              <w:instrText xml:space="preserve"> PAGEREF _Toc522542372 \h </w:instrText>
            </w:r>
            <w:r>
              <w:rPr>
                <w:noProof/>
                <w:webHidden/>
              </w:rPr>
            </w:r>
            <w:r>
              <w:rPr>
                <w:noProof/>
                <w:webHidden/>
              </w:rPr>
              <w:fldChar w:fldCharType="separate"/>
            </w:r>
            <w:r>
              <w:rPr>
                <w:noProof/>
                <w:webHidden/>
              </w:rPr>
              <w:t>40</w:t>
            </w:r>
            <w:r>
              <w:rPr>
                <w:noProof/>
                <w:webHidden/>
              </w:rPr>
              <w:fldChar w:fldCharType="end"/>
            </w:r>
          </w:hyperlink>
        </w:p>
        <w:p w14:paraId="4F183116"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73" w:history="1">
            <w:r w:rsidRPr="00EA7C22">
              <w:rPr>
                <w:rStyle w:val="Hyperlink"/>
                <w:noProof/>
              </w:rPr>
              <w:t>10.1.</w:t>
            </w:r>
            <w:r>
              <w:rPr>
                <w:rFonts w:asciiTheme="minorHAnsi" w:eastAsiaTheme="minorEastAsia" w:hAnsiTheme="minorHAnsi" w:cstheme="minorBidi"/>
                <w:noProof/>
                <w:lang w:eastAsia="en-AU"/>
              </w:rPr>
              <w:tab/>
            </w:r>
            <w:r w:rsidRPr="00EA7C22">
              <w:rPr>
                <w:rStyle w:val="Hyperlink"/>
                <w:noProof/>
              </w:rPr>
              <w:t>First round assessment of benefits</w:t>
            </w:r>
            <w:r>
              <w:rPr>
                <w:noProof/>
                <w:webHidden/>
              </w:rPr>
              <w:tab/>
            </w:r>
            <w:r>
              <w:rPr>
                <w:noProof/>
                <w:webHidden/>
              </w:rPr>
              <w:fldChar w:fldCharType="begin"/>
            </w:r>
            <w:r>
              <w:rPr>
                <w:noProof/>
                <w:webHidden/>
              </w:rPr>
              <w:instrText xml:space="preserve"> PAGEREF _Toc522542373 \h </w:instrText>
            </w:r>
            <w:r>
              <w:rPr>
                <w:noProof/>
                <w:webHidden/>
              </w:rPr>
            </w:r>
            <w:r>
              <w:rPr>
                <w:noProof/>
                <w:webHidden/>
              </w:rPr>
              <w:fldChar w:fldCharType="separate"/>
            </w:r>
            <w:r>
              <w:rPr>
                <w:noProof/>
                <w:webHidden/>
              </w:rPr>
              <w:t>40</w:t>
            </w:r>
            <w:r>
              <w:rPr>
                <w:noProof/>
                <w:webHidden/>
              </w:rPr>
              <w:fldChar w:fldCharType="end"/>
            </w:r>
          </w:hyperlink>
        </w:p>
        <w:p w14:paraId="6E1FF4DA"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74" w:history="1">
            <w:r w:rsidRPr="00EA7C22">
              <w:rPr>
                <w:rStyle w:val="Hyperlink"/>
                <w:noProof/>
              </w:rPr>
              <w:t>10.2.</w:t>
            </w:r>
            <w:r>
              <w:rPr>
                <w:rFonts w:asciiTheme="minorHAnsi" w:eastAsiaTheme="minorEastAsia" w:hAnsiTheme="minorHAnsi" w:cstheme="minorBidi"/>
                <w:noProof/>
                <w:lang w:eastAsia="en-AU"/>
              </w:rPr>
              <w:tab/>
            </w:r>
            <w:r w:rsidRPr="00EA7C22">
              <w:rPr>
                <w:rStyle w:val="Hyperlink"/>
                <w:noProof/>
              </w:rPr>
              <w:t>First round assessment of risks</w:t>
            </w:r>
            <w:r>
              <w:rPr>
                <w:noProof/>
                <w:webHidden/>
              </w:rPr>
              <w:tab/>
            </w:r>
            <w:r>
              <w:rPr>
                <w:noProof/>
                <w:webHidden/>
              </w:rPr>
              <w:fldChar w:fldCharType="begin"/>
            </w:r>
            <w:r>
              <w:rPr>
                <w:noProof/>
                <w:webHidden/>
              </w:rPr>
              <w:instrText xml:space="preserve"> PAGEREF _Toc522542374 \h </w:instrText>
            </w:r>
            <w:r>
              <w:rPr>
                <w:noProof/>
                <w:webHidden/>
              </w:rPr>
            </w:r>
            <w:r>
              <w:rPr>
                <w:noProof/>
                <w:webHidden/>
              </w:rPr>
              <w:fldChar w:fldCharType="separate"/>
            </w:r>
            <w:r>
              <w:rPr>
                <w:noProof/>
                <w:webHidden/>
              </w:rPr>
              <w:t>40</w:t>
            </w:r>
            <w:r>
              <w:rPr>
                <w:noProof/>
                <w:webHidden/>
              </w:rPr>
              <w:fldChar w:fldCharType="end"/>
            </w:r>
          </w:hyperlink>
        </w:p>
        <w:p w14:paraId="5B01438F"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75" w:history="1">
            <w:r w:rsidRPr="00EA7C22">
              <w:rPr>
                <w:rStyle w:val="Hyperlink"/>
                <w:noProof/>
              </w:rPr>
              <w:t>10.3.</w:t>
            </w:r>
            <w:r>
              <w:rPr>
                <w:rFonts w:asciiTheme="minorHAnsi" w:eastAsiaTheme="minorEastAsia" w:hAnsiTheme="minorHAnsi" w:cstheme="minorBidi"/>
                <w:noProof/>
                <w:lang w:eastAsia="en-AU"/>
              </w:rPr>
              <w:tab/>
            </w:r>
            <w:r w:rsidRPr="00EA7C22">
              <w:rPr>
                <w:rStyle w:val="Hyperlink"/>
                <w:noProof/>
              </w:rPr>
              <w:t>First round assessment of benefit-risk balance</w:t>
            </w:r>
            <w:r>
              <w:rPr>
                <w:noProof/>
                <w:webHidden/>
              </w:rPr>
              <w:tab/>
            </w:r>
            <w:r>
              <w:rPr>
                <w:noProof/>
                <w:webHidden/>
              </w:rPr>
              <w:fldChar w:fldCharType="begin"/>
            </w:r>
            <w:r>
              <w:rPr>
                <w:noProof/>
                <w:webHidden/>
              </w:rPr>
              <w:instrText xml:space="preserve"> PAGEREF _Toc522542375 \h </w:instrText>
            </w:r>
            <w:r>
              <w:rPr>
                <w:noProof/>
                <w:webHidden/>
              </w:rPr>
            </w:r>
            <w:r>
              <w:rPr>
                <w:noProof/>
                <w:webHidden/>
              </w:rPr>
              <w:fldChar w:fldCharType="separate"/>
            </w:r>
            <w:r>
              <w:rPr>
                <w:noProof/>
                <w:webHidden/>
              </w:rPr>
              <w:t>40</w:t>
            </w:r>
            <w:r>
              <w:rPr>
                <w:noProof/>
                <w:webHidden/>
              </w:rPr>
              <w:fldChar w:fldCharType="end"/>
            </w:r>
          </w:hyperlink>
        </w:p>
        <w:p w14:paraId="5A89A23C" w14:textId="77777777" w:rsidR="00CD7EF7" w:rsidRDefault="00CD7EF7">
          <w:pPr>
            <w:pStyle w:val="TOC2"/>
            <w:tabs>
              <w:tab w:val="left" w:pos="1320"/>
            </w:tabs>
            <w:rPr>
              <w:rFonts w:asciiTheme="minorHAnsi" w:eastAsiaTheme="minorEastAsia" w:hAnsiTheme="minorHAnsi" w:cstheme="minorBidi"/>
              <w:b w:val="0"/>
              <w:noProof/>
              <w:sz w:val="22"/>
              <w:lang w:eastAsia="en-AU"/>
            </w:rPr>
          </w:pPr>
          <w:hyperlink w:anchor="_Toc522542376" w:history="1">
            <w:r w:rsidRPr="00EA7C22">
              <w:rPr>
                <w:rStyle w:val="Hyperlink"/>
                <w:noProof/>
              </w:rPr>
              <w:t>11.</w:t>
            </w:r>
            <w:r>
              <w:rPr>
                <w:rFonts w:asciiTheme="minorHAnsi" w:eastAsiaTheme="minorEastAsia" w:hAnsiTheme="minorHAnsi" w:cstheme="minorBidi"/>
                <w:b w:val="0"/>
                <w:noProof/>
                <w:sz w:val="22"/>
                <w:lang w:eastAsia="en-AU"/>
              </w:rPr>
              <w:tab/>
            </w:r>
            <w:r w:rsidRPr="00EA7C22">
              <w:rPr>
                <w:rStyle w:val="Hyperlink"/>
                <w:noProof/>
              </w:rPr>
              <w:t>First round recommendation regarding authorisation</w:t>
            </w:r>
            <w:r>
              <w:rPr>
                <w:noProof/>
                <w:webHidden/>
              </w:rPr>
              <w:tab/>
            </w:r>
            <w:r>
              <w:rPr>
                <w:noProof/>
                <w:webHidden/>
              </w:rPr>
              <w:fldChar w:fldCharType="begin"/>
            </w:r>
            <w:r>
              <w:rPr>
                <w:noProof/>
                <w:webHidden/>
              </w:rPr>
              <w:instrText xml:space="preserve"> PAGEREF _Toc522542376 \h </w:instrText>
            </w:r>
            <w:r>
              <w:rPr>
                <w:noProof/>
                <w:webHidden/>
              </w:rPr>
            </w:r>
            <w:r>
              <w:rPr>
                <w:noProof/>
                <w:webHidden/>
              </w:rPr>
              <w:fldChar w:fldCharType="separate"/>
            </w:r>
            <w:r>
              <w:rPr>
                <w:noProof/>
                <w:webHidden/>
              </w:rPr>
              <w:t>40</w:t>
            </w:r>
            <w:r>
              <w:rPr>
                <w:noProof/>
                <w:webHidden/>
              </w:rPr>
              <w:fldChar w:fldCharType="end"/>
            </w:r>
          </w:hyperlink>
        </w:p>
        <w:p w14:paraId="6D21B71A" w14:textId="77777777" w:rsidR="00CD7EF7" w:rsidRDefault="00CD7EF7">
          <w:pPr>
            <w:pStyle w:val="TOC2"/>
            <w:tabs>
              <w:tab w:val="left" w:pos="1320"/>
            </w:tabs>
            <w:rPr>
              <w:rFonts w:asciiTheme="minorHAnsi" w:eastAsiaTheme="minorEastAsia" w:hAnsiTheme="minorHAnsi" w:cstheme="minorBidi"/>
              <w:b w:val="0"/>
              <w:noProof/>
              <w:sz w:val="22"/>
              <w:lang w:eastAsia="en-AU"/>
            </w:rPr>
          </w:pPr>
          <w:hyperlink w:anchor="_Toc522542377" w:history="1">
            <w:r w:rsidRPr="00EA7C22">
              <w:rPr>
                <w:rStyle w:val="Hyperlink"/>
                <w:noProof/>
              </w:rPr>
              <w:t>12.</w:t>
            </w:r>
            <w:r>
              <w:rPr>
                <w:rFonts w:asciiTheme="minorHAnsi" w:eastAsiaTheme="minorEastAsia" w:hAnsiTheme="minorHAnsi" w:cstheme="minorBidi"/>
                <w:b w:val="0"/>
                <w:noProof/>
                <w:sz w:val="22"/>
                <w:lang w:eastAsia="en-AU"/>
              </w:rPr>
              <w:tab/>
            </w:r>
            <w:r w:rsidRPr="00EA7C22">
              <w:rPr>
                <w:rStyle w:val="Hyperlink"/>
                <w:noProof/>
              </w:rPr>
              <w:t>Clinical questions</w:t>
            </w:r>
            <w:r>
              <w:rPr>
                <w:noProof/>
                <w:webHidden/>
              </w:rPr>
              <w:tab/>
            </w:r>
            <w:r>
              <w:rPr>
                <w:noProof/>
                <w:webHidden/>
              </w:rPr>
              <w:fldChar w:fldCharType="begin"/>
            </w:r>
            <w:r>
              <w:rPr>
                <w:noProof/>
                <w:webHidden/>
              </w:rPr>
              <w:instrText xml:space="preserve"> PAGEREF _Toc522542377 \h </w:instrText>
            </w:r>
            <w:r>
              <w:rPr>
                <w:noProof/>
                <w:webHidden/>
              </w:rPr>
            </w:r>
            <w:r>
              <w:rPr>
                <w:noProof/>
                <w:webHidden/>
              </w:rPr>
              <w:fldChar w:fldCharType="separate"/>
            </w:r>
            <w:r>
              <w:rPr>
                <w:noProof/>
                <w:webHidden/>
              </w:rPr>
              <w:t>40</w:t>
            </w:r>
            <w:r>
              <w:rPr>
                <w:noProof/>
                <w:webHidden/>
              </w:rPr>
              <w:fldChar w:fldCharType="end"/>
            </w:r>
          </w:hyperlink>
        </w:p>
        <w:p w14:paraId="417A6272"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78" w:history="1">
            <w:r w:rsidRPr="00EA7C22">
              <w:rPr>
                <w:rStyle w:val="Hyperlink"/>
                <w:noProof/>
              </w:rPr>
              <w:t>12.1.</w:t>
            </w:r>
            <w:r>
              <w:rPr>
                <w:rFonts w:asciiTheme="minorHAnsi" w:eastAsiaTheme="minorEastAsia" w:hAnsiTheme="minorHAnsi" w:cstheme="minorBidi"/>
                <w:noProof/>
                <w:lang w:eastAsia="en-AU"/>
              </w:rPr>
              <w:tab/>
            </w:r>
            <w:r w:rsidRPr="00EA7C22">
              <w:rPr>
                <w:rStyle w:val="Hyperlink"/>
                <w:noProof/>
              </w:rPr>
              <w:t>Efficacy</w:t>
            </w:r>
            <w:r>
              <w:rPr>
                <w:noProof/>
                <w:webHidden/>
              </w:rPr>
              <w:tab/>
            </w:r>
            <w:r>
              <w:rPr>
                <w:noProof/>
                <w:webHidden/>
              </w:rPr>
              <w:fldChar w:fldCharType="begin"/>
            </w:r>
            <w:r>
              <w:rPr>
                <w:noProof/>
                <w:webHidden/>
              </w:rPr>
              <w:instrText xml:space="preserve"> PAGEREF _Toc522542378 \h </w:instrText>
            </w:r>
            <w:r>
              <w:rPr>
                <w:noProof/>
                <w:webHidden/>
              </w:rPr>
            </w:r>
            <w:r>
              <w:rPr>
                <w:noProof/>
                <w:webHidden/>
              </w:rPr>
              <w:fldChar w:fldCharType="separate"/>
            </w:r>
            <w:r>
              <w:rPr>
                <w:noProof/>
                <w:webHidden/>
              </w:rPr>
              <w:t>40</w:t>
            </w:r>
            <w:r>
              <w:rPr>
                <w:noProof/>
                <w:webHidden/>
              </w:rPr>
              <w:fldChar w:fldCharType="end"/>
            </w:r>
          </w:hyperlink>
        </w:p>
        <w:p w14:paraId="0F1F8EF3"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79" w:history="1">
            <w:r w:rsidRPr="00EA7C22">
              <w:rPr>
                <w:rStyle w:val="Hyperlink"/>
                <w:noProof/>
              </w:rPr>
              <w:t>12.2.</w:t>
            </w:r>
            <w:r>
              <w:rPr>
                <w:rFonts w:asciiTheme="minorHAnsi" w:eastAsiaTheme="minorEastAsia" w:hAnsiTheme="minorHAnsi" w:cstheme="minorBidi"/>
                <w:noProof/>
                <w:lang w:eastAsia="en-AU"/>
              </w:rPr>
              <w:tab/>
            </w:r>
            <w:r w:rsidRPr="00EA7C22">
              <w:rPr>
                <w:rStyle w:val="Hyperlink"/>
                <w:noProof/>
              </w:rPr>
              <w:t>Safety</w:t>
            </w:r>
            <w:r>
              <w:rPr>
                <w:noProof/>
                <w:webHidden/>
              </w:rPr>
              <w:tab/>
            </w:r>
            <w:r>
              <w:rPr>
                <w:noProof/>
                <w:webHidden/>
              </w:rPr>
              <w:fldChar w:fldCharType="begin"/>
            </w:r>
            <w:r>
              <w:rPr>
                <w:noProof/>
                <w:webHidden/>
              </w:rPr>
              <w:instrText xml:space="preserve"> PAGEREF _Toc522542379 \h </w:instrText>
            </w:r>
            <w:r>
              <w:rPr>
                <w:noProof/>
                <w:webHidden/>
              </w:rPr>
            </w:r>
            <w:r>
              <w:rPr>
                <w:noProof/>
                <w:webHidden/>
              </w:rPr>
              <w:fldChar w:fldCharType="separate"/>
            </w:r>
            <w:r>
              <w:rPr>
                <w:noProof/>
                <w:webHidden/>
              </w:rPr>
              <w:t>41</w:t>
            </w:r>
            <w:r>
              <w:rPr>
                <w:noProof/>
                <w:webHidden/>
              </w:rPr>
              <w:fldChar w:fldCharType="end"/>
            </w:r>
          </w:hyperlink>
        </w:p>
        <w:p w14:paraId="48BBCA75" w14:textId="77777777" w:rsidR="00CD7EF7" w:rsidRDefault="00CD7EF7">
          <w:pPr>
            <w:pStyle w:val="TOC2"/>
            <w:tabs>
              <w:tab w:val="left" w:pos="1320"/>
            </w:tabs>
            <w:rPr>
              <w:rFonts w:asciiTheme="minorHAnsi" w:eastAsiaTheme="minorEastAsia" w:hAnsiTheme="minorHAnsi" w:cstheme="minorBidi"/>
              <w:b w:val="0"/>
              <w:noProof/>
              <w:sz w:val="22"/>
              <w:lang w:eastAsia="en-AU"/>
            </w:rPr>
          </w:pPr>
          <w:hyperlink w:anchor="_Toc522542380" w:history="1">
            <w:r w:rsidRPr="00EA7C22">
              <w:rPr>
                <w:rStyle w:val="Hyperlink"/>
                <w:noProof/>
              </w:rPr>
              <w:t>13.</w:t>
            </w:r>
            <w:r>
              <w:rPr>
                <w:rFonts w:asciiTheme="minorHAnsi" w:eastAsiaTheme="minorEastAsia" w:hAnsiTheme="minorHAnsi" w:cstheme="minorBidi"/>
                <w:b w:val="0"/>
                <w:noProof/>
                <w:sz w:val="22"/>
                <w:lang w:eastAsia="en-AU"/>
              </w:rPr>
              <w:tab/>
            </w:r>
            <w:r w:rsidRPr="00EA7C2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_Toc522542380 \h </w:instrText>
            </w:r>
            <w:r>
              <w:rPr>
                <w:noProof/>
                <w:webHidden/>
              </w:rPr>
            </w:r>
            <w:r>
              <w:rPr>
                <w:noProof/>
                <w:webHidden/>
              </w:rPr>
              <w:fldChar w:fldCharType="separate"/>
            </w:r>
            <w:r>
              <w:rPr>
                <w:noProof/>
                <w:webHidden/>
              </w:rPr>
              <w:t>41</w:t>
            </w:r>
            <w:r>
              <w:rPr>
                <w:noProof/>
                <w:webHidden/>
              </w:rPr>
              <w:fldChar w:fldCharType="end"/>
            </w:r>
          </w:hyperlink>
        </w:p>
        <w:p w14:paraId="6752BD99"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81" w:history="1">
            <w:r w:rsidRPr="00EA7C22">
              <w:rPr>
                <w:rStyle w:val="Hyperlink"/>
                <w:rFonts w:eastAsia="ArialMT"/>
                <w:noProof/>
                <w:kern w:val="1"/>
              </w:rPr>
              <w:t>13.1.</w:t>
            </w:r>
            <w:r>
              <w:rPr>
                <w:rFonts w:asciiTheme="minorHAnsi" w:eastAsiaTheme="minorEastAsia" w:hAnsiTheme="minorHAnsi" w:cstheme="minorBidi"/>
                <w:noProof/>
                <w:lang w:eastAsia="en-AU"/>
              </w:rPr>
              <w:tab/>
            </w:r>
            <w:r w:rsidRPr="00EA7C22">
              <w:rPr>
                <w:rStyle w:val="Hyperlink"/>
                <w:rFonts w:eastAsia="ArialMT"/>
                <w:noProof/>
              </w:rPr>
              <w:t>Overview of data provided for second round</w:t>
            </w:r>
            <w:r w:rsidRPr="00EA7C22">
              <w:rPr>
                <w:rStyle w:val="Hyperlink"/>
                <w:rFonts w:eastAsia="ArialMT"/>
                <w:noProof/>
                <w:spacing w:val="-23"/>
                <w:kern w:val="1"/>
              </w:rPr>
              <w:t xml:space="preserve"> </w:t>
            </w:r>
            <w:r w:rsidRPr="00EA7C22">
              <w:rPr>
                <w:rStyle w:val="Hyperlink"/>
                <w:rFonts w:eastAsia="ArialMT"/>
                <w:noProof/>
                <w:kern w:val="1"/>
              </w:rPr>
              <w:t>evaluation</w:t>
            </w:r>
            <w:r>
              <w:rPr>
                <w:noProof/>
                <w:webHidden/>
              </w:rPr>
              <w:tab/>
            </w:r>
            <w:r>
              <w:rPr>
                <w:noProof/>
                <w:webHidden/>
              </w:rPr>
              <w:fldChar w:fldCharType="begin"/>
            </w:r>
            <w:r>
              <w:rPr>
                <w:noProof/>
                <w:webHidden/>
              </w:rPr>
              <w:instrText xml:space="preserve"> PAGEREF _Toc522542381 \h </w:instrText>
            </w:r>
            <w:r>
              <w:rPr>
                <w:noProof/>
                <w:webHidden/>
              </w:rPr>
            </w:r>
            <w:r>
              <w:rPr>
                <w:noProof/>
                <w:webHidden/>
              </w:rPr>
              <w:fldChar w:fldCharType="separate"/>
            </w:r>
            <w:r>
              <w:rPr>
                <w:noProof/>
                <w:webHidden/>
              </w:rPr>
              <w:t>41</w:t>
            </w:r>
            <w:r>
              <w:rPr>
                <w:noProof/>
                <w:webHidden/>
              </w:rPr>
              <w:fldChar w:fldCharType="end"/>
            </w:r>
          </w:hyperlink>
        </w:p>
        <w:p w14:paraId="6C408147"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82" w:history="1">
            <w:r w:rsidRPr="00EA7C22">
              <w:rPr>
                <w:rStyle w:val="Hyperlink"/>
                <w:rFonts w:eastAsia="ArialMT"/>
                <w:noProof/>
              </w:rPr>
              <w:t>13.2.</w:t>
            </w:r>
            <w:r>
              <w:rPr>
                <w:rFonts w:asciiTheme="minorHAnsi" w:eastAsiaTheme="minorEastAsia" w:hAnsiTheme="minorHAnsi" w:cstheme="minorBidi"/>
                <w:noProof/>
                <w:lang w:eastAsia="en-AU"/>
              </w:rPr>
              <w:tab/>
            </w:r>
            <w:r w:rsidRPr="00EA7C22">
              <w:rPr>
                <w:rStyle w:val="Hyperlink"/>
                <w:rFonts w:eastAsia="ArialMT"/>
                <w:noProof/>
              </w:rPr>
              <w:t>Global Pharmacovigilance Periodic Benefit-Risk Evaluation Report for September 2015-September 2016 (PBRER)</w:t>
            </w:r>
            <w:r>
              <w:rPr>
                <w:noProof/>
                <w:webHidden/>
              </w:rPr>
              <w:tab/>
            </w:r>
            <w:r>
              <w:rPr>
                <w:noProof/>
                <w:webHidden/>
              </w:rPr>
              <w:fldChar w:fldCharType="begin"/>
            </w:r>
            <w:r>
              <w:rPr>
                <w:noProof/>
                <w:webHidden/>
              </w:rPr>
              <w:instrText xml:space="preserve"> PAGEREF _Toc522542382 \h </w:instrText>
            </w:r>
            <w:r>
              <w:rPr>
                <w:noProof/>
                <w:webHidden/>
              </w:rPr>
            </w:r>
            <w:r>
              <w:rPr>
                <w:noProof/>
                <w:webHidden/>
              </w:rPr>
              <w:fldChar w:fldCharType="separate"/>
            </w:r>
            <w:r>
              <w:rPr>
                <w:noProof/>
                <w:webHidden/>
              </w:rPr>
              <w:t>41</w:t>
            </w:r>
            <w:r>
              <w:rPr>
                <w:noProof/>
                <w:webHidden/>
              </w:rPr>
              <w:fldChar w:fldCharType="end"/>
            </w:r>
          </w:hyperlink>
        </w:p>
        <w:p w14:paraId="01AC73D0"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83" w:history="1">
            <w:r w:rsidRPr="00EA7C22">
              <w:rPr>
                <w:rStyle w:val="Hyperlink"/>
                <w:rFonts w:eastAsia="ArialMT"/>
                <w:noProof/>
              </w:rPr>
              <w:t>13.3.</w:t>
            </w:r>
            <w:r>
              <w:rPr>
                <w:rFonts w:asciiTheme="minorHAnsi" w:eastAsiaTheme="minorEastAsia" w:hAnsiTheme="minorHAnsi" w:cstheme="minorBidi"/>
                <w:noProof/>
                <w:lang w:eastAsia="en-AU"/>
              </w:rPr>
              <w:tab/>
            </w:r>
            <w:r w:rsidRPr="00EA7C22">
              <w:rPr>
                <w:rStyle w:val="Hyperlink"/>
                <w:rFonts w:eastAsia="ArialMT"/>
                <w:noProof/>
              </w:rPr>
              <w:t>Development Safety Update Report (DSUR)</w:t>
            </w:r>
            <w:r>
              <w:rPr>
                <w:noProof/>
                <w:webHidden/>
              </w:rPr>
              <w:tab/>
            </w:r>
            <w:r>
              <w:rPr>
                <w:noProof/>
                <w:webHidden/>
              </w:rPr>
              <w:fldChar w:fldCharType="begin"/>
            </w:r>
            <w:r>
              <w:rPr>
                <w:noProof/>
                <w:webHidden/>
              </w:rPr>
              <w:instrText xml:space="preserve"> PAGEREF _Toc522542383 \h </w:instrText>
            </w:r>
            <w:r>
              <w:rPr>
                <w:noProof/>
                <w:webHidden/>
              </w:rPr>
            </w:r>
            <w:r>
              <w:rPr>
                <w:noProof/>
                <w:webHidden/>
              </w:rPr>
              <w:fldChar w:fldCharType="separate"/>
            </w:r>
            <w:r>
              <w:rPr>
                <w:noProof/>
                <w:webHidden/>
              </w:rPr>
              <w:t>47</w:t>
            </w:r>
            <w:r>
              <w:rPr>
                <w:noProof/>
                <w:webHidden/>
              </w:rPr>
              <w:fldChar w:fldCharType="end"/>
            </w:r>
          </w:hyperlink>
        </w:p>
        <w:p w14:paraId="4FE39F25" w14:textId="77777777" w:rsidR="00CD7EF7" w:rsidRDefault="00CD7EF7">
          <w:pPr>
            <w:pStyle w:val="TOC2"/>
            <w:tabs>
              <w:tab w:val="left" w:pos="1320"/>
            </w:tabs>
            <w:rPr>
              <w:rFonts w:asciiTheme="minorHAnsi" w:eastAsiaTheme="minorEastAsia" w:hAnsiTheme="minorHAnsi" w:cstheme="minorBidi"/>
              <w:b w:val="0"/>
              <w:noProof/>
              <w:sz w:val="22"/>
              <w:lang w:eastAsia="en-AU"/>
            </w:rPr>
          </w:pPr>
          <w:hyperlink w:anchor="_Toc522542384" w:history="1">
            <w:r w:rsidRPr="00EA7C22">
              <w:rPr>
                <w:rStyle w:val="Hyperlink"/>
                <w:noProof/>
              </w:rPr>
              <w:t>14.</w:t>
            </w:r>
            <w:r>
              <w:rPr>
                <w:rFonts w:asciiTheme="minorHAnsi" w:eastAsiaTheme="minorEastAsia" w:hAnsiTheme="minorHAnsi" w:cstheme="minorBidi"/>
                <w:b w:val="0"/>
                <w:noProof/>
                <w:sz w:val="22"/>
                <w:lang w:eastAsia="en-AU"/>
              </w:rPr>
              <w:tab/>
            </w:r>
            <w:r w:rsidRPr="00EA7C22">
              <w:rPr>
                <w:rStyle w:val="Hyperlink"/>
                <w:noProof/>
              </w:rPr>
              <w:t>Second round benefit-risk assessment</w:t>
            </w:r>
            <w:r>
              <w:rPr>
                <w:noProof/>
                <w:webHidden/>
              </w:rPr>
              <w:tab/>
            </w:r>
            <w:r>
              <w:rPr>
                <w:noProof/>
                <w:webHidden/>
              </w:rPr>
              <w:fldChar w:fldCharType="begin"/>
            </w:r>
            <w:r>
              <w:rPr>
                <w:noProof/>
                <w:webHidden/>
              </w:rPr>
              <w:instrText xml:space="preserve"> PAGEREF _Toc522542384 \h </w:instrText>
            </w:r>
            <w:r>
              <w:rPr>
                <w:noProof/>
                <w:webHidden/>
              </w:rPr>
            </w:r>
            <w:r>
              <w:rPr>
                <w:noProof/>
                <w:webHidden/>
              </w:rPr>
              <w:fldChar w:fldCharType="separate"/>
            </w:r>
            <w:r>
              <w:rPr>
                <w:noProof/>
                <w:webHidden/>
              </w:rPr>
              <w:t>48</w:t>
            </w:r>
            <w:r>
              <w:rPr>
                <w:noProof/>
                <w:webHidden/>
              </w:rPr>
              <w:fldChar w:fldCharType="end"/>
            </w:r>
          </w:hyperlink>
        </w:p>
        <w:p w14:paraId="6A5D2B34"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85" w:history="1">
            <w:r w:rsidRPr="00EA7C22">
              <w:rPr>
                <w:rStyle w:val="Hyperlink"/>
                <w:noProof/>
              </w:rPr>
              <w:t>14.1.</w:t>
            </w:r>
            <w:r>
              <w:rPr>
                <w:rFonts w:asciiTheme="minorHAnsi" w:eastAsiaTheme="minorEastAsia" w:hAnsiTheme="minorHAnsi" w:cstheme="minorBidi"/>
                <w:noProof/>
                <w:lang w:eastAsia="en-AU"/>
              </w:rPr>
              <w:tab/>
            </w:r>
            <w:r w:rsidRPr="00EA7C22">
              <w:rPr>
                <w:rStyle w:val="Hyperlink"/>
                <w:noProof/>
              </w:rPr>
              <w:t>Second round assessment of benefits</w:t>
            </w:r>
            <w:r>
              <w:rPr>
                <w:noProof/>
                <w:webHidden/>
              </w:rPr>
              <w:tab/>
            </w:r>
            <w:r>
              <w:rPr>
                <w:noProof/>
                <w:webHidden/>
              </w:rPr>
              <w:fldChar w:fldCharType="begin"/>
            </w:r>
            <w:r>
              <w:rPr>
                <w:noProof/>
                <w:webHidden/>
              </w:rPr>
              <w:instrText xml:space="preserve"> PAGEREF _Toc522542385 \h </w:instrText>
            </w:r>
            <w:r>
              <w:rPr>
                <w:noProof/>
                <w:webHidden/>
              </w:rPr>
            </w:r>
            <w:r>
              <w:rPr>
                <w:noProof/>
                <w:webHidden/>
              </w:rPr>
              <w:fldChar w:fldCharType="separate"/>
            </w:r>
            <w:r>
              <w:rPr>
                <w:noProof/>
                <w:webHidden/>
              </w:rPr>
              <w:t>48</w:t>
            </w:r>
            <w:r>
              <w:rPr>
                <w:noProof/>
                <w:webHidden/>
              </w:rPr>
              <w:fldChar w:fldCharType="end"/>
            </w:r>
          </w:hyperlink>
        </w:p>
        <w:p w14:paraId="134F55CA"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86" w:history="1">
            <w:r w:rsidRPr="00EA7C22">
              <w:rPr>
                <w:rStyle w:val="Hyperlink"/>
                <w:noProof/>
              </w:rPr>
              <w:t>14.2.</w:t>
            </w:r>
            <w:r>
              <w:rPr>
                <w:rFonts w:asciiTheme="minorHAnsi" w:eastAsiaTheme="minorEastAsia" w:hAnsiTheme="minorHAnsi" w:cstheme="minorBidi"/>
                <w:noProof/>
                <w:lang w:eastAsia="en-AU"/>
              </w:rPr>
              <w:tab/>
            </w:r>
            <w:r w:rsidRPr="00EA7C22">
              <w:rPr>
                <w:rStyle w:val="Hyperlink"/>
                <w:noProof/>
                <w:shd w:val="clear" w:color="auto" w:fill="FFFFFF"/>
              </w:rPr>
              <w:t>Second round assessment of risks</w:t>
            </w:r>
            <w:r>
              <w:rPr>
                <w:noProof/>
                <w:webHidden/>
              </w:rPr>
              <w:tab/>
            </w:r>
            <w:r>
              <w:rPr>
                <w:noProof/>
                <w:webHidden/>
              </w:rPr>
              <w:fldChar w:fldCharType="begin"/>
            </w:r>
            <w:r>
              <w:rPr>
                <w:noProof/>
                <w:webHidden/>
              </w:rPr>
              <w:instrText xml:space="preserve"> PAGEREF _Toc522542386 \h </w:instrText>
            </w:r>
            <w:r>
              <w:rPr>
                <w:noProof/>
                <w:webHidden/>
              </w:rPr>
            </w:r>
            <w:r>
              <w:rPr>
                <w:noProof/>
                <w:webHidden/>
              </w:rPr>
              <w:fldChar w:fldCharType="separate"/>
            </w:r>
            <w:r>
              <w:rPr>
                <w:noProof/>
                <w:webHidden/>
              </w:rPr>
              <w:t>48</w:t>
            </w:r>
            <w:r>
              <w:rPr>
                <w:noProof/>
                <w:webHidden/>
              </w:rPr>
              <w:fldChar w:fldCharType="end"/>
            </w:r>
          </w:hyperlink>
        </w:p>
        <w:p w14:paraId="659AEF70" w14:textId="77777777" w:rsidR="00CD7EF7" w:rsidRDefault="00CD7EF7">
          <w:pPr>
            <w:pStyle w:val="TOC3"/>
            <w:tabs>
              <w:tab w:val="left" w:pos="1760"/>
            </w:tabs>
            <w:rPr>
              <w:rFonts w:asciiTheme="minorHAnsi" w:eastAsiaTheme="minorEastAsia" w:hAnsiTheme="minorHAnsi" w:cstheme="minorBidi"/>
              <w:noProof/>
              <w:lang w:eastAsia="en-AU"/>
            </w:rPr>
          </w:pPr>
          <w:hyperlink w:anchor="_Toc522542387" w:history="1">
            <w:r w:rsidRPr="00EA7C22">
              <w:rPr>
                <w:rStyle w:val="Hyperlink"/>
                <w:noProof/>
              </w:rPr>
              <w:t>14.3.</w:t>
            </w:r>
            <w:r>
              <w:rPr>
                <w:rFonts w:asciiTheme="minorHAnsi" w:eastAsiaTheme="minorEastAsia" w:hAnsiTheme="minorHAnsi" w:cstheme="minorBidi"/>
                <w:noProof/>
                <w:lang w:eastAsia="en-AU"/>
              </w:rPr>
              <w:tab/>
            </w:r>
            <w:r w:rsidRPr="00EA7C22">
              <w:rPr>
                <w:rStyle w:val="Hyperlink"/>
                <w:noProof/>
              </w:rPr>
              <w:t>Second round assessment of benefit-risk balance</w:t>
            </w:r>
            <w:r>
              <w:rPr>
                <w:noProof/>
                <w:webHidden/>
              </w:rPr>
              <w:tab/>
            </w:r>
            <w:r>
              <w:rPr>
                <w:noProof/>
                <w:webHidden/>
              </w:rPr>
              <w:fldChar w:fldCharType="begin"/>
            </w:r>
            <w:r>
              <w:rPr>
                <w:noProof/>
                <w:webHidden/>
              </w:rPr>
              <w:instrText xml:space="preserve"> PAGEREF _Toc522542387 \h </w:instrText>
            </w:r>
            <w:r>
              <w:rPr>
                <w:noProof/>
                <w:webHidden/>
              </w:rPr>
            </w:r>
            <w:r>
              <w:rPr>
                <w:noProof/>
                <w:webHidden/>
              </w:rPr>
              <w:fldChar w:fldCharType="separate"/>
            </w:r>
            <w:r>
              <w:rPr>
                <w:noProof/>
                <w:webHidden/>
              </w:rPr>
              <w:t>48</w:t>
            </w:r>
            <w:r>
              <w:rPr>
                <w:noProof/>
                <w:webHidden/>
              </w:rPr>
              <w:fldChar w:fldCharType="end"/>
            </w:r>
          </w:hyperlink>
        </w:p>
        <w:p w14:paraId="03E0795A" w14:textId="77777777" w:rsidR="00CD7EF7" w:rsidRDefault="00CD7EF7">
          <w:pPr>
            <w:pStyle w:val="TOC2"/>
            <w:tabs>
              <w:tab w:val="left" w:pos="1320"/>
            </w:tabs>
            <w:rPr>
              <w:rFonts w:asciiTheme="minorHAnsi" w:eastAsiaTheme="minorEastAsia" w:hAnsiTheme="minorHAnsi" w:cstheme="minorBidi"/>
              <w:b w:val="0"/>
              <w:noProof/>
              <w:sz w:val="22"/>
              <w:lang w:eastAsia="en-AU"/>
            </w:rPr>
          </w:pPr>
          <w:hyperlink w:anchor="_Toc522542388" w:history="1">
            <w:r w:rsidRPr="00EA7C22">
              <w:rPr>
                <w:rStyle w:val="Hyperlink"/>
                <w:noProof/>
              </w:rPr>
              <w:t>15.</w:t>
            </w:r>
            <w:r>
              <w:rPr>
                <w:rFonts w:asciiTheme="minorHAnsi" w:eastAsiaTheme="minorEastAsia" w:hAnsiTheme="minorHAnsi" w:cstheme="minorBidi"/>
                <w:b w:val="0"/>
                <w:noProof/>
                <w:sz w:val="22"/>
                <w:lang w:eastAsia="en-AU"/>
              </w:rPr>
              <w:tab/>
            </w:r>
            <w:r w:rsidRPr="00EA7C22">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_Toc522542388 \h </w:instrText>
            </w:r>
            <w:r>
              <w:rPr>
                <w:noProof/>
                <w:webHidden/>
              </w:rPr>
            </w:r>
            <w:r>
              <w:rPr>
                <w:noProof/>
                <w:webHidden/>
              </w:rPr>
              <w:fldChar w:fldCharType="separate"/>
            </w:r>
            <w:r>
              <w:rPr>
                <w:noProof/>
                <w:webHidden/>
              </w:rPr>
              <w:t>48</w:t>
            </w:r>
            <w:r>
              <w:rPr>
                <w:noProof/>
                <w:webHidden/>
              </w:rPr>
              <w:fldChar w:fldCharType="end"/>
            </w:r>
          </w:hyperlink>
        </w:p>
        <w:p w14:paraId="559C271E" w14:textId="77777777" w:rsidR="00CD7EF7" w:rsidRDefault="00CD7EF7">
          <w:pPr>
            <w:pStyle w:val="TOC2"/>
            <w:tabs>
              <w:tab w:val="left" w:pos="1320"/>
            </w:tabs>
            <w:rPr>
              <w:rFonts w:asciiTheme="minorHAnsi" w:eastAsiaTheme="minorEastAsia" w:hAnsiTheme="minorHAnsi" w:cstheme="minorBidi"/>
              <w:b w:val="0"/>
              <w:noProof/>
              <w:sz w:val="22"/>
              <w:lang w:eastAsia="en-AU"/>
            </w:rPr>
          </w:pPr>
          <w:hyperlink w:anchor="_Toc522542389" w:history="1">
            <w:r w:rsidRPr="00EA7C22">
              <w:rPr>
                <w:rStyle w:val="Hyperlink"/>
                <w:noProof/>
              </w:rPr>
              <w:t>16.</w:t>
            </w:r>
            <w:r>
              <w:rPr>
                <w:rFonts w:asciiTheme="minorHAnsi" w:eastAsiaTheme="minorEastAsia" w:hAnsiTheme="minorHAnsi" w:cstheme="minorBidi"/>
                <w:b w:val="0"/>
                <w:noProof/>
                <w:sz w:val="22"/>
                <w:lang w:eastAsia="en-AU"/>
              </w:rPr>
              <w:tab/>
            </w:r>
            <w:r w:rsidRPr="00EA7C22">
              <w:rPr>
                <w:rStyle w:val="Hyperlink"/>
                <w:noProof/>
              </w:rPr>
              <w:t>References</w:t>
            </w:r>
            <w:r>
              <w:rPr>
                <w:noProof/>
                <w:webHidden/>
              </w:rPr>
              <w:tab/>
            </w:r>
            <w:r>
              <w:rPr>
                <w:noProof/>
                <w:webHidden/>
              </w:rPr>
              <w:fldChar w:fldCharType="begin"/>
            </w:r>
            <w:r>
              <w:rPr>
                <w:noProof/>
                <w:webHidden/>
              </w:rPr>
              <w:instrText xml:space="preserve"> PAGEREF _Toc522542389 \h </w:instrText>
            </w:r>
            <w:r>
              <w:rPr>
                <w:noProof/>
                <w:webHidden/>
              </w:rPr>
            </w:r>
            <w:r>
              <w:rPr>
                <w:noProof/>
                <w:webHidden/>
              </w:rPr>
              <w:fldChar w:fldCharType="separate"/>
            </w:r>
            <w:r>
              <w:rPr>
                <w:noProof/>
                <w:webHidden/>
              </w:rPr>
              <w:t>49</w:t>
            </w:r>
            <w:r>
              <w:rPr>
                <w:noProof/>
                <w:webHidden/>
              </w:rPr>
              <w:fldChar w:fldCharType="end"/>
            </w:r>
          </w:hyperlink>
        </w:p>
        <w:p w14:paraId="5B487285" w14:textId="77777777" w:rsidR="003A7F6C" w:rsidRPr="00B811C6" w:rsidRDefault="004F4AF5" w:rsidP="00B811C6">
          <w:pPr>
            <w:pStyle w:val="TOC2"/>
          </w:pPr>
          <w:r>
            <w:fldChar w:fldCharType="end"/>
          </w:r>
        </w:p>
      </w:sdtContent>
    </w:sdt>
    <w:bookmarkStart w:id="3" w:name="_Toc314842482" w:displacedByCustomXml="prev"/>
    <w:p w14:paraId="055E420B" w14:textId="77777777" w:rsidR="008A74D5" w:rsidRDefault="008A74D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0C185ECA" w14:textId="77777777" w:rsidR="007628A4" w:rsidRPr="00FD119B" w:rsidRDefault="00586F98" w:rsidP="007628A4">
      <w:pPr>
        <w:pStyle w:val="Heading2"/>
        <w:numPr>
          <w:ilvl w:val="0"/>
          <w:numId w:val="0"/>
        </w:numPr>
      </w:pPr>
      <w:bookmarkStart w:id="7" w:name="_Toc522542345"/>
      <w:r>
        <w:lastRenderedPageBreak/>
        <w:t xml:space="preserve">List of </w:t>
      </w:r>
      <w:r w:rsidR="007628A4">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7628A4" w:rsidRPr="00FD119B" w14:paraId="7E9BB394" w14:textId="77777777" w:rsidTr="0033578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14:paraId="1DF9271A" w14:textId="77777777" w:rsidR="007628A4" w:rsidRPr="00834306" w:rsidRDefault="007628A4" w:rsidP="00834306">
            <w:r w:rsidRPr="00C409B6">
              <w:t>Abbreviation</w:t>
            </w:r>
          </w:p>
        </w:tc>
        <w:tc>
          <w:tcPr>
            <w:tcW w:w="6911" w:type="dxa"/>
          </w:tcPr>
          <w:p w14:paraId="7A5DE15D" w14:textId="77777777" w:rsidR="007628A4" w:rsidRPr="00834306" w:rsidRDefault="007628A4" w:rsidP="00834306">
            <w:pPr>
              <w:cnfStyle w:val="100000000000" w:firstRow="1" w:lastRow="0" w:firstColumn="0" w:lastColumn="0" w:oddVBand="0" w:evenVBand="0" w:oddHBand="0" w:evenHBand="0" w:firstRowFirstColumn="0" w:firstRowLastColumn="0" w:lastRowFirstColumn="0" w:lastRowLastColumn="0"/>
            </w:pPr>
            <w:r w:rsidRPr="00C409B6">
              <w:t>Meaning</w:t>
            </w:r>
          </w:p>
        </w:tc>
      </w:tr>
      <w:tr w:rsidR="007628A4" w:rsidRPr="00FD119B" w14:paraId="6F692025"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36452C47" w14:textId="77777777" w:rsidR="007628A4" w:rsidRPr="001B39B9" w:rsidRDefault="007628A4" w:rsidP="0033578E">
            <w:pPr>
              <w:rPr>
                <w:rFonts w:cs="Arial"/>
              </w:rPr>
            </w:pPr>
            <w:r w:rsidRPr="001B39B9">
              <w:rPr>
                <w:rFonts w:cs="Arial"/>
              </w:rPr>
              <w:t>AESI</w:t>
            </w:r>
          </w:p>
        </w:tc>
        <w:tc>
          <w:tcPr>
            <w:tcW w:w="6911" w:type="dxa"/>
          </w:tcPr>
          <w:p w14:paraId="16C06ED8" w14:textId="7CE65890" w:rsidR="007628A4" w:rsidRPr="001B39B9" w:rsidRDefault="007628A4" w:rsidP="00C409B6">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 xml:space="preserve">Adverse </w:t>
            </w:r>
            <w:r w:rsidR="00C409B6">
              <w:rPr>
                <w:rFonts w:cs="Arial"/>
              </w:rPr>
              <w:t>e</w:t>
            </w:r>
            <w:r w:rsidR="00C409B6" w:rsidRPr="001B39B9">
              <w:rPr>
                <w:rFonts w:cs="Arial"/>
              </w:rPr>
              <w:t xml:space="preserve">vent </w:t>
            </w:r>
            <w:r w:rsidRPr="001B39B9">
              <w:rPr>
                <w:rFonts w:cs="Arial"/>
              </w:rPr>
              <w:t xml:space="preserve">of </w:t>
            </w:r>
            <w:r w:rsidR="00C409B6">
              <w:rPr>
                <w:rFonts w:cs="Arial"/>
              </w:rPr>
              <w:t>s</w:t>
            </w:r>
            <w:r w:rsidR="00C409B6" w:rsidRPr="001B39B9">
              <w:rPr>
                <w:rFonts w:cs="Arial"/>
              </w:rPr>
              <w:t xml:space="preserve">pecial </w:t>
            </w:r>
            <w:r w:rsidR="00C409B6">
              <w:rPr>
                <w:rFonts w:cs="Arial"/>
              </w:rPr>
              <w:t>i</w:t>
            </w:r>
            <w:r w:rsidR="00C409B6" w:rsidRPr="001B39B9">
              <w:rPr>
                <w:rFonts w:cs="Arial"/>
              </w:rPr>
              <w:t>nterest</w:t>
            </w:r>
          </w:p>
        </w:tc>
      </w:tr>
      <w:tr w:rsidR="007628A4" w:rsidRPr="00FD119B" w14:paraId="1F3184B1"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2F0316D1" w14:textId="77777777" w:rsidR="007628A4" w:rsidRPr="001B39B9" w:rsidRDefault="007628A4" w:rsidP="0033578E">
            <w:pPr>
              <w:rPr>
                <w:rFonts w:cs="Arial"/>
              </w:rPr>
            </w:pPr>
            <w:r w:rsidRPr="001B39B9">
              <w:rPr>
                <w:rFonts w:cs="Arial"/>
              </w:rPr>
              <w:t>CDC</w:t>
            </w:r>
          </w:p>
        </w:tc>
        <w:tc>
          <w:tcPr>
            <w:tcW w:w="6911" w:type="dxa"/>
          </w:tcPr>
          <w:p w14:paraId="248F0EA5" w14:textId="77777777" w:rsidR="007628A4" w:rsidRPr="001B39B9" w:rsidRDefault="007628A4" w:rsidP="0033578E">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United States Centres for Disease Control and Prevention</w:t>
            </w:r>
          </w:p>
        </w:tc>
      </w:tr>
      <w:tr w:rsidR="007628A4" w:rsidRPr="00FD119B" w14:paraId="2E12B823"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49BC4F58" w14:textId="77777777" w:rsidR="007628A4" w:rsidRPr="001B39B9" w:rsidRDefault="007628A4" w:rsidP="0033578E">
            <w:pPr>
              <w:rPr>
                <w:rFonts w:cs="Arial"/>
              </w:rPr>
            </w:pPr>
            <w:r w:rsidRPr="001B39B9">
              <w:rPr>
                <w:rFonts w:cs="Arial"/>
              </w:rPr>
              <w:t>GMT</w:t>
            </w:r>
          </w:p>
        </w:tc>
        <w:tc>
          <w:tcPr>
            <w:tcW w:w="6911" w:type="dxa"/>
          </w:tcPr>
          <w:p w14:paraId="583CC307" w14:textId="5E003234" w:rsidR="007628A4" w:rsidRPr="001B39B9" w:rsidRDefault="007628A4" w:rsidP="00C409B6">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 xml:space="preserve">Geometric </w:t>
            </w:r>
            <w:r w:rsidR="00C409B6">
              <w:rPr>
                <w:rFonts w:cs="Arial"/>
              </w:rPr>
              <w:t>m</w:t>
            </w:r>
            <w:r w:rsidR="00C409B6" w:rsidRPr="001B39B9">
              <w:rPr>
                <w:rFonts w:cs="Arial"/>
              </w:rPr>
              <w:t xml:space="preserve">ean </w:t>
            </w:r>
            <w:r w:rsidR="00C409B6">
              <w:rPr>
                <w:rFonts w:cs="Arial"/>
              </w:rPr>
              <w:t>t</w:t>
            </w:r>
            <w:r w:rsidR="00C409B6" w:rsidRPr="001B39B9">
              <w:rPr>
                <w:rFonts w:cs="Arial"/>
              </w:rPr>
              <w:t>itre</w:t>
            </w:r>
          </w:p>
        </w:tc>
      </w:tr>
      <w:tr w:rsidR="007628A4" w:rsidRPr="00FD119B" w14:paraId="29679052"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1F2EF354" w14:textId="77777777" w:rsidR="007628A4" w:rsidRPr="001B39B9" w:rsidRDefault="007628A4" w:rsidP="0033578E">
            <w:pPr>
              <w:rPr>
                <w:rFonts w:cs="Arial"/>
              </w:rPr>
            </w:pPr>
            <w:r w:rsidRPr="001B39B9">
              <w:rPr>
                <w:rFonts w:cs="Arial"/>
              </w:rPr>
              <w:t>HA</w:t>
            </w:r>
          </w:p>
        </w:tc>
        <w:tc>
          <w:tcPr>
            <w:tcW w:w="6911" w:type="dxa"/>
          </w:tcPr>
          <w:p w14:paraId="6739A478" w14:textId="77777777" w:rsidR="007628A4" w:rsidRPr="001B39B9" w:rsidRDefault="007628A4" w:rsidP="0033578E">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Haemagglutinin component of the influenza virus capsule</w:t>
            </w:r>
          </w:p>
        </w:tc>
      </w:tr>
      <w:tr w:rsidR="007628A4" w:rsidRPr="00FD119B" w14:paraId="39C49C01"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051875E1" w14:textId="4892EAAD" w:rsidR="007628A4" w:rsidRPr="001B39B9" w:rsidRDefault="007628A4" w:rsidP="0033578E">
            <w:pPr>
              <w:rPr>
                <w:rFonts w:cs="Arial"/>
              </w:rPr>
            </w:pPr>
            <w:r w:rsidRPr="001B39B9">
              <w:rPr>
                <w:rFonts w:cs="Arial"/>
              </w:rPr>
              <w:t>HAI</w:t>
            </w:r>
          </w:p>
        </w:tc>
        <w:tc>
          <w:tcPr>
            <w:tcW w:w="6911" w:type="dxa"/>
          </w:tcPr>
          <w:p w14:paraId="166EF549" w14:textId="44D635EA" w:rsidR="007628A4" w:rsidRPr="001B39B9" w:rsidRDefault="007628A4" w:rsidP="0033578E">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 xml:space="preserve">Haemagglutinin </w:t>
            </w:r>
            <w:r w:rsidR="00C409B6">
              <w:rPr>
                <w:rFonts w:cs="Arial"/>
              </w:rPr>
              <w:t>i</w:t>
            </w:r>
            <w:r w:rsidRPr="001B39B9">
              <w:rPr>
                <w:rFonts w:cs="Arial"/>
              </w:rPr>
              <w:t xml:space="preserve">nhibition </w:t>
            </w:r>
            <w:r w:rsidR="00C409B6">
              <w:rPr>
                <w:rFonts w:cs="Arial"/>
              </w:rPr>
              <w:t>t</w:t>
            </w:r>
            <w:r w:rsidRPr="001B39B9">
              <w:rPr>
                <w:rFonts w:cs="Arial"/>
              </w:rPr>
              <w:t>est for the presence of antibodies against HA</w:t>
            </w:r>
          </w:p>
        </w:tc>
      </w:tr>
      <w:tr w:rsidR="007628A4" w:rsidRPr="00FD119B" w14:paraId="7E53143F"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46A1ABD4" w14:textId="77777777" w:rsidR="007628A4" w:rsidRPr="001B39B9" w:rsidRDefault="007628A4" w:rsidP="0033578E">
            <w:pPr>
              <w:rPr>
                <w:shd w:val="clear" w:color="auto" w:fill="FFFFFF"/>
                <w:lang w:eastAsia="en-US"/>
              </w:rPr>
            </w:pPr>
            <w:r w:rsidRPr="001B39B9">
              <w:rPr>
                <w:shd w:val="clear" w:color="auto" w:fill="FFFFFF"/>
                <w:lang w:eastAsia="en-US"/>
              </w:rPr>
              <w:t>IIV</w:t>
            </w:r>
          </w:p>
        </w:tc>
        <w:tc>
          <w:tcPr>
            <w:tcW w:w="6911" w:type="dxa"/>
          </w:tcPr>
          <w:p w14:paraId="4349B936" w14:textId="77777777" w:rsidR="007628A4" w:rsidRPr="001B39B9" w:rsidRDefault="007628A4" w:rsidP="0033578E">
            <w:pPr>
              <w:cnfStyle w:val="000000000000" w:firstRow="0" w:lastRow="0" w:firstColumn="0" w:lastColumn="0" w:oddVBand="0" w:evenVBand="0" w:oddHBand="0" w:evenHBand="0" w:firstRowFirstColumn="0" w:firstRowLastColumn="0" w:lastRowFirstColumn="0" w:lastRowLastColumn="0"/>
              <w:rPr>
                <w:rFonts w:cs="Arial"/>
              </w:rPr>
            </w:pPr>
            <w:r w:rsidRPr="001B39B9">
              <w:rPr>
                <w:shd w:val="clear" w:color="auto" w:fill="FFFFFF"/>
                <w:lang w:eastAsia="en-US"/>
              </w:rPr>
              <w:t>Inactivated influenza vaccine</w:t>
            </w:r>
          </w:p>
        </w:tc>
      </w:tr>
      <w:tr w:rsidR="007628A4" w:rsidRPr="00FD119B" w14:paraId="50DA227C"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543CA79A" w14:textId="68DF38E2" w:rsidR="007628A4" w:rsidRPr="001B39B9" w:rsidRDefault="007628A4" w:rsidP="0033578E">
            <w:pPr>
              <w:rPr>
                <w:shd w:val="clear" w:color="auto" w:fill="FFFFFF"/>
                <w:lang w:eastAsia="en-US"/>
              </w:rPr>
            </w:pPr>
            <w:r w:rsidRPr="001B39B9">
              <w:rPr>
                <w:shd w:val="clear" w:color="auto" w:fill="FFFFFF"/>
                <w:lang w:eastAsia="en-US"/>
              </w:rPr>
              <w:t>NIP</w:t>
            </w:r>
          </w:p>
        </w:tc>
        <w:tc>
          <w:tcPr>
            <w:tcW w:w="6911" w:type="dxa"/>
          </w:tcPr>
          <w:p w14:paraId="35F69C62" w14:textId="77777777" w:rsidR="007628A4" w:rsidRPr="001B39B9" w:rsidRDefault="007628A4" w:rsidP="0033578E">
            <w:pPr>
              <w:cnfStyle w:val="000000000000" w:firstRow="0" w:lastRow="0" w:firstColumn="0" w:lastColumn="0" w:oddVBand="0" w:evenVBand="0" w:oddHBand="0" w:evenHBand="0" w:firstRowFirstColumn="0" w:firstRowLastColumn="0" w:lastRowFirstColumn="0" w:lastRowLastColumn="0"/>
              <w:rPr>
                <w:rFonts w:cs="Arial"/>
              </w:rPr>
            </w:pPr>
            <w:r w:rsidRPr="001B39B9">
              <w:rPr>
                <w:shd w:val="clear" w:color="auto" w:fill="FFFFFF"/>
                <w:lang w:eastAsia="en-US"/>
              </w:rPr>
              <w:t xml:space="preserve">National Immunisation Program </w:t>
            </w:r>
          </w:p>
        </w:tc>
      </w:tr>
      <w:tr w:rsidR="007628A4" w:rsidRPr="00FD119B" w14:paraId="79E84B81"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5B69C271" w14:textId="77777777" w:rsidR="007628A4" w:rsidRPr="001B39B9" w:rsidRDefault="007628A4" w:rsidP="0033578E">
            <w:pPr>
              <w:rPr>
                <w:rFonts w:cs="Arial"/>
              </w:rPr>
            </w:pPr>
            <w:r w:rsidRPr="001B39B9">
              <w:rPr>
                <w:rFonts w:cs="Arial"/>
              </w:rPr>
              <w:t>SAE</w:t>
            </w:r>
          </w:p>
        </w:tc>
        <w:tc>
          <w:tcPr>
            <w:tcW w:w="6911" w:type="dxa"/>
          </w:tcPr>
          <w:p w14:paraId="03554943" w14:textId="5830283A" w:rsidR="007628A4" w:rsidRPr="001B39B9" w:rsidRDefault="007628A4" w:rsidP="00C409B6">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 xml:space="preserve">Serious </w:t>
            </w:r>
            <w:r w:rsidR="00C409B6">
              <w:rPr>
                <w:rFonts w:cs="Arial"/>
              </w:rPr>
              <w:t>a</w:t>
            </w:r>
            <w:r w:rsidR="00C409B6" w:rsidRPr="001B39B9">
              <w:rPr>
                <w:rFonts w:cs="Arial"/>
              </w:rPr>
              <w:t xml:space="preserve">dverse </w:t>
            </w:r>
            <w:r w:rsidR="00C409B6">
              <w:rPr>
                <w:rFonts w:cs="Arial"/>
              </w:rPr>
              <w:t>e</w:t>
            </w:r>
            <w:r w:rsidR="00C409B6" w:rsidRPr="001B39B9">
              <w:rPr>
                <w:rFonts w:cs="Arial"/>
              </w:rPr>
              <w:t>vent</w:t>
            </w:r>
          </w:p>
        </w:tc>
      </w:tr>
      <w:tr w:rsidR="007628A4" w:rsidRPr="00FD119B" w14:paraId="0C368160"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5FA58E99" w14:textId="77777777" w:rsidR="007628A4" w:rsidRPr="001B39B9" w:rsidRDefault="007628A4" w:rsidP="0033578E">
            <w:pPr>
              <w:rPr>
                <w:rFonts w:cs="Arial"/>
              </w:rPr>
            </w:pPr>
            <w:r w:rsidRPr="001B39B9">
              <w:rPr>
                <w:rFonts w:cs="Arial"/>
              </w:rPr>
              <w:t>SOC</w:t>
            </w:r>
          </w:p>
        </w:tc>
        <w:tc>
          <w:tcPr>
            <w:tcW w:w="6911" w:type="dxa"/>
          </w:tcPr>
          <w:p w14:paraId="6D5C625D" w14:textId="77777777" w:rsidR="007628A4" w:rsidRPr="001B39B9" w:rsidRDefault="007628A4" w:rsidP="0033578E">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System Organ Class</w:t>
            </w:r>
          </w:p>
        </w:tc>
      </w:tr>
      <w:tr w:rsidR="007628A4" w:rsidRPr="00FD119B" w14:paraId="4B4A8E39" w14:textId="77777777" w:rsidTr="0033578E">
        <w:tc>
          <w:tcPr>
            <w:cnfStyle w:val="001000000000" w:firstRow="0" w:lastRow="0" w:firstColumn="1" w:lastColumn="0" w:oddVBand="0" w:evenVBand="0" w:oddHBand="0" w:evenHBand="0" w:firstRowFirstColumn="0" w:firstRowLastColumn="0" w:lastRowFirstColumn="0" w:lastRowLastColumn="0"/>
            <w:tcW w:w="1809" w:type="dxa"/>
          </w:tcPr>
          <w:p w14:paraId="220DEF75" w14:textId="77777777" w:rsidR="007628A4" w:rsidRPr="001B39B9" w:rsidRDefault="007628A4" w:rsidP="0033578E">
            <w:pPr>
              <w:rPr>
                <w:rFonts w:cs="Arial"/>
              </w:rPr>
            </w:pPr>
            <w:r w:rsidRPr="001B39B9">
              <w:rPr>
                <w:rFonts w:cs="Arial"/>
              </w:rPr>
              <w:t>WHO</w:t>
            </w:r>
          </w:p>
        </w:tc>
        <w:tc>
          <w:tcPr>
            <w:tcW w:w="6911" w:type="dxa"/>
          </w:tcPr>
          <w:p w14:paraId="0BA81C18" w14:textId="4A84221F" w:rsidR="007628A4" w:rsidRPr="001B39B9" w:rsidRDefault="007628A4" w:rsidP="00C409B6">
            <w:pPr>
              <w:cnfStyle w:val="000000000000" w:firstRow="0" w:lastRow="0" w:firstColumn="0" w:lastColumn="0" w:oddVBand="0" w:evenVBand="0" w:oddHBand="0" w:evenHBand="0" w:firstRowFirstColumn="0" w:firstRowLastColumn="0" w:lastRowFirstColumn="0" w:lastRowLastColumn="0"/>
              <w:rPr>
                <w:rFonts w:cs="Arial"/>
              </w:rPr>
            </w:pPr>
            <w:r w:rsidRPr="001B39B9">
              <w:rPr>
                <w:rFonts w:cs="Arial"/>
              </w:rPr>
              <w:t xml:space="preserve">World Health </w:t>
            </w:r>
            <w:r w:rsidR="00C409B6" w:rsidRPr="001B39B9">
              <w:rPr>
                <w:rFonts w:cs="Arial"/>
              </w:rPr>
              <w:t>Organi</w:t>
            </w:r>
            <w:r w:rsidR="00C409B6">
              <w:rPr>
                <w:rFonts w:cs="Arial"/>
              </w:rPr>
              <w:t>z</w:t>
            </w:r>
            <w:r w:rsidR="00C409B6" w:rsidRPr="001B39B9">
              <w:rPr>
                <w:rFonts w:cs="Arial"/>
              </w:rPr>
              <w:t>ation</w:t>
            </w:r>
          </w:p>
        </w:tc>
      </w:tr>
    </w:tbl>
    <w:p w14:paraId="063F01D1" w14:textId="77777777" w:rsidR="0094614A" w:rsidRDefault="0094614A" w:rsidP="0043797D">
      <w:pPr>
        <w:pStyle w:val="Heading2"/>
        <w:pageBreakBefore/>
        <w:rPr>
          <w:lang w:eastAsia="en-AU"/>
        </w:rPr>
      </w:pPr>
      <w:bookmarkStart w:id="8" w:name="_Toc351718900"/>
      <w:bookmarkStart w:id="9" w:name="_Toc355338635"/>
      <w:bookmarkStart w:id="10" w:name="_Toc522542346"/>
      <w:r>
        <w:rPr>
          <w:lang w:eastAsia="en-AU"/>
        </w:rPr>
        <w:lastRenderedPageBreak/>
        <w:t>Introduction</w:t>
      </w:r>
      <w:bookmarkEnd w:id="10"/>
    </w:p>
    <w:p w14:paraId="3A3571FD" w14:textId="77777777" w:rsidR="007628A4" w:rsidRPr="00051F30" w:rsidRDefault="007628A4" w:rsidP="00CD0E09">
      <w:pPr>
        <w:pStyle w:val="Heading3"/>
      </w:pPr>
      <w:bookmarkStart w:id="11" w:name="_Toc272414594"/>
      <w:bookmarkStart w:id="12" w:name="_Toc290846216"/>
      <w:bookmarkStart w:id="13" w:name="_Toc290888753"/>
      <w:bookmarkStart w:id="14" w:name="_Toc370580751"/>
      <w:bookmarkStart w:id="15" w:name="_Toc522542347"/>
      <w:r w:rsidRPr="00051F30">
        <w:rPr>
          <w:caps/>
        </w:rPr>
        <w:t>I</w:t>
      </w:r>
      <w:r w:rsidRPr="00051F30">
        <w:t>dentifying information</w:t>
      </w:r>
      <w:bookmarkEnd w:id="11"/>
      <w:bookmarkEnd w:id="12"/>
      <w:bookmarkEnd w:id="13"/>
      <w:bookmarkEnd w:id="14"/>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4890"/>
      </w:tblGrid>
      <w:tr w:rsidR="007628A4" w:rsidRPr="00051F30" w14:paraId="4AFEC9C9" w14:textId="77777777" w:rsidTr="00CD0E09">
        <w:tc>
          <w:tcPr>
            <w:tcW w:w="3190" w:type="dxa"/>
            <w:shd w:val="clear" w:color="auto" w:fill="0070C0"/>
          </w:tcPr>
          <w:p w14:paraId="2F62C031" w14:textId="77777777" w:rsidR="007628A4" w:rsidRPr="001459F5" w:rsidRDefault="007628A4" w:rsidP="0033578E">
            <w:pPr>
              <w:rPr>
                <w:rFonts w:cs="Arial"/>
                <w:b/>
                <w:color w:val="FFFFFF" w:themeColor="background1"/>
                <w:sz w:val="20"/>
                <w:szCs w:val="20"/>
              </w:rPr>
            </w:pPr>
            <w:r w:rsidRPr="001459F5">
              <w:rPr>
                <w:rFonts w:cs="Arial"/>
                <w:b/>
                <w:color w:val="FFFFFF" w:themeColor="background1"/>
                <w:sz w:val="20"/>
                <w:szCs w:val="20"/>
              </w:rPr>
              <w:t>Submission number</w:t>
            </w:r>
          </w:p>
        </w:tc>
        <w:tc>
          <w:tcPr>
            <w:tcW w:w="4890" w:type="dxa"/>
          </w:tcPr>
          <w:p w14:paraId="7A73E400" w14:textId="77777777" w:rsidR="007628A4" w:rsidRPr="001459F5" w:rsidRDefault="007628A4" w:rsidP="0033578E">
            <w:pPr>
              <w:rPr>
                <w:rFonts w:cs="Arial"/>
                <w:sz w:val="20"/>
                <w:szCs w:val="20"/>
              </w:rPr>
            </w:pPr>
            <w:r w:rsidRPr="001459F5">
              <w:rPr>
                <w:rFonts w:cs="Arial"/>
                <w:sz w:val="20"/>
                <w:szCs w:val="20"/>
              </w:rPr>
              <w:t>PM-2017-00690-1</w:t>
            </w:r>
          </w:p>
        </w:tc>
      </w:tr>
      <w:tr w:rsidR="007628A4" w:rsidRPr="00051F30" w14:paraId="6F5C746E" w14:textId="77777777" w:rsidTr="00CD0E09">
        <w:tc>
          <w:tcPr>
            <w:tcW w:w="3190" w:type="dxa"/>
            <w:shd w:val="clear" w:color="auto" w:fill="0070C0"/>
          </w:tcPr>
          <w:p w14:paraId="2B90128A" w14:textId="77777777" w:rsidR="007628A4" w:rsidRPr="001459F5" w:rsidRDefault="007628A4" w:rsidP="0033578E">
            <w:pPr>
              <w:rPr>
                <w:rFonts w:cs="Arial"/>
                <w:b/>
                <w:color w:val="FFFFFF" w:themeColor="background1"/>
                <w:sz w:val="20"/>
                <w:szCs w:val="20"/>
              </w:rPr>
            </w:pPr>
            <w:r w:rsidRPr="001459F5">
              <w:rPr>
                <w:rFonts w:cs="Arial"/>
                <w:b/>
                <w:color w:val="FFFFFF" w:themeColor="background1"/>
                <w:sz w:val="20"/>
                <w:szCs w:val="20"/>
              </w:rPr>
              <w:t>Sponsor</w:t>
            </w:r>
          </w:p>
        </w:tc>
        <w:tc>
          <w:tcPr>
            <w:tcW w:w="4890" w:type="dxa"/>
          </w:tcPr>
          <w:p w14:paraId="51240EE6" w14:textId="77777777" w:rsidR="007628A4" w:rsidRPr="001459F5" w:rsidRDefault="007628A4" w:rsidP="0033578E">
            <w:pPr>
              <w:rPr>
                <w:rFonts w:cs="Arial"/>
                <w:sz w:val="20"/>
                <w:szCs w:val="20"/>
              </w:rPr>
            </w:pPr>
            <w:r w:rsidRPr="001459F5">
              <w:rPr>
                <w:rFonts w:cs="Arial"/>
                <w:sz w:val="20"/>
                <w:szCs w:val="20"/>
              </w:rPr>
              <w:t>Sanofi-Aventis Australia</w:t>
            </w:r>
          </w:p>
        </w:tc>
      </w:tr>
      <w:tr w:rsidR="007628A4" w:rsidRPr="00051F30" w14:paraId="65DFABDA" w14:textId="77777777" w:rsidTr="00CD0E09">
        <w:tc>
          <w:tcPr>
            <w:tcW w:w="3190" w:type="dxa"/>
            <w:shd w:val="clear" w:color="auto" w:fill="0070C0"/>
          </w:tcPr>
          <w:p w14:paraId="48EB88DC" w14:textId="77777777" w:rsidR="007628A4" w:rsidRPr="001459F5" w:rsidRDefault="007628A4" w:rsidP="0033578E">
            <w:pPr>
              <w:rPr>
                <w:rFonts w:cs="Arial"/>
                <w:b/>
                <w:color w:val="FFFFFF" w:themeColor="background1"/>
                <w:sz w:val="20"/>
                <w:szCs w:val="20"/>
              </w:rPr>
            </w:pPr>
            <w:r w:rsidRPr="001459F5">
              <w:rPr>
                <w:rFonts w:cs="Arial"/>
                <w:b/>
                <w:color w:val="FFFFFF" w:themeColor="background1"/>
                <w:sz w:val="20"/>
                <w:szCs w:val="20"/>
              </w:rPr>
              <w:t>Trade name</w:t>
            </w:r>
          </w:p>
        </w:tc>
        <w:tc>
          <w:tcPr>
            <w:tcW w:w="4890" w:type="dxa"/>
          </w:tcPr>
          <w:p w14:paraId="0EEE4527" w14:textId="77777777" w:rsidR="007628A4" w:rsidRPr="001459F5" w:rsidRDefault="007628A4" w:rsidP="0033578E">
            <w:pPr>
              <w:rPr>
                <w:rFonts w:cs="Arial"/>
                <w:sz w:val="20"/>
                <w:szCs w:val="20"/>
              </w:rPr>
            </w:pPr>
            <w:r w:rsidRPr="001459F5">
              <w:rPr>
                <w:rFonts w:cs="Arial"/>
                <w:sz w:val="20"/>
                <w:szCs w:val="20"/>
              </w:rPr>
              <w:t>Fluzone High-dose</w:t>
            </w:r>
          </w:p>
        </w:tc>
      </w:tr>
      <w:tr w:rsidR="007628A4" w:rsidRPr="00051F30" w14:paraId="7B6ECBFB" w14:textId="77777777" w:rsidTr="00CD0E09">
        <w:tc>
          <w:tcPr>
            <w:tcW w:w="3190" w:type="dxa"/>
            <w:shd w:val="clear" w:color="auto" w:fill="0070C0"/>
          </w:tcPr>
          <w:p w14:paraId="50D0BD5C" w14:textId="77777777" w:rsidR="007628A4" w:rsidRPr="001459F5" w:rsidRDefault="007628A4" w:rsidP="0033578E">
            <w:pPr>
              <w:rPr>
                <w:rFonts w:cs="Arial"/>
                <w:b/>
                <w:color w:val="FFFFFF" w:themeColor="background1"/>
                <w:sz w:val="20"/>
                <w:szCs w:val="20"/>
              </w:rPr>
            </w:pPr>
            <w:r w:rsidRPr="001459F5">
              <w:rPr>
                <w:rFonts w:cs="Arial"/>
                <w:b/>
                <w:color w:val="FFFFFF" w:themeColor="background1"/>
                <w:sz w:val="20"/>
                <w:szCs w:val="20"/>
              </w:rPr>
              <w:t>Active substance</w:t>
            </w:r>
          </w:p>
        </w:tc>
        <w:tc>
          <w:tcPr>
            <w:tcW w:w="4890" w:type="dxa"/>
          </w:tcPr>
          <w:p w14:paraId="72FD533A" w14:textId="77777777" w:rsidR="007628A4" w:rsidRPr="001459F5" w:rsidRDefault="007628A4" w:rsidP="008A74D5">
            <w:pPr>
              <w:rPr>
                <w:rFonts w:cs="Arial"/>
                <w:sz w:val="20"/>
                <w:szCs w:val="20"/>
              </w:rPr>
            </w:pPr>
            <w:r w:rsidRPr="001459F5">
              <w:rPr>
                <w:rFonts w:cs="Arial"/>
                <w:sz w:val="20"/>
                <w:szCs w:val="20"/>
              </w:rPr>
              <w:t>Influenza virus haema</w:t>
            </w:r>
            <w:r w:rsidR="008A74D5" w:rsidRPr="001459F5">
              <w:rPr>
                <w:rFonts w:cs="Arial"/>
                <w:sz w:val="20"/>
                <w:szCs w:val="20"/>
              </w:rPr>
              <w:t>g</w:t>
            </w:r>
            <w:r w:rsidRPr="001459F5">
              <w:rPr>
                <w:rFonts w:cs="Arial"/>
                <w:sz w:val="20"/>
                <w:szCs w:val="20"/>
              </w:rPr>
              <w:t>glutinin</w:t>
            </w:r>
          </w:p>
        </w:tc>
      </w:tr>
    </w:tbl>
    <w:p w14:paraId="64945C62" w14:textId="77777777" w:rsidR="007628A4" w:rsidRPr="00051F30" w:rsidRDefault="007628A4" w:rsidP="00CD0E09">
      <w:pPr>
        <w:pStyle w:val="Heading3"/>
      </w:pPr>
      <w:bookmarkStart w:id="16" w:name="_Toc272414595"/>
      <w:bookmarkStart w:id="17" w:name="_Toc290846217"/>
      <w:bookmarkStart w:id="18" w:name="_Toc290888754"/>
      <w:bookmarkStart w:id="19" w:name="_Toc370580752"/>
      <w:bookmarkStart w:id="20" w:name="_Toc522542348"/>
      <w:r w:rsidRPr="00051F30">
        <w:t>Submission type</w:t>
      </w:r>
      <w:bookmarkEnd w:id="16"/>
      <w:bookmarkEnd w:id="17"/>
      <w:bookmarkEnd w:id="18"/>
      <w:bookmarkEnd w:id="19"/>
      <w:bookmarkEnd w:id="20"/>
    </w:p>
    <w:p w14:paraId="2AA913B7" w14:textId="742A629E" w:rsidR="007628A4" w:rsidRPr="00051F30" w:rsidRDefault="00CD0E09" w:rsidP="00CD0E09">
      <w:r>
        <w:t xml:space="preserve">This is a </w:t>
      </w:r>
      <w:r w:rsidR="007628A4" w:rsidRPr="00051F30">
        <w:t>submission to register a biological medicine as a New Clinical Entity.</w:t>
      </w:r>
    </w:p>
    <w:p w14:paraId="33660D7A" w14:textId="77777777" w:rsidR="007628A4" w:rsidRPr="00051F30" w:rsidRDefault="007628A4" w:rsidP="00CD0E09">
      <w:pPr>
        <w:pStyle w:val="Heading3"/>
      </w:pPr>
      <w:bookmarkStart w:id="21" w:name="_Toc272414596"/>
      <w:bookmarkStart w:id="22" w:name="_Toc290846218"/>
      <w:bookmarkStart w:id="23" w:name="_Toc290888755"/>
      <w:bookmarkStart w:id="24" w:name="_Toc370580753"/>
      <w:bookmarkStart w:id="25" w:name="_Toc522542349"/>
      <w:r w:rsidRPr="00051F30">
        <w:t>Drug class and therapeutic indication</w:t>
      </w:r>
      <w:bookmarkEnd w:id="21"/>
      <w:bookmarkEnd w:id="22"/>
      <w:bookmarkEnd w:id="23"/>
      <w:bookmarkEnd w:id="24"/>
      <w:bookmarkEnd w:id="25"/>
    </w:p>
    <w:p w14:paraId="6D1FCB6C" w14:textId="19163B51" w:rsidR="007628A4" w:rsidRPr="00051F30" w:rsidRDefault="00CD0E09" w:rsidP="007628A4">
      <w:pPr>
        <w:rPr>
          <w:rFonts w:cs="Arial"/>
        </w:rPr>
      </w:pPr>
      <w:r>
        <w:rPr>
          <w:rFonts w:cs="Arial"/>
        </w:rPr>
        <w:t>Fluzone High-Dose</w:t>
      </w:r>
      <w:r w:rsidR="007628A4" w:rsidRPr="00051F30">
        <w:rPr>
          <w:rFonts w:cs="Arial"/>
        </w:rPr>
        <w:t xml:space="preserve"> is a trivalent influenza virus vaccine containing the HA antigen of the virus capsule.</w:t>
      </w:r>
    </w:p>
    <w:p w14:paraId="77CBE0B9" w14:textId="77777777" w:rsidR="007628A4" w:rsidRDefault="007628A4" w:rsidP="007628A4">
      <w:pPr>
        <w:rPr>
          <w:rFonts w:cs="Arial"/>
        </w:rPr>
      </w:pPr>
      <w:r w:rsidRPr="008A74D5">
        <w:rPr>
          <w:rFonts w:cs="Arial"/>
        </w:rPr>
        <w:t>The proposed indication is:</w:t>
      </w:r>
    </w:p>
    <w:p w14:paraId="63790806" w14:textId="77777777" w:rsidR="008A74D5" w:rsidRPr="00834306" w:rsidRDefault="008A74D5" w:rsidP="00834306">
      <w:pPr>
        <w:ind w:left="720"/>
        <w:rPr>
          <w:rFonts w:cs="Arial"/>
          <w:i/>
        </w:rPr>
      </w:pPr>
      <w:r w:rsidRPr="00834306">
        <w:rPr>
          <w:rFonts w:cs="Arial"/>
          <w:i/>
        </w:rPr>
        <w:t>Fluzone High-Dose is indicated for active immunisation against influenza disease caused by influenza virus types A and B contained in the vaccine for use in persons 65 years of age and older.</w:t>
      </w:r>
    </w:p>
    <w:p w14:paraId="3535C0E5" w14:textId="77777777" w:rsidR="00575E67" w:rsidRDefault="00575E67" w:rsidP="00575E67">
      <w:pPr>
        <w:pStyle w:val="Heading3"/>
        <w:numPr>
          <w:ilvl w:val="1"/>
          <w:numId w:val="29"/>
        </w:numPr>
        <w:ind w:left="907" w:hanging="794"/>
      </w:pPr>
      <w:bookmarkStart w:id="26" w:name="_Toc522542350"/>
      <w:r w:rsidRPr="00621E82">
        <w:t>Clinical rationale</w:t>
      </w:r>
      <w:bookmarkEnd w:id="26"/>
    </w:p>
    <w:p w14:paraId="6A35EE8D" w14:textId="54DB8AFA" w:rsidR="007628A4" w:rsidRPr="00051F30" w:rsidRDefault="007628A4" w:rsidP="00CD0E09">
      <w:bookmarkStart w:id="27" w:name="_Toc499636137"/>
      <w:r w:rsidRPr="00051F30">
        <w:t>Influenza viruses are a group of highly contagious respiratory pathogens</w:t>
      </w:r>
      <w:r>
        <w:t xml:space="preserve"> </w:t>
      </w:r>
      <w:r w:rsidRPr="00051F30">
        <w:t>which cause regular community based outbreaks worldwide, most prominently in the winter months of temperate regions. Influenza viruses are also a significant cause of respiratory virus outbreaks in closed settings such as hospitals, aged care homes, prisons and cruise-ships. In immune-competent children and younger-adults influenza infections are usually self-limiting and characterised by cough, fever and myalgia. However older adults, immune-compromised individuals and infants can develop severe complications of influenza infection</w:t>
      </w:r>
      <w:r>
        <w:t xml:space="preserve">, </w:t>
      </w:r>
      <w:r w:rsidRPr="00051F30">
        <w:t>which include pneumonia, bronchitis and exacerbations of chronic respiratory or cardiac disease. Influenza is estimated to cause approximately 3500 deaths, 18</w:t>
      </w:r>
      <w:r w:rsidR="00C409B6">
        <w:t>,</w:t>
      </w:r>
      <w:r w:rsidRPr="00051F30">
        <w:t>000 hospitalisations and 300</w:t>
      </w:r>
      <w:r w:rsidR="00C409B6">
        <w:t>,</w:t>
      </w:r>
      <w:r w:rsidRPr="00051F30">
        <w:t>000 general practice presentations in Australia each year</w:t>
      </w:r>
      <w:r w:rsidR="00C409B6">
        <w:t>.</w:t>
      </w:r>
      <w:r w:rsidRPr="00051F30">
        <w:rPr>
          <w:rStyle w:val="FootnoteReference"/>
          <w:rFonts w:cs="Arial"/>
        </w:rPr>
        <w:footnoteReference w:id="1"/>
      </w:r>
    </w:p>
    <w:p w14:paraId="320D7D80" w14:textId="252EA302" w:rsidR="007628A4" w:rsidRPr="00051F30" w:rsidRDefault="007628A4" w:rsidP="00CD0E09">
      <w:r w:rsidRPr="00051F30">
        <w:t>Vaccination against influenza A and B is the main way to protect vulnerable people from the potential complications of influenza infection. In Australia, the National Immunisation Program (NIP) recommends annual influenza vaccination for all people over the age of 65 (as well as other vulnerable groups).</w:t>
      </w:r>
    </w:p>
    <w:p w14:paraId="4A946F04" w14:textId="77777777" w:rsidR="007628A4" w:rsidRPr="00051F30" w:rsidRDefault="007628A4" w:rsidP="00CD0E09">
      <w:r w:rsidRPr="00051F30">
        <w:t xml:space="preserve">Unfortunately, while vaccination in the elderly is associated with a reduced rate of complications from influenza infection this group has a lower rate of developing protective immunity than younger adults. It has been estimated that the efficacy of influenza vaccine in </w:t>
      </w:r>
      <w:r w:rsidRPr="00051F30">
        <w:lastRenderedPageBreak/>
        <w:t xml:space="preserve">adults </w:t>
      </w:r>
      <w:r w:rsidR="006A3980">
        <w:t xml:space="preserve">&gt; </w:t>
      </w:r>
      <w:r w:rsidRPr="00051F30">
        <w:t>65 years of age living in the community is only 43% when high levels of virus are circulating compared to about 60% in younger adults. This has led to interest in improving rates of response of influenza vaccine in this group.</w:t>
      </w:r>
    </w:p>
    <w:p w14:paraId="3B73CC49" w14:textId="77777777" w:rsidR="007628A4" w:rsidRPr="00051F30" w:rsidRDefault="00CD0E09" w:rsidP="007628A4">
      <w:pPr>
        <w:rPr>
          <w:rFonts w:cs="Arial"/>
        </w:rPr>
      </w:pPr>
      <w:r>
        <w:rPr>
          <w:rFonts w:cs="Arial"/>
        </w:rPr>
        <w:t>Fluzone High-Dose</w:t>
      </w:r>
      <w:r w:rsidR="007628A4" w:rsidRPr="00051F30">
        <w:rPr>
          <w:rFonts w:cs="Arial"/>
        </w:rPr>
        <w:t xml:space="preserve"> has been developed to deliver an increased dose of HA antigen of 60 µg per strain in each of the three viral strains included in the vaccine compared to 15 µg in the standard adult vaccine presentation. The sponsor anticipated that this would increase the proportion of recipients who develop protective titres against HA from vaccination and thus the efficacy of the vaccine in the </w:t>
      </w:r>
      <w:r w:rsidR="006A3980">
        <w:rPr>
          <w:rFonts w:cs="Arial"/>
        </w:rPr>
        <w:t xml:space="preserve">&gt; </w:t>
      </w:r>
      <w:r w:rsidR="007628A4" w:rsidRPr="00051F30">
        <w:rPr>
          <w:rFonts w:cs="Arial"/>
        </w:rPr>
        <w:t>65 year old group. As with all influenza vaccines, the HA antigen included in the vaccine must be assessed annually to match the continued genetic drift of viruses circulating in the community. The efficacy of vaccine varies between years where there is a ‘good’ match and those when antibodies elicited by the vaccine are less protective against circulating virus.</w:t>
      </w:r>
    </w:p>
    <w:p w14:paraId="6470F292" w14:textId="77777777" w:rsidR="007628A4" w:rsidRPr="00051F30" w:rsidRDefault="007628A4" w:rsidP="00CD0E09">
      <w:pPr>
        <w:pStyle w:val="Heading3"/>
        <w:rPr>
          <w:caps/>
        </w:rPr>
      </w:pPr>
      <w:bookmarkStart w:id="28" w:name="_Toc272414602"/>
      <w:bookmarkStart w:id="29" w:name="_Toc290846224"/>
      <w:bookmarkStart w:id="30" w:name="_Toc290888761"/>
      <w:bookmarkStart w:id="31" w:name="_Toc370580758"/>
      <w:bookmarkStart w:id="32" w:name="_Toc522542351"/>
      <w:r w:rsidRPr="00051F30">
        <w:t>Formulation</w:t>
      </w:r>
      <w:bookmarkEnd w:id="28"/>
      <w:bookmarkEnd w:id="29"/>
      <w:bookmarkEnd w:id="30"/>
      <w:bookmarkEnd w:id="31"/>
      <w:bookmarkEnd w:id="32"/>
    </w:p>
    <w:p w14:paraId="5C16B403" w14:textId="77777777" w:rsidR="007628A4" w:rsidRPr="00051F30" w:rsidRDefault="007628A4" w:rsidP="00CD0E09">
      <w:pPr>
        <w:pStyle w:val="Heading4"/>
      </w:pPr>
      <w:bookmarkStart w:id="33" w:name="_Toc272414603"/>
      <w:bookmarkStart w:id="34" w:name="_Toc290846225"/>
      <w:bookmarkStart w:id="35" w:name="_Toc290888762"/>
      <w:bookmarkStart w:id="36" w:name="_Toc370580759"/>
      <w:r w:rsidRPr="00051F30">
        <w:t>Formulation development</w:t>
      </w:r>
      <w:bookmarkEnd w:id="33"/>
      <w:bookmarkEnd w:id="34"/>
      <w:bookmarkEnd w:id="35"/>
      <w:bookmarkEnd w:id="36"/>
    </w:p>
    <w:p w14:paraId="6E04C349" w14:textId="77777777" w:rsidR="007628A4" w:rsidRPr="00051F30" w:rsidRDefault="007628A4" w:rsidP="007628A4">
      <w:pPr>
        <w:rPr>
          <w:rFonts w:cs="Arial"/>
        </w:rPr>
      </w:pPr>
      <w:r w:rsidRPr="00051F30">
        <w:rPr>
          <w:rFonts w:cs="Arial"/>
        </w:rPr>
        <w:t xml:space="preserve">The sponsor conducted a </w:t>
      </w:r>
      <w:r w:rsidR="00CD0E09">
        <w:rPr>
          <w:rFonts w:cs="Arial"/>
        </w:rPr>
        <w:t>Phase I</w:t>
      </w:r>
      <w:r w:rsidRPr="00051F30">
        <w:rPr>
          <w:rFonts w:cs="Arial"/>
        </w:rPr>
        <w:t xml:space="preserve"> dose ranging study (Study NIH-01-597) which compared the immune response of vaccine containing HA antigen at doses between 15 µg and 6</w:t>
      </w:r>
      <w:r w:rsidR="00CD0E09">
        <w:rPr>
          <w:rFonts w:cs="Arial"/>
        </w:rPr>
        <w:t>0 µg</w:t>
      </w:r>
      <w:r w:rsidRPr="00051F30">
        <w:rPr>
          <w:rFonts w:cs="Arial"/>
        </w:rPr>
        <w:t xml:space="preserve"> per strain. From this study the 6</w:t>
      </w:r>
      <w:r w:rsidR="00CD0E09">
        <w:rPr>
          <w:rFonts w:cs="Arial"/>
        </w:rPr>
        <w:t>0 µg</w:t>
      </w:r>
      <w:r w:rsidRPr="00051F30">
        <w:rPr>
          <w:rFonts w:cs="Arial"/>
        </w:rPr>
        <w:t xml:space="preserve"> dose was selected for the </w:t>
      </w:r>
      <w:r w:rsidR="00CD0E09">
        <w:rPr>
          <w:rFonts w:cs="Arial"/>
        </w:rPr>
        <w:t>Phase II</w:t>
      </w:r>
      <w:r w:rsidRPr="00051F30">
        <w:rPr>
          <w:rFonts w:cs="Arial"/>
        </w:rPr>
        <w:t xml:space="preserve"> and III </w:t>
      </w:r>
      <w:r w:rsidR="00CD0E09">
        <w:rPr>
          <w:rFonts w:cs="Arial"/>
        </w:rPr>
        <w:t>Studies FI</w:t>
      </w:r>
      <w:r w:rsidRPr="00051F30">
        <w:rPr>
          <w:rFonts w:cs="Arial"/>
        </w:rPr>
        <w:t xml:space="preserve">M01, FIM05, FIM07, and FIM12 respectively. The virus strain selected for each trial was based on the WHO/CDC recommendation for influenza vaccines during the year the trial was conducted. </w:t>
      </w:r>
    </w:p>
    <w:p w14:paraId="47C4AC73" w14:textId="77777777" w:rsidR="007628A4" w:rsidRDefault="007628A4" w:rsidP="007628A4">
      <w:pPr>
        <w:rPr>
          <w:rFonts w:cs="Arial"/>
        </w:rPr>
      </w:pPr>
      <w:r w:rsidRPr="00051F30">
        <w:rPr>
          <w:rFonts w:cs="Arial"/>
        </w:rPr>
        <w:t>The strains used in each study were as follows:</w:t>
      </w:r>
    </w:p>
    <w:p w14:paraId="5F188507" w14:textId="77777777" w:rsidR="00CD0E09" w:rsidRPr="00051F30" w:rsidRDefault="00CD0E09" w:rsidP="00CD0E09">
      <w:pPr>
        <w:pStyle w:val="Tabletitle"/>
      </w:pPr>
      <w:r>
        <w:t xml:space="preserve">Table 1: </w:t>
      </w:r>
      <w:r w:rsidRPr="00BB7E93">
        <w:t>Influenza strains included in investigational vaccines used in studies evaluated in this submission</w:t>
      </w:r>
    </w:p>
    <w:p w14:paraId="4AB441CC" w14:textId="77777777" w:rsidR="007628A4" w:rsidRPr="00051F30" w:rsidRDefault="007628A4" w:rsidP="007628A4">
      <w:pPr>
        <w:rPr>
          <w:rFonts w:cs="Arial"/>
        </w:rPr>
      </w:pPr>
      <w:r w:rsidRPr="00051F30">
        <w:rPr>
          <w:rFonts w:cs="Arial"/>
          <w:noProof/>
          <w:lang w:eastAsia="en-AU"/>
        </w:rPr>
        <w:drawing>
          <wp:inline distT="0" distB="0" distL="0" distR="0" wp14:anchorId="4CF20502" wp14:editId="60F945E7">
            <wp:extent cx="5544185" cy="3455475"/>
            <wp:effectExtent l="0" t="0" r="0" b="0"/>
            <wp:docPr id="4" name="Picture 2" descr="Strains used in individu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20000" contrast="40000"/>
                    </a:blip>
                    <a:srcRect/>
                    <a:stretch>
                      <a:fillRect/>
                    </a:stretch>
                  </pic:blipFill>
                  <pic:spPr bwMode="auto">
                    <a:xfrm>
                      <a:off x="0" y="0"/>
                      <a:ext cx="5557496" cy="3463771"/>
                    </a:xfrm>
                    <a:prstGeom prst="rect">
                      <a:avLst/>
                    </a:prstGeom>
                    <a:noFill/>
                    <a:ln w="9525">
                      <a:noFill/>
                      <a:miter lim="800000"/>
                      <a:headEnd/>
                      <a:tailEnd/>
                    </a:ln>
                  </pic:spPr>
                </pic:pic>
              </a:graphicData>
            </a:graphic>
          </wp:inline>
        </w:drawing>
      </w:r>
    </w:p>
    <w:p w14:paraId="004D0A4D" w14:textId="77777777" w:rsidR="00586F98" w:rsidRDefault="00586F98" w:rsidP="00586F98">
      <w:pPr>
        <w:pStyle w:val="Heading2"/>
        <w:rPr>
          <w:lang w:eastAsia="en-AU"/>
        </w:rPr>
      </w:pPr>
      <w:bookmarkStart w:id="37" w:name="_Toc522542352"/>
      <w:bookmarkEnd w:id="27"/>
      <w:r>
        <w:rPr>
          <w:lang w:eastAsia="en-AU"/>
        </w:rPr>
        <w:lastRenderedPageBreak/>
        <w:t>Contents of the clinical dossier</w:t>
      </w:r>
      <w:bookmarkEnd w:id="8"/>
      <w:bookmarkEnd w:id="9"/>
      <w:bookmarkEnd w:id="37"/>
    </w:p>
    <w:p w14:paraId="2690E1A0" w14:textId="77777777" w:rsidR="007628A4" w:rsidRPr="00051F30" w:rsidRDefault="007628A4" w:rsidP="00CD0E09">
      <w:pPr>
        <w:pStyle w:val="Heading3"/>
      </w:pPr>
      <w:bookmarkStart w:id="38" w:name="_Toc290846234"/>
      <w:bookmarkStart w:id="39" w:name="_Toc290888771"/>
      <w:bookmarkStart w:id="40" w:name="_Toc370580765"/>
      <w:bookmarkStart w:id="41" w:name="_Toc355338639"/>
      <w:bookmarkStart w:id="42" w:name="_Toc522542353"/>
      <w:r w:rsidRPr="00051F30">
        <w:t>Scope of the clinical dossier</w:t>
      </w:r>
      <w:bookmarkEnd w:id="38"/>
      <w:bookmarkEnd w:id="39"/>
      <w:bookmarkEnd w:id="40"/>
      <w:bookmarkEnd w:id="42"/>
    </w:p>
    <w:p w14:paraId="1F2C6CB4" w14:textId="77777777" w:rsidR="007628A4" w:rsidRDefault="007628A4" w:rsidP="007628A4">
      <w:pPr>
        <w:rPr>
          <w:rFonts w:cs="Arial"/>
        </w:rPr>
      </w:pPr>
      <w:r w:rsidRPr="00051F30">
        <w:rPr>
          <w:rFonts w:cs="Arial"/>
        </w:rPr>
        <w:t xml:space="preserve">The sponsor has provided four study reports in support of this application. These all investigated ambulatory subjects </w:t>
      </w:r>
      <w:r w:rsidR="006A3980">
        <w:rPr>
          <w:rFonts w:cs="Arial"/>
        </w:rPr>
        <w:t xml:space="preserve">&gt; </w:t>
      </w:r>
      <w:r w:rsidRPr="00051F30">
        <w:rPr>
          <w:rFonts w:cs="Arial"/>
        </w:rPr>
        <w:t>65 years of age.</w:t>
      </w:r>
    </w:p>
    <w:p w14:paraId="0652F263" w14:textId="77777777" w:rsidR="00A06A77" w:rsidRPr="00051F30" w:rsidRDefault="00A06A77" w:rsidP="00A06A77">
      <w:pPr>
        <w:pStyle w:val="Tabletitle"/>
        <w:rPr>
          <w:rFonts w:cs="Arial"/>
        </w:rPr>
      </w:pPr>
      <w:r>
        <w:rPr>
          <w:rFonts w:cs="Arial"/>
        </w:rPr>
        <w:t xml:space="preserve">Table 2: </w:t>
      </w:r>
      <w:r w:rsidRPr="00051F30">
        <w:t>Summary description of studies submitted in this dossier</w:t>
      </w:r>
    </w:p>
    <w:tbl>
      <w:tblPr>
        <w:tblStyle w:val="TableTGAblue"/>
        <w:tblW w:w="9378" w:type="dxa"/>
        <w:tblLook w:val="04A0" w:firstRow="1" w:lastRow="0" w:firstColumn="1" w:lastColumn="0" w:noHBand="0" w:noVBand="1"/>
      </w:tblPr>
      <w:tblGrid>
        <w:gridCol w:w="1267"/>
        <w:gridCol w:w="1399"/>
        <w:gridCol w:w="6712"/>
      </w:tblGrid>
      <w:tr w:rsidR="00EE1307" w:rsidRPr="006C16F1" w14:paraId="4A4095CD" w14:textId="77777777" w:rsidTr="00834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37296DE6" w14:textId="77777777" w:rsidR="007628A4" w:rsidRPr="00EE1307" w:rsidRDefault="007628A4" w:rsidP="00EE1307">
            <w:r w:rsidRPr="00EE1307">
              <w:t>Study</w:t>
            </w:r>
          </w:p>
        </w:tc>
        <w:tc>
          <w:tcPr>
            <w:tcW w:w="1399" w:type="dxa"/>
          </w:tcPr>
          <w:p w14:paraId="4B69D14B" w14:textId="77777777" w:rsidR="007628A4" w:rsidRPr="00EE1307" w:rsidRDefault="007628A4" w:rsidP="00EE1307">
            <w:pPr>
              <w:cnfStyle w:val="100000000000" w:firstRow="1" w:lastRow="0" w:firstColumn="0" w:lastColumn="0" w:oddVBand="0" w:evenVBand="0" w:oddHBand="0" w:evenHBand="0" w:firstRowFirstColumn="0" w:firstRowLastColumn="0" w:lastRowFirstColumn="0" w:lastRowLastColumn="0"/>
            </w:pPr>
            <w:r w:rsidRPr="00EE1307">
              <w:t>Number of Subjects</w:t>
            </w:r>
          </w:p>
        </w:tc>
        <w:tc>
          <w:tcPr>
            <w:tcW w:w="6712" w:type="dxa"/>
          </w:tcPr>
          <w:p w14:paraId="358F01B0" w14:textId="77777777" w:rsidR="007628A4" w:rsidRPr="00EE1307" w:rsidRDefault="007628A4" w:rsidP="00EE1307">
            <w:pPr>
              <w:cnfStyle w:val="100000000000" w:firstRow="1" w:lastRow="0" w:firstColumn="0" w:lastColumn="0" w:oddVBand="0" w:evenVBand="0" w:oddHBand="0" w:evenHBand="0" w:firstRowFirstColumn="0" w:firstRowLastColumn="0" w:lastRowFirstColumn="0" w:lastRowLastColumn="0"/>
            </w:pPr>
            <w:r w:rsidRPr="00EE1307">
              <w:t>Design</w:t>
            </w:r>
          </w:p>
        </w:tc>
      </w:tr>
      <w:tr w:rsidR="00EE1307" w:rsidRPr="006C16F1" w14:paraId="49EE885E" w14:textId="77777777" w:rsidTr="00834306">
        <w:trPr>
          <w:trHeight w:val="745"/>
        </w:trPr>
        <w:tc>
          <w:tcPr>
            <w:cnfStyle w:val="001000000000" w:firstRow="0" w:lastRow="0" w:firstColumn="1" w:lastColumn="0" w:oddVBand="0" w:evenVBand="0" w:oddHBand="0" w:evenHBand="0" w:firstRowFirstColumn="0" w:firstRowLastColumn="0" w:lastRowFirstColumn="0" w:lastRowLastColumn="0"/>
            <w:tcW w:w="1267" w:type="dxa"/>
          </w:tcPr>
          <w:p w14:paraId="2ABFC3A6" w14:textId="77777777" w:rsidR="007628A4" w:rsidRPr="001C19EF" w:rsidRDefault="007628A4" w:rsidP="00EE1307">
            <w:r w:rsidRPr="00EE1307">
              <w:t>FIM05</w:t>
            </w:r>
          </w:p>
        </w:tc>
        <w:tc>
          <w:tcPr>
            <w:tcW w:w="1399" w:type="dxa"/>
          </w:tcPr>
          <w:p w14:paraId="19C1798B" w14:textId="77777777" w:rsidR="007628A4" w:rsidRPr="001C19EF" w:rsidRDefault="007628A4" w:rsidP="00EE1307">
            <w:pPr>
              <w:cnfStyle w:val="000000000000" w:firstRow="0" w:lastRow="0" w:firstColumn="0" w:lastColumn="0" w:oddVBand="0" w:evenVBand="0" w:oddHBand="0" w:evenHBand="0" w:firstRowFirstColumn="0" w:firstRowLastColumn="0" w:lastRowFirstColumn="0" w:lastRowLastColumn="0"/>
            </w:pPr>
            <w:r w:rsidRPr="001C19EF">
              <w:t>3,876</w:t>
            </w:r>
          </w:p>
        </w:tc>
        <w:tc>
          <w:tcPr>
            <w:tcW w:w="6712" w:type="dxa"/>
          </w:tcPr>
          <w:p w14:paraId="2E6092DA" w14:textId="77777777" w:rsidR="007628A4" w:rsidRPr="00EE1307" w:rsidRDefault="007628A4" w:rsidP="00FD4ECC">
            <w:pPr>
              <w:cnfStyle w:val="000000000000" w:firstRow="0" w:lastRow="0" w:firstColumn="0" w:lastColumn="0" w:oddVBand="0" w:evenVBand="0" w:oddHBand="0" w:evenHBand="0" w:firstRowFirstColumn="0" w:firstRowLastColumn="0" w:lastRowFirstColumn="0" w:lastRowLastColumn="0"/>
            </w:pPr>
            <w:r w:rsidRPr="00FD4ECC">
              <w:t xml:space="preserve">Double blind, active controlled, multicentre trial comparing immune reactivity of </w:t>
            </w:r>
            <w:r w:rsidR="00CD0E09" w:rsidRPr="00EE1307">
              <w:t>Fluzone High-Dose</w:t>
            </w:r>
            <w:r w:rsidRPr="00EE1307">
              <w:t xml:space="preserve"> and Fluzone</w:t>
            </w:r>
          </w:p>
        </w:tc>
      </w:tr>
      <w:tr w:rsidR="00EE1307" w:rsidRPr="006C16F1" w14:paraId="6758D434" w14:textId="77777777" w:rsidTr="00834306">
        <w:tc>
          <w:tcPr>
            <w:cnfStyle w:val="001000000000" w:firstRow="0" w:lastRow="0" w:firstColumn="1" w:lastColumn="0" w:oddVBand="0" w:evenVBand="0" w:oddHBand="0" w:evenHBand="0" w:firstRowFirstColumn="0" w:firstRowLastColumn="0" w:lastRowFirstColumn="0" w:lastRowLastColumn="0"/>
            <w:tcW w:w="1267" w:type="dxa"/>
          </w:tcPr>
          <w:p w14:paraId="5EF24973" w14:textId="77777777" w:rsidR="007628A4" w:rsidRPr="001C19EF" w:rsidRDefault="007628A4" w:rsidP="00EE1307">
            <w:r w:rsidRPr="00EE1307">
              <w:t>FIM12</w:t>
            </w:r>
          </w:p>
        </w:tc>
        <w:tc>
          <w:tcPr>
            <w:tcW w:w="1399" w:type="dxa"/>
          </w:tcPr>
          <w:p w14:paraId="0FF8AFAD" w14:textId="77777777" w:rsidR="007628A4" w:rsidRPr="001C19EF" w:rsidRDefault="007628A4" w:rsidP="00EE1307">
            <w:pPr>
              <w:cnfStyle w:val="000000000000" w:firstRow="0" w:lastRow="0" w:firstColumn="0" w:lastColumn="0" w:oddVBand="0" w:evenVBand="0" w:oddHBand="0" w:evenHBand="0" w:firstRowFirstColumn="0" w:firstRowLastColumn="0" w:lastRowFirstColumn="0" w:lastRowLastColumn="0"/>
            </w:pPr>
            <w:r w:rsidRPr="001C19EF">
              <w:t>31,989</w:t>
            </w:r>
          </w:p>
        </w:tc>
        <w:tc>
          <w:tcPr>
            <w:tcW w:w="6712" w:type="dxa"/>
          </w:tcPr>
          <w:p w14:paraId="52782CBB" w14:textId="77777777" w:rsidR="007628A4" w:rsidRPr="00EE1307" w:rsidRDefault="007628A4" w:rsidP="00FD4ECC">
            <w:pPr>
              <w:cnfStyle w:val="000000000000" w:firstRow="0" w:lastRow="0" w:firstColumn="0" w:lastColumn="0" w:oddVBand="0" w:evenVBand="0" w:oddHBand="0" w:evenHBand="0" w:firstRowFirstColumn="0" w:firstRowLastColumn="0" w:lastRowFirstColumn="0" w:lastRowLastColumn="0"/>
            </w:pPr>
            <w:r w:rsidRPr="00FD4ECC">
              <w:t>Double blind, active controlled, multicentre trial</w:t>
            </w:r>
            <w:r w:rsidRPr="00EE1307">
              <w:t xml:space="preserve"> to determine relative vaccine efficacy of </w:t>
            </w:r>
            <w:r w:rsidR="00CD0E09" w:rsidRPr="00EE1307">
              <w:t>Fluzone High-Dose</w:t>
            </w:r>
            <w:r w:rsidRPr="00EE1307">
              <w:t xml:space="preserve"> compared to Fluzone</w:t>
            </w:r>
          </w:p>
        </w:tc>
      </w:tr>
      <w:tr w:rsidR="00EE1307" w:rsidRPr="006C16F1" w14:paraId="0E976D15" w14:textId="77777777" w:rsidTr="00834306">
        <w:tc>
          <w:tcPr>
            <w:cnfStyle w:val="001000000000" w:firstRow="0" w:lastRow="0" w:firstColumn="1" w:lastColumn="0" w:oddVBand="0" w:evenVBand="0" w:oddHBand="0" w:evenHBand="0" w:firstRowFirstColumn="0" w:firstRowLastColumn="0" w:lastRowFirstColumn="0" w:lastRowLastColumn="0"/>
            <w:tcW w:w="1267" w:type="dxa"/>
          </w:tcPr>
          <w:p w14:paraId="55D1B9AA" w14:textId="77777777" w:rsidR="007628A4" w:rsidRPr="001C19EF" w:rsidRDefault="007628A4" w:rsidP="00EE1307">
            <w:r w:rsidRPr="00EE1307">
              <w:t>FIM01</w:t>
            </w:r>
          </w:p>
        </w:tc>
        <w:tc>
          <w:tcPr>
            <w:tcW w:w="1399" w:type="dxa"/>
          </w:tcPr>
          <w:p w14:paraId="69CC8260" w14:textId="77777777" w:rsidR="007628A4" w:rsidRPr="001C19EF" w:rsidRDefault="007628A4" w:rsidP="00EE1307">
            <w:pPr>
              <w:cnfStyle w:val="000000000000" w:firstRow="0" w:lastRow="0" w:firstColumn="0" w:lastColumn="0" w:oddVBand="0" w:evenVBand="0" w:oddHBand="0" w:evenHBand="0" w:firstRowFirstColumn="0" w:firstRowLastColumn="0" w:lastRowFirstColumn="0" w:lastRowLastColumn="0"/>
            </w:pPr>
            <w:r w:rsidRPr="001C19EF">
              <w:t>414</w:t>
            </w:r>
          </w:p>
        </w:tc>
        <w:tc>
          <w:tcPr>
            <w:tcW w:w="6712" w:type="dxa"/>
          </w:tcPr>
          <w:p w14:paraId="65B291FC" w14:textId="77777777" w:rsidR="007628A4" w:rsidRPr="00EE1307" w:rsidRDefault="007628A4" w:rsidP="00FD4ECC">
            <w:pPr>
              <w:cnfStyle w:val="000000000000" w:firstRow="0" w:lastRow="0" w:firstColumn="0" w:lastColumn="0" w:oddVBand="0" w:evenVBand="0" w:oddHBand="0" w:evenHBand="0" w:firstRowFirstColumn="0" w:firstRowLastColumn="0" w:lastRowFirstColumn="0" w:lastRowLastColumn="0"/>
            </w:pPr>
            <w:r w:rsidRPr="00FD4ECC">
              <w:t xml:space="preserve">Double blind, </w:t>
            </w:r>
            <w:r w:rsidR="00F05C2C" w:rsidRPr="00EE1307">
              <w:t>multi-centre</w:t>
            </w:r>
            <w:r w:rsidRPr="00EE1307">
              <w:t xml:space="preserve">, trial comparing immune reactivity of </w:t>
            </w:r>
            <w:r w:rsidR="00CD0E09" w:rsidRPr="00EE1307">
              <w:t>Fluzone High-Dose</w:t>
            </w:r>
            <w:r w:rsidRPr="00EE1307">
              <w:t xml:space="preserve"> a and Fluzone </w:t>
            </w:r>
          </w:p>
        </w:tc>
      </w:tr>
      <w:tr w:rsidR="00EE1307" w:rsidRPr="006C16F1" w14:paraId="2B8B625E" w14:textId="77777777" w:rsidTr="00834306">
        <w:tc>
          <w:tcPr>
            <w:cnfStyle w:val="001000000000" w:firstRow="0" w:lastRow="0" w:firstColumn="1" w:lastColumn="0" w:oddVBand="0" w:evenVBand="0" w:oddHBand="0" w:evenHBand="0" w:firstRowFirstColumn="0" w:firstRowLastColumn="0" w:lastRowFirstColumn="0" w:lastRowLastColumn="0"/>
            <w:tcW w:w="1267" w:type="dxa"/>
          </w:tcPr>
          <w:p w14:paraId="62406DC2" w14:textId="77777777" w:rsidR="007628A4" w:rsidRPr="001C19EF" w:rsidRDefault="007628A4" w:rsidP="00EE1307">
            <w:r w:rsidRPr="00EE1307">
              <w:t>FIM07</w:t>
            </w:r>
          </w:p>
        </w:tc>
        <w:tc>
          <w:tcPr>
            <w:tcW w:w="1399" w:type="dxa"/>
          </w:tcPr>
          <w:p w14:paraId="5CBF8EFB" w14:textId="77777777" w:rsidR="007628A4" w:rsidRPr="001C19EF" w:rsidRDefault="007628A4" w:rsidP="00EE1307">
            <w:pPr>
              <w:cnfStyle w:val="000000000000" w:firstRow="0" w:lastRow="0" w:firstColumn="0" w:lastColumn="0" w:oddVBand="0" w:evenVBand="0" w:oddHBand="0" w:evenHBand="0" w:firstRowFirstColumn="0" w:firstRowLastColumn="0" w:lastRowFirstColumn="0" w:lastRowLastColumn="0"/>
            </w:pPr>
            <w:r w:rsidRPr="001C19EF">
              <w:t>9,172</w:t>
            </w:r>
          </w:p>
        </w:tc>
        <w:tc>
          <w:tcPr>
            <w:tcW w:w="6712" w:type="dxa"/>
          </w:tcPr>
          <w:p w14:paraId="3BDD156A" w14:textId="77777777" w:rsidR="007628A4" w:rsidRPr="00EE1307" w:rsidRDefault="007628A4" w:rsidP="00FD4ECC">
            <w:pPr>
              <w:cnfStyle w:val="000000000000" w:firstRow="0" w:lastRow="0" w:firstColumn="0" w:lastColumn="0" w:oddVBand="0" w:evenVBand="0" w:oddHBand="0" w:evenHBand="0" w:firstRowFirstColumn="0" w:firstRowLastColumn="0" w:lastRowFirstColumn="0" w:lastRowLastColumn="0"/>
            </w:pPr>
            <w:r w:rsidRPr="00FD4ECC">
              <w:t>Double blind, active controlled, multicentre trial to</w:t>
            </w:r>
            <w:r w:rsidRPr="00EE1307">
              <w:t xml:space="preserve"> determine the relative vaccine efficacy of </w:t>
            </w:r>
            <w:r w:rsidR="00CD0E09" w:rsidRPr="00EE1307">
              <w:t>Fluzone High-Dose</w:t>
            </w:r>
            <w:r w:rsidRPr="00EE1307">
              <w:t xml:space="preserve"> compared to Fluzone</w:t>
            </w:r>
          </w:p>
        </w:tc>
      </w:tr>
    </w:tbl>
    <w:p w14:paraId="1D498857" w14:textId="77777777" w:rsidR="007628A4" w:rsidRPr="00051F30" w:rsidRDefault="007628A4" w:rsidP="007628A4">
      <w:r w:rsidRPr="00051F30">
        <w:t>Enrolment in Study FIM07 was prematurely discontinued due to the occurrence of the 2009 influenza pandemic and it was provided to support the safety analysis. Secondary efficacy endpoints for the trial were, however, also presented.</w:t>
      </w:r>
    </w:p>
    <w:p w14:paraId="2900436E" w14:textId="563086ED" w:rsidR="007628A4" w:rsidRPr="00051F30" w:rsidRDefault="007628A4" w:rsidP="007628A4">
      <w:r w:rsidRPr="00051F30">
        <w:t>The evaluator has reviewed Study NIH-01-597 in this report, which was provided as a literature reference.</w:t>
      </w:r>
      <w:r w:rsidR="00A06A77">
        <w:rPr>
          <w:rStyle w:val="FootnoteReference"/>
        </w:rPr>
        <w:footnoteReference w:id="2"/>
      </w:r>
      <w:r w:rsidRPr="00051F30">
        <w:t xml:space="preserve"> This was considered significant as it was a dose-ranging study on which supported the selection of 6</w:t>
      </w:r>
      <w:r w:rsidR="00CD0E09">
        <w:t>0 µg</w:t>
      </w:r>
      <w:r w:rsidRPr="00051F30">
        <w:t xml:space="preserve"> HA per strain (18</w:t>
      </w:r>
      <w:r w:rsidR="00CD0E09">
        <w:t>0 µg</w:t>
      </w:r>
      <w:r w:rsidRPr="00051F30">
        <w:t xml:space="preserve"> total) in </w:t>
      </w:r>
      <w:r w:rsidR="00CD0E09">
        <w:t>Fluzone High-Dose</w:t>
      </w:r>
      <w:r w:rsidRPr="00051F30">
        <w:t>.</w:t>
      </w:r>
    </w:p>
    <w:p w14:paraId="0A2793ED" w14:textId="1EB512E8" w:rsidR="007628A4" w:rsidRPr="00051F30" w:rsidRDefault="007628A4" w:rsidP="007628A4">
      <w:pPr>
        <w:rPr>
          <w:rFonts w:cs="Arial"/>
        </w:rPr>
      </w:pPr>
      <w:r w:rsidRPr="00051F30">
        <w:t>The sponsor provided 35 additional literature references</w:t>
      </w:r>
      <w:r>
        <w:t>,</w:t>
      </w:r>
      <w:r w:rsidRPr="00051F30">
        <w:t xml:space="preserve"> which </w:t>
      </w:r>
      <w:r w:rsidR="00A06A77">
        <w:t>the evaluator</w:t>
      </w:r>
      <w:r w:rsidRPr="00051F30">
        <w:t xml:space="preserve"> reviewed but are not further discussed in this report.</w:t>
      </w:r>
    </w:p>
    <w:p w14:paraId="2B62B115" w14:textId="77777777" w:rsidR="007628A4" w:rsidRPr="00051F30" w:rsidRDefault="007628A4" w:rsidP="007628A4">
      <w:pPr>
        <w:pStyle w:val="Heading2"/>
        <w:rPr>
          <w:rFonts w:cs="Arial"/>
        </w:rPr>
      </w:pPr>
      <w:bookmarkStart w:id="43" w:name="_Toc290846235"/>
      <w:bookmarkStart w:id="44" w:name="_Toc290888772"/>
      <w:bookmarkStart w:id="45" w:name="_Toc370580766"/>
      <w:bookmarkStart w:id="46" w:name="_Toc522542354"/>
      <w:r w:rsidRPr="00051F30">
        <w:rPr>
          <w:rFonts w:cs="Arial"/>
        </w:rPr>
        <w:t>Paediatric data</w:t>
      </w:r>
      <w:bookmarkEnd w:id="43"/>
      <w:bookmarkEnd w:id="44"/>
      <w:bookmarkEnd w:id="45"/>
      <w:bookmarkEnd w:id="46"/>
    </w:p>
    <w:p w14:paraId="04303F22" w14:textId="77777777" w:rsidR="007628A4" w:rsidRPr="00051F30" w:rsidRDefault="007628A4" w:rsidP="007628A4">
      <w:pPr>
        <w:rPr>
          <w:rFonts w:cs="Arial"/>
        </w:rPr>
      </w:pPr>
      <w:r w:rsidRPr="00051F30">
        <w:rPr>
          <w:rFonts w:cs="Arial"/>
        </w:rPr>
        <w:t>The submission did not include paediatric data.</w:t>
      </w:r>
    </w:p>
    <w:p w14:paraId="49F2C049" w14:textId="77777777" w:rsidR="007628A4" w:rsidRPr="00051F30" w:rsidRDefault="007628A4" w:rsidP="007628A4">
      <w:pPr>
        <w:pStyle w:val="Heading2"/>
        <w:rPr>
          <w:rFonts w:cs="Arial"/>
        </w:rPr>
      </w:pPr>
      <w:bookmarkStart w:id="47" w:name="_Toc272414612"/>
      <w:bookmarkStart w:id="48" w:name="_Toc290846236"/>
      <w:bookmarkStart w:id="49" w:name="_Toc290888773"/>
      <w:bookmarkStart w:id="50" w:name="_Toc370580767"/>
      <w:bookmarkStart w:id="51" w:name="_Toc522542355"/>
      <w:r w:rsidRPr="00051F30">
        <w:rPr>
          <w:rFonts w:cs="Arial"/>
        </w:rPr>
        <w:t>Good clinical practice</w:t>
      </w:r>
      <w:bookmarkEnd w:id="47"/>
      <w:bookmarkEnd w:id="48"/>
      <w:bookmarkEnd w:id="49"/>
      <w:bookmarkEnd w:id="50"/>
      <w:bookmarkEnd w:id="51"/>
    </w:p>
    <w:p w14:paraId="00C78E8F" w14:textId="27239FDD" w:rsidR="007628A4" w:rsidRPr="007628A4" w:rsidRDefault="007628A4" w:rsidP="00A06A77">
      <w:r w:rsidRPr="00051F30">
        <w:t xml:space="preserve">Trials were conducted according to principles of </w:t>
      </w:r>
      <w:r w:rsidR="001C19EF">
        <w:t>G</w:t>
      </w:r>
      <w:r w:rsidR="001C19EF" w:rsidRPr="00051F30">
        <w:t xml:space="preserve">ood </w:t>
      </w:r>
      <w:r w:rsidR="001C19EF">
        <w:t>C</w:t>
      </w:r>
      <w:r w:rsidR="001C19EF" w:rsidRPr="00051F30">
        <w:t xml:space="preserve">linical </w:t>
      </w:r>
      <w:r w:rsidR="001C19EF">
        <w:t>P</w:t>
      </w:r>
      <w:r w:rsidR="001C19EF" w:rsidRPr="00051F30">
        <w:t>ractice</w:t>
      </w:r>
      <w:r w:rsidRPr="00051F30">
        <w:t>.</w:t>
      </w:r>
    </w:p>
    <w:p w14:paraId="02B4B5DB" w14:textId="77777777" w:rsidR="00586F98" w:rsidRDefault="00586F98" w:rsidP="007628A4">
      <w:pPr>
        <w:pStyle w:val="Heading2"/>
      </w:pPr>
      <w:bookmarkStart w:id="52" w:name="_Toc522542356"/>
      <w:r>
        <w:lastRenderedPageBreak/>
        <w:t>Pharmacokinetics</w:t>
      </w:r>
      <w:bookmarkEnd w:id="41"/>
      <w:bookmarkEnd w:id="52"/>
    </w:p>
    <w:p w14:paraId="69B144FC" w14:textId="77777777" w:rsidR="007628A4" w:rsidRPr="00051F30" w:rsidRDefault="007628A4" w:rsidP="007628A4">
      <w:pPr>
        <w:rPr>
          <w:rFonts w:cs="Arial"/>
        </w:rPr>
      </w:pPr>
      <w:r w:rsidRPr="00051F30">
        <w:rPr>
          <w:rFonts w:cs="Arial"/>
        </w:rPr>
        <w:t>No pharmacokinetics data w</w:t>
      </w:r>
      <w:r>
        <w:rPr>
          <w:rFonts w:cs="Arial"/>
        </w:rPr>
        <w:t>ere</w:t>
      </w:r>
      <w:r w:rsidRPr="00051F30">
        <w:rPr>
          <w:rFonts w:cs="Arial"/>
        </w:rPr>
        <w:t xml:space="preserve"> provide</w:t>
      </w:r>
      <w:r>
        <w:rPr>
          <w:rFonts w:cs="Arial"/>
        </w:rPr>
        <w:t>d</w:t>
      </w:r>
      <w:r w:rsidR="00A06A77">
        <w:rPr>
          <w:rFonts w:cs="Arial"/>
        </w:rPr>
        <w:t>.</w:t>
      </w:r>
    </w:p>
    <w:p w14:paraId="50B06640" w14:textId="77777777" w:rsidR="00586F98" w:rsidRDefault="00586F98" w:rsidP="00586F98">
      <w:pPr>
        <w:pStyle w:val="Heading2"/>
      </w:pPr>
      <w:bookmarkStart w:id="53" w:name="_Toc522542357"/>
      <w:r>
        <w:t>Pharmacodynamics</w:t>
      </w:r>
      <w:bookmarkEnd w:id="53"/>
    </w:p>
    <w:p w14:paraId="1A4F89A8" w14:textId="23A31BD6" w:rsidR="007628A4" w:rsidRPr="00051F30" w:rsidRDefault="007628A4" w:rsidP="007628A4">
      <w:pPr>
        <w:rPr>
          <w:rFonts w:cs="Arial"/>
        </w:rPr>
      </w:pPr>
      <w:r w:rsidRPr="00051F30">
        <w:rPr>
          <w:rFonts w:cs="Arial"/>
        </w:rPr>
        <w:t xml:space="preserve">No </w:t>
      </w:r>
      <w:r w:rsidR="007D3033" w:rsidRPr="00051F30">
        <w:rPr>
          <w:rFonts w:cs="Arial"/>
        </w:rPr>
        <w:t>pharmaco</w:t>
      </w:r>
      <w:r w:rsidR="007D3033">
        <w:rPr>
          <w:rFonts w:cs="Arial"/>
        </w:rPr>
        <w:t>dynamics</w:t>
      </w:r>
      <w:r w:rsidR="007D3033" w:rsidRPr="00051F30">
        <w:rPr>
          <w:rFonts w:cs="Arial"/>
        </w:rPr>
        <w:t xml:space="preserve"> </w:t>
      </w:r>
      <w:r w:rsidRPr="00051F30">
        <w:rPr>
          <w:rFonts w:cs="Arial"/>
        </w:rPr>
        <w:t>data w</w:t>
      </w:r>
      <w:r>
        <w:rPr>
          <w:rFonts w:cs="Arial"/>
        </w:rPr>
        <w:t>ere</w:t>
      </w:r>
      <w:r w:rsidRPr="00051F30">
        <w:rPr>
          <w:rFonts w:cs="Arial"/>
        </w:rPr>
        <w:t xml:space="preserve"> provide</w:t>
      </w:r>
      <w:r w:rsidR="00A06A77">
        <w:rPr>
          <w:rFonts w:cs="Arial"/>
        </w:rPr>
        <w:t>d.</w:t>
      </w:r>
    </w:p>
    <w:p w14:paraId="7860B4CA" w14:textId="77777777" w:rsidR="00586F98" w:rsidRDefault="00C22678" w:rsidP="00586F98">
      <w:pPr>
        <w:pStyle w:val="Heading2"/>
      </w:pPr>
      <w:bookmarkStart w:id="54" w:name="_Toc522542358"/>
      <w:r>
        <w:t>Dosage selection for the pivotal studies</w:t>
      </w:r>
      <w:bookmarkEnd w:id="54"/>
    </w:p>
    <w:p w14:paraId="3104A384" w14:textId="77777777" w:rsidR="0033578E" w:rsidRPr="00051F30" w:rsidRDefault="0033578E" w:rsidP="00A06A77">
      <w:pPr>
        <w:pStyle w:val="Heading3"/>
      </w:pPr>
      <w:bookmarkStart w:id="55" w:name="_Toc522542359"/>
      <w:r w:rsidRPr="00051F30">
        <w:t>Study NIH-01-597</w:t>
      </w:r>
      <w:bookmarkEnd w:id="55"/>
      <w:r w:rsidRPr="00051F30">
        <w:t xml:space="preserve"> </w:t>
      </w:r>
    </w:p>
    <w:p w14:paraId="1A01DBCB" w14:textId="2A931A26" w:rsidR="0033578E" w:rsidRPr="00051F30" w:rsidRDefault="0033578E" w:rsidP="0033578E">
      <w:pPr>
        <w:rPr>
          <w:rFonts w:cs="Arial"/>
        </w:rPr>
      </w:pPr>
      <w:r w:rsidRPr="00051F30">
        <w:rPr>
          <w:rFonts w:cs="Arial"/>
        </w:rPr>
        <w:t xml:space="preserve">Study NIH-01-597 was a </w:t>
      </w:r>
      <w:r w:rsidR="00A06A77">
        <w:rPr>
          <w:rFonts w:cs="Arial"/>
        </w:rPr>
        <w:t>P</w:t>
      </w:r>
      <w:r w:rsidRPr="00051F30">
        <w:rPr>
          <w:rFonts w:cs="Arial"/>
        </w:rPr>
        <w:t xml:space="preserve">hase I dose-ranging study which examined the immunological response of 202 ambulatory patients </w:t>
      </w:r>
      <w:r w:rsidR="006A3980">
        <w:rPr>
          <w:rFonts w:cs="Arial"/>
        </w:rPr>
        <w:t xml:space="preserve">&gt; </w:t>
      </w:r>
      <w:r w:rsidRPr="00051F30">
        <w:rPr>
          <w:rFonts w:cs="Arial"/>
        </w:rPr>
        <w:t xml:space="preserve">65 years of age to four doses of Fluzone. Subjects were randomised into equal groups to receive a single dose of trivalent influenza vaccine containing </w:t>
      </w:r>
      <w:r w:rsidR="00CD0E09">
        <w:rPr>
          <w:rFonts w:cs="Arial"/>
        </w:rPr>
        <w:t>0</w:t>
      </w:r>
      <w:r w:rsidR="007D3033">
        <w:rPr>
          <w:rFonts w:cs="Arial"/>
        </w:rPr>
        <w:t> </w:t>
      </w:r>
      <w:r w:rsidR="00CD0E09">
        <w:rPr>
          <w:rFonts w:cs="Arial"/>
        </w:rPr>
        <w:t>µg</w:t>
      </w:r>
      <w:r w:rsidRPr="00051F30">
        <w:rPr>
          <w:rFonts w:cs="Arial"/>
        </w:rPr>
        <w:t xml:space="preserve"> (n</w:t>
      </w:r>
      <w:r w:rsidR="007D3033">
        <w:rPr>
          <w:rFonts w:cs="Arial"/>
        </w:rPr>
        <w:t xml:space="preserve"> </w:t>
      </w:r>
      <w:r w:rsidRPr="00051F30">
        <w:rPr>
          <w:rFonts w:cs="Arial"/>
        </w:rPr>
        <w:t>=</w:t>
      </w:r>
      <w:r w:rsidR="007D3033">
        <w:rPr>
          <w:rFonts w:cs="Arial"/>
        </w:rPr>
        <w:t xml:space="preserve"> </w:t>
      </w:r>
      <w:r w:rsidRPr="00051F30">
        <w:rPr>
          <w:rFonts w:cs="Arial"/>
        </w:rPr>
        <w:t xml:space="preserve">50), </w:t>
      </w:r>
      <w:r w:rsidR="002757EE">
        <w:rPr>
          <w:rFonts w:cs="Arial"/>
        </w:rPr>
        <w:t>15 µg</w:t>
      </w:r>
      <w:r w:rsidRPr="00051F30">
        <w:rPr>
          <w:rFonts w:cs="Arial"/>
        </w:rPr>
        <w:t xml:space="preserve"> (n</w:t>
      </w:r>
      <w:r w:rsidR="007D3033">
        <w:rPr>
          <w:rFonts w:cs="Arial"/>
        </w:rPr>
        <w:t xml:space="preserve"> </w:t>
      </w:r>
      <w:r w:rsidRPr="00051F30">
        <w:rPr>
          <w:rFonts w:cs="Arial"/>
        </w:rPr>
        <w:t>=</w:t>
      </w:r>
      <w:r w:rsidR="007D3033">
        <w:rPr>
          <w:rFonts w:cs="Arial"/>
        </w:rPr>
        <w:t xml:space="preserve"> </w:t>
      </w:r>
      <w:r w:rsidRPr="00051F30">
        <w:rPr>
          <w:rFonts w:cs="Arial"/>
        </w:rPr>
        <w:t>51), 3</w:t>
      </w:r>
      <w:r w:rsidR="00CD0E09">
        <w:rPr>
          <w:rFonts w:cs="Arial"/>
        </w:rPr>
        <w:t>0 µg</w:t>
      </w:r>
      <w:r w:rsidRPr="00051F30">
        <w:rPr>
          <w:rFonts w:cs="Arial"/>
        </w:rPr>
        <w:t xml:space="preserve"> (n</w:t>
      </w:r>
      <w:r w:rsidR="007D3033">
        <w:rPr>
          <w:rFonts w:cs="Arial"/>
        </w:rPr>
        <w:t xml:space="preserve"> </w:t>
      </w:r>
      <w:r w:rsidRPr="00051F30">
        <w:rPr>
          <w:rFonts w:cs="Arial"/>
        </w:rPr>
        <w:t>=</w:t>
      </w:r>
      <w:r w:rsidR="007D3033">
        <w:rPr>
          <w:rFonts w:cs="Arial"/>
        </w:rPr>
        <w:t xml:space="preserve"> </w:t>
      </w:r>
      <w:r w:rsidRPr="00051F30">
        <w:rPr>
          <w:rFonts w:cs="Arial"/>
        </w:rPr>
        <w:t>51) or 6</w:t>
      </w:r>
      <w:r w:rsidR="00CD0E09">
        <w:rPr>
          <w:rFonts w:cs="Arial"/>
        </w:rPr>
        <w:t>0 µg</w:t>
      </w:r>
      <w:r w:rsidRPr="00051F30">
        <w:rPr>
          <w:rFonts w:cs="Arial"/>
        </w:rPr>
        <w:t xml:space="preserve"> (n</w:t>
      </w:r>
      <w:r w:rsidR="007D3033">
        <w:rPr>
          <w:rFonts w:cs="Arial"/>
        </w:rPr>
        <w:t xml:space="preserve"> </w:t>
      </w:r>
      <w:r w:rsidRPr="00051F30">
        <w:rPr>
          <w:rFonts w:cs="Arial"/>
        </w:rPr>
        <w:t>=</w:t>
      </w:r>
      <w:r w:rsidR="007D3033">
        <w:rPr>
          <w:rFonts w:cs="Arial"/>
        </w:rPr>
        <w:t xml:space="preserve"> </w:t>
      </w:r>
      <w:r w:rsidRPr="00051F30">
        <w:rPr>
          <w:rFonts w:cs="Arial"/>
        </w:rPr>
        <w:t>50) of HA for each virus strain. The study was conducted in 2002 using the H1N1, H3N2 and Influenza B strains current for that year’s influenza vaccine. Oral temperature, infection site and systemic symptoms were observed for one week, with blood for serological analysis taken 1 month after the vaccine dose.</w:t>
      </w:r>
    </w:p>
    <w:p w14:paraId="5459B03E" w14:textId="77777777" w:rsidR="0033578E" w:rsidRDefault="0033578E" w:rsidP="0033578E">
      <w:pPr>
        <w:rPr>
          <w:rFonts w:cs="Arial"/>
        </w:rPr>
      </w:pPr>
      <w:r w:rsidRPr="00051F30">
        <w:rPr>
          <w:rFonts w:cs="Arial"/>
        </w:rPr>
        <w:t>Serum HAI and NA were examined. The primary endpoints of the study w</w:t>
      </w:r>
      <w:r w:rsidR="00A06A77">
        <w:rPr>
          <w:rFonts w:cs="Arial"/>
        </w:rPr>
        <w:t>ere</w:t>
      </w:r>
      <w:r w:rsidRPr="00051F30">
        <w:rPr>
          <w:rFonts w:cs="Arial"/>
        </w:rPr>
        <w:t xml:space="preserve"> the GMT for serum HAI and NA against each of the vaccine strains one month after immunisation.</w:t>
      </w:r>
    </w:p>
    <w:p w14:paraId="0FCB2EE4" w14:textId="77777777" w:rsidR="00A06A77" w:rsidRPr="00BB7E93" w:rsidRDefault="00A06A77" w:rsidP="00A06A77">
      <w:pPr>
        <w:pStyle w:val="Tabletitle"/>
      </w:pPr>
      <w:r w:rsidRPr="00BB7E93">
        <w:t xml:space="preserve">Table </w:t>
      </w:r>
      <w:r>
        <w:t>3</w:t>
      </w:r>
      <w:r w:rsidRPr="00BB7E93">
        <w:t>: Comparative GMT of HAI antibodies and Neutralising Antibody in doses of Fluzone between 45µg and 18</w:t>
      </w:r>
      <w:r>
        <w:t>0 µg</w:t>
      </w:r>
    </w:p>
    <w:p w14:paraId="00D297AE" w14:textId="77777777" w:rsidR="0033578E" w:rsidRPr="00051F30" w:rsidRDefault="0033578E" w:rsidP="0033578E">
      <w:r w:rsidRPr="00051F30">
        <w:rPr>
          <w:noProof/>
          <w:bdr w:val="single" w:sz="4" w:space="0" w:color="auto"/>
          <w:lang w:eastAsia="en-AU"/>
        </w:rPr>
        <w:drawing>
          <wp:inline distT="0" distB="0" distL="0" distR="0" wp14:anchorId="79EA3481" wp14:editId="2F7AB7FA">
            <wp:extent cx="5954049" cy="2094243"/>
            <wp:effectExtent l="0" t="0" r="8890" b="1270"/>
            <wp:docPr id="5" name="Picture 2" descr="Comparative GMT of HAI antibodies and Neutralising Antibody in  doses of Fluzone between 45µg and 180 µ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20000" contrast="40000"/>
                    </a:blip>
                    <a:srcRect/>
                    <a:stretch>
                      <a:fillRect/>
                    </a:stretch>
                  </pic:blipFill>
                  <pic:spPr bwMode="auto">
                    <a:xfrm>
                      <a:off x="0" y="0"/>
                      <a:ext cx="5981095" cy="2103756"/>
                    </a:xfrm>
                    <a:prstGeom prst="rect">
                      <a:avLst/>
                    </a:prstGeom>
                    <a:noFill/>
                    <a:ln w="9525">
                      <a:noFill/>
                      <a:miter lim="800000"/>
                      <a:headEnd/>
                      <a:tailEnd/>
                    </a:ln>
                  </pic:spPr>
                </pic:pic>
              </a:graphicData>
            </a:graphic>
          </wp:inline>
        </w:drawing>
      </w:r>
    </w:p>
    <w:p w14:paraId="2A11A031" w14:textId="717477E7" w:rsidR="0033578E" w:rsidRPr="00051F30" w:rsidRDefault="0033578E" w:rsidP="0033578E">
      <w:pPr>
        <w:rPr>
          <w:rFonts w:cs="Arial"/>
          <w:u w:val="single"/>
        </w:rPr>
      </w:pPr>
      <w:r w:rsidRPr="00051F30">
        <w:rPr>
          <w:rFonts w:cs="Arial"/>
        </w:rPr>
        <w:t>The difference in GMT for HAI and NA between all dose levels was significant (p</w:t>
      </w:r>
      <w:r w:rsidR="007D3033">
        <w:rPr>
          <w:rFonts w:cs="Arial"/>
        </w:rPr>
        <w:t xml:space="preserve"> </w:t>
      </w:r>
      <w:r w:rsidRPr="00051F30">
        <w:rPr>
          <w:rFonts w:cs="Arial"/>
        </w:rPr>
        <w:t>&lt;</w:t>
      </w:r>
      <w:r w:rsidR="007D3033">
        <w:rPr>
          <w:rFonts w:cs="Arial"/>
        </w:rPr>
        <w:t xml:space="preserve"> </w:t>
      </w:r>
      <w:r w:rsidRPr="00051F30">
        <w:rPr>
          <w:rFonts w:cs="Arial"/>
        </w:rPr>
        <w:t>0.01). There was no sig</w:t>
      </w:r>
      <w:r w:rsidR="00B203E1">
        <w:rPr>
          <w:rFonts w:cs="Arial"/>
        </w:rPr>
        <w:t xml:space="preserve">nificant difference between the </w:t>
      </w:r>
      <w:proofErr w:type="gramStart"/>
      <w:r w:rsidR="00F05C2C">
        <w:rPr>
          <w:rFonts w:cs="Arial"/>
        </w:rPr>
        <w:t>d</w:t>
      </w:r>
      <w:r w:rsidRPr="00051F30">
        <w:rPr>
          <w:rFonts w:cs="Arial"/>
        </w:rPr>
        <w:t>ose</w:t>
      </w:r>
      <w:proofErr w:type="gramEnd"/>
      <w:r w:rsidRPr="00051F30">
        <w:rPr>
          <w:rFonts w:cs="Arial"/>
        </w:rPr>
        <w:t xml:space="preserve"> groups in the frequency of systemic reactions reported. There was, however, a dose-related increase in the incidence of injection site discomfort (p</w:t>
      </w:r>
      <w:r w:rsidR="007D3033">
        <w:rPr>
          <w:rFonts w:cs="Arial"/>
        </w:rPr>
        <w:t xml:space="preserve"> </w:t>
      </w:r>
      <w:r w:rsidRPr="00051F30">
        <w:rPr>
          <w:rFonts w:cs="Arial"/>
        </w:rPr>
        <w:t>&lt;</w:t>
      </w:r>
      <w:r w:rsidR="007D3033">
        <w:rPr>
          <w:rFonts w:cs="Arial"/>
        </w:rPr>
        <w:t xml:space="preserve"> </w:t>
      </w:r>
      <w:r w:rsidRPr="00051F30">
        <w:rPr>
          <w:rFonts w:cs="Arial"/>
        </w:rPr>
        <w:t>0.01) and redness/swelling (p</w:t>
      </w:r>
      <w:r w:rsidR="007D3033">
        <w:rPr>
          <w:rFonts w:cs="Arial"/>
        </w:rPr>
        <w:t xml:space="preserve"> </w:t>
      </w:r>
      <w:r w:rsidRPr="00051F30">
        <w:rPr>
          <w:rFonts w:cs="Arial"/>
        </w:rPr>
        <w:t>=</w:t>
      </w:r>
      <w:r w:rsidR="007D3033">
        <w:rPr>
          <w:rFonts w:cs="Arial"/>
        </w:rPr>
        <w:t xml:space="preserve"> </w:t>
      </w:r>
      <w:r w:rsidRPr="00051F30">
        <w:rPr>
          <w:rFonts w:cs="Arial"/>
        </w:rPr>
        <w:t>0.05).</w:t>
      </w:r>
    </w:p>
    <w:p w14:paraId="013B3134" w14:textId="77777777" w:rsidR="00C22678" w:rsidRPr="00586F98" w:rsidRDefault="0033578E" w:rsidP="0033578E">
      <w:pPr>
        <w:rPr>
          <w:lang w:eastAsia="ja-JP"/>
        </w:rPr>
      </w:pPr>
      <w:r w:rsidRPr="00051F30">
        <w:rPr>
          <w:rFonts w:cs="Arial"/>
        </w:rPr>
        <w:t>The 6</w:t>
      </w:r>
      <w:r w:rsidR="00CD0E09">
        <w:rPr>
          <w:rFonts w:cs="Arial"/>
        </w:rPr>
        <w:t>0 µg</w:t>
      </w:r>
      <w:r w:rsidRPr="00051F30">
        <w:rPr>
          <w:rFonts w:cs="Arial"/>
        </w:rPr>
        <w:t xml:space="preserve"> dose was chosen for further development in </w:t>
      </w:r>
      <w:r w:rsidR="00CD0E09">
        <w:rPr>
          <w:rFonts w:cs="Arial"/>
        </w:rPr>
        <w:t>Phase II</w:t>
      </w:r>
      <w:r w:rsidRPr="00051F30">
        <w:rPr>
          <w:rFonts w:cs="Arial"/>
        </w:rPr>
        <w:t xml:space="preserve"> and III studies on the basis of demonstrating superior reactogenicity to the lower two doses with an acceptable safety profile. This was on the basis that increased reactogenicity was likely to be associated with high rates of protection from influenza among recipients of the 6</w:t>
      </w:r>
      <w:r w:rsidR="00CD0E09">
        <w:rPr>
          <w:rFonts w:cs="Arial"/>
        </w:rPr>
        <w:t>0 µg</w:t>
      </w:r>
      <w:r w:rsidRPr="00051F30">
        <w:rPr>
          <w:rFonts w:cs="Arial"/>
        </w:rPr>
        <w:t>/strain vaccine.</w:t>
      </w:r>
    </w:p>
    <w:p w14:paraId="56DB35C0" w14:textId="77777777" w:rsidR="00C22678" w:rsidRDefault="00C22678" w:rsidP="00C22678">
      <w:pPr>
        <w:pStyle w:val="Heading2"/>
      </w:pPr>
      <w:bookmarkStart w:id="56" w:name="_Toc522542360"/>
      <w:r>
        <w:lastRenderedPageBreak/>
        <w:t>Clinical efficacy</w:t>
      </w:r>
      <w:bookmarkEnd w:id="56"/>
    </w:p>
    <w:p w14:paraId="32A9DC22" w14:textId="77777777" w:rsidR="0033578E" w:rsidRPr="00051F30" w:rsidRDefault="0033578E" w:rsidP="00A06A77">
      <w:pPr>
        <w:pStyle w:val="Heading3"/>
      </w:pPr>
      <w:bookmarkStart w:id="57" w:name="_Ref271037274"/>
      <w:bookmarkStart w:id="58" w:name="_Toc272414652"/>
      <w:bookmarkStart w:id="59" w:name="_Toc290846274"/>
      <w:bookmarkStart w:id="60" w:name="_Toc290888811"/>
      <w:bookmarkStart w:id="61" w:name="_Toc370580773"/>
      <w:bookmarkStart w:id="62" w:name="_Toc522542361"/>
      <w:r w:rsidRPr="00051F30">
        <w:t>Pivotal efficacy studies</w:t>
      </w:r>
      <w:bookmarkEnd w:id="57"/>
      <w:bookmarkEnd w:id="58"/>
      <w:bookmarkEnd w:id="59"/>
      <w:bookmarkEnd w:id="60"/>
      <w:bookmarkEnd w:id="61"/>
      <w:bookmarkEnd w:id="62"/>
    </w:p>
    <w:p w14:paraId="396ED5B9" w14:textId="77777777" w:rsidR="0033578E" w:rsidRPr="00051F30" w:rsidRDefault="0033578E" w:rsidP="00A06A77">
      <w:pPr>
        <w:pStyle w:val="Heading4"/>
      </w:pPr>
      <w:r w:rsidRPr="00051F30">
        <w:t>Study FIM05</w:t>
      </w:r>
    </w:p>
    <w:p w14:paraId="6C09FE16" w14:textId="77777777" w:rsidR="0033578E" w:rsidRPr="00051F30" w:rsidRDefault="0033578E" w:rsidP="00A06A77">
      <w:pPr>
        <w:pStyle w:val="Heading5"/>
      </w:pPr>
      <w:r w:rsidRPr="00051F30">
        <w:t>Study design, objectives, locations and dates</w:t>
      </w:r>
    </w:p>
    <w:p w14:paraId="566570B3" w14:textId="102941A3" w:rsidR="0033578E" w:rsidRPr="00051F30" w:rsidRDefault="007D3033" w:rsidP="0033578E">
      <w:r>
        <w:t xml:space="preserve">Study </w:t>
      </w:r>
      <w:r w:rsidR="0033578E" w:rsidRPr="00051F30">
        <w:t xml:space="preserve">FIM05 was a </w:t>
      </w:r>
      <w:r w:rsidR="00CD0E09">
        <w:t>Phase III</w:t>
      </w:r>
      <w:r w:rsidR="0033578E" w:rsidRPr="00051F30">
        <w:t xml:space="preserve"> multicentre, double blind, active-controlled study in subjects </w:t>
      </w:r>
      <w:r w:rsidR="006A3980">
        <w:t>&gt;</w:t>
      </w:r>
      <w:r>
        <w:t> </w:t>
      </w:r>
      <w:r w:rsidR="0033578E" w:rsidRPr="00051F30">
        <w:t>65</w:t>
      </w:r>
      <w:r>
        <w:t> </w:t>
      </w:r>
      <w:r w:rsidR="0033578E" w:rsidRPr="00051F30">
        <w:t xml:space="preserve">years of age which compared the immune response of subjects receiving </w:t>
      </w:r>
      <w:r w:rsidR="00CD0E09">
        <w:t>Fluzone High</w:t>
      </w:r>
      <w:r w:rsidR="007D102B">
        <w:noBreakHyphen/>
      </w:r>
      <w:r w:rsidR="00CD0E09">
        <w:t>Dose</w:t>
      </w:r>
      <w:r w:rsidR="0033578E" w:rsidRPr="00051F30">
        <w:t xml:space="preserve"> (n</w:t>
      </w:r>
      <w:r>
        <w:t xml:space="preserve"> </w:t>
      </w:r>
      <w:r w:rsidR="0033578E" w:rsidRPr="00051F30">
        <w:t>=</w:t>
      </w:r>
      <w:r>
        <w:t xml:space="preserve"> </w:t>
      </w:r>
      <w:r w:rsidR="0033578E" w:rsidRPr="00051F30">
        <w:t>2588) to those receiving Fluzone (n</w:t>
      </w:r>
      <w:r w:rsidR="005C24D9">
        <w:t xml:space="preserve"> </w:t>
      </w:r>
      <w:r w:rsidR="0033578E" w:rsidRPr="00051F30">
        <w:t>=</w:t>
      </w:r>
      <w:r w:rsidR="005C24D9">
        <w:t xml:space="preserve"> </w:t>
      </w:r>
      <w:r w:rsidR="0033578E" w:rsidRPr="00051F30">
        <w:t xml:space="preserve">1288). The study had two main objectives. The first of these was to demonstrate the superiority of immune response in subjects receiving </w:t>
      </w:r>
      <w:r w:rsidR="00CD0E09">
        <w:t>Fluzone High-Dose</w:t>
      </w:r>
      <w:r w:rsidR="0033578E" w:rsidRPr="00051F30">
        <w:t xml:space="preserve"> compared to those receiving Fluzone. The second main objective was to assess the lot consistency of immune response between subjects receiving </w:t>
      </w:r>
      <w:r w:rsidR="00CD0E09">
        <w:t>Fluzone High-Dose</w:t>
      </w:r>
      <w:r w:rsidR="0033578E" w:rsidRPr="00051F30">
        <w:t xml:space="preserve"> from 3 different lots. Immune response was measured 28 days after subjects received a single dose of vaccine.</w:t>
      </w:r>
    </w:p>
    <w:p w14:paraId="0CA173A6" w14:textId="21A7BFBD" w:rsidR="0033578E" w:rsidRPr="00051F30" w:rsidRDefault="0033578E" w:rsidP="0033578E">
      <w:pPr>
        <w:rPr>
          <w:rFonts w:cs="Arial"/>
        </w:rPr>
      </w:pPr>
      <w:r w:rsidRPr="00051F30">
        <w:t>The study enrolled patients from 31 centres in the USA between 9 October 2006 and 22</w:t>
      </w:r>
      <w:r w:rsidR="007D102B">
        <w:t> </w:t>
      </w:r>
      <w:r w:rsidRPr="00051F30">
        <w:t>January</w:t>
      </w:r>
      <w:r w:rsidR="007D102B">
        <w:t> </w:t>
      </w:r>
      <w:r w:rsidRPr="00051F30">
        <w:t>2007, with follow-up completed on 9 July 2007. This time was chosen to allow vaccination immediately prior to the peak of the Northern respiratory virus season.</w:t>
      </w:r>
    </w:p>
    <w:p w14:paraId="28DE5B02" w14:textId="77777777" w:rsidR="0033578E" w:rsidRPr="00570789" w:rsidRDefault="0033578E" w:rsidP="00AB4FA5">
      <w:pPr>
        <w:pStyle w:val="Heading5"/>
      </w:pPr>
      <w:r w:rsidRPr="00570789">
        <w:t xml:space="preserve">Inclusion and </w:t>
      </w:r>
      <w:r w:rsidRPr="00AB4FA5">
        <w:t>exclusion</w:t>
      </w:r>
      <w:r w:rsidRPr="00570789">
        <w:t xml:space="preserve"> criteria</w:t>
      </w:r>
    </w:p>
    <w:p w14:paraId="75561BF0" w14:textId="77777777" w:rsidR="0033578E" w:rsidRPr="00051F30" w:rsidRDefault="0033578E" w:rsidP="00570789">
      <w:pPr>
        <w:pStyle w:val="ListBullet"/>
      </w:pPr>
      <w:r w:rsidRPr="00051F30">
        <w:t>65 years of age or older</w:t>
      </w:r>
    </w:p>
    <w:p w14:paraId="037AB995" w14:textId="77777777" w:rsidR="0033578E" w:rsidRPr="00051F30" w:rsidRDefault="0033578E" w:rsidP="00570789">
      <w:pPr>
        <w:pStyle w:val="ListBullet"/>
      </w:pPr>
      <w:r w:rsidRPr="00051F30">
        <w:t>Ambulatory; defined as not institutionalised, bedridden or homebound.</w:t>
      </w:r>
    </w:p>
    <w:p w14:paraId="162E321E" w14:textId="77777777" w:rsidR="0033578E" w:rsidRPr="00051F30" w:rsidRDefault="0033578E" w:rsidP="00570789">
      <w:pPr>
        <w:pStyle w:val="ListBullet"/>
      </w:pPr>
      <w:r w:rsidRPr="00051F30">
        <w:t>Medically stable; chronic illnesses such as diabetes, hypothyroidism or heard disease assessed as controlled with medical therapy.</w:t>
      </w:r>
    </w:p>
    <w:p w14:paraId="05456A17" w14:textId="4D35B6F3" w:rsidR="0033578E" w:rsidRPr="00051F30" w:rsidRDefault="0033578E" w:rsidP="00570789">
      <w:pPr>
        <w:pStyle w:val="ListBullet"/>
      </w:pPr>
      <w:r w:rsidRPr="00051F30">
        <w:t>Afebrile; patients with a fever were deferred from enrolment until 3 days after resolution of their illness</w:t>
      </w:r>
      <w:r w:rsidR="005C24D9">
        <w:t>.</w:t>
      </w:r>
    </w:p>
    <w:p w14:paraId="5303A8E1" w14:textId="77777777" w:rsidR="0033578E" w:rsidRPr="00051F30" w:rsidRDefault="0033578E" w:rsidP="0033578E">
      <w:pPr>
        <w:rPr>
          <w:rFonts w:cs="Arial"/>
        </w:rPr>
      </w:pPr>
      <w:r w:rsidRPr="00051F30">
        <w:rPr>
          <w:rFonts w:cs="Arial"/>
        </w:rPr>
        <w:t>Significant exclusion criteria included:</w:t>
      </w:r>
    </w:p>
    <w:p w14:paraId="4E72A63D" w14:textId="77777777" w:rsidR="0033578E" w:rsidRPr="00051F30" w:rsidRDefault="0033578E" w:rsidP="00570789">
      <w:pPr>
        <w:pStyle w:val="ListBullet"/>
      </w:pPr>
      <w:r w:rsidRPr="00051F30">
        <w:t>known allergy to eggs or components of the vaccine</w:t>
      </w:r>
    </w:p>
    <w:p w14:paraId="1F605E95" w14:textId="77777777" w:rsidR="0033578E" w:rsidRPr="00051F30" w:rsidRDefault="0033578E" w:rsidP="00570789">
      <w:pPr>
        <w:pStyle w:val="ListBullet"/>
      </w:pPr>
      <w:r w:rsidRPr="00051F30">
        <w:t>a history of Guillain-Barre syndrome</w:t>
      </w:r>
    </w:p>
    <w:p w14:paraId="4F194D99" w14:textId="77777777" w:rsidR="0033578E" w:rsidRPr="00051F30" w:rsidRDefault="0033578E" w:rsidP="00570789">
      <w:pPr>
        <w:pStyle w:val="ListBullet"/>
      </w:pPr>
      <w:r w:rsidRPr="00051F30">
        <w:t xml:space="preserve"> immunosuppressive from underlying illness or treatment</w:t>
      </w:r>
    </w:p>
    <w:p w14:paraId="18C2CDC3" w14:textId="77777777" w:rsidR="0033578E" w:rsidRPr="00051F30" w:rsidRDefault="0033578E" w:rsidP="00570789">
      <w:pPr>
        <w:pStyle w:val="ListBullet"/>
      </w:pPr>
      <w:r w:rsidRPr="00051F30">
        <w:t>Use of oral steroids or high doses of inhaled steroids within 1 month prior to vaccination</w:t>
      </w:r>
    </w:p>
    <w:p w14:paraId="045C69E4" w14:textId="77777777" w:rsidR="0033578E" w:rsidRPr="00051F30" w:rsidRDefault="0033578E" w:rsidP="00570789">
      <w:pPr>
        <w:pStyle w:val="ListBullet"/>
      </w:pPr>
      <w:r w:rsidRPr="00051F30">
        <w:t>Active neoplastic disease or history of haematological malignancy within 5 years of the study.</w:t>
      </w:r>
    </w:p>
    <w:p w14:paraId="6856FE35" w14:textId="77777777" w:rsidR="0033578E" w:rsidRPr="00051F30" w:rsidRDefault="0033578E" w:rsidP="00570789">
      <w:pPr>
        <w:pStyle w:val="Heading5"/>
      </w:pPr>
      <w:r w:rsidRPr="00051F30">
        <w:t>Study treatments</w:t>
      </w:r>
    </w:p>
    <w:p w14:paraId="6C6321CD" w14:textId="3B7377BF" w:rsidR="0033578E" w:rsidRPr="00051F30" w:rsidRDefault="0033578E" w:rsidP="0033578E">
      <w:pPr>
        <w:rPr>
          <w:rFonts w:cs="Arial"/>
        </w:rPr>
      </w:pPr>
      <w:r w:rsidRPr="00051F30">
        <w:rPr>
          <w:rFonts w:cs="Arial"/>
        </w:rPr>
        <w:t>Subjects received either Fluzone (</w:t>
      </w:r>
      <w:r w:rsidR="002757EE">
        <w:rPr>
          <w:rFonts w:cs="Arial"/>
        </w:rPr>
        <w:t>15 µg</w:t>
      </w:r>
      <w:r w:rsidRPr="00051F30">
        <w:rPr>
          <w:rFonts w:cs="Arial"/>
        </w:rPr>
        <w:t xml:space="preserve"> HA per strain, 45</w:t>
      </w:r>
      <w:r w:rsidR="005C24D9">
        <w:rPr>
          <w:rFonts w:cs="Arial"/>
        </w:rPr>
        <w:t xml:space="preserve"> </w:t>
      </w:r>
      <w:r w:rsidRPr="00051F30">
        <w:rPr>
          <w:rFonts w:cs="Arial"/>
        </w:rPr>
        <w:t xml:space="preserve">µg in total) or </w:t>
      </w:r>
      <w:r w:rsidR="00CD0E09">
        <w:rPr>
          <w:rFonts w:cs="Arial"/>
        </w:rPr>
        <w:t>Fluzone High-Dose</w:t>
      </w:r>
      <w:r w:rsidRPr="00051F30">
        <w:rPr>
          <w:rFonts w:cs="Arial"/>
        </w:rPr>
        <w:t xml:space="preserve"> (6</w:t>
      </w:r>
      <w:r w:rsidR="00CD0E09">
        <w:rPr>
          <w:rFonts w:cs="Arial"/>
        </w:rPr>
        <w:t>0</w:t>
      </w:r>
      <w:r w:rsidR="005C24D9">
        <w:rPr>
          <w:rFonts w:cs="Arial"/>
        </w:rPr>
        <w:t> </w:t>
      </w:r>
      <w:r w:rsidR="00CD0E09">
        <w:rPr>
          <w:rFonts w:cs="Arial"/>
        </w:rPr>
        <w:t>µg</w:t>
      </w:r>
      <w:r w:rsidRPr="00051F30">
        <w:rPr>
          <w:rFonts w:cs="Arial"/>
        </w:rPr>
        <w:t xml:space="preserve"> per strain, 18</w:t>
      </w:r>
      <w:r w:rsidR="00CD0E09">
        <w:rPr>
          <w:rFonts w:cs="Arial"/>
        </w:rPr>
        <w:t>0 µg</w:t>
      </w:r>
      <w:r w:rsidRPr="00051F30">
        <w:rPr>
          <w:rFonts w:cs="Arial"/>
        </w:rPr>
        <w:t xml:space="preserve"> in total) as a single intramuscular injection of 0.5</w:t>
      </w:r>
      <w:r w:rsidR="005C24D9">
        <w:rPr>
          <w:rFonts w:cs="Arial"/>
        </w:rPr>
        <w:t xml:space="preserve"> </w:t>
      </w:r>
      <w:r w:rsidRPr="00051F30">
        <w:rPr>
          <w:rFonts w:cs="Arial"/>
        </w:rPr>
        <w:t>mL.</w:t>
      </w:r>
    </w:p>
    <w:p w14:paraId="32149A8D" w14:textId="77777777" w:rsidR="0033578E" w:rsidRDefault="0033578E" w:rsidP="0033578E">
      <w:pPr>
        <w:rPr>
          <w:rFonts w:cs="Arial"/>
        </w:rPr>
      </w:pPr>
      <w:r w:rsidRPr="00042F5C">
        <w:rPr>
          <w:rFonts w:cs="Arial"/>
        </w:rPr>
        <w:t>Both vaccines contained HA derived from virus strains appropriate to the season in which the study was conducted</w:t>
      </w:r>
      <w:r w:rsidR="008A74D5" w:rsidRPr="00042F5C">
        <w:rPr>
          <w:rFonts w:cs="Arial"/>
        </w:rPr>
        <w:t>:</w:t>
      </w:r>
    </w:p>
    <w:p w14:paraId="5B79EE69" w14:textId="77777777" w:rsidR="008A74D5" w:rsidRDefault="008A74D5" w:rsidP="008A74D5">
      <w:pPr>
        <w:pStyle w:val="ListBullet"/>
      </w:pPr>
      <w:r>
        <w:t>A/New Caledonia/20/99/IVR-116 (H1N1)</w:t>
      </w:r>
    </w:p>
    <w:p w14:paraId="6FBC0E27" w14:textId="77777777" w:rsidR="008A74D5" w:rsidRDefault="008A74D5" w:rsidP="008A74D5">
      <w:pPr>
        <w:pStyle w:val="ListBullet"/>
      </w:pPr>
      <w:r>
        <w:t>A/Wisconsin/67</w:t>
      </w:r>
      <w:r w:rsidR="00042F5C">
        <w:t>/2005/X-161 (H3N2)</w:t>
      </w:r>
    </w:p>
    <w:p w14:paraId="405100A3" w14:textId="57C5BC2B" w:rsidR="008A74D5" w:rsidRPr="005C24D9" w:rsidRDefault="00042F5C" w:rsidP="00834306">
      <w:pPr>
        <w:pStyle w:val="ListBullet"/>
        <w:rPr>
          <w:rFonts w:cs="Arial"/>
        </w:rPr>
      </w:pPr>
      <w:r>
        <w:t>B/Malaysia/2506/04</w:t>
      </w:r>
    </w:p>
    <w:p w14:paraId="7E924D45" w14:textId="77777777" w:rsidR="0033578E" w:rsidRPr="00051F30" w:rsidRDefault="0033578E" w:rsidP="00570789">
      <w:pPr>
        <w:pStyle w:val="Heading5"/>
      </w:pPr>
      <w:r w:rsidRPr="00051F30">
        <w:t>Efficacy variables and outcomes</w:t>
      </w:r>
    </w:p>
    <w:p w14:paraId="4DAB4B06" w14:textId="788BB8D2" w:rsidR="0033578E" w:rsidRPr="00051F30" w:rsidRDefault="0033578E" w:rsidP="0033578E">
      <w:pPr>
        <w:rPr>
          <w:rFonts w:cs="Arial"/>
        </w:rPr>
      </w:pPr>
      <w:r w:rsidRPr="00051F30">
        <w:rPr>
          <w:rFonts w:cs="Arial"/>
        </w:rPr>
        <w:t xml:space="preserve">The primary endpoint in </w:t>
      </w:r>
      <w:r w:rsidR="005C24D9">
        <w:rPr>
          <w:rFonts w:cs="Arial"/>
        </w:rPr>
        <w:t xml:space="preserve">Study </w:t>
      </w:r>
      <w:r w:rsidRPr="00051F30">
        <w:rPr>
          <w:rFonts w:cs="Arial"/>
        </w:rPr>
        <w:t xml:space="preserve">FIM05 was the anti-HA GMT for each of the three viral strains in the vaccine measured 28 days post vaccination. This was used to assess the equivalence in </w:t>
      </w:r>
      <w:r w:rsidRPr="00051F30">
        <w:rPr>
          <w:rFonts w:cs="Arial"/>
        </w:rPr>
        <w:lastRenderedPageBreak/>
        <w:t>anti</w:t>
      </w:r>
      <w:r w:rsidR="005C24D9">
        <w:rPr>
          <w:rFonts w:cs="Arial"/>
        </w:rPr>
        <w:noBreakHyphen/>
      </w:r>
      <w:r w:rsidRPr="00051F30">
        <w:rPr>
          <w:rFonts w:cs="Arial"/>
        </w:rPr>
        <w:t>HA GMT between the three lots of vaccine used, where equivalence was defined as a ratio of GMT between two lots of vaccine between 0.67 and 1.50.</w:t>
      </w:r>
    </w:p>
    <w:p w14:paraId="3F6A01DE" w14:textId="233E463A" w:rsidR="0033578E" w:rsidRPr="004556D4" w:rsidRDefault="0033578E" w:rsidP="00570789">
      <w:r w:rsidRPr="004556D4">
        <w:t>The secondary endpoint was the percentage of seroconversion among subjects measured one month post-vaccination. Seroconversion was defined as either</w:t>
      </w:r>
      <w:r w:rsidR="005C24D9">
        <w:t>:</w:t>
      </w:r>
    </w:p>
    <w:p w14:paraId="60D66F92" w14:textId="2718F52A" w:rsidR="0033578E" w:rsidRPr="004556D4" w:rsidRDefault="00570789" w:rsidP="00834306">
      <w:pPr>
        <w:pStyle w:val="Numberbullet0"/>
      </w:pPr>
      <w:r>
        <w:t>P</w:t>
      </w:r>
      <w:r w:rsidR="0033578E" w:rsidRPr="004556D4">
        <w:t>re-vaccination HAI titre</w:t>
      </w:r>
      <w:r w:rsidR="005C24D9">
        <w:t xml:space="preserve"> </w:t>
      </w:r>
      <w:r w:rsidR="0033578E" w:rsidRPr="004556D4">
        <w:t>&lt;</w:t>
      </w:r>
      <w:r w:rsidR="005C24D9">
        <w:t xml:space="preserve"> </w:t>
      </w:r>
      <w:r w:rsidR="0033578E" w:rsidRPr="004556D4">
        <w:t xml:space="preserve">1:10 and a post-vaccination titre </w:t>
      </w:r>
      <w:r w:rsidR="006A3980">
        <w:t xml:space="preserve">&gt; </w:t>
      </w:r>
      <w:r w:rsidR="0033578E" w:rsidRPr="004556D4">
        <w:t>1:40</w:t>
      </w:r>
      <w:r w:rsidR="005C24D9">
        <w:t>;</w:t>
      </w:r>
      <w:r w:rsidR="0033578E" w:rsidRPr="004556D4">
        <w:t xml:space="preserve"> or</w:t>
      </w:r>
    </w:p>
    <w:p w14:paraId="1D8330A6" w14:textId="7CA116A6" w:rsidR="0033578E" w:rsidRPr="004556D4" w:rsidRDefault="0033578E" w:rsidP="00834306">
      <w:pPr>
        <w:pStyle w:val="Numberbullet0"/>
      </w:pPr>
      <w:r w:rsidRPr="004556D4">
        <w:t>Pre-vaccination HAI titre</w:t>
      </w:r>
      <w:r w:rsidR="005C24D9">
        <w:t xml:space="preserve"> </w:t>
      </w:r>
      <w:r w:rsidR="00F91A35">
        <w:t xml:space="preserve">≥ </w:t>
      </w:r>
      <w:r w:rsidRPr="004556D4">
        <w:t>1:10 and a minimum four-fold increase in titre post vaccination.</w:t>
      </w:r>
    </w:p>
    <w:p w14:paraId="4CEE0667" w14:textId="5EE90900" w:rsidR="0033578E" w:rsidRPr="004556D4" w:rsidRDefault="0033578E" w:rsidP="00570789">
      <w:r w:rsidRPr="004556D4">
        <w:t xml:space="preserve">The validated Flu HAI was performed by </w:t>
      </w:r>
      <w:r w:rsidR="00834306">
        <w:t>[information redacted]</w:t>
      </w:r>
      <w:r w:rsidRPr="00834306">
        <w:t xml:space="preserve">, after assay transfer from </w:t>
      </w:r>
      <w:r w:rsidR="00834306" w:rsidRPr="00834306">
        <w:t>sponsor laboratories</w:t>
      </w:r>
      <w:r w:rsidRPr="00834306">
        <w:t>.</w:t>
      </w:r>
    </w:p>
    <w:p w14:paraId="62787CCD" w14:textId="77777777" w:rsidR="0033578E" w:rsidRPr="00051F30" w:rsidRDefault="0033578E" w:rsidP="00570789">
      <w:pPr>
        <w:pStyle w:val="Heading5"/>
      </w:pPr>
      <w:r w:rsidRPr="00051F30">
        <w:t>Randomisation and blinding methods</w:t>
      </w:r>
    </w:p>
    <w:p w14:paraId="4358A714" w14:textId="314A5249" w:rsidR="0033578E" w:rsidRPr="00051F30" w:rsidRDefault="0033578E" w:rsidP="00570789">
      <w:r w:rsidRPr="00051F30">
        <w:t>Subjects were individually randomised to treatment through a central system for allocating an 8</w:t>
      </w:r>
      <w:r w:rsidRPr="00051F30">
        <w:noBreakHyphen/>
        <w:t>digit trial identification number at enrolment. Treatments were physically indistinguishable 0.5</w:t>
      </w:r>
      <w:r w:rsidR="0024178D">
        <w:t> </w:t>
      </w:r>
      <w:r w:rsidRPr="00051F30">
        <w:t>mL syringes dispatched to study sites, the contents of which were not known to local investigators.</w:t>
      </w:r>
    </w:p>
    <w:p w14:paraId="3B0E859B" w14:textId="77777777" w:rsidR="0033578E" w:rsidRPr="00051F30" w:rsidRDefault="0033578E" w:rsidP="00570789">
      <w:pPr>
        <w:pStyle w:val="Heading5"/>
      </w:pPr>
      <w:r w:rsidRPr="00051F30">
        <w:t>Analysis populations</w:t>
      </w:r>
    </w:p>
    <w:p w14:paraId="37284EE5" w14:textId="77777777" w:rsidR="0033578E" w:rsidRPr="00051F30" w:rsidRDefault="0033578E" w:rsidP="0033578E">
      <w:pPr>
        <w:autoSpaceDE w:val="0"/>
        <w:autoSpaceDN w:val="0"/>
        <w:adjustRightInd w:val="0"/>
        <w:rPr>
          <w:rFonts w:cs="Arial"/>
        </w:rPr>
      </w:pPr>
      <w:r w:rsidRPr="00051F30">
        <w:rPr>
          <w:rFonts w:cs="Arial"/>
        </w:rPr>
        <w:t>Analyses were performed on Full Analysis Set (FAS) and Per-Protocol (PP) populations.</w:t>
      </w:r>
    </w:p>
    <w:p w14:paraId="20677AE3" w14:textId="77777777" w:rsidR="0033578E" w:rsidRPr="00051F30" w:rsidRDefault="0033578E" w:rsidP="0033578E">
      <w:pPr>
        <w:autoSpaceDE w:val="0"/>
        <w:autoSpaceDN w:val="0"/>
        <w:adjustRightInd w:val="0"/>
        <w:rPr>
          <w:rFonts w:cs="Arial"/>
        </w:rPr>
      </w:pPr>
      <w:r w:rsidRPr="00051F30">
        <w:rPr>
          <w:rFonts w:cs="Arial"/>
        </w:rPr>
        <w:t>The FAS population included all subjects who received vaccine and provided at least one post-vaccination assessment.</w:t>
      </w:r>
    </w:p>
    <w:p w14:paraId="3CE22C2F" w14:textId="77777777" w:rsidR="0033578E" w:rsidRPr="00051F30" w:rsidRDefault="0033578E" w:rsidP="0033578E">
      <w:pPr>
        <w:autoSpaceDE w:val="0"/>
        <w:autoSpaceDN w:val="0"/>
        <w:adjustRightInd w:val="0"/>
        <w:rPr>
          <w:rFonts w:cs="Arial"/>
        </w:rPr>
      </w:pPr>
      <w:r w:rsidRPr="00051F30">
        <w:rPr>
          <w:rFonts w:cs="Arial"/>
        </w:rPr>
        <w:t xml:space="preserve">The PP population included all subjects who satisfied the inclusion and exclusion criteria, received vaccine correctly according to randomisation, provided pre- and post- vaccination blood samples and completed </w:t>
      </w:r>
      <w:r w:rsidR="00570789">
        <w:rPr>
          <w:rFonts w:cs="Arial"/>
        </w:rPr>
        <w:t>V</w:t>
      </w:r>
      <w:r w:rsidRPr="00051F30">
        <w:rPr>
          <w:rFonts w:cs="Arial"/>
        </w:rPr>
        <w:t>isit 2 within the specified time.</w:t>
      </w:r>
    </w:p>
    <w:p w14:paraId="4BC5D91F" w14:textId="2D0B2309" w:rsidR="0033578E" w:rsidRPr="00051F30" w:rsidRDefault="0033578E" w:rsidP="0033578E">
      <w:pPr>
        <w:autoSpaceDE w:val="0"/>
        <w:autoSpaceDN w:val="0"/>
        <w:adjustRightInd w:val="0"/>
        <w:rPr>
          <w:rFonts w:cs="Arial"/>
        </w:rPr>
      </w:pPr>
      <w:r w:rsidRPr="00051F30">
        <w:rPr>
          <w:rFonts w:cs="Arial"/>
        </w:rPr>
        <w:t>Safety analysis was performed on the FAS population according to the vaccine actually received.</w:t>
      </w:r>
    </w:p>
    <w:p w14:paraId="00275022" w14:textId="77777777" w:rsidR="0033578E" w:rsidRPr="00051F30" w:rsidDel="0081373E" w:rsidRDefault="0033578E" w:rsidP="00570789">
      <w:pPr>
        <w:pStyle w:val="Heading5"/>
      </w:pPr>
      <w:r w:rsidRPr="00051F30" w:rsidDel="0081373E">
        <w:t>Sample size</w:t>
      </w:r>
    </w:p>
    <w:p w14:paraId="7F39E1F8" w14:textId="40AA2755" w:rsidR="0033578E" w:rsidRPr="00051F30" w:rsidRDefault="0033578E" w:rsidP="0033578E">
      <w:pPr>
        <w:autoSpaceDE w:val="0"/>
        <w:autoSpaceDN w:val="0"/>
        <w:adjustRightInd w:val="0"/>
        <w:rPr>
          <w:rFonts w:cs="Arial"/>
        </w:rPr>
      </w:pPr>
      <w:r w:rsidRPr="00051F30">
        <w:rPr>
          <w:rFonts w:cs="Arial"/>
        </w:rPr>
        <w:t>2</w:t>
      </w:r>
      <w:r w:rsidR="0024178D">
        <w:rPr>
          <w:rFonts w:cs="Arial"/>
        </w:rPr>
        <w:t>,</w:t>
      </w:r>
      <w:r w:rsidRPr="00051F30">
        <w:rPr>
          <w:rFonts w:cs="Arial"/>
        </w:rPr>
        <w:t xml:space="preserve">588 subjects received </w:t>
      </w:r>
      <w:r w:rsidR="00CD0E09">
        <w:rPr>
          <w:rFonts w:cs="Arial"/>
        </w:rPr>
        <w:t>Fluzone High-Dose</w:t>
      </w:r>
      <w:r w:rsidRPr="00051F30">
        <w:rPr>
          <w:rFonts w:cs="Arial"/>
        </w:rPr>
        <w:t xml:space="preserve"> (n</w:t>
      </w:r>
      <w:r w:rsidR="0024178D">
        <w:rPr>
          <w:rFonts w:cs="Arial"/>
        </w:rPr>
        <w:t xml:space="preserve"> </w:t>
      </w:r>
      <w:r w:rsidRPr="00051F30">
        <w:rPr>
          <w:rFonts w:cs="Arial"/>
        </w:rPr>
        <w:t>=</w:t>
      </w:r>
      <w:r w:rsidR="0024178D">
        <w:rPr>
          <w:rFonts w:cs="Arial"/>
        </w:rPr>
        <w:t xml:space="preserve"> </w:t>
      </w:r>
      <w:r w:rsidRPr="00051F30">
        <w:rPr>
          <w:rFonts w:cs="Arial"/>
        </w:rPr>
        <w:t xml:space="preserve">859, 866 and 863) for </w:t>
      </w:r>
      <w:r w:rsidR="00570789">
        <w:rPr>
          <w:rFonts w:cs="Arial"/>
        </w:rPr>
        <w:t>B</w:t>
      </w:r>
      <w:r w:rsidRPr="00051F30">
        <w:rPr>
          <w:rFonts w:cs="Arial"/>
        </w:rPr>
        <w:t>atch 1, 2 and 3 respectively. 1288 subjects received Fluzone.</w:t>
      </w:r>
    </w:p>
    <w:p w14:paraId="6A9EDB15" w14:textId="77777777" w:rsidR="0033578E" w:rsidRPr="00051F30" w:rsidRDefault="0033578E" w:rsidP="0033578E">
      <w:pPr>
        <w:autoSpaceDE w:val="0"/>
        <w:autoSpaceDN w:val="0"/>
        <w:adjustRightInd w:val="0"/>
        <w:rPr>
          <w:rFonts w:cs="Arial"/>
        </w:rPr>
      </w:pPr>
      <w:r w:rsidRPr="00051F30">
        <w:rPr>
          <w:rFonts w:cs="Arial"/>
        </w:rPr>
        <w:t xml:space="preserve">The sample size calculations were based on the primary endpoint. This indicated that 822 subjects would be required to receive each batch of vaccine to achieve a </w:t>
      </w:r>
      <w:r w:rsidR="006A3980">
        <w:rPr>
          <w:rFonts w:cs="Arial"/>
        </w:rPr>
        <w:t xml:space="preserve">&gt; </w:t>
      </w:r>
      <w:r w:rsidRPr="00051F30">
        <w:rPr>
          <w:rFonts w:cs="Arial"/>
        </w:rPr>
        <w:t>99% power to detect consistency where each comparison between lots was tested at a 95% confidence level.</w:t>
      </w:r>
    </w:p>
    <w:p w14:paraId="6B47A3BF" w14:textId="77777777" w:rsidR="0033578E" w:rsidRPr="00051F30" w:rsidRDefault="0033578E" w:rsidP="00570789">
      <w:pPr>
        <w:pStyle w:val="Heading5"/>
      </w:pPr>
      <w:r w:rsidRPr="00051F30">
        <w:t>Statistical methods</w:t>
      </w:r>
    </w:p>
    <w:p w14:paraId="3661BE8A" w14:textId="3E24A88F" w:rsidR="0033578E" w:rsidRPr="00051F30" w:rsidRDefault="0033578E" w:rsidP="0033578E">
      <w:pPr>
        <w:rPr>
          <w:rFonts w:cs="Arial"/>
        </w:rPr>
      </w:pPr>
      <w:r w:rsidRPr="00051F30">
        <w:rPr>
          <w:rFonts w:cs="Arial"/>
        </w:rPr>
        <w:t xml:space="preserve">For the primary endpoint of lot consistency 95% confidence intervals were calculated for the ratios of GMT between the </w:t>
      </w:r>
      <w:r w:rsidR="00570789">
        <w:rPr>
          <w:rFonts w:cs="Arial"/>
        </w:rPr>
        <w:t>L</w:t>
      </w:r>
      <w:r w:rsidRPr="00051F30">
        <w:rPr>
          <w:rFonts w:cs="Arial"/>
        </w:rPr>
        <w:t>ots 1</w:t>
      </w:r>
      <w:r w:rsidR="0024178D">
        <w:rPr>
          <w:rFonts w:cs="Arial"/>
        </w:rPr>
        <w:t xml:space="preserve"> to </w:t>
      </w:r>
      <w:r w:rsidRPr="00051F30">
        <w:rPr>
          <w:rFonts w:cs="Arial"/>
        </w:rPr>
        <w:t>3; GMT1/GMT2, GMT1/GMT3, GMT2/GMT3. Consistency was demonstrated if the 95% confidence interval for each of these three tests was between 0.67 and 1.5.</w:t>
      </w:r>
    </w:p>
    <w:p w14:paraId="5ED77A30" w14:textId="416019E4" w:rsidR="0033578E" w:rsidRPr="00051F30" w:rsidRDefault="0033578E" w:rsidP="0033578E">
      <w:pPr>
        <w:rPr>
          <w:rFonts w:cs="Arial"/>
        </w:rPr>
      </w:pPr>
      <w:r w:rsidRPr="00051F30">
        <w:rPr>
          <w:rFonts w:cs="Arial"/>
        </w:rPr>
        <w:t xml:space="preserve">For the secondary endpoint of seroconversion the 95% confidence interval of the difference in the proportion of subjects achieving seroconversion on each treatment was calculated. Superiority was concluded if the 95% confidence interval of the difference was entirely outside </w:t>
      </w:r>
      <w:r w:rsidR="00F91A35">
        <w:rPr>
          <w:rFonts w:cs="Arial"/>
        </w:rPr>
        <w:t xml:space="preserve">≥ </w:t>
      </w:r>
      <w:r w:rsidRPr="00051F30">
        <w:rPr>
          <w:rFonts w:cs="Arial"/>
        </w:rPr>
        <w:t>10%</w:t>
      </w:r>
      <w:r w:rsidR="0024178D">
        <w:rPr>
          <w:rFonts w:cs="Arial"/>
        </w:rPr>
        <w:t>,</w:t>
      </w:r>
      <w:r w:rsidRPr="00051F30">
        <w:rPr>
          <w:rFonts w:cs="Arial"/>
        </w:rPr>
        <w:t xml:space="preserve"> </w:t>
      </w:r>
      <w:r w:rsidR="0024178D">
        <w:rPr>
          <w:rFonts w:cs="Arial"/>
        </w:rPr>
        <w:t>for example,</w:t>
      </w:r>
      <w:r w:rsidRPr="00051F30">
        <w:rPr>
          <w:rFonts w:cs="Arial"/>
        </w:rPr>
        <w:t xml:space="preserve"> a delta of 10% was specified.</w:t>
      </w:r>
    </w:p>
    <w:p w14:paraId="0B777D46" w14:textId="77777777" w:rsidR="0033578E" w:rsidRDefault="0033578E" w:rsidP="00570789">
      <w:pPr>
        <w:pStyle w:val="Heading5"/>
      </w:pPr>
      <w:r w:rsidRPr="00051F30">
        <w:t>Participant flow</w:t>
      </w:r>
    </w:p>
    <w:p w14:paraId="020DA73F" w14:textId="77777777" w:rsidR="00570789" w:rsidRPr="00570789" w:rsidRDefault="00570789" w:rsidP="00570789">
      <w:r w:rsidRPr="00BB7E93">
        <w:t>Participant flow in Study FIM05</w:t>
      </w:r>
      <w:r>
        <w:t xml:space="preserve"> is shown in Table 4 below.</w:t>
      </w:r>
    </w:p>
    <w:p w14:paraId="60D5D3EE" w14:textId="77777777" w:rsidR="00570789" w:rsidRDefault="00570789" w:rsidP="00570789">
      <w:pPr>
        <w:pStyle w:val="Tabletitle"/>
      </w:pPr>
      <w:r>
        <w:lastRenderedPageBreak/>
        <w:t>Table 4: Participant flow</w:t>
      </w:r>
    </w:p>
    <w:p w14:paraId="06304C93" w14:textId="77777777" w:rsidR="00570789" w:rsidRPr="00570789" w:rsidRDefault="00570789" w:rsidP="00570789">
      <w:r>
        <w:rPr>
          <w:noProof/>
          <w:lang w:eastAsia="en-AU"/>
        </w:rPr>
        <w:drawing>
          <wp:inline distT="0" distB="0" distL="0" distR="0" wp14:anchorId="2EB61E4E" wp14:editId="77C72E36">
            <wp:extent cx="5478848" cy="4059382"/>
            <wp:effectExtent l="0" t="0" r="7620" b="0"/>
            <wp:docPr id="23" name="Picture 23" descr="Participant flow in Study FIM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tretch>
                      <a:fillRect/>
                    </a:stretch>
                  </pic:blipFill>
                  <pic:spPr>
                    <a:xfrm>
                      <a:off x="0" y="0"/>
                      <a:ext cx="5479061" cy="4059540"/>
                    </a:xfrm>
                    <a:prstGeom prst="rect">
                      <a:avLst/>
                    </a:prstGeom>
                  </pic:spPr>
                </pic:pic>
              </a:graphicData>
            </a:graphic>
          </wp:inline>
        </w:drawing>
      </w:r>
    </w:p>
    <w:p w14:paraId="05F6583B" w14:textId="1F4F9F20" w:rsidR="0033578E" w:rsidRPr="00051F30" w:rsidRDefault="0033578E" w:rsidP="00570789">
      <w:r w:rsidRPr="00051F30">
        <w:t xml:space="preserve">There were low rates of discontinuation or loss-to-follow-up in </w:t>
      </w:r>
      <w:r w:rsidR="0024178D">
        <w:t xml:space="preserve">Study </w:t>
      </w:r>
      <w:r w:rsidRPr="00051F30">
        <w:t xml:space="preserve">FIM05 with </w:t>
      </w:r>
      <w:r w:rsidR="006A3980">
        <w:t xml:space="preserve">&gt; </w:t>
      </w:r>
      <w:r w:rsidRPr="00051F30">
        <w:t>98% of participants in each treatment arm and batch cohort completing the trial.</w:t>
      </w:r>
    </w:p>
    <w:p w14:paraId="56A38515" w14:textId="77777777" w:rsidR="0033578E" w:rsidRPr="00051F30" w:rsidRDefault="0033578E" w:rsidP="00834306">
      <w:pPr>
        <w:pStyle w:val="Heading5"/>
      </w:pPr>
      <w:r w:rsidRPr="00051F30">
        <w:t>Major protocol violations/deviations</w:t>
      </w:r>
    </w:p>
    <w:p w14:paraId="5A355291" w14:textId="77777777" w:rsidR="0033578E" w:rsidRPr="00051F30" w:rsidRDefault="0033578E" w:rsidP="0033578E">
      <w:pPr>
        <w:rPr>
          <w:rFonts w:cs="Arial"/>
        </w:rPr>
      </w:pPr>
      <w:r w:rsidRPr="00051F30">
        <w:rPr>
          <w:rFonts w:cs="Arial"/>
        </w:rPr>
        <w:t xml:space="preserve">Sixteen subjects across ten sites were incorrectly randomised and did not receive their assigned treatment. In these cases the vaccine the subject actually received was recorded and they were included in the FAS analysis. </w:t>
      </w:r>
    </w:p>
    <w:p w14:paraId="4AAD59A5" w14:textId="77777777" w:rsidR="0033578E" w:rsidRPr="00051F30" w:rsidRDefault="0033578E" w:rsidP="0033578E">
      <w:pPr>
        <w:rPr>
          <w:rFonts w:cs="Arial"/>
        </w:rPr>
      </w:pPr>
      <w:r w:rsidRPr="00051F30">
        <w:rPr>
          <w:rFonts w:cs="Arial"/>
        </w:rPr>
        <w:t>For 25 subjects the vaccine the subject received was not recorded. These subjects were excluded from the FAS analysis for efficacy.</w:t>
      </w:r>
    </w:p>
    <w:p w14:paraId="7754E807" w14:textId="77777777" w:rsidR="0033578E" w:rsidRPr="00051F30" w:rsidRDefault="0033578E" w:rsidP="00570789">
      <w:pPr>
        <w:pStyle w:val="Heading5"/>
      </w:pPr>
      <w:r w:rsidRPr="00051F30">
        <w:t>Baseline data</w:t>
      </w:r>
    </w:p>
    <w:p w14:paraId="0F5653A0" w14:textId="4C984326" w:rsidR="0033578E" w:rsidRPr="00051F30" w:rsidRDefault="0033578E" w:rsidP="0033578E">
      <w:pPr>
        <w:autoSpaceDE w:val="0"/>
        <w:autoSpaceDN w:val="0"/>
        <w:adjustRightInd w:val="0"/>
        <w:rPr>
          <w:rFonts w:cs="Arial"/>
        </w:rPr>
      </w:pPr>
      <w:r w:rsidRPr="00051F30">
        <w:rPr>
          <w:rFonts w:cs="Arial"/>
        </w:rPr>
        <w:t xml:space="preserve">Subjects were well matched between treatment arms and </w:t>
      </w:r>
      <w:r w:rsidR="00CD0E09">
        <w:rPr>
          <w:rFonts w:cs="Arial"/>
        </w:rPr>
        <w:t>Fluzone High-Dose</w:t>
      </w:r>
      <w:r w:rsidRPr="00051F30">
        <w:rPr>
          <w:rFonts w:cs="Arial"/>
        </w:rPr>
        <w:t xml:space="preserve"> lots for age, sex and race. The average age of subjects in </w:t>
      </w:r>
      <w:r w:rsidR="0024178D">
        <w:rPr>
          <w:rFonts w:cs="Arial"/>
        </w:rPr>
        <w:t xml:space="preserve">Study </w:t>
      </w:r>
      <w:r w:rsidRPr="00051F30">
        <w:rPr>
          <w:rFonts w:cs="Arial"/>
        </w:rPr>
        <w:t xml:space="preserve">FIM05 was 72.9 years for both </w:t>
      </w:r>
      <w:r w:rsidR="00CD0E09">
        <w:rPr>
          <w:rFonts w:cs="Arial"/>
        </w:rPr>
        <w:t>Fluzone High-Dose</w:t>
      </w:r>
      <w:r w:rsidRPr="00051F30">
        <w:rPr>
          <w:rFonts w:cs="Arial"/>
        </w:rPr>
        <w:t xml:space="preserve"> and Fluzone treatment arms.</w:t>
      </w:r>
      <w:r w:rsidR="006A3980">
        <w:rPr>
          <w:rFonts w:cs="Arial"/>
        </w:rPr>
        <w:t xml:space="preserve"> </w:t>
      </w:r>
      <w:r w:rsidRPr="00051F30">
        <w:rPr>
          <w:rFonts w:cs="Arial"/>
        </w:rPr>
        <w:t xml:space="preserve">The majority of subjects had received vaccination in the previous year (2005); 82.3% in the </w:t>
      </w:r>
      <w:r w:rsidR="00CD0E09">
        <w:rPr>
          <w:rFonts w:cs="Arial"/>
        </w:rPr>
        <w:t>Fluzone High-Dose</w:t>
      </w:r>
      <w:r w:rsidRPr="00051F30">
        <w:rPr>
          <w:rFonts w:cs="Arial"/>
        </w:rPr>
        <w:t xml:space="preserve"> and 82.1% in the Fluzone treatment groups.</w:t>
      </w:r>
    </w:p>
    <w:p w14:paraId="7DD2D6FF" w14:textId="77777777" w:rsidR="0033578E" w:rsidRDefault="0033578E" w:rsidP="00570789">
      <w:pPr>
        <w:pStyle w:val="Heading5"/>
      </w:pPr>
      <w:r w:rsidRPr="00051F30">
        <w:t>Results for the primary efficacy outcome</w:t>
      </w:r>
    </w:p>
    <w:p w14:paraId="1C8EE57B" w14:textId="77777777" w:rsidR="00570789" w:rsidRPr="00570789" w:rsidRDefault="00570789" w:rsidP="00570789">
      <w:r>
        <w:t>Lot consistency is shown in Table 5 below.</w:t>
      </w:r>
    </w:p>
    <w:p w14:paraId="31066871" w14:textId="77777777" w:rsidR="00570789" w:rsidRPr="00051F30" w:rsidRDefault="00570789" w:rsidP="009B3A29">
      <w:pPr>
        <w:pStyle w:val="Tabletitle"/>
      </w:pPr>
      <w:bookmarkStart w:id="63" w:name="_Toc370576200"/>
      <w:r>
        <w:lastRenderedPageBreak/>
        <w:t xml:space="preserve">Table </w:t>
      </w:r>
      <w:r w:rsidR="001459F5">
        <w:t>5</w:t>
      </w:r>
      <w:r w:rsidRPr="00051F30">
        <w:t xml:space="preserve">: GMT ratios for comparisons between Lots 1, 2 and 3 of </w:t>
      </w:r>
      <w:r>
        <w:t>Fluzone High-Dose</w:t>
      </w:r>
      <w:r w:rsidRPr="00051F30">
        <w:t xml:space="preserve"> in </w:t>
      </w:r>
      <w:r>
        <w:t>Study FI</w:t>
      </w:r>
      <w:r w:rsidRPr="00051F30">
        <w:t>M05</w:t>
      </w:r>
      <w:bookmarkEnd w:id="63"/>
    </w:p>
    <w:p w14:paraId="5DE178D6" w14:textId="77777777" w:rsidR="0033578E" w:rsidRPr="00051F30" w:rsidRDefault="0033578E" w:rsidP="0033578E">
      <w:pPr>
        <w:rPr>
          <w:rFonts w:cs="Arial"/>
          <w:b/>
        </w:rPr>
      </w:pPr>
      <w:r w:rsidRPr="00051F30">
        <w:rPr>
          <w:rFonts w:cs="Arial"/>
          <w:b/>
          <w:noProof/>
          <w:bdr w:val="single" w:sz="4" w:space="0" w:color="auto"/>
          <w:lang w:eastAsia="en-AU"/>
        </w:rPr>
        <w:drawing>
          <wp:inline distT="0" distB="0" distL="0" distR="0" wp14:anchorId="187278FB" wp14:editId="33EDDFD6">
            <wp:extent cx="5954049" cy="1584431"/>
            <wp:effectExtent l="0" t="0" r="8890" b="0"/>
            <wp:docPr id="8" name="Picture 2" descr="GMT ratios for comparisons between Lots 1, 2 and 3 of Fluzone High-Dose in Study F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grayscl/>
                      <a:lum bright="-20000" contrast="40000"/>
                    </a:blip>
                    <a:srcRect t="2512" r="1988" b="4138"/>
                    <a:stretch/>
                  </pic:blipFill>
                  <pic:spPr bwMode="auto">
                    <a:xfrm>
                      <a:off x="0" y="0"/>
                      <a:ext cx="5955830" cy="1584905"/>
                    </a:xfrm>
                    <a:prstGeom prst="rect">
                      <a:avLst/>
                    </a:prstGeom>
                    <a:noFill/>
                    <a:ln>
                      <a:noFill/>
                    </a:ln>
                    <a:extLst>
                      <a:ext uri="{53640926-AAD7-44D8-BBD7-CCE9431645EC}">
                        <a14:shadowObscured xmlns:a14="http://schemas.microsoft.com/office/drawing/2010/main"/>
                      </a:ext>
                    </a:extLst>
                  </pic:spPr>
                </pic:pic>
              </a:graphicData>
            </a:graphic>
          </wp:inline>
        </w:drawing>
      </w:r>
    </w:p>
    <w:p w14:paraId="2DE59604" w14:textId="77777777" w:rsidR="0033578E" w:rsidRPr="00051F30" w:rsidRDefault="0033578E" w:rsidP="0033578E">
      <w:pPr>
        <w:rPr>
          <w:rFonts w:cs="Arial"/>
        </w:rPr>
      </w:pPr>
      <w:r w:rsidRPr="00051F30">
        <w:rPr>
          <w:rFonts w:cs="Arial"/>
        </w:rPr>
        <w:t xml:space="preserve">The 95% confidence interval of the difference in GMT for HAI antibodies between the three lots of </w:t>
      </w:r>
      <w:r w:rsidR="00CD0E09">
        <w:rPr>
          <w:rFonts w:cs="Arial"/>
        </w:rPr>
        <w:t>Fluzone High-Dose</w:t>
      </w:r>
      <w:r w:rsidRPr="00051F30">
        <w:rPr>
          <w:rFonts w:cs="Arial"/>
        </w:rPr>
        <w:t xml:space="preserve"> used in FIM05 was between 0.67 and 1.5 for all comparisons. This met the predefined criteria for equivalence between the lots. The ratios for GMT values between lots observed were between 0.94 comparing lot1/lot2 for H1N1 antibodies, and 1.04 for comparing lot2/lot3 for H3N2 antibodies. </w:t>
      </w:r>
    </w:p>
    <w:p w14:paraId="5BB8DCFC" w14:textId="77777777" w:rsidR="0033578E" w:rsidRPr="00051F30" w:rsidRDefault="0033578E" w:rsidP="009B3A29">
      <w:pPr>
        <w:pStyle w:val="Heading5"/>
      </w:pPr>
      <w:r w:rsidRPr="00051F30">
        <w:t>Results for other efficacy outcomes</w:t>
      </w:r>
    </w:p>
    <w:p w14:paraId="5E029EF7" w14:textId="77777777" w:rsidR="0033578E" w:rsidRDefault="0033578E" w:rsidP="009B3A29">
      <w:r w:rsidRPr="00051F30">
        <w:t xml:space="preserve">Seroconversion rates in </w:t>
      </w:r>
      <w:r w:rsidR="00CD0E09">
        <w:t>Fluzone High-Dose</w:t>
      </w:r>
      <w:r w:rsidRPr="00051F30">
        <w:t xml:space="preserve"> and Fluzone treated subjects</w:t>
      </w:r>
      <w:r w:rsidR="009B3A29">
        <w:t xml:space="preserve"> are summarised below.</w:t>
      </w:r>
    </w:p>
    <w:p w14:paraId="25994765" w14:textId="77777777" w:rsidR="009B3A29" w:rsidRPr="00051F30" w:rsidRDefault="009B3A29" w:rsidP="009B3A29">
      <w:pPr>
        <w:pStyle w:val="Tabletitle"/>
        <w:rPr>
          <w:rFonts w:cs="Arial"/>
        </w:rPr>
      </w:pPr>
      <w:bookmarkStart w:id="64" w:name="_Toc370576201"/>
      <w:r>
        <w:t xml:space="preserve">Table </w:t>
      </w:r>
      <w:r w:rsidR="001459F5">
        <w:t>6</w:t>
      </w:r>
      <w:r w:rsidRPr="00051F30">
        <w:t xml:space="preserve">: Comparison of seroconversion rates in </w:t>
      </w:r>
      <w:r>
        <w:t>Fluzone High-Dose</w:t>
      </w:r>
      <w:r w:rsidRPr="00051F30">
        <w:t xml:space="preserve"> and Fluzone treated subjects</w:t>
      </w:r>
      <w:bookmarkEnd w:id="64"/>
    </w:p>
    <w:p w14:paraId="0454A31F" w14:textId="77777777" w:rsidR="0033578E" w:rsidRPr="00051F30" w:rsidRDefault="0033578E" w:rsidP="0033578E">
      <w:pPr>
        <w:rPr>
          <w:rFonts w:cs="Arial"/>
          <w:b/>
        </w:rPr>
      </w:pPr>
      <w:r w:rsidRPr="00051F30">
        <w:rPr>
          <w:rFonts w:cs="Arial"/>
          <w:b/>
          <w:noProof/>
          <w:bdr w:val="single" w:sz="4" w:space="0" w:color="auto"/>
          <w:lang w:eastAsia="en-AU"/>
        </w:rPr>
        <w:drawing>
          <wp:inline distT="0" distB="0" distL="0" distR="0" wp14:anchorId="34EA1D59" wp14:editId="15F01B4A">
            <wp:extent cx="5807933" cy="1918325"/>
            <wp:effectExtent l="0" t="0" r="2540" b="6350"/>
            <wp:docPr id="11" name="Picture 3" descr="Comparison of seroconversion rates in Fluzone High-Dose and Fluzone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grayscl/>
                      <a:lum bright="-20000" contrast="40000"/>
                    </a:blip>
                    <a:srcRect/>
                    <a:stretch>
                      <a:fillRect/>
                    </a:stretch>
                  </pic:blipFill>
                  <pic:spPr bwMode="auto">
                    <a:xfrm>
                      <a:off x="0" y="0"/>
                      <a:ext cx="5850321" cy="1932326"/>
                    </a:xfrm>
                    <a:prstGeom prst="rect">
                      <a:avLst/>
                    </a:prstGeom>
                    <a:noFill/>
                    <a:ln w="9525">
                      <a:noFill/>
                      <a:miter lim="800000"/>
                      <a:headEnd/>
                      <a:tailEnd/>
                    </a:ln>
                  </pic:spPr>
                </pic:pic>
              </a:graphicData>
            </a:graphic>
          </wp:inline>
        </w:drawing>
      </w:r>
    </w:p>
    <w:p w14:paraId="3E027CEE" w14:textId="77777777" w:rsidR="0033578E" w:rsidRPr="00051F30" w:rsidRDefault="0033578E" w:rsidP="0033578E">
      <w:pPr>
        <w:rPr>
          <w:rFonts w:cs="Arial"/>
        </w:rPr>
      </w:pPr>
      <w:r w:rsidRPr="00051F30">
        <w:rPr>
          <w:rFonts w:cs="Arial"/>
        </w:rPr>
        <w:t xml:space="preserve">Subjects who received </w:t>
      </w:r>
      <w:r w:rsidR="00CD0E09">
        <w:rPr>
          <w:rFonts w:cs="Arial"/>
        </w:rPr>
        <w:t>Fluzone High-Dose</w:t>
      </w:r>
      <w:r w:rsidRPr="00051F30">
        <w:rPr>
          <w:rFonts w:cs="Arial"/>
        </w:rPr>
        <w:t xml:space="preserve"> achieved a significantly higher rate of seroconversion than those receiving Fluzone, the margin of superiority being 25.42%, 18.38% and 11.18% for the H1N1, H3N2 and B components of the vaccine respectively.</w:t>
      </w:r>
    </w:p>
    <w:p w14:paraId="007F97CC" w14:textId="77777777" w:rsidR="0033578E" w:rsidRDefault="0033578E" w:rsidP="009B3A29">
      <w:r w:rsidRPr="00051F30">
        <w:t xml:space="preserve">GMT ratios in </w:t>
      </w:r>
      <w:r w:rsidR="00CD0E09">
        <w:t>Fluzone High-Dose</w:t>
      </w:r>
      <w:r w:rsidRPr="00051F30">
        <w:t xml:space="preserve"> and Fluzone treated subjects</w:t>
      </w:r>
      <w:r w:rsidR="009B3A29">
        <w:t xml:space="preserve"> are detailed in Table </w:t>
      </w:r>
      <w:r w:rsidR="001459F5">
        <w:t>7</w:t>
      </w:r>
      <w:r w:rsidR="009B3A29">
        <w:t xml:space="preserve"> below.</w:t>
      </w:r>
    </w:p>
    <w:p w14:paraId="39EF1EB6" w14:textId="77777777" w:rsidR="009B3A29" w:rsidRPr="00051F30" w:rsidRDefault="009B3A29" w:rsidP="009B3A29">
      <w:pPr>
        <w:pStyle w:val="Tabletitle"/>
      </w:pPr>
      <w:bookmarkStart w:id="65" w:name="_Toc370576202"/>
      <w:r>
        <w:lastRenderedPageBreak/>
        <w:t xml:space="preserve">Table </w:t>
      </w:r>
      <w:r w:rsidR="001459F5">
        <w:t>7</w:t>
      </w:r>
      <w:r w:rsidRPr="00051F30">
        <w:t xml:space="preserve">: Comparative GMT for HAI antibodies in </w:t>
      </w:r>
      <w:r>
        <w:t>Fluzone High-Dose</w:t>
      </w:r>
      <w:r w:rsidRPr="00051F30">
        <w:t xml:space="preserve"> and Fluzone treated subjects</w:t>
      </w:r>
      <w:bookmarkEnd w:id="65"/>
    </w:p>
    <w:p w14:paraId="257A0F66" w14:textId="77777777" w:rsidR="0033578E" w:rsidRPr="00051F30" w:rsidRDefault="0033578E" w:rsidP="0033578E">
      <w:pPr>
        <w:autoSpaceDE w:val="0"/>
        <w:autoSpaceDN w:val="0"/>
        <w:adjustRightInd w:val="0"/>
        <w:rPr>
          <w:rFonts w:cs="Arial"/>
          <w:b/>
        </w:rPr>
      </w:pPr>
      <w:r w:rsidRPr="00051F30">
        <w:rPr>
          <w:rFonts w:cs="Arial"/>
          <w:b/>
          <w:noProof/>
          <w:bdr w:val="single" w:sz="4" w:space="0" w:color="auto"/>
          <w:lang w:eastAsia="en-AU"/>
        </w:rPr>
        <w:drawing>
          <wp:inline distT="0" distB="0" distL="0" distR="0" wp14:anchorId="59364997" wp14:editId="3753A353">
            <wp:extent cx="5314950" cy="1751026"/>
            <wp:effectExtent l="0" t="0" r="0" b="1905"/>
            <wp:docPr id="15" name="Picture 4" descr="Comparative GMT for HAI antibodies in Fluzone High-Dose and Fluzone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grayscl/>
                      <a:lum bright="-20000" contrast="40000"/>
                    </a:blip>
                    <a:srcRect/>
                    <a:stretch>
                      <a:fillRect/>
                    </a:stretch>
                  </pic:blipFill>
                  <pic:spPr bwMode="auto">
                    <a:xfrm>
                      <a:off x="0" y="0"/>
                      <a:ext cx="5316089" cy="1751401"/>
                    </a:xfrm>
                    <a:prstGeom prst="rect">
                      <a:avLst/>
                    </a:prstGeom>
                    <a:noFill/>
                    <a:ln w="9525">
                      <a:noFill/>
                      <a:miter lim="800000"/>
                      <a:headEnd/>
                      <a:tailEnd/>
                    </a:ln>
                  </pic:spPr>
                </pic:pic>
              </a:graphicData>
            </a:graphic>
          </wp:inline>
        </w:drawing>
      </w:r>
    </w:p>
    <w:p w14:paraId="56AD94D8" w14:textId="726DC647" w:rsidR="0033578E" w:rsidRPr="00051F30" w:rsidRDefault="0033578E" w:rsidP="0033578E">
      <w:pPr>
        <w:autoSpaceDE w:val="0"/>
        <w:autoSpaceDN w:val="0"/>
        <w:adjustRightInd w:val="0"/>
        <w:rPr>
          <w:rFonts w:cs="Arial"/>
        </w:rPr>
      </w:pPr>
      <w:r w:rsidRPr="00051F30">
        <w:rPr>
          <w:rFonts w:cs="Arial"/>
        </w:rPr>
        <w:t xml:space="preserve">Subjects who received </w:t>
      </w:r>
      <w:r w:rsidR="00CD0E09">
        <w:rPr>
          <w:rFonts w:cs="Arial"/>
        </w:rPr>
        <w:t>Fluzone High-Dose</w:t>
      </w:r>
      <w:r w:rsidRPr="00051F30">
        <w:rPr>
          <w:rFonts w:cs="Arial"/>
        </w:rPr>
        <w:t xml:space="preserve"> had significantly higher GMT titres for HAI antibodies than those who received Fluzone.</w:t>
      </w:r>
    </w:p>
    <w:p w14:paraId="5C3405AC" w14:textId="77777777" w:rsidR="0033578E" w:rsidRDefault="0033578E" w:rsidP="0033578E">
      <w:pPr>
        <w:autoSpaceDE w:val="0"/>
        <w:autoSpaceDN w:val="0"/>
        <w:adjustRightInd w:val="0"/>
        <w:rPr>
          <w:rFonts w:cs="Arial"/>
        </w:rPr>
      </w:pPr>
      <w:r w:rsidRPr="00051F30">
        <w:rPr>
          <w:rFonts w:cs="Arial"/>
        </w:rPr>
        <w:t xml:space="preserve">Reverse cumulative plots of HAI antibody titre are provided in </w:t>
      </w:r>
      <w:r w:rsidR="009F764D">
        <w:rPr>
          <w:rFonts w:cs="Arial"/>
        </w:rPr>
        <w:t>Figure 1</w:t>
      </w:r>
      <w:r w:rsidRPr="00051F30">
        <w:rPr>
          <w:rFonts w:cs="Arial"/>
        </w:rPr>
        <w:t xml:space="preserve">. These indicate that the pre-vaccination titres of HAI antibodies were similar between the </w:t>
      </w:r>
      <w:r w:rsidR="00CD0E09">
        <w:rPr>
          <w:rFonts w:cs="Arial"/>
        </w:rPr>
        <w:t>Fluzone High-Dose</w:t>
      </w:r>
      <w:r w:rsidRPr="00051F30">
        <w:rPr>
          <w:rFonts w:cs="Arial"/>
        </w:rPr>
        <w:t xml:space="preserve"> and Fluzone subjects.</w:t>
      </w:r>
    </w:p>
    <w:p w14:paraId="52CA8434" w14:textId="77777777" w:rsidR="009F764D" w:rsidRDefault="009F764D" w:rsidP="009F764D">
      <w:pPr>
        <w:pStyle w:val="FigureTitle"/>
        <w:keepNext/>
      </w:pPr>
      <w:r>
        <w:lastRenderedPageBreak/>
        <w:t>Figure 1</w:t>
      </w:r>
      <w:r w:rsidRPr="00807BC0">
        <w:t>: Reverse cumulative distribution curves of antibody titres against H1N1, H3N2 and B vaccine strains 28 days post vaccination</w:t>
      </w:r>
    </w:p>
    <w:p w14:paraId="3E3EAE3C" w14:textId="77777777" w:rsidR="009F764D" w:rsidRPr="00807BC0" w:rsidRDefault="009F764D" w:rsidP="009F764D">
      <w:pPr>
        <w:rPr>
          <w:rFonts w:cs="Arial"/>
          <w:b/>
        </w:rPr>
      </w:pPr>
      <w:r>
        <w:rPr>
          <w:noProof/>
          <w:lang w:eastAsia="en-AU"/>
        </w:rPr>
        <w:drawing>
          <wp:inline distT="0" distB="0" distL="0" distR="0" wp14:anchorId="556B3624" wp14:editId="6F2C52EC">
            <wp:extent cx="4566285" cy="7492434"/>
            <wp:effectExtent l="0" t="0" r="5715" b="0"/>
            <wp:docPr id="34" name="Picture 34" descr="Reverse cumulative distribution curves of antibody titres against H1N1, H3N2 and B vaccine strains 28 days post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rcRect l="2585" b="986"/>
                    <a:stretch/>
                  </pic:blipFill>
                  <pic:spPr bwMode="auto">
                    <a:xfrm>
                      <a:off x="0" y="0"/>
                      <a:ext cx="4571540" cy="7501056"/>
                    </a:xfrm>
                    <a:prstGeom prst="rect">
                      <a:avLst/>
                    </a:prstGeom>
                    <a:ln>
                      <a:noFill/>
                    </a:ln>
                    <a:extLst>
                      <a:ext uri="{53640926-AAD7-44D8-BBD7-CCE9431645EC}">
                        <a14:shadowObscured xmlns:a14="http://schemas.microsoft.com/office/drawing/2010/main"/>
                      </a:ext>
                    </a:extLst>
                  </pic:spPr>
                </pic:pic>
              </a:graphicData>
            </a:graphic>
          </wp:inline>
        </w:drawing>
      </w:r>
    </w:p>
    <w:p w14:paraId="05AF0A7E" w14:textId="785C7E5C" w:rsidR="0033578E" w:rsidRPr="00051F30" w:rsidRDefault="0033578E" w:rsidP="0033578E">
      <w:pPr>
        <w:autoSpaceDE w:val="0"/>
        <w:autoSpaceDN w:val="0"/>
        <w:adjustRightInd w:val="0"/>
        <w:rPr>
          <w:rFonts w:cs="Arial"/>
        </w:rPr>
      </w:pPr>
      <w:r w:rsidRPr="00051F30">
        <w:rPr>
          <w:rFonts w:cs="Arial"/>
        </w:rPr>
        <w:t>Post</w:t>
      </w:r>
      <w:r w:rsidR="009F764D">
        <w:rPr>
          <w:rFonts w:cs="Arial"/>
        </w:rPr>
        <w:t xml:space="preserve"> </w:t>
      </w:r>
      <w:r w:rsidRPr="00051F30">
        <w:rPr>
          <w:rFonts w:cs="Arial"/>
        </w:rPr>
        <w:t xml:space="preserve">hoc analyses of GMT for HAI antibodies indicated slight differences in the ratio between </w:t>
      </w:r>
      <w:r w:rsidR="00CD0E09">
        <w:rPr>
          <w:rFonts w:cs="Arial"/>
        </w:rPr>
        <w:t>Fluzone High-Dose</w:t>
      </w:r>
      <w:r w:rsidRPr="00051F30">
        <w:rPr>
          <w:rFonts w:cs="Arial"/>
        </w:rPr>
        <w:t xml:space="preserve"> and Fluzone subjects when stratified for age (above or below 75 years), gender (male or female) or medical history (presence or absence of cardiac or respiratory disease). However, in these analyses GMT for HAI antibodies remained higher in the </w:t>
      </w:r>
      <w:r w:rsidR="00CD0E09">
        <w:rPr>
          <w:rFonts w:cs="Arial"/>
        </w:rPr>
        <w:t>Fluzone High-Dose</w:t>
      </w:r>
      <w:r w:rsidRPr="00051F30">
        <w:rPr>
          <w:rFonts w:cs="Arial"/>
        </w:rPr>
        <w:t xml:space="preserve"> than the Fluzone treated subjects for all strains of influenza virus.</w:t>
      </w:r>
    </w:p>
    <w:p w14:paraId="27323D52" w14:textId="77777777" w:rsidR="0033578E" w:rsidRPr="00051F30" w:rsidRDefault="0033578E" w:rsidP="009F764D">
      <w:pPr>
        <w:pStyle w:val="Heading6"/>
      </w:pPr>
      <w:r w:rsidRPr="00051F30">
        <w:lastRenderedPageBreak/>
        <w:t>Seroprotection</w:t>
      </w:r>
    </w:p>
    <w:p w14:paraId="4D673972" w14:textId="77777777" w:rsidR="0033578E" w:rsidRDefault="0033578E" w:rsidP="0033578E">
      <w:pPr>
        <w:autoSpaceDE w:val="0"/>
        <w:autoSpaceDN w:val="0"/>
        <w:adjustRightInd w:val="0"/>
        <w:rPr>
          <w:rFonts w:cs="Arial"/>
        </w:rPr>
      </w:pPr>
      <w:r w:rsidRPr="00051F30">
        <w:rPr>
          <w:rFonts w:cs="Arial"/>
        </w:rPr>
        <w:t>Seroprotection, def</w:t>
      </w:r>
      <w:r w:rsidR="009F764D">
        <w:rPr>
          <w:rFonts w:cs="Arial"/>
        </w:rPr>
        <w:t>ined by a HAI antibody titre of</w:t>
      </w:r>
      <w:r w:rsidRPr="00051F30">
        <w:rPr>
          <w:rFonts w:cs="Arial"/>
        </w:rPr>
        <w:t xml:space="preserve"> </w:t>
      </w:r>
      <w:r w:rsidR="00F91A35">
        <w:rPr>
          <w:rFonts w:cs="Arial"/>
        </w:rPr>
        <w:t>≥</w:t>
      </w:r>
      <w:r w:rsidR="009F764D">
        <w:rPr>
          <w:rFonts w:cs="Arial"/>
        </w:rPr>
        <w:t xml:space="preserve"> </w:t>
      </w:r>
      <w:r w:rsidRPr="00051F30">
        <w:rPr>
          <w:rFonts w:cs="Arial"/>
        </w:rPr>
        <w:t>1:40 was assessed post vaccination.</w:t>
      </w:r>
    </w:p>
    <w:p w14:paraId="0C13AF45" w14:textId="77777777" w:rsidR="009F764D" w:rsidRPr="00051F30" w:rsidRDefault="009F764D" w:rsidP="009F764D">
      <w:pPr>
        <w:pStyle w:val="Tabletitle"/>
      </w:pPr>
      <w:bookmarkStart w:id="66" w:name="_Toc370576203"/>
      <w:r>
        <w:t xml:space="preserve">Table </w:t>
      </w:r>
      <w:r w:rsidR="001459F5">
        <w:t>8</w:t>
      </w:r>
      <w:r w:rsidRPr="00051F30">
        <w:t xml:space="preserve">: Comparative rates of seroprotection in subjects treated with </w:t>
      </w:r>
      <w:r>
        <w:t>Fluzone High-Dose</w:t>
      </w:r>
      <w:r w:rsidRPr="00051F30">
        <w:t xml:space="preserve"> and Fluzone</w:t>
      </w:r>
      <w:bookmarkEnd w:id="66"/>
    </w:p>
    <w:p w14:paraId="6A37B046" w14:textId="77777777" w:rsidR="0033578E" w:rsidRPr="00051F30" w:rsidRDefault="0033578E" w:rsidP="009F764D">
      <w:r w:rsidRPr="00051F30">
        <w:rPr>
          <w:noProof/>
          <w:bdr w:val="single" w:sz="4" w:space="0" w:color="auto"/>
          <w:lang w:eastAsia="en-AU"/>
        </w:rPr>
        <w:drawing>
          <wp:inline distT="0" distB="0" distL="0" distR="0" wp14:anchorId="28B0EDCD" wp14:editId="30094D3C">
            <wp:extent cx="5796304" cy="1438275"/>
            <wp:effectExtent l="0" t="0" r="0" b="0"/>
            <wp:docPr id="19" name="Picture 1" descr="Comparative rates of seroprotection in subjects treated with Fluzone High-Dose and Flu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bright="-20000" contrast="40000"/>
                    </a:blip>
                    <a:srcRect/>
                    <a:stretch>
                      <a:fillRect/>
                    </a:stretch>
                  </pic:blipFill>
                  <pic:spPr bwMode="auto">
                    <a:xfrm>
                      <a:off x="0" y="0"/>
                      <a:ext cx="5800682" cy="1439361"/>
                    </a:xfrm>
                    <a:prstGeom prst="rect">
                      <a:avLst/>
                    </a:prstGeom>
                    <a:noFill/>
                    <a:ln w="9525">
                      <a:noFill/>
                      <a:miter lim="800000"/>
                      <a:headEnd/>
                      <a:tailEnd/>
                    </a:ln>
                  </pic:spPr>
                </pic:pic>
              </a:graphicData>
            </a:graphic>
          </wp:inline>
        </w:drawing>
      </w:r>
    </w:p>
    <w:p w14:paraId="75724ED5" w14:textId="77777777" w:rsidR="0033578E" w:rsidRDefault="0033578E" w:rsidP="0033578E">
      <w:pPr>
        <w:autoSpaceDE w:val="0"/>
        <w:autoSpaceDN w:val="0"/>
        <w:adjustRightInd w:val="0"/>
        <w:rPr>
          <w:rFonts w:cs="Arial"/>
        </w:rPr>
      </w:pPr>
      <w:r w:rsidRPr="00051F30">
        <w:rPr>
          <w:rFonts w:cs="Arial"/>
        </w:rPr>
        <w:t>This indicated that seroprotection was achieved in 89.9%</w:t>
      </w:r>
      <w:r w:rsidR="00F05C2C" w:rsidRPr="00051F30">
        <w:rPr>
          <w:rFonts w:cs="Arial"/>
        </w:rPr>
        <w:t>, 99.3</w:t>
      </w:r>
      <w:r w:rsidRPr="00051F30">
        <w:rPr>
          <w:rFonts w:cs="Arial"/>
        </w:rPr>
        <w:t>% and 79.3% of subjects against the H1N1, H3N2 and B components of the vaccine respectively. The difference was statistically significant for all three strains at a 95% confidence level, but small e.g. 2.81% for the H3H2 strain.</w:t>
      </w:r>
    </w:p>
    <w:p w14:paraId="3D4746AD" w14:textId="77777777" w:rsidR="0033578E" w:rsidRPr="00051F30" w:rsidRDefault="0033578E" w:rsidP="00AB4FA5">
      <w:pPr>
        <w:pStyle w:val="Heading4"/>
      </w:pPr>
      <w:r w:rsidRPr="00051F30">
        <w:t>Study FIM 12</w:t>
      </w:r>
    </w:p>
    <w:p w14:paraId="726F3A14" w14:textId="77777777" w:rsidR="0033578E" w:rsidRPr="00051F30" w:rsidRDefault="0033578E" w:rsidP="00AB4FA5">
      <w:pPr>
        <w:pStyle w:val="Heading5"/>
      </w:pPr>
      <w:r w:rsidRPr="00051F30">
        <w:t>Study design, objectives, locations and dates</w:t>
      </w:r>
    </w:p>
    <w:p w14:paraId="30140C4D" w14:textId="77777777" w:rsidR="0033578E" w:rsidRPr="00AB4FA5" w:rsidRDefault="0033578E" w:rsidP="00AB4FA5">
      <w:r w:rsidRPr="00AB4FA5">
        <w:t xml:space="preserve">Study FIM12 was a </w:t>
      </w:r>
      <w:r w:rsidR="00CD0E09" w:rsidRPr="00AB4FA5">
        <w:t>Phase III</w:t>
      </w:r>
      <w:r w:rsidRPr="00AB4FA5">
        <w:t xml:space="preserve"> study which compared the clinical efficacy of </w:t>
      </w:r>
      <w:r w:rsidR="00CD0E09" w:rsidRPr="00AB4FA5">
        <w:t>Fluzone High-Dose</w:t>
      </w:r>
      <w:r w:rsidRPr="00AB4FA5">
        <w:t xml:space="preserve"> and Fluzone in preventing influenza in patients </w:t>
      </w:r>
      <w:r w:rsidR="006A3980">
        <w:t xml:space="preserve">&gt; </w:t>
      </w:r>
      <w:r w:rsidRPr="00AB4FA5">
        <w:t xml:space="preserve">65 years of age over two consecutive seasons. 14,500 and 17,500 subjects were randomised 1:1 to receive either </w:t>
      </w:r>
      <w:r w:rsidR="00CD0E09" w:rsidRPr="00AB4FA5">
        <w:t>Fluzone High-Dose</w:t>
      </w:r>
      <w:r w:rsidRPr="00AB4FA5">
        <w:t xml:space="preserve"> or Fluzone in the first and second study years respectively. Vaccination of subjects was completed prior to 15 November in each study year to precede the onset of the peak of the northern respiratory virus season. </w:t>
      </w:r>
    </w:p>
    <w:p w14:paraId="0C28A358" w14:textId="59678237" w:rsidR="0033578E" w:rsidRPr="00051F30" w:rsidRDefault="0033578E" w:rsidP="0033578E">
      <w:pPr>
        <w:autoSpaceDE w:val="0"/>
        <w:autoSpaceDN w:val="0"/>
        <w:adjustRightInd w:val="0"/>
        <w:rPr>
          <w:rFonts w:cs="Arial"/>
        </w:rPr>
      </w:pPr>
      <w:r w:rsidRPr="00051F30">
        <w:rPr>
          <w:rFonts w:cs="Arial"/>
        </w:rPr>
        <w:t>Following vaccination subjects were followed through active and passive surveillance to 30 April the following year. Passive surveillance was implemented by subjects being instructed to contact the study site if they experienced defined symptoms of influenza. Active surveillance consisted of all subjects being contacted by a call centre once or twice per week until 30 April to ask if they had experienced any symptoms of respiratory illness. Twice</w:t>
      </w:r>
      <w:r w:rsidR="0024178D">
        <w:rPr>
          <w:rFonts w:cs="Arial"/>
        </w:rPr>
        <w:t xml:space="preserve"> </w:t>
      </w:r>
      <w:r w:rsidRPr="00051F30">
        <w:rPr>
          <w:rFonts w:cs="Arial"/>
        </w:rPr>
        <w:t>weekly calls were scheduled during the peak of the influenza season; January</w:t>
      </w:r>
      <w:r w:rsidR="0024178D">
        <w:rPr>
          <w:rFonts w:cs="Arial"/>
        </w:rPr>
        <w:t xml:space="preserve"> to </w:t>
      </w:r>
      <w:r w:rsidRPr="00051F30">
        <w:rPr>
          <w:rFonts w:cs="Arial"/>
        </w:rPr>
        <w:t>March (</w:t>
      </w:r>
      <w:r w:rsidR="00AB4FA5">
        <w:rPr>
          <w:rFonts w:cs="Arial"/>
        </w:rPr>
        <w:t>Y</w:t>
      </w:r>
      <w:r w:rsidRPr="00051F30">
        <w:rPr>
          <w:rFonts w:cs="Arial"/>
        </w:rPr>
        <w:t>ear 1) and January</w:t>
      </w:r>
      <w:r w:rsidR="0024178D">
        <w:rPr>
          <w:rFonts w:cs="Arial"/>
        </w:rPr>
        <w:t xml:space="preserve"> to </w:t>
      </w:r>
      <w:r w:rsidRPr="00051F30">
        <w:rPr>
          <w:rFonts w:cs="Arial"/>
        </w:rPr>
        <w:t>February (</w:t>
      </w:r>
      <w:r w:rsidR="00AB4FA5">
        <w:rPr>
          <w:rFonts w:cs="Arial"/>
        </w:rPr>
        <w:t>Y</w:t>
      </w:r>
      <w:r w:rsidRPr="00051F30">
        <w:rPr>
          <w:rFonts w:cs="Arial"/>
        </w:rPr>
        <w:t>ear 2)</w:t>
      </w:r>
      <w:r w:rsidR="0024178D">
        <w:rPr>
          <w:rFonts w:cs="Arial"/>
        </w:rPr>
        <w:t>.</w:t>
      </w:r>
    </w:p>
    <w:p w14:paraId="0E0F1162" w14:textId="77777777" w:rsidR="0033578E" w:rsidRPr="00051F30" w:rsidRDefault="0033578E" w:rsidP="0033578E">
      <w:pPr>
        <w:autoSpaceDE w:val="0"/>
        <w:autoSpaceDN w:val="0"/>
        <w:adjustRightInd w:val="0"/>
        <w:rPr>
          <w:rFonts w:cs="Arial"/>
        </w:rPr>
      </w:pPr>
      <w:r w:rsidRPr="00051F30">
        <w:rPr>
          <w:rFonts w:cs="Arial"/>
        </w:rPr>
        <w:t>Nasopharyngeal swabs were taken from subjects who reported illness for PCR confirmation of influenza. The study site also collected history regarding concomitant illness such as pneumonia, and systemic symptoms if illness. Subjects were followed for 30 days after reporting illness.</w:t>
      </w:r>
    </w:p>
    <w:p w14:paraId="731A88BB" w14:textId="1285E189" w:rsidR="0033578E" w:rsidRPr="00AB4FA5" w:rsidRDefault="0033578E" w:rsidP="0033578E">
      <w:pPr>
        <w:autoSpaceDE w:val="0"/>
        <w:autoSpaceDN w:val="0"/>
        <w:adjustRightInd w:val="0"/>
        <w:rPr>
          <w:rFonts w:cs="Arial"/>
        </w:rPr>
      </w:pPr>
      <w:r w:rsidRPr="00051F30">
        <w:rPr>
          <w:rFonts w:cs="Arial"/>
        </w:rPr>
        <w:t xml:space="preserve">Subjects who enrolled in </w:t>
      </w:r>
      <w:r w:rsidR="0024178D">
        <w:rPr>
          <w:rFonts w:cs="Arial"/>
        </w:rPr>
        <w:t>Year</w:t>
      </w:r>
      <w:r w:rsidR="0024178D" w:rsidRPr="00051F30">
        <w:rPr>
          <w:rFonts w:cs="Arial"/>
        </w:rPr>
        <w:t xml:space="preserve"> </w:t>
      </w:r>
      <w:r w:rsidRPr="00051F30">
        <w:rPr>
          <w:rFonts w:cs="Arial"/>
        </w:rPr>
        <w:t xml:space="preserve">1 could re-enrol in </w:t>
      </w:r>
      <w:r w:rsidR="0024178D">
        <w:rPr>
          <w:rFonts w:cs="Arial"/>
        </w:rPr>
        <w:t>Y</w:t>
      </w:r>
      <w:r w:rsidRPr="00051F30">
        <w:rPr>
          <w:rFonts w:cs="Arial"/>
        </w:rPr>
        <w:t xml:space="preserve">ear 2 of the study. If the 17,489 subject enrolled in </w:t>
      </w:r>
      <w:r w:rsidR="0024178D">
        <w:rPr>
          <w:rFonts w:cs="Arial"/>
        </w:rPr>
        <w:t>Y</w:t>
      </w:r>
      <w:r w:rsidRPr="00051F30">
        <w:rPr>
          <w:rFonts w:cs="Arial"/>
        </w:rPr>
        <w:t xml:space="preserve">ear 2 of </w:t>
      </w:r>
      <w:r w:rsidR="00CD0E09">
        <w:rPr>
          <w:rFonts w:cs="Arial"/>
        </w:rPr>
        <w:t xml:space="preserve">Study </w:t>
      </w:r>
      <w:r w:rsidR="00CD0E09" w:rsidRPr="00AB4FA5">
        <w:rPr>
          <w:rFonts w:cs="Arial"/>
        </w:rPr>
        <w:t>FI</w:t>
      </w:r>
      <w:r w:rsidRPr="00AB4FA5">
        <w:rPr>
          <w:rFonts w:cs="Arial"/>
        </w:rPr>
        <w:t xml:space="preserve">M12 7,645 had previously enrolled in </w:t>
      </w:r>
      <w:r w:rsidR="0024178D">
        <w:rPr>
          <w:rFonts w:cs="Arial"/>
        </w:rPr>
        <w:t>Y</w:t>
      </w:r>
      <w:r w:rsidRPr="00AB4FA5">
        <w:rPr>
          <w:rFonts w:cs="Arial"/>
        </w:rPr>
        <w:t>ear 1. The vaccine formulation changed between the two years of the study. Thus the reported number of subjects analysed in the study actually represent ‘subject-years’ of vaccination.</w:t>
      </w:r>
    </w:p>
    <w:p w14:paraId="1EA80566" w14:textId="24F8FFA0" w:rsidR="00B203E1" w:rsidRPr="00051F30" w:rsidRDefault="0033578E" w:rsidP="0033578E">
      <w:pPr>
        <w:autoSpaceDE w:val="0"/>
        <w:autoSpaceDN w:val="0"/>
        <w:adjustRightInd w:val="0"/>
        <w:rPr>
          <w:rFonts w:cs="Arial"/>
        </w:rPr>
      </w:pPr>
      <w:r w:rsidRPr="00AB4FA5">
        <w:rPr>
          <w:rFonts w:cs="Arial"/>
        </w:rPr>
        <w:t>Study FIM12 was conducted between</w:t>
      </w:r>
      <w:r w:rsidRPr="00051F30">
        <w:rPr>
          <w:rFonts w:cs="Arial"/>
        </w:rPr>
        <w:t xml:space="preserve"> 6 September 2011 and 31 May 2013 at 126 centres in the USA and Canada. </w:t>
      </w:r>
    </w:p>
    <w:p w14:paraId="7E05E74A" w14:textId="77777777" w:rsidR="0033578E" w:rsidRPr="00CA7836" w:rsidRDefault="0033578E" w:rsidP="00CA7836">
      <w:pPr>
        <w:pStyle w:val="Heading5"/>
      </w:pPr>
      <w:r w:rsidRPr="00CA7836">
        <w:t>Inclusion and exclusion criteria</w:t>
      </w:r>
    </w:p>
    <w:p w14:paraId="4386F81F" w14:textId="3529FBD8" w:rsidR="0033578E" w:rsidRPr="00AB4FA5" w:rsidRDefault="0033578E" w:rsidP="00AB4FA5">
      <w:r w:rsidRPr="00AB4FA5">
        <w:t xml:space="preserve">There were no screening criteria for participation in </w:t>
      </w:r>
      <w:r w:rsidR="00CD0E09" w:rsidRPr="00AB4FA5">
        <w:t>Study FI</w:t>
      </w:r>
      <w:r w:rsidRPr="00AB4FA5">
        <w:t>M12.</w:t>
      </w:r>
    </w:p>
    <w:p w14:paraId="2BE98904" w14:textId="77777777" w:rsidR="0033578E" w:rsidRPr="00AB4FA5" w:rsidRDefault="0033578E" w:rsidP="00AB4FA5">
      <w:r w:rsidRPr="00AB4FA5">
        <w:t xml:space="preserve">Enrolled subjects were </w:t>
      </w:r>
      <w:r w:rsidR="006A3980">
        <w:t xml:space="preserve">&gt; </w:t>
      </w:r>
      <w:r w:rsidRPr="00AB4FA5">
        <w:t>65 years of age and able to attend scheduled visits.</w:t>
      </w:r>
    </w:p>
    <w:p w14:paraId="393A2A6E" w14:textId="77777777" w:rsidR="0033578E" w:rsidRPr="00AB4FA5" w:rsidRDefault="0033578E" w:rsidP="00AB4FA5">
      <w:r w:rsidRPr="00AB4FA5">
        <w:t>Subjects could enrol in both years of the trial.</w:t>
      </w:r>
    </w:p>
    <w:p w14:paraId="077A9ED9" w14:textId="77777777" w:rsidR="0033578E" w:rsidRPr="00AB4FA5" w:rsidRDefault="0033578E" w:rsidP="00AB4FA5">
      <w:r w:rsidRPr="00AB4FA5">
        <w:lastRenderedPageBreak/>
        <w:t>Significant exclusion criteria included:</w:t>
      </w:r>
    </w:p>
    <w:p w14:paraId="062C98FE" w14:textId="77777777" w:rsidR="0033578E" w:rsidRPr="00051F30" w:rsidRDefault="0033578E" w:rsidP="00AB4FA5">
      <w:pPr>
        <w:pStyle w:val="ListBullet"/>
      </w:pPr>
      <w:r w:rsidRPr="00051F30">
        <w:t>known allergy to eggs or components of the vaccine</w:t>
      </w:r>
    </w:p>
    <w:p w14:paraId="77F5F78D" w14:textId="26AF545A" w:rsidR="0033578E" w:rsidRPr="00051F30" w:rsidRDefault="0033578E" w:rsidP="00AB4FA5">
      <w:pPr>
        <w:pStyle w:val="ListBullet"/>
      </w:pPr>
      <w:r w:rsidRPr="00051F30">
        <w:t>a history of Guillain-</w:t>
      </w:r>
      <w:r w:rsidR="0017105B" w:rsidRPr="00051F30">
        <w:t>Barr</w:t>
      </w:r>
      <w:r w:rsidR="0017105B">
        <w:t>é</w:t>
      </w:r>
      <w:r w:rsidR="0017105B" w:rsidRPr="00051F30">
        <w:t xml:space="preserve"> </w:t>
      </w:r>
      <w:r w:rsidRPr="00051F30">
        <w:t>syndrome</w:t>
      </w:r>
    </w:p>
    <w:p w14:paraId="3226CDAA" w14:textId="77777777" w:rsidR="0033578E" w:rsidRPr="00051F30" w:rsidRDefault="0033578E" w:rsidP="00AB4FA5">
      <w:pPr>
        <w:pStyle w:val="ListBullet"/>
      </w:pPr>
      <w:r w:rsidRPr="00051F30">
        <w:t>vaccination against influenza in the 6 months preceding the study vaccination</w:t>
      </w:r>
    </w:p>
    <w:p w14:paraId="213D5ABD" w14:textId="77777777" w:rsidR="0033578E" w:rsidRPr="00051F30" w:rsidRDefault="0033578E" w:rsidP="00AB4FA5">
      <w:pPr>
        <w:pStyle w:val="Heading5"/>
      </w:pPr>
      <w:r w:rsidRPr="00051F30">
        <w:t>Study treatments</w:t>
      </w:r>
    </w:p>
    <w:p w14:paraId="4688D6F6" w14:textId="0AAB8099" w:rsidR="00FD4ECC" w:rsidRDefault="0033578E" w:rsidP="0033578E">
      <w:pPr>
        <w:rPr>
          <w:rFonts w:cs="Arial"/>
        </w:rPr>
      </w:pPr>
      <w:r w:rsidRPr="00051F30">
        <w:rPr>
          <w:rFonts w:cs="Arial"/>
        </w:rPr>
        <w:t>Subjects received one 0.5</w:t>
      </w:r>
      <w:r w:rsidR="00FD4ECC">
        <w:rPr>
          <w:rFonts w:cs="Arial"/>
        </w:rPr>
        <w:t xml:space="preserve"> </w:t>
      </w:r>
      <w:r w:rsidRPr="00051F30">
        <w:rPr>
          <w:rFonts w:cs="Arial"/>
        </w:rPr>
        <w:t xml:space="preserve">mL dose of either </w:t>
      </w:r>
      <w:r w:rsidR="00CD0E09">
        <w:rPr>
          <w:rFonts w:cs="Arial"/>
        </w:rPr>
        <w:t>Fluzone High-Dose</w:t>
      </w:r>
      <w:r w:rsidRPr="00051F30">
        <w:rPr>
          <w:rFonts w:cs="Arial"/>
        </w:rPr>
        <w:t xml:space="preserve"> or Fluzone containing 6</w:t>
      </w:r>
      <w:r w:rsidR="00CD0E09">
        <w:rPr>
          <w:rFonts w:cs="Arial"/>
        </w:rPr>
        <w:t>0 µg</w:t>
      </w:r>
      <w:r w:rsidRPr="00051F30">
        <w:rPr>
          <w:rFonts w:cs="Arial"/>
        </w:rPr>
        <w:t xml:space="preserve"> or </w:t>
      </w:r>
      <w:r w:rsidR="002757EE">
        <w:rPr>
          <w:rFonts w:cs="Arial"/>
        </w:rPr>
        <w:t>15 µg</w:t>
      </w:r>
      <w:r w:rsidRPr="00051F30">
        <w:rPr>
          <w:rFonts w:cs="Arial"/>
        </w:rPr>
        <w:t xml:space="preserve"> of HA respectively for each of the three influenza strains in the vaccine. The strains in the vaccine were:</w:t>
      </w:r>
    </w:p>
    <w:p w14:paraId="70713044" w14:textId="77777777" w:rsidR="00FD4ECC" w:rsidRDefault="0033578E" w:rsidP="00834306">
      <w:pPr>
        <w:pStyle w:val="ListBullet"/>
      </w:pPr>
      <w:r w:rsidRPr="00042F5C">
        <w:t>Year 1:</w:t>
      </w:r>
    </w:p>
    <w:p w14:paraId="2CA648D6" w14:textId="5881D628" w:rsidR="00FD4ECC" w:rsidRPr="00FD4ECC" w:rsidRDefault="00FD4ECC" w:rsidP="00834306">
      <w:pPr>
        <w:pStyle w:val="ListBullet2"/>
      </w:pPr>
      <w:r w:rsidRPr="00051F30">
        <w:rPr>
          <w:rFonts w:cs="Arial"/>
        </w:rPr>
        <w:t>A/California/7/2009 (H1N1)</w:t>
      </w:r>
    </w:p>
    <w:p w14:paraId="3B7E7BD2" w14:textId="7E610984" w:rsidR="00FD4ECC" w:rsidRPr="00FD4ECC" w:rsidRDefault="00FD4ECC" w:rsidP="00834306">
      <w:pPr>
        <w:pStyle w:val="ListBullet2"/>
      </w:pPr>
      <w:r w:rsidRPr="00051F30">
        <w:rPr>
          <w:rFonts w:cs="Arial"/>
        </w:rPr>
        <w:t>A/Victoria/210/2009 (H3N2)</w:t>
      </w:r>
    </w:p>
    <w:p w14:paraId="028FDFC6" w14:textId="64886E9E" w:rsidR="00FD4ECC" w:rsidRDefault="00FD4ECC" w:rsidP="00834306">
      <w:pPr>
        <w:pStyle w:val="ListBullet2"/>
      </w:pPr>
      <w:r>
        <w:rPr>
          <w:rFonts w:cs="Arial"/>
        </w:rPr>
        <w:t>B/Brisbane/60/2008</w:t>
      </w:r>
    </w:p>
    <w:p w14:paraId="755E0F94" w14:textId="373E7DD0" w:rsidR="00FD4ECC" w:rsidRDefault="0033578E" w:rsidP="00834306">
      <w:pPr>
        <w:pStyle w:val="ListBullet"/>
      </w:pPr>
      <w:r w:rsidRPr="00834306">
        <w:t>Year 2:</w:t>
      </w:r>
    </w:p>
    <w:p w14:paraId="672029DB" w14:textId="47372257" w:rsidR="00FD4ECC" w:rsidRPr="00FD4ECC" w:rsidRDefault="0033578E" w:rsidP="00834306">
      <w:pPr>
        <w:pStyle w:val="ListBullet2"/>
      </w:pPr>
      <w:r w:rsidRPr="00FD4ECC">
        <w:t>A/California/7/2009 (H1N1)</w:t>
      </w:r>
    </w:p>
    <w:p w14:paraId="6254876E" w14:textId="3A141A94" w:rsidR="00FD4ECC" w:rsidRPr="00FD4ECC" w:rsidRDefault="0033578E" w:rsidP="00834306">
      <w:pPr>
        <w:pStyle w:val="ListBullet2"/>
        <w:rPr>
          <w:rFonts w:cs="Arial"/>
        </w:rPr>
      </w:pPr>
      <w:r w:rsidRPr="00FD4ECC">
        <w:rPr>
          <w:rFonts w:cs="Arial"/>
        </w:rPr>
        <w:t>A/Victoria/361/2011 (H3N2)</w:t>
      </w:r>
    </w:p>
    <w:p w14:paraId="5F2CC646" w14:textId="7D4D0A3B" w:rsidR="0033578E" w:rsidRPr="00FD4ECC" w:rsidRDefault="0033578E" w:rsidP="00834306">
      <w:pPr>
        <w:pStyle w:val="ListBullet2"/>
        <w:rPr>
          <w:rFonts w:cs="Arial"/>
        </w:rPr>
      </w:pPr>
      <w:r w:rsidRPr="00FD4ECC">
        <w:rPr>
          <w:rFonts w:cs="Arial"/>
        </w:rPr>
        <w:t>B/Texas/6/2011</w:t>
      </w:r>
    </w:p>
    <w:p w14:paraId="53BF53CE" w14:textId="77777777" w:rsidR="0033578E" w:rsidRPr="00051F30" w:rsidRDefault="0033578E" w:rsidP="00AB4FA5">
      <w:pPr>
        <w:pStyle w:val="Heading5"/>
      </w:pPr>
      <w:r w:rsidRPr="00051F30">
        <w:t>Efficacy variables and outcomes</w:t>
      </w:r>
    </w:p>
    <w:p w14:paraId="6DFEE0A6" w14:textId="77777777" w:rsidR="0033578E" w:rsidRPr="00051F30" w:rsidRDefault="0033578E" w:rsidP="00AB4FA5">
      <w:pPr>
        <w:pStyle w:val="Heading6"/>
      </w:pPr>
      <w:r w:rsidRPr="00051F30">
        <w:t>Primary endpoint</w:t>
      </w:r>
    </w:p>
    <w:p w14:paraId="65FD1FD6" w14:textId="77777777" w:rsidR="0033578E" w:rsidRPr="00051F30" w:rsidRDefault="0033578E" w:rsidP="0033578E">
      <w:pPr>
        <w:autoSpaceDE w:val="0"/>
        <w:autoSpaceDN w:val="0"/>
        <w:adjustRightInd w:val="0"/>
        <w:rPr>
          <w:rFonts w:cs="Arial"/>
        </w:rPr>
      </w:pPr>
      <w:r w:rsidRPr="00051F30">
        <w:rPr>
          <w:rFonts w:cs="Arial"/>
        </w:rPr>
        <w:t xml:space="preserve">The primary endpoint of </w:t>
      </w:r>
      <w:r w:rsidR="00CD0E09">
        <w:rPr>
          <w:rFonts w:cs="Arial"/>
        </w:rPr>
        <w:t>Study FI</w:t>
      </w:r>
      <w:r w:rsidRPr="00051F30">
        <w:rPr>
          <w:rFonts w:cs="Arial"/>
        </w:rPr>
        <w:t xml:space="preserve">M12 was the occurrence of culture or PCR confirmed influenza in subjects </w:t>
      </w:r>
      <w:r w:rsidR="006A3980">
        <w:rPr>
          <w:rFonts w:cs="Arial"/>
        </w:rPr>
        <w:t xml:space="preserve">&gt; </w:t>
      </w:r>
      <w:r w:rsidRPr="00051F30">
        <w:rPr>
          <w:rFonts w:cs="Arial"/>
        </w:rPr>
        <w:t xml:space="preserve">14 days after vaccination who had a protocol-defined ILI. This was used to calculate the relative vaccine efficacy of </w:t>
      </w:r>
      <w:r w:rsidR="00CD0E09">
        <w:rPr>
          <w:rFonts w:cs="Arial"/>
        </w:rPr>
        <w:t>Fluzone High-Dose</w:t>
      </w:r>
      <w:r w:rsidRPr="00051F30">
        <w:rPr>
          <w:rFonts w:cs="Arial"/>
        </w:rPr>
        <w:t xml:space="preserve"> compared to Fluzone.</w:t>
      </w:r>
    </w:p>
    <w:p w14:paraId="3ABB455C" w14:textId="1A249489" w:rsidR="0033578E" w:rsidRPr="00051F30" w:rsidRDefault="0033578E" w:rsidP="0033578E">
      <w:pPr>
        <w:autoSpaceDE w:val="0"/>
        <w:autoSpaceDN w:val="0"/>
        <w:adjustRightInd w:val="0"/>
        <w:rPr>
          <w:rFonts w:cs="Arial"/>
        </w:rPr>
      </w:pPr>
      <w:r w:rsidRPr="00051F30">
        <w:rPr>
          <w:rFonts w:cs="Arial"/>
        </w:rPr>
        <w:t>A protocol</w:t>
      </w:r>
      <w:r w:rsidR="00D31195">
        <w:rPr>
          <w:rFonts w:cs="Arial"/>
        </w:rPr>
        <w:t xml:space="preserve"> </w:t>
      </w:r>
      <w:r w:rsidRPr="00051F30">
        <w:rPr>
          <w:rFonts w:cs="Arial"/>
        </w:rPr>
        <w:t xml:space="preserve">defined ILI was determined by at least one of; sore throat, cough, sputum production, wheezing or difficulty breathing </w:t>
      </w:r>
      <w:r w:rsidR="00FD4ECC" w:rsidRPr="00834306">
        <w:rPr>
          <w:rFonts w:cs="Arial"/>
          <w:i/>
        </w:rPr>
        <w:t>and</w:t>
      </w:r>
      <w:r w:rsidR="00FD4ECC" w:rsidRPr="00051F30">
        <w:rPr>
          <w:rFonts w:cs="Arial"/>
        </w:rPr>
        <w:t xml:space="preserve"> </w:t>
      </w:r>
      <w:r w:rsidRPr="00051F30">
        <w:rPr>
          <w:rFonts w:cs="Arial"/>
        </w:rPr>
        <w:t>at least one of; fever</w:t>
      </w:r>
      <w:r w:rsidR="00FD4ECC">
        <w:rPr>
          <w:rFonts w:cs="Arial"/>
        </w:rPr>
        <w:t xml:space="preserve"> </w:t>
      </w:r>
      <w:r w:rsidR="006A3980">
        <w:rPr>
          <w:rFonts w:cs="Arial"/>
        </w:rPr>
        <w:t xml:space="preserve">&gt; </w:t>
      </w:r>
      <w:r w:rsidRPr="00051F30">
        <w:rPr>
          <w:rFonts w:cs="Arial"/>
        </w:rPr>
        <w:t>37.2</w:t>
      </w:r>
      <w:r w:rsidR="00FD4ECC">
        <w:rPr>
          <w:rFonts w:cs="Arial"/>
        </w:rPr>
        <w:t>°</w:t>
      </w:r>
      <w:r w:rsidR="00FD4ECC" w:rsidRPr="00051F30">
        <w:rPr>
          <w:rFonts w:cs="Arial"/>
        </w:rPr>
        <w:t>C</w:t>
      </w:r>
      <w:r w:rsidRPr="00051F30">
        <w:rPr>
          <w:rFonts w:cs="Arial"/>
        </w:rPr>
        <w:t>, shivering, fatigue, headache or myalgia.</w:t>
      </w:r>
    </w:p>
    <w:p w14:paraId="3D60B47C" w14:textId="0862FE5A" w:rsidR="0033578E" w:rsidRPr="00051F30" w:rsidRDefault="0033578E" w:rsidP="0033578E">
      <w:pPr>
        <w:autoSpaceDE w:val="0"/>
        <w:autoSpaceDN w:val="0"/>
        <w:adjustRightInd w:val="0"/>
        <w:rPr>
          <w:rFonts w:cs="Arial"/>
        </w:rPr>
      </w:pPr>
      <w:r w:rsidRPr="00051F30">
        <w:rPr>
          <w:rFonts w:cs="Arial"/>
        </w:rPr>
        <w:t xml:space="preserve">An alternate clinical endpoint, the Modified CDC-defined ILI was also measured. A case of Modified-CDC-defined ILI was defined as the occurrence of a fever of </w:t>
      </w:r>
      <w:r w:rsidR="006A3980">
        <w:rPr>
          <w:rFonts w:cs="Arial"/>
        </w:rPr>
        <w:t xml:space="preserve">&gt; </w:t>
      </w:r>
      <w:r w:rsidRPr="00051F30">
        <w:rPr>
          <w:rFonts w:cs="Arial"/>
        </w:rPr>
        <w:t>37.2</w:t>
      </w:r>
      <w:r w:rsidR="00FD4ECC">
        <w:rPr>
          <w:rFonts w:cs="Arial"/>
        </w:rPr>
        <w:t>°</w:t>
      </w:r>
      <w:r w:rsidR="00FD4ECC" w:rsidRPr="00051F30">
        <w:rPr>
          <w:rFonts w:cs="Arial"/>
        </w:rPr>
        <w:t>C</w:t>
      </w:r>
      <w:r w:rsidRPr="00051F30">
        <w:rPr>
          <w:rFonts w:cs="Arial"/>
        </w:rPr>
        <w:t xml:space="preserve"> degrees centigrade with cough or sore throat.</w:t>
      </w:r>
    </w:p>
    <w:p w14:paraId="41F8DFA0" w14:textId="77777777" w:rsidR="0033578E" w:rsidRPr="00051F30" w:rsidRDefault="0033578E" w:rsidP="00D31195">
      <w:pPr>
        <w:pStyle w:val="Heading6"/>
      </w:pPr>
      <w:r w:rsidRPr="00051F30">
        <w:t xml:space="preserve">Secondary and observational endpoints </w:t>
      </w:r>
    </w:p>
    <w:p w14:paraId="03A7CA28" w14:textId="77777777" w:rsidR="0033578E" w:rsidRPr="00051F30" w:rsidRDefault="0033578E" w:rsidP="0033578E">
      <w:pPr>
        <w:autoSpaceDE w:val="0"/>
        <w:autoSpaceDN w:val="0"/>
        <w:adjustRightInd w:val="0"/>
        <w:rPr>
          <w:rFonts w:cs="Arial"/>
        </w:rPr>
      </w:pPr>
      <w:r w:rsidRPr="00051F30">
        <w:rPr>
          <w:rFonts w:cs="Arial"/>
        </w:rPr>
        <w:t>Several secondary endpoints examined the occurrence of influenza which was similar to the vaccine strains. ‘Antigenic similarity’ was concluded when a culture-confirmed isolate was considered similar to the vaccine-components when tested against a standardised panel of ferret HAI antibodies. ‘Similarity to the vaccine components’ was concluded when a culture-confirmed isolate was considered similar to one of the vaccine strains according to genetic sequence or HAI antigenicity.</w:t>
      </w:r>
    </w:p>
    <w:p w14:paraId="57030984" w14:textId="58C4671C" w:rsidR="0033578E" w:rsidRPr="00051F30" w:rsidRDefault="0033578E" w:rsidP="0033578E">
      <w:pPr>
        <w:autoSpaceDE w:val="0"/>
        <w:autoSpaceDN w:val="0"/>
        <w:adjustRightInd w:val="0"/>
        <w:rPr>
          <w:rFonts w:cs="Arial"/>
        </w:rPr>
      </w:pPr>
      <w:r w:rsidRPr="00051F30">
        <w:rPr>
          <w:rFonts w:cs="Arial"/>
        </w:rPr>
        <w:t>The rate of pneumonia, onset or exacerbation of cardio-respiratory conditions and occurrence of health care utilisation was defined as an observational endpoint.</w:t>
      </w:r>
    </w:p>
    <w:p w14:paraId="2A90F481" w14:textId="77777777" w:rsidR="0033578E" w:rsidRPr="00051F30" w:rsidRDefault="0033578E" w:rsidP="00D31195">
      <w:pPr>
        <w:pStyle w:val="Heading5"/>
      </w:pPr>
      <w:r w:rsidRPr="00051F30">
        <w:t>Randomisation and blinding methods</w:t>
      </w:r>
    </w:p>
    <w:p w14:paraId="1600D3C1" w14:textId="77777777" w:rsidR="0033578E" w:rsidRPr="00051F30" w:rsidRDefault="0033578E" w:rsidP="0033578E">
      <w:pPr>
        <w:rPr>
          <w:rFonts w:cs="Arial"/>
        </w:rPr>
      </w:pPr>
      <w:r w:rsidRPr="00051F30">
        <w:rPr>
          <w:rFonts w:cs="Arial"/>
        </w:rPr>
        <w:t>Randomisation was administered through a central allocation of identification numbers using the same process as Study FIM05.</w:t>
      </w:r>
    </w:p>
    <w:p w14:paraId="38C85341" w14:textId="77777777" w:rsidR="0033578E" w:rsidRPr="00051F30" w:rsidRDefault="0033578E" w:rsidP="00D31195">
      <w:pPr>
        <w:pStyle w:val="Heading5"/>
      </w:pPr>
      <w:r w:rsidRPr="00051F30">
        <w:t>Analysis populations</w:t>
      </w:r>
    </w:p>
    <w:p w14:paraId="782EAAAB" w14:textId="01B481A8" w:rsidR="0033578E" w:rsidRPr="00051F30" w:rsidRDefault="0033578E" w:rsidP="0033578E">
      <w:pPr>
        <w:rPr>
          <w:rFonts w:cs="Arial"/>
        </w:rPr>
      </w:pPr>
      <w:r w:rsidRPr="00051F30">
        <w:rPr>
          <w:rFonts w:cs="Arial"/>
        </w:rPr>
        <w:t>Two analyses sets were used.</w:t>
      </w:r>
    </w:p>
    <w:p w14:paraId="31565BF5" w14:textId="77777777" w:rsidR="0033578E" w:rsidRPr="00051F30" w:rsidRDefault="0033578E" w:rsidP="0033578E">
      <w:pPr>
        <w:rPr>
          <w:rFonts w:cs="Arial"/>
        </w:rPr>
      </w:pPr>
      <w:r w:rsidRPr="00051F30">
        <w:rPr>
          <w:rFonts w:cs="Arial"/>
        </w:rPr>
        <w:lastRenderedPageBreak/>
        <w:t xml:space="preserve">The Full Analysis Set (FAS) was defined for each study year as including all subjects who received study vaccine. </w:t>
      </w:r>
    </w:p>
    <w:p w14:paraId="591286F7" w14:textId="77777777" w:rsidR="0033578E" w:rsidRPr="00051F30" w:rsidRDefault="0033578E" w:rsidP="0033578E">
      <w:pPr>
        <w:rPr>
          <w:rFonts w:cs="Arial"/>
        </w:rPr>
      </w:pPr>
      <w:r w:rsidRPr="00051F30">
        <w:rPr>
          <w:rFonts w:cs="Arial"/>
        </w:rPr>
        <w:t>The Per-Protocol analysis set was a subset of the FAS which excluded;</w:t>
      </w:r>
    </w:p>
    <w:p w14:paraId="36D09E14" w14:textId="77777777" w:rsidR="0033578E" w:rsidRPr="00051F30" w:rsidRDefault="0033578E" w:rsidP="00D31195">
      <w:pPr>
        <w:pStyle w:val="ListBullet"/>
      </w:pPr>
      <w:r w:rsidRPr="00051F30">
        <w:t>Subjects who did not meet all inclusion or had at least on exclusion criteria for the study</w:t>
      </w:r>
    </w:p>
    <w:p w14:paraId="7C4D31C4" w14:textId="77777777" w:rsidR="0033578E" w:rsidRPr="00051F30" w:rsidRDefault="0033578E" w:rsidP="00D31195">
      <w:pPr>
        <w:pStyle w:val="ListBullet"/>
      </w:pPr>
      <w:r w:rsidRPr="00051F30">
        <w:t>Subjects who did not receive vaccine</w:t>
      </w:r>
    </w:p>
    <w:p w14:paraId="387B1780" w14:textId="77777777" w:rsidR="0033578E" w:rsidRPr="00051F30" w:rsidRDefault="0033578E" w:rsidP="00D31195">
      <w:pPr>
        <w:pStyle w:val="ListBullet"/>
      </w:pPr>
      <w:r w:rsidRPr="00051F30">
        <w:t>Subject receive a vaccine which was deemed unacceptable for use</w:t>
      </w:r>
    </w:p>
    <w:p w14:paraId="65416788" w14:textId="77777777" w:rsidR="0033578E" w:rsidRPr="00051F30" w:rsidRDefault="0033578E" w:rsidP="00D31195">
      <w:pPr>
        <w:pStyle w:val="ListBullet"/>
      </w:pPr>
      <w:r w:rsidRPr="00051F30">
        <w:t>Subject received incorrect vaccine for their randomisation</w:t>
      </w:r>
    </w:p>
    <w:p w14:paraId="192DCB0A" w14:textId="77777777" w:rsidR="0033578E" w:rsidRPr="00051F30" w:rsidRDefault="0033578E" w:rsidP="00D31195">
      <w:pPr>
        <w:pStyle w:val="ListBullet"/>
      </w:pPr>
      <w:r w:rsidRPr="00051F30">
        <w:t>Surveillance contact was not made at least once after 28 days</w:t>
      </w:r>
    </w:p>
    <w:p w14:paraId="0CD2F110" w14:textId="04DEAD67" w:rsidR="0033578E" w:rsidRPr="00051F30" w:rsidRDefault="0033578E" w:rsidP="0033578E">
      <w:pPr>
        <w:rPr>
          <w:rFonts w:cs="Arial"/>
        </w:rPr>
      </w:pPr>
      <w:r w:rsidRPr="00051F30">
        <w:rPr>
          <w:rFonts w:cs="Arial"/>
        </w:rPr>
        <w:t>Missing data was not replaced or imputed in the FAS set.</w:t>
      </w:r>
    </w:p>
    <w:p w14:paraId="1376AFA8" w14:textId="77777777" w:rsidR="0033578E" w:rsidRPr="00051F30" w:rsidDel="0081373E" w:rsidRDefault="0033578E" w:rsidP="00D31195">
      <w:pPr>
        <w:pStyle w:val="Heading5"/>
      </w:pPr>
      <w:r w:rsidRPr="00051F30" w:rsidDel="0081373E">
        <w:t>Sample size</w:t>
      </w:r>
    </w:p>
    <w:p w14:paraId="4B3D8663" w14:textId="0D81C4C2" w:rsidR="0033578E" w:rsidRPr="00051F30" w:rsidRDefault="0033578E" w:rsidP="0033578E">
      <w:pPr>
        <w:autoSpaceDE w:val="0"/>
        <w:autoSpaceDN w:val="0"/>
        <w:adjustRightInd w:val="0"/>
        <w:rPr>
          <w:rFonts w:cs="Arial"/>
        </w:rPr>
      </w:pPr>
      <w:r w:rsidRPr="00051F30">
        <w:rPr>
          <w:rFonts w:cs="Arial"/>
        </w:rPr>
        <w:t>The study enrolled 31,989 subjects allocated to Fluzone (n</w:t>
      </w:r>
      <w:r w:rsidR="00FD4ECC">
        <w:rPr>
          <w:rFonts w:cs="Arial"/>
        </w:rPr>
        <w:t xml:space="preserve"> </w:t>
      </w:r>
      <w:r w:rsidRPr="00051F30">
        <w:rPr>
          <w:rFonts w:cs="Arial"/>
        </w:rPr>
        <w:t>=</w:t>
      </w:r>
      <w:r w:rsidR="00FD4ECC">
        <w:rPr>
          <w:rFonts w:cs="Arial"/>
        </w:rPr>
        <w:t xml:space="preserve"> </w:t>
      </w:r>
      <w:r w:rsidRPr="00051F30">
        <w:rPr>
          <w:rFonts w:cs="Arial"/>
        </w:rPr>
        <w:t>15</w:t>
      </w:r>
      <w:r>
        <w:rPr>
          <w:rFonts w:cs="Arial"/>
        </w:rPr>
        <w:t>,</w:t>
      </w:r>
      <w:r w:rsidRPr="00051F30">
        <w:rPr>
          <w:rFonts w:cs="Arial"/>
        </w:rPr>
        <w:t xml:space="preserve">998) and </w:t>
      </w:r>
      <w:r w:rsidR="00CD0E09">
        <w:rPr>
          <w:rFonts w:cs="Arial"/>
        </w:rPr>
        <w:t>Fluzone High-Dose</w:t>
      </w:r>
      <w:r w:rsidRPr="00051F30">
        <w:rPr>
          <w:rFonts w:cs="Arial"/>
        </w:rPr>
        <w:t xml:space="preserve"> (n</w:t>
      </w:r>
      <w:r w:rsidR="00FD4ECC">
        <w:rPr>
          <w:rFonts w:cs="Arial"/>
        </w:rPr>
        <w:t> </w:t>
      </w:r>
      <w:r w:rsidRPr="00051F30">
        <w:rPr>
          <w:rFonts w:cs="Arial"/>
        </w:rPr>
        <w:t>=</w:t>
      </w:r>
      <w:r w:rsidR="00FD4ECC">
        <w:rPr>
          <w:rFonts w:cs="Arial"/>
        </w:rPr>
        <w:t> </w:t>
      </w:r>
      <w:r w:rsidRPr="00051F30">
        <w:rPr>
          <w:rFonts w:cs="Arial"/>
        </w:rPr>
        <w:t>15</w:t>
      </w:r>
      <w:r>
        <w:rPr>
          <w:rFonts w:cs="Arial"/>
        </w:rPr>
        <w:t>,</w:t>
      </w:r>
      <w:r w:rsidRPr="00051F30">
        <w:rPr>
          <w:rFonts w:cs="Arial"/>
        </w:rPr>
        <w:t>991).</w:t>
      </w:r>
    </w:p>
    <w:p w14:paraId="12597350" w14:textId="6DAEF1B4" w:rsidR="0033578E" w:rsidRPr="00051F30" w:rsidRDefault="0033578E" w:rsidP="0033578E">
      <w:pPr>
        <w:autoSpaceDE w:val="0"/>
        <w:autoSpaceDN w:val="0"/>
        <w:adjustRightInd w:val="0"/>
        <w:rPr>
          <w:rFonts w:cs="Arial"/>
        </w:rPr>
      </w:pPr>
      <w:r w:rsidRPr="00051F30">
        <w:rPr>
          <w:rFonts w:cs="Arial"/>
        </w:rPr>
        <w:t xml:space="preserve">A sample of at least 30,000 was calculated as necessary to achieve 80% power to detect at least a 9.1% difference in the vaccine efficacy of </w:t>
      </w:r>
      <w:r w:rsidR="00CD0E09">
        <w:rPr>
          <w:rFonts w:cs="Arial"/>
        </w:rPr>
        <w:t>Fluzone High-Dose</w:t>
      </w:r>
      <w:r w:rsidRPr="00051F30">
        <w:rPr>
          <w:rFonts w:cs="Arial"/>
        </w:rPr>
        <w:t xml:space="preserve"> and Fluzone.</w:t>
      </w:r>
    </w:p>
    <w:p w14:paraId="0CA97465" w14:textId="77777777" w:rsidR="0033578E" w:rsidRPr="00051F30" w:rsidRDefault="0033578E" w:rsidP="00D31195">
      <w:pPr>
        <w:pStyle w:val="Heading5"/>
      </w:pPr>
      <w:r w:rsidRPr="00051F30">
        <w:t>Statistical methods</w:t>
      </w:r>
    </w:p>
    <w:p w14:paraId="5BE3003C" w14:textId="77777777" w:rsidR="0033578E" w:rsidRDefault="0033578E" w:rsidP="0033578E">
      <w:pPr>
        <w:rPr>
          <w:rFonts w:cs="Arial"/>
        </w:rPr>
      </w:pPr>
      <w:r w:rsidRPr="00552AC1">
        <w:rPr>
          <w:rFonts w:cs="Arial"/>
        </w:rPr>
        <w:t xml:space="preserve">The observed rate of influenza in the two treatment arms was used to calculate the relative vaccine efficacy of the </w:t>
      </w:r>
      <w:r w:rsidR="00CD0E09" w:rsidRPr="00552AC1">
        <w:rPr>
          <w:rFonts w:cs="Arial"/>
        </w:rPr>
        <w:t>Fluzone High-Dose</w:t>
      </w:r>
      <w:r w:rsidRPr="00552AC1">
        <w:rPr>
          <w:rFonts w:cs="Arial"/>
        </w:rPr>
        <w:t xml:space="preserve"> and Fluzone using the calculation:</w:t>
      </w:r>
    </w:p>
    <w:p w14:paraId="2E8CEAD2" w14:textId="77777777" w:rsidR="00677D22" w:rsidRPr="00677D22" w:rsidRDefault="00677D22" w:rsidP="00677D22">
      <w:pPr>
        <w:ind w:left="720"/>
        <w:rPr>
          <w:rFonts w:cs="Arial"/>
        </w:rPr>
      </w:pPr>
      <w:r w:rsidRPr="00677D22">
        <w:rPr>
          <w:rFonts w:cs="Arial"/>
        </w:rPr>
        <w:t>The VE of Fluzone High-Dose relative to Fluzone was estimated for the primary endpoint by:</w:t>
      </w:r>
    </w:p>
    <w:p w14:paraId="6F1938C7" w14:textId="6A97EC2A" w:rsidR="00677D22" w:rsidRDefault="00677D22" w:rsidP="001260E1">
      <w:pPr>
        <w:ind w:left="720" w:firstLine="720"/>
        <w:rPr>
          <w:rFonts w:cs="Arial"/>
        </w:rPr>
      </w:pPr>
      <w:r w:rsidRPr="00677D22">
        <w:rPr>
          <w:rFonts w:cs="Arial"/>
        </w:rPr>
        <w:t>Relative VE = 1</w:t>
      </w:r>
      <w:r w:rsidR="00196C1B">
        <w:rPr>
          <w:rFonts w:cs="Arial"/>
        </w:rPr>
        <w:t xml:space="preserve"> </w:t>
      </w:r>
      <w:r w:rsidRPr="00677D22">
        <w:rPr>
          <w:rFonts w:cs="Arial"/>
        </w:rPr>
        <w:t>- [</w:t>
      </w:r>
      <w:r w:rsidR="00FD4ECC">
        <w:rPr>
          <w:rFonts w:cs="Arial"/>
        </w:rPr>
        <w:t>(</w:t>
      </w:r>
      <w:r w:rsidRPr="00677D22">
        <w:rPr>
          <w:rFonts w:cs="Arial"/>
        </w:rPr>
        <w:t>CHD/NHD) / (CFL/NFL)]</w:t>
      </w:r>
    </w:p>
    <w:p w14:paraId="35A416DD" w14:textId="77777777" w:rsidR="00677D22" w:rsidRPr="00677D22" w:rsidRDefault="00677D22" w:rsidP="00677D22">
      <w:pPr>
        <w:ind w:left="720"/>
        <w:rPr>
          <w:rFonts w:cs="Arial"/>
        </w:rPr>
      </w:pPr>
      <w:proofErr w:type="gramStart"/>
      <w:r w:rsidRPr="00677D22">
        <w:rPr>
          <w:rFonts w:cs="Arial"/>
        </w:rPr>
        <w:t>where</w:t>
      </w:r>
      <w:proofErr w:type="gramEnd"/>
      <w:r w:rsidRPr="00677D22">
        <w:rPr>
          <w:rFonts w:cs="Arial"/>
        </w:rPr>
        <w:t>:</w:t>
      </w:r>
    </w:p>
    <w:p w14:paraId="730DFDC4" w14:textId="77777777" w:rsidR="00677D22" w:rsidRPr="00677D22" w:rsidRDefault="00677D22" w:rsidP="00677D22">
      <w:pPr>
        <w:pStyle w:val="ListBullet"/>
        <w:ind w:left="1080"/>
      </w:pPr>
      <w:r w:rsidRPr="00677D22">
        <w:t>Relative VE is the efficacy of Fluzone High-Dose vaccine relative to that of Fluzone vaccine</w:t>
      </w:r>
    </w:p>
    <w:p w14:paraId="7ACD2E1A" w14:textId="77777777" w:rsidR="00677D22" w:rsidRPr="00677D22" w:rsidRDefault="00677D22" w:rsidP="00677D22">
      <w:pPr>
        <w:pStyle w:val="ListBullet"/>
        <w:ind w:left="1080"/>
      </w:pPr>
      <w:r w:rsidRPr="00677D22">
        <w:t>CHD is the number of cases in the Fluzone High-Dose Group</w:t>
      </w:r>
    </w:p>
    <w:p w14:paraId="2C6E9CD9" w14:textId="77777777" w:rsidR="00677D22" w:rsidRPr="00677D22" w:rsidRDefault="00677D22" w:rsidP="00677D22">
      <w:pPr>
        <w:pStyle w:val="ListBullet"/>
        <w:ind w:left="1080"/>
      </w:pPr>
      <w:r w:rsidRPr="00677D22">
        <w:t>NHD is the number of subjects in the Fluzone High-Dose Group</w:t>
      </w:r>
    </w:p>
    <w:p w14:paraId="2A83FEFC" w14:textId="77777777" w:rsidR="00677D22" w:rsidRPr="00677D22" w:rsidRDefault="00677D22" w:rsidP="00677D22">
      <w:pPr>
        <w:pStyle w:val="ListBullet"/>
        <w:ind w:left="1080"/>
      </w:pPr>
      <w:r w:rsidRPr="00677D22">
        <w:t>CFL is the number of cases in the Fluzone Group</w:t>
      </w:r>
    </w:p>
    <w:p w14:paraId="24D9CE55" w14:textId="77777777" w:rsidR="00677D22" w:rsidRPr="00677D22" w:rsidRDefault="00677D22" w:rsidP="00677D22">
      <w:pPr>
        <w:pStyle w:val="ListBullet"/>
        <w:ind w:left="1080"/>
      </w:pPr>
      <w:r w:rsidRPr="00677D22">
        <w:t>NFL is the number of subjects in the Fluzone Group</w:t>
      </w:r>
    </w:p>
    <w:p w14:paraId="52CD62FA" w14:textId="77777777" w:rsidR="00677D22" w:rsidRPr="00677D22" w:rsidRDefault="00677D22" w:rsidP="00677D22">
      <w:pPr>
        <w:ind w:left="720"/>
        <w:rPr>
          <w:rFonts w:cs="Arial"/>
        </w:rPr>
      </w:pPr>
      <w:r w:rsidRPr="00677D22">
        <w:rPr>
          <w:rFonts w:cs="Arial"/>
        </w:rPr>
        <w:t>CIs for relative VE were calculated by an exact method conditional on the total number of cases</w:t>
      </w:r>
    </w:p>
    <w:p w14:paraId="2C5AF154" w14:textId="77777777" w:rsidR="00677D22" w:rsidRDefault="00677D22" w:rsidP="00677D22">
      <w:pPr>
        <w:ind w:left="720"/>
        <w:rPr>
          <w:rFonts w:cs="Arial"/>
        </w:rPr>
      </w:pPr>
      <w:proofErr w:type="gramStart"/>
      <w:r w:rsidRPr="00677D22">
        <w:rPr>
          <w:rFonts w:cs="Arial"/>
        </w:rPr>
        <w:t>in</w:t>
      </w:r>
      <w:proofErr w:type="gramEnd"/>
      <w:r w:rsidRPr="00677D22">
        <w:rPr>
          <w:rFonts w:cs="Arial"/>
        </w:rPr>
        <w:t xml:space="preserve"> both groups. The efficacy estimate given above may be restated as:</w:t>
      </w:r>
    </w:p>
    <w:p w14:paraId="37E8FB8F" w14:textId="620C9C32" w:rsidR="00677D22" w:rsidRDefault="00677D22" w:rsidP="001260E1">
      <w:pPr>
        <w:ind w:left="720" w:firstLine="720"/>
        <w:rPr>
          <w:rFonts w:cs="Arial"/>
        </w:rPr>
      </w:pPr>
      <w:r>
        <w:rPr>
          <w:rFonts w:cs="Arial"/>
        </w:rPr>
        <w:t>Relative VE</w:t>
      </w:r>
      <w:r w:rsidR="00196C1B">
        <w:rPr>
          <w:rFonts w:cs="Arial"/>
        </w:rPr>
        <w:t> </w:t>
      </w:r>
      <w:r>
        <w:rPr>
          <w:rFonts w:cs="Arial"/>
        </w:rPr>
        <w:t>=</w:t>
      </w:r>
      <w:r w:rsidR="00196C1B">
        <w:rPr>
          <w:rFonts w:cs="Arial"/>
        </w:rPr>
        <w:t> </w:t>
      </w:r>
      <w:r>
        <w:rPr>
          <w:rFonts w:cs="Arial"/>
        </w:rPr>
        <w:t>1</w:t>
      </w:r>
      <w:r w:rsidR="00196C1B">
        <w:rPr>
          <w:rFonts w:cs="Arial"/>
        </w:rPr>
        <w:t> </w:t>
      </w:r>
      <w:r>
        <w:rPr>
          <w:rFonts w:cs="Arial"/>
        </w:rPr>
        <w:t>-</w:t>
      </w:r>
      <w:r w:rsidR="00196C1B">
        <w:rPr>
          <w:rFonts w:cs="Arial"/>
        </w:rPr>
        <w:t xml:space="preserve"> </w:t>
      </w:r>
      <w:r>
        <w:rPr>
          <w:rFonts w:cs="Arial"/>
        </w:rPr>
        <w:t>N</w:t>
      </w:r>
      <w:r w:rsidRPr="00677D22">
        <w:rPr>
          <w:rFonts w:cs="Arial"/>
          <w:vertAlign w:val="subscript"/>
        </w:rPr>
        <w:t>FL</w:t>
      </w:r>
      <w:r>
        <w:rPr>
          <w:rFonts w:cs="Arial"/>
        </w:rPr>
        <w:t>/N</w:t>
      </w:r>
      <w:r w:rsidRPr="00677D22">
        <w:rPr>
          <w:rFonts w:cs="Arial"/>
          <w:vertAlign w:val="subscript"/>
        </w:rPr>
        <w:t>HD</w:t>
      </w:r>
      <w:r>
        <w:rPr>
          <w:rFonts w:cs="Arial"/>
        </w:rPr>
        <w:t xml:space="preserve"> x q/1-q</w:t>
      </w:r>
    </w:p>
    <w:p w14:paraId="000760D7" w14:textId="77777777" w:rsidR="00677D22" w:rsidRPr="00677D22" w:rsidRDefault="00677D22" w:rsidP="00677D22">
      <w:pPr>
        <w:ind w:left="720"/>
        <w:rPr>
          <w:rFonts w:cs="Arial"/>
        </w:rPr>
      </w:pPr>
      <w:proofErr w:type="gramStart"/>
      <w:r w:rsidRPr="00677D22">
        <w:rPr>
          <w:rFonts w:cs="Arial"/>
        </w:rPr>
        <w:t>where</w:t>
      </w:r>
      <w:proofErr w:type="gramEnd"/>
      <w:r w:rsidRPr="00677D22">
        <w:rPr>
          <w:rFonts w:cs="Arial"/>
        </w:rPr>
        <w:t xml:space="preserve"> q is the proportion of cases who received Fluzone High-Dose. Thus</w:t>
      </w:r>
    </w:p>
    <w:p w14:paraId="361ABAF3" w14:textId="77777777" w:rsidR="00677D22" w:rsidRPr="00677D22" w:rsidRDefault="00677D22" w:rsidP="001260E1">
      <w:pPr>
        <w:ind w:left="720" w:firstLine="720"/>
        <w:rPr>
          <w:rFonts w:cs="Arial"/>
        </w:rPr>
      </w:pPr>
      <w:proofErr w:type="gramStart"/>
      <w:r w:rsidRPr="00677D22">
        <w:rPr>
          <w:rFonts w:cs="Arial"/>
        </w:rPr>
        <w:t>q</w:t>
      </w:r>
      <w:r>
        <w:rPr>
          <w:rFonts w:cs="Arial"/>
        </w:rPr>
        <w:t>/</w:t>
      </w:r>
      <w:r w:rsidRPr="00677D22">
        <w:rPr>
          <w:rFonts w:cs="Arial"/>
        </w:rPr>
        <w:t>1−</w:t>
      </w:r>
      <w:r>
        <w:rPr>
          <w:rFonts w:cs="Arial"/>
        </w:rPr>
        <w:t>q</w:t>
      </w:r>
      <w:proofErr w:type="gramEnd"/>
    </w:p>
    <w:p w14:paraId="3A82C183" w14:textId="77777777" w:rsidR="00677D22" w:rsidRPr="00677D22" w:rsidRDefault="00677D22" w:rsidP="00677D22">
      <w:pPr>
        <w:ind w:left="720"/>
        <w:rPr>
          <w:rFonts w:cs="Arial"/>
        </w:rPr>
      </w:pPr>
      <w:proofErr w:type="gramStart"/>
      <w:r w:rsidRPr="00677D22">
        <w:rPr>
          <w:rFonts w:cs="Arial"/>
        </w:rPr>
        <w:t>is</w:t>
      </w:r>
      <w:proofErr w:type="gramEnd"/>
      <w:r w:rsidRPr="00677D22">
        <w:rPr>
          <w:rFonts w:cs="Arial"/>
        </w:rPr>
        <w:t xml:space="preserve"> equivalent to</w:t>
      </w:r>
    </w:p>
    <w:p w14:paraId="45469FC6" w14:textId="77777777" w:rsidR="00677D22" w:rsidRPr="00677D22" w:rsidRDefault="00677D22" w:rsidP="001260E1">
      <w:pPr>
        <w:ind w:left="720" w:firstLine="720"/>
        <w:rPr>
          <w:rFonts w:cs="Arial"/>
        </w:rPr>
      </w:pPr>
      <w:r>
        <w:rPr>
          <w:rFonts w:cs="Arial"/>
        </w:rPr>
        <w:t>C</w:t>
      </w:r>
      <w:r w:rsidRPr="00677D22">
        <w:rPr>
          <w:rFonts w:cs="Arial"/>
          <w:vertAlign w:val="subscript"/>
        </w:rPr>
        <w:t>HD</w:t>
      </w:r>
      <w:r>
        <w:rPr>
          <w:rFonts w:cs="Arial"/>
        </w:rPr>
        <w:t>/C</w:t>
      </w:r>
      <w:r w:rsidRPr="00677D22">
        <w:rPr>
          <w:rFonts w:cs="Arial"/>
          <w:vertAlign w:val="subscript"/>
        </w:rPr>
        <w:t>FL</w:t>
      </w:r>
    </w:p>
    <w:p w14:paraId="416C38F6" w14:textId="77777777" w:rsidR="00677D22" w:rsidRDefault="00677D22" w:rsidP="00677D22">
      <w:pPr>
        <w:ind w:left="720"/>
        <w:rPr>
          <w:rFonts w:cs="Arial"/>
        </w:rPr>
      </w:pPr>
      <w:r w:rsidRPr="00677D22">
        <w:rPr>
          <w:rFonts w:cs="Arial"/>
        </w:rPr>
        <w:t>Given the total number of cases, C</w:t>
      </w:r>
      <w:r w:rsidRPr="00677D22">
        <w:rPr>
          <w:rFonts w:cs="Arial"/>
          <w:vertAlign w:val="subscript"/>
        </w:rPr>
        <w:t>HD</w:t>
      </w:r>
      <w:r w:rsidRPr="00677D22">
        <w:rPr>
          <w:rFonts w:cs="Arial"/>
        </w:rPr>
        <w:t xml:space="preserve"> has a binomial distribution (q, C</w:t>
      </w:r>
      <w:r w:rsidRPr="00677D22">
        <w:rPr>
          <w:rFonts w:cs="Arial"/>
          <w:vertAlign w:val="subscript"/>
        </w:rPr>
        <w:t>HD</w:t>
      </w:r>
      <w:r w:rsidRPr="00677D22">
        <w:rPr>
          <w:rFonts w:cs="Arial"/>
        </w:rPr>
        <w:t>+C</w:t>
      </w:r>
      <w:r w:rsidRPr="00677D22">
        <w:rPr>
          <w:rFonts w:cs="Arial"/>
          <w:vertAlign w:val="subscript"/>
        </w:rPr>
        <w:t>FL</w:t>
      </w:r>
      <w:r w:rsidRPr="00677D22">
        <w:rPr>
          <w:rFonts w:cs="Arial"/>
        </w:rPr>
        <w:t>). Thus, a CI</w:t>
      </w:r>
      <w:r>
        <w:rPr>
          <w:rFonts w:cs="Arial"/>
        </w:rPr>
        <w:t xml:space="preserve"> </w:t>
      </w:r>
      <w:r w:rsidRPr="00677D22">
        <w:rPr>
          <w:rFonts w:cs="Arial"/>
        </w:rPr>
        <w:t>for q may be constructed using the exact Clopper-Pearson method for binomial proportions. Since</w:t>
      </w:r>
      <w:r w:rsidR="00552AC1">
        <w:rPr>
          <w:rFonts w:cs="Arial"/>
        </w:rPr>
        <w:t xml:space="preserve"> </w:t>
      </w:r>
      <w:r w:rsidRPr="00677D22">
        <w:rPr>
          <w:rFonts w:cs="Arial"/>
        </w:rPr>
        <w:t>q</w:t>
      </w:r>
      <w:r>
        <w:rPr>
          <w:rFonts w:cs="Arial"/>
        </w:rPr>
        <w:t>/1-</w:t>
      </w:r>
      <w:r w:rsidRPr="00677D22">
        <w:rPr>
          <w:rFonts w:cs="Arial"/>
        </w:rPr>
        <w:t>q</w:t>
      </w:r>
      <w:r>
        <w:rPr>
          <w:rFonts w:cs="Arial"/>
        </w:rPr>
        <w:t xml:space="preserve"> </w:t>
      </w:r>
      <w:r w:rsidRPr="00677D22">
        <w:rPr>
          <w:rFonts w:cs="Arial"/>
        </w:rPr>
        <w:t>is a strictly increasing function of q, a CI for VE may be constructed.</w:t>
      </w:r>
    </w:p>
    <w:p w14:paraId="6FD1FA86" w14:textId="614BED29" w:rsidR="00677D22" w:rsidRPr="00051F30" w:rsidRDefault="00677D22" w:rsidP="00677D22">
      <w:pPr>
        <w:ind w:left="720"/>
        <w:rPr>
          <w:rFonts w:cs="Arial"/>
        </w:rPr>
      </w:pPr>
      <w:r w:rsidRPr="00677D22">
        <w:rPr>
          <w:rFonts w:cs="Arial"/>
        </w:rPr>
        <w:lastRenderedPageBreak/>
        <w:t>Fluzone High-Dose would be considered superior to Fluzone if the lower bound of the 95% two</w:t>
      </w:r>
      <w:r>
        <w:rPr>
          <w:rFonts w:cs="Arial"/>
        </w:rPr>
        <w:t xml:space="preserve"> </w:t>
      </w:r>
      <w:proofErr w:type="gramStart"/>
      <w:r w:rsidRPr="00677D22">
        <w:rPr>
          <w:rFonts w:cs="Arial"/>
        </w:rPr>
        <w:t>sided</w:t>
      </w:r>
      <w:proofErr w:type="gramEnd"/>
      <w:r>
        <w:rPr>
          <w:rFonts w:cs="Arial"/>
        </w:rPr>
        <w:t xml:space="preserve"> </w:t>
      </w:r>
      <w:r w:rsidRPr="00677D22">
        <w:rPr>
          <w:rFonts w:cs="Arial"/>
        </w:rPr>
        <w:t>CI for relative VE was &gt; 9.1% for the primary objective. An interim analysis was to be</w:t>
      </w:r>
      <w:r>
        <w:rPr>
          <w:rFonts w:cs="Arial"/>
        </w:rPr>
        <w:t xml:space="preserve"> </w:t>
      </w:r>
      <w:r w:rsidRPr="00677D22">
        <w:rPr>
          <w:rFonts w:cs="Arial"/>
        </w:rPr>
        <w:t>conducted by an IDMC at the end of the first year if the total number of primary endpoint cases at</w:t>
      </w:r>
      <w:r>
        <w:rPr>
          <w:rFonts w:cs="Arial"/>
        </w:rPr>
        <w:t xml:space="preserve"> </w:t>
      </w:r>
      <w:r w:rsidRPr="00677D22">
        <w:rPr>
          <w:rFonts w:cs="Arial"/>
        </w:rPr>
        <w:t>that time was at least 80, with the possibility of stopping the trial if efficacy was demonstrated;</w:t>
      </w:r>
      <w:r>
        <w:rPr>
          <w:rFonts w:cs="Arial"/>
        </w:rPr>
        <w:t xml:space="preserve"> </w:t>
      </w:r>
      <w:r w:rsidRPr="00677D22">
        <w:rPr>
          <w:rFonts w:cs="Arial"/>
        </w:rPr>
        <w:t xml:space="preserve">however, this number was not </w:t>
      </w:r>
      <w:r w:rsidR="00196C1B" w:rsidRPr="00677D22">
        <w:rPr>
          <w:rFonts w:cs="Arial"/>
        </w:rPr>
        <w:t>reali</w:t>
      </w:r>
      <w:r w:rsidR="00196C1B">
        <w:rPr>
          <w:rFonts w:cs="Arial"/>
        </w:rPr>
        <w:t>s</w:t>
      </w:r>
      <w:r w:rsidR="00196C1B" w:rsidRPr="00677D22">
        <w:rPr>
          <w:rFonts w:cs="Arial"/>
        </w:rPr>
        <w:t>ed</w:t>
      </w:r>
      <w:r w:rsidRPr="00677D22">
        <w:rPr>
          <w:rFonts w:cs="Arial"/>
        </w:rPr>
        <w:t>.</w:t>
      </w:r>
    </w:p>
    <w:p w14:paraId="6584D99E" w14:textId="77777777" w:rsidR="0033578E" w:rsidRPr="00051F30" w:rsidRDefault="0033578E" w:rsidP="00D31195">
      <w:r w:rsidRPr="00051F30">
        <w:t>There was no hypothesis testing of secondary endpoints.</w:t>
      </w:r>
    </w:p>
    <w:p w14:paraId="349D74D1" w14:textId="77777777" w:rsidR="0033578E" w:rsidRDefault="0033578E" w:rsidP="00D31195">
      <w:pPr>
        <w:pStyle w:val="Heading5"/>
      </w:pPr>
      <w:r w:rsidRPr="00051F30">
        <w:t>Participant flow</w:t>
      </w:r>
    </w:p>
    <w:p w14:paraId="1797376A" w14:textId="38D618EF" w:rsidR="0067687A" w:rsidRPr="00051F30" w:rsidRDefault="0067687A" w:rsidP="0067687A">
      <w:pPr>
        <w:autoSpaceDE w:val="0"/>
        <w:autoSpaceDN w:val="0"/>
        <w:adjustRightInd w:val="0"/>
        <w:rPr>
          <w:rFonts w:cs="Arial"/>
        </w:rPr>
      </w:pPr>
      <w:bookmarkStart w:id="67" w:name="_Toc370576204"/>
      <w:r w:rsidRPr="00051F30">
        <w:rPr>
          <w:rFonts w:cs="Arial"/>
        </w:rPr>
        <w:t xml:space="preserve">A total of 31,989 subjects were enrolled, of whom 95% completed the study overall. Study completion rates, loss to follow-up and withdrawals due to adverse events occurred at similar rates between the </w:t>
      </w:r>
      <w:proofErr w:type="gramStart"/>
      <w:r w:rsidRPr="00051F30">
        <w:rPr>
          <w:rFonts w:cs="Arial"/>
        </w:rPr>
        <w:t>treatment</w:t>
      </w:r>
      <w:proofErr w:type="gramEnd"/>
      <w:r w:rsidRPr="00051F30">
        <w:rPr>
          <w:rFonts w:cs="Arial"/>
        </w:rPr>
        <w:t xml:space="preserve"> arms</w:t>
      </w:r>
      <w:r>
        <w:rPr>
          <w:rFonts w:cs="Arial"/>
        </w:rPr>
        <w:t xml:space="preserve"> (Table </w:t>
      </w:r>
      <w:r w:rsidR="001459F5">
        <w:rPr>
          <w:rFonts w:cs="Arial"/>
        </w:rPr>
        <w:t>9</w:t>
      </w:r>
      <w:r>
        <w:rPr>
          <w:rFonts w:cs="Arial"/>
        </w:rPr>
        <w:t>)</w:t>
      </w:r>
      <w:r w:rsidRPr="00051F30">
        <w:rPr>
          <w:rFonts w:cs="Arial"/>
        </w:rPr>
        <w:t>.</w:t>
      </w:r>
    </w:p>
    <w:p w14:paraId="1F35ADE8" w14:textId="77777777" w:rsidR="00FA7CB8" w:rsidRPr="00051F30" w:rsidRDefault="00FA7CB8" w:rsidP="00FA7CB8">
      <w:pPr>
        <w:pStyle w:val="Tabletitle"/>
      </w:pPr>
      <w:r>
        <w:t xml:space="preserve">Table </w:t>
      </w:r>
      <w:r w:rsidR="001459F5">
        <w:t>9</w:t>
      </w:r>
      <w:r w:rsidRPr="00051F30">
        <w:t xml:space="preserve">: </w:t>
      </w:r>
      <w:r>
        <w:t>P</w:t>
      </w:r>
      <w:r w:rsidRPr="00051F30">
        <w:t xml:space="preserve">articipant flow in </w:t>
      </w:r>
      <w:r>
        <w:t>Study FI</w:t>
      </w:r>
      <w:r w:rsidRPr="00051F30">
        <w:t>M12</w:t>
      </w:r>
      <w:bookmarkEnd w:id="67"/>
    </w:p>
    <w:p w14:paraId="695D734C" w14:textId="77777777" w:rsidR="0033578E" w:rsidRPr="00051F30" w:rsidRDefault="0033578E" w:rsidP="00FA7CB8">
      <w:r w:rsidRPr="00051F30">
        <w:rPr>
          <w:noProof/>
          <w:bdr w:val="single" w:sz="4" w:space="0" w:color="auto"/>
          <w:lang w:eastAsia="en-AU"/>
        </w:rPr>
        <w:drawing>
          <wp:inline distT="0" distB="0" distL="0" distR="0" wp14:anchorId="5653AF8B" wp14:editId="6FE4D2F5">
            <wp:extent cx="6130625" cy="2528455"/>
            <wp:effectExtent l="0" t="0" r="3810" b="5715"/>
            <wp:docPr id="27" name="Picture 10" descr="Participant flow in Study F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lum bright="-20000" contrast="40000"/>
                    </a:blip>
                    <a:srcRect t="1763" b="6297"/>
                    <a:stretch/>
                  </pic:blipFill>
                  <pic:spPr bwMode="auto">
                    <a:xfrm>
                      <a:off x="0" y="0"/>
                      <a:ext cx="6135119" cy="2530309"/>
                    </a:xfrm>
                    <a:prstGeom prst="rect">
                      <a:avLst/>
                    </a:prstGeom>
                    <a:noFill/>
                    <a:ln>
                      <a:noFill/>
                    </a:ln>
                    <a:extLst>
                      <a:ext uri="{53640926-AAD7-44D8-BBD7-CCE9431645EC}">
                        <a14:shadowObscured xmlns:a14="http://schemas.microsoft.com/office/drawing/2010/main"/>
                      </a:ext>
                    </a:extLst>
                  </pic:spPr>
                </pic:pic>
              </a:graphicData>
            </a:graphic>
          </wp:inline>
        </w:drawing>
      </w:r>
    </w:p>
    <w:p w14:paraId="411D1888" w14:textId="77777777" w:rsidR="0033578E" w:rsidRDefault="0033578E" w:rsidP="00FA7CB8">
      <w:pPr>
        <w:pStyle w:val="Heading5"/>
      </w:pPr>
      <w:r w:rsidRPr="00051F30">
        <w:t>Major protocol violations/deviations</w:t>
      </w:r>
    </w:p>
    <w:p w14:paraId="1442DECB" w14:textId="088756E7" w:rsidR="0067687A" w:rsidRDefault="0067687A" w:rsidP="0067687A">
      <w:r w:rsidRPr="00051F30">
        <w:t>A total of 186 subjects were excluded from the per-protocol analysis for protocol deviations. The most common of these was not being contacted during the surveillance period (n</w:t>
      </w:r>
      <w:r w:rsidR="00196C1B">
        <w:t xml:space="preserve"> </w:t>
      </w:r>
      <w:r w:rsidRPr="00051F30">
        <w:t>=</w:t>
      </w:r>
      <w:r w:rsidR="00196C1B">
        <w:t xml:space="preserve"> </w:t>
      </w:r>
      <w:r w:rsidRPr="00051F30">
        <w:t>93). Rates of protocol deviations were similar between treatment arms</w:t>
      </w:r>
      <w:r>
        <w:t xml:space="preserve"> (Table 1</w:t>
      </w:r>
      <w:r w:rsidR="001459F5">
        <w:t>0</w:t>
      </w:r>
      <w:r>
        <w:t>).</w:t>
      </w:r>
    </w:p>
    <w:p w14:paraId="6469CCDD" w14:textId="77777777" w:rsidR="00FA7CB8" w:rsidRPr="00051F30" w:rsidRDefault="00FA7CB8" w:rsidP="00FA7CB8">
      <w:pPr>
        <w:pStyle w:val="Tabletitle"/>
      </w:pPr>
      <w:r>
        <w:t>Table 1</w:t>
      </w:r>
      <w:r w:rsidR="001459F5">
        <w:t>0</w:t>
      </w:r>
      <w:r w:rsidRPr="00051F30">
        <w:t xml:space="preserve">: Major protocol violations occurring in </w:t>
      </w:r>
      <w:r>
        <w:t>Fluzone High-Dose</w:t>
      </w:r>
      <w:r w:rsidRPr="00051F30">
        <w:t xml:space="preserve"> and Fluzone treatment arms in Study FIM12</w:t>
      </w:r>
    </w:p>
    <w:p w14:paraId="49E52030" w14:textId="77777777" w:rsidR="0033578E" w:rsidRPr="00051F30" w:rsidRDefault="0033578E" w:rsidP="00FA7CB8">
      <w:r w:rsidRPr="00051F30">
        <w:rPr>
          <w:noProof/>
          <w:bdr w:val="single" w:sz="4" w:space="0" w:color="auto"/>
          <w:lang w:eastAsia="en-AU"/>
        </w:rPr>
        <w:drawing>
          <wp:inline distT="0" distB="0" distL="0" distR="0" wp14:anchorId="19E5B154" wp14:editId="387DEAE1">
            <wp:extent cx="6132996" cy="2618509"/>
            <wp:effectExtent l="0" t="0" r="1270" b="0"/>
            <wp:docPr id="28" name="Picture 11" descr="Major protocol violations occurring in Fluzone High-Dose and Fluzone treatment arms in Study F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lum bright="-20000" contrast="40000"/>
                    </a:blip>
                    <a:srcRect b="5264"/>
                    <a:stretch/>
                  </pic:blipFill>
                  <pic:spPr bwMode="auto">
                    <a:xfrm>
                      <a:off x="0" y="0"/>
                      <a:ext cx="6141108" cy="2621973"/>
                    </a:xfrm>
                    <a:prstGeom prst="rect">
                      <a:avLst/>
                    </a:prstGeom>
                    <a:noFill/>
                    <a:ln>
                      <a:noFill/>
                    </a:ln>
                    <a:extLst>
                      <a:ext uri="{53640926-AAD7-44D8-BBD7-CCE9431645EC}">
                        <a14:shadowObscured xmlns:a14="http://schemas.microsoft.com/office/drawing/2010/main"/>
                      </a:ext>
                    </a:extLst>
                  </pic:spPr>
                </pic:pic>
              </a:graphicData>
            </a:graphic>
          </wp:inline>
        </w:drawing>
      </w:r>
    </w:p>
    <w:p w14:paraId="7610AC79" w14:textId="77777777" w:rsidR="0033578E" w:rsidRPr="00051F30" w:rsidRDefault="0033578E" w:rsidP="00FA7CB8">
      <w:pPr>
        <w:pStyle w:val="Heading5"/>
      </w:pPr>
      <w:r w:rsidRPr="00051F30">
        <w:lastRenderedPageBreak/>
        <w:t>Baseline data</w:t>
      </w:r>
    </w:p>
    <w:p w14:paraId="78B59264" w14:textId="77777777" w:rsidR="00FA7CB8" w:rsidRDefault="0033578E" w:rsidP="00FA7CB8">
      <w:r w:rsidRPr="00051F30">
        <w:t xml:space="preserve">Of the subjects enrolled, 43.4% were male and 56.6% were female, with the population having a mean age of 73.3 years. The treatment arms were balanced for race, sex and age. The proportion of subjects reporting at least one specified chronic co-morbidity was similar between the </w:t>
      </w:r>
      <w:r w:rsidR="00CD0E09">
        <w:t>Fluzone High-Dose</w:t>
      </w:r>
      <w:r w:rsidRPr="00051F30">
        <w:t xml:space="preserve"> (67.22%) and Fluzone (67.24) treatment arms</w:t>
      </w:r>
      <w:r w:rsidR="0067687A">
        <w:t xml:space="preserve"> (Table 1</w:t>
      </w:r>
      <w:r w:rsidR="001459F5">
        <w:t>1</w:t>
      </w:r>
      <w:r w:rsidR="0067687A">
        <w:t>)</w:t>
      </w:r>
      <w:r w:rsidRPr="00051F30">
        <w:t xml:space="preserve">. </w:t>
      </w:r>
      <w:bookmarkStart w:id="68" w:name="_Toc370576206"/>
    </w:p>
    <w:p w14:paraId="68BE1105" w14:textId="77777777" w:rsidR="00FA7CB8" w:rsidRPr="00051F30" w:rsidRDefault="00FA7CB8" w:rsidP="00FA7CB8">
      <w:pPr>
        <w:pStyle w:val="Tabletitle"/>
      </w:pPr>
      <w:r>
        <w:t>Table 1</w:t>
      </w:r>
      <w:r w:rsidR="001459F5">
        <w:t>1</w:t>
      </w:r>
      <w:r w:rsidRPr="00051F30">
        <w:t xml:space="preserve">: Summary of pre-existing medical conditions among </w:t>
      </w:r>
      <w:r>
        <w:t>Fluzone High-Dose</w:t>
      </w:r>
      <w:r w:rsidRPr="00051F30">
        <w:t xml:space="preserve"> and Fluzone treated subjects in Study FIM12</w:t>
      </w:r>
      <w:bookmarkEnd w:id="68"/>
    </w:p>
    <w:p w14:paraId="5E9FCF0C" w14:textId="77777777" w:rsidR="0033578E" w:rsidRPr="00051F30" w:rsidRDefault="0033578E" w:rsidP="00FA7CB8">
      <w:r w:rsidRPr="00051F30">
        <w:rPr>
          <w:noProof/>
          <w:bdr w:val="single" w:sz="4" w:space="0" w:color="auto"/>
          <w:lang w:eastAsia="en-AU"/>
        </w:rPr>
        <w:drawing>
          <wp:inline distT="0" distB="0" distL="0" distR="0" wp14:anchorId="2BC4A561" wp14:editId="51A8868A">
            <wp:extent cx="5687291" cy="2121844"/>
            <wp:effectExtent l="0" t="0" r="8890" b="0"/>
            <wp:docPr id="20" name="Picture 1" descr=": Summary of pre-existing medical conditions among Fluzone High-Dose and Fluzone treated subjects in Study F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lum bright="-20000" contrast="40000"/>
                    </a:blip>
                    <a:srcRect t="6608"/>
                    <a:stretch/>
                  </pic:blipFill>
                  <pic:spPr bwMode="auto">
                    <a:xfrm>
                      <a:off x="0" y="0"/>
                      <a:ext cx="5695151" cy="2124776"/>
                    </a:xfrm>
                    <a:prstGeom prst="rect">
                      <a:avLst/>
                    </a:prstGeom>
                    <a:noFill/>
                    <a:ln>
                      <a:noFill/>
                    </a:ln>
                    <a:extLst>
                      <a:ext uri="{53640926-AAD7-44D8-BBD7-CCE9431645EC}">
                        <a14:shadowObscured xmlns:a14="http://schemas.microsoft.com/office/drawing/2010/main"/>
                      </a:ext>
                    </a:extLst>
                  </pic:spPr>
                </pic:pic>
              </a:graphicData>
            </a:graphic>
          </wp:inline>
        </w:drawing>
      </w:r>
    </w:p>
    <w:p w14:paraId="33D6DE38" w14:textId="4B1D99BC" w:rsidR="0067687A" w:rsidRDefault="0033578E" w:rsidP="0067687A">
      <w:pPr>
        <w:pStyle w:val="Heading5"/>
      </w:pPr>
      <w:r w:rsidRPr="00051F30">
        <w:t>Results for the primary efficacy outcome</w:t>
      </w:r>
    </w:p>
    <w:p w14:paraId="5517E289" w14:textId="77777777" w:rsidR="0067687A" w:rsidRPr="00051F30" w:rsidRDefault="0067687A" w:rsidP="0067687A">
      <w:pPr>
        <w:rPr>
          <w:rFonts w:cs="Arial"/>
        </w:rPr>
      </w:pPr>
      <w:r w:rsidRPr="00051F30">
        <w:rPr>
          <w:rFonts w:cs="Arial"/>
        </w:rPr>
        <w:t xml:space="preserve">The calculated relative vaccine efficacy of 24.24% (95% CI 9.71-36.50) demonstrated the superiority of </w:t>
      </w:r>
      <w:r>
        <w:rPr>
          <w:rFonts w:cs="Arial"/>
        </w:rPr>
        <w:t>Fluzone High-Dose</w:t>
      </w:r>
      <w:r w:rsidRPr="00051F30">
        <w:rPr>
          <w:rFonts w:cs="Arial"/>
        </w:rPr>
        <w:t xml:space="preserve"> to Fluzone using the pre-specified margin of superiority of 9.1% and the protocol-defined case definition of influenza</w:t>
      </w:r>
      <w:r>
        <w:rPr>
          <w:rFonts w:cs="Arial"/>
        </w:rPr>
        <w:t xml:space="preserve"> (Table 1</w:t>
      </w:r>
      <w:r w:rsidR="001459F5">
        <w:rPr>
          <w:rFonts w:cs="Arial"/>
        </w:rPr>
        <w:t>2</w:t>
      </w:r>
      <w:r>
        <w:rPr>
          <w:rFonts w:cs="Arial"/>
        </w:rPr>
        <w:t>)</w:t>
      </w:r>
      <w:r w:rsidRPr="00051F30">
        <w:rPr>
          <w:rFonts w:cs="Arial"/>
        </w:rPr>
        <w:t>.</w:t>
      </w:r>
    </w:p>
    <w:p w14:paraId="105A7398" w14:textId="192A2C8F" w:rsidR="0067687A" w:rsidRPr="00051F30" w:rsidRDefault="0067687A" w:rsidP="0067687A">
      <w:pPr>
        <w:rPr>
          <w:rFonts w:cs="Arial"/>
        </w:rPr>
      </w:pPr>
      <w:r w:rsidRPr="00051F30">
        <w:rPr>
          <w:rFonts w:cs="Arial"/>
        </w:rPr>
        <w:t xml:space="preserve">These results did not differ between the per-protocol and FAS analyses. The relative efficacy of </w:t>
      </w:r>
      <w:r>
        <w:rPr>
          <w:rFonts w:cs="Arial"/>
        </w:rPr>
        <w:t>Fluzone High-Dose</w:t>
      </w:r>
      <w:r w:rsidRPr="00051F30">
        <w:rPr>
          <w:rFonts w:cs="Arial"/>
        </w:rPr>
        <w:t xml:space="preserve">/Fluzone was higher for H3N2 influenza (23.30) and </w:t>
      </w:r>
      <w:r w:rsidR="00196C1B">
        <w:rPr>
          <w:rFonts w:cs="Arial"/>
        </w:rPr>
        <w:t>i</w:t>
      </w:r>
      <w:r w:rsidR="00196C1B" w:rsidRPr="00051F30">
        <w:rPr>
          <w:rFonts w:cs="Arial"/>
        </w:rPr>
        <w:t xml:space="preserve">nfluenza </w:t>
      </w:r>
      <w:r w:rsidRPr="00051F30">
        <w:rPr>
          <w:rFonts w:cs="Arial"/>
        </w:rPr>
        <w:t xml:space="preserve">B (25.48) than for H1N1 influenza (11.09). The relative vaccine efficacy for </w:t>
      </w:r>
      <w:r>
        <w:rPr>
          <w:rFonts w:cs="Arial"/>
        </w:rPr>
        <w:t>Fluzone High-Dose</w:t>
      </w:r>
      <w:r w:rsidRPr="00051F30">
        <w:rPr>
          <w:rFonts w:cs="Arial"/>
        </w:rPr>
        <w:t>/Fluzone for H1N1 was -33.53</w:t>
      </w:r>
      <w:r w:rsidR="00196C1B">
        <w:rPr>
          <w:rFonts w:cs="Arial"/>
        </w:rPr>
        <w:t xml:space="preserve">, for example, </w:t>
      </w:r>
      <w:r w:rsidRPr="00051F30">
        <w:rPr>
          <w:rFonts w:cs="Arial"/>
        </w:rPr>
        <w:t xml:space="preserve">Fluzone was superior in </w:t>
      </w:r>
      <w:r w:rsidR="00196C1B">
        <w:rPr>
          <w:rFonts w:cs="Arial"/>
        </w:rPr>
        <w:t>Y</w:t>
      </w:r>
      <w:r w:rsidR="00196C1B" w:rsidRPr="00051F30">
        <w:rPr>
          <w:rFonts w:cs="Arial"/>
        </w:rPr>
        <w:t xml:space="preserve">ear </w:t>
      </w:r>
      <w:r w:rsidRPr="00051F30">
        <w:rPr>
          <w:rFonts w:cs="Arial"/>
        </w:rPr>
        <w:t>2 of the study. There were, however, low numbers of H1N1 cases observed over the study, which is reflected in the wide confidence intervals for the estimate of relative vaccine efficacy for this strain.</w:t>
      </w:r>
    </w:p>
    <w:p w14:paraId="79114F2E" w14:textId="77777777" w:rsidR="0067687A" w:rsidRPr="00051F30" w:rsidRDefault="0067687A" w:rsidP="0067687A">
      <w:pPr>
        <w:pStyle w:val="Tabletitle"/>
      </w:pPr>
      <w:bookmarkStart w:id="69" w:name="_Toc370576207"/>
      <w:r>
        <w:t>Table 1</w:t>
      </w:r>
      <w:r w:rsidR="001459F5">
        <w:t>2</w:t>
      </w:r>
      <w:r w:rsidRPr="00051F30">
        <w:t xml:space="preserve">: Relative rates of influenza according to protocol-defined and Modified CDC case definitions in </w:t>
      </w:r>
      <w:r>
        <w:t>Fluzone High-Dose</w:t>
      </w:r>
      <w:r w:rsidRPr="00051F30">
        <w:t xml:space="preserve"> and Fluzone treated subjects in Study FIM12</w:t>
      </w:r>
      <w:bookmarkEnd w:id="69"/>
    </w:p>
    <w:p w14:paraId="2817840F" w14:textId="77777777" w:rsidR="0033578E" w:rsidRPr="00051F30" w:rsidRDefault="0033578E" w:rsidP="0067687A">
      <w:r w:rsidRPr="00051F30">
        <w:rPr>
          <w:noProof/>
          <w:bdr w:val="single" w:sz="4" w:space="0" w:color="auto"/>
          <w:lang w:eastAsia="en-AU"/>
        </w:rPr>
        <w:drawing>
          <wp:inline distT="0" distB="0" distL="0" distR="0" wp14:anchorId="280B760C" wp14:editId="493E3CF1">
            <wp:extent cx="6298880" cy="2854036"/>
            <wp:effectExtent l="0" t="0" r="6985" b="3810"/>
            <wp:docPr id="30" name="Picture 4" descr="Relative rates of influenza according to protocol-defined and Modified CDC case definitions in Fluzone High-Dose and Fluzone treated subjects in Study F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bright="-20000" contrast="40000"/>
                    </a:blip>
                    <a:srcRect/>
                    <a:stretch>
                      <a:fillRect/>
                    </a:stretch>
                  </pic:blipFill>
                  <pic:spPr bwMode="auto">
                    <a:xfrm>
                      <a:off x="0" y="0"/>
                      <a:ext cx="6314480" cy="2861104"/>
                    </a:xfrm>
                    <a:prstGeom prst="rect">
                      <a:avLst/>
                    </a:prstGeom>
                    <a:noFill/>
                    <a:ln w="9525">
                      <a:noFill/>
                      <a:miter lim="800000"/>
                      <a:headEnd/>
                      <a:tailEnd/>
                    </a:ln>
                  </pic:spPr>
                </pic:pic>
              </a:graphicData>
            </a:graphic>
          </wp:inline>
        </w:drawing>
      </w:r>
    </w:p>
    <w:p w14:paraId="2932001A" w14:textId="01FC1C15" w:rsidR="0033578E" w:rsidRPr="00051F30" w:rsidRDefault="0033578E" w:rsidP="0033578E">
      <w:pPr>
        <w:rPr>
          <w:rFonts w:cs="Arial"/>
        </w:rPr>
      </w:pPr>
      <w:r w:rsidRPr="00051F30">
        <w:rPr>
          <w:rFonts w:cs="Arial"/>
        </w:rPr>
        <w:lastRenderedPageBreak/>
        <w:t xml:space="preserve">The results were similar using the modified CDC case definition of influenza. The lower numbers of patients achieving this more restrictive definition of illness reduced the accuracy of the estimate of vaccine efficacy, including very low numbers of H1N1 influenza. Using this case definition the relative vaccine efficacy against H1N1 influenza was unfavourable for </w:t>
      </w:r>
      <w:r w:rsidR="00CD0E09">
        <w:rPr>
          <w:rFonts w:cs="Arial"/>
        </w:rPr>
        <w:t>Fluzone High-Dose</w:t>
      </w:r>
      <w:r w:rsidRPr="00051F30">
        <w:rPr>
          <w:rFonts w:cs="Arial"/>
        </w:rPr>
        <w:t>; -50.03 (95% CI -1696</w:t>
      </w:r>
      <w:r w:rsidR="00196C1B">
        <w:rPr>
          <w:rFonts w:cs="Arial"/>
        </w:rPr>
        <w:t xml:space="preserve">, </w:t>
      </w:r>
      <w:r w:rsidRPr="00051F30">
        <w:rPr>
          <w:rFonts w:cs="Arial"/>
        </w:rPr>
        <w:t>82.80)</w:t>
      </w:r>
    </w:p>
    <w:p w14:paraId="7E3AB850" w14:textId="77777777" w:rsidR="0033578E" w:rsidRPr="00051F30" w:rsidRDefault="0033578E" w:rsidP="0067687A">
      <w:pPr>
        <w:pStyle w:val="Heading5"/>
      </w:pPr>
      <w:r w:rsidRPr="00051F30">
        <w:t xml:space="preserve">Results </w:t>
      </w:r>
      <w:r w:rsidRPr="0067687A">
        <w:t>for</w:t>
      </w:r>
      <w:r w:rsidRPr="00051F30">
        <w:t xml:space="preserve"> other efficacy outcomes</w:t>
      </w:r>
    </w:p>
    <w:p w14:paraId="2DBDD138" w14:textId="77777777" w:rsidR="0033578E" w:rsidRDefault="0033578E" w:rsidP="0067687A">
      <w:pPr>
        <w:pStyle w:val="Heading6"/>
      </w:pPr>
      <w:r w:rsidRPr="00051F30">
        <w:t>Relative vaccine efficacy against culture-confirmed influenza caused by viral types antigenically similar to those contained in the vaccine</w:t>
      </w:r>
    </w:p>
    <w:p w14:paraId="66102A6E" w14:textId="3FCDF299" w:rsidR="0067687A" w:rsidRDefault="0067687A" w:rsidP="0067687A">
      <w:r w:rsidRPr="00051F30">
        <w:t xml:space="preserve">The relative vaccine efficacy for </w:t>
      </w:r>
      <w:r>
        <w:t>Fluzone High-Dose</w:t>
      </w:r>
      <w:r w:rsidRPr="00051F30">
        <w:t xml:space="preserve">/Fluzone for influenza types which were antigenically similar to the vaccine strains was 31.44 indicating superior protection with </w:t>
      </w:r>
      <w:r>
        <w:t>Fluzone High-Dose</w:t>
      </w:r>
      <w:r w:rsidRPr="00051F30">
        <w:t xml:space="preserve"> to the standard dose vaccine</w:t>
      </w:r>
      <w:r w:rsidR="0026401D">
        <w:t xml:space="preserve"> (Table 1</w:t>
      </w:r>
      <w:r w:rsidR="001459F5">
        <w:t>3</w:t>
      </w:r>
      <w:r w:rsidR="0026401D">
        <w:t>)</w:t>
      </w:r>
      <w:r w:rsidRPr="00051F30">
        <w:t>.</w:t>
      </w:r>
      <w:bookmarkStart w:id="70" w:name="_Toc370576208"/>
    </w:p>
    <w:p w14:paraId="1538BD0B" w14:textId="77777777" w:rsidR="0067687A" w:rsidRPr="00051F30" w:rsidRDefault="0067687A" w:rsidP="0067687A">
      <w:pPr>
        <w:pStyle w:val="Tabletitle"/>
      </w:pPr>
      <w:r>
        <w:t>Table 1</w:t>
      </w:r>
      <w:r w:rsidR="001459F5">
        <w:t>3</w:t>
      </w:r>
      <w:r w:rsidRPr="00051F30">
        <w:t xml:space="preserve">: Relative rates of influenza caused by virus antigenically similar to that contained in the vaccine in </w:t>
      </w:r>
      <w:r>
        <w:t>Fluzone High-Dose</w:t>
      </w:r>
      <w:r w:rsidRPr="00051F30">
        <w:t xml:space="preserve"> and Fluzone treated subjects in Study FIM12 (per protocol analysis)</w:t>
      </w:r>
      <w:bookmarkEnd w:id="70"/>
    </w:p>
    <w:p w14:paraId="3CB904DF" w14:textId="77777777" w:rsidR="0033578E" w:rsidRPr="00051F30" w:rsidRDefault="0033578E" w:rsidP="0067687A">
      <w:r w:rsidRPr="00051F30">
        <w:rPr>
          <w:noProof/>
          <w:bdr w:val="single" w:sz="4" w:space="0" w:color="auto"/>
          <w:lang w:eastAsia="en-AU"/>
        </w:rPr>
        <w:drawing>
          <wp:inline distT="0" distB="0" distL="0" distR="0" wp14:anchorId="0A374C16" wp14:editId="73B4B719">
            <wp:extent cx="6068291" cy="2722877"/>
            <wp:effectExtent l="0" t="0" r="0" b="1905"/>
            <wp:docPr id="31" name="Picture 5" descr="Relative rates of influenza caused by virus antigenically similar to that contained in the vaccine in Fluzone High-Dose and Fluzone treated subjects in Study FIM12 (per protoco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lum bright="-20000" contrast="40000"/>
                    </a:blip>
                    <a:srcRect/>
                    <a:stretch>
                      <a:fillRect/>
                    </a:stretch>
                  </pic:blipFill>
                  <pic:spPr bwMode="auto">
                    <a:xfrm>
                      <a:off x="0" y="0"/>
                      <a:ext cx="6068999" cy="2723195"/>
                    </a:xfrm>
                    <a:prstGeom prst="rect">
                      <a:avLst/>
                    </a:prstGeom>
                    <a:noFill/>
                    <a:ln w="9525">
                      <a:noFill/>
                      <a:miter lim="800000"/>
                      <a:headEnd/>
                      <a:tailEnd/>
                    </a:ln>
                  </pic:spPr>
                </pic:pic>
              </a:graphicData>
            </a:graphic>
          </wp:inline>
        </w:drawing>
      </w:r>
    </w:p>
    <w:p w14:paraId="20FCA97E" w14:textId="77777777" w:rsidR="0033578E" w:rsidRDefault="0033578E" w:rsidP="0067687A">
      <w:pPr>
        <w:pStyle w:val="Heading6"/>
      </w:pPr>
      <w:r w:rsidRPr="00051F30">
        <w:t>Relative vaccine efficacy against culture-confirmed influenza caused by viral types similar to those contained in the vaccine</w:t>
      </w:r>
    </w:p>
    <w:p w14:paraId="17FF0F62" w14:textId="5AE0AE6D" w:rsidR="0026401D" w:rsidRPr="00051F30" w:rsidRDefault="0026401D" w:rsidP="0026401D">
      <w:pPr>
        <w:autoSpaceDE w:val="0"/>
        <w:autoSpaceDN w:val="0"/>
        <w:adjustRightInd w:val="0"/>
        <w:rPr>
          <w:rFonts w:cs="Arial"/>
        </w:rPr>
      </w:pPr>
      <w:bookmarkStart w:id="71" w:name="_Toc370576209"/>
      <w:r w:rsidRPr="00051F30">
        <w:rPr>
          <w:rFonts w:cs="Arial"/>
        </w:rPr>
        <w:t>The relative vaccine efficacy for isolated confirmed as similar to the vaccine strains of virus indicates a similar pattern to the overall FAS results</w:t>
      </w:r>
      <w:r>
        <w:rPr>
          <w:rFonts w:cs="Arial"/>
        </w:rPr>
        <w:t xml:space="preserve"> (Table 1</w:t>
      </w:r>
      <w:r w:rsidR="001459F5">
        <w:rPr>
          <w:rFonts w:cs="Arial"/>
        </w:rPr>
        <w:t>4</w:t>
      </w:r>
      <w:r>
        <w:rPr>
          <w:rFonts w:cs="Arial"/>
        </w:rPr>
        <w:t>)</w:t>
      </w:r>
      <w:r w:rsidRPr="00051F30">
        <w:rPr>
          <w:rFonts w:cs="Arial"/>
        </w:rPr>
        <w:t>.</w:t>
      </w:r>
    </w:p>
    <w:p w14:paraId="2EFDD674" w14:textId="77777777" w:rsidR="0026401D" w:rsidRPr="00051F30" w:rsidRDefault="0026401D" w:rsidP="0026401D">
      <w:pPr>
        <w:pStyle w:val="Tabletitle"/>
      </w:pPr>
      <w:r>
        <w:lastRenderedPageBreak/>
        <w:t>Table 1</w:t>
      </w:r>
      <w:r w:rsidR="001459F5">
        <w:t>4</w:t>
      </w:r>
      <w:r w:rsidRPr="00051F30">
        <w:t xml:space="preserve">: Relative rates of influenza caused by virus antigenically similar to that contained in the vaccine in </w:t>
      </w:r>
      <w:r>
        <w:t>Fluzone High-Dose</w:t>
      </w:r>
      <w:r w:rsidRPr="00051F30">
        <w:t xml:space="preserve"> and Fluzone treated subjects in Study FIM12 (per protocol analysis)</w:t>
      </w:r>
      <w:bookmarkEnd w:id="71"/>
    </w:p>
    <w:p w14:paraId="5B18EE4A" w14:textId="77777777" w:rsidR="0033578E" w:rsidRPr="00051F30" w:rsidRDefault="0033578E" w:rsidP="0026401D">
      <w:r w:rsidRPr="00051F30">
        <w:rPr>
          <w:noProof/>
          <w:lang w:eastAsia="en-AU"/>
        </w:rPr>
        <w:drawing>
          <wp:inline distT="0" distB="0" distL="0" distR="0" wp14:anchorId="5D129378" wp14:editId="76E13A35">
            <wp:extent cx="5746373" cy="2563091"/>
            <wp:effectExtent l="0" t="0" r="6985" b="8890"/>
            <wp:docPr id="32" name="Picture 6" descr="Relative rates of influenza caused by virus antigenically similar to that contained in the vaccine in Fluzone High-Dose and Fluzone treated subjects in Study FIM12 (per protoco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lum bright="-20000" contrast="40000"/>
                    </a:blip>
                    <a:srcRect/>
                    <a:stretch>
                      <a:fillRect/>
                    </a:stretch>
                  </pic:blipFill>
                  <pic:spPr bwMode="auto">
                    <a:xfrm>
                      <a:off x="0" y="0"/>
                      <a:ext cx="5747926" cy="2563784"/>
                    </a:xfrm>
                    <a:prstGeom prst="rect">
                      <a:avLst/>
                    </a:prstGeom>
                    <a:noFill/>
                    <a:ln w="9525">
                      <a:noFill/>
                      <a:miter lim="800000"/>
                      <a:headEnd/>
                      <a:tailEnd/>
                    </a:ln>
                  </pic:spPr>
                </pic:pic>
              </a:graphicData>
            </a:graphic>
          </wp:inline>
        </w:drawing>
      </w:r>
    </w:p>
    <w:p w14:paraId="667A7807" w14:textId="77777777" w:rsidR="0033578E" w:rsidRDefault="0033578E" w:rsidP="0026401D">
      <w:pPr>
        <w:pStyle w:val="Heading6"/>
      </w:pPr>
      <w:r w:rsidRPr="00051F30">
        <w:t xml:space="preserve">Rates of pneumonia, exacerbation of pre-existing health conditions and health care utilisation </w:t>
      </w:r>
    </w:p>
    <w:p w14:paraId="035B9B02" w14:textId="77777777" w:rsidR="0026401D" w:rsidRPr="00051F30" w:rsidRDefault="0026401D" w:rsidP="0026401D">
      <w:pPr>
        <w:autoSpaceDE w:val="0"/>
        <w:autoSpaceDN w:val="0"/>
        <w:adjustRightInd w:val="0"/>
        <w:rPr>
          <w:rFonts w:cs="Arial"/>
        </w:rPr>
      </w:pPr>
      <w:r w:rsidRPr="00051F30">
        <w:rPr>
          <w:rFonts w:cs="Arial"/>
        </w:rPr>
        <w:t xml:space="preserve">Overall the number of cases of pneumonia or onset/exacerbation of pre-existing cardio-respiratory conditions was lower in the </w:t>
      </w:r>
      <w:r>
        <w:rPr>
          <w:rFonts w:cs="Arial"/>
        </w:rPr>
        <w:t>Fluzone High-Dose</w:t>
      </w:r>
      <w:r w:rsidRPr="00051F30">
        <w:rPr>
          <w:rFonts w:cs="Arial"/>
        </w:rPr>
        <w:t xml:space="preserve"> than the Fluzone treated group where the diagnosis of influenza is confirmed</w:t>
      </w:r>
      <w:r>
        <w:rPr>
          <w:rFonts w:cs="Arial"/>
        </w:rPr>
        <w:t xml:space="preserve"> (Table 1</w:t>
      </w:r>
      <w:r w:rsidR="001459F5">
        <w:rPr>
          <w:rFonts w:cs="Arial"/>
        </w:rPr>
        <w:t>5</w:t>
      </w:r>
      <w:r>
        <w:rPr>
          <w:rFonts w:cs="Arial"/>
        </w:rPr>
        <w:t>)</w:t>
      </w:r>
      <w:r w:rsidRPr="00051F30">
        <w:rPr>
          <w:rFonts w:cs="Arial"/>
        </w:rPr>
        <w:t xml:space="preserve">. The relative risk of these outcomes between the two treatment arms was not significantly different at a 95% level of confidence. </w:t>
      </w:r>
    </w:p>
    <w:p w14:paraId="6C5655DE" w14:textId="77777777" w:rsidR="0026401D" w:rsidRPr="00051F30" w:rsidRDefault="0026401D" w:rsidP="0026401D">
      <w:pPr>
        <w:pStyle w:val="Tabletitle"/>
      </w:pPr>
      <w:bookmarkStart w:id="72" w:name="_Toc370576210"/>
      <w:r>
        <w:t>Table 1</w:t>
      </w:r>
      <w:r w:rsidR="001459F5">
        <w:t>5</w:t>
      </w:r>
      <w:r w:rsidRPr="00051F30">
        <w:t xml:space="preserve">: Comparative rates of pneumonia, exacerbation of pre-existing health conditions and health-care utilisation in </w:t>
      </w:r>
      <w:r>
        <w:t>Fluzone High-Dose</w:t>
      </w:r>
      <w:r w:rsidRPr="00051F30">
        <w:t xml:space="preserve"> and Fluzone treated subjects</w:t>
      </w:r>
      <w:bookmarkEnd w:id="72"/>
    </w:p>
    <w:p w14:paraId="4729240D" w14:textId="77777777" w:rsidR="0033578E" w:rsidRPr="00051F30" w:rsidRDefault="0033578E" w:rsidP="0026401D">
      <w:r w:rsidRPr="00051F30">
        <w:rPr>
          <w:noProof/>
          <w:bdr w:val="single" w:sz="4" w:space="0" w:color="auto"/>
          <w:lang w:eastAsia="en-AU"/>
        </w:rPr>
        <w:drawing>
          <wp:inline distT="0" distB="0" distL="0" distR="0" wp14:anchorId="03F952BC" wp14:editId="0EE7B8C3">
            <wp:extent cx="5756564" cy="2244437"/>
            <wp:effectExtent l="0" t="0" r="0" b="3810"/>
            <wp:docPr id="33" name="Picture 7" descr="Comparative rates of pneumonia, exacerbation of pre-existing health conditions and health-care utilisation in Fluzone High-Dose and Fluzone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lum bright="-20000" contrast="40000"/>
                    </a:blip>
                    <a:srcRect b="4930"/>
                    <a:stretch/>
                  </pic:blipFill>
                  <pic:spPr bwMode="auto">
                    <a:xfrm>
                      <a:off x="0" y="0"/>
                      <a:ext cx="5767191" cy="2248580"/>
                    </a:xfrm>
                    <a:prstGeom prst="rect">
                      <a:avLst/>
                    </a:prstGeom>
                    <a:noFill/>
                    <a:ln>
                      <a:noFill/>
                    </a:ln>
                    <a:extLst>
                      <a:ext uri="{53640926-AAD7-44D8-BBD7-CCE9431645EC}">
                        <a14:shadowObscured xmlns:a14="http://schemas.microsoft.com/office/drawing/2010/main"/>
                      </a:ext>
                    </a:extLst>
                  </pic:spPr>
                </pic:pic>
              </a:graphicData>
            </a:graphic>
          </wp:inline>
        </w:drawing>
      </w:r>
    </w:p>
    <w:p w14:paraId="1058F10D" w14:textId="77777777" w:rsidR="0026401D" w:rsidRDefault="0033578E" w:rsidP="0026401D">
      <w:pPr>
        <w:pStyle w:val="Heading3"/>
      </w:pPr>
      <w:bookmarkStart w:id="73" w:name="_Ref271037188"/>
      <w:bookmarkStart w:id="74" w:name="_Ref271037210"/>
      <w:bookmarkStart w:id="75" w:name="_Toc272414655"/>
      <w:bookmarkStart w:id="76" w:name="_Toc290846277"/>
      <w:bookmarkStart w:id="77" w:name="_Toc290888814"/>
      <w:bookmarkStart w:id="78" w:name="_Toc370580774"/>
      <w:bookmarkStart w:id="79" w:name="_Toc241374311"/>
      <w:bookmarkStart w:id="80" w:name="_Ref243294291"/>
      <w:bookmarkStart w:id="81" w:name="_Toc522542362"/>
      <w:r w:rsidRPr="00051F30">
        <w:t xml:space="preserve">Other efficacy </w:t>
      </w:r>
      <w:r w:rsidRPr="0026401D">
        <w:t>studies</w:t>
      </w:r>
      <w:bookmarkStart w:id="82" w:name="_Toc290846278"/>
      <w:bookmarkStart w:id="83" w:name="_Toc290888815"/>
      <w:bookmarkEnd w:id="73"/>
      <w:bookmarkEnd w:id="74"/>
      <w:bookmarkEnd w:id="75"/>
      <w:bookmarkEnd w:id="76"/>
      <w:bookmarkEnd w:id="77"/>
      <w:bookmarkEnd w:id="78"/>
      <w:bookmarkEnd w:id="79"/>
      <w:bookmarkEnd w:id="80"/>
      <w:bookmarkEnd w:id="81"/>
    </w:p>
    <w:p w14:paraId="3F242988" w14:textId="77777777" w:rsidR="0026401D" w:rsidRDefault="0033578E" w:rsidP="0026401D">
      <w:pPr>
        <w:pStyle w:val="Heading4"/>
      </w:pPr>
      <w:r w:rsidRPr="00051F30">
        <w:t>Study FIM01</w:t>
      </w:r>
    </w:p>
    <w:p w14:paraId="695A2DE1" w14:textId="77777777" w:rsidR="0033578E" w:rsidRPr="00051F30" w:rsidRDefault="0033578E" w:rsidP="0026401D">
      <w:pPr>
        <w:pStyle w:val="Heading5"/>
      </w:pPr>
      <w:r w:rsidRPr="00051F30">
        <w:t>Study design, objectives, locations and dates</w:t>
      </w:r>
    </w:p>
    <w:p w14:paraId="439F0B05" w14:textId="78906A14" w:rsidR="0033578E" w:rsidRPr="0026401D" w:rsidRDefault="0033578E" w:rsidP="0033578E">
      <w:pPr>
        <w:autoSpaceDE w:val="0"/>
        <w:autoSpaceDN w:val="0"/>
        <w:adjustRightInd w:val="0"/>
        <w:rPr>
          <w:rFonts w:cs="Arial"/>
        </w:rPr>
      </w:pPr>
      <w:r w:rsidRPr="0026401D">
        <w:rPr>
          <w:rFonts w:cs="Arial"/>
        </w:rPr>
        <w:t xml:space="preserve">Study FIM01 was a prospective randomised double blind study comparing the reactogenicity and immunogenicity of </w:t>
      </w:r>
      <w:r w:rsidR="00CD0E09" w:rsidRPr="0026401D">
        <w:rPr>
          <w:rFonts w:cs="Arial"/>
        </w:rPr>
        <w:t>Fluzone High-Dose</w:t>
      </w:r>
      <w:r w:rsidRPr="0026401D">
        <w:rPr>
          <w:rFonts w:cs="Arial"/>
        </w:rPr>
        <w:t xml:space="preserve"> and Fluzone containing 6</w:t>
      </w:r>
      <w:r w:rsidR="00CD0E09" w:rsidRPr="0026401D">
        <w:rPr>
          <w:rFonts w:cs="Arial"/>
        </w:rPr>
        <w:t>0 µg</w:t>
      </w:r>
      <w:r w:rsidRPr="0026401D">
        <w:rPr>
          <w:rFonts w:cs="Arial"/>
        </w:rPr>
        <w:t xml:space="preserve"> and 15</w:t>
      </w:r>
      <w:r w:rsidR="00196C1B">
        <w:rPr>
          <w:rFonts w:cs="Arial"/>
        </w:rPr>
        <w:t xml:space="preserve"> </w:t>
      </w:r>
      <w:r w:rsidR="00196C1B" w:rsidRPr="0026401D">
        <w:rPr>
          <w:rFonts w:cs="Arial"/>
        </w:rPr>
        <w:t>µ</w:t>
      </w:r>
      <w:r w:rsidRPr="0026401D">
        <w:rPr>
          <w:rFonts w:cs="Arial"/>
        </w:rPr>
        <w:t>g of HA per strain respectively.</w:t>
      </w:r>
      <w:r w:rsidR="006A3980">
        <w:rPr>
          <w:rFonts w:cs="Arial"/>
        </w:rPr>
        <w:t xml:space="preserve"> </w:t>
      </w:r>
      <w:r w:rsidRPr="0026401D">
        <w:rPr>
          <w:rFonts w:cs="Arial"/>
        </w:rPr>
        <w:t xml:space="preserve">The study enrolled 414 ambulatory and medical stable subjects </w:t>
      </w:r>
      <w:r w:rsidR="006A3980">
        <w:rPr>
          <w:rFonts w:cs="Arial"/>
        </w:rPr>
        <w:t xml:space="preserve">&gt; </w:t>
      </w:r>
      <w:r w:rsidRPr="0026401D">
        <w:rPr>
          <w:rFonts w:cs="Arial"/>
        </w:rPr>
        <w:t>65 years of age who were randomised 1:1 to the dosage arms.</w:t>
      </w:r>
    </w:p>
    <w:p w14:paraId="4776A970" w14:textId="77777777" w:rsidR="0033578E" w:rsidRPr="00051F30" w:rsidRDefault="0033578E" w:rsidP="0033578E">
      <w:pPr>
        <w:autoSpaceDE w:val="0"/>
        <w:autoSpaceDN w:val="0"/>
        <w:adjustRightInd w:val="0"/>
        <w:rPr>
          <w:rFonts w:cs="Arial"/>
        </w:rPr>
      </w:pPr>
      <w:r w:rsidRPr="0026401D">
        <w:rPr>
          <w:rFonts w:cs="Arial"/>
        </w:rPr>
        <w:lastRenderedPageBreak/>
        <w:t>Study FM01 w</w:t>
      </w:r>
      <w:r w:rsidRPr="00051F30">
        <w:rPr>
          <w:rFonts w:cs="Arial"/>
        </w:rPr>
        <w:t>as conducted at 5 centres in the USA between April and November 2005.</w:t>
      </w:r>
    </w:p>
    <w:p w14:paraId="2E4F19BC" w14:textId="77777777" w:rsidR="0033578E" w:rsidRPr="00051F30" w:rsidRDefault="0033578E" w:rsidP="0033578E">
      <w:pPr>
        <w:autoSpaceDE w:val="0"/>
        <w:autoSpaceDN w:val="0"/>
        <w:adjustRightInd w:val="0"/>
        <w:rPr>
          <w:rFonts w:cs="Arial"/>
        </w:rPr>
      </w:pPr>
      <w:r w:rsidRPr="00051F30">
        <w:rPr>
          <w:rFonts w:cs="Arial"/>
        </w:rPr>
        <w:t>The main objective of the study was to compare the immunogenicity of a novel high-dose trivalent influenza vaccine containing 6</w:t>
      </w:r>
      <w:r w:rsidR="00CD0E09">
        <w:rPr>
          <w:rFonts w:cs="Arial"/>
        </w:rPr>
        <w:t>0 µg</w:t>
      </w:r>
      <w:r w:rsidRPr="00051F30">
        <w:rPr>
          <w:rFonts w:cs="Arial"/>
        </w:rPr>
        <w:t xml:space="preserve"> of HA per strain with a vaccine containing the standard dose of </w:t>
      </w:r>
      <w:r w:rsidR="002757EE">
        <w:rPr>
          <w:rFonts w:cs="Arial"/>
        </w:rPr>
        <w:t>15 µg</w:t>
      </w:r>
      <w:r w:rsidRPr="00051F30">
        <w:rPr>
          <w:rFonts w:cs="Arial"/>
        </w:rPr>
        <w:t xml:space="preserve"> HA per strain in patients over 65 years of age. It was proposed that a superior immunological response in this population could lead to greater protection from influenza infection.</w:t>
      </w:r>
    </w:p>
    <w:p w14:paraId="2B9B184A" w14:textId="77777777" w:rsidR="0033578E" w:rsidRPr="00051F30" w:rsidRDefault="0033578E" w:rsidP="0026401D">
      <w:pPr>
        <w:pStyle w:val="Heading5"/>
      </w:pPr>
      <w:r w:rsidRPr="00051F30">
        <w:t>Inclusion and exclusion criteria</w:t>
      </w:r>
    </w:p>
    <w:p w14:paraId="77FFA44C" w14:textId="77777777" w:rsidR="0033578E" w:rsidRPr="00051F30" w:rsidRDefault="0033578E" w:rsidP="0033578E">
      <w:pPr>
        <w:spacing w:after="0"/>
        <w:rPr>
          <w:rFonts w:cs="Arial"/>
        </w:rPr>
      </w:pPr>
      <w:r w:rsidRPr="00051F30">
        <w:rPr>
          <w:rFonts w:cs="Arial"/>
        </w:rPr>
        <w:t xml:space="preserve">The inclusion criteria for </w:t>
      </w:r>
      <w:r w:rsidRPr="0026401D">
        <w:rPr>
          <w:rFonts w:cs="Arial"/>
        </w:rPr>
        <w:t>FM01</w:t>
      </w:r>
      <w:r w:rsidRPr="00051F30">
        <w:rPr>
          <w:rFonts w:cs="Arial"/>
        </w:rPr>
        <w:t xml:space="preserve"> were that subjects were:</w:t>
      </w:r>
    </w:p>
    <w:p w14:paraId="254EFA83" w14:textId="77777777" w:rsidR="0033578E" w:rsidRPr="00051F30" w:rsidRDefault="0033578E" w:rsidP="0026401D">
      <w:pPr>
        <w:pStyle w:val="ListBullet"/>
      </w:pPr>
      <w:r w:rsidRPr="00051F30">
        <w:t>65 years of age or older</w:t>
      </w:r>
    </w:p>
    <w:p w14:paraId="61ED33A7" w14:textId="77777777" w:rsidR="0033578E" w:rsidRPr="00051F30" w:rsidRDefault="0033578E" w:rsidP="0026401D">
      <w:pPr>
        <w:pStyle w:val="ListBullet"/>
      </w:pPr>
      <w:r w:rsidRPr="00051F30">
        <w:t>Ambulatory; defined as not institutionalised, bedridden or homebound.</w:t>
      </w:r>
    </w:p>
    <w:p w14:paraId="63E3731E" w14:textId="77777777" w:rsidR="0033578E" w:rsidRPr="00051F30" w:rsidRDefault="0033578E" w:rsidP="0026401D">
      <w:pPr>
        <w:pStyle w:val="ListBullet"/>
      </w:pPr>
      <w:r w:rsidRPr="00051F30">
        <w:t>Medically stable; chronic illnesses such as diabetes, hypothyroidism or heard disease assessed as controlled with medical therapy.</w:t>
      </w:r>
    </w:p>
    <w:p w14:paraId="27C443DB" w14:textId="77777777" w:rsidR="0033578E" w:rsidRPr="00051F30" w:rsidRDefault="0033578E" w:rsidP="0026401D">
      <w:pPr>
        <w:pStyle w:val="ListBullet"/>
      </w:pPr>
      <w:r w:rsidRPr="00051F30">
        <w:t>Afebrile; patients with a fever were deferred from enrolment until 3 days after resolution of their illness</w:t>
      </w:r>
    </w:p>
    <w:p w14:paraId="2F6BE900" w14:textId="77777777" w:rsidR="0033578E" w:rsidRPr="00750711" w:rsidRDefault="0033578E" w:rsidP="0033578E">
      <w:pPr>
        <w:spacing w:after="0"/>
        <w:rPr>
          <w:rFonts w:cs="Arial"/>
        </w:rPr>
      </w:pPr>
      <w:r w:rsidRPr="00750711">
        <w:rPr>
          <w:rFonts w:cs="Arial"/>
        </w:rPr>
        <w:t>Significant exclusion criteria included:</w:t>
      </w:r>
    </w:p>
    <w:p w14:paraId="59D66091" w14:textId="77777777" w:rsidR="0033578E" w:rsidRPr="00051F30" w:rsidRDefault="0033578E" w:rsidP="0026401D">
      <w:pPr>
        <w:pStyle w:val="ListBullet"/>
      </w:pPr>
      <w:r w:rsidRPr="00051F30">
        <w:t>known allergy to eggs or components of the vaccine</w:t>
      </w:r>
    </w:p>
    <w:p w14:paraId="10438407" w14:textId="77777777" w:rsidR="0033578E" w:rsidRPr="00051F30" w:rsidRDefault="0033578E" w:rsidP="0026401D">
      <w:pPr>
        <w:pStyle w:val="ListBullet"/>
      </w:pPr>
      <w:r w:rsidRPr="00051F30">
        <w:t>a history of Guillain-Barre syndrome</w:t>
      </w:r>
    </w:p>
    <w:p w14:paraId="092CC2DC" w14:textId="77777777" w:rsidR="0033578E" w:rsidRPr="00051F30" w:rsidRDefault="0033578E" w:rsidP="0026401D">
      <w:pPr>
        <w:pStyle w:val="ListBullet"/>
      </w:pPr>
      <w:r w:rsidRPr="00051F30">
        <w:t>immunosuppressive from underlying illness or treatment</w:t>
      </w:r>
    </w:p>
    <w:p w14:paraId="153C1BE2" w14:textId="77777777" w:rsidR="0033578E" w:rsidRPr="00051F30" w:rsidRDefault="0033578E" w:rsidP="0026401D">
      <w:pPr>
        <w:pStyle w:val="ListBullet"/>
      </w:pPr>
      <w:r w:rsidRPr="00051F30">
        <w:t>Use of oral steroids or high doses of inhaled steroids within 1 month prior to vaccination</w:t>
      </w:r>
    </w:p>
    <w:p w14:paraId="3E067C27" w14:textId="77777777" w:rsidR="0033578E" w:rsidRPr="00051F30" w:rsidRDefault="0033578E" w:rsidP="0026401D">
      <w:pPr>
        <w:pStyle w:val="ListBullet"/>
      </w:pPr>
      <w:r w:rsidRPr="00051F30">
        <w:t>Active neoplastic disease or history of haematological malignancy within 5 years of the study.</w:t>
      </w:r>
    </w:p>
    <w:p w14:paraId="19D5AFD9" w14:textId="77777777" w:rsidR="0033578E" w:rsidRPr="00051F30" w:rsidRDefault="0033578E" w:rsidP="0033578E">
      <w:pPr>
        <w:rPr>
          <w:rFonts w:cs="Arial"/>
        </w:rPr>
      </w:pPr>
      <w:r w:rsidRPr="00051F30">
        <w:rPr>
          <w:rFonts w:cs="Arial"/>
        </w:rPr>
        <w:t>Subjects were stratified according to whether they had received influenza vaccine for the 2004</w:t>
      </w:r>
      <w:r w:rsidRPr="00051F30">
        <w:rPr>
          <w:rFonts w:cs="Arial"/>
        </w:rPr>
        <w:noBreakHyphen/>
        <w:t xml:space="preserve">2005 season (noting the study was conducted in the Northern summer) based on self-reporting. </w:t>
      </w:r>
    </w:p>
    <w:p w14:paraId="35C7DCD8" w14:textId="77777777" w:rsidR="0033578E" w:rsidRPr="00051F30" w:rsidRDefault="0033578E" w:rsidP="0026401D">
      <w:pPr>
        <w:pStyle w:val="Heading5"/>
      </w:pPr>
      <w:r w:rsidRPr="0026401D">
        <w:t>Study</w:t>
      </w:r>
      <w:r w:rsidRPr="00051F30">
        <w:t xml:space="preserve"> treatments</w:t>
      </w:r>
    </w:p>
    <w:p w14:paraId="4F70091C" w14:textId="57428357" w:rsidR="0033578E" w:rsidRPr="00051F30" w:rsidRDefault="0033578E" w:rsidP="0033578E">
      <w:pPr>
        <w:rPr>
          <w:rFonts w:cs="Arial"/>
        </w:rPr>
      </w:pPr>
      <w:r w:rsidRPr="00051F30">
        <w:rPr>
          <w:rFonts w:cs="Arial"/>
        </w:rPr>
        <w:t xml:space="preserve">Subjects received a single 0.5mL IM dose of a trivalent influenza vaccine containing either </w:t>
      </w:r>
      <w:r w:rsidR="002757EE">
        <w:rPr>
          <w:rFonts w:cs="Arial"/>
        </w:rPr>
        <w:t>15 µg</w:t>
      </w:r>
      <w:r w:rsidRPr="00051F30">
        <w:rPr>
          <w:rFonts w:cs="Arial"/>
        </w:rPr>
        <w:t xml:space="preserve"> or 6</w:t>
      </w:r>
      <w:r w:rsidR="00CD0E09">
        <w:rPr>
          <w:rFonts w:cs="Arial"/>
        </w:rPr>
        <w:t>0 µg</w:t>
      </w:r>
      <w:r w:rsidRPr="00051F30">
        <w:rPr>
          <w:rFonts w:cs="Arial"/>
        </w:rPr>
        <w:t xml:space="preserve"> HA per strain of A/New Caledonia/20/99 (H1N1), A/Fujian/411/2002 (H3N2) and B/Jiangsu/10/2003.</w:t>
      </w:r>
    </w:p>
    <w:p w14:paraId="181A4B52" w14:textId="77777777" w:rsidR="0033578E" w:rsidRPr="00CA7836" w:rsidRDefault="0033578E" w:rsidP="00CA7836">
      <w:pPr>
        <w:pStyle w:val="Heading5"/>
      </w:pPr>
      <w:r w:rsidRPr="00CA7836">
        <w:t>Efficacy variables and outcomes</w:t>
      </w:r>
    </w:p>
    <w:p w14:paraId="43C83B97" w14:textId="77777777" w:rsidR="0033578E" w:rsidRPr="00051F30" w:rsidRDefault="0033578E" w:rsidP="0033578E">
      <w:pPr>
        <w:autoSpaceDE w:val="0"/>
        <w:autoSpaceDN w:val="0"/>
        <w:adjustRightInd w:val="0"/>
        <w:rPr>
          <w:rFonts w:cs="Arial"/>
        </w:rPr>
      </w:pPr>
      <w:r w:rsidRPr="00051F30">
        <w:rPr>
          <w:rFonts w:cs="Arial"/>
        </w:rPr>
        <w:t>The primary endpoint of FM01 was to proportion of subjects in each group who achieved a serum HAI titre of at least 1:32 for each of the three vaccine antigens assessed 1 month after vaccination.</w:t>
      </w:r>
    </w:p>
    <w:p w14:paraId="73A2EF89" w14:textId="77777777" w:rsidR="0033578E" w:rsidRPr="00051F30" w:rsidRDefault="0033578E" w:rsidP="0033578E">
      <w:pPr>
        <w:autoSpaceDE w:val="0"/>
        <w:autoSpaceDN w:val="0"/>
        <w:adjustRightInd w:val="0"/>
        <w:rPr>
          <w:rFonts w:cs="Arial"/>
        </w:rPr>
      </w:pPr>
      <w:r w:rsidRPr="00051F30">
        <w:rPr>
          <w:rFonts w:cs="Arial"/>
        </w:rPr>
        <w:t>Secondary endpoints included:</w:t>
      </w:r>
    </w:p>
    <w:p w14:paraId="4CCC593F" w14:textId="77777777" w:rsidR="0033578E" w:rsidRPr="00051F30" w:rsidRDefault="0033578E" w:rsidP="002757EE">
      <w:pPr>
        <w:pStyle w:val="ListBullet"/>
      </w:pPr>
      <w:r w:rsidRPr="00051F30">
        <w:t>The GMT of the serum of serum HAI antibody against each of the 3 vaccine antigens.</w:t>
      </w:r>
    </w:p>
    <w:p w14:paraId="5688B71A" w14:textId="77777777" w:rsidR="0033578E" w:rsidRPr="00051F30" w:rsidRDefault="0033578E" w:rsidP="002757EE">
      <w:pPr>
        <w:pStyle w:val="ListBullet"/>
      </w:pPr>
      <w:r w:rsidRPr="00051F30">
        <w:t>The proportion of subjects in each group who achieved at least 4-fold increases in serum HAI antibody titres.</w:t>
      </w:r>
    </w:p>
    <w:p w14:paraId="55E54BE4" w14:textId="77777777" w:rsidR="0033578E" w:rsidRDefault="0033578E" w:rsidP="002757EE">
      <w:pPr>
        <w:pStyle w:val="ListBullet"/>
      </w:pPr>
      <w:r w:rsidRPr="00051F30">
        <w:t>The proportion of patients who achieved serum HAI titres of 1:64 and 1:128 for each of the 3 vacc</w:t>
      </w:r>
      <w:r>
        <w:t>ine antigens.</w:t>
      </w:r>
    </w:p>
    <w:p w14:paraId="589D55CC" w14:textId="77777777" w:rsidR="0033578E" w:rsidRDefault="0033578E" w:rsidP="0033578E">
      <w:pPr>
        <w:pStyle w:val="CommentText"/>
      </w:pPr>
      <w:r w:rsidRPr="004556D4">
        <w:rPr>
          <w:rFonts w:cs="Arial"/>
          <w:sz w:val="22"/>
          <w:szCs w:val="22"/>
        </w:rPr>
        <w:t xml:space="preserve">The immunogenicity outcomes for this trial were obtained from both Baylor and </w:t>
      </w:r>
      <w:r w:rsidR="002757EE">
        <w:rPr>
          <w:rFonts w:cs="Arial"/>
          <w:sz w:val="22"/>
          <w:szCs w:val="22"/>
        </w:rPr>
        <w:t>S</w:t>
      </w:r>
      <w:r w:rsidRPr="004556D4">
        <w:rPr>
          <w:rFonts w:cs="Arial"/>
          <w:sz w:val="22"/>
          <w:szCs w:val="22"/>
        </w:rPr>
        <w:t xml:space="preserve">anofi </w:t>
      </w:r>
      <w:r w:rsidR="002757EE">
        <w:rPr>
          <w:rFonts w:cs="Arial"/>
          <w:sz w:val="22"/>
          <w:szCs w:val="22"/>
        </w:rPr>
        <w:t>P</w:t>
      </w:r>
      <w:r w:rsidRPr="004556D4">
        <w:rPr>
          <w:rFonts w:cs="Arial"/>
          <w:sz w:val="22"/>
          <w:szCs w:val="22"/>
        </w:rPr>
        <w:t>asteur</w:t>
      </w:r>
      <w:r>
        <w:rPr>
          <w:rFonts w:cs="Arial"/>
          <w:sz w:val="22"/>
          <w:szCs w:val="22"/>
        </w:rPr>
        <w:t xml:space="preserve"> </w:t>
      </w:r>
      <w:r w:rsidRPr="004556D4">
        <w:rPr>
          <w:rFonts w:cs="Arial"/>
          <w:sz w:val="22"/>
          <w:szCs w:val="22"/>
        </w:rPr>
        <w:t>laboratories; however, the results obtained from the Baylor laboratory were used for the primary</w:t>
      </w:r>
      <w:r>
        <w:rPr>
          <w:rFonts w:cs="Arial"/>
          <w:sz w:val="22"/>
          <w:szCs w:val="22"/>
        </w:rPr>
        <w:t xml:space="preserve"> </w:t>
      </w:r>
      <w:r w:rsidRPr="004556D4">
        <w:rPr>
          <w:rFonts w:cs="Arial"/>
          <w:sz w:val="22"/>
          <w:szCs w:val="22"/>
        </w:rPr>
        <w:t>analysis</w:t>
      </w:r>
      <w:r>
        <w:t>.</w:t>
      </w:r>
    </w:p>
    <w:p w14:paraId="26F1697F" w14:textId="77777777" w:rsidR="0033578E" w:rsidRPr="00051F30" w:rsidRDefault="0033578E" w:rsidP="002757EE">
      <w:pPr>
        <w:pStyle w:val="Heading5"/>
      </w:pPr>
      <w:r w:rsidRPr="00051F30">
        <w:lastRenderedPageBreak/>
        <w:t>Randomisation and blinding methods</w:t>
      </w:r>
    </w:p>
    <w:p w14:paraId="166906AE" w14:textId="77777777" w:rsidR="0033578E" w:rsidRPr="00051F30" w:rsidRDefault="0033578E" w:rsidP="0033578E">
      <w:pPr>
        <w:rPr>
          <w:rFonts w:cs="Arial"/>
        </w:rPr>
      </w:pPr>
      <w:r w:rsidRPr="00051F30">
        <w:rPr>
          <w:rFonts w:cs="Arial"/>
        </w:rPr>
        <w:t>Investigators were blinded to the treatments being administered, which are identical in appearance. Subjects were randomised from a centrally administered randomisation table. Randomisation occurred within previously vaccinated/not previously vaccinated strata to produce equal representation of treatment arms among these two groups.</w:t>
      </w:r>
    </w:p>
    <w:p w14:paraId="5631F702" w14:textId="77777777" w:rsidR="0033578E" w:rsidRPr="00051F30" w:rsidRDefault="0033578E" w:rsidP="002757EE">
      <w:pPr>
        <w:pStyle w:val="Heading5"/>
      </w:pPr>
      <w:r w:rsidRPr="00051F30">
        <w:t>Analysis populations</w:t>
      </w:r>
    </w:p>
    <w:p w14:paraId="55DDF199" w14:textId="77777777" w:rsidR="0033578E" w:rsidRPr="00051F30" w:rsidRDefault="0033578E" w:rsidP="0033578E">
      <w:pPr>
        <w:autoSpaceDE w:val="0"/>
        <w:autoSpaceDN w:val="0"/>
        <w:adjustRightInd w:val="0"/>
        <w:rPr>
          <w:rFonts w:cs="Arial"/>
        </w:rPr>
      </w:pPr>
      <w:r w:rsidRPr="00051F30">
        <w:rPr>
          <w:rFonts w:cs="Arial"/>
        </w:rPr>
        <w:t xml:space="preserve">ITT and Per-Protocol analyses were performed on all subjects who received a dose of vaccine and had at least 1 blood sample taken. The difference between the two analyses was the ITT population was analysed according to the treatment subjects were randomised to receive, while the Per-Protocol analysis was analysed according to the treatment the subject actually received. Only one subject received </w:t>
      </w:r>
      <w:r w:rsidR="00CD0E09">
        <w:rPr>
          <w:rFonts w:cs="Arial"/>
        </w:rPr>
        <w:t>Fluzone High-Dose</w:t>
      </w:r>
      <w:r w:rsidRPr="00051F30">
        <w:rPr>
          <w:rFonts w:cs="Arial"/>
        </w:rPr>
        <w:t xml:space="preserve"> when they were randomised to receive Fluzone.</w:t>
      </w:r>
    </w:p>
    <w:p w14:paraId="3E8A6DAC" w14:textId="77777777" w:rsidR="0033578E" w:rsidRPr="00051F30" w:rsidDel="0081373E" w:rsidRDefault="0033578E" w:rsidP="002757EE">
      <w:pPr>
        <w:pStyle w:val="Heading5"/>
      </w:pPr>
      <w:r w:rsidRPr="00051F30" w:rsidDel="0081373E">
        <w:t>Sample size</w:t>
      </w:r>
    </w:p>
    <w:p w14:paraId="5F9E3952" w14:textId="27FB5804" w:rsidR="0033578E" w:rsidRPr="00051F30" w:rsidRDefault="0033578E" w:rsidP="0033578E">
      <w:pPr>
        <w:autoSpaceDE w:val="0"/>
        <w:autoSpaceDN w:val="0"/>
        <w:adjustRightInd w:val="0"/>
        <w:rPr>
          <w:rFonts w:cs="Arial"/>
        </w:rPr>
      </w:pPr>
      <w:r w:rsidRPr="00051F30">
        <w:rPr>
          <w:rFonts w:cs="Arial"/>
        </w:rPr>
        <w:t xml:space="preserve">206 and 208 subjects received </w:t>
      </w:r>
      <w:r w:rsidR="00CD0E09">
        <w:rPr>
          <w:rFonts w:cs="Arial"/>
        </w:rPr>
        <w:t>Fluzone High-Dose</w:t>
      </w:r>
      <w:r w:rsidRPr="00051F30">
        <w:rPr>
          <w:rFonts w:cs="Arial"/>
        </w:rPr>
        <w:t xml:space="preserve"> and Fluzone respectively.</w:t>
      </w:r>
    </w:p>
    <w:p w14:paraId="5409F6D3" w14:textId="77777777" w:rsidR="0033578E" w:rsidRPr="00051F30" w:rsidRDefault="0033578E" w:rsidP="002757EE">
      <w:pPr>
        <w:pStyle w:val="Heading5"/>
      </w:pPr>
      <w:r w:rsidRPr="00051F30">
        <w:t>Statistical methods</w:t>
      </w:r>
    </w:p>
    <w:p w14:paraId="1D4ED60B" w14:textId="77777777" w:rsidR="0033578E" w:rsidRPr="00051F30" w:rsidRDefault="0033578E" w:rsidP="0033578E">
      <w:pPr>
        <w:rPr>
          <w:rFonts w:cs="Arial"/>
        </w:rPr>
      </w:pPr>
      <w:r w:rsidRPr="00051F30">
        <w:rPr>
          <w:rFonts w:cs="Arial"/>
        </w:rPr>
        <w:t>95% confidence interval was calculated for the proportion of subjects achieving the specified HAI titres. A full description of the statistical tests applied was not provided.</w:t>
      </w:r>
    </w:p>
    <w:p w14:paraId="74763238" w14:textId="77777777" w:rsidR="0033578E" w:rsidRPr="00051F30" w:rsidRDefault="0033578E" w:rsidP="002757EE">
      <w:pPr>
        <w:pStyle w:val="Heading5"/>
      </w:pPr>
      <w:r w:rsidRPr="00051F30">
        <w:t>Participant flow</w:t>
      </w:r>
    </w:p>
    <w:p w14:paraId="75718075" w14:textId="706C51E4" w:rsidR="0033578E" w:rsidRDefault="0033578E" w:rsidP="0033578E">
      <w:pPr>
        <w:rPr>
          <w:rFonts w:cs="Arial"/>
        </w:rPr>
      </w:pPr>
      <w:r w:rsidRPr="00051F30">
        <w:rPr>
          <w:rFonts w:cs="Arial"/>
        </w:rPr>
        <w:t>A total of 415 subjects were enrolled, and 414 subjects were vaccinated</w:t>
      </w:r>
      <w:r w:rsidR="00F05C2C">
        <w:rPr>
          <w:rFonts w:cs="Arial"/>
        </w:rPr>
        <w:t xml:space="preserve"> (Table 16)</w:t>
      </w:r>
      <w:r w:rsidRPr="00051F30">
        <w:rPr>
          <w:rFonts w:cs="Arial"/>
        </w:rPr>
        <w:t>. One subject received the incorrect treatment for their randomisation.</w:t>
      </w:r>
    </w:p>
    <w:p w14:paraId="1E59FAEC" w14:textId="77777777" w:rsidR="002757EE" w:rsidRDefault="002757EE" w:rsidP="00841562">
      <w:pPr>
        <w:pStyle w:val="Tabletitle"/>
      </w:pPr>
      <w:bookmarkStart w:id="84" w:name="_Toc370576211"/>
      <w:r>
        <w:t>Table 1</w:t>
      </w:r>
      <w:r w:rsidR="001459F5">
        <w:t>6</w:t>
      </w:r>
      <w:r w:rsidRPr="00051F30">
        <w:t>: Participant flow in Study FIM01</w:t>
      </w:r>
      <w:bookmarkEnd w:id="84"/>
      <w:r w:rsidR="00272B3E">
        <w:t xml:space="preserve"> Summary of subject disposition</w:t>
      </w:r>
      <w:r w:rsidR="00F05C2C">
        <w:t xml:space="preserve">; </w:t>
      </w:r>
      <w:proofErr w:type="gramStart"/>
      <w:r w:rsidR="00272B3E">
        <w:t>All</w:t>
      </w:r>
      <w:proofErr w:type="gramEnd"/>
      <w:r w:rsidR="00272B3E">
        <w:t xml:space="preserve"> subjects</w:t>
      </w:r>
    </w:p>
    <w:p w14:paraId="7CFBF14B" w14:textId="77777777" w:rsidR="00272B3E" w:rsidRPr="00272B3E" w:rsidRDefault="00272B3E" w:rsidP="00272B3E">
      <w:r>
        <w:rPr>
          <w:noProof/>
          <w:lang w:eastAsia="en-AU"/>
        </w:rPr>
        <w:drawing>
          <wp:inline distT="0" distB="0" distL="0" distR="0" wp14:anchorId="6AA7C8BC" wp14:editId="58320797">
            <wp:extent cx="4883727" cy="1355025"/>
            <wp:effectExtent l="0" t="0" r="0" b="0"/>
            <wp:docPr id="7" name="Picture 7" descr="Participant flow in Study FIM01 Summary of subject disposition;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880089" cy="1354016"/>
                    </a:xfrm>
                    <a:prstGeom prst="rect">
                      <a:avLst/>
                    </a:prstGeom>
                  </pic:spPr>
                </pic:pic>
              </a:graphicData>
            </a:graphic>
          </wp:inline>
        </w:drawing>
      </w:r>
    </w:p>
    <w:p w14:paraId="6864C7F9" w14:textId="462C4BBB" w:rsidR="002757EE" w:rsidRPr="00051F30" w:rsidRDefault="002757EE" w:rsidP="002757EE">
      <w:pPr>
        <w:pStyle w:val="TableDescription"/>
      </w:pPr>
      <w:r w:rsidRPr="00834306">
        <w:t>1</w:t>
      </w:r>
      <w:r w:rsidR="00196C1B">
        <w:t xml:space="preserve">) </w:t>
      </w:r>
      <w:r>
        <w:t>Subject [information redacted] was enrolled but not vaccinated</w:t>
      </w:r>
      <w:r w:rsidR="00196C1B">
        <w:t xml:space="preserve">; 2) </w:t>
      </w:r>
      <w:r>
        <w:t>Subject [information redacted] was randomised to receive the high dose but was given the standard dose. This subject was included in the standard group for all per protocol analyses but was included in the high dose group for ITT analyses</w:t>
      </w:r>
      <w:r w:rsidR="00196C1B">
        <w:t>; 3)</w:t>
      </w:r>
      <w:r w:rsidR="00196C1B">
        <w:rPr>
          <w:vertAlign w:val="superscript"/>
        </w:rPr>
        <w:t> </w:t>
      </w:r>
      <w:r>
        <w:t>Subject [information redacted] was classified as an early study discontinuation because the subject died during the study on Day 169 after vaccination.</w:t>
      </w:r>
    </w:p>
    <w:p w14:paraId="7D5893DD" w14:textId="77777777" w:rsidR="0033578E" w:rsidRPr="00051F30" w:rsidRDefault="0033578E" w:rsidP="002757EE">
      <w:pPr>
        <w:pStyle w:val="Heading5"/>
      </w:pPr>
      <w:r w:rsidRPr="00051F30">
        <w:t xml:space="preserve">Major protocol </w:t>
      </w:r>
      <w:r w:rsidRPr="002757EE">
        <w:t>violations</w:t>
      </w:r>
      <w:r w:rsidRPr="00051F30">
        <w:t>/deviations</w:t>
      </w:r>
    </w:p>
    <w:p w14:paraId="4A2D8184" w14:textId="77777777" w:rsidR="0033578E" w:rsidRPr="00051F30" w:rsidRDefault="0033578E" w:rsidP="0033578E">
      <w:pPr>
        <w:autoSpaceDE w:val="0"/>
        <w:autoSpaceDN w:val="0"/>
        <w:adjustRightInd w:val="0"/>
        <w:rPr>
          <w:rFonts w:cs="Arial"/>
        </w:rPr>
      </w:pPr>
      <w:r w:rsidRPr="00051F30">
        <w:rPr>
          <w:rFonts w:cs="Arial"/>
        </w:rPr>
        <w:t>Protocol violations were reported in 21 and 23 of the subjects in the 6</w:t>
      </w:r>
      <w:r w:rsidR="00CD0E09">
        <w:rPr>
          <w:rFonts w:cs="Arial"/>
        </w:rPr>
        <w:t>0 µg</w:t>
      </w:r>
      <w:r w:rsidRPr="00051F30">
        <w:rPr>
          <w:rFonts w:cs="Arial"/>
        </w:rPr>
        <w:t xml:space="preserve"> and </w:t>
      </w:r>
      <w:r w:rsidR="002757EE">
        <w:rPr>
          <w:rFonts w:cs="Arial"/>
        </w:rPr>
        <w:t>15 µg</w:t>
      </w:r>
      <w:r w:rsidRPr="00051F30">
        <w:rPr>
          <w:rFonts w:cs="Arial"/>
        </w:rPr>
        <w:t xml:space="preserve"> dose vaccine treatment arms respectively. None of these resulted in an adverse event or withdrawal of the subject from the study. </w:t>
      </w:r>
    </w:p>
    <w:p w14:paraId="4ECE8516" w14:textId="77777777" w:rsidR="0033578E" w:rsidRPr="00051F30" w:rsidRDefault="0033578E" w:rsidP="00272B3E">
      <w:pPr>
        <w:pStyle w:val="Heading5"/>
      </w:pPr>
      <w:r w:rsidRPr="00272B3E">
        <w:t>Baseline</w:t>
      </w:r>
      <w:r w:rsidRPr="00051F30">
        <w:t xml:space="preserve"> data</w:t>
      </w:r>
    </w:p>
    <w:p w14:paraId="63D4788D" w14:textId="77777777" w:rsidR="0033578E" w:rsidRPr="00051F30" w:rsidRDefault="0033578E" w:rsidP="0033578E">
      <w:pPr>
        <w:autoSpaceDE w:val="0"/>
        <w:autoSpaceDN w:val="0"/>
        <w:adjustRightInd w:val="0"/>
        <w:rPr>
          <w:rFonts w:cs="Arial"/>
        </w:rPr>
      </w:pPr>
      <w:r w:rsidRPr="00051F30">
        <w:rPr>
          <w:rFonts w:cs="Arial"/>
        </w:rPr>
        <w:t xml:space="preserve">The demographic characteristics of the two treatment arms were well matched for gender, age and race. The average age of the treatment arms was 74 and 73 for the </w:t>
      </w:r>
      <w:r w:rsidR="00CD0E09">
        <w:rPr>
          <w:rFonts w:cs="Arial"/>
        </w:rPr>
        <w:t>Fluzone High-Dose</w:t>
      </w:r>
      <w:r w:rsidRPr="00051F30">
        <w:rPr>
          <w:rFonts w:cs="Arial"/>
        </w:rPr>
        <w:t xml:space="preserve"> and Fluzone treatment arms respectively. </w:t>
      </w:r>
    </w:p>
    <w:p w14:paraId="6921B813" w14:textId="77777777" w:rsidR="0033578E" w:rsidRDefault="0033578E" w:rsidP="00272B3E">
      <w:pPr>
        <w:pStyle w:val="Heading5"/>
      </w:pPr>
      <w:r w:rsidRPr="00051F30">
        <w:t>Results for the primary efficacy outcome</w:t>
      </w:r>
    </w:p>
    <w:p w14:paraId="4D9F9E99" w14:textId="410DB2E4" w:rsidR="00272B3E" w:rsidRPr="00051F30" w:rsidRDefault="00272B3E" w:rsidP="00272B3E">
      <w:pPr>
        <w:rPr>
          <w:rFonts w:cs="Arial"/>
        </w:rPr>
      </w:pPr>
      <w:r w:rsidRPr="00051F30">
        <w:rPr>
          <w:rFonts w:cs="Arial"/>
        </w:rPr>
        <w:t>A HAI titre of 1:32 against the H1 antigen was observed in 62.3% and 48.3% of subjects (p</w:t>
      </w:r>
      <w:r w:rsidR="00196C1B">
        <w:rPr>
          <w:rFonts w:cs="Arial"/>
        </w:rPr>
        <w:t> </w:t>
      </w:r>
      <w:r w:rsidRPr="00051F30">
        <w:rPr>
          <w:rFonts w:cs="Arial"/>
        </w:rPr>
        <w:t>&lt;</w:t>
      </w:r>
      <w:r w:rsidR="00196C1B">
        <w:rPr>
          <w:rFonts w:cs="Arial"/>
        </w:rPr>
        <w:t> </w:t>
      </w:r>
      <w:r w:rsidRPr="00051F30">
        <w:rPr>
          <w:rFonts w:cs="Arial"/>
        </w:rPr>
        <w:t xml:space="preserve">0.01) in the </w:t>
      </w:r>
      <w:r>
        <w:rPr>
          <w:rFonts w:cs="Arial"/>
        </w:rPr>
        <w:t>Fluzone High-Dose</w:t>
      </w:r>
      <w:r w:rsidRPr="00051F30">
        <w:rPr>
          <w:rFonts w:cs="Arial"/>
        </w:rPr>
        <w:t xml:space="preserve"> and Fluzone dose vaccine respectively</w:t>
      </w:r>
      <w:r w:rsidR="00F05C2C">
        <w:rPr>
          <w:rFonts w:cs="Arial"/>
        </w:rPr>
        <w:t xml:space="preserve"> (Table 17)</w:t>
      </w:r>
      <w:r w:rsidRPr="00051F30">
        <w:rPr>
          <w:rFonts w:cs="Arial"/>
        </w:rPr>
        <w:t xml:space="preserve">. There </w:t>
      </w:r>
      <w:r w:rsidRPr="00051F30">
        <w:rPr>
          <w:rFonts w:cs="Arial"/>
        </w:rPr>
        <w:lastRenderedPageBreak/>
        <w:t>was no significant difference between treatment groups for the H3 or B antigens. The results were similar between previously vaccinated or unvaccinated groups.</w:t>
      </w:r>
    </w:p>
    <w:p w14:paraId="7F942A6C" w14:textId="77777777" w:rsidR="00272B3E" w:rsidRPr="00051F30" w:rsidRDefault="00F05C2C" w:rsidP="00272B3E">
      <w:pPr>
        <w:pStyle w:val="Tabletitle"/>
      </w:pPr>
      <w:bookmarkStart w:id="85" w:name="_Toc370576212"/>
      <w:r>
        <w:t>Table 17</w:t>
      </w:r>
      <w:r w:rsidR="00272B3E" w:rsidRPr="00051F30">
        <w:t xml:space="preserve">: Comparative rate of subjects in </w:t>
      </w:r>
      <w:r w:rsidR="00272B3E">
        <w:t>Fluzone High-Dose</w:t>
      </w:r>
      <w:r w:rsidR="00272B3E" w:rsidRPr="00051F30">
        <w:t xml:space="preserve"> and Fluzone treated arms achieving an HAI antibody titre </w:t>
      </w:r>
      <w:r w:rsidR="006A3980">
        <w:t xml:space="preserve">&gt; </w:t>
      </w:r>
      <w:r w:rsidR="00272B3E" w:rsidRPr="00051F30">
        <w:t>1:32</w:t>
      </w:r>
      <w:bookmarkEnd w:id="85"/>
    </w:p>
    <w:tbl>
      <w:tblPr>
        <w:tblStyle w:val="TableTGAblue"/>
        <w:tblW w:w="9270" w:type="dxa"/>
        <w:tblInd w:w="108" w:type="dxa"/>
        <w:tblLook w:val="04A0" w:firstRow="1" w:lastRow="0" w:firstColumn="1" w:lastColumn="0" w:noHBand="0" w:noVBand="1"/>
      </w:tblPr>
      <w:tblGrid>
        <w:gridCol w:w="1584"/>
        <w:gridCol w:w="1102"/>
        <w:gridCol w:w="1291"/>
        <w:gridCol w:w="1013"/>
        <w:gridCol w:w="1021"/>
        <w:gridCol w:w="1013"/>
        <w:gridCol w:w="1021"/>
        <w:gridCol w:w="1225"/>
      </w:tblGrid>
      <w:tr w:rsidR="0033578E" w:rsidRPr="00051F30" w14:paraId="3B31E807" w14:textId="77777777" w:rsidTr="008343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77" w:type="dxa"/>
            <w:gridSpan w:val="3"/>
          </w:tcPr>
          <w:p w14:paraId="722C5F14" w14:textId="77777777" w:rsidR="0033578E" w:rsidRPr="00272B3E" w:rsidRDefault="0033578E" w:rsidP="0033578E">
            <w:pPr>
              <w:rPr>
                <w:rFonts w:cs="Arial"/>
                <w:sz w:val="20"/>
                <w:szCs w:val="20"/>
              </w:rPr>
            </w:pPr>
          </w:p>
        </w:tc>
        <w:tc>
          <w:tcPr>
            <w:tcW w:w="2034" w:type="dxa"/>
            <w:gridSpan w:val="2"/>
          </w:tcPr>
          <w:p w14:paraId="2B486732" w14:textId="77777777" w:rsidR="0033578E" w:rsidRPr="00272B3E" w:rsidRDefault="00CD0E09" w:rsidP="0033578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Fluzone High-Dose</w:t>
            </w:r>
          </w:p>
        </w:tc>
        <w:tc>
          <w:tcPr>
            <w:tcW w:w="2034" w:type="dxa"/>
            <w:gridSpan w:val="2"/>
          </w:tcPr>
          <w:p w14:paraId="13ABB66B" w14:textId="77777777" w:rsidR="0033578E" w:rsidRPr="00272B3E" w:rsidRDefault="0033578E" w:rsidP="0033578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Fluzone</w:t>
            </w:r>
          </w:p>
        </w:tc>
        <w:tc>
          <w:tcPr>
            <w:tcW w:w="1225" w:type="dxa"/>
          </w:tcPr>
          <w:p w14:paraId="3D81E4C3" w14:textId="77777777" w:rsidR="0033578E" w:rsidRPr="00272B3E" w:rsidRDefault="0033578E" w:rsidP="0033578E">
            <w:pPr>
              <w:cnfStyle w:val="100000000000" w:firstRow="1" w:lastRow="0" w:firstColumn="0" w:lastColumn="0" w:oddVBand="0" w:evenVBand="0" w:oddHBand="0" w:evenHBand="0" w:firstRowFirstColumn="0" w:firstRowLastColumn="0" w:lastRowFirstColumn="0" w:lastRowLastColumn="0"/>
              <w:rPr>
                <w:rFonts w:cs="Arial"/>
                <w:sz w:val="20"/>
                <w:szCs w:val="20"/>
              </w:rPr>
            </w:pPr>
          </w:p>
        </w:tc>
      </w:tr>
      <w:tr w:rsidR="0033578E" w:rsidRPr="00051F30" w14:paraId="6FCECFC3" w14:textId="77777777" w:rsidTr="00834306">
        <w:tc>
          <w:tcPr>
            <w:cnfStyle w:val="001000000000" w:firstRow="0" w:lastRow="0" w:firstColumn="1" w:lastColumn="0" w:oddVBand="0" w:evenVBand="0" w:oddHBand="0" w:evenHBand="0" w:firstRowFirstColumn="0" w:firstRowLastColumn="0" w:lastRowFirstColumn="0" w:lastRowLastColumn="0"/>
            <w:tcW w:w="1584" w:type="dxa"/>
          </w:tcPr>
          <w:p w14:paraId="049F308F" w14:textId="77777777" w:rsidR="0033578E" w:rsidRPr="00B414C4" w:rsidRDefault="0033578E" w:rsidP="0033578E">
            <w:pPr>
              <w:rPr>
                <w:rFonts w:cs="Arial"/>
                <w:sz w:val="20"/>
                <w:szCs w:val="20"/>
              </w:rPr>
            </w:pPr>
            <w:r w:rsidRPr="00B414C4">
              <w:rPr>
                <w:rFonts w:cs="Arial"/>
                <w:sz w:val="20"/>
                <w:szCs w:val="20"/>
              </w:rPr>
              <w:t>Population</w:t>
            </w:r>
          </w:p>
        </w:tc>
        <w:tc>
          <w:tcPr>
            <w:tcW w:w="1102" w:type="dxa"/>
          </w:tcPr>
          <w:p w14:paraId="6A169385" w14:textId="77777777" w:rsidR="0033578E" w:rsidRPr="00B414C4"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414C4">
              <w:rPr>
                <w:rFonts w:cs="Arial"/>
                <w:sz w:val="20"/>
                <w:szCs w:val="20"/>
              </w:rPr>
              <w:t>Titre</w:t>
            </w:r>
          </w:p>
        </w:tc>
        <w:tc>
          <w:tcPr>
            <w:tcW w:w="1291" w:type="dxa"/>
          </w:tcPr>
          <w:p w14:paraId="7F2650A5" w14:textId="77777777" w:rsidR="0033578E" w:rsidRPr="00B414C4"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414C4">
              <w:rPr>
                <w:rFonts w:cs="Arial"/>
                <w:sz w:val="20"/>
                <w:szCs w:val="20"/>
              </w:rPr>
              <w:t>Antigen</w:t>
            </w:r>
          </w:p>
        </w:tc>
        <w:tc>
          <w:tcPr>
            <w:tcW w:w="1013" w:type="dxa"/>
          </w:tcPr>
          <w:p w14:paraId="7BF0C964" w14:textId="77777777" w:rsidR="0033578E" w:rsidRPr="00B414C4"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414C4">
              <w:rPr>
                <w:rFonts w:cs="Arial"/>
                <w:sz w:val="20"/>
                <w:szCs w:val="20"/>
              </w:rPr>
              <w:t>N</w:t>
            </w:r>
          </w:p>
        </w:tc>
        <w:tc>
          <w:tcPr>
            <w:tcW w:w="1021" w:type="dxa"/>
          </w:tcPr>
          <w:p w14:paraId="5F6B007B" w14:textId="77777777" w:rsidR="0033578E" w:rsidRPr="00B414C4"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414C4">
              <w:rPr>
                <w:rFonts w:cs="Arial"/>
                <w:sz w:val="20"/>
                <w:szCs w:val="20"/>
              </w:rPr>
              <w:t>%</w:t>
            </w:r>
          </w:p>
        </w:tc>
        <w:tc>
          <w:tcPr>
            <w:tcW w:w="1013" w:type="dxa"/>
          </w:tcPr>
          <w:p w14:paraId="26FE51F7" w14:textId="77777777" w:rsidR="0033578E" w:rsidRPr="00B414C4"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414C4">
              <w:rPr>
                <w:rFonts w:cs="Arial"/>
                <w:sz w:val="20"/>
                <w:szCs w:val="20"/>
              </w:rPr>
              <w:t>N</w:t>
            </w:r>
          </w:p>
        </w:tc>
        <w:tc>
          <w:tcPr>
            <w:tcW w:w="1021" w:type="dxa"/>
          </w:tcPr>
          <w:p w14:paraId="059B3E0F" w14:textId="77777777" w:rsidR="0033578E" w:rsidRPr="00B414C4"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414C4">
              <w:rPr>
                <w:rFonts w:cs="Arial"/>
                <w:sz w:val="20"/>
                <w:szCs w:val="20"/>
              </w:rPr>
              <w:t>%</w:t>
            </w:r>
          </w:p>
        </w:tc>
        <w:tc>
          <w:tcPr>
            <w:tcW w:w="1225" w:type="dxa"/>
          </w:tcPr>
          <w:p w14:paraId="2FA88A4F" w14:textId="77777777" w:rsidR="0033578E" w:rsidRPr="00B414C4"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414C4">
              <w:rPr>
                <w:rFonts w:cs="Arial"/>
                <w:sz w:val="20"/>
                <w:szCs w:val="20"/>
              </w:rPr>
              <w:t>p-value</w:t>
            </w:r>
          </w:p>
        </w:tc>
      </w:tr>
      <w:tr w:rsidR="0033578E" w:rsidRPr="00051F30" w14:paraId="57EAF18B" w14:textId="77777777" w:rsidTr="00834306">
        <w:tc>
          <w:tcPr>
            <w:cnfStyle w:val="001000000000" w:firstRow="0" w:lastRow="0" w:firstColumn="1" w:lastColumn="0" w:oddVBand="0" w:evenVBand="0" w:oddHBand="0" w:evenHBand="0" w:firstRowFirstColumn="0" w:firstRowLastColumn="0" w:lastRowFirstColumn="0" w:lastRowLastColumn="0"/>
            <w:tcW w:w="1584" w:type="dxa"/>
          </w:tcPr>
          <w:p w14:paraId="6C056E96" w14:textId="77777777" w:rsidR="0033578E" w:rsidRPr="00272B3E" w:rsidRDefault="0033578E" w:rsidP="0033578E">
            <w:pPr>
              <w:rPr>
                <w:rFonts w:cs="Arial"/>
                <w:sz w:val="20"/>
                <w:szCs w:val="20"/>
              </w:rPr>
            </w:pPr>
            <w:r w:rsidRPr="00272B3E">
              <w:rPr>
                <w:rFonts w:cs="Arial"/>
                <w:sz w:val="20"/>
                <w:szCs w:val="20"/>
              </w:rPr>
              <w:t>All</w:t>
            </w:r>
          </w:p>
        </w:tc>
        <w:tc>
          <w:tcPr>
            <w:tcW w:w="1102" w:type="dxa"/>
          </w:tcPr>
          <w:p w14:paraId="27706F59" w14:textId="77777777" w:rsidR="0033578E" w:rsidRPr="00272B3E" w:rsidRDefault="006A3980"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&gt; </w:t>
            </w:r>
            <w:r w:rsidR="0033578E" w:rsidRPr="00272B3E">
              <w:rPr>
                <w:rFonts w:cs="Arial"/>
                <w:sz w:val="20"/>
                <w:szCs w:val="20"/>
              </w:rPr>
              <w:t>1:32</w:t>
            </w:r>
          </w:p>
        </w:tc>
        <w:tc>
          <w:tcPr>
            <w:tcW w:w="1291" w:type="dxa"/>
          </w:tcPr>
          <w:p w14:paraId="1F6C70BE"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H1</w:t>
            </w:r>
          </w:p>
        </w:tc>
        <w:tc>
          <w:tcPr>
            <w:tcW w:w="1013" w:type="dxa"/>
          </w:tcPr>
          <w:p w14:paraId="1E2DE079"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129</w:t>
            </w:r>
          </w:p>
        </w:tc>
        <w:tc>
          <w:tcPr>
            <w:tcW w:w="1021" w:type="dxa"/>
          </w:tcPr>
          <w:p w14:paraId="61094551"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62.3</w:t>
            </w:r>
          </w:p>
        </w:tc>
        <w:tc>
          <w:tcPr>
            <w:tcW w:w="1013" w:type="dxa"/>
          </w:tcPr>
          <w:p w14:paraId="3BB51994"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100</w:t>
            </w:r>
          </w:p>
        </w:tc>
        <w:tc>
          <w:tcPr>
            <w:tcW w:w="1021" w:type="dxa"/>
          </w:tcPr>
          <w:p w14:paraId="2DA324D9"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48.3</w:t>
            </w:r>
          </w:p>
        </w:tc>
        <w:tc>
          <w:tcPr>
            <w:tcW w:w="1225" w:type="dxa"/>
          </w:tcPr>
          <w:p w14:paraId="66C969C1"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&lt;0.01</w:t>
            </w:r>
          </w:p>
        </w:tc>
      </w:tr>
      <w:tr w:rsidR="0033578E" w:rsidRPr="00051F30" w14:paraId="0CC507D4" w14:textId="77777777" w:rsidTr="00834306">
        <w:tc>
          <w:tcPr>
            <w:cnfStyle w:val="001000000000" w:firstRow="0" w:lastRow="0" w:firstColumn="1" w:lastColumn="0" w:oddVBand="0" w:evenVBand="0" w:oddHBand="0" w:evenHBand="0" w:firstRowFirstColumn="0" w:firstRowLastColumn="0" w:lastRowFirstColumn="0" w:lastRowLastColumn="0"/>
            <w:tcW w:w="1584" w:type="dxa"/>
          </w:tcPr>
          <w:p w14:paraId="6B4158EE" w14:textId="77777777" w:rsidR="0033578E" w:rsidRPr="00272B3E" w:rsidRDefault="0033578E" w:rsidP="0033578E">
            <w:pPr>
              <w:rPr>
                <w:rFonts w:cs="Arial"/>
                <w:sz w:val="20"/>
                <w:szCs w:val="20"/>
              </w:rPr>
            </w:pPr>
          </w:p>
        </w:tc>
        <w:tc>
          <w:tcPr>
            <w:tcW w:w="1102" w:type="dxa"/>
          </w:tcPr>
          <w:p w14:paraId="44FD90D5"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91" w:type="dxa"/>
          </w:tcPr>
          <w:p w14:paraId="4EAA0449"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H3</w:t>
            </w:r>
          </w:p>
        </w:tc>
        <w:tc>
          <w:tcPr>
            <w:tcW w:w="1013" w:type="dxa"/>
          </w:tcPr>
          <w:p w14:paraId="6B73343E"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196</w:t>
            </w:r>
          </w:p>
        </w:tc>
        <w:tc>
          <w:tcPr>
            <w:tcW w:w="1021" w:type="dxa"/>
          </w:tcPr>
          <w:p w14:paraId="3DA8128E"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94.7</w:t>
            </w:r>
          </w:p>
        </w:tc>
        <w:tc>
          <w:tcPr>
            <w:tcW w:w="1013" w:type="dxa"/>
          </w:tcPr>
          <w:p w14:paraId="73DC97F1"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190</w:t>
            </w:r>
          </w:p>
        </w:tc>
        <w:tc>
          <w:tcPr>
            <w:tcW w:w="1021" w:type="dxa"/>
          </w:tcPr>
          <w:p w14:paraId="70BDE7E4"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91.8</w:t>
            </w:r>
          </w:p>
        </w:tc>
        <w:tc>
          <w:tcPr>
            <w:tcW w:w="1225" w:type="dxa"/>
          </w:tcPr>
          <w:p w14:paraId="40761309"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0.24</w:t>
            </w:r>
          </w:p>
        </w:tc>
      </w:tr>
      <w:tr w:rsidR="0033578E" w:rsidRPr="00051F30" w14:paraId="32F2E0B5" w14:textId="77777777" w:rsidTr="00834306">
        <w:tc>
          <w:tcPr>
            <w:cnfStyle w:val="001000000000" w:firstRow="0" w:lastRow="0" w:firstColumn="1" w:lastColumn="0" w:oddVBand="0" w:evenVBand="0" w:oddHBand="0" w:evenHBand="0" w:firstRowFirstColumn="0" w:firstRowLastColumn="0" w:lastRowFirstColumn="0" w:lastRowLastColumn="0"/>
            <w:tcW w:w="1584" w:type="dxa"/>
          </w:tcPr>
          <w:p w14:paraId="7DCA1565" w14:textId="77777777" w:rsidR="0033578E" w:rsidRPr="00272B3E" w:rsidRDefault="0033578E" w:rsidP="0033578E">
            <w:pPr>
              <w:rPr>
                <w:rFonts w:cs="Arial"/>
                <w:sz w:val="20"/>
                <w:szCs w:val="20"/>
              </w:rPr>
            </w:pPr>
          </w:p>
        </w:tc>
        <w:tc>
          <w:tcPr>
            <w:tcW w:w="1102" w:type="dxa"/>
          </w:tcPr>
          <w:p w14:paraId="4CA3CB89"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91" w:type="dxa"/>
          </w:tcPr>
          <w:p w14:paraId="42C42CBF"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B</w:t>
            </w:r>
          </w:p>
        </w:tc>
        <w:tc>
          <w:tcPr>
            <w:tcW w:w="1013" w:type="dxa"/>
          </w:tcPr>
          <w:p w14:paraId="7AF57D64"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129</w:t>
            </w:r>
          </w:p>
        </w:tc>
        <w:tc>
          <w:tcPr>
            <w:tcW w:w="1021" w:type="dxa"/>
          </w:tcPr>
          <w:p w14:paraId="36D855A6"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62.3</w:t>
            </w:r>
          </w:p>
        </w:tc>
        <w:tc>
          <w:tcPr>
            <w:tcW w:w="1013" w:type="dxa"/>
          </w:tcPr>
          <w:p w14:paraId="245A7F92"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118</w:t>
            </w:r>
          </w:p>
        </w:tc>
        <w:tc>
          <w:tcPr>
            <w:tcW w:w="1021" w:type="dxa"/>
          </w:tcPr>
          <w:p w14:paraId="3EDCDBB5"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57.0</w:t>
            </w:r>
          </w:p>
        </w:tc>
        <w:tc>
          <w:tcPr>
            <w:tcW w:w="1225" w:type="dxa"/>
          </w:tcPr>
          <w:p w14:paraId="39E57629" w14:textId="77777777" w:rsidR="0033578E" w:rsidRPr="00272B3E" w:rsidRDefault="0033578E" w:rsidP="0033578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272B3E">
              <w:rPr>
                <w:rFonts w:cs="Arial"/>
                <w:sz w:val="20"/>
                <w:szCs w:val="20"/>
              </w:rPr>
              <w:t>0.27</w:t>
            </w:r>
          </w:p>
        </w:tc>
      </w:tr>
    </w:tbl>
    <w:p w14:paraId="2AA3431E" w14:textId="77777777" w:rsidR="0033578E" w:rsidRPr="00051F30" w:rsidRDefault="0033578E" w:rsidP="006A3980">
      <w:pPr>
        <w:pStyle w:val="Heading5"/>
      </w:pPr>
      <w:r w:rsidRPr="00051F30">
        <w:t>Results for other efficacy outcomes</w:t>
      </w:r>
    </w:p>
    <w:p w14:paraId="545294B0" w14:textId="77777777" w:rsidR="0033578E" w:rsidRDefault="0033578E" w:rsidP="00272B3E">
      <w:pPr>
        <w:pStyle w:val="Heading6"/>
        <w:rPr>
          <w:noProof/>
        </w:rPr>
      </w:pPr>
      <w:r w:rsidRPr="00051F30">
        <w:rPr>
          <w:noProof/>
        </w:rPr>
        <w:t>Serum HAI antibody GMT</w:t>
      </w:r>
    </w:p>
    <w:p w14:paraId="7F1F0604" w14:textId="49B3D594" w:rsidR="00272B3E" w:rsidRPr="00051F30" w:rsidRDefault="00272B3E" w:rsidP="00272B3E">
      <w:pPr>
        <w:rPr>
          <w:rFonts w:cs="Arial"/>
        </w:rPr>
      </w:pPr>
      <w:r w:rsidRPr="00051F30">
        <w:rPr>
          <w:rFonts w:cs="Arial"/>
        </w:rPr>
        <w:t xml:space="preserve">Overall the post-vaccination GMT was significantly higher for the </w:t>
      </w:r>
      <w:r>
        <w:rPr>
          <w:rFonts w:cs="Arial"/>
        </w:rPr>
        <w:t>Fluzone High-Dose</w:t>
      </w:r>
      <w:r w:rsidRPr="00051F30">
        <w:rPr>
          <w:rFonts w:cs="Arial"/>
        </w:rPr>
        <w:t xml:space="preserve"> (high dose) than the Fluzone (standard dose) vaccine for all three antigens at a 95% confidence level</w:t>
      </w:r>
      <w:r w:rsidR="00DA6B02">
        <w:rPr>
          <w:rFonts w:cs="Arial"/>
        </w:rPr>
        <w:t xml:space="preserve"> (Table</w:t>
      </w:r>
      <w:r w:rsidR="00196C1B">
        <w:rPr>
          <w:rFonts w:cs="Arial"/>
        </w:rPr>
        <w:t> </w:t>
      </w:r>
      <w:r w:rsidR="00DA6B02">
        <w:rPr>
          <w:rFonts w:cs="Arial"/>
        </w:rPr>
        <w:t>1</w:t>
      </w:r>
      <w:r w:rsidR="00F05C2C">
        <w:rPr>
          <w:rFonts w:cs="Arial"/>
        </w:rPr>
        <w:t>8</w:t>
      </w:r>
      <w:r w:rsidR="00DA6B02">
        <w:rPr>
          <w:rFonts w:cs="Arial"/>
        </w:rPr>
        <w:t>)</w:t>
      </w:r>
      <w:r w:rsidRPr="00051F30">
        <w:rPr>
          <w:rFonts w:cs="Arial"/>
        </w:rPr>
        <w:t>.</w:t>
      </w:r>
    </w:p>
    <w:p w14:paraId="6436BEBD" w14:textId="77777777" w:rsidR="00272B3E" w:rsidRPr="00051F30" w:rsidRDefault="00272B3E" w:rsidP="00272B3E">
      <w:pPr>
        <w:pStyle w:val="Tabletitle"/>
      </w:pPr>
      <w:bookmarkStart w:id="86" w:name="_Toc370576213"/>
      <w:r>
        <w:t>Table 1</w:t>
      </w:r>
      <w:r w:rsidR="00F05C2C">
        <w:t>8</w:t>
      </w:r>
      <w:r w:rsidRPr="00051F30">
        <w:t xml:space="preserve">: Comparison of GMT to HAI antibodies in </w:t>
      </w:r>
      <w:r>
        <w:t>Fluzone High-Dose</w:t>
      </w:r>
      <w:r w:rsidRPr="00051F30">
        <w:t xml:space="preserve"> and Fluzone treated subjects in Study FIM01</w:t>
      </w:r>
      <w:bookmarkEnd w:id="86"/>
    </w:p>
    <w:p w14:paraId="23403918" w14:textId="77777777" w:rsidR="0033578E" w:rsidRPr="00051F30" w:rsidRDefault="0033578E" w:rsidP="0033578E">
      <w:pPr>
        <w:rPr>
          <w:rFonts w:cs="Arial"/>
        </w:rPr>
      </w:pPr>
      <w:r w:rsidRPr="00051F30">
        <w:rPr>
          <w:rFonts w:cs="Arial"/>
          <w:noProof/>
          <w:bdr w:val="single" w:sz="4" w:space="0" w:color="auto"/>
          <w:lang w:eastAsia="en-AU"/>
        </w:rPr>
        <w:drawing>
          <wp:inline distT="0" distB="0" distL="0" distR="0" wp14:anchorId="6726E505" wp14:editId="37F6DEB1">
            <wp:extent cx="4869873" cy="1510145"/>
            <wp:effectExtent l="0" t="0" r="6985" b="0"/>
            <wp:docPr id="9" name="Picture 10" descr="Comparison of GMT to HAI antibodies in Fluzone High-Dose and Fluzone treated subjects in Study FI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lum bright="-20000" contrast="40000"/>
                    </a:blip>
                    <a:srcRect t="17522" b="2898"/>
                    <a:stretch/>
                  </pic:blipFill>
                  <pic:spPr bwMode="auto">
                    <a:xfrm>
                      <a:off x="0" y="0"/>
                      <a:ext cx="4869180" cy="1509930"/>
                    </a:xfrm>
                    <a:prstGeom prst="rect">
                      <a:avLst/>
                    </a:prstGeom>
                    <a:noFill/>
                    <a:ln>
                      <a:noFill/>
                    </a:ln>
                    <a:extLst>
                      <a:ext uri="{53640926-AAD7-44D8-BBD7-CCE9431645EC}">
                        <a14:shadowObscured xmlns:a14="http://schemas.microsoft.com/office/drawing/2010/main"/>
                      </a:ext>
                    </a:extLst>
                  </pic:spPr>
                </pic:pic>
              </a:graphicData>
            </a:graphic>
          </wp:inline>
        </w:drawing>
      </w:r>
    </w:p>
    <w:p w14:paraId="71DB1ECA" w14:textId="77777777" w:rsidR="0033578E" w:rsidRDefault="0033578E" w:rsidP="00DA6B02">
      <w:pPr>
        <w:pStyle w:val="Heading6"/>
      </w:pPr>
      <w:r w:rsidRPr="00051F30">
        <w:t>Serum HAI antibody 4-fold increases</w:t>
      </w:r>
    </w:p>
    <w:p w14:paraId="7E3919C0" w14:textId="77777777" w:rsidR="00DA6B02" w:rsidRPr="00051F30" w:rsidRDefault="00DA6B02" w:rsidP="00DA6B02">
      <w:pPr>
        <w:rPr>
          <w:rFonts w:cs="Arial"/>
        </w:rPr>
      </w:pPr>
      <w:r w:rsidRPr="00051F30">
        <w:rPr>
          <w:rFonts w:cs="Arial"/>
        </w:rPr>
        <w:t>There w</w:t>
      </w:r>
      <w:r>
        <w:rPr>
          <w:rFonts w:cs="Arial"/>
        </w:rPr>
        <w:t>ere</w:t>
      </w:r>
      <w:r w:rsidRPr="00051F30">
        <w:rPr>
          <w:rFonts w:cs="Arial"/>
        </w:rPr>
        <w:t xml:space="preserve"> a significantly higher proportion of subjects achieving a 4-fold increase in HAI antibody titres after vaccination for all 3 antigens in the </w:t>
      </w:r>
      <w:r>
        <w:rPr>
          <w:rFonts w:cs="Arial"/>
        </w:rPr>
        <w:t>Fluzone High-Dose</w:t>
      </w:r>
      <w:r w:rsidRPr="00051F30">
        <w:rPr>
          <w:rFonts w:cs="Arial"/>
        </w:rPr>
        <w:t xml:space="preserve"> than the Fluzone treatment arms</w:t>
      </w:r>
      <w:r>
        <w:rPr>
          <w:rFonts w:cs="Arial"/>
        </w:rPr>
        <w:t xml:space="preserve"> (Table </w:t>
      </w:r>
      <w:r w:rsidR="00F05C2C">
        <w:rPr>
          <w:rFonts w:cs="Arial"/>
        </w:rPr>
        <w:t>19</w:t>
      </w:r>
      <w:r>
        <w:rPr>
          <w:rFonts w:cs="Arial"/>
        </w:rPr>
        <w:t>)</w:t>
      </w:r>
      <w:r w:rsidRPr="00051F30">
        <w:rPr>
          <w:rFonts w:cs="Arial"/>
        </w:rPr>
        <w:t>.</w:t>
      </w:r>
    </w:p>
    <w:p w14:paraId="6F9DCA04" w14:textId="2B02941D" w:rsidR="00DA6B02" w:rsidRPr="00051F30" w:rsidRDefault="00DA6B02" w:rsidP="006A3980">
      <w:pPr>
        <w:pStyle w:val="Tabletitle"/>
      </w:pPr>
      <w:bookmarkStart w:id="87" w:name="_Toc370576214"/>
      <w:r>
        <w:t xml:space="preserve">Table </w:t>
      </w:r>
      <w:r w:rsidR="00F05C2C">
        <w:t>19</w:t>
      </w:r>
      <w:r w:rsidRPr="00051F30">
        <w:t xml:space="preserve">: Comparison of rates of subjects in </w:t>
      </w:r>
      <w:r>
        <w:t>Fluzone High-Dose</w:t>
      </w:r>
      <w:r w:rsidRPr="00051F30">
        <w:t xml:space="preserve"> and Fluzone treated arms achieving a 4</w:t>
      </w:r>
      <w:r w:rsidR="006A3980">
        <w:t xml:space="preserve"> </w:t>
      </w:r>
      <w:r w:rsidRPr="00051F30">
        <w:t>fold or greater increase in HAI antibody titre</w:t>
      </w:r>
      <w:r w:rsidR="00196C1B">
        <w:t xml:space="preserve"> in </w:t>
      </w:r>
      <w:r w:rsidR="00196C1B" w:rsidRPr="00051F30">
        <w:t>Study FIM01</w:t>
      </w:r>
      <w:bookmarkEnd w:id="87"/>
    </w:p>
    <w:p w14:paraId="135BF19E" w14:textId="77777777" w:rsidR="0033578E" w:rsidRPr="00051F30" w:rsidRDefault="0033578E" w:rsidP="0033578E">
      <w:pPr>
        <w:rPr>
          <w:rFonts w:cs="Arial"/>
          <w:b/>
        </w:rPr>
      </w:pPr>
      <w:r w:rsidRPr="00051F30">
        <w:rPr>
          <w:rFonts w:cs="Arial"/>
          <w:b/>
          <w:noProof/>
          <w:bdr w:val="single" w:sz="4" w:space="0" w:color="auto"/>
          <w:lang w:eastAsia="en-AU"/>
        </w:rPr>
        <w:drawing>
          <wp:inline distT="0" distB="0" distL="0" distR="0" wp14:anchorId="04F9CE9A" wp14:editId="7496C9DA">
            <wp:extent cx="5264728" cy="955436"/>
            <wp:effectExtent l="0" t="0" r="0" b="0"/>
            <wp:docPr id="10" name="Picture 11" descr="Comparison of rates of subjects in Fluzone High-Dose and Fluzone treated arms achieving a 4 fold or greater increase in HAI antibody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lum bright="-20000" contrast="40000"/>
                    </a:blip>
                    <a:srcRect t="28160"/>
                    <a:stretch/>
                  </pic:blipFill>
                  <pic:spPr bwMode="auto">
                    <a:xfrm>
                      <a:off x="0" y="0"/>
                      <a:ext cx="5266899" cy="955830"/>
                    </a:xfrm>
                    <a:prstGeom prst="rect">
                      <a:avLst/>
                    </a:prstGeom>
                    <a:noFill/>
                    <a:ln>
                      <a:noFill/>
                    </a:ln>
                    <a:extLst>
                      <a:ext uri="{53640926-AAD7-44D8-BBD7-CCE9431645EC}">
                        <a14:shadowObscured xmlns:a14="http://schemas.microsoft.com/office/drawing/2010/main"/>
                      </a:ext>
                    </a:extLst>
                  </pic:spPr>
                </pic:pic>
              </a:graphicData>
            </a:graphic>
          </wp:inline>
        </w:drawing>
      </w:r>
    </w:p>
    <w:p w14:paraId="4950FF1C" w14:textId="77777777" w:rsidR="0033578E" w:rsidRPr="00F70824" w:rsidRDefault="0033578E" w:rsidP="006A3980">
      <w:pPr>
        <w:pStyle w:val="Heading4"/>
      </w:pPr>
      <w:r w:rsidRPr="00051F30">
        <w:lastRenderedPageBreak/>
        <w:t>Study FIM07</w:t>
      </w:r>
    </w:p>
    <w:p w14:paraId="43579E4D" w14:textId="77777777" w:rsidR="0033578E" w:rsidRPr="00F70824" w:rsidRDefault="0033578E" w:rsidP="00DA6B02">
      <w:pPr>
        <w:pStyle w:val="Heading5"/>
      </w:pPr>
      <w:r w:rsidRPr="00F70824">
        <w:t>Study design, objectives, locations and dates</w:t>
      </w:r>
    </w:p>
    <w:p w14:paraId="1360D49B" w14:textId="141C690D" w:rsidR="0033578E" w:rsidRPr="00051F30" w:rsidRDefault="0033578E" w:rsidP="00DA6B02">
      <w:r w:rsidRPr="00051F30">
        <w:t xml:space="preserve">Study FIM07 was a study with essentially the same design as </w:t>
      </w:r>
      <w:r w:rsidR="00B414C4">
        <w:t xml:space="preserve">Study </w:t>
      </w:r>
      <w:r w:rsidRPr="00051F30">
        <w:t>FIM12 which was discontinued in its first year, 2009, after enrolling only 9</w:t>
      </w:r>
      <w:r w:rsidR="00B414C4">
        <w:t>,</w:t>
      </w:r>
      <w:r w:rsidRPr="00051F30">
        <w:t>172 of an anticipated 33</w:t>
      </w:r>
      <w:r w:rsidR="00B414C4">
        <w:t>,</w:t>
      </w:r>
      <w:r w:rsidRPr="00051F30">
        <w:t xml:space="preserve">000 patients. The study was ended prematurely because of the onset of the H1N1 ‘swine flu’ pandemic which meant that </w:t>
      </w:r>
      <w:r w:rsidR="006A3980">
        <w:t xml:space="preserve">&gt; </w:t>
      </w:r>
      <w:r w:rsidRPr="00051F30">
        <w:t xml:space="preserve">95% of isolates occurring in the 2009-2010 northern winter were of the pandemic strain. The primary endpoint for </w:t>
      </w:r>
      <w:r w:rsidR="00B414C4">
        <w:t xml:space="preserve">Study </w:t>
      </w:r>
      <w:r w:rsidRPr="00051F30">
        <w:t xml:space="preserve">FIM07 was the rate of influenza in subjects vaccinated with Fluzone or </w:t>
      </w:r>
      <w:r w:rsidR="00CD0E09">
        <w:t>Fluzone High-Dose</w:t>
      </w:r>
      <w:r w:rsidRPr="00051F30">
        <w:t xml:space="preserve"> that was caused by virus considered antigenically similar to those in the vaccine. As the study vaccine contained the A/Brisbane/59/2007 strain this was not antigenically similar to the pandemic virus.</w:t>
      </w:r>
    </w:p>
    <w:p w14:paraId="04C8EF9E" w14:textId="77777777" w:rsidR="0033578E" w:rsidRDefault="0033578E" w:rsidP="006A3980">
      <w:r w:rsidRPr="00051F30">
        <w:t xml:space="preserve">Limited efficacy data for secondary endpoints was examined and is available in </w:t>
      </w:r>
      <w:r w:rsidR="006A3980">
        <w:t>Table 2</w:t>
      </w:r>
      <w:r w:rsidR="00F05C2C">
        <w:t>0</w:t>
      </w:r>
      <w:r w:rsidRPr="00051F30">
        <w:t xml:space="preserve">. The study has been submitted as part of the safety analysis. </w:t>
      </w:r>
      <w:bookmarkEnd w:id="82"/>
      <w:bookmarkEnd w:id="83"/>
    </w:p>
    <w:p w14:paraId="2B9D2172" w14:textId="77777777" w:rsidR="006A3980" w:rsidRPr="00807BC0" w:rsidRDefault="006A3980" w:rsidP="006A3980">
      <w:pPr>
        <w:pStyle w:val="Tabletitle"/>
        <w:rPr>
          <w:sz w:val="24"/>
        </w:rPr>
      </w:pPr>
      <w:r>
        <w:t>Table 2</w:t>
      </w:r>
      <w:r w:rsidR="00F05C2C">
        <w:t>0</w:t>
      </w:r>
      <w:r w:rsidRPr="00807BC0">
        <w:t>: Limited analysis of comparative rates of influenza in Fluzone HD and Fluzone treated arms in Study FIM07</w:t>
      </w:r>
    </w:p>
    <w:p w14:paraId="4618C9DC" w14:textId="77777777" w:rsidR="006A3980" w:rsidRPr="00807BC0" w:rsidRDefault="006A3980" w:rsidP="006A3980">
      <w:pPr>
        <w:rPr>
          <w:rFonts w:cs="Arial"/>
        </w:rPr>
      </w:pPr>
      <w:r w:rsidRPr="00807BC0">
        <w:rPr>
          <w:rFonts w:cs="Arial"/>
          <w:noProof/>
          <w:lang w:eastAsia="en-AU"/>
        </w:rPr>
        <w:drawing>
          <wp:inline distT="0" distB="0" distL="0" distR="0" wp14:anchorId="4D944D45" wp14:editId="11ADDAF8">
            <wp:extent cx="5424054" cy="3044880"/>
            <wp:effectExtent l="19050" t="19050" r="24765" b="22225"/>
            <wp:docPr id="51" name="Picture 23" descr="Limited analysis of comparative rates of influenza in Fluzone HD and Fluzone treated arms in Study FI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cstate="print">
                      <a:grayscl/>
                      <a:lum bright="-20000" contrast="40000"/>
                    </a:blip>
                    <a:srcRect l="2188" t="5432" r="2555" b="17454"/>
                    <a:stretch/>
                  </pic:blipFill>
                  <pic:spPr bwMode="auto">
                    <a:xfrm>
                      <a:off x="0" y="0"/>
                      <a:ext cx="5458489" cy="3064211"/>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004E6A5" w14:textId="6D63B0DD" w:rsidR="006A3980" w:rsidRPr="006A3980" w:rsidRDefault="006A3980" w:rsidP="006A3980">
      <w:pPr>
        <w:rPr>
          <w:rFonts w:cs="Arial"/>
        </w:rPr>
      </w:pPr>
      <w:r w:rsidRPr="00807BC0">
        <w:rPr>
          <w:rFonts w:cs="Arial"/>
        </w:rPr>
        <w:t xml:space="preserve">The point estimate of the relative efficacy of Fluzone HD compared to Fluzone indicated higher efficacy for Fluzone HD. </w:t>
      </w:r>
      <w:r>
        <w:rPr>
          <w:rFonts w:cs="Arial"/>
        </w:rPr>
        <w:t>However t</w:t>
      </w:r>
      <w:r w:rsidRPr="00807BC0">
        <w:rPr>
          <w:rFonts w:cs="Arial"/>
        </w:rPr>
        <w:t>he 95% confidence intervals around this estimate were</w:t>
      </w:r>
      <w:r>
        <w:rPr>
          <w:rFonts w:cs="Arial"/>
        </w:rPr>
        <w:t xml:space="preserve"> </w:t>
      </w:r>
      <w:r w:rsidRPr="00807BC0">
        <w:rPr>
          <w:rFonts w:cs="Arial"/>
        </w:rPr>
        <w:t xml:space="preserve">wide indicating the relatively low power of </w:t>
      </w:r>
      <w:r w:rsidRPr="006A3980">
        <w:rPr>
          <w:rFonts w:cs="Arial"/>
        </w:rPr>
        <w:t>Study FIM07 arising from the premature discontinuation of recruitment.</w:t>
      </w:r>
    </w:p>
    <w:p w14:paraId="17112D19" w14:textId="77777777" w:rsidR="0033578E" w:rsidRPr="00051F30" w:rsidRDefault="0033578E" w:rsidP="006A3980">
      <w:pPr>
        <w:pStyle w:val="Heading3"/>
      </w:pPr>
      <w:bookmarkStart w:id="88" w:name="_Toc370580775"/>
      <w:bookmarkStart w:id="89" w:name="_Ref271126605"/>
      <w:bookmarkStart w:id="90" w:name="_Toc272414657"/>
      <w:bookmarkStart w:id="91" w:name="_Toc290846282"/>
      <w:bookmarkStart w:id="92" w:name="_Toc290888819"/>
      <w:bookmarkStart w:id="93" w:name="_Toc522542363"/>
      <w:r w:rsidRPr="00051F30">
        <w:t>Evaluator’s conclusions on clinical efficacy</w:t>
      </w:r>
      <w:bookmarkEnd w:id="88"/>
      <w:bookmarkEnd w:id="89"/>
      <w:bookmarkEnd w:id="90"/>
      <w:bookmarkEnd w:id="91"/>
      <w:bookmarkEnd w:id="92"/>
      <w:bookmarkEnd w:id="93"/>
    </w:p>
    <w:p w14:paraId="08FBD3CE" w14:textId="24851229" w:rsidR="0033578E" w:rsidRPr="006A3980" w:rsidRDefault="0033578E" w:rsidP="006A3980">
      <w:r w:rsidRPr="006A3980">
        <w:t xml:space="preserve">The pivotal </w:t>
      </w:r>
      <w:r w:rsidR="00CD0E09" w:rsidRPr="006A3980">
        <w:t>Studies FI</w:t>
      </w:r>
      <w:r w:rsidRPr="006A3980">
        <w:t xml:space="preserve">M12 and FIM05 provide evidence of improved immune reactivity and clinical efficacy respectively of </w:t>
      </w:r>
      <w:r w:rsidR="00CD0E09" w:rsidRPr="006A3980">
        <w:t>Fluzone High-Dose</w:t>
      </w:r>
      <w:r w:rsidRPr="006A3980">
        <w:t xml:space="preserve"> compared to Fluzone in the proposed target population. The number needed to treat to prevent a case of influenza with </w:t>
      </w:r>
      <w:r w:rsidR="00CD0E09" w:rsidRPr="006A3980">
        <w:t>Fluzone High-Dose</w:t>
      </w:r>
      <w:r w:rsidRPr="006A3980">
        <w:t xml:space="preserve"> compared to using Fluzone is approximately 270 based on the primary endpoint for influenza A (</w:t>
      </w:r>
      <w:r w:rsidR="00683B49">
        <w:t>r</w:t>
      </w:r>
      <w:r w:rsidR="00683B49" w:rsidRPr="006A3980">
        <w:t xml:space="preserve">ate </w:t>
      </w:r>
      <w:r w:rsidRPr="006A3980">
        <w:t xml:space="preserve">of influenza of 1.56% and 1.19% in Fluzone and </w:t>
      </w:r>
      <w:r w:rsidR="00CD0E09" w:rsidRPr="006A3980">
        <w:t>Fluzone High-Dose</w:t>
      </w:r>
      <w:r w:rsidRPr="006A3980">
        <w:t xml:space="preserve"> groups). This would potentially prevent a large number of cases of influenza if </w:t>
      </w:r>
      <w:r w:rsidR="00CD0E09" w:rsidRPr="006A3980">
        <w:t>Fluzone High-Dose</w:t>
      </w:r>
      <w:r w:rsidRPr="006A3980">
        <w:t xml:space="preserve"> was used widely, but may limit acceptance by the individual given the slightly higher rate of injection site reactions.</w:t>
      </w:r>
    </w:p>
    <w:p w14:paraId="3FF93065" w14:textId="20167CBF" w:rsidR="0033578E" w:rsidRDefault="00683B49" w:rsidP="006A3980">
      <w:r>
        <w:t xml:space="preserve">Study </w:t>
      </w:r>
      <w:r w:rsidR="0033578E" w:rsidRPr="006A3980">
        <w:t xml:space="preserve">FIM12 confirmed greater relative efficacy of </w:t>
      </w:r>
      <w:r w:rsidR="00CD0E09" w:rsidRPr="006A3980">
        <w:t>Fluzone High-Dose</w:t>
      </w:r>
      <w:r w:rsidR="0033578E" w:rsidRPr="006A3980">
        <w:t xml:space="preserve"> compared to Fluzone in preventing Influenza A and influenza B in subjects </w:t>
      </w:r>
      <w:r w:rsidR="006A3980">
        <w:t xml:space="preserve">&gt; </w:t>
      </w:r>
      <w:r w:rsidR="0033578E" w:rsidRPr="006A3980">
        <w:t>65 years of age</w:t>
      </w:r>
      <w:r w:rsidR="00F05C2C">
        <w:t xml:space="preserve"> (Table 21)</w:t>
      </w:r>
      <w:r w:rsidR="0033578E" w:rsidRPr="006A3980">
        <w:t xml:space="preserve">. The subjects in </w:t>
      </w:r>
      <w:r w:rsidR="0033578E" w:rsidRPr="006A3980">
        <w:lastRenderedPageBreak/>
        <w:t xml:space="preserve">this study were comparatively well, and </w:t>
      </w:r>
      <w:r>
        <w:t xml:space="preserve">Study </w:t>
      </w:r>
      <w:r w:rsidR="0033578E" w:rsidRPr="006A3980">
        <w:t xml:space="preserve">FIM12 provides little evidence of the comparative benefit of </w:t>
      </w:r>
      <w:r w:rsidR="00CD0E09" w:rsidRPr="006A3980">
        <w:t>Fluzone High-Dose</w:t>
      </w:r>
      <w:r w:rsidR="0033578E" w:rsidRPr="006A3980">
        <w:t xml:space="preserve"> in settings such as aged care facilities where the population is very frail.</w:t>
      </w:r>
    </w:p>
    <w:p w14:paraId="55C27320" w14:textId="2378CC5F" w:rsidR="00385BD5" w:rsidRPr="006A3980" w:rsidRDefault="00385BD5" w:rsidP="00385BD5">
      <w:pPr>
        <w:pStyle w:val="Tabletitle"/>
      </w:pPr>
      <w:r>
        <w:t>Table 2</w:t>
      </w:r>
      <w:r w:rsidR="00F05C2C">
        <w:t>1</w:t>
      </w:r>
      <w:r>
        <w:t xml:space="preserve">: </w:t>
      </w:r>
      <w:r w:rsidR="00683B49">
        <w:t xml:space="preserve">Study </w:t>
      </w:r>
      <w:r>
        <w:t>FIM12 Relative vaccine efficacy of Fluzone High-Dose compared to Fluzone in the prevention of laboratory confirmed influenza associated with protocol defined influenza like illness, by age subgr</w:t>
      </w:r>
      <w:r w:rsidR="00F91A35">
        <w:t>oups Per P</w:t>
      </w:r>
      <w:r>
        <w:t>rotocol analysis</w:t>
      </w:r>
    </w:p>
    <w:p w14:paraId="1FC763B3" w14:textId="77777777" w:rsidR="0033578E" w:rsidRPr="00051F30" w:rsidRDefault="0033578E" w:rsidP="00385BD5">
      <w:pPr>
        <w:rPr>
          <w:b/>
          <w:szCs w:val="20"/>
        </w:rPr>
      </w:pPr>
      <w:r w:rsidRPr="00051F30">
        <w:t xml:space="preserve"> </w:t>
      </w:r>
      <w:r w:rsidRPr="00051F30">
        <w:rPr>
          <w:noProof/>
          <w:bdr w:val="single" w:sz="4" w:space="0" w:color="auto"/>
          <w:lang w:eastAsia="en-AU"/>
        </w:rPr>
        <w:drawing>
          <wp:inline distT="0" distB="0" distL="0" distR="0" wp14:anchorId="3BC38970" wp14:editId="55B611BE">
            <wp:extent cx="5553816" cy="3948546"/>
            <wp:effectExtent l="0" t="0" r="8890" b="0"/>
            <wp:docPr id="21" name="Picture 1" descr="FIM12 Relative vaccine efficacy of Fluzone High-Dose compared to Fluzone in the prevention of laboratory confirmed influenza associated with protocol defined influenza like illness, by age subgroups Per protoco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lum bright="-20000" contrast="40000"/>
                    </a:blip>
                    <a:srcRect l="1430" t="11334" r="2981" b="6886"/>
                    <a:stretch/>
                  </pic:blipFill>
                  <pic:spPr bwMode="auto">
                    <a:xfrm>
                      <a:off x="0" y="0"/>
                      <a:ext cx="5552985" cy="3947955"/>
                    </a:xfrm>
                    <a:prstGeom prst="rect">
                      <a:avLst/>
                    </a:prstGeom>
                    <a:noFill/>
                    <a:ln>
                      <a:noFill/>
                    </a:ln>
                    <a:extLst>
                      <a:ext uri="{53640926-AAD7-44D8-BBD7-CCE9431645EC}">
                        <a14:shadowObscured xmlns:a14="http://schemas.microsoft.com/office/drawing/2010/main"/>
                      </a:ext>
                    </a:extLst>
                  </pic:spPr>
                </pic:pic>
              </a:graphicData>
            </a:graphic>
          </wp:inline>
        </w:drawing>
      </w:r>
    </w:p>
    <w:p w14:paraId="3F489209" w14:textId="7D344159" w:rsidR="0033578E" w:rsidRPr="00385BD5" w:rsidRDefault="0033578E" w:rsidP="00385BD5">
      <w:r w:rsidRPr="00385BD5">
        <w:t xml:space="preserve">An analysis of the effect by age was presented in the US FDA report of </w:t>
      </w:r>
      <w:r w:rsidR="00CD0E09" w:rsidRPr="00385BD5">
        <w:t>Fluzone High-Dose</w:t>
      </w:r>
      <w:r w:rsidR="00683B49">
        <w:t>;</w:t>
      </w:r>
      <w:r w:rsidRPr="00385BD5">
        <w:rPr>
          <w:rStyle w:val="FootnoteReference"/>
          <w:rFonts w:cs="Arial"/>
          <w:i/>
        </w:rPr>
        <w:footnoteReference w:id="3"/>
      </w:r>
      <w:r w:rsidRPr="00385BD5">
        <w:t xml:space="preserve"> but was not included in the submitted dossier. It does not suggest a strong effect of age on the efficacy of </w:t>
      </w:r>
      <w:r w:rsidR="00CD0E09" w:rsidRPr="00385BD5">
        <w:t>Fluzone High-Dose</w:t>
      </w:r>
      <w:r w:rsidRPr="00385BD5">
        <w:t xml:space="preserve"> within the limited power of the sub-analysis.</w:t>
      </w:r>
    </w:p>
    <w:p w14:paraId="5E172C19" w14:textId="3A642402" w:rsidR="0033578E" w:rsidRPr="00385BD5" w:rsidRDefault="0033578E" w:rsidP="00385BD5">
      <w:r w:rsidRPr="00385BD5">
        <w:t xml:space="preserve">The </w:t>
      </w:r>
      <w:r w:rsidR="00F91A35">
        <w:t>e</w:t>
      </w:r>
      <w:r w:rsidRPr="00385BD5">
        <w:t>valuator notes that the modified-CDC-defined influenza like illness used as a secondary efficacy endpoint is closer to the WHO surveillance definition of an Influenza</w:t>
      </w:r>
      <w:r w:rsidR="00F05C2C">
        <w:t>-l</w:t>
      </w:r>
      <w:r w:rsidRPr="00385BD5">
        <w:t>ike</w:t>
      </w:r>
      <w:r w:rsidR="00F05C2C">
        <w:t>-Ill</w:t>
      </w:r>
      <w:r w:rsidRPr="00385BD5">
        <w:t xml:space="preserve">ness </w:t>
      </w:r>
      <w:r w:rsidR="00F91A35">
        <w:t>that is</w:t>
      </w:r>
      <w:r w:rsidRPr="00385BD5">
        <w:t xml:space="preserve"> a fever </w:t>
      </w:r>
      <w:r w:rsidR="00F91A35">
        <w:t xml:space="preserve">≥ </w:t>
      </w:r>
      <w:r w:rsidRPr="00385BD5">
        <w:t>38</w:t>
      </w:r>
      <w:r w:rsidR="00683B49">
        <w:t>°C</w:t>
      </w:r>
      <w:r w:rsidRPr="00385BD5">
        <w:t xml:space="preserve"> and cough. While all cases in FIM12 were laboratory confirmed, </w:t>
      </w:r>
      <w:r w:rsidR="00A06A77" w:rsidRPr="00385BD5">
        <w:t>the evaluator</w:t>
      </w:r>
      <w:r w:rsidRPr="00385BD5">
        <w:t xml:space="preserve"> feels that the modified CDC definition is likely to better estimate the clinical syndrome which will be recognised as influenza and tested in the Australian clinical or public health setting than the protocol-defined case definition.</w:t>
      </w:r>
    </w:p>
    <w:p w14:paraId="3A03AA34" w14:textId="77D1FC34" w:rsidR="00C22678" w:rsidRPr="00385BD5" w:rsidRDefault="0033578E" w:rsidP="00385BD5">
      <w:pPr>
        <w:rPr>
          <w:lang w:eastAsia="ja-JP"/>
        </w:rPr>
      </w:pPr>
      <w:r w:rsidRPr="00385BD5">
        <w:t xml:space="preserve">The </w:t>
      </w:r>
      <w:r w:rsidR="00F91A35">
        <w:t>e</w:t>
      </w:r>
      <w:r w:rsidRPr="00385BD5">
        <w:t xml:space="preserve">valuator notes that in the influenza seasons over which </w:t>
      </w:r>
      <w:r w:rsidR="00683B49">
        <w:t xml:space="preserve">Study </w:t>
      </w:r>
      <w:r w:rsidRPr="00385BD5">
        <w:t xml:space="preserve">FIM12 was conducted H3N2 represented </w:t>
      </w:r>
      <w:r w:rsidR="006A3980" w:rsidRPr="00385BD5">
        <w:t xml:space="preserve">&gt; </w:t>
      </w:r>
      <w:r w:rsidRPr="00385BD5">
        <w:t xml:space="preserve">75% of the virus circulating in the US and Canada with comparatively little H1N1. This pattern was replicated in the adjacent Australian seasons. There were too few cases of H1N1 in </w:t>
      </w:r>
      <w:r w:rsidR="00683B49">
        <w:t xml:space="preserve">Study </w:t>
      </w:r>
      <w:r w:rsidRPr="00385BD5">
        <w:t xml:space="preserve">FIM12 to effectively assess the clinical efficacy of the vaccine against this subtype. FIM07 does not provide supportive evidence because the vaccine was unmatched to the pandemic strain in that year. The </w:t>
      </w:r>
      <w:r w:rsidR="00F91A35">
        <w:t>e</w:t>
      </w:r>
      <w:r w:rsidRPr="00385BD5">
        <w:t xml:space="preserve">valuator therefore feels that the immunological response demonstrated against H1N1 in </w:t>
      </w:r>
      <w:r w:rsidR="00683B49">
        <w:t xml:space="preserve">Study </w:t>
      </w:r>
      <w:r w:rsidRPr="00385BD5">
        <w:t xml:space="preserve">FIM05 is the best evidence of a protective response against the H1N1 subtype. This study observed a higher rate of seroprotection in subject vaccinated with </w:t>
      </w:r>
      <w:r w:rsidR="00CD0E09" w:rsidRPr="00385BD5">
        <w:t>Fluzone High-Dose</w:t>
      </w:r>
      <w:r w:rsidRPr="00385BD5">
        <w:t xml:space="preserve"> than in those who received Fluzone.</w:t>
      </w:r>
    </w:p>
    <w:p w14:paraId="39A54EAE" w14:textId="77777777" w:rsidR="00C22678" w:rsidRDefault="00C22678" w:rsidP="00F91A35">
      <w:pPr>
        <w:pStyle w:val="Heading2"/>
      </w:pPr>
      <w:bookmarkStart w:id="94" w:name="_Toc522542364"/>
      <w:r>
        <w:lastRenderedPageBreak/>
        <w:t>Clinical safety</w:t>
      </w:r>
      <w:bookmarkEnd w:id="94"/>
    </w:p>
    <w:p w14:paraId="15C82F1F" w14:textId="77777777" w:rsidR="0033578E" w:rsidRPr="00051F30" w:rsidRDefault="0033578E" w:rsidP="00F91A35">
      <w:pPr>
        <w:pStyle w:val="Heading3"/>
      </w:pPr>
      <w:bookmarkStart w:id="95" w:name="_Toc272414659"/>
      <w:bookmarkStart w:id="96" w:name="_Toc290846284"/>
      <w:bookmarkStart w:id="97" w:name="_Toc290888821"/>
      <w:bookmarkStart w:id="98" w:name="_Toc370580777"/>
      <w:bookmarkStart w:id="99" w:name="_Toc522542365"/>
      <w:r w:rsidRPr="00051F30">
        <w:t>Studies providing evaluable safety data</w:t>
      </w:r>
      <w:bookmarkStart w:id="100" w:name="_Ref268776745"/>
      <w:bookmarkEnd w:id="95"/>
      <w:bookmarkEnd w:id="96"/>
      <w:bookmarkEnd w:id="97"/>
      <w:bookmarkEnd w:id="98"/>
      <w:bookmarkEnd w:id="99"/>
    </w:p>
    <w:p w14:paraId="3BC47DCC" w14:textId="77777777" w:rsidR="0033578E" w:rsidRDefault="0033578E" w:rsidP="00F91A35">
      <w:r w:rsidRPr="00F91A35">
        <w:t xml:space="preserve">Safety data is available from the </w:t>
      </w:r>
      <w:r w:rsidR="00CD0E09" w:rsidRPr="00F91A35">
        <w:t>Studies FI</w:t>
      </w:r>
      <w:r w:rsidRPr="00F91A35">
        <w:t>M01, FIM05, FIM07, FIM12 submitted in this dossier as complete reports. Study NIH-01-574 was included in the dossier as a literature reference and so analysis of safety endpoints in this study was not possible. However, this dose-ranging study included only a low number of subjects who received</w:t>
      </w:r>
      <w:r w:rsidRPr="00051F30">
        <w:t xml:space="preserve"> the proposed dose of </w:t>
      </w:r>
      <w:r w:rsidR="00CD0E09">
        <w:t>Fluzone High-Dose</w:t>
      </w:r>
      <w:r w:rsidRPr="00051F30">
        <w:t>. No study assessed a safety as a primary endpoint.</w:t>
      </w:r>
    </w:p>
    <w:p w14:paraId="7C1AC429" w14:textId="77777777" w:rsidR="00F05C2C" w:rsidRPr="00051F30" w:rsidRDefault="00F05C2C" w:rsidP="00F91A35">
      <w:r>
        <w:t>A summary of safety data collected for this submission is shown in Table 22.</w:t>
      </w:r>
    </w:p>
    <w:p w14:paraId="29E45CEB" w14:textId="77777777" w:rsidR="00F91A35" w:rsidRPr="00051F30" w:rsidRDefault="00F91A35" w:rsidP="00F91A35">
      <w:pPr>
        <w:pStyle w:val="Tabletitle"/>
      </w:pPr>
      <w:bookmarkStart w:id="101" w:name="_Toc370576215"/>
      <w:r>
        <w:t>Table 2</w:t>
      </w:r>
      <w:r w:rsidR="00F05C2C">
        <w:t>2</w:t>
      </w:r>
      <w:r w:rsidRPr="00051F30">
        <w:t>: Summary of safety data collected in studies providing safety information in this submission</w:t>
      </w:r>
      <w:bookmarkEnd w:id="101"/>
    </w:p>
    <w:p w14:paraId="38CD7F4F" w14:textId="77777777" w:rsidR="0033578E" w:rsidRPr="00051F30" w:rsidRDefault="0033578E" w:rsidP="0033578E">
      <w:pPr>
        <w:rPr>
          <w:rFonts w:cs="Arial"/>
        </w:rPr>
      </w:pPr>
      <w:r w:rsidRPr="00051F30">
        <w:rPr>
          <w:rFonts w:cs="Arial"/>
          <w:noProof/>
          <w:bdr w:val="single" w:sz="4" w:space="0" w:color="auto"/>
          <w:lang w:eastAsia="en-AU"/>
        </w:rPr>
        <w:drawing>
          <wp:inline distT="0" distB="0" distL="0" distR="0" wp14:anchorId="5AB9366C" wp14:editId="44D381F6">
            <wp:extent cx="4867480" cy="3738561"/>
            <wp:effectExtent l="0" t="0" r="0" b="0"/>
            <wp:docPr id="22" name="Picture 6" descr="Summary of safety data collected in studies providing safety information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lum bright="-20000" contrast="40000"/>
                    </a:blip>
                    <a:srcRect/>
                    <a:stretch>
                      <a:fillRect/>
                    </a:stretch>
                  </pic:blipFill>
                  <pic:spPr bwMode="auto">
                    <a:xfrm>
                      <a:off x="0" y="0"/>
                      <a:ext cx="4869932" cy="3740444"/>
                    </a:xfrm>
                    <a:prstGeom prst="rect">
                      <a:avLst/>
                    </a:prstGeom>
                    <a:noFill/>
                    <a:ln w="9525">
                      <a:noFill/>
                      <a:miter lim="800000"/>
                      <a:headEnd/>
                      <a:tailEnd/>
                    </a:ln>
                  </pic:spPr>
                </pic:pic>
              </a:graphicData>
            </a:graphic>
          </wp:inline>
        </w:drawing>
      </w:r>
    </w:p>
    <w:p w14:paraId="3E99CEAB" w14:textId="77777777" w:rsidR="0033578E" w:rsidRPr="00051F30" w:rsidRDefault="0033578E" w:rsidP="009A3A29">
      <w:pPr>
        <w:pStyle w:val="Heading4"/>
      </w:pPr>
      <w:r w:rsidRPr="00051F30">
        <w:t>Pivotal efficacy studies</w:t>
      </w:r>
    </w:p>
    <w:p w14:paraId="2D9A4F36" w14:textId="77777777" w:rsidR="0033578E" w:rsidRPr="00051F30" w:rsidRDefault="0033578E" w:rsidP="009A3A29">
      <w:pPr>
        <w:pStyle w:val="Heading5"/>
      </w:pPr>
      <w:r w:rsidRPr="00051F30">
        <w:t>Study FIM12</w:t>
      </w:r>
    </w:p>
    <w:p w14:paraId="13DDA356" w14:textId="1F9AE613" w:rsidR="0033578E" w:rsidRPr="00051F30" w:rsidRDefault="0033578E" w:rsidP="0033578E">
      <w:pPr>
        <w:rPr>
          <w:rFonts w:cs="Arial"/>
        </w:rPr>
      </w:pPr>
      <w:r w:rsidRPr="00051F30">
        <w:rPr>
          <w:rFonts w:cs="Arial"/>
        </w:rPr>
        <w:t xml:space="preserve">Study FIM </w:t>
      </w:r>
      <w:r w:rsidRPr="009A3A29">
        <w:rPr>
          <w:rFonts w:cs="Arial"/>
        </w:rPr>
        <w:t>reported Serious Adverse Events</w:t>
      </w:r>
      <w:r w:rsidRPr="00051F30">
        <w:rPr>
          <w:rFonts w:cs="Arial"/>
        </w:rPr>
        <w:t xml:space="preserve"> (SAE) and Adverse Events of Special Interest (AESI). All adverse events which occurred from a subject’s enrolment to the end of the respective study year in May were reported by </w:t>
      </w:r>
      <w:r w:rsidR="00683B49">
        <w:rPr>
          <w:rFonts w:cs="Arial"/>
        </w:rPr>
        <w:t>i</w:t>
      </w:r>
      <w:r w:rsidR="00683B49" w:rsidRPr="00051F30">
        <w:rPr>
          <w:rFonts w:cs="Arial"/>
        </w:rPr>
        <w:t xml:space="preserve">nvestigators </w:t>
      </w:r>
      <w:r w:rsidRPr="00051F30">
        <w:rPr>
          <w:rFonts w:cs="Arial"/>
        </w:rPr>
        <w:t xml:space="preserve">to the </w:t>
      </w:r>
      <w:r w:rsidR="00683B49">
        <w:rPr>
          <w:rFonts w:cs="Arial"/>
        </w:rPr>
        <w:t>s</w:t>
      </w:r>
      <w:r w:rsidR="00683B49" w:rsidRPr="00051F30">
        <w:rPr>
          <w:rFonts w:cs="Arial"/>
        </w:rPr>
        <w:t xml:space="preserve">ponsor </w:t>
      </w:r>
      <w:r w:rsidRPr="00051F30">
        <w:rPr>
          <w:rFonts w:cs="Arial"/>
        </w:rPr>
        <w:t>using an electronic data record. Investigators also reported Serious Adverse Events which occurred after the study year and were considered likely to be due to vaccination.</w:t>
      </w:r>
    </w:p>
    <w:p w14:paraId="38CFD01E" w14:textId="77777777" w:rsidR="0033578E" w:rsidRPr="00051F30" w:rsidRDefault="0033578E" w:rsidP="0033578E">
      <w:pPr>
        <w:spacing w:after="0"/>
        <w:rPr>
          <w:rFonts w:cs="Arial"/>
        </w:rPr>
      </w:pPr>
      <w:r w:rsidRPr="00051F30">
        <w:rPr>
          <w:rFonts w:cs="Arial"/>
        </w:rPr>
        <w:t>Serious adverse events were defined as those which:</w:t>
      </w:r>
    </w:p>
    <w:p w14:paraId="176FD961" w14:textId="77777777" w:rsidR="0033578E" w:rsidRPr="00051F30" w:rsidRDefault="0033578E" w:rsidP="009A3A29">
      <w:pPr>
        <w:pStyle w:val="ListBullet"/>
      </w:pPr>
      <w:r w:rsidRPr="00051F30">
        <w:t>Result in death</w:t>
      </w:r>
    </w:p>
    <w:p w14:paraId="38F326D8" w14:textId="77777777" w:rsidR="0033578E" w:rsidRPr="00051F30" w:rsidRDefault="0033578E" w:rsidP="009A3A29">
      <w:pPr>
        <w:pStyle w:val="ListBullet"/>
      </w:pPr>
      <w:r w:rsidRPr="00051F30">
        <w:t>Were life threatening</w:t>
      </w:r>
    </w:p>
    <w:p w14:paraId="632606AE" w14:textId="77777777" w:rsidR="0033578E" w:rsidRPr="00051F30" w:rsidRDefault="0033578E" w:rsidP="009A3A29">
      <w:pPr>
        <w:pStyle w:val="ListBullet"/>
      </w:pPr>
      <w:r w:rsidRPr="00051F30">
        <w:t>Required patient hospitalisation or prolongation of hospitalisation</w:t>
      </w:r>
    </w:p>
    <w:p w14:paraId="44DB35B9" w14:textId="77777777" w:rsidR="0033578E" w:rsidRPr="00051F30" w:rsidRDefault="0033578E" w:rsidP="009A3A29">
      <w:pPr>
        <w:pStyle w:val="ListBullet"/>
      </w:pPr>
      <w:r w:rsidRPr="00051F30">
        <w:t>Resulted in significant disability/incapacity</w:t>
      </w:r>
    </w:p>
    <w:p w14:paraId="28A8E55B" w14:textId="77777777" w:rsidR="0033578E" w:rsidRPr="00051F30" w:rsidRDefault="0033578E" w:rsidP="009A3A29">
      <w:pPr>
        <w:pStyle w:val="ListBullet"/>
      </w:pPr>
      <w:r w:rsidRPr="00051F30">
        <w:lastRenderedPageBreak/>
        <w:t>Were a congenital abnormality or birth defect</w:t>
      </w:r>
    </w:p>
    <w:p w14:paraId="7273A427" w14:textId="77777777" w:rsidR="0033578E" w:rsidRPr="009A3A29" w:rsidRDefault="0033578E" w:rsidP="009A3A29">
      <w:pPr>
        <w:pStyle w:val="ListBullet"/>
      </w:pPr>
      <w:r w:rsidRPr="00051F30">
        <w:t xml:space="preserve">Were judged to be an important medical </w:t>
      </w:r>
      <w:r w:rsidRPr="009A3A29">
        <w:t>event</w:t>
      </w:r>
    </w:p>
    <w:p w14:paraId="596D730A" w14:textId="77777777" w:rsidR="0033578E" w:rsidRPr="00051F30" w:rsidRDefault="009A3A29" w:rsidP="0033578E">
      <w:pPr>
        <w:rPr>
          <w:rFonts w:cs="Arial"/>
        </w:rPr>
      </w:pPr>
      <w:r>
        <w:rPr>
          <w:rFonts w:cs="Arial"/>
        </w:rPr>
        <w:t>The s</w:t>
      </w:r>
      <w:r w:rsidR="0033578E" w:rsidRPr="009A3A29">
        <w:rPr>
          <w:rFonts w:cs="Arial"/>
        </w:rPr>
        <w:t>ponsor has noted the distinction between Serious Adverse Events and Severe Adverse Events. The latter implies a scale of severity such</w:t>
      </w:r>
      <w:r w:rsidR="0033578E" w:rsidRPr="00051F30">
        <w:rPr>
          <w:rFonts w:cs="Arial"/>
        </w:rPr>
        <w:t xml:space="preserve"> as used, for example, in the Common Terminological Criteria for Adverse Events (CTCAE) developed for reporting trials in cancer therapies.</w:t>
      </w:r>
    </w:p>
    <w:p w14:paraId="56E31EAC" w14:textId="77777777" w:rsidR="0033578E" w:rsidRPr="00051F30" w:rsidRDefault="0033578E" w:rsidP="009A3A29">
      <w:r w:rsidRPr="00051F30">
        <w:t xml:space="preserve">Adverse Events of Special Interest (AESIs) were assessed in </w:t>
      </w:r>
      <w:r w:rsidRPr="009A3A29">
        <w:t>Studies FIM12 and FIM07</w:t>
      </w:r>
      <w:r w:rsidRPr="00051F30">
        <w:t xml:space="preserve"> and included:</w:t>
      </w:r>
    </w:p>
    <w:p w14:paraId="621C96BB" w14:textId="14792792" w:rsidR="0033578E" w:rsidRPr="00051F30" w:rsidRDefault="0033578E" w:rsidP="009A3A29">
      <w:pPr>
        <w:pStyle w:val="ListBullet"/>
      </w:pPr>
      <w:r w:rsidRPr="00051F30">
        <w:t>Guillain-</w:t>
      </w:r>
      <w:r w:rsidR="00683B49" w:rsidRPr="00051F30">
        <w:t>Barr</w:t>
      </w:r>
      <w:r w:rsidR="00683B49">
        <w:t>é</w:t>
      </w:r>
      <w:r w:rsidR="00683B49" w:rsidRPr="00051F30">
        <w:t xml:space="preserve"> </w:t>
      </w:r>
      <w:r w:rsidRPr="00051F30">
        <w:t>syndrome (GBS)</w:t>
      </w:r>
    </w:p>
    <w:p w14:paraId="7DCF7380" w14:textId="77777777" w:rsidR="0033578E" w:rsidRPr="00051F30" w:rsidRDefault="0033578E" w:rsidP="009A3A29">
      <w:pPr>
        <w:pStyle w:val="ListBullet"/>
      </w:pPr>
      <w:r w:rsidRPr="00051F30">
        <w:t>Bell’s palsy</w:t>
      </w:r>
    </w:p>
    <w:p w14:paraId="1A8EE11A" w14:textId="77777777" w:rsidR="0033578E" w:rsidRPr="00051F30" w:rsidRDefault="0033578E" w:rsidP="009A3A29">
      <w:pPr>
        <w:pStyle w:val="ListBullet"/>
      </w:pPr>
      <w:r w:rsidRPr="00051F30">
        <w:t>Encephalitis/myelitis</w:t>
      </w:r>
    </w:p>
    <w:p w14:paraId="765E4FA0" w14:textId="77777777" w:rsidR="0033578E" w:rsidRPr="00051F30" w:rsidRDefault="0033578E" w:rsidP="009A3A29">
      <w:pPr>
        <w:pStyle w:val="ListBullet"/>
      </w:pPr>
      <w:r w:rsidRPr="00051F30">
        <w:t>Optic neuritis</w:t>
      </w:r>
    </w:p>
    <w:p w14:paraId="1B219B46" w14:textId="77777777" w:rsidR="0033578E" w:rsidRPr="00051F30" w:rsidRDefault="0033578E" w:rsidP="009A3A29">
      <w:pPr>
        <w:pStyle w:val="ListBullet"/>
      </w:pPr>
      <w:r w:rsidRPr="00051F30">
        <w:t>Stevens-Johnson syndrome</w:t>
      </w:r>
    </w:p>
    <w:p w14:paraId="734E8081" w14:textId="77777777" w:rsidR="0033578E" w:rsidRPr="00051F30" w:rsidRDefault="0033578E" w:rsidP="009A3A29">
      <w:pPr>
        <w:pStyle w:val="ListBullet"/>
      </w:pPr>
      <w:r w:rsidRPr="00051F30">
        <w:t>Toxic epidermal necrolysis</w:t>
      </w:r>
    </w:p>
    <w:p w14:paraId="25A4B7EC" w14:textId="5F79168B" w:rsidR="0033578E" w:rsidRPr="00051F30" w:rsidRDefault="00B203E1" w:rsidP="009A3A29">
      <w:pPr>
        <w:pStyle w:val="Heading5"/>
      </w:pPr>
      <w:r>
        <w:t xml:space="preserve">Study </w:t>
      </w:r>
      <w:r w:rsidR="0033578E" w:rsidRPr="00051F30">
        <w:t>FIM05</w:t>
      </w:r>
    </w:p>
    <w:p w14:paraId="3B30914E" w14:textId="77777777" w:rsidR="0033578E" w:rsidRPr="009A3A29" w:rsidRDefault="0033578E" w:rsidP="009A3A29">
      <w:r w:rsidRPr="009A3A29">
        <w:t>Study FIM05 collected unsolicited non-serious and serious adverse events (SAE) as well as protocol-solicited safety endpoints for 28 days after vaccination. Subjects were monitored for 30 minute post-vaccination to assess ‘Immediate Reactions’ of any kind.</w:t>
      </w:r>
    </w:p>
    <w:p w14:paraId="51433C7E" w14:textId="06EFCD28" w:rsidR="0033578E" w:rsidRPr="009A3A29" w:rsidRDefault="0033578E" w:rsidP="009A3A29">
      <w:r w:rsidRPr="009A3A29">
        <w:t>At vaccination subjects were given a 7</w:t>
      </w:r>
      <w:r w:rsidR="009A3A29">
        <w:t xml:space="preserve"> </w:t>
      </w:r>
      <w:r w:rsidRPr="009A3A29">
        <w:t xml:space="preserve">day memory aid, digital thermometer and ruler. They were instructed how to measure their temperature and assess the degree of redness/swelling at the injection site and contacted at Day 8 to review this information. This information was used to compare the rate of Solicited Injection Site Reactions and Solicited Systemic Reactions in the </w:t>
      </w:r>
      <w:r w:rsidR="00CD0E09" w:rsidRPr="009A3A29">
        <w:t>Fluzone High-Dose</w:t>
      </w:r>
      <w:r w:rsidRPr="009A3A29">
        <w:t xml:space="preserve"> and Fluzone treatment arms. Solicited Injection Site Reactions included Pain, Swelling or Redness, while Solicited Systemic Reactions included Fever, Headache, Malaise and Myalgia. Each symptom was assessed on a scale of 0 (absence) to 3 (severe).</w:t>
      </w:r>
    </w:p>
    <w:p w14:paraId="1B74A1D7" w14:textId="77777777" w:rsidR="0033578E" w:rsidRDefault="0033578E" w:rsidP="009A3A29">
      <w:r w:rsidRPr="009A3A29">
        <w:t xml:space="preserve">A description of how Solicited Injection Site Reactions and Solicited Systemic Reaction were scored were scored is provided in </w:t>
      </w:r>
      <w:r w:rsidR="009A3A29">
        <w:t>Table 2</w:t>
      </w:r>
      <w:r w:rsidR="00F05C2C">
        <w:t>3</w:t>
      </w:r>
      <w:r w:rsidRPr="009A3A29">
        <w:t xml:space="preserve"> of this report.</w:t>
      </w:r>
    </w:p>
    <w:p w14:paraId="64717671" w14:textId="4A0235C9" w:rsidR="009A3A29" w:rsidRPr="00807BC0" w:rsidRDefault="009A3A29" w:rsidP="009A3A29">
      <w:pPr>
        <w:pStyle w:val="Tabletitle"/>
        <w:rPr>
          <w:sz w:val="24"/>
        </w:rPr>
      </w:pPr>
      <w:r>
        <w:lastRenderedPageBreak/>
        <w:t>Table 2</w:t>
      </w:r>
      <w:r w:rsidR="00F05C2C">
        <w:t>3</w:t>
      </w:r>
      <w:r w:rsidRPr="00807BC0">
        <w:t xml:space="preserve">: Scoring scale for </w:t>
      </w:r>
      <w:r w:rsidR="00683B49" w:rsidRPr="00807BC0">
        <w:t xml:space="preserve">solicited injection site reactions </w:t>
      </w:r>
      <w:r w:rsidRPr="00807BC0">
        <w:t>in Study FIM05</w:t>
      </w:r>
    </w:p>
    <w:p w14:paraId="6FD9B5DF" w14:textId="77777777" w:rsidR="009A3A29" w:rsidRPr="00807BC0" w:rsidRDefault="009A3A29" w:rsidP="009A3A29">
      <w:pPr>
        <w:rPr>
          <w:rFonts w:cs="Arial"/>
        </w:rPr>
      </w:pPr>
      <w:r w:rsidRPr="00807BC0">
        <w:rPr>
          <w:rFonts w:cs="Arial"/>
          <w:noProof/>
          <w:lang w:eastAsia="en-AU"/>
        </w:rPr>
        <w:drawing>
          <wp:inline distT="0" distB="0" distL="0" distR="0" wp14:anchorId="05BCDB45" wp14:editId="012D8F57">
            <wp:extent cx="5149223" cy="3649298"/>
            <wp:effectExtent l="19050" t="19050" r="13335" b="27940"/>
            <wp:docPr id="52" name="Picture 24" descr="Scoring scale for Solicited Injection Site Reactions in Study F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cstate="print">
                      <a:lum bright="-20000" contrast="40000"/>
                    </a:blip>
                    <a:srcRect l="1926" t="6713" r="1324"/>
                    <a:stretch/>
                  </pic:blipFill>
                  <pic:spPr bwMode="auto">
                    <a:xfrm>
                      <a:off x="0" y="0"/>
                      <a:ext cx="5151101" cy="365062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E2330A3" w14:textId="77777777" w:rsidR="0033578E" w:rsidRPr="009A3A29" w:rsidRDefault="0033578E" w:rsidP="009A3A29">
      <w:r w:rsidRPr="009A3A29">
        <w:t xml:space="preserve">Subjects were asked to record health-care utilisation; hospitalisation, visits to the emergency department or unscheduled physician visits on a card up to 28 days post vaccination as well as unsolicited adverse events. As prevention of health-care utilisation can be considered an efficacy outcome of vaccination, this data has been considered in the analysis of efficacy data for </w:t>
      </w:r>
      <w:r w:rsidR="00CD0E09" w:rsidRPr="009A3A29">
        <w:t>Study FI</w:t>
      </w:r>
      <w:r w:rsidRPr="009A3A29">
        <w:t>M05 in this report.</w:t>
      </w:r>
    </w:p>
    <w:bookmarkEnd w:id="100"/>
    <w:p w14:paraId="770DA42B" w14:textId="25764E5C" w:rsidR="0033578E" w:rsidRPr="00051F30" w:rsidRDefault="0033578E" w:rsidP="009A3A29">
      <w:pPr>
        <w:pStyle w:val="Heading4"/>
      </w:pPr>
      <w:r w:rsidRPr="00051F30">
        <w:t xml:space="preserve">Supportive </w:t>
      </w:r>
      <w:r w:rsidR="00C83AFB">
        <w:t>s</w:t>
      </w:r>
      <w:r w:rsidRPr="00051F30">
        <w:t>tudies</w:t>
      </w:r>
    </w:p>
    <w:p w14:paraId="61600659" w14:textId="4362B554" w:rsidR="0033578E" w:rsidRPr="00051F30" w:rsidRDefault="00B203E1" w:rsidP="009A3A29">
      <w:pPr>
        <w:pStyle w:val="Heading5"/>
      </w:pPr>
      <w:r>
        <w:t xml:space="preserve">Study </w:t>
      </w:r>
      <w:r w:rsidR="0033578E" w:rsidRPr="00051F30">
        <w:t>FIM01</w:t>
      </w:r>
    </w:p>
    <w:p w14:paraId="3BE06092" w14:textId="6E0E2570" w:rsidR="0033578E" w:rsidRPr="00A04561" w:rsidRDefault="0033578E" w:rsidP="00A04561">
      <w:r w:rsidRPr="00A04561">
        <w:t xml:space="preserve">Study FIM01 collected the same protocol defined safety endpoints at day 8 and 28 regarding adverse events as Study FIM05. </w:t>
      </w:r>
      <w:r w:rsidR="00683B49">
        <w:t xml:space="preserve">Study </w:t>
      </w:r>
      <w:r w:rsidRPr="00A04561">
        <w:t xml:space="preserve">FIM01 did not analyse the time at which adverse events occurred to assess all </w:t>
      </w:r>
      <w:r w:rsidR="00683B49" w:rsidRPr="00A04561">
        <w:t xml:space="preserve">immediate reactions </w:t>
      </w:r>
      <w:r w:rsidRPr="00A04561">
        <w:t xml:space="preserve">as was done in </w:t>
      </w:r>
      <w:r w:rsidR="00683B49">
        <w:t xml:space="preserve">Study </w:t>
      </w:r>
      <w:r w:rsidRPr="00A04561">
        <w:t xml:space="preserve">FIM05. It is also smaller study than </w:t>
      </w:r>
      <w:r w:rsidR="00683B49">
        <w:t xml:space="preserve">Study </w:t>
      </w:r>
      <w:r w:rsidRPr="00A04561">
        <w:t>FIM05 and therefore is considered a supportive study for the safety analysis</w:t>
      </w:r>
      <w:r w:rsidR="00A04561">
        <w:t>.</w:t>
      </w:r>
    </w:p>
    <w:p w14:paraId="29E58B85" w14:textId="3CD32165" w:rsidR="0033578E" w:rsidRPr="00051F30" w:rsidRDefault="00B203E1" w:rsidP="00A04561">
      <w:pPr>
        <w:pStyle w:val="Heading5"/>
      </w:pPr>
      <w:r>
        <w:t xml:space="preserve">Study </w:t>
      </w:r>
      <w:r w:rsidR="0033578E" w:rsidRPr="00051F30">
        <w:t>FIM07</w:t>
      </w:r>
    </w:p>
    <w:p w14:paraId="662635EB" w14:textId="77777777" w:rsidR="0033578E" w:rsidRDefault="0033578E" w:rsidP="0033578E">
      <w:pPr>
        <w:rPr>
          <w:rFonts w:cs="Arial"/>
        </w:rPr>
      </w:pPr>
      <w:r w:rsidRPr="00051F30">
        <w:rPr>
          <w:rFonts w:cs="Arial"/>
        </w:rPr>
        <w:t xml:space="preserve">Study FIM07 collected the same safety endpoints as Study FIM12 but over a shorter time period due to being interrupted. It is therefore considered supportive study for the safety analysis. </w:t>
      </w:r>
    </w:p>
    <w:p w14:paraId="62EF78F2" w14:textId="77777777" w:rsidR="0033578E" w:rsidRDefault="0033578E" w:rsidP="00A04561">
      <w:pPr>
        <w:pStyle w:val="Heading3"/>
      </w:pPr>
      <w:bookmarkStart w:id="102" w:name="_Toc241374318"/>
      <w:bookmarkStart w:id="103" w:name="_Ref271196630"/>
      <w:bookmarkStart w:id="104" w:name="_Toc272414662"/>
      <w:bookmarkStart w:id="105" w:name="_Toc290846300"/>
      <w:bookmarkStart w:id="106" w:name="_Toc290888837"/>
      <w:bookmarkStart w:id="107" w:name="_Toc370580778"/>
      <w:bookmarkStart w:id="108" w:name="_Toc522542366"/>
      <w:r w:rsidRPr="00051F30">
        <w:t>Patient exposure</w:t>
      </w:r>
      <w:bookmarkEnd w:id="102"/>
      <w:bookmarkEnd w:id="103"/>
      <w:bookmarkEnd w:id="104"/>
      <w:bookmarkEnd w:id="105"/>
      <w:bookmarkEnd w:id="106"/>
      <w:bookmarkEnd w:id="107"/>
      <w:bookmarkEnd w:id="108"/>
    </w:p>
    <w:p w14:paraId="17FFD06E" w14:textId="77777777" w:rsidR="00A04561" w:rsidRPr="00A04561" w:rsidRDefault="00A04561" w:rsidP="00A04561">
      <w:pPr>
        <w:rPr>
          <w:lang w:eastAsia="ja-JP"/>
        </w:rPr>
      </w:pPr>
      <w:r>
        <w:rPr>
          <w:lang w:eastAsia="ja-JP"/>
        </w:rPr>
        <w:t>The patient exposure in the studies submitted in support of this submission is shown in Table 2</w:t>
      </w:r>
      <w:r w:rsidR="00F05C2C">
        <w:rPr>
          <w:lang w:eastAsia="ja-JP"/>
        </w:rPr>
        <w:t>4</w:t>
      </w:r>
      <w:r>
        <w:rPr>
          <w:lang w:eastAsia="ja-JP"/>
        </w:rPr>
        <w:t xml:space="preserve"> below.</w:t>
      </w:r>
    </w:p>
    <w:p w14:paraId="4BEBD0BF" w14:textId="77777777" w:rsidR="00A04561" w:rsidRPr="00A04561" w:rsidRDefault="00F05C2C" w:rsidP="00C83AFB">
      <w:pPr>
        <w:pStyle w:val="Tabletitle"/>
        <w:pageBreakBefore/>
        <w:rPr>
          <w:lang w:eastAsia="ja-JP"/>
        </w:rPr>
      </w:pPr>
      <w:bookmarkStart w:id="109" w:name="_Toc370576216"/>
      <w:r>
        <w:lastRenderedPageBreak/>
        <w:t>Table 24</w:t>
      </w:r>
      <w:r w:rsidR="00A04561" w:rsidRPr="00051F30">
        <w:t>: Patient exposure in studies submitted in support of this submission</w:t>
      </w:r>
      <w:bookmarkEnd w:id="109"/>
    </w:p>
    <w:tbl>
      <w:tblPr>
        <w:tblStyle w:val="TableTGAblue"/>
        <w:tblW w:w="9288" w:type="dxa"/>
        <w:tblLayout w:type="fixed"/>
        <w:tblLook w:val="04A0" w:firstRow="1" w:lastRow="0" w:firstColumn="1" w:lastColumn="0" w:noHBand="0" w:noVBand="1"/>
      </w:tblPr>
      <w:tblGrid>
        <w:gridCol w:w="1951"/>
        <w:gridCol w:w="1843"/>
        <w:gridCol w:w="1559"/>
        <w:gridCol w:w="1843"/>
        <w:gridCol w:w="2092"/>
      </w:tblGrid>
      <w:tr w:rsidR="00683B49" w:rsidRPr="00C83AFB" w14:paraId="664D34DD" w14:textId="77777777" w:rsidTr="0048155A">
        <w:trPr>
          <w:cnfStyle w:val="100000000000" w:firstRow="1" w:lastRow="0" w:firstColumn="0" w:lastColumn="0" w:oddVBand="0" w:evenVBand="0" w:oddHBand="0" w:evenHBand="0" w:firstRowFirstColumn="0" w:firstRowLastColumn="0" w:lastRowFirstColumn="0" w:lastRowLastColumn="0"/>
          <w:cantSplit/>
          <w:trHeight w:val="494"/>
          <w:tblHeader/>
        </w:trPr>
        <w:tc>
          <w:tcPr>
            <w:cnfStyle w:val="001000000000" w:firstRow="0" w:lastRow="0" w:firstColumn="1" w:lastColumn="0" w:oddVBand="0" w:evenVBand="0" w:oddHBand="0" w:evenHBand="0" w:firstRowFirstColumn="0" w:firstRowLastColumn="0" w:lastRowFirstColumn="0" w:lastRowLastColumn="0"/>
            <w:tcW w:w="1951" w:type="dxa"/>
          </w:tcPr>
          <w:p w14:paraId="30B3FF7C" w14:textId="77777777" w:rsidR="0033578E" w:rsidRPr="00C83AFB" w:rsidRDefault="0033578E" w:rsidP="00C83AFB">
            <w:pPr>
              <w:rPr>
                <w:sz w:val="20"/>
                <w:szCs w:val="20"/>
              </w:rPr>
            </w:pPr>
            <w:r w:rsidRPr="00C83AFB">
              <w:rPr>
                <w:sz w:val="20"/>
                <w:szCs w:val="20"/>
              </w:rPr>
              <w:t>Study title</w:t>
            </w:r>
          </w:p>
        </w:tc>
        <w:tc>
          <w:tcPr>
            <w:tcW w:w="1843" w:type="dxa"/>
          </w:tcPr>
          <w:p w14:paraId="045D188F" w14:textId="77777777" w:rsidR="0033578E" w:rsidRPr="00C83AFB" w:rsidRDefault="00CD0E09" w:rsidP="00C83AFB">
            <w:pPr>
              <w:cnfStyle w:val="100000000000" w:firstRow="1" w:lastRow="0" w:firstColumn="0" w:lastColumn="0" w:oddVBand="0" w:evenVBand="0" w:oddHBand="0" w:evenHBand="0" w:firstRowFirstColumn="0" w:firstRowLastColumn="0" w:lastRowFirstColumn="0" w:lastRowLastColumn="0"/>
              <w:rPr>
                <w:sz w:val="20"/>
                <w:szCs w:val="20"/>
              </w:rPr>
            </w:pPr>
            <w:r w:rsidRPr="00C83AFB">
              <w:rPr>
                <w:sz w:val="20"/>
                <w:szCs w:val="20"/>
              </w:rPr>
              <w:t>Fluzone High-Dose</w:t>
            </w:r>
            <w:r w:rsidR="0033578E" w:rsidRPr="00C83AFB">
              <w:rPr>
                <w:sz w:val="20"/>
                <w:szCs w:val="20"/>
              </w:rPr>
              <w:t xml:space="preserve"> </w:t>
            </w:r>
          </w:p>
        </w:tc>
        <w:tc>
          <w:tcPr>
            <w:tcW w:w="1559" w:type="dxa"/>
          </w:tcPr>
          <w:p w14:paraId="0283D7A1" w14:textId="77777777" w:rsidR="0033578E" w:rsidRPr="00C83AFB" w:rsidRDefault="0033578E" w:rsidP="00C83AFB">
            <w:pPr>
              <w:cnfStyle w:val="100000000000" w:firstRow="1" w:lastRow="0" w:firstColumn="0" w:lastColumn="0" w:oddVBand="0" w:evenVBand="0" w:oddHBand="0" w:evenHBand="0" w:firstRowFirstColumn="0" w:firstRowLastColumn="0" w:lastRowFirstColumn="0" w:lastRowLastColumn="0"/>
              <w:rPr>
                <w:sz w:val="20"/>
                <w:szCs w:val="20"/>
              </w:rPr>
            </w:pPr>
            <w:r w:rsidRPr="00C83AFB">
              <w:rPr>
                <w:sz w:val="20"/>
                <w:szCs w:val="20"/>
              </w:rPr>
              <w:t>Fluzone</w:t>
            </w:r>
          </w:p>
        </w:tc>
        <w:tc>
          <w:tcPr>
            <w:tcW w:w="1843" w:type="dxa"/>
          </w:tcPr>
          <w:p w14:paraId="16F3FF60" w14:textId="77777777" w:rsidR="0033578E" w:rsidRPr="00C83AFB" w:rsidRDefault="0033578E" w:rsidP="00C83AFB">
            <w:pPr>
              <w:cnfStyle w:val="100000000000" w:firstRow="1" w:lastRow="0" w:firstColumn="0" w:lastColumn="0" w:oddVBand="0" w:evenVBand="0" w:oddHBand="0" w:evenHBand="0" w:firstRowFirstColumn="0" w:firstRowLastColumn="0" w:lastRowFirstColumn="0" w:lastRowLastColumn="0"/>
              <w:rPr>
                <w:sz w:val="20"/>
                <w:szCs w:val="20"/>
              </w:rPr>
            </w:pPr>
            <w:r w:rsidRPr="00C83AFB">
              <w:rPr>
                <w:sz w:val="20"/>
                <w:szCs w:val="20"/>
              </w:rPr>
              <w:t>First Visit of First Subject</w:t>
            </w:r>
          </w:p>
        </w:tc>
        <w:tc>
          <w:tcPr>
            <w:tcW w:w="2092" w:type="dxa"/>
          </w:tcPr>
          <w:p w14:paraId="2998CF15" w14:textId="77777777" w:rsidR="0033578E" w:rsidRPr="00C83AFB" w:rsidRDefault="0033578E" w:rsidP="00C83AFB">
            <w:pPr>
              <w:cnfStyle w:val="100000000000" w:firstRow="1" w:lastRow="0" w:firstColumn="0" w:lastColumn="0" w:oddVBand="0" w:evenVBand="0" w:oddHBand="0" w:evenHBand="0" w:firstRowFirstColumn="0" w:firstRowLastColumn="0" w:lastRowFirstColumn="0" w:lastRowLastColumn="0"/>
              <w:rPr>
                <w:sz w:val="20"/>
                <w:szCs w:val="20"/>
              </w:rPr>
            </w:pPr>
            <w:r w:rsidRPr="00C83AFB">
              <w:rPr>
                <w:sz w:val="20"/>
                <w:szCs w:val="20"/>
              </w:rPr>
              <w:t>Last Contact with Last Subject</w:t>
            </w:r>
          </w:p>
        </w:tc>
      </w:tr>
      <w:tr w:rsidR="00683B49" w:rsidRPr="00C83AFB" w14:paraId="1D4E7AE9" w14:textId="77777777" w:rsidTr="0048155A">
        <w:tc>
          <w:tcPr>
            <w:cnfStyle w:val="001000000000" w:firstRow="0" w:lastRow="0" w:firstColumn="1" w:lastColumn="0" w:oddVBand="0" w:evenVBand="0" w:oddHBand="0" w:evenHBand="0" w:firstRowFirstColumn="0" w:firstRowLastColumn="0" w:lastRowFirstColumn="0" w:lastRowLastColumn="0"/>
            <w:tcW w:w="1951" w:type="dxa"/>
          </w:tcPr>
          <w:p w14:paraId="3AF1F321" w14:textId="77777777" w:rsidR="0033578E" w:rsidRPr="00C83AFB" w:rsidRDefault="0033578E" w:rsidP="00C83AFB">
            <w:pPr>
              <w:rPr>
                <w:b/>
                <w:sz w:val="20"/>
                <w:szCs w:val="20"/>
              </w:rPr>
            </w:pPr>
            <w:r w:rsidRPr="00C83AFB">
              <w:rPr>
                <w:b/>
                <w:sz w:val="20"/>
                <w:szCs w:val="20"/>
              </w:rPr>
              <w:t>FIM05</w:t>
            </w:r>
          </w:p>
        </w:tc>
        <w:tc>
          <w:tcPr>
            <w:tcW w:w="1843" w:type="dxa"/>
          </w:tcPr>
          <w:p w14:paraId="6F090197"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2588</w:t>
            </w:r>
          </w:p>
        </w:tc>
        <w:tc>
          <w:tcPr>
            <w:tcW w:w="1559" w:type="dxa"/>
          </w:tcPr>
          <w:p w14:paraId="478EFE6F"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1288</w:t>
            </w:r>
          </w:p>
        </w:tc>
        <w:tc>
          <w:tcPr>
            <w:tcW w:w="1843" w:type="dxa"/>
          </w:tcPr>
          <w:p w14:paraId="53C3B679"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9 October 2006</w:t>
            </w:r>
          </w:p>
        </w:tc>
        <w:tc>
          <w:tcPr>
            <w:tcW w:w="2092" w:type="dxa"/>
          </w:tcPr>
          <w:p w14:paraId="163C2B1B"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9 July 2007</w:t>
            </w:r>
          </w:p>
        </w:tc>
      </w:tr>
      <w:tr w:rsidR="00683B49" w:rsidRPr="00C83AFB" w14:paraId="05F94862" w14:textId="77777777" w:rsidTr="0048155A">
        <w:tc>
          <w:tcPr>
            <w:cnfStyle w:val="001000000000" w:firstRow="0" w:lastRow="0" w:firstColumn="1" w:lastColumn="0" w:oddVBand="0" w:evenVBand="0" w:oddHBand="0" w:evenHBand="0" w:firstRowFirstColumn="0" w:firstRowLastColumn="0" w:lastRowFirstColumn="0" w:lastRowLastColumn="0"/>
            <w:tcW w:w="1951" w:type="dxa"/>
          </w:tcPr>
          <w:p w14:paraId="66CDF6C9" w14:textId="77777777" w:rsidR="0033578E" w:rsidRPr="00C83AFB" w:rsidRDefault="0033578E" w:rsidP="00C83AFB">
            <w:pPr>
              <w:rPr>
                <w:b/>
                <w:sz w:val="20"/>
                <w:szCs w:val="20"/>
              </w:rPr>
            </w:pPr>
            <w:r w:rsidRPr="00C83AFB">
              <w:rPr>
                <w:b/>
                <w:sz w:val="20"/>
                <w:szCs w:val="20"/>
              </w:rPr>
              <w:t xml:space="preserve">FIM12 </w:t>
            </w:r>
            <w:r w:rsidR="00A04561" w:rsidRPr="00C83AFB">
              <w:rPr>
                <w:b/>
                <w:sz w:val="20"/>
                <w:szCs w:val="20"/>
              </w:rPr>
              <w:t>(Y</w:t>
            </w:r>
            <w:r w:rsidRPr="00C83AFB">
              <w:rPr>
                <w:b/>
                <w:sz w:val="20"/>
                <w:szCs w:val="20"/>
              </w:rPr>
              <w:t>ear 1)</w:t>
            </w:r>
          </w:p>
        </w:tc>
        <w:tc>
          <w:tcPr>
            <w:tcW w:w="1843" w:type="dxa"/>
          </w:tcPr>
          <w:p w14:paraId="06817B6D"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7254</w:t>
            </w:r>
          </w:p>
        </w:tc>
        <w:tc>
          <w:tcPr>
            <w:tcW w:w="1559" w:type="dxa"/>
          </w:tcPr>
          <w:p w14:paraId="3068C87C"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7243</w:t>
            </w:r>
          </w:p>
        </w:tc>
        <w:tc>
          <w:tcPr>
            <w:tcW w:w="1843" w:type="dxa"/>
            <w:vMerge w:val="restart"/>
          </w:tcPr>
          <w:p w14:paraId="3EE00641"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6 September 2011</w:t>
            </w:r>
          </w:p>
        </w:tc>
        <w:tc>
          <w:tcPr>
            <w:tcW w:w="2092" w:type="dxa"/>
            <w:vMerge w:val="restart"/>
          </w:tcPr>
          <w:p w14:paraId="335CB0D9"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31 May 2013</w:t>
            </w:r>
          </w:p>
        </w:tc>
      </w:tr>
      <w:tr w:rsidR="00683B49" w:rsidRPr="00C83AFB" w14:paraId="5DA46A37" w14:textId="77777777" w:rsidTr="0048155A">
        <w:tc>
          <w:tcPr>
            <w:cnfStyle w:val="001000000000" w:firstRow="0" w:lastRow="0" w:firstColumn="1" w:lastColumn="0" w:oddVBand="0" w:evenVBand="0" w:oddHBand="0" w:evenHBand="0" w:firstRowFirstColumn="0" w:firstRowLastColumn="0" w:lastRowFirstColumn="0" w:lastRowLastColumn="0"/>
            <w:tcW w:w="1951" w:type="dxa"/>
          </w:tcPr>
          <w:p w14:paraId="475A7905" w14:textId="77777777" w:rsidR="0033578E" w:rsidRPr="00C83AFB" w:rsidRDefault="0033578E" w:rsidP="00C83AFB">
            <w:pPr>
              <w:rPr>
                <w:b/>
                <w:sz w:val="20"/>
                <w:szCs w:val="20"/>
              </w:rPr>
            </w:pPr>
            <w:r w:rsidRPr="00C83AFB">
              <w:rPr>
                <w:b/>
                <w:sz w:val="20"/>
                <w:szCs w:val="20"/>
              </w:rPr>
              <w:t>FIM12 (</w:t>
            </w:r>
            <w:r w:rsidR="00A04561" w:rsidRPr="00C83AFB">
              <w:rPr>
                <w:b/>
                <w:sz w:val="20"/>
                <w:szCs w:val="20"/>
              </w:rPr>
              <w:t>Y</w:t>
            </w:r>
            <w:r w:rsidRPr="00C83AFB">
              <w:rPr>
                <w:b/>
                <w:sz w:val="20"/>
                <w:szCs w:val="20"/>
              </w:rPr>
              <w:t>ear 2)</w:t>
            </w:r>
          </w:p>
        </w:tc>
        <w:tc>
          <w:tcPr>
            <w:tcW w:w="1843" w:type="dxa"/>
          </w:tcPr>
          <w:p w14:paraId="74E18F1A"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8738</w:t>
            </w:r>
          </w:p>
        </w:tc>
        <w:tc>
          <w:tcPr>
            <w:tcW w:w="1559" w:type="dxa"/>
          </w:tcPr>
          <w:p w14:paraId="0C3BD3EE"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8748</w:t>
            </w:r>
          </w:p>
        </w:tc>
        <w:tc>
          <w:tcPr>
            <w:tcW w:w="1843" w:type="dxa"/>
            <w:vMerge/>
          </w:tcPr>
          <w:p w14:paraId="6E3E121F"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p>
        </w:tc>
        <w:tc>
          <w:tcPr>
            <w:tcW w:w="2092" w:type="dxa"/>
            <w:vMerge/>
          </w:tcPr>
          <w:p w14:paraId="5E4A2619"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p>
        </w:tc>
      </w:tr>
      <w:tr w:rsidR="00683B49" w:rsidRPr="00C83AFB" w14:paraId="14ADDC17" w14:textId="77777777" w:rsidTr="0048155A">
        <w:tc>
          <w:tcPr>
            <w:cnfStyle w:val="001000000000" w:firstRow="0" w:lastRow="0" w:firstColumn="1" w:lastColumn="0" w:oddVBand="0" w:evenVBand="0" w:oddHBand="0" w:evenHBand="0" w:firstRowFirstColumn="0" w:firstRowLastColumn="0" w:lastRowFirstColumn="0" w:lastRowLastColumn="0"/>
            <w:tcW w:w="1951" w:type="dxa"/>
          </w:tcPr>
          <w:p w14:paraId="078BB7B8" w14:textId="77777777" w:rsidR="0033578E" w:rsidRPr="00C83AFB" w:rsidRDefault="0033578E" w:rsidP="00C83AFB">
            <w:pPr>
              <w:rPr>
                <w:b/>
                <w:sz w:val="20"/>
                <w:szCs w:val="20"/>
              </w:rPr>
            </w:pPr>
            <w:r w:rsidRPr="00C83AFB">
              <w:rPr>
                <w:b/>
                <w:sz w:val="20"/>
                <w:szCs w:val="20"/>
              </w:rPr>
              <w:t>FIM01</w:t>
            </w:r>
          </w:p>
        </w:tc>
        <w:tc>
          <w:tcPr>
            <w:tcW w:w="1843" w:type="dxa"/>
          </w:tcPr>
          <w:p w14:paraId="1613CB5D"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206</w:t>
            </w:r>
          </w:p>
        </w:tc>
        <w:tc>
          <w:tcPr>
            <w:tcW w:w="1559" w:type="dxa"/>
          </w:tcPr>
          <w:p w14:paraId="106D6722"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208</w:t>
            </w:r>
          </w:p>
        </w:tc>
        <w:tc>
          <w:tcPr>
            <w:tcW w:w="1843" w:type="dxa"/>
          </w:tcPr>
          <w:p w14:paraId="501A4D9B"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11 April 2005</w:t>
            </w:r>
          </w:p>
        </w:tc>
        <w:tc>
          <w:tcPr>
            <w:tcW w:w="2092" w:type="dxa"/>
          </w:tcPr>
          <w:p w14:paraId="1C200D60"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28 November 2005</w:t>
            </w:r>
          </w:p>
        </w:tc>
      </w:tr>
      <w:tr w:rsidR="00683B49" w:rsidRPr="00C83AFB" w14:paraId="1A1B527F" w14:textId="77777777" w:rsidTr="0048155A">
        <w:tc>
          <w:tcPr>
            <w:cnfStyle w:val="001000000000" w:firstRow="0" w:lastRow="0" w:firstColumn="1" w:lastColumn="0" w:oddVBand="0" w:evenVBand="0" w:oddHBand="0" w:evenHBand="0" w:firstRowFirstColumn="0" w:firstRowLastColumn="0" w:lastRowFirstColumn="0" w:lastRowLastColumn="0"/>
            <w:tcW w:w="1951" w:type="dxa"/>
          </w:tcPr>
          <w:p w14:paraId="6CE12B61" w14:textId="77777777" w:rsidR="0033578E" w:rsidRPr="00C83AFB" w:rsidRDefault="0033578E" w:rsidP="00C83AFB">
            <w:pPr>
              <w:rPr>
                <w:b/>
                <w:sz w:val="20"/>
                <w:szCs w:val="20"/>
              </w:rPr>
            </w:pPr>
            <w:r w:rsidRPr="00C83AFB">
              <w:rPr>
                <w:b/>
                <w:sz w:val="20"/>
                <w:szCs w:val="20"/>
              </w:rPr>
              <w:t>FIM07</w:t>
            </w:r>
          </w:p>
        </w:tc>
        <w:tc>
          <w:tcPr>
            <w:tcW w:w="1843" w:type="dxa"/>
          </w:tcPr>
          <w:p w14:paraId="154A1DF4"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6018</w:t>
            </w:r>
          </w:p>
        </w:tc>
        <w:tc>
          <w:tcPr>
            <w:tcW w:w="1559" w:type="dxa"/>
          </w:tcPr>
          <w:p w14:paraId="576BDAE7"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3050</w:t>
            </w:r>
          </w:p>
        </w:tc>
        <w:tc>
          <w:tcPr>
            <w:tcW w:w="1843" w:type="dxa"/>
          </w:tcPr>
          <w:p w14:paraId="5FB9B1C6"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22 September 2009</w:t>
            </w:r>
          </w:p>
        </w:tc>
        <w:tc>
          <w:tcPr>
            <w:tcW w:w="2092" w:type="dxa"/>
          </w:tcPr>
          <w:p w14:paraId="71E5DB4F"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28 May 2010</w:t>
            </w:r>
          </w:p>
        </w:tc>
      </w:tr>
      <w:tr w:rsidR="00683B49" w:rsidRPr="00C83AFB" w14:paraId="7A5043CC" w14:textId="77777777" w:rsidTr="0048155A">
        <w:trPr>
          <w:trHeight w:val="584"/>
        </w:trPr>
        <w:tc>
          <w:tcPr>
            <w:cnfStyle w:val="001000000000" w:firstRow="0" w:lastRow="0" w:firstColumn="1" w:lastColumn="0" w:oddVBand="0" w:evenVBand="0" w:oddHBand="0" w:evenHBand="0" w:firstRowFirstColumn="0" w:firstRowLastColumn="0" w:lastRowFirstColumn="0" w:lastRowLastColumn="0"/>
            <w:tcW w:w="1951" w:type="dxa"/>
          </w:tcPr>
          <w:p w14:paraId="2538A216" w14:textId="77777777" w:rsidR="0033578E" w:rsidRPr="00C83AFB" w:rsidRDefault="0033578E" w:rsidP="00C83AFB">
            <w:pPr>
              <w:rPr>
                <w:b/>
                <w:sz w:val="20"/>
                <w:szCs w:val="20"/>
              </w:rPr>
            </w:pPr>
            <w:r w:rsidRPr="00C83AFB">
              <w:rPr>
                <w:b/>
                <w:sz w:val="20"/>
                <w:szCs w:val="20"/>
              </w:rPr>
              <w:t>NIH-01-597</w:t>
            </w:r>
          </w:p>
        </w:tc>
        <w:tc>
          <w:tcPr>
            <w:tcW w:w="1843" w:type="dxa"/>
          </w:tcPr>
          <w:p w14:paraId="08AEF891"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 xml:space="preserve">50 at proposed dose/ 202 at all doses </w:t>
            </w:r>
          </w:p>
        </w:tc>
        <w:tc>
          <w:tcPr>
            <w:tcW w:w="1559" w:type="dxa"/>
          </w:tcPr>
          <w:p w14:paraId="3B828C99"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1A588CB8"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18 June 2002</w:t>
            </w:r>
          </w:p>
        </w:tc>
        <w:tc>
          <w:tcPr>
            <w:tcW w:w="2092" w:type="dxa"/>
          </w:tcPr>
          <w:p w14:paraId="521B3F17" w14:textId="77777777" w:rsidR="0033578E" w:rsidRPr="00C83AFB" w:rsidRDefault="0033578E" w:rsidP="00C83AFB">
            <w:pPr>
              <w:cnfStyle w:val="000000000000" w:firstRow="0" w:lastRow="0" w:firstColumn="0" w:lastColumn="0" w:oddVBand="0" w:evenVBand="0" w:oddHBand="0" w:evenHBand="0" w:firstRowFirstColumn="0" w:firstRowLastColumn="0" w:lastRowFirstColumn="0" w:lastRowLastColumn="0"/>
              <w:rPr>
                <w:sz w:val="20"/>
                <w:szCs w:val="20"/>
              </w:rPr>
            </w:pPr>
            <w:r w:rsidRPr="00C83AFB">
              <w:rPr>
                <w:sz w:val="20"/>
                <w:szCs w:val="20"/>
              </w:rPr>
              <w:t>April 2003</w:t>
            </w:r>
          </w:p>
        </w:tc>
      </w:tr>
    </w:tbl>
    <w:p w14:paraId="7445DF45" w14:textId="77777777" w:rsidR="0033578E" w:rsidRPr="00051F30" w:rsidRDefault="0033578E" w:rsidP="00A04561">
      <w:pPr>
        <w:pStyle w:val="Heading3"/>
      </w:pPr>
      <w:bookmarkStart w:id="110" w:name="_Toc241374319"/>
      <w:bookmarkStart w:id="111" w:name="_Ref271044764"/>
      <w:bookmarkStart w:id="112" w:name="_Toc272414663"/>
      <w:bookmarkStart w:id="113" w:name="_Toc290846301"/>
      <w:bookmarkStart w:id="114" w:name="_Toc290888838"/>
      <w:bookmarkStart w:id="115" w:name="_Toc370580779"/>
      <w:bookmarkStart w:id="116" w:name="_Toc522542367"/>
      <w:r w:rsidRPr="00051F30">
        <w:t>Adverse events</w:t>
      </w:r>
      <w:bookmarkEnd w:id="110"/>
      <w:bookmarkEnd w:id="111"/>
      <w:bookmarkEnd w:id="112"/>
      <w:bookmarkEnd w:id="113"/>
      <w:bookmarkEnd w:id="114"/>
      <w:bookmarkEnd w:id="115"/>
      <w:bookmarkEnd w:id="116"/>
    </w:p>
    <w:p w14:paraId="37934524" w14:textId="77777777" w:rsidR="0033578E" w:rsidRPr="00051F30" w:rsidRDefault="0033578E" w:rsidP="00A04561">
      <w:pPr>
        <w:pStyle w:val="Heading4"/>
      </w:pPr>
      <w:bookmarkStart w:id="117" w:name="_Ref272317284"/>
      <w:bookmarkStart w:id="118" w:name="_Ref272333565"/>
      <w:bookmarkStart w:id="119" w:name="_Toc272414664"/>
      <w:bookmarkStart w:id="120" w:name="_Toc290846302"/>
      <w:bookmarkStart w:id="121" w:name="_Toc290888839"/>
      <w:bookmarkStart w:id="122" w:name="_Toc370580780"/>
      <w:r w:rsidRPr="00A04561">
        <w:t>All</w:t>
      </w:r>
      <w:r w:rsidRPr="00051F30">
        <w:t xml:space="preserve"> adverse events (irrespective of relationship to study treatment)</w:t>
      </w:r>
      <w:bookmarkEnd w:id="117"/>
      <w:bookmarkEnd w:id="118"/>
      <w:bookmarkEnd w:id="119"/>
      <w:bookmarkEnd w:id="120"/>
      <w:bookmarkEnd w:id="121"/>
      <w:bookmarkEnd w:id="122"/>
    </w:p>
    <w:p w14:paraId="27D03F49" w14:textId="77777777" w:rsidR="0033578E" w:rsidRPr="00051F30" w:rsidRDefault="0033578E" w:rsidP="00A04561">
      <w:pPr>
        <w:pStyle w:val="Heading5"/>
      </w:pPr>
      <w:r w:rsidRPr="00051F30">
        <w:t>Pivotal studies</w:t>
      </w:r>
    </w:p>
    <w:p w14:paraId="7B1898C0" w14:textId="77777777" w:rsidR="0033578E" w:rsidRPr="00A04561" w:rsidRDefault="0033578E" w:rsidP="00A04561">
      <w:pPr>
        <w:pStyle w:val="Heading6"/>
      </w:pPr>
      <w:r w:rsidRPr="00051F30">
        <w:t>Study FIM05</w:t>
      </w:r>
    </w:p>
    <w:p w14:paraId="79A8F7A8" w14:textId="758B90D2" w:rsidR="0033578E" w:rsidRDefault="0033578E" w:rsidP="00A04561">
      <w:pPr>
        <w:pStyle w:val="Heading6"/>
      </w:pPr>
      <w:r w:rsidRPr="00051F30">
        <w:t xml:space="preserve">Immediate </w:t>
      </w:r>
      <w:r w:rsidR="00C83AFB">
        <w:t>r</w:t>
      </w:r>
      <w:r w:rsidRPr="00051F30">
        <w:t>eactions within 30 minutes of vaccination</w:t>
      </w:r>
    </w:p>
    <w:p w14:paraId="6231D640" w14:textId="77777777" w:rsidR="00A04561" w:rsidRPr="00051F30" w:rsidRDefault="00A04561" w:rsidP="00A04561">
      <w:pPr>
        <w:rPr>
          <w:rFonts w:cs="Arial"/>
        </w:rPr>
      </w:pPr>
      <w:r w:rsidRPr="00051F30">
        <w:rPr>
          <w:rFonts w:cs="Arial"/>
        </w:rPr>
        <w:t xml:space="preserve">Study </w:t>
      </w:r>
      <w:r w:rsidRPr="00A04561">
        <w:rPr>
          <w:rFonts w:cs="Arial"/>
        </w:rPr>
        <w:t>FIM05</w:t>
      </w:r>
      <w:r w:rsidRPr="00051F30">
        <w:rPr>
          <w:rFonts w:cs="Arial"/>
        </w:rPr>
        <w:t xml:space="preserve"> indicated that 0.3% of subjects in both the </w:t>
      </w:r>
      <w:r>
        <w:rPr>
          <w:rFonts w:cs="Arial"/>
        </w:rPr>
        <w:t>Fluzone High-Dose</w:t>
      </w:r>
      <w:r w:rsidRPr="00051F30">
        <w:rPr>
          <w:rFonts w:cs="Arial"/>
        </w:rPr>
        <w:t xml:space="preserve"> and Fluzone treatment arms had one or more immediate adverse events</w:t>
      </w:r>
      <w:r w:rsidR="00F05C2C">
        <w:rPr>
          <w:rFonts w:cs="Arial"/>
        </w:rPr>
        <w:t xml:space="preserve"> (Table 25</w:t>
      </w:r>
      <w:r>
        <w:rPr>
          <w:rFonts w:cs="Arial"/>
        </w:rPr>
        <w:t>)</w:t>
      </w:r>
      <w:r w:rsidRPr="00051F30">
        <w:rPr>
          <w:rFonts w:cs="Arial"/>
        </w:rPr>
        <w:t xml:space="preserve">. There were no significant differences in the type of reactions reported between treatment arms. </w:t>
      </w:r>
    </w:p>
    <w:p w14:paraId="2CF53695" w14:textId="77777777" w:rsidR="00A04561" w:rsidRPr="00051F30" w:rsidRDefault="00F05C2C" w:rsidP="00A04561">
      <w:pPr>
        <w:pStyle w:val="Tabletitle"/>
      </w:pPr>
      <w:bookmarkStart w:id="123" w:name="_Toc370576217"/>
      <w:r>
        <w:lastRenderedPageBreak/>
        <w:t>Table 25</w:t>
      </w:r>
      <w:r w:rsidR="00A04561" w:rsidRPr="00051F30">
        <w:t>: Immediate reactions observed in Study FIM05 within 30 minutes of vaccination</w:t>
      </w:r>
      <w:bookmarkEnd w:id="123"/>
    </w:p>
    <w:p w14:paraId="563BCA18" w14:textId="77777777" w:rsidR="0033578E" w:rsidRPr="00051F30" w:rsidRDefault="0033578E" w:rsidP="0033578E">
      <w:pPr>
        <w:rPr>
          <w:rFonts w:cs="Arial"/>
          <w:b/>
          <w:noProof/>
        </w:rPr>
      </w:pPr>
      <w:r w:rsidRPr="00C83AFB">
        <w:rPr>
          <w:rFonts w:cs="Arial"/>
          <w:noProof/>
          <w:bdr w:val="single" w:sz="4" w:space="0" w:color="auto"/>
          <w:lang w:eastAsia="en-AU"/>
        </w:rPr>
        <w:drawing>
          <wp:inline distT="0" distB="0" distL="0" distR="0" wp14:anchorId="304F8E0D" wp14:editId="560BC18C">
            <wp:extent cx="4458750" cy="3560618"/>
            <wp:effectExtent l="0" t="0" r="0" b="1905"/>
            <wp:docPr id="29" name="Picture 3" descr="Immediate reactions observed in Study FIM05 within 30 minutes of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lum bright="-20000" contrast="40000"/>
                    </a:blip>
                    <a:srcRect b="4104"/>
                    <a:stretch/>
                  </pic:blipFill>
                  <pic:spPr bwMode="auto">
                    <a:xfrm>
                      <a:off x="0" y="0"/>
                      <a:ext cx="4463342" cy="3564285"/>
                    </a:xfrm>
                    <a:prstGeom prst="rect">
                      <a:avLst/>
                    </a:prstGeom>
                    <a:noFill/>
                    <a:ln>
                      <a:noFill/>
                    </a:ln>
                    <a:extLst>
                      <a:ext uri="{53640926-AAD7-44D8-BBD7-CCE9431645EC}">
                        <a14:shadowObscured xmlns:a14="http://schemas.microsoft.com/office/drawing/2010/main"/>
                      </a:ext>
                    </a:extLst>
                  </pic:spPr>
                </pic:pic>
              </a:graphicData>
            </a:graphic>
          </wp:inline>
        </w:drawing>
      </w:r>
    </w:p>
    <w:p w14:paraId="4EC4DE00" w14:textId="77777777" w:rsidR="0033578E" w:rsidRPr="00051F30" w:rsidRDefault="0033578E" w:rsidP="00A04561">
      <w:pPr>
        <w:pStyle w:val="Heading6"/>
      </w:pPr>
      <w:r w:rsidRPr="00051F30">
        <w:t>All adverse events to 28 days</w:t>
      </w:r>
    </w:p>
    <w:p w14:paraId="71857353" w14:textId="77777777" w:rsidR="0033578E" w:rsidRPr="00051F30" w:rsidRDefault="0033578E" w:rsidP="0033578E">
      <w:pPr>
        <w:rPr>
          <w:rFonts w:cs="Arial"/>
        </w:rPr>
      </w:pPr>
      <w:r w:rsidRPr="00051F30">
        <w:rPr>
          <w:rFonts w:cs="Arial"/>
        </w:rPr>
        <w:t xml:space="preserve">A total of 559 (21.7%) of </w:t>
      </w:r>
      <w:r w:rsidR="00CD0E09">
        <w:rPr>
          <w:rFonts w:cs="Arial"/>
        </w:rPr>
        <w:t>Fluzone High-Dose</w:t>
      </w:r>
      <w:r w:rsidRPr="00051F30">
        <w:rPr>
          <w:rFonts w:cs="Arial"/>
        </w:rPr>
        <w:t xml:space="preserve"> and 276 (21.9%) of Fluzone subjects reported unsolicited adverse events up to day 28. There were no significant differences in the rate of adverse event reported in each SOC between the two treatment arms.</w:t>
      </w:r>
    </w:p>
    <w:p w14:paraId="27A62260" w14:textId="77777777" w:rsidR="0033578E" w:rsidRPr="002756AC" w:rsidRDefault="0033578E" w:rsidP="00A04561">
      <w:pPr>
        <w:pStyle w:val="Heading5"/>
      </w:pPr>
      <w:r w:rsidRPr="002756AC">
        <w:t>Other studies</w:t>
      </w:r>
    </w:p>
    <w:p w14:paraId="2B819405" w14:textId="77777777" w:rsidR="0033578E" w:rsidRPr="00051F30" w:rsidRDefault="0033578E" w:rsidP="00A04561">
      <w:pPr>
        <w:pStyle w:val="Heading6"/>
      </w:pPr>
      <w:r w:rsidRPr="00051F30">
        <w:t>Study FIM12</w:t>
      </w:r>
    </w:p>
    <w:p w14:paraId="251840CF" w14:textId="389E2517" w:rsidR="0033578E" w:rsidRPr="00051F30" w:rsidRDefault="0033578E" w:rsidP="0033578E">
      <w:pPr>
        <w:rPr>
          <w:rFonts w:cs="Arial"/>
        </w:rPr>
      </w:pPr>
      <w:r w:rsidRPr="00051F30">
        <w:rPr>
          <w:rFonts w:cs="Arial"/>
        </w:rPr>
        <w:t xml:space="preserve">The Study Report </w:t>
      </w:r>
      <w:r w:rsidRPr="00A04561">
        <w:rPr>
          <w:rFonts w:cs="Arial"/>
        </w:rPr>
        <w:t>for FIM12</w:t>
      </w:r>
      <w:r w:rsidRPr="00051F30">
        <w:rPr>
          <w:rFonts w:cs="Arial"/>
        </w:rPr>
        <w:t xml:space="preserve"> has only analysed SAEs rather than all reported adverse events.</w:t>
      </w:r>
    </w:p>
    <w:p w14:paraId="2E7B197F" w14:textId="5577787D" w:rsidR="0033578E" w:rsidRPr="00051F30" w:rsidRDefault="0033578E" w:rsidP="00A04561">
      <w:pPr>
        <w:pStyle w:val="Heading5"/>
      </w:pPr>
      <w:r w:rsidRPr="00051F30">
        <w:t xml:space="preserve">8.3.1.2.0 </w:t>
      </w:r>
      <w:proofErr w:type="gramStart"/>
      <w:r w:rsidR="00C83AFB">
        <w:t>s</w:t>
      </w:r>
      <w:r w:rsidRPr="00051F30">
        <w:t>upportive</w:t>
      </w:r>
      <w:proofErr w:type="gramEnd"/>
      <w:r w:rsidRPr="00051F30">
        <w:t xml:space="preserve"> studies</w:t>
      </w:r>
    </w:p>
    <w:p w14:paraId="438DDDE0" w14:textId="77777777" w:rsidR="0033578E" w:rsidRPr="00051F30" w:rsidRDefault="0033578E" w:rsidP="00A04561">
      <w:pPr>
        <w:pStyle w:val="Heading6"/>
      </w:pPr>
      <w:r w:rsidRPr="00051F30">
        <w:t>Study FIM01</w:t>
      </w:r>
    </w:p>
    <w:p w14:paraId="3485B1D1" w14:textId="2FBF3146" w:rsidR="0033578E" w:rsidRPr="00051F30" w:rsidRDefault="0033578E" w:rsidP="0033578E">
      <w:pPr>
        <w:rPr>
          <w:rFonts w:cs="Arial"/>
        </w:rPr>
      </w:pPr>
      <w:r w:rsidRPr="00051F30">
        <w:rPr>
          <w:rFonts w:cs="Arial"/>
        </w:rPr>
        <w:t xml:space="preserve">A total of 84 subjects in the </w:t>
      </w:r>
      <w:r w:rsidR="00CD0E09">
        <w:rPr>
          <w:rFonts w:cs="Arial"/>
        </w:rPr>
        <w:t>Fluzone High-Dose</w:t>
      </w:r>
      <w:r w:rsidRPr="00051F30">
        <w:rPr>
          <w:rFonts w:cs="Arial"/>
        </w:rPr>
        <w:t xml:space="preserve"> (40.78%) and 60 in the Fluzone (28.85%) treatment arms reported at least one adverse event regardless of association over the duration of the study. The most notable difference was in the rate of cough and pharyngolaryngeal pain reported between the </w:t>
      </w:r>
      <w:r w:rsidR="00CD0E09">
        <w:rPr>
          <w:rFonts w:cs="Arial"/>
        </w:rPr>
        <w:t>Fluzone High-Dose</w:t>
      </w:r>
      <w:r w:rsidRPr="00051F30">
        <w:rPr>
          <w:rFonts w:cs="Arial"/>
        </w:rPr>
        <w:t xml:space="preserve"> and Fluzone treatment arms; 5.3% v</w:t>
      </w:r>
      <w:r w:rsidR="00683B49">
        <w:rPr>
          <w:rFonts w:cs="Arial"/>
        </w:rPr>
        <w:t>ersu</w:t>
      </w:r>
      <w:r w:rsidRPr="00051F30">
        <w:rPr>
          <w:rFonts w:cs="Arial"/>
        </w:rPr>
        <w:t>s 1.9% in each case.</w:t>
      </w:r>
    </w:p>
    <w:p w14:paraId="080377CB" w14:textId="77777777" w:rsidR="0033578E" w:rsidRPr="00051F30" w:rsidRDefault="0033578E" w:rsidP="0010589F">
      <w:pPr>
        <w:pStyle w:val="Heading6"/>
      </w:pPr>
      <w:r w:rsidRPr="00051F30">
        <w:t>Study FIM07</w:t>
      </w:r>
    </w:p>
    <w:p w14:paraId="08176A8F" w14:textId="77777777" w:rsidR="0033578E" w:rsidRPr="00051F30" w:rsidRDefault="0033578E" w:rsidP="0033578E">
      <w:pPr>
        <w:rPr>
          <w:rFonts w:cs="Arial"/>
        </w:rPr>
      </w:pPr>
      <w:r w:rsidRPr="00051F30">
        <w:rPr>
          <w:rFonts w:cs="Arial"/>
        </w:rPr>
        <w:t xml:space="preserve">The Study Report </w:t>
      </w:r>
      <w:r w:rsidRPr="0010589F">
        <w:rPr>
          <w:rFonts w:cs="Arial"/>
        </w:rPr>
        <w:t>for FIM07</w:t>
      </w:r>
      <w:r w:rsidRPr="00051F30">
        <w:rPr>
          <w:rFonts w:cs="Arial"/>
        </w:rPr>
        <w:t xml:space="preserve"> has only analysed SAEs rather than all reported adverse events.</w:t>
      </w:r>
    </w:p>
    <w:p w14:paraId="055FB231" w14:textId="77777777" w:rsidR="0033578E" w:rsidRPr="00051F30" w:rsidRDefault="0033578E" w:rsidP="0010589F">
      <w:pPr>
        <w:pStyle w:val="Heading4"/>
      </w:pPr>
      <w:bookmarkStart w:id="124" w:name="_Ref272333567"/>
      <w:bookmarkStart w:id="125" w:name="_Toc272414665"/>
      <w:bookmarkStart w:id="126" w:name="_Toc290846303"/>
      <w:bookmarkStart w:id="127" w:name="_Toc290888840"/>
      <w:bookmarkStart w:id="128" w:name="_Toc370580781"/>
      <w:r w:rsidRPr="00051F30">
        <w:t>Treatment-related adverse events (adverse drug reactions)</w:t>
      </w:r>
      <w:bookmarkEnd w:id="124"/>
      <w:bookmarkEnd w:id="125"/>
      <w:bookmarkEnd w:id="126"/>
      <w:bookmarkEnd w:id="127"/>
      <w:bookmarkEnd w:id="128"/>
    </w:p>
    <w:p w14:paraId="4343A4CB" w14:textId="77777777" w:rsidR="0033578E" w:rsidRPr="00051F30" w:rsidRDefault="0033578E" w:rsidP="0010589F">
      <w:pPr>
        <w:pStyle w:val="Heading5"/>
      </w:pPr>
      <w:r w:rsidRPr="00051F30">
        <w:t>Pivotal studies</w:t>
      </w:r>
    </w:p>
    <w:p w14:paraId="1515D2EB" w14:textId="77777777" w:rsidR="0033578E" w:rsidRPr="00051F30" w:rsidRDefault="0010589F" w:rsidP="0010589F">
      <w:pPr>
        <w:pStyle w:val="Heading6"/>
      </w:pPr>
      <w:r>
        <w:t>S</w:t>
      </w:r>
      <w:r w:rsidR="0033578E" w:rsidRPr="00051F30">
        <w:t>tudy FIM05</w:t>
      </w:r>
    </w:p>
    <w:p w14:paraId="01494CAE" w14:textId="23A8982D" w:rsidR="0010589F" w:rsidRDefault="0033578E" w:rsidP="0010589F">
      <w:pPr>
        <w:pStyle w:val="Heading6"/>
        <w:rPr>
          <w:b/>
        </w:rPr>
      </w:pPr>
      <w:r w:rsidRPr="00051F30">
        <w:t xml:space="preserve">Solicited </w:t>
      </w:r>
      <w:r w:rsidR="00683B49" w:rsidRPr="00051F30">
        <w:t>injection site reactions</w:t>
      </w:r>
      <w:bookmarkStart w:id="129" w:name="_Toc370576218"/>
    </w:p>
    <w:bookmarkEnd w:id="129"/>
    <w:p w14:paraId="740F5160" w14:textId="28881E15" w:rsidR="0010589F" w:rsidRPr="00051F30" w:rsidRDefault="0010589F" w:rsidP="0010589F">
      <w:pPr>
        <w:rPr>
          <w:rFonts w:cs="Arial"/>
        </w:rPr>
      </w:pPr>
      <w:r w:rsidRPr="00051F30">
        <w:rPr>
          <w:rFonts w:cs="Arial"/>
        </w:rPr>
        <w:t xml:space="preserve">The majority of injection-site reactions reported in both the </w:t>
      </w:r>
      <w:r>
        <w:rPr>
          <w:rFonts w:cs="Arial"/>
        </w:rPr>
        <w:t>Fluzone High-Dose</w:t>
      </w:r>
      <w:r w:rsidRPr="00051F30">
        <w:rPr>
          <w:rFonts w:cs="Arial"/>
        </w:rPr>
        <w:t xml:space="preserve"> and Fluzone groups were of mild to moderate intensity</w:t>
      </w:r>
      <w:r>
        <w:rPr>
          <w:rFonts w:cs="Arial"/>
        </w:rPr>
        <w:t xml:space="preserve"> (Table 2</w:t>
      </w:r>
      <w:r w:rsidR="00F05C2C">
        <w:rPr>
          <w:rFonts w:cs="Arial"/>
        </w:rPr>
        <w:t>6</w:t>
      </w:r>
      <w:r>
        <w:rPr>
          <w:rFonts w:cs="Arial"/>
        </w:rPr>
        <w:t>)</w:t>
      </w:r>
      <w:r w:rsidRPr="00051F30">
        <w:rPr>
          <w:rFonts w:cs="Arial"/>
        </w:rPr>
        <w:t xml:space="preserve">. Swelling, </w:t>
      </w:r>
      <w:r w:rsidR="00683B49">
        <w:rPr>
          <w:rFonts w:cs="Arial"/>
        </w:rPr>
        <w:t>e</w:t>
      </w:r>
      <w:r w:rsidR="00683B49" w:rsidRPr="00051F30">
        <w:rPr>
          <w:rFonts w:cs="Arial"/>
        </w:rPr>
        <w:t xml:space="preserve">rythema </w:t>
      </w:r>
      <w:r w:rsidRPr="00051F30">
        <w:rPr>
          <w:rFonts w:cs="Arial"/>
        </w:rPr>
        <w:t xml:space="preserve">and </w:t>
      </w:r>
      <w:r w:rsidR="00683B49">
        <w:rPr>
          <w:rFonts w:cs="Arial"/>
        </w:rPr>
        <w:t>p</w:t>
      </w:r>
      <w:r w:rsidR="00683B49" w:rsidRPr="00051F30">
        <w:rPr>
          <w:rFonts w:cs="Arial"/>
        </w:rPr>
        <w:t xml:space="preserve">ain </w:t>
      </w:r>
      <w:r w:rsidRPr="00051F30">
        <w:rPr>
          <w:rFonts w:cs="Arial"/>
        </w:rPr>
        <w:t xml:space="preserve">occurred </w:t>
      </w:r>
      <w:r w:rsidRPr="00051F30">
        <w:rPr>
          <w:rFonts w:cs="Arial"/>
        </w:rPr>
        <w:lastRenderedPageBreak/>
        <w:t xml:space="preserve">approximately 1.4 times more frequently in subjects treated with </w:t>
      </w:r>
      <w:r>
        <w:rPr>
          <w:rFonts w:cs="Arial"/>
        </w:rPr>
        <w:t>Fluzone High-Dose</w:t>
      </w:r>
      <w:r w:rsidRPr="00051F30">
        <w:rPr>
          <w:rFonts w:cs="Arial"/>
        </w:rPr>
        <w:t xml:space="preserve"> than Fluzone. </w:t>
      </w:r>
    </w:p>
    <w:p w14:paraId="0AB1C97D" w14:textId="77777777" w:rsidR="0033578E" w:rsidRDefault="0010589F" w:rsidP="0010589F">
      <w:r w:rsidRPr="00051F30">
        <w:t xml:space="preserve">Severe swelling or erythema was uncommon in both groups but more frequent in </w:t>
      </w:r>
      <w:r>
        <w:t>Fluzone High-Dose</w:t>
      </w:r>
      <w:r w:rsidRPr="00051F30">
        <w:t xml:space="preserve"> (1.5% and 1.8% respectively) compared to Fluzone (0.6% and 0.6% respectively). Rates of severe pain at the injection site were similar between the two treatment arms</w:t>
      </w:r>
      <w:r>
        <w:t>.</w:t>
      </w:r>
    </w:p>
    <w:p w14:paraId="618B77EE" w14:textId="77777777" w:rsidR="0010589F" w:rsidRPr="00051F30" w:rsidRDefault="0010589F" w:rsidP="0010589F">
      <w:pPr>
        <w:pStyle w:val="Tabletitle"/>
      </w:pPr>
      <w:r>
        <w:t>Table 2</w:t>
      </w:r>
      <w:r w:rsidR="00F05C2C">
        <w:t>6</w:t>
      </w:r>
      <w:r w:rsidRPr="00051F30">
        <w:t xml:space="preserve">: Solicited site reactions observed in subjects receiving </w:t>
      </w:r>
      <w:r>
        <w:t>Fluzone High-Dose</w:t>
      </w:r>
      <w:r w:rsidRPr="00051F30">
        <w:t xml:space="preserve"> or Fluzone in Study FIM05 within first week after vaccination</w:t>
      </w:r>
    </w:p>
    <w:p w14:paraId="3E84D627" w14:textId="77777777" w:rsidR="0033578E" w:rsidRPr="00051F30" w:rsidRDefault="0033578E" w:rsidP="0033578E">
      <w:pPr>
        <w:rPr>
          <w:rFonts w:cs="Arial"/>
          <w:b/>
        </w:rPr>
      </w:pPr>
      <w:r w:rsidRPr="00051F30">
        <w:rPr>
          <w:rFonts w:cs="Arial"/>
          <w:b/>
          <w:noProof/>
          <w:bdr w:val="single" w:sz="4" w:space="0" w:color="auto"/>
          <w:lang w:eastAsia="en-AU"/>
        </w:rPr>
        <w:drawing>
          <wp:inline distT="0" distB="0" distL="0" distR="0" wp14:anchorId="3C3415B6" wp14:editId="1C0CF7D8">
            <wp:extent cx="4336473" cy="3498273"/>
            <wp:effectExtent l="0" t="0" r="6985" b="6985"/>
            <wp:docPr id="24" name="Picture 2" descr="Solicited site reactions observed in subjects receiving Fluzone High-Dose or Fluzone in Study FIM05 within first week af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lum bright="-20000" contrast="40000"/>
                    </a:blip>
                    <a:srcRect b="5048"/>
                    <a:stretch/>
                  </pic:blipFill>
                  <pic:spPr bwMode="auto">
                    <a:xfrm>
                      <a:off x="0" y="0"/>
                      <a:ext cx="4337381" cy="3499005"/>
                    </a:xfrm>
                    <a:prstGeom prst="rect">
                      <a:avLst/>
                    </a:prstGeom>
                    <a:noFill/>
                    <a:ln>
                      <a:noFill/>
                    </a:ln>
                    <a:extLst>
                      <a:ext uri="{53640926-AAD7-44D8-BBD7-CCE9431645EC}">
                        <a14:shadowObscured xmlns:a14="http://schemas.microsoft.com/office/drawing/2010/main"/>
                      </a:ext>
                    </a:extLst>
                  </pic:spPr>
                </pic:pic>
              </a:graphicData>
            </a:graphic>
          </wp:inline>
        </w:drawing>
      </w:r>
    </w:p>
    <w:p w14:paraId="09187734" w14:textId="0260C32F" w:rsidR="0033578E" w:rsidRDefault="0033578E" w:rsidP="0010589F">
      <w:pPr>
        <w:pStyle w:val="Heading6"/>
      </w:pPr>
      <w:r w:rsidRPr="00051F30">
        <w:t xml:space="preserve">Solicited </w:t>
      </w:r>
      <w:r w:rsidR="00683B49">
        <w:t>s</w:t>
      </w:r>
      <w:r w:rsidR="00683B49" w:rsidRPr="00051F30">
        <w:t xml:space="preserve">ystemic </w:t>
      </w:r>
      <w:r w:rsidR="00683B49">
        <w:t>r</w:t>
      </w:r>
      <w:r w:rsidRPr="00051F30">
        <w:t>eactions</w:t>
      </w:r>
    </w:p>
    <w:p w14:paraId="0AA1C1FD" w14:textId="2E470EF4" w:rsidR="0010589F" w:rsidRPr="00051F30" w:rsidRDefault="0010589F" w:rsidP="0010589F">
      <w:pPr>
        <w:rPr>
          <w:rFonts w:cs="Arial"/>
        </w:rPr>
      </w:pPr>
      <w:r w:rsidRPr="00051F30">
        <w:rPr>
          <w:rFonts w:cs="Arial"/>
        </w:rPr>
        <w:t xml:space="preserve">The rates of </w:t>
      </w:r>
      <w:r w:rsidR="00683B49">
        <w:rPr>
          <w:rFonts w:cs="Arial"/>
        </w:rPr>
        <w:t>s</w:t>
      </w:r>
      <w:r w:rsidR="00683B49" w:rsidRPr="00051F30">
        <w:rPr>
          <w:rFonts w:cs="Arial"/>
        </w:rPr>
        <w:t xml:space="preserve">olicited </w:t>
      </w:r>
      <w:r w:rsidR="00683B49">
        <w:rPr>
          <w:rFonts w:cs="Arial"/>
        </w:rPr>
        <w:t>s</w:t>
      </w:r>
      <w:r w:rsidR="00683B49" w:rsidRPr="00051F30">
        <w:rPr>
          <w:rFonts w:cs="Arial"/>
        </w:rPr>
        <w:t xml:space="preserve">ystemic </w:t>
      </w:r>
      <w:r w:rsidR="00683B49">
        <w:rPr>
          <w:rFonts w:cs="Arial"/>
        </w:rPr>
        <w:t>r</w:t>
      </w:r>
      <w:r w:rsidRPr="00051F30">
        <w:rPr>
          <w:rFonts w:cs="Arial"/>
        </w:rPr>
        <w:t xml:space="preserve">eactions were similar between the two treatment arms, but generally more frequent in the </w:t>
      </w:r>
      <w:r>
        <w:rPr>
          <w:rFonts w:cs="Arial"/>
        </w:rPr>
        <w:t>Fluzone High-Dose</w:t>
      </w:r>
      <w:r w:rsidRPr="00051F30">
        <w:rPr>
          <w:rFonts w:cs="Arial"/>
        </w:rPr>
        <w:t xml:space="preserve"> than Fluzone treatment arms</w:t>
      </w:r>
      <w:r>
        <w:rPr>
          <w:rFonts w:cs="Arial"/>
        </w:rPr>
        <w:t xml:space="preserve"> (Table 2</w:t>
      </w:r>
      <w:r w:rsidR="00F05C2C">
        <w:rPr>
          <w:rFonts w:cs="Arial"/>
        </w:rPr>
        <w:t>7</w:t>
      </w:r>
      <w:r>
        <w:rPr>
          <w:rFonts w:cs="Arial"/>
        </w:rPr>
        <w:t>)</w:t>
      </w:r>
      <w:r w:rsidRPr="00051F30">
        <w:rPr>
          <w:rFonts w:cs="Arial"/>
        </w:rPr>
        <w:t>. The 95% confidence interval for the relative risk for of these adverse events between the two treatment arms fell within the protocol specified margin on non-inferiority of RR</w:t>
      </w:r>
      <w:r w:rsidR="00683B49">
        <w:rPr>
          <w:rFonts w:cs="Arial"/>
        </w:rPr>
        <w:t xml:space="preserve"> </w:t>
      </w:r>
      <w:r w:rsidRPr="00051F30">
        <w:rPr>
          <w:rFonts w:cs="Arial"/>
        </w:rPr>
        <w:t>&lt;</w:t>
      </w:r>
      <w:r w:rsidR="00683B49">
        <w:rPr>
          <w:rFonts w:cs="Arial"/>
        </w:rPr>
        <w:t xml:space="preserve"> </w:t>
      </w:r>
      <w:r w:rsidRPr="00051F30">
        <w:rPr>
          <w:rFonts w:cs="Arial"/>
        </w:rPr>
        <w:t>3.</w:t>
      </w:r>
    </w:p>
    <w:p w14:paraId="7A9BADF2" w14:textId="77777777" w:rsidR="0010589F" w:rsidRPr="00051F30" w:rsidRDefault="0010589F" w:rsidP="0010589F">
      <w:pPr>
        <w:pStyle w:val="Tabletitle"/>
      </w:pPr>
      <w:bookmarkStart w:id="130" w:name="_Toc370576219"/>
      <w:r>
        <w:lastRenderedPageBreak/>
        <w:t>Table 2</w:t>
      </w:r>
      <w:r w:rsidR="00F05C2C">
        <w:t>7</w:t>
      </w:r>
      <w:r w:rsidRPr="00051F30">
        <w:t>:</w:t>
      </w:r>
      <w:r>
        <w:t xml:space="preserve"> </w:t>
      </w:r>
      <w:r w:rsidRPr="00051F30">
        <w:t xml:space="preserve">Solicited Systemic Reactions observed in subjects receiving </w:t>
      </w:r>
      <w:r>
        <w:t>Fluzone High-Dose</w:t>
      </w:r>
      <w:r w:rsidRPr="00051F30">
        <w:t xml:space="preserve"> or Fluzone in Study FIM05 within first week after vaccination</w:t>
      </w:r>
      <w:bookmarkEnd w:id="130"/>
    </w:p>
    <w:p w14:paraId="416D0F1B" w14:textId="77777777" w:rsidR="0033578E" w:rsidRPr="00051F30" w:rsidRDefault="0033578E" w:rsidP="0033578E">
      <w:pPr>
        <w:rPr>
          <w:rFonts w:cs="Arial"/>
          <w:b/>
        </w:rPr>
      </w:pPr>
      <w:r w:rsidRPr="00051F30">
        <w:rPr>
          <w:rFonts w:cs="Arial"/>
          <w:b/>
          <w:noProof/>
          <w:lang w:eastAsia="en-AU"/>
        </w:rPr>
        <w:drawing>
          <wp:inline distT="0" distB="0" distL="0" distR="0" wp14:anchorId="50FDC617" wp14:editId="388CE718">
            <wp:extent cx="5630572" cy="3144207"/>
            <wp:effectExtent l="0" t="0" r="8255" b="0"/>
            <wp:docPr id="35" name="Picture 8" descr="Solicited Systemic Reactions observed in subjects receiving Fluzone High-Dose or Fluzone in Study FIM05 within first week af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lum bright="-20000" contrast="40000"/>
                    </a:blip>
                    <a:srcRect/>
                    <a:stretch>
                      <a:fillRect/>
                    </a:stretch>
                  </pic:blipFill>
                  <pic:spPr bwMode="auto">
                    <a:xfrm>
                      <a:off x="0" y="0"/>
                      <a:ext cx="5635454" cy="3146933"/>
                    </a:xfrm>
                    <a:prstGeom prst="rect">
                      <a:avLst/>
                    </a:prstGeom>
                    <a:noFill/>
                    <a:ln w="9525">
                      <a:noFill/>
                      <a:miter lim="800000"/>
                      <a:headEnd/>
                      <a:tailEnd/>
                    </a:ln>
                  </pic:spPr>
                </pic:pic>
              </a:graphicData>
            </a:graphic>
          </wp:inline>
        </w:drawing>
      </w:r>
    </w:p>
    <w:p w14:paraId="0FE951C2" w14:textId="77777777" w:rsidR="0033578E" w:rsidRPr="00051F30" w:rsidRDefault="0033578E" w:rsidP="0010589F">
      <w:pPr>
        <w:pStyle w:val="Heading6"/>
      </w:pPr>
      <w:r w:rsidRPr="00051F30">
        <w:t>Study FIM12</w:t>
      </w:r>
    </w:p>
    <w:p w14:paraId="04F235E1" w14:textId="77777777" w:rsidR="0033578E" w:rsidRPr="00051F30" w:rsidRDefault="0033578E" w:rsidP="0033578E">
      <w:pPr>
        <w:rPr>
          <w:rFonts w:cs="Arial"/>
        </w:rPr>
      </w:pPr>
      <w:r w:rsidRPr="00051F30">
        <w:rPr>
          <w:rFonts w:cs="Arial"/>
        </w:rPr>
        <w:t xml:space="preserve">The Study Report </w:t>
      </w:r>
      <w:r w:rsidRPr="0010589F">
        <w:rPr>
          <w:rFonts w:cs="Arial"/>
        </w:rPr>
        <w:t>for FIM12</w:t>
      </w:r>
      <w:r w:rsidRPr="00051F30">
        <w:rPr>
          <w:rFonts w:cs="Arial"/>
        </w:rPr>
        <w:t xml:space="preserve"> has only analysed SAEs rather than all reported adverse events. </w:t>
      </w:r>
    </w:p>
    <w:p w14:paraId="5B09A744" w14:textId="77777777" w:rsidR="0033578E" w:rsidRPr="00051F30" w:rsidRDefault="0010589F" w:rsidP="0010589F">
      <w:pPr>
        <w:pStyle w:val="Heading5"/>
      </w:pPr>
      <w:r w:rsidRPr="0010589F">
        <w:t>O</w:t>
      </w:r>
      <w:r w:rsidR="0033578E" w:rsidRPr="0010589F">
        <w:t>ther</w:t>
      </w:r>
      <w:r w:rsidR="0033578E" w:rsidRPr="00051F30">
        <w:t xml:space="preserve"> studies</w:t>
      </w:r>
    </w:p>
    <w:p w14:paraId="1C62D431" w14:textId="77777777" w:rsidR="0033578E" w:rsidRPr="00051F30" w:rsidRDefault="0033578E" w:rsidP="0010589F">
      <w:pPr>
        <w:pStyle w:val="Heading6"/>
      </w:pPr>
      <w:r w:rsidRPr="00051F30">
        <w:t>Study FIM01</w:t>
      </w:r>
      <w:r w:rsidRPr="00051F30">
        <w:tab/>
      </w:r>
    </w:p>
    <w:p w14:paraId="16731247" w14:textId="7E97A2B5" w:rsidR="0033578E" w:rsidRPr="00051F30" w:rsidRDefault="0033578E" w:rsidP="0010589F">
      <w:r w:rsidRPr="00051F30">
        <w:t xml:space="preserve">Slightly higher rates of </w:t>
      </w:r>
      <w:r w:rsidR="00CD0E09">
        <w:t>Fluzone High-Dose</w:t>
      </w:r>
      <w:r w:rsidRPr="00051F30">
        <w:t xml:space="preserve"> than Fluzone subjects reported </w:t>
      </w:r>
      <w:r w:rsidR="00DF420B" w:rsidRPr="00051F30">
        <w:t>solicited injection site and solicited systemic reactions</w:t>
      </w:r>
      <w:r w:rsidRPr="00051F30">
        <w:t xml:space="preserve">. A total of 57% </w:t>
      </w:r>
      <w:r w:rsidR="00CD0E09">
        <w:t>Fluzone High-Dose</w:t>
      </w:r>
      <w:r w:rsidRPr="00051F30">
        <w:t xml:space="preserve"> and 44% of Fluzone subjects reported at least one </w:t>
      </w:r>
      <w:r w:rsidR="009E3C82" w:rsidRPr="00051F30">
        <w:t xml:space="preserve">solicited injection site </w:t>
      </w:r>
      <w:r w:rsidRPr="00051F30">
        <w:t xml:space="preserve">reaction. A total of 41% of </w:t>
      </w:r>
      <w:r w:rsidR="00CD0E09">
        <w:t>Fluzone High-Dose</w:t>
      </w:r>
      <w:r w:rsidRPr="00051F30">
        <w:t xml:space="preserve"> and 29% of Fluzone subjects reported at least on </w:t>
      </w:r>
      <w:r w:rsidR="009E3C82" w:rsidRPr="00051F30">
        <w:t xml:space="preserve">solicited systemic reaction. </w:t>
      </w:r>
      <w:r w:rsidRPr="00051F30">
        <w:t xml:space="preserve">These results to not differ from the trends identified in </w:t>
      </w:r>
      <w:r w:rsidR="009E3C82">
        <w:t xml:space="preserve">Study </w:t>
      </w:r>
      <w:r w:rsidRPr="00051F30">
        <w:t>FIM05.</w:t>
      </w:r>
    </w:p>
    <w:p w14:paraId="5790E34A" w14:textId="77777777" w:rsidR="0033578E" w:rsidRPr="00051F30" w:rsidRDefault="0033578E" w:rsidP="0010589F">
      <w:r w:rsidRPr="00051F30">
        <w:t>Other than the solicited adverse events, no SAE was considered related to study drug.</w:t>
      </w:r>
    </w:p>
    <w:p w14:paraId="6C6C823E" w14:textId="77777777" w:rsidR="0033578E" w:rsidRPr="00051F30" w:rsidRDefault="0033578E" w:rsidP="0010589F">
      <w:pPr>
        <w:pStyle w:val="Heading6"/>
      </w:pPr>
      <w:r w:rsidRPr="00051F30">
        <w:t>Study FIM07</w:t>
      </w:r>
    </w:p>
    <w:p w14:paraId="19CD881A" w14:textId="77777777" w:rsidR="0033578E" w:rsidRPr="00051F30" w:rsidRDefault="0033578E" w:rsidP="0033578E">
      <w:pPr>
        <w:rPr>
          <w:rFonts w:cs="Arial"/>
        </w:rPr>
      </w:pPr>
      <w:r w:rsidRPr="00051F30">
        <w:rPr>
          <w:rFonts w:cs="Arial"/>
        </w:rPr>
        <w:t>The Study Report for FIM07 has only analysed SAEs rather than all reported adverse events.</w:t>
      </w:r>
    </w:p>
    <w:p w14:paraId="7CEAFF6B" w14:textId="77777777" w:rsidR="0033578E" w:rsidRPr="00051F30" w:rsidRDefault="0033578E" w:rsidP="0010589F">
      <w:pPr>
        <w:pStyle w:val="Heading4"/>
      </w:pPr>
      <w:bookmarkStart w:id="131" w:name="_Toc241374320"/>
      <w:bookmarkStart w:id="132" w:name="_Ref272333507"/>
      <w:bookmarkStart w:id="133" w:name="_Toc272414666"/>
      <w:bookmarkStart w:id="134" w:name="_Toc290846304"/>
      <w:bookmarkStart w:id="135" w:name="_Toc290888841"/>
      <w:bookmarkStart w:id="136" w:name="_Toc370580782"/>
      <w:r w:rsidRPr="00051F30">
        <w:t>Deaths and other serious adverse events</w:t>
      </w:r>
      <w:bookmarkEnd w:id="131"/>
      <w:bookmarkEnd w:id="132"/>
      <w:bookmarkEnd w:id="133"/>
      <w:bookmarkEnd w:id="134"/>
      <w:bookmarkEnd w:id="135"/>
      <w:bookmarkEnd w:id="136"/>
    </w:p>
    <w:p w14:paraId="5E55B1FE" w14:textId="77777777" w:rsidR="0033578E" w:rsidRPr="00051F30" w:rsidRDefault="0033578E" w:rsidP="0010589F">
      <w:pPr>
        <w:pStyle w:val="Heading5"/>
      </w:pPr>
      <w:r w:rsidRPr="00051F30">
        <w:t>Pivotal studies</w:t>
      </w:r>
    </w:p>
    <w:p w14:paraId="189A3C83" w14:textId="77777777" w:rsidR="0033578E" w:rsidRPr="00051F30" w:rsidRDefault="0033578E" w:rsidP="0010589F">
      <w:pPr>
        <w:pStyle w:val="Heading6"/>
      </w:pPr>
      <w:r w:rsidRPr="00051F30">
        <w:t>Study FIM05</w:t>
      </w:r>
    </w:p>
    <w:p w14:paraId="70101BE5" w14:textId="7715679A" w:rsidR="0033578E" w:rsidRPr="00051F30" w:rsidRDefault="0033578E" w:rsidP="0033578E">
      <w:pPr>
        <w:rPr>
          <w:rFonts w:cs="Arial"/>
        </w:rPr>
      </w:pPr>
      <w:r w:rsidRPr="00051F30">
        <w:rPr>
          <w:rFonts w:cs="Arial"/>
        </w:rPr>
        <w:t xml:space="preserve">The rate of SAE reported in </w:t>
      </w:r>
      <w:r w:rsidR="009E3C82">
        <w:rPr>
          <w:rFonts w:cs="Arial"/>
        </w:rPr>
        <w:t xml:space="preserve">Study </w:t>
      </w:r>
      <w:r w:rsidRPr="00051F30">
        <w:rPr>
          <w:rFonts w:cs="Arial"/>
        </w:rPr>
        <w:t xml:space="preserve">FIM05 to </w:t>
      </w:r>
      <w:r w:rsidR="009E3C82">
        <w:rPr>
          <w:rFonts w:cs="Arial"/>
        </w:rPr>
        <w:t>D</w:t>
      </w:r>
      <w:r w:rsidR="009E3C82" w:rsidRPr="00051F30">
        <w:rPr>
          <w:rFonts w:cs="Arial"/>
        </w:rPr>
        <w:t xml:space="preserve">ay </w:t>
      </w:r>
      <w:r w:rsidRPr="00051F30">
        <w:rPr>
          <w:rFonts w:cs="Arial"/>
        </w:rPr>
        <w:t xml:space="preserve">180 of follow-up was similar between the </w:t>
      </w:r>
      <w:r w:rsidR="00CD0E09">
        <w:rPr>
          <w:rFonts w:cs="Arial"/>
        </w:rPr>
        <w:t>Fluzone High-Dose</w:t>
      </w:r>
      <w:r w:rsidRPr="00051F30">
        <w:rPr>
          <w:rFonts w:cs="Arial"/>
        </w:rPr>
        <w:t xml:space="preserve"> (6.47%) and Fluzone (7.4%) treatment arms. No trends in specific SAEs reported between the treatment arms w</w:t>
      </w:r>
      <w:r w:rsidR="003931E3">
        <w:rPr>
          <w:rFonts w:cs="Arial"/>
        </w:rPr>
        <w:t>ere</w:t>
      </w:r>
      <w:r w:rsidRPr="00051F30">
        <w:rPr>
          <w:rFonts w:cs="Arial"/>
        </w:rPr>
        <w:t xml:space="preserve"> evident. </w:t>
      </w:r>
    </w:p>
    <w:p w14:paraId="350B03C6" w14:textId="084BE2C7" w:rsidR="0033578E" w:rsidRPr="00051F30" w:rsidRDefault="0033578E" w:rsidP="0033578E">
      <w:pPr>
        <w:rPr>
          <w:rFonts w:cs="Arial"/>
        </w:rPr>
      </w:pPr>
      <w:r w:rsidRPr="00051F30">
        <w:rPr>
          <w:rFonts w:cs="Arial"/>
        </w:rPr>
        <w:t xml:space="preserve">Other than the protocol solicited adverse events, two SAEs in </w:t>
      </w:r>
      <w:r w:rsidR="008F5A64">
        <w:rPr>
          <w:rFonts w:cs="Arial"/>
        </w:rPr>
        <w:t xml:space="preserve">Study </w:t>
      </w:r>
      <w:r w:rsidRPr="00051F30">
        <w:rPr>
          <w:rFonts w:cs="Arial"/>
        </w:rPr>
        <w:t xml:space="preserve">FIM05 were considered by investigators to be due to study treatment with one occurring in each treatment arm. </w:t>
      </w:r>
    </w:p>
    <w:p w14:paraId="029C85D8" w14:textId="77777777" w:rsidR="0033578E" w:rsidRPr="00051F30" w:rsidRDefault="0033578E" w:rsidP="0033578E">
      <w:pPr>
        <w:rPr>
          <w:rFonts w:cs="Arial"/>
        </w:rPr>
      </w:pPr>
      <w:r w:rsidRPr="00051F30">
        <w:rPr>
          <w:rFonts w:cs="Arial"/>
        </w:rPr>
        <w:t xml:space="preserve">No deaths were reported during the active phase of the study (to </w:t>
      </w:r>
      <w:r w:rsidR="003931E3">
        <w:rPr>
          <w:rFonts w:cs="Arial"/>
        </w:rPr>
        <w:t>D</w:t>
      </w:r>
      <w:r w:rsidRPr="00051F30">
        <w:rPr>
          <w:rFonts w:cs="Arial"/>
        </w:rPr>
        <w:t xml:space="preserve">ay 28). There </w:t>
      </w:r>
      <w:r w:rsidR="003931E3">
        <w:rPr>
          <w:rFonts w:cs="Arial"/>
        </w:rPr>
        <w:t>were 23 deaths in follow-up to D</w:t>
      </w:r>
      <w:r w:rsidRPr="00051F30">
        <w:rPr>
          <w:rFonts w:cs="Arial"/>
        </w:rPr>
        <w:t xml:space="preserve">ay 180; 16 (0.62%) in the </w:t>
      </w:r>
      <w:r w:rsidR="00CD0E09">
        <w:rPr>
          <w:rFonts w:cs="Arial"/>
        </w:rPr>
        <w:t>Fluzone High-Dose</w:t>
      </w:r>
      <w:r w:rsidRPr="00051F30">
        <w:rPr>
          <w:rFonts w:cs="Arial"/>
        </w:rPr>
        <w:t xml:space="preserve"> and 7 (0.56%) in the Fluzone treatment arms. These were all considered unrelated to treatment.</w:t>
      </w:r>
    </w:p>
    <w:p w14:paraId="02598203" w14:textId="5861D2AF" w:rsidR="0033578E" w:rsidRDefault="0033578E" w:rsidP="003931E3">
      <w:pPr>
        <w:pStyle w:val="Heading6"/>
      </w:pPr>
      <w:r w:rsidRPr="00051F30">
        <w:lastRenderedPageBreak/>
        <w:t>Study FIM12</w:t>
      </w:r>
    </w:p>
    <w:p w14:paraId="3EDD6C68" w14:textId="0B346B4C" w:rsidR="003931E3" w:rsidRPr="00051F30" w:rsidRDefault="003931E3" w:rsidP="003931E3">
      <w:pPr>
        <w:rPr>
          <w:rFonts w:cs="Arial"/>
        </w:rPr>
      </w:pPr>
      <w:bookmarkStart w:id="137" w:name="_Toc370576220"/>
      <w:r w:rsidRPr="00051F30">
        <w:rPr>
          <w:rFonts w:cs="Arial"/>
        </w:rPr>
        <w:t xml:space="preserve">A total of 8.27% of </w:t>
      </w:r>
      <w:r>
        <w:rPr>
          <w:rFonts w:cs="Arial"/>
        </w:rPr>
        <w:t>Fluzone High-Dose</w:t>
      </w:r>
      <w:r w:rsidRPr="00051F30">
        <w:rPr>
          <w:rFonts w:cs="Arial"/>
        </w:rPr>
        <w:t xml:space="preserve"> and 9.02% of Fluzone subjects experienced at least one SAE, a relative risk of 0.92 (95% CI 0.85</w:t>
      </w:r>
      <w:r w:rsidR="008F5A64">
        <w:rPr>
          <w:rFonts w:cs="Arial"/>
        </w:rPr>
        <w:t xml:space="preserve"> to </w:t>
      </w:r>
      <w:r w:rsidRPr="00051F30">
        <w:rPr>
          <w:rFonts w:cs="Arial"/>
        </w:rPr>
        <w:t>0.99)</w:t>
      </w:r>
      <w:r>
        <w:rPr>
          <w:rFonts w:cs="Arial"/>
        </w:rPr>
        <w:t xml:space="preserve"> (Table 2</w:t>
      </w:r>
      <w:r w:rsidR="00F05C2C">
        <w:rPr>
          <w:rFonts w:cs="Arial"/>
        </w:rPr>
        <w:t>8</w:t>
      </w:r>
      <w:r>
        <w:rPr>
          <w:rFonts w:cs="Arial"/>
        </w:rPr>
        <w:t>)</w:t>
      </w:r>
      <w:r w:rsidRPr="00051F30">
        <w:rPr>
          <w:rFonts w:cs="Arial"/>
        </w:rPr>
        <w:t xml:space="preserve">. The most frequently reported SOC for these SAEs was Cardiac Disorders, reported in 1.61% of </w:t>
      </w:r>
      <w:r>
        <w:rPr>
          <w:rFonts w:cs="Arial"/>
        </w:rPr>
        <w:t>Fluzone High-Dose</w:t>
      </w:r>
      <w:r w:rsidRPr="00051F30">
        <w:rPr>
          <w:rFonts w:cs="Arial"/>
        </w:rPr>
        <w:t xml:space="preserve"> and 1.79% of Fluzone subjects respectively. The most common cardiac disorders were atrial fibrillation, occurring in 0.32% of </w:t>
      </w:r>
      <w:r>
        <w:rPr>
          <w:rFonts w:cs="Arial"/>
        </w:rPr>
        <w:t>Fluzone High-Dose</w:t>
      </w:r>
      <w:r w:rsidRPr="00051F30">
        <w:rPr>
          <w:rFonts w:cs="Arial"/>
        </w:rPr>
        <w:t xml:space="preserve"> and 0.42% of Fluzone subjects, and cardiac failure, occurring in 0.03% of </w:t>
      </w:r>
      <w:r>
        <w:rPr>
          <w:rFonts w:cs="Arial"/>
        </w:rPr>
        <w:t>Fluzone High-Dose</w:t>
      </w:r>
      <w:r w:rsidRPr="00051F30">
        <w:rPr>
          <w:rFonts w:cs="Arial"/>
        </w:rPr>
        <w:t xml:space="preserve"> and 0.03 of Fluzone subjects. </w:t>
      </w:r>
    </w:p>
    <w:p w14:paraId="4F9497EA" w14:textId="5B62EAE6" w:rsidR="003931E3" w:rsidRPr="00051F30" w:rsidRDefault="003931E3" w:rsidP="003931E3">
      <w:pPr>
        <w:rPr>
          <w:rFonts w:cs="Arial"/>
        </w:rPr>
      </w:pPr>
      <w:r w:rsidRPr="00051F30">
        <w:rPr>
          <w:rFonts w:cs="Arial"/>
        </w:rPr>
        <w:t xml:space="preserve">Among the subjects reporting Infections and Infestations the most common causes were bronchitis in 0.09% and 0.06% of </w:t>
      </w:r>
      <w:r>
        <w:rPr>
          <w:rFonts w:cs="Arial"/>
        </w:rPr>
        <w:t>Fluzone High-Dose</w:t>
      </w:r>
      <w:r w:rsidRPr="00051F30">
        <w:rPr>
          <w:rFonts w:cs="Arial"/>
        </w:rPr>
        <w:t xml:space="preserve"> and Fluzone subjects, and pneumonia in 0.39% of </w:t>
      </w:r>
      <w:r>
        <w:rPr>
          <w:rFonts w:cs="Arial"/>
        </w:rPr>
        <w:t>Fluzone High-Dose</w:t>
      </w:r>
      <w:r w:rsidRPr="00051F30">
        <w:rPr>
          <w:rFonts w:cs="Arial"/>
        </w:rPr>
        <w:t xml:space="preserve"> and 0.55% of Fluzone subjects.</w:t>
      </w:r>
    </w:p>
    <w:p w14:paraId="1294DD74" w14:textId="7CDA503E" w:rsidR="003931E3" w:rsidRPr="00051F30" w:rsidRDefault="003931E3" w:rsidP="003931E3">
      <w:pPr>
        <w:rPr>
          <w:rFonts w:cs="Arial"/>
        </w:rPr>
      </w:pPr>
      <w:r w:rsidRPr="00051F30">
        <w:rPr>
          <w:rFonts w:cs="Arial"/>
        </w:rPr>
        <w:t xml:space="preserve">Three subjects in the </w:t>
      </w:r>
      <w:r>
        <w:rPr>
          <w:rFonts w:cs="Arial"/>
        </w:rPr>
        <w:t>Fluzone High-Dose</w:t>
      </w:r>
      <w:r w:rsidRPr="00051F30">
        <w:rPr>
          <w:rFonts w:cs="Arial"/>
        </w:rPr>
        <w:t xml:space="preserve"> group experience SAEs which were considered related to treatment.</w:t>
      </w:r>
    </w:p>
    <w:p w14:paraId="74005EC3" w14:textId="269F38C5" w:rsidR="003931E3" w:rsidRDefault="003931E3" w:rsidP="003931E3">
      <w:r w:rsidRPr="00051F30">
        <w:rPr>
          <w:rFonts w:cs="Arial"/>
        </w:rPr>
        <w:t xml:space="preserve">There were 83 deaths in the </w:t>
      </w:r>
      <w:r>
        <w:rPr>
          <w:rFonts w:cs="Arial"/>
        </w:rPr>
        <w:t>Fluzone High-Dose</w:t>
      </w:r>
      <w:r w:rsidRPr="00051F30">
        <w:rPr>
          <w:rFonts w:cs="Arial"/>
        </w:rPr>
        <w:t xml:space="preserve"> and 84 deaths in the Fluzone treated groups respectively. Of these, 6 deaths occurred in the </w:t>
      </w:r>
      <w:r>
        <w:rPr>
          <w:rFonts w:cs="Arial"/>
        </w:rPr>
        <w:t>Fluzone High-Dose</w:t>
      </w:r>
      <w:r w:rsidRPr="00051F30">
        <w:rPr>
          <w:rFonts w:cs="Arial"/>
        </w:rPr>
        <w:t xml:space="preserve"> group within 30 days of vaccination compared to none in the Fluzone Group. None of these were considered related to treatment, however. Two of the deaths were accidental, and four were related to re-existing medical conditions.</w:t>
      </w:r>
    </w:p>
    <w:p w14:paraId="4D4064D0" w14:textId="77777777" w:rsidR="003931E3" w:rsidRDefault="003931E3" w:rsidP="003931E3">
      <w:pPr>
        <w:pStyle w:val="Tabletitle"/>
      </w:pPr>
      <w:r>
        <w:t>Table 2</w:t>
      </w:r>
      <w:r w:rsidR="00F05C2C">
        <w:t>8</w:t>
      </w:r>
      <w:r w:rsidRPr="00051F30">
        <w:t>: Serious Adverse Events reported in Study FIM12 reported by System Organ Class</w:t>
      </w:r>
      <w:bookmarkEnd w:id="137"/>
    </w:p>
    <w:tbl>
      <w:tblPr>
        <w:tblStyle w:val="TableTGAblue"/>
        <w:tblW w:w="8647" w:type="dxa"/>
        <w:tblInd w:w="250" w:type="dxa"/>
        <w:tblLook w:val="04A0" w:firstRow="1" w:lastRow="0" w:firstColumn="1" w:lastColumn="0" w:noHBand="0" w:noVBand="1"/>
      </w:tblPr>
      <w:tblGrid>
        <w:gridCol w:w="2830"/>
        <w:gridCol w:w="2840"/>
        <w:gridCol w:w="2977"/>
      </w:tblGrid>
      <w:tr w:rsidR="003931E3" w:rsidRPr="00C83AFB" w14:paraId="52FC25FC" w14:textId="77777777" w:rsidTr="00C01D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14:paraId="3A6850B6" w14:textId="77777777" w:rsidR="003931E3" w:rsidRPr="00C83AFB" w:rsidRDefault="003931E3" w:rsidP="003931E3">
            <w:pPr>
              <w:rPr>
                <w:szCs w:val="22"/>
              </w:rPr>
            </w:pPr>
            <w:r w:rsidRPr="00C83AFB">
              <w:rPr>
                <w:szCs w:val="22"/>
              </w:rPr>
              <w:t>System Organ Class (SOC)</w:t>
            </w:r>
          </w:p>
        </w:tc>
        <w:tc>
          <w:tcPr>
            <w:tcW w:w="2840" w:type="dxa"/>
          </w:tcPr>
          <w:p w14:paraId="4EED2517" w14:textId="700B352E" w:rsidR="003931E3" w:rsidRPr="00C83AFB" w:rsidRDefault="003931E3" w:rsidP="003931E3">
            <w:pPr>
              <w:cnfStyle w:val="100000000000" w:firstRow="1" w:lastRow="0" w:firstColumn="0" w:lastColumn="0" w:oddVBand="0" w:evenVBand="0" w:oddHBand="0" w:evenHBand="0" w:firstRowFirstColumn="0" w:firstRowLastColumn="0" w:lastRowFirstColumn="0" w:lastRowLastColumn="0"/>
              <w:rPr>
                <w:rFonts w:cs="Arial"/>
                <w:szCs w:val="22"/>
              </w:rPr>
            </w:pPr>
            <w:r w:rsidRPr="00C83AFB">
              <w:rPr>
                <w:rFonts w:cs="Arial"/>
                <w:szCs w:val="22"/>
              </w:rPr>
              <w:t>Fluzone High-Dose (%) (n</w:t>
            </w:r>
            <w:r w:rsidR="008F5A64" w:rsidRPr="00C83AFB">
              <w:rPr>
                <w:rFonts w:cs="Arial"/>
                <w:szCs w:val="22"/>
              </w:rPr>
              <w:t> </w:t>
            </w:r>
            <w:r w:rsidRPr="00C83AFB">
              <w:rPr>
                <w:rFonts w:cs="Arial"/>
                <w:szCs w:val="22"/>
              </w:rPr>
              <w:t>=</w:t>
            </w:r>
            <w:r w:rsidR="008F5A64" w:rsidRPr="00C83AFB">
              <w:rPr>
                <w:rFonts w:cs="Arial"/>
                <w:szCs w:val="22"/>
              </w:rPr>
              <w:t> </w:t>
            </w:r>
            <w:r w:rsidRPr="00C83AFB">
              <w:rPr>
                <w:rFonts w:cs="Arial"/>
                <w:szCs w:val="22"/>
              </w:rPr>
              <w:t>15992)</w:t>
            </w:r>
          </w:p>
        </w:tc>
        <w:tc>
          <w:tcPr>
            <w:tcW w:w="2977" w:type="dxa"/>
          </w:tcPr>
          <w:p w14:paraId="05601B18" w14:textId="45519C0E" w:rsidR="003931E3" w:rsidRPr="00C83AFB" w:rsidRDefault="003931E3" w:rsidP="008F5A64">
            <w:pPr>
              <w:cnfStyle w:val="100000000000" w:firstRow="1" w:lastRow="0" w:firstColumn="0" w:lastColumn="0" w:oddVBand="0" w:evenVBand="0" w:oddHBand="0" w:evenHBand="0" w:firstRowFirstColumn="0" w:firstRowLastColumn="0" w:lastRowFirstColumn="0" w:lastRowLastColumn="0"/>
              <w:rPr>
                <w:rFonts w:cs="Arial"/>
                <w:szCs w:val="22"/>
              </w:rPr>
            </w:pPr>
            <w:r w:rsidRPr="00C83AFB">
              <w:rPr>
                <w:rFonts w:cs="Arial"/>
                <w:szCs w:val="22"/>
              </w:rPr>
              <w:t>Fluzone (%)</w:t>
            </w:r>
            <w:r w:rsidR="008F5A64" w:rsidRPr="00C83AFB">
              <w:rPr>
                <w:rFonts w:cs="Arial"/>
                <w:szCs w:val="22"/>
              </w:rPr>
              <w:t xml:space="preserve"> </w:t>
            </w:r>
            <w:r w:rsidRPr="00C83AFB">
              <w:rPr>
                <w:rFonts w:cs="Arial"/>
                <w:szCs w:val="22"/>
              </w:rPr>
              <w:t>(n</w:t>
            </w:r>
            <w:r w:rsidR="008F5A64" w:rsidRPr="00C83AFB">
              <w:rPr>
                <w:rFonts w:cs="Arial"/>
                <w:szCs w:val="22"/>
              </w:rPr>
              <w:t xml:space="preserve"> </w:t>
            </w:r>
            <w:r w:rsidRPr="00C83AFB">
              <w:rPr>
                <w:rFonts w:cs="Arial"/>
                <w:szCs w:val="22"/>
              </w:rPr>
              <w:t>=</w:t>
            </w:r>
            <w:r w:rsidR="008F5A64" w:rsidRPr="00C83AFB">
              <w:rPr>
                <w:rFonts w:cs="Arial"/>
                <w:szCs w:val="22"/>
              </w:rPr>
              <w:t xml:space="preserve"> </w:t>
            </w:r>
            <w:r w:rsidRPr="00C83AFB">
              <w:rPr>
                <w:rFonts w:cs="Arial"/>
                <w:szCs w:val="22"/>
              </w:rPr>
              <w:t>15991)</w:t>
            </w:r>
          </w:p>
        </w:tc>
      </w:tr>
      <w:tr w:rsidR="003931E3" w:rsidRPr="00C83AFB" w14:paraId="38D0C5A7"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2E4A0C37" w14:textId="77777777" w:rsidR="003931E3" w:rsidRPr="00C83AFB" w:rsidRDefault="003931E3" w:rsidP="003931E3">
            <w:pPr>
              <w:rPr>
                <w:rFonts w:cs="Arial"/>
                <w:szCs w:val="22"/>
              </w:rPr>
            </w:pPr>
            <w:r w:rsidRPr="00C83AFB">
              <w:rPr>
                <w:rFonts w:cs="Arial"/>
                <w:szCs w:val="22"/>
              </w:rPr>
              <w:t>Blood and lymphatic system</w:t>
            </w:r>
          </w:p>
        </w:tc>
        <w:tc>
          <w:tcPr>
            <w:tcW w:w="2840" w:type="dxa"/>
          </w:tcPr>
          <w:p w14:paraId="69C36163"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0.16</w:t>
            </w:r>
          </w:p>
        </w:tc>
        <w:tc>
          <w:tcPr>
            <w:tcW w:w="2977" w:type="dxa"/>
          </w:tcPr>
          <w:p w14:paraId="077BF0C7"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0.14</w:t>
            </w:r>
          </w:p>
        </w:tc>
      </w:tr>
      <w:tr w:rsidR="003931E3" w:rsidRPr="00C83AFB" w14:paraId="0C2D51C3"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3C3B7CD2" w14:textId="77777777" w:rsidR="003931E3" w:rsidRPr="00C83AFB" w:rsidRDefault="003931E3" w:rsidP="003931E3">
            <w:pPr>
              <w:rPr>
                <w:rFonts w:cs="Arial"/>
                <w:szCs w:val="22"/>
              </w:rPr>
            </w:pPr>
            <w:r w:rsidRPr="00C83AFB">
              <w:rPr>
                <w:rFonts w:cs="Arial"/>
                <w:szCs w:val="22"/>
              </w:rPr>
              <w:t>Cardiac disorders</w:t>
            </w:r>
          </w:p>
        </w:tc>
        <w:tc>
          <w:tcPr>
            <w:tcW w:w="2840" w:type="dxa"/>
          </w:tcPr>
          <w:p w14:paraId="5130665F"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1.61</w:t>
            </w:r>
          </w:p>
        </w:tc>
        <w:tc>
          <w:tcPr>
            <w:tcW w:w="2977" w:type="dxa"/>
          </w:tcPr>
          <w:p w14:paraId="48D41B6F"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1.79</w:t>
            </w:r>
          </w:p>
        </w:tc>
      </w:tr>
      <w:tr w:rsidR="003931E3" w:rsidRPr="00C83AFB" w14:paraId="7C169A75"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41A6508D" w14:textId="77777777" w:rsidR="003931E3" w:rsidRPr="00C83AFB" w:rsidRDefault="003931E3" w:rsidP="003931E3">
            <w:pPr>
              <w:rPr>
                <w:rFonts w:cs="Arial"/>
                <w:szCs w:val="22"/>
              </w:rPr>
            </w:pPr>
            <w:r w:rsidRPr="00C83AFB">
              <w:rPr>
                <w:rFonts w:cs="Arial"/>
                <w:szCs w:val="22"/>
              </w:rPr>
              <w:t>Congenital, familial and genetic disorders</w:t>
            </w:r>
          </w:p>
        </w:tc>
        <w:tc>
          <w:tcPr>
            <w:tcW w:w="2840" w:type="dxa"/>
          </w:tcPr>
          <w:p w14:paraId="246CF93B"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0.00</w:t>
            </w:r>
          </w:p>
        </w:tc>
        <w:tc>
          <w:tcPr>
            <w:tcW w:w="2977" w:type="dxa"/>
          </w:tcPr>
          <w:p w14:paraId="03A21545"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0.01</w:t>
            </w:r>
          </w:p>
        </w:tc>
      </w:tr>
      <w:tr w:rsidR="003931E3" w:rsidRPr="00C83AFB" w14:paraId="42084BFB"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0A3062A8" w14:textId="77777777" w:rsidR="003931E3" w:rsidRPr="00C83AFB" w:rsidRDefault="003931E3" w:rsidP="003931E3">
            <w:pPr>
              <w:rPr>
                <w:rFonts w:cs="Arial"/>
                <w:szCs w:val="22"/>
              </w:rPr>
            </w:pPr>
            <w:r w:rsidRPr="00C83AFB">
              <w:rPr>
                <w:rFonts w:cs="Arial"/>
                <w:szCs w:val="22"/>
              </w:rPr>
              <w:t>Ear and labyrinth disorders</w:t>
            </w:r>
          </w:p>
        </w:tc>
        <w:tc>
          <w:tcPr>
            <w:tcW w:w="2840" w:type="dxa"/>
          </w:tcPr>
          <w:p w14:paraId="7D458D16"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0.03</w:t>
            </w:r>
          </w:p>
        </w:tc>
        <w:tc>
          <w:tcPr>
            <w:tcW w:w="2977" w:type="dxa"/>
          </w:tcPr>
          <w:p w14:paraId="70427ED3"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0.08</w:t>
            </w:r>
          </w:p>
        </w:tc>
      </w:tr>
      <w:tr w:rsidR="003931E3" w:rsidRPr="00C83AFB" w14:paraId="6557C42F"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5357A23E" w14:textId="77777777" w:rsidR="003931E3" w:rsidRPr="00C83AFB" w:rsidRDefault="003931E3" w:rsidP="003931E3">
            <w:pPr>
              <w:rPr>
                <w:rFonts w:cs="Arial"/>
                <w:szCs w:val="22"/>
              </w:rPr>
            </w:pPr>
            <w:r w:rsidRPr="00C83AFB">
              <w:rPr>
                <w:rFonts w:cs="Arial"/>
                <w:szCs w:val="22"/>
              </w:rPr>
              <w:t>Endocrine disorders</w:t>
            </w:r>
          </w:p>
        </w:tc>
        <w:tc>
          <w:tcPr>
            <w:tcW w:w="2840" w:type="dxa"/>
          </w:tcPr>
          <w:p w14:paraId="63F7F7FE"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0.02</w:t>
            </w:r>
          </w:p>
        </w:tc>
        <w:tc>
          <w:tcPr>
            <w:tcW w:w="2977" w:type="dxa"/>
          </w:tcPr>
          <w:p w14:paraId="3AF1B273"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0.03</w:t>
            </w:r>
          </w:p>
        </w:tc>
      </w:tr>
      <w:tr w:rsidR="003931E3" w:rsidRPr="00C83AFB" w14:paraId="522961F0"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730E3A2E" w14:textId="77777777" w:rsidR="003931E3" w:rsidRPr="00C83AFB" w:rsidRDefault="003931E3" w:rsidP="003931E3">
            <w:pPr>
              <w:rPr>
                <w:rFonts w:cs="Arial"/>
                <w:szCs w:val="22"/>
              </w:rPr>
            </w:pPr>
            <w:r w:rsidRPr="00C83AFB">
              <w:rPr>
                <w:rFonts w:cs="Arial"/>
                <w:szCs w:val="22"/>
              </w:rPr>
              <w:t>Eye disorders</w:t>
            </w:r>
          </w:p>
        </w:tc>
        <w:tc>
          <w:tcPr>
            <w:tcW w:w="2840" w:type="dxa"/>
          </w:tcPr>
          <w:p w14:paraId="03DAE143"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0.02</w:t>
            </w:r>
          </w:p>
        </w:tc>
        <w:tc>
          <w:tcPr>
            <w:tcW w:w="2977" w:type="dxa"/>
          </w:tcPr>
          <w:p w14:paraId="7F008633"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0.01</w:t>
            </w:r>
          </w:p>
        </w:tc>
      </w:tr>
      <w:tr w:rsidR="003931E3" w:rsidRPr="00C83AFB" w14:paraId="595D7EAD"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189F2781" w14:textId="77777777" w:rsidR="003931E3" w:rsidRPr="00C83AFB" w:rsidRDefault="003931E3" w:rsidP="003931E3">
            <w:pPr>
              <w:rPr>
                <w:rFonts w:cs="Arial"/>
                <w:szCs w:val="22"/>
              </w:rPr>
            </w:pPr>
            <w:r w:rsidRPr="00C83AFB">
              <w:rPr>
                <w:rFonts w:cs="Arial"/>
                <w:szCs w:val="22"/>
              </w:rPr>
              <w:t>Gastrointestinal disorders</w:t>
            </w:r>
          </w:p>
        </w:tc>
        <w:tc>
          <w:tcPr>
            <w:tcW w:w="2840" w:type="dxa"/>
          </w:tcPr>
          <w:p w14:paraId="2CBB483F"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0.64</w:t>
            </w:r>
          </w:p>
        </w:tc>
        <w:tc>
          <w:tcPr>
            <w:tcW w:w="2977" w:type="dxa"/>
          </w:tcPr>
          <w:p w14:paraId="27CF5E32"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0.93</w:t>
            </w:r>
          </w:p>
        </w:tc>
      </w:tr>
      <w:tr w:rsidR="003931E3" w:rsidRPr="00C83AFB" w14:paraId="47A7E6A7"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72D19CDE" w14:textId="77777777" w:rsidR="003931E3" w:rsidRPr="00C83AFB" w:rsidRDefault="003931E3" w:rsidP="003931E3">
            <w:pPr>
              <w:rPr>
                <w:rFonts w:cs="Arial"/>
                <w:szCs w:val="22"/>
              </w:rPr>
            </w:pPr>
            <w:r w:rsidRPr="00C83AFB">
              <w:rPr>
                <w:rFonts w:cs="Arial"/>
                <w:szCs w:val="22"/>
              </w:rPr>
              <w:t>General disorders and administration site conditions</w:t>
            </w:r>
          </w:p>
        </w:tc>
        <w:tc>
          <w:tcPr>
            <w:tcW w:w="2840" w:type="dxa"/>
          </w:tcPr>
          <w:p w14:paraId="6E7BF1AC"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0.52</w:t>
            </w:r>
          </w:p>
        </w:tc>
        <w:tc>
          <w:tcPr>
            <w:tcW w:w="2977" w:type="dxa"/>
          </w:tcPr>
          <w:p w14:paraId="23F34B99"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0.50</w:t>
            </w:r>
          </w:p>
        </w:tc>
      </w:tr>
      <w:tr w:rsidR="003931E3" w:rsidRPr="00C83AFB" w14:paraId="64324C6A"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0F4865BE" w14:textId="77777777" w:rsidR="003931E3" w:rsidRPr="00C83AFB" w:rsidRDefault="003931E3" w:rsidP="003931E3">
            <w:pPr>
              <w:rPr>
                <w:rFonts w:cs="Arial"/>
                <w:szCs w:val="22"/>
              </w:rPr>
            </w:pPr>
            <w:r w:rsidRPr="00C83AFB">
              <w:rPr>
                <w:rFonts w:cs="Arial"/>
                <w:szCs w:val="22"/>
              </w:rPr>
              <w:t>Hepatobiliary disorders</w:t>
            </w:r>
          </w:p>
        </w:tc>
        <w:tc>
          <w:tcPr>
            <w:tcW w:w="2840" w:type="dxa"/>
          </w:tcPr>
          <w:p w14:paraId="6773F207"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0.16</w:t>
            </w:r>
          </w:p>
        </w:tc>
        <w:tc>
          <w:tcPr>
            <w:tcW w:w="2977" w:type="dxa"/>
          </w:tcPr>
          <w:p w14:paraId="6618E5BC"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0.16</w:t>
            </w:r>
          </w:p>
        </w:tc>
      </w:tr>
      <w:tr w:rsidR="003931E3" w:rsidRPr="00C83AFB" w14:paraId="39D433F0"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78AA66A8" w14:textId="77777777" w:rsidR="003931E3" w:rsidRPr="00C83AFB" w:rsidRDefault="003931E3" w:rsidP="003931E3">
            <w:pPr>
              <w:rPr>
                <w:rFonts w:cs="Arial"/>
                <w:szCs w:val="22"/>
              </w:rPr>
            </w:pPr>
            <w:r w:rsidRPr="00C83AFB">
              <w:rPr>
                <w:rFonts w:cs="Arial"/>
                <w:szCs w:val="22"/>
              </w:rPr>
              <w:t>Immune system disorders</w:t>
            </w:r>
          </w:p>
        </w:tc>
        <w:tc>
          <w:tcPr>
            <w:tcW w:w="2840" w:type="dxa"/>
          </w:tcPr>
          <w:p w14:paraId="3C31274E"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0.03</w:t>
            </w:r>
          </w:p>
        </w:tc>
        <w:tc>
          <w:tcPr>
            <w:tcW w:w="2977" w:type="dxa"/>
          </w:tcPr>
          <w:p w14:paraId="44BDA0F2"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0.01</w:t>
            </w:r>
          </w:p>
        </w:tc>
      </w:tr>
      <w:tr w:rsidR="003931E3" w:rsidRPr="00C83AFB" w14:paraId="07C52AEE"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1CD957BB" w14:textId="77777777" w:rsidR="003931E3" w:rsidRPr="00C83AFB" w:rsidRDefault="003931E3" w:rsidP="003931E3">
            <w:pPr>
              <w:rPr>
                <w:rFonts w:cs="Arial"/>
                <w:szCs w:val="22"/>
              </w:rPr>
            </w:pPr>
            <w:r w:rsidRPr="00C83AFB">
              <w:rPr>
                <w:rFonts w:cs="Arial"/>
                <w:szCs w:val="22"/>
              </w:rPr>
              <w:lastRenderedPageBreak/>
              <w:t>Infections and infestations</w:t>
            </w:r>
          </w:p>
        </w:tc>
        <w:tc>
          <w:tcPr>
            <w:tcW w:w="2840" w:type="dxa"/>
          </w:tcPr>
          <w:p w14:paraId="590756BB"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1.26</w:t>
            </w:r>
          </w:p>
        </w:tc>
        <w:tc>
          <w:tcPr>
            <w:tcW w:w="2977" w:type="dxa"/>
          </w:tcPr>
          <w:p w14:paraId="09972DD0"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1.66</w:t>
            </w:r>
          </w:p>
        </w:tc>
      </w:tr>
      <w:tr w:rsidR="003931E3" w:rsidRPr="00C83AFB" w14:paraId="402FDB4A"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320C9FF0" w14:textId="77777777" w:rsidR="003931E3" w:rsidRPr="00C83AFB" w:rsidRDefault="003931E3" w:rsidP="003931E3">
            <w:pPr>
              <w:rPr>
                <w:rFonts w:cs="Arial"/>
                <w:szCs w:val="22"/>
              </w:rPr>
            </w:pPr>
            <w:r w:rsidRPr="00C83AFB">
              <w:rPr>
                <w:rFonts w:cs="Arial"/>
                <w:szCs w:val="22"/>
              </w:rPr>
              <w:t>Injury, poisonings and procedural complications</w:t>
            </w:r>
          </w:p>
        </w:tc>
        <w:tc>
          <w:tcPr>
            <w:tcW w:w="2840" w:type="dxa"/>
          </w:tcPr>
          <w:p w14:paraId="29608BDC"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0.66</w:t>
            </w:r>
          </w:p>
        </w:tc>
        <w:tc>
          <w:tcPr>
            <w:tcW w:w="2977" w:type="dxa"/>
          </w:tcPr>
          <w:p w14:paraId="77E2504F"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0.72</w:t>
            </w:r>
          </w:p>
        </w:tc>
      </w:tr>
      <w:tr w:rsidR="003931E3" w:rsidRPr="00C83AFB" w14:paraId="42545C18"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06FC71A4" w14:textId="77777777" w:rsidR="003931E3" w:rsidRPr="00C83AFB" w:rsidRDefault="003931E3" w:rsidP="003931E3">
            <w:pPr>
              <w:rPr>
                <w:rFonts w:cs="Arial"/>
                <w:szCs w:val="22"/>
              </w:rPr>
            </w:pPr>
            <w:r w:rsidRPr="00C83AFB">
              <w:rPr>
                <w:rFonts w:cs="Arial"/>
                <w:szCs w:val="22"/>
              </w:rPr>
              <w:t>Investigations</w:t>
            </w:r>
          </w:p>
        </w:tc>
        <w:tc>
          <w:tcPr>
            <w:tcW w:w="2840" w:type="dxa"/>
          </w:tcPr>
          <w:p w14:paraId="1DA04632"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0.00</w:t>
            </w:r>
          </w:p>
        </w:tc>
        <w:tc>
          <w:tcPr>
            <w:tcW w:w="2977" w:type="dxa"/>
          </w:tcPr>
          <w:p w14:paraId="28B1A6AF"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0.02</w:t>
            </w:r>
          </w:p>
        </w:tc>
      </w:tr>
      <w:tr w:rsidR="003931E3" w:rsidRPr="00C83AFB" w14:paraId="360DC10A"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395DDA5D" w14:textId="77777777" w:rsidR="003931E3" w:rsidRPr="00C83AFB" w:rsidRDefault="003931E3" w:rsidP="003931E3">
            <w:pPr>
              <w:rPr>
                <w:rFonts w:cs="Arial"/>
                <w:szCs w:val="22"/>
              </w:rPr>
            </w:pPr>
            <w:r w:rsidRPr="00C83AFB">
              <w:rPr>
                <w:rFonts w:cs="Arial"/>
                <w:szCs w:val="22"/>
              </w:rPr>
              <w:t>Metabolism and nutrition disorders</w:t>
            </w:r>
          </w:p>
        </w:tc>
        <w:tc>
          <w:tcPr>
            <w:tcW w:w="2840" w:type="dxa"/>
          </w:tcPr>
          <w:p w14:paraId="608EECDD"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0.14</w:t>
            </w:r>
          </w:p>
        </w:tc>
        <w:tc>
          <w:tcPr>
            <w:tcW w:w="2977" w:type="dxa"/>
          </w:tcPr>
          <w:p w14:paraId="6621B446"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0.21</w:t>
            </w:r>
          </w:p>
        </w:tc>
      </w:tr>
      <w:tr w:rsidR="003931E3" w:rsidRPr="00C83AFB" w14:paraId="4963BC71"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48B36DC8" w14:textId="77777777" w:rsidR="003931E3" w:rsidRPr="00C83AFB" w:rsidRDefault="003931E3" w:rsidP="003931E3">
            <w:pPr>
              <w:rPr>
                <w:rFonts w:cs="Arial"/>
                <w:szCs w:val="22"/>
              </w:rPr>
            </w:pPr>
            <w:r w:rsidRPr="00C83AFB">
              <w:rPr>
                <w:rFonts w:cs="Arial"/>
                <w:szCs w:val="22"/>
              </w:rPr>
              <w:t>Musculoskeletal and connective tissue disorders</w:t>
            </w:r>
          </w:p>
        </w:tc>
        <w:tc>
          <w:tcPr>
            <w:tcW w:w="2840" w:type="dxa"/>
          </w:tcPr>
          <w:p w14:paraId="268760A2"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1.18</w:t>
            </w:r>
          </w:p>
        </w:tc>
        <w:tc>
          <w:tcPr>
            <w:tcW w:w="2977" w:type="dxa"/>
          </w:tcPr>
          <w:p w14:paraId="3292EB90"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0.87</w:t>
            </w:r>
          </w:p>
        </w:tc>
      </w:tr>
      <w:tr w:rsidR="003931E3" w:rsidRPr="00C83AFB" w14:paraId="4C9DE140"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12411FAF" w14:textId="77777777" w:rsidR="003931E3" w:rsidRPr="00C83AFB" w:rsidRDefault="003931E3" w:rsidP="003931E3">
            <w:pPr>
              <w:rPr>
                <w:rFonts w:cs="Arial"/>
                <w:szCs w:val="22"/>
              </w:rPr>
            </w:pPr>
            <w:r w:rsidRPr="00C83AFB">
              <w:rPr>
                <w:rFonts w:cs="Arial"/>
                <w:szCs w:val="22"/>
              </w:rPr>
              <w:t>Neoplasms</w:t>
            </w:r>
          </w:p>
        </w:tc>
        <w:tc>
          <w:tcPr>
            <w:tcW w:w="2840" w:type="dxa"/>
          </w:tcPr>
          <w:p w14:paraId="67692DE0"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0.88</w:t>
            </w:r>
          </w:p>
        </w:tc>
        <w:tc>
          <w:tcPr>
            <w:tcW w:w="2977" w:type="dxa"/>
          </w:tcPr>
          <w:p w14:paraId="4911D825"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0.87</w:t>
            </w:r>
          </w:p>
        </w:tc>
      </w:tr>
      <w:tr w:rsidR="003931E3" w:rsidRPr="00C83AFB" w14:paraId="1D8A850A"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5FD73DF9" w14:textId="77777777" w:rsidR="003931E3" w:rsidRPr="00C83AFB" w:rsidRDefault="003931E3" w:rsidP="003931E3">
            <w:pPr>
              <w:rPr>
                <w:rFonts w:cs="Arial"/>
                <w:szCs w:val="22"/>
              </w:rPr>
            </w:pPr>
            <w:r w:rsidRPr="00C83AFB">
              <w:rPr>
                <w:rFonts w:cs="Arial"/>
                <w:szCs w:val="22"/>
              </w:rPr>
              <w:t>Psychiatric disorders</w:t>
            </w:r>
          </w:p>
        </w:tc>
        <w:tc>
          <w:tcPr>
            <w:tcW w:w="2840" w:type="dxa"/>
          </w:tcPr>
          <w:p w14:paraId="5F715E9C"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0.09</w:t>
            </w:r>
          </w:p>
        </w:tc>
        <w:tc>
          <w:tcPr>
            <w:tcW w:w="2977" w:type="dxa"/>
          </w:tcPr>
          <w:p w14:paraId="1B4768C1"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0.11</w:t>
            </w:r>
          </w:p>
        </w:tc>
      </w:tr>
      <w:tr w:rsidR="003931E3" w:rsidRPr="00C83AFB" w14:paraId="014B41FF"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661E8AB3" w14:textId="77777777" w:rsidR="003931E3" w:rsidRPr="00C83AFB" w:rsidRDefault="003931E3" w:rsidP="003931E3">
            <w:pPr>
              <w:rPr>
                <w:rFonts w:cs="Arial"/>
                <w:szCs w:val="22"/>
              </w:rPr>
            </w:pPr>
            <w:r w:rsidRPr="00C83AFB">
              <w:rPr>
                <w:rFonts w:cs="Arial"/>
                <w:szCs w:val="22"/>
              </w:rPr>
              <w:t>Renal and urinary disorders</w:t>
            </w:r>
          </w:p>
        </w:tc>
        <w:tc>
          <w:tcPr>
            <w:tcW w:w="2840" w:type="dxa"/>
          </w:tcPr>
          <w:p w14:paraId="3CBBEC77"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0.29</w:t>
            </w:r>
          </w:p>
        </w:tc>
        <w:tc>
          <w:tcPr>
            <w:tcW w:w="2977" w:type="dxa"/>
          </w:tcPr>
          <w:p w14:paraId="106B593D"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0.29</w:t>
            </w:r>
          </w:p>
        </w:tc>
      </w:tr>
      <w:tr w:rsidR="003931E3" w:rsidRPr="00C83AFB" w14:paraId="7E50E525"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3F2F7607" w14:textId="77777777" w:rsidR="003931E3" w:rsidRPr="00C83AFB" w:rsidRDefault="003931E3" w:rsidP="003931E3">
            <w:pPr>
              <w:rPr>
                <w:rFonts w:cs="Arial"/>
                <w:szCs w:val="22"/>
              </w:rPr>
            </w:pPr>
            <w:r w:rsidRPr="00C83AFB">
              <w:rPr>
                <w:rFonts w:cs="Arial"/>
                <w:szCs w:val="22"/>
              </w:rPr>
              <w:t>Reproductive system and breast disorders</w:t>
            </w:r>
          </w:p>
        </w:tc>
        <w:tc>
          <w:tcPr>
            <w:tcW w:w="2840" w:type="dxa"/>
          </w:tcPr>
          <w:p w14:paraId="1ACFD2B2"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0.08</w:t>
            </w:r>
          </w:p>
        </w:tc>
        <w:tc>
          <w:tcPr>
            <w:tcW w:w="2977" w:type="dxa"/>
          </w:tcPr>
          <w:p w14:paraId="31D2C80A"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0.06</w:t>
            </w:r>
          </w:p>
        </w:tc>
      </w:tr>
      <w:tr w:rsidR="003931E3" w:rsidRPr="00C83AFB" w14:paraId="52303B8A"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0073C185" w14:textId="77777777" w:rsidR="003931E3" w:rsidRPr="00C83AFB" w:rsidRDefault="003931E3" w:rsidP="003931E3">
            <w:pPr>
              <w:rPr>
                <w:rFonts w:cs="Arial"/>
                <w:szCs w:val="22"/>
              </w:rPr>
            </w:pPr>
            <w:r w:rsidRPr="00C83AFB">
              <w:rPr>
                <w:rFonts w:cs="Arial"/>
                <w:szCs w:val="22"/>
              </w:rPr>
              <w:t>Skin and subcutaneous tissue disorders</w:t>
            </w:r>
          </w:p>
        </w:tc>
        <w:tc>
          <w:tcPr>
            <w:tcW w:w="2840" w:type="dxa"/>
          </w:tcPr>
          <w:p w14:paraId="73D3AF34"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0.04</w:t>
            </w:r>
          </w:p>
        </w:tc>
        <w:tc>
          <w:tcPr>
            <w:tcW w:w="2977" w:type="dxa"/>
          </w:tcPr>
          <w:p w14:paraId="1AF55E52"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0.03</w:t>
            </w:r>
          </w:p>
        </w:tc>
      </w:tr>
      <w:tr w:rsidR="003931E3" w:rsidRPr="00C83AFB" w14:paraId="65E208C4"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1F690F7A" w14:textId="77777777" w:rsidR="003931E3" w:rsidRPr="00C83AFB" w:rsidRDefault="003931E3" w:rsidP="003931E3">
            <w:pPr>
              <w:rPr>
                <w:rFonts w:cs="Arial"/>
                <w:szCs w:val="22"/>
              </w:rPr>
            </w:pPr>
            <w:r w:rsidRPr="00C83AFB">
              <w:rPr>
                <w:rFonts w:cs="Arial"/>
                <w:szCs w:val="22"/>
              </w:rPr>
              <w:t>Social circumstances</w:t>
            </w:r>
          </w:p>
        </w:tc>
        <w:tc>
          <w:tcPr>
            <w:tcW w:w="2840" w:type="dxa"/>
          </w:tcPr>
          <w:p w14:paraId="1C8375D8"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0.01</w:t>
            </w:r>
          </w:p>
        </w:tc>
        <w:tc>
          <w:tcPr>
            <w:tcW w:w="2977" w:type="dxa"/>
          </w:tcPr>
          <w:p w14:paraId="7A4C8D9F"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0.00</w:t>
            </w:r>
          </w:p>
        </w:tc>
      </w:tr>
      <w:tr w:rsidR="003931E3" w:rsidRPr="00C83AFB" w14:paraId="139578E4"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2B7738B9" w14:textId="77777777" w:rsidR="003931E3" w:rsidRPr="00C83AFB" w:rsidRDefault="003931E3" w:rsidP="003931E3">
            <w:pPr>
              <w:rPr>
                <w:rFonts w:cs="Arial"/>
                <w:szCs w:val="22"/>
              </w:rPr>
            </w:pPr>
            <w:r w:rsidRPr="00C83AFB">
              <w:rPr>
                <w:rFonts w:cs="Arial"/>
                <w:szCs w:val="22"/>
              </w:rPr>
              <w:t>Surgery and medical procedures</w:t>
            </w:r>
          </w:p>
        </w:tc>
        <w:tc>
          <w:tcPr>
            <w:tcW w:w="2840" w:type="dxa"/>
          </w:tcPr>
          <w:p w14:paraId="17C7CBCE"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0.01</w:t>
            </w:r>
          </w:p>
        </w:tc>
        <w:tc>
          <w:tcPr>
            <w:tcW w:w="2977" w:type="dxa"/>
          </w:tcPr>
          <w:p w14:paraId="66E252F5"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0.03</w:t>
            </w:r>
          </w:p>
        </w:tc>
      </w:tr>
      <w:tr w:rsidR="003931E3" w:rsidRPr="00C83AFB" w14:paraId="1DC1BC03" w14:textId="77777777" w:rsidTr="00C01D80">
        <w:tc>
          <w:tcPr>
            <w:cnfStyle w:val="001000000000" w:firstRow="0" w:lastRow="0" w:firstColumn="1" w:lastColumn="0" w:oddVBand="0" w:evenVBand="0" w:oddHBand="0" w:evenHBand="0" w:firstRowFirstColumn="0" w:firstRowLastColumn="0" w:lastRowFirstColumn="0" w:lastRowLastColumn="0"/>
            <w:tcW w:w="2830" w:type="dxa"/>
          </w:tcPr>
          <w:p w14:paraId="684B8E47" w14:textId="77777777" w:rsidR="003931E3" w:rsidRPr="00C83AFB" w:rsidRDefault="003931E3" w:rsidP="003931E3">
            <w:pPr>
              <w:rPr>
                <w:rFonts w:cs="Arial"/>
                <w:szCs w:val="22"/>
              </w:rPr>
            </w:pPr>
            <w:r w:rsidRPr="00C83AFB">
              <w:rPr>
                <w:rFonts w:cs="Arial"/>
                <w:szCs w:val="22"/>
              </w:rPr>
              <w:t>Vascular disorders</w:t>
            </w:r>
          </w:p>
        </w:tc>
        <w:tc>
          <w:tcPr>
            <w:tcW w:w="2840" w:type="dxa"/>
          </w:tcPr>
          <w:p w14:paraId="359E36A0"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0.43</w:t>
            </w:r>
          </w:p>
        </w:tc>
        <w:tc>
          <w:tcPr>
            <w:tcW w:w="2977" w:type="dxa"/>
          </w:tcPr>
          <w:p w14:paraId="11A26322" w14:textId="77777777" w:rsidR="003931E3" w:rsidRPr="00C83AFB" w:rsidRDefault="003931E3" w:rsidP="003931E3">
            <w:pPr>
              <w:cnfStyle w:val="000000000000" w:firstRow="0" w:lastRow="0" w:firstColumn="0" w:lastColumn="0" w:oddVBand="0" w:evenVBand="0" w:oddHBand="0" w:evenHBand="0" w:firstRowFirstColumn="0" w:firstRowLastColumn="0" w:lastRowFirstColumn="0" w:lastRowLastColumn="0"/>
              <w:rPr>
                <w:rFonts w:cs="Arial"/>
                <w:szCs w:val="22"/>
              </w:rPr>
            </w:pPr>
            <w:r w:rsidRPr="00C83AFB">
              <w:rPr>
                <w:rFonts w:cs="Arial"/>
                <w:szCs w:val="22"/>
              </w:rPr>
              <w:t>0.42</w:t>
            </w:r>
          </w:p>
        </w:tc>
      </w:tr>
    </w:tbl>
    <w:p w14:paraId="2C567C75" w14:textId="77777777" w:rsidR="0033578E" w:rsidRPr="00051F30" w:rsidRDefault="0033578E" w:rsidP="00C01D80">
      <w:pPr>
        <w:pStyle w:val="Heading5"/>
      </w:pPr>
      <w:r w:rsidRPr="00051F30">
        <w:t>Other studies</w:t>
      </w:r>
    </w:p>
    <w:p w14:paraId="0CF16548" w14:textId="77777777" w:rsidR="0033578E" w:rsidRPr="00051F30" w:rsidRDefault="0033578E" w:rsidP="003931E3">
      <w:pPr>
        <w:pStyle w:val="Heading6"/>
      </w:pPr>
      <w:r w:rsidRPr="00051F30">
        <w:t>Study FIM01</w:t>
      </w:r>
    </w:p>
    <w:p w14:paraId="23C7274B" w14:textId="77777777" w:rsidR="0033578E" w:rsidRPr="00051F30" w:rsidRDefault="0033578E" w:rsidP="0033578E">
      <w:pPr>
        <w:autoSpaceDE w:val="0"/>
        <w:autoSpaceDN w:val="0"/>
        <w:adjustRightInd w:val="0"/>
        <w:rPr>
          <w:rFonts w:cs="Arial"/>
        </w:rPr>
      </w:pPr>
      <w:r w:rsidRPr="00051F30">
        <w:rPr>
          <w:rFonts w:cs="Arial"/>
        </w:rPr>
        <w:t xml:space="preserve">During </w:t>
      </w:r>
      <w:r w:rsidR="00CD0E09">
        <w:rPr>
          <w:rFonts w:cs="Arial"/>
        </w:rPr>
        <w:t>Study FI</w:t>
      </w:r>
      <w:r w:rsidRPr="00051F30">
        <w:rPr>
          <w:rFonts w:cs="Arial"/>
        </w:rPr>
        <w:t xml:space="preserve">M01 there were a total of 23 SAEs, 14 in the </w:t>
      </w:r>
      <w:r w:rsidR="00CD0E09">
        <w:rPr>
          <w:rFonts w:cs="Arial"/>
        </w:rPr>
        <w:t>Fluzone High-Dose</w:t>
      </w:r>
      <w:r w:rsidRPr="00051F30">
        <w:rPr>
          <w:rFonts w:cs="Arial"/>
        </w:rPr>
        <w:t xml:space="preserve"> and 9 in the Fluzone treated groups. None of these was considered related to treatment. There was one death from myocardial infarction 169 days post-vaccination which was not considered due to treatment.</w:t>
      </w:r>
    </w:p>
    <w:p w14:paraId="2A3B1B33" w14:textId="66DCB1A8" w:rsidR="0033578E" w:rsidRPr="00051F30" w:rsidRDefault="0033578E" w:rsidP="00C01D80">
      <w:pPr>
        <w:pStyle w:val="Heading6"/>
      </w:pPr>
      <w:r w:rsidRPr="00051F30">
        <w:t>Study FIM07</w:t>
      </w:r>
    </w:p>
    <w:p w14:paraId="388F3AC9" w14:textId="77777777" w:rsidR="0033578E" w:rsidRPr="00051F30" w:rsidRDefault="0033578E" w:rsidP="0033578E">
      <w:pPr>
        <w:autoSpaceDE w:val="0"/>
        <w:autoSpaceDN w:val="0"/>
        <w:adjustRightInd w:val="0"/>
        <w:rPr>
          <w:rFonts w:cs="Arial"/>
        </w:rPr>
      </w:pPr>
      <w:r w:rsidRPr="00051F30">
        <w:rPr>
          <w:rFonts w:cs="Arial"/>
        </w:rPr>
        <w:t xml:space="preserve">A total of 8.1% of </w:t>
      </w:r>
      <w:r w:rsidR="00CD0E09">
        <w:rPr>
          <w:rFonts w:cs="Arial"/>
        </w:rPr>
        <w:t>Fluzone High-Dose</w:t>
      </w:r>
      <w:r w:rsidRPr="00051F30">
        <w:rPr>
          <w:rFonts w:cs="Arial"/>
        </w:rPr>
        <w:t xml:space="preserve"> treated subjects and 7.7% of Fluzone treated subjects suffered SAEs in </w:t>
      </w:r>
      <w:r w:rsidR="00CD0E09">
        <w:rPr>
          <w:rFonts w:cs="Arial"/>
        </w:rPr>
        <w:t>Study FI</w:t>
      </w:r>
      <w:r w:rsidRPr="00051F30">
        <w:rPr>
          <w:rFonts w:cs="Arial"/>
        </w:rPr>
        <w:t>M07.</w:t>
      </w:r>
      <w:r w:rsidR="006A3980">
        <w:rPr>
          <w:rFonts w:cs="Arial"/>
        </w:rPr>
        <w:t xml:space="preserve"> </w:t>
      </w:r>
      <w:r w:rsidRPr="00051F30">
        <w:rPr>
          <w:rFonts w:cs="Arial"/>
        </w:rPr>
        <w:t xml:space="preserve">Cardiac Disorders and Infections were the most frequently reported SOC, each occurring in 1.1% of </w:t>
      </w:r>
      <w:r w:rsidR="00CD0E09">
        <w:rPr>
          <w:rFonts w:cs="Arial"/>
        </w:rPr>
        <w:t>Fluzone High-Dose</w:t>
      </w:r>
      <w:r w:rsidRPr="00051F30">
        <w:rPr>
          <w:rFonts w:cs="Arial"/>
        </w:rPr>
        <w:t xml:space="preserve"> treated subjects. Among these cardiac failure and pneumonia were the most common conditions, occurring in 0.3% and 0.2% </w:t>
      </w:r>
      <w:r w:rsidRPr="00051F30">
        <w:rPr>
          <w:rFonts w:cs="Arial"/>
        </w:rPr>
        <w:lastRenderedPageBreak/>
        <w:t xml:space="preserve">of </w:t>
      </w:r>
      <w:r w:rsidR="00CD0E09">
        <w:rPr>
          <w:rFonts w:cs="Arial"/>
        </w:rPr>
        <w:t>Fluzone High-Dose</w:t>
      </w:r>
      <w:r w:rsidRPr="00051F30">
        <w:rPr>
          <w:rFonts w:cs="Arial"/>
        </w:rPr>
        <w:t xml:space="preserve"> subjects respectively. There were 3 SAEs considered related to treatment in the </w:t>
      </w:r>
      <w:r w:rsidR="00CD0E09">
        <w:rPr>
          <w:rFonts w:cs="Arial"/>
        </w:rPr>
        <w:t>Fluzone High-Dose</w:t>
      </w:r>
      <w:r w:rsidRPr="00051F30">
        <w:rPr>
          <w:rFonts w:cs="Arial"/>
        </w:rPr>
        <w:t xml:space="preserve"> group. </w:t>
      </w:r>
    </w:p>
    <w:p w14:paraId="69CF00E4" w14:textId="5EF8B69F" w:rsidR="0033578E" w:rsidRPr="00051F30" w:rsidRDefault="0033578E" w:rsidP="0033578E">
      <w:pPr>
        <w:autoSpaceDE w:val="0"/>
        <w:autoSpaceDN w:val="0"/>
        <w:adjustRightInd w:val="0"/>
        <w:rPr>
          <w:rFonts w:cs="Arial"/>
        </w:rPr>
      </w:pPr>
      <w:r w:rsidRPr="00051F30">
        <w:rPr>
          <w:rFonts w:cs="Arial"/>
        </w:rPr>
        <w:t xml:space="preserve">There were 31 (0.5%) deaths in the </w:t>
      </w:r>
      <w:r w:rsidR="00CD0E09">
        <w:rPr>
          <w:rFonts w:cs="Arial"/>
        </w:rPr>
        <w:t>Fluzone High-Dose</w:t>
      </w:r>
      <w:r w:rsidRPr="00051F30">
        <w:rPr>
          <w:rFonts w:cs="Arial"/>
        </w:rPr>
        <w:t xml:space="preserve"> treatment group and 12 (0.4%) deaths in the Fluzone treatment group. None of these were considered related to treatment.</w:t>
      </w:r>
    </w:p>
    <w:p w14:paraId="45621CCB" w14:textId="77777777" w:rsidR="0033578E" w:rsidRPr="00051F30" w:rsidRDefault="0033578E" w:rsidP="00C01D80">
      <w:pPr>
        <w:pStyle w:val="Heading4"/>
      </w:pPr>
      <w:bookmarkStart w:id="138" w:name="_Toc241374325"/>
      <w:bookmarkStart w:id="139" w:name="_Ref272333477"/>
      <w:bookmarkStart w:id="140" w:name="_Toc272414667"/>
      <w:bookmarkStart w:id="141" w:name="_Toc290846305"/>
      <w:bookmarkStart w:id="142" w:name="_Toc290888842"/>
      <w:bookmarkStart w:id="143" w:name="_Toc370580783"/>
      <w:r w:rsidRPr="00051F30">
        <w:t>Discontinuation due to adverse events</w:t>
      </w:r>
      <w:bookmarkEnd w:id="138"/>
      <w:bookmarkEnd w:id="139"/>
      <w:bookmarkEnd w:id="140"/>
      <w:bookmarkEnd w:id="141"/>
      <w:bookmarkEnd w:id="142"/>
      <w:bookmarkEnd w:id="143"/>
    </w:p>
    <w:p w14:paraId="5FF77C26" w14:textId="77777777" w:rsidR="0033578E" w:rsidRPr="00051F30" w:rsidRDefault="0033578E" w:rsidP="00C01D80">
      <w:pPr>
        <w:pStyle w:val="Heading5"/>
      </w:pPr>
      <w:r w:rsidRPr="00051F30">
        <w:t>Pivotal studies</w:t>
      </w:r>
    </w:p>
    <w:p w14:paraId="3462A6EE" w14:textId="77777777" w:rsidR="0033578E" w:rsidRPr="00051F30" w:rsidRDefault="0033578E" w:rsidP="00C01D80">
      <w:pPr>
        <w:pStyle w:val="Heading6"/>
      </w:pPr>
      <w:r w:rsidRPr="00051F30">
        <w:t>Study FIM05</w:t>
      </w:r>
    </w:p>
    <w:p w14:paraId="47AACC3B" w14:textId="77777777" w:rsidR="0033578E" w:rsidRPr="00051F30" w:rsidRDefault="0033578E" w:rsidP="0033578E">
      <w:pPr>
        <w:rPr>
          <w:rFonts w:cs="Arial"/>
        </w:rPr>
      </w:pPr>
      <w:r w:rsidRPr="00051F30">
        <w:rPr>
          <w:rFonts w:cs="Arial"/>
        </w:rPr>
        <w:t xml:space="preserve">Withdrawal from the study due to adverse events occurred in 0.6% of the </w:t>
      </w:r>
      <w:r w:rsidR="00CD0E09">
        <w:rPr>
          <w:rFonts w:cs="Arial"/>
        </w:rPr>
        <w:t>Fluzone High-Dose</w:t>
      </w:r>
      <w:r w:rsidRPr="00051F30">
        <w:rPr>
          <w:rFonts w:cs="Arial"/>
        </w:rPr>
        <w:t xml:space="preserve"> treated arm and 0.9% of the Fluzone treated arm in </w:t>
      </w:r>
      <w:r w:rsidR="00CD0E09">
        <w:rPr>
          <w:rFonts w:cs="Arial"/>
        </w:rPr>
        <w:t>Study FI</w:t>
      </w:r>
      <w:r w:rsidRPr="00051F30">
        <w:rPr>
          <w:rFonts w:cs="Arial"/>
        </w:rPr>
        <w:t>M05. All of these adverse events were considered unrelated to treatment.</w:t>
      </w:r>
    </w:p>
    <w:p w14:paraId="7E69D01E" w14:textId="77777777" w:rsidR="0033578E" w:rsidRPr="00051F30" w:rsidRDefault="0033578E" w:rsidP="00C01D80">
      <w:pPr>
        <w:pStyle w:val="Heading6"/>
      </w:pPr>
      <w:r w:rsidRPr="00051F30">
        <w:t>Study FIM12</w:t>
      </w:r>
    </w:p>
    <w:p w14:paraId="3C620330" w14:textId="77777777" w:rsidR="0033578E" w:rsidRPr="00051F30" w:rsidRDefault="0033578E" w:rsidP="0033578E">
      <w:pPr>
        <w:rPr>
          <w:rFonts w:cs="Arial"/>
        </w:rPr>
      </w:pPr>
      <w:r w:rsidRPr="00051F30">
        <w:rPr>
          <w:rFonts w:cs="Arial"/>
        </w:rPr>
        <w:t xml:space="preserve">Withdrawal from the study occurred in 0.62% of </w:t>
      </w:r>
      <w:r w:rsidR="00CD0E09">
        <w:rPr>
          <w:rFonts w:cs="Arial"/>
        </w:rPr>
        <w:t>Fluzone High-Dose</w:t>
      </w:r>
      <w:r w:rsidRPr="00051F30">
        <w:rPr>
          <w:rFonts w:cs="Arial"/>
        </w:rPr>
        <w:t xml:space="preserve"> treated and 0.64% of Fluzone treated subjects in </w:t>
      </w:r>
      <w:r w:rsidR="00CD0E09">
        <w:rPr>
          <w:rFonts w:cs="Arial"/>
        </w:rPr>
        <w:t>Study FI</w:t>
      </w:r>
      <w:r w:rsidRPr="00051F30">
        <w:rPr>
          <w:rFonts w:cs="Arial"/>
        </w:rPr>
        <w:t>M12 due to SAEs. None of these SAEs were considered related to treatment.</w:t>
      </w:r>
    </w:p>
    <w:p w14:paraId="17211EAF" w14:textId="77777777" w:rsidR="0033578E" w:rsidRPr="00051F30" w:rsidRDefault="0033578E" w:rsidP="0033578E">
      <w:pPr>
        <w:rPr>
          <w:rFonts w:cs="Arial"/>
        </w:rPr>
      </w:pPr>
      <w:r w:rsidRPr="00051F30">
        <w:rPr>
          <w:rFonts w:cs="Arial"/>
        </w:rPr>
        <w:t xml:space="preserve">Three subjects in the </w:t>
      </w:r>
      <w:r w:rsidR="00CD0E09">
        <w:rPr>
          <w:rFonts w:cs="Arial"/>
        </w:rPr>
        <w:t>Fluzone High-Dose</w:t>
      </w:r>
      <w:r w:rsidR="00F05C2C">
        <w:rPr>
          <w:rFonts w:cs="Arial"/>
        </w:rPr>
        <w:t xml:space="preserve"> </w:t>
      </w:r>
      <w:r w:rsidRPr="00051F30">
        <w:rPr>
          <w:rFonts w:cs="Arial"/>
        </w:rPr>
        <w:t xml:space="preserve">and 1 subject in the Fluzone group withdrew from the study due to non-SAE adverse events. </w:t>
      </w:r>
    </w:p>
    <w:p w14:paraId="6CA2D5AC" w14:textId="77777777" w:rsidR="0033578E" w:rsidRPr="00815332" w:rsidRDefault="0033578E" w:rsidP="00C01D80">
      <w:pPr>
        <w:pStyle w:val="Heading5"/>
      </w:pPr>
      <w:r w:rsidRPr="00C01D80">
        <w:t>Other</w:t>
      </w:r>
      <w:r w:rsidRPr="00051F30">
        <w:t xml:space="preserve"> studies</w:t>
      </w:r>
    </w:p>
    <w:p w14:paraId="3DEC06DE" w14:textId="77777777" w:rsidR="0033578E" w:rsidRPr="00051F30" w:rsidRDefault="0033578E" w:rsidP="00C01D80">
      <w:pPr>
        <w:pStyle w:val="Heading6"/>
      </w:pPr>
      <w:r w:rsidRPr="00051F30">
        <w:t>Study FIM01</w:t>
      </w:r>
    </w:p>
    <w:p w14:paraId="22D05555" w14:textId="77777777" w:rsidR="0033578E" w:rsidRPr="00051F30" w:rsidRDefault="0033578E" w:rsidP="0033578E">
      <w:pPr>
        <w:autoSpaceDE w:val="0"/>
        <w:autoSpaceDN w:val="0"/>
        <w:adjustRightInd w:val="0"/>
        <w:rPr>
          <w:rFonts w:cs="Arial"/>
        </w:rPr>
      </w:pPr>
      <w:r w:rsidRPr="00051F30">
        <w:rPr>
          <w:rFonts w:cs="Arial"/>
        </w:rPr>
        <w:t>Other than one subject who died, no other subject discontinued Study FIM01 due to an adverse event.</w:t>
      </w:r>
    </w:p>
    <w:p w14:paraId="2D6659D3" w14:textId="77777777" w:rsidR="0033578E" w:rsidRPr="00051F30" w:rsidRDefault="0033578E" w:rsidP="00C01D80">
      <w:pPr>
        <w:pStyle w:val="Heading6"/>
      </w:pPr>
      <w:r w:rsidRPr="00051F30">
        <w:t>Study FIM07</w:t>
      </w:r>
    </w:p>
    <w:p w14:paraId="4A90B31E" w14:textId="77777777" w:rsidR="0033578E" w:rsidRPr="00051F30" w:rsidRDefault="0033578E" w:rsidP="0033578E">
      <w:pPr>
        <w:autoSpaceDE w:val="0"/>
        <w:autoSpaceDN w:val="0"/>
        <w:adjustRightInd w:val="0"/>
        <w:rPr>
          <w:rFonts w:cs="Arial"/>
        </w:rPr>
      </w:pPr>
      <w:r w:rsidRPr="00051F30">
        <w:rPr>
          <w:rFonts w:cs="Arial"/>
        </w:rPr>
        <w:t xml:space="preserve">A total of 0.6% of </w:t>
      </w:r>
      <w:r w:rsidR="00CD0E09">
        <w:rPr>
          <w:rFonts w:cs="Arial"/>
        </w:rPr>
        <w:t>Fluzone High-Dose</w:t>
      </w:r>
      <w:r w:rsidRPr="00051F30">
        <w:rPr>
          <w:rFonts w:cs="Arial"/>
        </w:rPr>
        <w:t xml:space="preserve"> and Fluzone treated subjects withdrew from </w:t>
      </w:r>
      <w:r w:rsidR="00CD0E09">
        <w:rPr>
          <w:rFonts w:cs="Arial"/>
        </w:rPr>
        <w:t>Study FI</w:t>
      </w:r>
      <w:r w:rsidRPr="00051F30">
        <w:rPr>
          <w:rFonts w:cs="Arial"/>
        </w:rPr>
        <w:t xml:space="preserve">M07 due to SAEs. None of these were considered related to treatment. No withdrawals due to non-SAE adverse events occurred in the </w:t>
      </w:r>
      <w:r w:rsidR="00CD0E09">
        <w:rPr>
          <w:rFonts w:cs="Arial"/>
        </w:rPr>
        <w:t>Fluzone High-Dose</w:t>
      </w:r>
      <w:r w:rsidRPr="00051F30">
        <w:rPr>
          <w:rFonts w:cs="Arial"/>
        </w:rPr>
        <w:t xml:space="preserve"> group.</w:t>
      </w:r>
    </w:p>
    <w:p w14:paraId="2C3459F8" w14:textId="77777777" w:rsidR="0033578E" w:rsidRPr="00051F30" w:rsidRDefault="0033578E" w:rsidP="00C01D80">
      <w:pPr>
        <w:pStyle w:val="Heading3"/>
      </w:pPr>
      <w:bookmarkStart w:id="144" w:name="_Toc241374321"/>
      <w:bookmarkStart w:id="145" w:name="_Ref271044780"/>
      <w:bookmarkStart w:id="146" w:name="_Ref271196640"/>
      <w:bookmarkStart w:id="147" w:name="_Ref272333085"/>
      <w:bookmarkStart w:id="148" w:name="_Toc272414668"/>
      <w:bookmarkStart w:id="149" w:name="_Toc290846306"/>
      <w:bookmarkStart w:id="150" w:name="_Toc290888843"/>
      <w:bookmarkStart w:id="151" w:name="_Toc370580784"/>
      <w:bookmarkStart w:id="152" w:name="_Toc522542368"/>
      <w:r w:rsidRPr="00051F30">
        <w:t>Laboratory tests</w:t>
      </w:r>
      <w:bookmarkEnd w:id="144"/>
      <w:bookmarkEnd w:id="145"/>
      <w:bookmarkEnd w:id="146"/>
      <w:bookmarkEnd w:id="147"/>
      <w:bookmarkEnd w:id="148"/>
      <w:bookmarkEnd w:id="149"/>
      <w:bookmarkEnd w:id="150"/>
      <w:bookmarkEnd w:id="151"/>
      <w:bookmarkEnd w:id="152"/>
    </w:p>
    <w:p w14:paraId="6F6C514A" w14:textId="77777777" w:rsidR="0033578E" w:rsidRPr="00051F30" w:rsidRDefault="0033578E" w:rsidP="00C01D80">
      <w:r w:rsidRPr="00051F30">
        <w:t>No laboratory assessment was performed.</w:t>
      </w:r>
    </w:p>
    <w:p w14:paraId="297767B0" w14:textId="1CE6C5E1" w:rsidR="0033578E" w:rsidRPr="00051F30" w:rsidRDefault="0033578E" w:rsidP="00C01D80">
      <w:pPr>
        <w:pStyle w:val="Heading3"/>
      </w:pPr>
      <w:bookmarkStart w:id="153" w:name="_Toc370580785"/>
      <w:bookmarkStart w:id="154" w:name="_Toc522542369"/>
      <w:r w:rsidRPr="00051F30">
        <w:t xml:space="preserve">Adverse </w:t>
      </w:r>
      <w:r w:rsidR="00C83AFB" w:rsidRPr="00051F30">
        <w:t>events of special interest</w:t>
      </w:r>
      <w:bookmarkEnd w:id="153"/>
      <w:bookmarkEnd w:id="154"/>
    </w:p>
    <w:p w14:paraId="64D1A2AD" w14:textId="77777777" w:rsidR="0033578E" w:rsidRPr="00815332" w:rsidRDefault="0033578E" w:rsidP="00C01D80">
      <w:pPr>
        <w:pStyle w:val="Heading4"/>
      </w:pPr>
      <w:r w:rsidRPr="00051F30">
        <w:t>Pivotal studies</w:t>
      </w:r>
    </w:p>
    <w:p w14:paraId="595ABB96" w14:textId="0682D0ED" w:rsidR="0033578E" w:rsidRDefault="009B0270" w:rsidP="00C01D80">
      <w:pPr>
        <w:pStyle w:val="Heading5"/>
      </w:pPr>
      <w:r>
        <w:t xml:space="preserve">Study </w:t>
      </w:r>
      <w:r w:rsidR="0033578E" w:rsidRPr="00051F30">
        <w:t>FIM12</w:t>
      </w:r>
    </w:p>
    <w:p w14:paraId="08DB432F" w14:textId="17E338A1" w:rsidR="00C01D80" w:rsidRPr="00051F30" w:rsidRDefault="00C01D80" w:rsidP="00C01D80">
      <w:pPr>
        <w:rPr>
          <w:rFonts w:cs="Arial"/>
        </w:rPr>
      </w:pPr>
      <w:r w:rsidRPr="00051F30">
        <w:rPr>
          <w:rFonts w:cs="Arial"/>
        </w:rPr>
        <w:t xml:space="preserve">In </w:t>
      </w:r>
      <w:r w:rsidR="00036BBD">
        <w:rPr>
          <w:rFonts w:cs="Arial"/>
        </w:rPr>
        <w:t xml:space="preserve">Study </w:t>
      </w:r>
      <w:r w:rsidRPr="00C01D80">
        <w:rPr>
          <w:rFonts w:cs="Arial"/>
        </w:rPr>
        <w:t>FIM12</w:t>
      </w:r>
      <w:r w:rsidRPr="00051F30">
        <w:rPr>
          <w:rFonts w:cs="Arial"/>
        </w:rPr>
        <w:t xml:space="preserve"> there was 1 case of </w:t>
      </w:r>
      <w:r w:rsidR="00F05C2C" w:rsidRPr="00051F30">
        <w:rPr>
          <w:rFonts w:cs="Arial"/>
        </w:rPr>
        <w:t>Guillain</w:t>
      </w:r>
      <w:r w:rsidRPr="00051F30">
        <w:rPr>
          <w:rFonts w:cs="Arial"/>
        </w:rPr>
        <w:t>-</w:t>
      </w:r>
      <w:r w:rsidR="00036BBD" w:rsidRPr="00051F30">
        <w:rPr>
          <w:rFonts w:cs="Arial"/>
        </w:rPr>
        <w:t>Barr</w:t>
      </w:r>
      <w:r w:rsidR="00036BBD">
        <w:rPr>
          <w:rFonts w:cs="Arial"/>
        </w:rPr>
        <w:t>é</w:t>
      </w:r>
      <w:r w:rsidR="00036BBD" w:rsidRPr="00051F30">
        <w:rPr>
          <w:rFonts w:cs="Arial"/>
        </w:rPr>
        <w:t xml:space="preserve"> </w:t>
      </w:r>
      <w:r w:rsidRPr="00051F30">
        <w:rPr>
          <w:rFonts w:cs="Arial"/>
        </w:rPr>
        <w:t>syndrome in the Fluzone treatment arm 96</w:t>
      </w:r>
      <w:r w:rsidR="00036BBD">
        <w:rPr>
          <w:rFonts w:cs="Arial"/>
        </w:rPr>
        <w:t> </w:t>
      </w:r>
      <w:r w:rsidRPr="00051F30">
        <w:rPr>
          <w:rFonts w:cs="Arial"/>
        </w:rPr>
        <w:t>days post vaccination, which was reported as not related to treatment</w:t>
      </w:r>
      <w:r>
        <w:rPr>
          <w:rFonts w:cs="Arial"/>
        </w:rPr>
        <w:t xml:space="preserve"> (Table </w:t>
      </w:r>
      <w:r w:rsidR="00F05C2C">
        <w:rPr>
          <w:rFonts w:cs="Arial"/>
        </w:rPr>
        <w:t>29</w:t>
      </w:r>
      <w:r>
        <w:rPr>
          <w:rFonts w:cs="Arial"/>
        </w:rPr>
        <w:t>)</w:t>
      </w:r>
      <w:r w:rsidRPr="00051F30">
        <w:rPr>
          <w:rFonts w:cs="Arial"/>
        </w:rPr>
        <w:t xml:space="preserve">. There were 5 cases of Bell’s palsy in the Fluzone and 1 case in the </w:t>
      </w:r>
      <w:r>
        <w:rPr>
          <w:rFonts w:cs="Arial"/>
        </w:rPr>
        <w:t>Fluzone High-Dose</w:t>
      </w:r>
      <w:r w:rsidRPr="00051F30">
        <w:rPr>
          <w:rFonts w:cs="Arial"/>
        </w:rPr>
        <w:t xml:space="preserve"> treatment arms respectively, all of which were reported as unrelated to treatment. One case of </w:t>
      </w:r>
      <w:r w:rsidR="00036BBD">
        <w:rPr>
          <w:rFonts w:cs="Arial"/>
        </w:rPr>
        <w:t>e</w:t>
      </w:r>
      <w:r w:rsidR="00036BBD" w:rsidRPr="00051F30">
        <w:rPr>
          <w:rFonts w:cs="Arial"/>
        </w:rPr>
        <w:t xml:space="preserve">ncephalomyelitis </w:t>
      </w:r>
      <w:r w:rsidRPr="00051F30">
        <w:rPr>
          <w:rFonts w:cs="Arial"/>
        </w:rPr>
        <w:t xml:space="preserve">was considered related to study treatment in the </w:t>
      </w:r>
      <w:r>
        <w:rPr>
          <w:rFonts w:cs="Arial"/>
        </w:rPr>
        <w:t>Fluzone High-Dose</w:t>
      </w:r>
      <w:r w:rsidRPr="00051F30">
        <w:rPr>
          <w:rFonts w:cs="Arial"/>
        </w:rPr>
        <w:t xml:space="preserve"> treatment group.</w:t>
      </w:r>
    </w:p>
    <w:p w14:paraId="5EAD25CF" w14:textId="77777777" w:rsidR="00C01D80" w:rsidRPr="00051F30" w:rsidRDefault="00C01D80" w:rsidP="00C01D80">
      <w:pPr>
        <w:rPr>
          <w:rFonts w:cs="Arial"/>
        </w:rPr>
      </w:pPr>
      <w:r w:rsidRPr="00051F30">
        <w:rPr>
          <w:rFonts w:cs="Arial"/>
        </w:rPr>
        <w:t xml:space="preserve">The single case of Stevens-Johnson syndrome in the </w:t>
      </w:r>
      <w:r>
        <w:rPr>
          <w:rFonts w:cs="Arial"/>
        </w:rPr>
        <w:t>Fluzone High-Dose</w:t>
      </w:r>
      <w:r w:rsidRPr="00051F30">
        <w:rPr>
          <w:rFonts w:cs="Arial"/>
        </w:rPr>
        <w:t xml:space="preserve"> arm was reported as unrelated to study treatment as the patient received a sulphamethoxazole/trimethoprim. The subject has a known allergy to sulphur containing medications.</w:t>
      </w:r>
    </w:p>
    <w:p w14:paraId="339057D5" w14:textId="4C8CC67D" w:rsidR="00C01D80" w:rsidRDefault="00C01D80" w:rsidP="00C01D80">
      <w:pPr>
        <w:pStyle w:val="Tabletitle"/>
      </w:pPr>
      <w:bookmarkStart w:id="155" w:name="_Toc370576221"/>
      <w:r>
        <w:lastRenderedPageBreak/>
        <w:t xml:space="preserve">Table </w:t>
      </w:r>
      <w:r w:rsidR="00F05C2C">
        <w:t>29</w:t>
      </w:r>
      <w:r>
        <w:t xml:space="preserve">: </w:t>
      </w:r>
      <w:r w:rsidRPr="00051F30">
        <w:t xml:space="preserve">Comparative rate of </w:t>
      </w:r>
      <w:r w:rsidR="00036BBD" w:rsidRPr="00051F30">
        <w:t xml:space="preserve">adverse events of special interest </w:t>
      </w:r>
      <w:r w:rsidRPr="00051F30">
        <w:t xml:space="preserve">(AESI) in </w:t>
      </w:r>
      <w:r>
        <w:t>Fluzone High-Dose</w:t>
      </w:r>
      <w:r w:rsidRPr="00051F30">
        <w:t xml:space="preserve"> and Fluzone treated subjects in Study FIM12</w:t>
      </w:r>
      <w:bookmarkEnd w:id="155"/>
    </w:p>
    <w:p w14:paraId="438653DB" w14:textId="77777777" w:rsidR="0033578E" w:rsidRPr="00051F30" w:rsidRDefault="0033578E" w:rsidP="00C01D80">
      <w:r w:rsidRPr="006962D0">
        <w:rPr>
          <w:noProof/>
          <w:bdr w:val="single" w:sz="4" w:space="0" w:color="auto"/>
          <w:lang w:eastAsia="en-AU"/>
        </w:rPr>
        <w:drawing>
          <wp:inline distT="0" distB="0" distL="0" distR="0" wp14:anchorId="06CAAC72" wp14:editId="108A6474">
            <wp:extent cx="5805055" cy="2360460"/>
            <wp:effectExtent l="0" t="0" r="5715" b="1905"/>
            <wp:docPr id="16" name="Picture 1" descr="Comparative rate of Adverse Events of Special Interest (AESI) in Fluzone High-Dose and Fluzone treated subjects in Study F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lum bright="-20000" contrast="40000"/>
                    </a:blip>
                    <a:srcRect/>
                    <a:stretch>
                      <a:fillRect/>
                    </a:stretch>
                  </pic:blipFill>
                  <pic:spPr bwMode="auto">
                    <a:xfrm>
                      <a:off x="0" y="0"/>
                      <a:ext cx="5816259" cy="2365016"/>
                    </a:xfrm>
                    <a:prstGeom prst="rect">
                      <a:avLst/>
                    </a:prstGeom>
                    <a:noFill/>
                    <a:ln w="9525">
                      <a:noFill/>
                      <a:miter lim="800000"/>
                      <a:headEnd/>
                      <a:tailEnd/>
                    </a:ln>
                  </pic:spPr>
                </pic:pic>
              </a:graphicData>
            </a:graphic>
          </wp:inline>
        </w:drawing>
      </w:r>
    </w:p>
    <w:p w14:paraId="134BCB5B" w14:textId="0AB4FD48" w:rsidR="0033578E" w:rsidRDefault="0033578E" w:rsidP="00B203E1">
      <w:pPr>
        <w:pStyle w:val="Heading5"/>
        <w:tabs>
          <w:tab w:val="clear" w:pos="2609"/>
          <w:tab w:val="num" w:pos="1276"/>
        </w:tabs>
      </w:pPr>
      <w:r>
        <w:tab/>
      </w:r>
      <w:r w:rsidR="00B203E1">
        <w:t xml:space="preserve">Study </w:t>
      </w:r>
      <w:r w:rsidRPr="00051F30">
        <w:t>FIM07</w:t>
      </w:r>
    </w:p>
    <w:p w14:paraId="5DC530E2" w14:textId="03002FF0" w:rsidR="001E41BA" w:rsidRPr="00051F30" w:rsidRDefault="001E41BA" w:rsidP="001E41BA">
      <w:r w:rsidRPr="001E41BA">
        <w:rPr>
          <w:rFonts w:cs="Arial"/>
        </w:rPr>
        <w:t xml:space="preserve">In </w:t>
      </w:r>
      <w:r w:rsidR="00036BBD">
        <w:rPr>
          <w:rFonts w:cs="Arial"/>
        </w:rPr>
        <w:t xml:space="preserve">Study </w:t>
      </w:r>
      <w:r w:rsidRPr="001E41BA">
        <w:rPr>
          <w:rFonts w:cs="Arial"/>
        </w:rPr>
        <w:t>FIM07 there were no cases of Guillain-</w:t>
      </w:r>
      <w:r w:rsidR="00036BBD" w:rsidRPr="001E41BA">
        <w:rPr>
          <w:rFonts w:cs="Arial"/>
        </w:rPr>
        <w:t>Barr</w:t>
      </w:r>
      <w:r w:rsidR="00036BBD">
        <w:rPr>
          <w:rFonts w:cs="Arial"/>
        </w:rPr>
        <w:t>é</w:t>
      </w:r>
      <w:r w:rsidR="00036BBD" w:rsidRPr="001E41BA">
        <w:rPr>
          <w:rFonts w:cs="Arial"/>
        </w:rPr>
        <w:t xml:space="preserve"> </w:t>
      </w:r>
      <w:r w:rsidRPr="001E41BA">
        <w:rPr>
          <w:rFonts w:cs="Arial"/>
        </w:rPr>
        <w:t>syndrome reported in either treatment arm</w:t>
      </w:r>
      <w:r w:rsidR="00F05C2C">
        <w:rPr>
          <w:rFonts w:cs="Arial"/>
        </w:rPr>
        <w:t xml:space="preserve"> (Table 30)</w:t>
      </w:r>
      <w:r w:rsidRPr="001E41BA">
        <w:rPr>
          <w:rFonts w:cs="Arial"/>
        </w:rPr>
        <w:t>. Five cases of Bell’s</w:t>
      </w:r>
      <w:r w:rsidRPr="00051F30">
        <w:rPr>
          <w:rFonts w:cs="Arial"/>
        </w:rPr>
        <w:t xml:space="preserve"> palsy were reported, 3 in the </w:t>
      </w:r>
      <w:r>
        <w:rPr>
          <w:rFonts w:cs="Arial"/>
        </w:rPr>
        <w:t>Fluzone High-Dose</w:t>
      </w:r>
      <w:r w:rsidRPr="00051F30">
        <w:rPr>
          <w:rFonts w:cs="Arial"/>
        </w:rPr>
        <w:t xml:space="preserve"> and 2 in the Fluzone treated arms. One case was considered related to treatment in the Fluzone treatment arm.</w:t>
      </w:r>
    </w:p>
    <w:p w14:paraId="70F12B3C" w14:textId="4A3E40A5" w:rsidR="001E41BA" w:rsidRPr="00051F30" w:rsidRDefault="001E41BA" w:rsidP="001E41BA">
      <w:pPr>
        <w:pStyle w:val="Tabletitle"/>
      </w:pPr>
      <w:bookmarkStart w:id="156" w:name="_Toc370576222"/>
      <w:r>
        <w:t>Table 3</w:t>
      </w:r>
      <w:r w:rsidR="00F05C2C">
        <w:t>0</w:t>
      </w:r>
      <w:r w:rsidRPr="00051F30">
        <w:t>:</w:t>
      </w:r>
      <w:r>
        <w:t xml:space="preserve"> </w:t>
      </w:r>
      <w:r w:rsidRPr="00051F30">
        <w:t xml:space="preserve">Comparative rate of </w:t>
      </w:r>
      <w:r w:rsidR="00036BBD" w:rsidRPr="00051F30">
        <w:t xml:space="preserve">adverse events of special interest </w:t>
      </w:r>
      <w:r w:rsidRPr="00051F30">
        <w:t xml:space="preserve">(AESI) in </w:t>
      </w:r>
      <w:r>
        <w:t>Fluzone High-Dose</w:t>
      </w:r>
      <w:r w:rsidRPr="00051F30">
        <w:t xml:space="preserve"> and Fluzone treated subjects in Study FIM07</w:t>
      </w:r>
      <w:bookmarkEnd w:id="156"/>
    </w:p>
    <w:p w14:paraId="6F149488" w14:textId="77777777" w:rsidR="0033578E" w:rsidRPr="00051F30" w:rsidRDefault="0033578E" w:rsidP="0033578E">
      <w:pPr>
        <w:ind w:left="-180"/>
        <w:rPr>
          <w:rFonts w:cs="Arial"/>
          <w:b/>
        </w:rPr>
      </w:pPr>
      <w:r w:rsidRPr="00051F30">
        <w:rPr>
          <w:rFonts w:cs="Arial"/>
          <w:b/>
          <w:noProof/>
          <w:bdr w:val="single" w:sz="4" w:space="0" w:color="auto"/>
          <w:lang w:eastAsia="en-AU"/>
        </w:rPr>
        <w:drawing>
          <wp:inline distT="0" distB="0" distL="0" distR="0" wp14:anchorId="29A2BDF4" wp14:editId="42429A0C">
            <wp:extent cx="5666509" cy="2454202"/>
            <wp:effectExtent l="0" t="0" r="0" b="3810"/>
            <wp:docPr id="17" name="Picture 2" descr="Comparative rate of Adverse Events of Special Interest (AESI) in Fluzone High-Dose and Fluzone treated subjects in Study FI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lum bright="-20000" contrast="40000"/>
                    </a:blip>
                    <a:srcRect l="864" r="3970"/>
                    <a:stretch/>
                  </pic:blipFill>
                  <pic:spPr bwMode="auto">
                    <a:xfrm>
                      <a:off x="0" y="0"/>
                      <a:ext cx="5675769" cy="2458212"/>
                    </a:xfrm>
                    <a:prstGeom prst="rect">
                      <a:avLst/>
                    </a:prstGeom>
                    <a:noFill/>
                    <a:ln>
                      <a:noFill/>
                    </a:ln>
                    <a:extLst>
                      <a:ext uri="{53640926-AAD7-44D8-BBD7-CCE9431645EC}">
                        <a14:shadowObscured xmlns:a14="http://schemas.microsoft.com/office/drawing/2010/main"/>
                      </a:ext>
                    </a:extLst>
                  </pic:spPr>
                </pic:pic>
              </a:graphicData>
            </a:graphic>
          </wp:inline>
        </w:drawing>
      </w:r>
    </w:p>
    <w:p w14:paraId="03930971" w14:textId="77777777" w:rsidR="0033578E" w:rsidRPr="00051F30" w:rsidRDefault="0033578E" w:rsidP="001E41BA">
      <w:pPr>
        <w:pStyle w:val="Heading4"/>
      </w:pPr>
      <w:r w:rsidRPr="00051F30">
        <w:t>Other studies</w:t>
      </w:r>
    </w:p>
    <w:p w14:paraId="3ADDD40C" w14:textId="34689CB4" w:rsidR="0033578E" w:rsidRPr="00051F30" w:rsidRDefault="0033578E" w:rsidP="0033578E">
      <w:pPr>
        <w:autoSpaceDE w:val="0"/>
        <w:autoSpaceDN w:val="0"/>
        <w:adjustRightInd w:val="0"/>
        <w:rPr>
          <w:rFonts w:cs="Arial"/>
        </w:rPr>
      </w:pPr>
      <w:r w:rsidRPr="00051F30">
        <w:rPr>
          <w:rFonts w:cs="Arial"/>
        </w:rPr>
        <w:t>Studies FIM05 and FIM01 did not assess AESIs</w:t>
      </w:r>
      <w:r w:rsidR="00036BBD">
        <w:rPr>
          <w:rFonts w:cs="Arial"/>
        </w:rPr>
        <w:t>.</w:t>
      </w:r>
    </w:p>
    <w:p w14:paraId="6B1C9956" w14:textId="77777777" w:rsidR="0033578E" w:rsidRPr="00051F30" w:rsidRDefault="0033578E" w:rsidP="001E41BA">
      <w:pPr>
        <w:pStyle w:val="Heading3"/>
      </w:pPr>
      <w:bookmarkStart w:id="157" w:name="_Toc241374326"/>
      <w:bookmarkStart w:id="158" w:name="_Ref272333048"/>
      <w:bookmarkStart w:id="159" w:name="_Toc272414679"/>
      <w:bookmarkStart w:id="160" w:name="_Toc290846317"/>
      <w:bookmarkStart w:id="161" w:name="_Toc290888854"/>
      <w:bookmarkStart w:id="162" w:name="_Toc370580786"/>
      <w:bookmarkStart w:id="163" w:name="_Toc522542370"/>
      <w:r w:rsidRPr="00051F30">
        <w:t>Post-marketing experience</w:t>
      </w:r>
      <w:bookmarkEnd w:id="157"/>
      <w:bookmarkEnd w:id="158"/>
      <w:bookmarkEnd w:id="159"/>
      <w:bookmarkEnd w:id="160"/>
      <w:bookmarkEnd w:id="161"/>
      <w:bookmarkEnd w:id="162"/>
      <w:bookmarkEnd w:id="163"/>
    </w:p>
    <w:p w14:paraId="4333754C" w14:textId="77777777" w:rsidR="0033578E" w:rsidRPr="00051F30" w:rsidRDefault="001E41BA" w:rsidP="0033578E">
      <w:pPr>
        <w:autoSpaceDE w:val="0"/>
        <w:autoSpaceDN w:val="0"/>
        <w:adjustRightInd w:val="0"/>
        <w:rPr>
          <w:rFonts w:cs="Arial"/>
        </w:rPr>
      </w:pPr>
      <w:r>
        <w:rPr>
          <w:rFonts w:cs="Arial"/>
        </w:rPr>
        <w:t>The s</w:t>
      </w:r>
      <w:r w:rsidR="0033578E" w:rsidRPr="00051F30">
        <w:rPr>
          <w:rFonts w:cs="Arial"/>
        </w:rPr>
        <w:t xml:space="preserve">ponsor has not provided </w:t>
      </w:r>
      <w:r w:rsidR="0033578E">
        <w:rPr>
          <w:rFonts w:cs="Arial"/>
        </w:rPr>
        <w:t xml:space="preserve">Post Market Safety Update Reports (PSURs) </w:t>
      </w:r>
      <w:r w:rsidR="0033578E" w:rsidRPr="00051F30">
        <w:rPr>
          <w:rFonts w:cs="Arial"/>
        </w:rPr>
        <w:t xml:space="preserve">or post-marketing data. They have noted that between February 2009 and February 2014 a total of 20,702,980 doses of </w:t>
      </w:r>
      <w:r w:rsidR="00CD0E09">
        <w:rPr>
          <w:rFonts w:cs="Arial"/>
        </w:rPr>
        <w:t>Fluzone High-Dose</w:t>
      </w:r>
      <w:r w:rsidR="0033578E" w:rsidRPr="00051F30">
        <w:rPr>
          <w:rFonts w:cs="Arial"/>
        </w:rPr>
        <w:t xml:space="preserve"> were distributed in the US. They have referenced the US Product Information (Package Insert) regarding adverse events reported on the basis of this experience. The summary of post-marketing data provided does not reference post-marketing experience from Canada.</w:t>
      </w:r>
    </w:p>
    <w:p w14:paraId="2827C498" w14:textId="77777777" w:rsidR="0033578E" w:rsidRPr="00051F30" w:rsidRDefault="0033578E" w:rsidP="001E41BA">
      <w:pPr>
        <w:pStyle w:val="Heading3"/>
      </w:pPr>
      <w:bookmarkStart w:id="164" w:name="_Toc241374328"/>
      <w:bookmarkStart w:id="165" w:name="_Toc272414691"/>
      <w:bookmarkStart w:id="166" w:name="_Toc290846329"/>
      <w:bookmarkStart w:id="167" w:name="_Toc290888866"/>
      <w:bookmarkStart w:id="168" w:name="_Toc370580787"/>
      <w:bookmarkStart w:id="169" w:name="_Toc522542371"/>
      <w:r w:rsidRPr="00051F30">
        <w:lastRenderedPageBreak/>
        <w:t>Evaluator’s overall conclusions on clinical safety</w:t>
      </w:r>
      <w:bookmarkEnd w:id="164"/>
      <w:bookmarkEnd w:id="165"/>
      <w:bookmarkEnd w:id="166"/>
      <w:bookmarkEnd w:id="167"/>
      <w:bookmarkEnd w:id="168"/>
      <w:bookmarkEnd w:id="169"/>
    </w:p>
    <w:p w14:paraId="18ADC8D9" w14:textId="393BCD8C" w:rsidR="0033578E" w:rsidRPr="00051F30" w:rsidRDefault="0033578E" w:rsidP="001E41BA">
      <w:r w:rsidRPr="00051F30">
        <w:t xml:space="preserve">More injection site and systemic reactions were observed within one week of vaccination in subjected treated with </w:t>
      </w:r>
      <w:r w:rsidR="00CD0E09">
        <w:t>Fluzone High-Dose</w:t>
      </w:r>
      <w:r w:rsidRPr="00051F30">
        <w:t xml:space="preserve"> than in those treated with Fluzone in </w:t>
      </w:r>
      <w:r w:rsidR="00CD0E09">
        <w:t>Study FI</w:t>
      </w:r>
      <w:r w:rsidRPr="00051F30">
        <w:t>M05.</w:t>
      </w:r>
      <w:r w:rsidR="006A3980">
        <w:t xml:space="preserve"> </w:t>
      </w:r>
      <w:r w:rsidRPr="00051F30">
        <w:t>The majority of these occurred within 3 days of vaccination and lasted 1</w:t>
      </w:r>
      <w:r w:rsidR="001E41BA">
        <w:t xml:space="preserve"> to </w:t>
      </w:r>
      <w:r w:rsidRPr="00051F30">
        <w:t>3 days without sequelae.</w:t>
      </w:r>
    </w:p>
    <w:p w14:paraId="5DFEE733" w14:textId="46495904" w:rsidR="0033578E" w:rsidRPr="00051F30" w:rsidRDefault="00F91A35" w:rsidP="001E41BA">
      <w:r>
        <w:t>The evaluator</w:t>
      </w:r>
      <w:r w:rsidR="0033578E" w:rsidRPr="00051F30">
        <w:t xml:space="preserve"> notes that equivalence for </w:t>
      </w:r>
      <w:r w:rsidR="00AC4160" w:rsidRPr="00051F30">
        <w:t xml:space="preserve">solicited systemic reactions </w:t>
      </w:r>
      <w:r w:rsidR="0033578E" w:rsidRPr="00051F30">
        <w:t xml:space="preserve">between Fluzone and </w:t>
      </w:r>
      <w:r w:rsidR="00CD0E09">
        <w:t>Fluzone High-Dose</w:t>
      </w:r>
      <w:r w:rsidR="0033578E" w:rsidRPr="00051F30">
        <w:t xml:space="preserve"> by defining equivalence to be a relative risk of &lt;</w:t>
      </w:r>
      <w:r w:rsidR="00AC4160">
        <w:t xml:space="preserve"> </w:t>
      </w:r>
      <w:r w:rsidR="0033578E" w:rsidRPr="00051F30">
        <w:t xml:space="preserve">3. While this might reflected the limitations of the power of this study, </w:t>
      </w:r>
      <w:r w:rsidR="00A06A77">
        <w:t>the evaluator</w:t>
      </w:r>
      <w:r w:rsidR="0033578E" w:rsidRPr="00051F30">
        <w:t xml:space="preserve"> does not feel that a relative risk of 3 is equivalent in a clinical sense and notes the higher point estimates for </w:t>
      </w:r>
      <w:r w:rsidR="00AC4160" w:rsidRPr="00051F30">
        <w:t>solicited systemic reactions</w:t>
      </w:r>
      <w:r w:rsidR="0033578E" w:rsidRPr="00051F30">
        <w:t xml:space="preserve"> in </w:t>
      </w:r>
      <w:r w:rsidR="00CD0E09">
        <w:t>Fluzone High-Dose</w:t>
      </w:r>
      <w:r w:rsidR="0033578E" w:rsidRPr="00051F30">
        <w:t xml:space="preserve"> compared to Fluzone treated subjects</w:t>
      </w:r>
    </w:p>
    <w:p w14:paraId="16F87C7A" w14:textId="06E8C12E" w:rsidR="0033578E" w:rsidRPr="00051F30" w:rsidRDefault="0033578E" w:rsidP="001E41BA">
      <w:r w:rsidRPr="00051F30">
        <w:t xml:space="preserve">Study FIM12 provides a very large population exposed to </w:t>
      </w:r>
      <w:r w:rsidR="00CD0E09">
        <w:t>Fluzone High-Dose</w:t>
      </w:r>
      <w:r w:rsidRPr="00051F30">
        <w:t>, including 7</w:t>
      </w:r>
      <w:r w:rsidR="00AC4160">
        <w:t>,</w:t>
      </w:r>
      <w:r w:rsidRPr="00051F30">
        <w:t>645</w:t>
      </w:r>
      <w:r w:rsidR="00AC4160">
        <w:t> </w:t>
      </w:r>
      <w:r w:rsidRPr="00051F30">
        <w:t xml:space="preserve">over two successive years. There is no indication of an imbalance in the incidence of adverse events reported after 30 days, the majority of which are consistent with the older population enrolled. There was no increase in AESIs observed among </w:t>
      </w:r>
      <w:r w:rsidR="00CD0E09">
        <w:t>Fluzone High-Dose</w:t>
      </w:r>
      <w:r w:rsidRPr="00051F30">
        <w:t xml:space="preserve"> treated patients compared to those who received Fluzone.</w:t>
      </w:r>
    </w:p>
    <w:p w14:paraId="55CC0BD7" w14:textId="77777777" w:rsidR="0033578E" w:rsidRPr="00051F30" w:rsidRDefault="00F91A35" w:rsidP="001E41BA">
      <w:r>
        <w:t>The evaluator</w:t>
      </w:r>
      <w:r w:rsidR="0033578E" w:rsidRPr="00051F30">
        <w:t xml:space="preserve"> notes that the </w:t>
      </w:r>
      <w:r w:rsidR="001E41BA">
        <w:t>s</w:t>
      </w:r>
      <w:r w:rsidR="0033578E" w:rsidRPr="00051F30">
        <w:t xml:space="preserve">ponsor’s decision to report only SAEs potentially lowers the sensitivity of </w:t>
      </w:r>
      <w:r w:rsidR="00CD0E09">
        <w:t xml:space="preserve">Studies </w:t>
      </w:r>
      <w:r w:rsidR="00CD0E09" w:rsidRPr="001E41BA">
        <w:t>FI</w:t>
      </w:r>
      <w:r w:rsidR="0033578E" w:rsidRPr="001E41BA">
        <w:t>M12 and FIM07</w:t>
      </w:r>
      <w:r w:rsidR="0033578E" w:rsidRPr="00051F30">
        <w:t xml:space="preserve"> to detect adverse events which did not result in hospitalisation. While these are likely to include the more medically serious adverse events, a full analysis of all AEs reported in the period immediately following vaccination would be preferable for a vaccine which is intended for use in a large population. This is partially mitigated by the extensive post-marketing experience with </w:t>
      </w:r>
      <w:r w:rsidR="00CD0E09">
        <w:t>Fluzone High-Dose</w:t>
      </w:r>
      <w:r w:rsidR="0033578E" w:rsidRPr="00051F30">
        <w:t xml:space="preserve"> in the United States and influenza vaccination generally but a full analysis of the post-marketing data has not been provided in this submission.</w:t>
      </w:r>
    </w:p>
    <w:p w14:paraId="0FEF27CD" w14:textId="1702B323" w:rsidR="0033578E" w:rsidRDefault="00F91A35" w:rsidP="001E41BA">
      <w:r>
        <w:t>The evaluator</w:t>
      </w:r>
      <w:r w:rsidR="0033578E" w:rsidRPr="00051F30">
        <w:t xml:space="preserve"> notes that sub-analyses of adverse events in immune-compromised subjects w</w:t>
      </w:r>
      <w:r w:rsidR="001E41BA">
        <w:t>ere</w:t>
      </w:r>
      <w:r w:rsidR="0033578E" w:rsidRPr="00051F30">
        <w:t xml:space="preserve"> included in the US FDA </w:t>
      </w:r>
      <w:r w:rsidR="0033578E" w:rsidRPr="001E41BA">
        <w:t>evaluation</w:t>
      </w:r>
      <w:r w:rsidR="0033578E" w:rsidRPr="00051F30">
        <w:t xml:space="preserve"> of </w:t>
      </w:r>
      <w:r w:rsidR="00CD0E09">
        <w:t>Fluzone High-Dose</w:t>
      </w:r>
      <w:r w:rsidR="0033578E" w:rsidRPr="00051F30">
        <w:t>.</w:t>
      </w:r>
      <w:r w:rsidR="00AC4160" w:rsidRPr="001E41BA">
        <w:rPr>
          <w:rStyle w:val="FootnoteReference"/>
          <w:rFonts w:cs="Arial"/>
        </w:rPr>
        <w:footnoteReference w:id="4"/>
      </w:r>
    </w:p>
    <w:p w14:paraId="64D69E24" w14:textId="77777777" w:rsidR="001E41BA" w:rsidRPr="00051F30" w:rsidRDefault="001E41BA" w:rsidP="00FD701B">
      <w:pPr>
        <w:pStyle w:val="Tabletitle"/>
      </w:pPr>
      <w:r>
        <w:t>Table 3</w:t>
      </w:r>
      <w:r w:rsidR="00F05C2C">
        <w:t>1</w:t>
      </w:r>
      <w:r>
        <w:t xml:space="preserve">: </w:t>
      </w:r>
      <w:r w:rsidR="00FD701B">
        <w:t>S</w:t>
      </w:r>
      <w:r w:rsidR="00FD701B" w:rsidRPr="00051F30">
        <w:t>ub-analyses of adverse events in immune-compromised subjects</w:t>
      </w:r>
    </w:p>
    <w:p w14:paraId="187DAD89" w14:textId="77777777" w:rsidR="0033578E" w:rsidRPr="00051F30" w:rsidRDefault="0033578E" w:rsidP="0033578E">
      <w:pPr>
        <w:autoSpaceDE w:val="0"/>
        <w:autoSpaceDN w:val="0"/>
        <w:adjustRightInd w:val="0"/>
        <w:rPr>
          <w:rFonts w:cs="Arial"/>
          <w:i/>
        </w:rPr>
      </w:pPr>
      <w:r w:rsidRPr="00051F30">
        <w:rPr>
          <w:rFonts w:cs="Arial"/>
          <w:i/>
          <w:noProof/>
          <w:lang w:eastAsia="en-AU"/>
        </w:rPr>
        <w:drawing>
          <wp:inline distT="0" distB="0" distL="0" distR="0" wp14:anchorId="264A1EF8" wp14:editId="21EEC532">
            <wp:extent cx="4378036" cy="2444179"/>
            <wp:effectExtent l="19050" t="19050" r="22860" b="13335"/>
            <wp:docPr id="18" name="Picture 3" descr="Sub-analyses of adverse events in immune-compr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lum bright="-20000" contrast="40000"/>
                    </a:blip>
                    <a:srcRect l="585" r="4093" b="7112"/>
                    <a:stretch/>
                  </pic:blipFill>
                  <pic:spPr bwMode="auto">
                    <a:xfrm>
                      <a:off x="0" y="0"/>
                      <a:ext cx="4390304" cy="24510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8772E2C" w14:textId="77777777" w:rsidR="00C22678" w:rsidRPr="00586F98" w:rsidRDefault="00F91A35" w:rsidP="001E41BA">
      <w:pPr>
        <w:rPr>
          <w:lang w:eastAsia="ja-JP"/>
        </w:rPr>
      </w:pPr>
      <w:r>
        <w:t>The evaluator</w:t>
      </w:r>
      <w:r w:rsidR="0033578E" w:rsidRPr="00051F30">
        <w:t xml:space="preserve"> concurs with the FDA evaluator’s conclusion that this limited post-hoc analysis does not indicate any particular safety concerns in this group. The supplemental tables on which this analysis was based were not, however, included in this submission.</w:t>
      </w:r>
    </w:p>
    <w:p w14:paraId="7F3319CF" w14:textId="77777777" w:rsidR="00C22678" w:rsidRDefault="00C22678" w:rsidP="00C22678">
      <w:pPr>
        <w:pStyle w:val="Heading2"/>
      </w:pPr>
      <w:bookmarkStart w:id="170" w:name="_Toc522542372"/>
      <w:r>
        <w:lastRenderedPageBreak/>
        <w:t>First round benefit-risk assessment</w:t>
      </w:r>
      <w:bookmarkEnd w:id="170"/>
    </w:p>
    <w:p w14:paraId="66721382" w14:textId="77777777" w:rsidR="0033578E" w:rsidRPr="00051F30" w:rsidRDefault="0033578E" w:rsidP="00FD701B">
      <w:pPr>
        <w:pStyle w:val="Heading3"/>
      </w:pPr>
      <w:bookmarkStart w:id="171" w:name="_Toc236802592"/>
      <w:bookmarkStart w:id="172" w:name="_Toc241374331"/>
      <w:bookmarkStart w:id="173" w:name="_Ref272160836"/>
      <w:bookmarkStart w:id="174" w:name="_Toc272414693"/>
      <w:bookmarkStart w:id="175" w:name="_Toc290846331"/>
      <w:bookmarkStart w:id="176" w:name="_Toc290888868"/>
      <w:bookmarkStart w:id="177" w:name="_Toc370580789"/>
      <w:bookmarkStart w:id="178" w:name="_Toc522542373"/>
      <w:r w:rsidRPr="00051F30">
        <w:t>First round assessment of benefits</w:t>
      </w:r>
      <w:bookmarkEnd w:id="171"/>
      <w:bookmarkEnd w:id="172"/>
      <w:bookmarkEnd w:id="173"/>
      <w:bookmarkEnd w:id="174"/>
      <w:bookmarkEnd w:id="175"/>
      <w:bookmarkEnd w:id="176"/>
      <w:bookmarkEnd w:id="177"/>
      <w:bookmarkEnd w:id="178"/>
    </w:p>
    <w:p w14:paraId="41633F10" w14:textId="77777777" w:rsidR="0033578E" w:rsidRPr="00051F30" w:rsidRDefault="0033578E" w:rsidP="00FD701B">
      <w:r w:rsidRPr="00051F30">
        <w:t xml:space="preserve">The benefits of </w:t>
      </w:r>
      <w:r w:rsidR="00CD0E09">
        <w:t>Fluzone High-Dose</w:t>
      </w:r>
      <w:r w:rsidRPr="00051F30">
        <w:t xml:space="preserve"> in the proposed usage are:</w:t>
      </w:r>
    </w:p>
    <w:p w14:paraId="177724AD" w14:textId="3C7A093D" w:rsidR="0033578E" w:rsidRPr="00051F30" w:rsidRDefault="0033578E" w:rsidP="00FD701B">
      <w:pPr>
        <w:pStyle w:val="ListBullet"/>
      </w:pPr>
      <w:r w:rsidRPr="00051F30">
        <w:t>Improved protection from influenza than offered by standard adult dose influenza vaccine</w:t>
      </w:r>
      <w:r w:rsidR="00AC4160">
        <w:t xml:space="preserve">, for example, </w:t>
      </w:r>
      <w:r w:rsidRPr="00051F30">
        <w:t xml:space="preserve">Fluzone. The degree of benefit will differ as the match between circulating strains of influenza and the vaccine strains varies from year to year. </w:t>
      </w:r>
    </w:p>
    <w:p w14:paraId="50C6CED9" w14:textId="77777777" w:rsidR="0033578E" w:rsidRPr="00051F30" w:rsidRDefault="0033578E" w:rsidP="00FD701B">
      <w:pPr>
        <w:pStyle w:val="ListBullet"/>
      </w:pPr>
      <w:r w:rsidRPr="00051F30">
        <w:t xml:space="preserve">It would be expected that decreased rates of influenza in the </w:t>
      </w:r>
      <w:r w:rsidR="006A3980">
        <w:t xml:space="preserve">&gt; </w:t>
      </w:r>
      <w:r w:rsidRPr="00051F30">
        <w:t>65</w:t>
      </w:r>
      <w:r>
        <w:t xml:space="preserve"> </w:t>
      </w:r>
      <w:r w:rsidRPr="00051F30">
        <w:t>year old age group would produce lower rates of health care utilisation and secondary illness in this population.</w:t>
      </w:r>
    </w:p>
    <w:p w14:paraId="75FA380A" w14:textId="77777777" w:rsidR="0033578E" w:rsidRPr="00051F30" w:rsidRDefault="0033578E" w:rsidP="00FD701B">
      <w:pPr>
        <w:pStyle w:val="Heading3"/>
      </w:pPr>
      <w:bookmarkStart w:id="179" w:name="_Toc236802596"/>
      <w:bookmarkStart w:id="180" w:name="_Toc241374334"/>
      <w:bookmarkStart w:id="181" w:name="_Ref272160964"/>
      <w:bookmarkStart w:id="182" w:name="_Toc272414694"/>
      <w:bookmarkStart w:id="183" w:name="_Toc290846332"/>
      <w:bookmarkStart w:id="184" w:name="_Toc290888869"/>
      <w:bookmarkStart w:id="185" w:name="_Toc370580790"/>
      <w:bookmarkStart w:id="186" w:name="_Toc522542374"/>
      <w:r w:rsidRPr="00051F30">
        <w:t>First round assessment of risks</w:t>
      </w:r>
      <w:bookmarkEnd w:id="179"/>
      <w:bookmarkEnd w:id="180"/>
      <w:bookmarkEnd w:id="181"/>
      <w:bookmarkEnd w:id="182"/>
      <w:bookmarkEnd w:id="183"/>
      <w:bookmarkEnd w:id="184"/>
      <w:bookmarkEnd w:id="185"/>
      <w:bookmarkEnd w:id="186"/>
    </w:p>
    <w:p w14:paraId="1B44D657" w14:textId="77777777" w:rsidR="0033578E" w:rsidRPr="00051F30" w:rsidRDefault="0033578E" w:rsidP="00FD701B">
      <w:r w:rsidRPr="00051F30">
        <w:t xml:space="preserve">The risks of </w:t>
      </w:r>
      <w:r w:rsidR="00CD0E09">
        <w:t>Fluzone High-Dose</w:t>
      </w:r>
      <w:r w:rsidRPr="00051F30">
        <w:t xml:space="preserve"> in the proposed usage are:</w:t>
      </w:r>
    </w:p>
    <w:p w14:paraId="3ADF8113" w14:textId="00D143BF" w:rsidR="0033578E" w:rsidRPr="00051F30" w:rsidRDefault="0033578E" w:rsidP="00FD701B">
      <w:pPr>
        <w:pStyle w:val="ListBullet"/>
      </w:pPr>
      <w:r w:rsidRPr="00051F30">
        <w:t>Increase immune mediated reactions</w:t>
      </w:r>
      <w:r w:rsidR="00AC4160">
        <w:t xml:space="preserve">, for example, </w:t>
      </w:r>
      <w:r w:rsidRPr="00051F30">
        <w:t xml:space="preserve">site injection reactions and systemic reactions in the first week post vaccination compared to standard adult dose influenza vaccine </w:t>
      </w:r>
      <w:r w:rsidR="00FD701B">
        <w:t>such as</w:t>
      </w:r>
      <w:r w:rsidRPr="00051F30">
        <w:t xml:space="preserve"> Fluzone</w:t>
      </w:r>
      <w:r w:rsidR="00F63AC6">
        <w:t>.</w:t>
      </w:r>
    </w:p>
    <w:p w14:paraId="2B679BF5" w14:textId="0308B399" w:rsidR="0033578E" w:rsidRPr="00051F30" w:rsidRDefault="0033578E" w:rsidP="00FD701B">
      <w:pPr>
        <w:pStyle w:val="ListBullet"/>
      </w:pPr>
      <w:r w:rsidRPr="00051F30">
        <w:t>Post-marketing data may include information regarding adverse events which were not reported in the clinical trials either due to the lower number of patients exposed, or the reporting only of SAEs.</w:t>
      </w:r>
    </w:p>
    <w:p w14:paraId="40D6C89E" w14:textId="77777777" w:rsidR="0033578E" w:rsidRPr="00051F30" w:rsidRDefault="0033578E" w:rsidP="00FD701B">
      <w:pPr>
        <w:pStyle w:val="Heading3"/>
      </w:pPr>
      <w:bookmarkStart w:id="187" w:name="_Toc236802597"/>
      <w:bookmarkStart w:id="188" w:name="_Toc241374335"/>
      <w:bookmarkStart w:id="189" w:name="_Toc272414695"/>
      <w:bookmarkStart w:id="190" w:name="_Toc290846333"/>
      <w:bookmarkStart w:id="191" w:name="_Toc290888870"/>
      <w:bookmarkStart w:id="192" w:name="_Toc370580791"/>
      <w:bookmarkStart w:id="193" w:name="_Toc522542375"/>
      <w:r w:rsidRPr="00051F30">
        <w:t>First round assessment of benefit-risk balance</w:t>
      </w:r>
      <w:bookmarkEnd w:id="187"/>
      <w:bookmarkEnd w:id="188"/>
      <w:bookmarkEnd w:id="189"/>
      <w:bookmarkEnd w:id="190"/>
      <w:bookmarkEnd w:id="191"/>
      <w:bookmarkEnd w:id="192"/>
      <w:bookmarkEnd w:id="193"/>
    </w:p>
    <w:p w14:paraId="0ADB1B3C" w14:textId="77777777" w:rsidR="00C22678" w:rsidRPr="00586F98" w:rsidRDefault="0033578E" w:rsidP="0033578E">
      <w:pPr>
        <w:rPr>
          <w:lang w:eastAsia="ja-JP"/>
        </w:rPr>
      </w:pPr>
      <w:r w:rsidRPr="00051F30">
        <w:rPr>
          <w:rFonts w:cs="Arial"/>
        </w:rPr>
        <w:t xml:space="preserve">The benefit-risk balance of </w:t>
      </w:r>
      <w:r w:rsidR="00CD0E09">
        <w:rPr>
          <w:rFonts w:cs="Arial"/>
        </w:rPr>
        <w:t>Fluzone High-Dose</w:t>
      </w:r>
      <w:r w:rsidRPr="00051F30">
        <w:rPr>
          <w:rFonts w:cs="Arial"/>
        </w:rPr>
        <w:t xml:space="preserve">, given the proposed usage, is favourable based on the currently available trial data. However, given the large population of generally well people for which Fluzone is indicated in a preventative role, it is necessary to examine the largest body of safety information available to be certain of the incidence of potentially rare adverse events. This data is comprised of the significant post-marketing exposure to </w:t>
      </w:r>
      <w:r w:rsidR="00CD0E09">
        <w:rPr>
          <w:rFonts w:cs="Arial"/>
        </w:rPr>
        <w:t>Fluzone High-Dose</w:t>
      </w:r>
      <w:r w:rsidRPr="00051F30">
        <w:rPr>
          <w:rFonts w:cs="Arial"/>
        </w:rPr>
        <w:t xml:space="preserve"> in the USA and an analysis of post-marketing adverse events reported to the Sponsor should be evaluated before </w:t>
      </w:r>
      <w:r w:rsidR="00CD0E09">
        <w:rPr>
          <w:rFonts w:cs="Arial"/>
        </w:rPr>
        <w:t>Fluzone High-Dose</w:t>
      </w:r>
      <w:r w:rsidRPr="00051F30">
        <w:rPr>
          <w:rFonts w:cs="Arial"/>
        </w:rPr>
        <w:t xml:space="preserve"> is registered in Australia.</w:t>
      </w:r>
    </w:p>
    <w:p w14:paraId="12B08B5D" w14:textId="77777777" w:rsidR="00C22678" w:rsidRDefault="00C22678" w:rsidP="00C22678">
      <w:pPr>
        <w:pStyle w:val="Heading2"/>
      </w:pPr>
      <w:bookmarkStart w:id="194" w:name="_Toc522542376"/>
      <w:r>
        <w:t>First round recommendation regarding authorisation</w:t>
      </w:r>
      <w:bookmarkEnd w:id="194"/>
    </w:p>
    <w:p w14:paraId="19DF3BF7" w14:textId="77777777" w:rsidR="0033578E" w:rsidRPr="00051F30" w:rsidRDefault="00F91A35" w:rsidP="0033578E">
      <w:pPr>
        <w:rPr>
          <w:rFonts w:cs="Arial"/>
        </w:rPr>
      </w:pPr>
      <w:r>
        <w:rPr>
          <w:rFonts w:cs="Arial"/>
        </w:rPr>
        <w:t>The evaluator</w:t>
      </w:r>
      <w:r w:rsidR="0033578E" w:rsidRPr="00051F30">
        <w:rPr>
          <w:rFonts w:cs="Arial"/>
        </w:rPr>
        <w:t xml:space="preserve"> recommends that </w:t>
      </w:r>
      <w:r w:rsidR="00CD0E09">
        <w:rPr>
          <w:rFonts w:cs="Arial"/>
        </w:rPr>
        <w:t>Fluzone High-Dose</w:t>
      </w:r>
      <w:r w:rsidR="0033578E" w:rsidRPr="00051F30">
        <w:rPr>
          <w:rFonts w:cs="Arial"/>
        </w:rPr>
        <w:t xml:space="preserve"> be registered for the proposed indication provided:</w:t>
      </w:r>
    </w:p>
    <w:p w14:paraId="240C29A8" w14:textId="77777777" w:rsidR="0033578E" w:rsidRPr="00051F30" w:rsidRDefault="0033578E" w:rsidP="00FD701B">
      <w:pPr>
        <w:pStyle w:val="Numberbullet0"/>
        <w:numPr>
          <w:ilvl w:val="0"/>
          <w:numId w:val="47"/>
        </w:numPr>
      </w:pPr>
      <w:r w:rsidRPr="00051F30">
        <w:t>Am</w:t>
      </w:r>
      <w:r>
        <w:t>e</w:t>
      </w:r>
      <w:r w:rsidRPr="00051F30">
        <w:t xml:space="preserve">ndments to the Australian Product Information are made as </w:t>
      </w:r>
      <w:r w:rsidR="00FD701B">
        <w:t>in</w:t>
      </w:r>
      <w:r w:rsidRPr="00051F30">
        <w:t xml:space="preserve"> this report</w:t>
      </w:r>
      <w:r w:rsidR="00FD701B">
        <w:t xml:space="preserve"> [not included here as beyond the scope of this AusPAR]</w:t>
      </w:r>
      <w:r w:rsidRPr="00051F30">
        <w:t>.</w:t>
      </w:r>
    </w:p>
    <w:p w14:paraId="01A6CAFB" w14:textId="77777777" w:rsidR="00C22678" w:rsidRPr="00586F98" w:rsidRDefault="0033578E" w:rsidP="00FD701B">
      <w:pPr>
        <w:pStyle w:val="Numberbullet0"/>
        <w:rPr>
          <w:lang w:eastAsia="ja-JP"/>
        </w:rPr>
      </w:pPr>
      <w:r w:rsidRPr="00051F30">
        <w:t xml:space="preserve">Evaluation of post-marketing safety data as detailed in this report does not provide additional information which would lead to a materially different assessment of the safety of </w:t>
      </w:r>
      <w:r w:rsidR="00CD0E09">
        <w:t>Fluzone High-Dose</w:t>
      </w:r>
      <w:r w:rsidRPr="00051F30">
        <w:t xml:space="preserve"> from that which </w:t>
      </w:r>
      <w:r w:rsidR="00A06A77">
        <w:t>the evaluator</w:t>
      </w:r>
      <w:r w:rsidRPr="00051F30">
        <w:t xml:space="preserve"> has formed on the basis of clinical trial data evaluated in this report.</w:t>
      </w:r>
    </w:p>
    <w:p w14:paraId="76C5B474" w14:textId="77777777" w:rsidR="00C22678" w:rsidRDefault="00C22678" w:rsidP="00C22678">
      <w:pPr>
        <w:pStyle w:val="Heading2"/>
      </w:pPr>
      <w:bookmarkStart w:id="195" w:name="_Toc522542377"/>
      <w:r>
        <w:t>Clinical questions</w:t>
      </w:r>
      <w:bookmarkEnd w:id="195"/>
    </w:p>
    <w:p w14:paraId="19A8CBF7" w14:textId="77777777" w:rsidR="0033578E" w:rsidRPr="00051F30" w:rsidRDefault="0033578E" w:rsidP="00FD701B">
      <w:pPr>
        <w:pStyle w:val="Heading3"/>
      </w:pPr>
      <w:bookmarkStart w:id="196" w:name="_Toc522542378"/>
      <w:r w:rsidRPr="00051F30">
        <w:t>Efficacy</w:t>
      </w:r>
      <w:bookmarkEnd w:id="196"/>
    </w:p>
    <w:p w14:paraId="7BA5917A" w14:textId="77777777" w:rsidR="0033578E" w:rsidRPr="00051F30" w:rsidRDefault="0033578E" w:rsidP="00FD701B">
      <w:pPr>
        <w:pStyle w:val="Numberbullet0"/>
        <w:numPr>
          <w:ilvl w:val="0"/>
          <w:numId w:val="48"/>
        </w:numPr>
      </w:pPr>
      <w:r w:rsidRPr="00051F30">
        <w:t xml:space="preserve">The </w:t>
      </w:r>
      <w:r w:rsidR="00FD701B">
        <w:t>s</w:t>
      </w:r>
      <w:r w:rsidRPr="00051F30">
        <w:t xml:space="preserve">ponsor should submit the full set of supplementary data tables from </w:t>
      </w:r>
      <w:r w:rsidR="00CD0E09">
        <w:t xml:space="preserve">Study </w:t>
      </w:r>
      <w:r w:rsidR="00CD0E09" w:rsidRPr="00FD701B">
        <w:t>FI</w:t>
      </w:r>
      <w:r w:rsidRPr="00FD701B">
        <w:t>M12.</w:t>
      </w:r>
    </w:p>
    <w:p w14:paraId="19CAF1DB" w14:textId="77777777" w:rsidR="0033578E" w:rsidRPr="00051F30" w:rsidRDefault="0033578E" w:rsidP="00FD701B">
      <w:pPr>
        <w:pStyle w:val="Heading3"/>
      </w:pPr>
      <w:bookmarkStart w:id="197" w:name="_Toc290888882"/>
      <w:bookmarkStart w:id="198" w:name="_Toc290846345"/>
      <w:bookmarkStart w:id="199" w:name="_Toc272414705"/>
      <w:r>
        <w:lastRenderedPageBreak/>
        <w:t xml:space="preserve"> </w:t>
      </w:r>
      <w:r>
        <w:tab/>
      </w:r>
      <w:bookmarkStart w:id="200" w:name="_Toc370580800"/>
      <w:bookmarkStart w:id="201" w:name="_Toc522542379"/>
      <w:r w:rsidRPr="00051F30">
        <w:t>Safety</w:t>
      </w:r>
      <w:bookmarkEnd w:id="197"/>
      <w:bookmarkEnd w:id="198"/>
      <w:bookmarkEnd w:id="199"/>
      <w:bookmarkEnd w:id="200"/>
      <w:bookmarkEnd w:id="201"/>
    </w:p>
    <w:p w14:paraId="19AD0DD7" w14:textId="77777777" w:rsidR="0033578E" w:rsidRPr="00051F30" w:rsidRDefault="0033578E" w:rsidP="008A0739">
      <w:pPr>
        <w:pStyle w:val="Numberbullet0"/>
        <w:numPr>
          <w:ilvl w:val="0"/>
          <w:numId w:val="50"/>
        </w:numPr>
      </w:pPr>
      <w:r w:rsidRPr="00051F30">
        <w:t xml:space="preserve">The </w:t>
      </w:r>
      <w:r w:rsidR="00FD701B">
        <w:t>s</w:t>
      </w:r>
      <w:r w:rsidRPr="00051F30">
        <w:t xml:space="preserve">ponsor should submit any Postmarket Surveillance Update Reports (PSUR) documents and/or an analysis of the incidence of any adverse events reported in the post market period in subjects treated with </w:t>
      </w:r>
      <w:r w:rsidR="00CD0E09">
        <w:t>Fluzone High-Dose</w:t>
      </w:r>
      <w:r w:rsidRPr="00051F30">
        <w:t xml:space="preserve"> including but not limited to:</w:t>
      </w:r>
    </w:p>
    <w:p w14:paraId="1EF8BC30" w14:textId="77777777" w:rsidR="0033578E" w:rsidRPr="00051F30" w:rsidRDefault="0033578E" w:rsidP="00F63AC6">
      <w:pPr>
        <w:pStyle w:val="Numberbullet2"/>
      </w:pPr>
      <w:r w:rsidRPr="00051F30">
        <w:t xml:space="preserve">Safety analyses available from any trials using </w:t>
      </w:r>
      <w:r w:rsidR="00CD0E09">
        <w:t>Fluzone High-Dose</w:t>
      </w:r>
      <w:r w:rsidRPr="00051F30">
        <w:t xml:space="preserve"> not included in the submission</w:t>
      </w:r>
    </w:p>
    <w:p w14:paraId="47583110" w14:textId="016D0626" w:rsidR="0033578E" w:rsidRPr="00051F30" w:rsidRDefault="0033578E" w:rsidP="00F63AC6">
      <w:pPr>
        <w:pStyle w:val="Numberbullet2"/>
      </w:pPr>
      <w:r w:rsidRPr="00051F30">
        <w:t xml:space="preserve">Regulatory reviews or analyses performed by regulatory agencies regarding </w:t>
      </w:r>
      <w:r w:rsidR="00CD0E09">
        <w:t>Fluzone High-Dose</w:t>
      </w:r>
      <w:r w:rsidR="00323651">
        <w:t>.</w:t>
      </w:r>
    </w:p>
    <w:p w14:paraId="1D5F126C" w14:textId="77777777" w:rsidR="0033578E" w:rsidRDefault="0033578E" w:rsidP="00FD701B">
      <w:pPr>
        <w:pStyle w:val="Numberbullet0"/>
      </w:pPr>
      <w:r w:rsidRPr="00051F30">
        <w:t xml:space="preserve">An analysis of the incidence of AESIs based on the post-marketing exposure for </w:t>
      </w:r>
      <w:r w:rsidR="00CD0E09">
        <w:t>Fluzone High-Dose</w:t>
      </w:r>
      <w:r w:rsidRPr="00051F30">
        <w:t>.</w:t>
      </w:r>
    </w:p>
    <w:p w14:paraId="63528A61" w14:textId="77777777" w:rsidR="00C618F7" w:rsidRDefault="00C618F7" w:rsidP="0033578E">
      <w:pPr>
        <w:pStyle w:val="Heading2"/>
      </w:pPr>
      <w:bookmarkStart w:id="202" w:name="_Toc522542380"/>
      <w:r>
        <w:t>Second round evaluation of clinical data submitted in response to questions</w:t>
      </w:r>
      <w:bookmarkEnd w:id="202"/>
    </w:p>
    <w:p w14:paraId="7093A093" w14:textId="77777777" w:rsidR="0033578E" w:rsidRPr="00630A5F" w:rsidRDefault="0033578E" w:rsidP="00FD701B">
      <w:pPr>
        <w:pStyle w:val="Heading3"/>
        <w:rPr>
          <w:rFonts w:eastAsia="ArialMT"/>
          <w:kern w:val="1"/>
        </w:rPr>
      </w:pPr>
      <w:bookmarkStart w:id="203" w:name="_Toc370580803"/>
      <w:bookmarkStart w:id="204" w:name="_Toc522542381"/>
      <w:r w:rsidRPr="00630A5F">
        <w:rPr>
          <w:rFonts w:eastAsia="ArialMT"/>
        </w:rPr>
        <w:t>Overview of data provided for second round</w:t>
      </w:r>
      <w:r w:rsidRPr="00630A5F">
        <w:rPr>
          <w:rFonts w:eastAsia="ArialMT"/>
          <w:spacing w:val="-23"/>
          <w:kern w:val="1"/>
        </w:rPr>
        <w:t xml:space="preserve"> </w:t>
      </w:r>
      <w:r w:rsidRPr="00630A5F">
        <w:rPr>
          <w:rFonts w:eastAsia="ArialMT"/>
          <w:kern w:val="1"/>
        </w:rPr>
        <w:t>evaluation</w:t>
      </w:r>
      <w:bookmarkEnd w:id="203"/>
      <w:bookmarkEnd w:id="204"/>
    </w:p>
    <w:p w14:paraId="6A841279" w14:textId="77777777" w:rsidR="0033578E" w:rsidRPr="00630A5F" w:rsidRDefault="0033578E" w:rsidP="0033578E">
      <w:pPr>
        <w:rPr>
          <w:rFonts w:eastAsia="ArialMT"/>
        </w:rPr>
      </w:pPr>
      <w:r w:rsidRPr="00630A5F">
        <w:rPr>
          <w:rFonts w:eastAsia="ArialMT"/>
        </w:rPr>
        <w:t xml:space="preserve">The </w:t>
      </w:r>
      <w:r w:rsidR="00FD701B">
        <w:rPr>
          <w:rFonts w:eastAsia="ArialMT"/>
        </w:rPr>
        <w:t>s</w:t>
      </w:r>
      <w:r w:rsidRPr="00630A5F">
        <w:rPr>
          <w:rFonts w:eastAsia="ArialMT"/>
        </w:rPr>
        <w:t>ponsor has provided data in response to the clinica</w:t>
      </w:r>
      <w:r w:rsidR="00FD701B">
        <w:rPr>
          <w:rFonts w:eastAsia="ArialMT"/>
        </w:rPr>
        <w:t xml:space="preserve">l questions raised in the first </w:t>
      </w:r>
      <w:r w:rsidRPr="00630A5F">
        <w:rPr>
          <w:rFonts w:eastAsia="ArialMT"/>
        </w:rPr>
        <w:t>round evaluation.</w:t>
      </w:r>
    </w:p>
    <w:p w14:paraId="67C59B86" w14:textId="77777777" w:rsidR="0033578E" w:rsidRPr="00630A5F" w:rsidRDefault="0033578E" w:rsidP="0033578E">
      <w:pPr>
        <w:rPr>
          <w:rFonts w:eastAsia="ArialMT"/>
        </w:rPr>
      </w:pPr>
      <w:r w:rsidRPr="00630A5F">
        <w:rPr>
          <w:rFonts w:eastAsia="ArialMT"/>
        </w:rPr>
        <w:t>These include:</w:t>
      </w:r>
    </w:p>
    <w:p w14:paraId="22EC4F47" w14:textId="77777777" w:rsidR="0033578E" w:rsidRPr="00630A5F" w:rsidRDefault="0033578E" w:rsidP="00FD701B">
      <w:pPr>
        <w:pStyle w:val="Numberbullet0"/>
        <w:numPr>
          <w:ilvl w:val="0"/>
          <w:numId w:val="49"/>
        </w:numPr>
      </w:pPr>
      <w:r w:rsidRPr="00630A5F">
        <w:t xml:space="preserve">Supplementary data tables for </w:t>
      </w:r>
      <w:r w:rsidR="00CD0E09" w:rsidRPr="00323651">
        <w:t>Study FI</w:t>
      </w:r>
      <w:r w:rsidRPr="00F63AC6">
        <w:t>M12</w:t>
      </w:r>
    </w:p>
    <w:p w14:paraId="5EAA2A56" w14:textId="77777777" w:rsidR="0033578E" w:rsidRPr="00630A5F" w:rsidRDefault="0033578E" w:rsidP="00FD701B">
      <w:pPr>
        <w:pStyle w:val="Numberbullet0"/>
      </w:pPr>
      <w:r w:rsidRPr="00630A5F">
        <w:t>The most recent Global Pharmacovigilance Peri</w:t>
      </w:r>
      <w:r>
        <w:t xml:space="preserve">odic Benefit-Risk Evaluation </w:t>
      </w:r>
      <w:r w:rsidRPr="00630A5F">
        <w:t>Report for September 2015-September 2016</w:t>
      </w:r>
      <w:r w:rsidRPr="00630A5F">
        <w:rPr>
          <w:spacing w:val="-6"/>
        </w:rPr>
        <w:t xml:space="preserve"> </w:t>
      </w:r>
      <w:r w:rsidRPr="00630A5F">
        <w:t>(PBRER).</w:t>
      </w:r>
    </w:p>
    <w:p w14:paraId="41271363" w14:textId="77777777" w:rsidR="0033578E" w:rsidRPr="00630A5F" w:rsidRDefault="0033578E" w:rsidP="00FD701B">
      <w:pPr>
        <w:pStyle w:val="Numberbullet0"/>
      </w:pPr>
      <w:r w:rsidRPr="00630A5F">
        <w:t>The most recent Data Safety Update Report (DSUR) for April 2016- April</w:t>
      </w:r>
      <w:r w:rsidRPr="00630A5F">
        <w:rPr>
          <w:spacing w:val="-37"/>
        </w:rPr>
        <w:t xml:space="preserve"> </w:t>
      </w:r>
      <w:r w:rsidRPr="00630A5F">
        <w:t>2017</w:t>
      </w:r>
    </w:p>
    <w:p w14:paraId="131F9742" w14:textId="77777777" w:rsidR="0033578E" w:rsidRPr="00630A5F" w:rsidRDefault="0033578E" w:rsidP="0033578E">
      <w:pPr>
        <w:rPr>
          <w:rFonts w:eastAsia="ArialMT"/>
        </w:rPr>
      </w:pPr>
      <w:r w:rsidRPr="00630A5F">
        <w:rPr>
          <w:rFonts w:eastAsia="ArialMT"/>
        </w:rPr>
        <w:t xml:space="preserve">The sponsor has noted in </w:t>
      </w:r>
      <w:r>
        <w:rPr>
          <w:rFonts w:eastAsia="ArialMT"/>
        </w:rPr>
        <w:t>its</w:t>
      </w:r>
      <w:r w:rsidRPr="00630A5F">
        <w:rPr>
          <w:rFonts w:eastAsia="ArialMT"/>
        </w:rPr>
        <w:t xml:space="preserve"> response that the DSUR provides safety analyses from clinical trials, while the PBRER provides data on AESIs and other post-market safety signals. The evaluator notes that these reports contain information from a range of vaccine formulations </w:t>
      </w:r>
      <w:r w:rsidR="00FD701B">
        <w:rPr>
          <w:rFonts w:eastAsia="ArialMT"/>
        </w:rPr>
        <w:t>such as</w:t>
      </w:r>
      <w:r w:rsidRPr="00630A5F">
        <w:rPr>
          <w:rFonts w:eastAsia="ArialMT"/>
        </w:rPr>
        <w:t xml:space="preserve"> quadrivalent influenza vaccine, of which only data relevant to </w:t>
      </w:r>
      <w:r w:rsidR="00CD0E09">
        <w:rPr>
          <w:rFonts w:eastAsia="ArialMT"/>
        </w:rPr>
        <w:t>Fluzone High-Dose</w:t>
      </w:r>
      <w:r w:rsidRPr="00630A5F">
        <w:rPr>
          <w:rFonts w:eastAsia="ArialMT"/>
        </w:rPr>
        <w:t xml:space="preserve"> </w:t>
      </w:r>
      <w:r>
        <w:rPr>
          <w:rFonts w:eastAsia="ArialMT"/>
        </w:rPr>
        <w:t>are</w:t>
      </w:r>
      <w:r w:rsidRPr="00630A5F">
        <w:rPr>
          <w:rFonts w:eastAsia="ArialMT"/>
        </w:rPr>
        <w:t xml:space="preserve"> presented in this report.</w:t>
      </w:r>
    </w:p>
    <w:p w14:paraId="3DFA6DBB" w14:textId="7720AA9C" w:rsidR="0033578E" w:rsidRDefault="0033578E" w:rsidP="0033578E">
      <w:pPr>
        <w:rPr>
          <w:rFonts w:eastAsia="ArialMT"/>
        </w:rPr>
      </w:pPr>
      <w:r w:rsidRPr="00630A5F">
        <w:rPr>
          <w:rFonts w:eastAsia="ArialMT"/>
        </w:rPr>
        <w:t xml:space="preserve">The </w:t>
      </w:r>
      <w:r>
        <w:rPr>
          <w:rFonts w:eastAsia="ArialMT"/>
        </w:rPr>
        <w:t xml:space="preserve">first round </w:t>
      </w:r>
      <w:r w:rsidR="00FD701B">
        <w:rPr>
          <w:rFonts w:eastAsia="ArialMT"/>
        </w:rPr>
        <w:t>e</w:t>
      </w:r>
      <w:r w:rsidRPr="00630A5F">
        <w:rPr>
          <w:rFonts w:eastAsia="ArialMT"/>
        </w:rPr>
        <w:t xml:space="preserve">valuator requested the supplementary data tables for </w:t>
      </w:r>
      <w:r w:rsidR="00CD0E09">
        <w:rPr>
          <w:rFonts w:eastAsia="ArialMT"/>
        </w:rPr>
        <w:t>Study F</w:t>
      </w:r>
      <w:r w:rsidR="00CD0E09" w:rsidRPr="00FD701B">
        <w:rPr>
          <w:rFonts w:eastAsia="ArialMT"/>
        </w:rPr>
        <w:t>I</w:t>
      </w:r>
      <w:r w:rsidRPr="00FD701B">
        <w:rPr>
          <w:rFonts w:eastAsia="ArialMT"/>
        </w:rPr>
        <w:t xml:space="preserve">M12 </w:t>
      </w:r>
      <w:r w:rsidRPr="00630A5F">
        <w:rPr>
          <w:rFonts w:eastAsia="ArialMT"/>
        </w:rPr>
        <w:t>to ensure complete data w</w:t>
      </w:r>
      <w:r>
        <w:rPr>
          <w:rFonts w:eastAsia="ArialMT"/>
        </w:rPr>
        <w:t>ere</w:t>
      </w:r>
      <w:r w:rsidRPr="00630A5F">
        <w:rPr>
          <w:rFonts w:eastAsia="ArialMT"/>
        </w:rPr>
        <w:t xml:space="preserve"> available for assessment. </w:t>
      </w:r>
      <w:r>
        <w:rPr>
          <w:rFonts w:eastAsia="ArialMT"/>
        </w:rPr>
        <w:t xml:space="preserve">These </w:t>
      </w:r>
      <w:r w:rsidRPr="00630A5F">
        <w:rPr>
          <w:rFonts w:eastAsia="ArialMT"/>
        </w:rPr>
        <w:t xml:space="preserve">55 supplementary data tables for </w:t>
      </w:r>
      <w:r w:rsidR="00CD0E09">
        <w:rPr>
          <w:rFonts w:eastAsia="ArialMT"/>
        </w:rPr>
        <w:t>Study</w:t>
      </w:r>
      <w:r w:rsidR="00323651">
        <w:rPr>
          <w:rFonts w:eastAsia="ArialMT"/>
        </w:rPr>
        <w:t> </w:t>
      </w:r>
      <w:r w:rsidR="00CD0E09">
        <w:rPr>
          <w:rFonts w:eastAsia="ArialMT"/>
        </w:rPr>
        <w:t>F</w:t>
      </w:r>
      <w:r w:rsidR="00CD0E09" w:rsidRPr="008F1BE3">
        <w:rPr>
          <w:rFonts w:eastAsia="ArialMT"/>
        </w:rPr>
        <w:t>I</w:t>
      </w:r>
      <w:r w:rsidRPr="008F1BE3">
        <w:rPr>
          <w:rFonts w:eastAsia="ArialMT"/>
        </w:rPr>
        <w:t>M12</w:t>
      </w:r>
      <w:r w:rsidRPr="00630A5F">
        <w:rPr>
          <w:rFonts w:eastAsia="ArialMT"/>
        </w:rPr>
        <w:t xml:space="preserve"> provide subpopulation efficacy and safety analyses</w:t>
      </w:r>
      <w:r w:rsidR="008F1BE3">
        <w:rPr>
          <w:rFonts w:eastAsia="ArialMT"/>
        </w:rPr>
        <w:t xml:space="preserve"> for example</w:t>
      </w:r>
      <w:r w:rsidRPr="00630A5F">
        <w:rPr>
          <w:rFonts w:eastAsia="ArialMT"/>
        </w:rPr>
        <w:t xml:space="preserve"> sub-analyses by </w:t>
      </w:r>
      <w:r>
        <w:rPr>
          <w:rFonts w:eastAsia="ArialMT"/>
        </w:rPr>
        <w:t>ethnicity</w:t>
      </w:r>
      <w:r w:rsidRPr="00630A5F">
        <w:rPr>
          <w:rFonts w:eastAsia="ArialMT"/>
        </w:rPr>
        <w:t xml:space="preserve">, sex </w:t>
      </w:r>
      <w:r w:rsidR="008F1BE3">
        <w:rPr>
          <w:rFonts w:eastAsia="ArialMT"/>
        </w:rPr>
        <w:t>and so on</w:t>
      </w:r>
      <w:r w:rsidRPr="00630A5F">
        <w:rPr>
          <w:rFonts w:eastAsia="ArialMT"/>
        </w:rPr>
        <w:t xml:space="preserve">. </w:t>
      </w:r>
      <w:r w:rsidR="00F91A35">
        <w:rPr>
          <w:rFonts w:eastAsia="ArialMT"/>
        </w:rPr>
        <w:t>The evaluator</w:t>
      </w:r>
      <w:r w:rsidRPr="00630A5F">
        <w:rPr>
          <w:rFonts w:eastAsia="ArialMT"/>
        </w:rPr>
        <w:t xml:space="preserve"> has concluded that these tables do not materially alter the analysis of safety or efficacy in </w:t>
      </w:r>
      <w:r w:rsidRPr="008F1BE3">
        <w:rPr>
          <w:rFonts w:eastAsia="ArialMT"/>
        </w:rPr>
        <w:t>Study FIM12</w:t>
      </w:r>
      <w:r w:rsidRPr="00630A5F">
        <w:rPr>
          <w:rFonts w:eastAsia="ArialMT"/>
        </w:rPr>
        <w:t xml:space="preserve"> in the first-round assessment and there</w:t>
      </w:r>
      <w:r>
        <w:rPr>
          <w:rFonts w:eastAsia="ArialMT"/>
        </w:rPr>
        <w:t>fore these data are not discussed further in the second-round evaluation.</w:t>
      </w:r>
    </w:p>
    <w:p w14:paraId="4B5085F6" w14:textId="77777777" w:rsidR="0033578E" w:rsidRPr="00307093" w:rsidRDefault="00F91A35" w:rsidP="0033578E">
      <w:pPr>
        <w:spacing w:after="360"/>
        <w:rPr>
          <w:rFonts w:eastAsia="ArialMT"/>
        </w:rPr>
      </w:pPr>
      <w:r>
        <w:rPr>
          <w:rFonts w:eastAsia="ArialMT"/>
        </w:rPr>
        <w:t>The evaluator</w:t>
      </w:r>
      <w:r w:rsidR="0033578E">
        <w:rPr>
          <w:rFonts w:eastAsia="ArialMT"/>
        </w:rPr>
        <w:t xml:space="preserve"> notes that while the DSUR is more contemporaneous than the PBRER, the latter contains significantly more detailed information on post-marketing surveillance. Overall </w:t>
      </w:r>
      <w:r w:rsidR="00A06A77">
        <w:rPr>
          <w:rFonts w:eastAsia="ArialMT"/>
        </w:rPr>
        <w:t>the evaluator</w:t>
      </w:r>
      <w:r w:rsidR="008F1BE3">
        <w:rPr>
          <w:rFonts w:eastAsia="ArialMT"/>
        </w:rPr>
        <w:t xml:space="preserve"> considers that the s</w:t>
      </w:r>
      <w:r w:rsidR="0033578E">
        <w:rPr>
          <w:rFonts w:eastAsia="ArialMT"/>
        </w:rPr>
        <w:t>ponsor has provided adequate additional information about the post-marketing experience of Fluzone in its response to supplement the clinical data assessed in the first round evaluation.</w:t>
      </w:r>
    </w:p>
    <w:p w14:paraId="6B2FFED6" w14:textId="77777777" w:rsidR="0033578E" w:rsidRPr="00950AC1" w:rsidRDefault="0033578E" w:rsidP="008F1BE3">
      <w:pPr>
        <w:pStyle w:val="Heading3"/>
        <w:rPr>
          <w:rFonts w:eastAsia="ArialMT"/>
        </w:rPr>
      </w:pPr>
      <w:bookmarkStart w:id="205" w:name="_Toc370580804"/>
      <w:bookmarkStart w:id="206" w:name="_Toc522542382"/>
      <w:r w:rsidRPr="00181558">
        <w:rPr>
          <w:rFonts w:eastAsia="ArialMT"/>
        </w:rPr>
        <w:t>Global Pharmacovigilance Periodic Benefit-Risk Evaluation Report for September 2015-September 2016 (PBRER)</w:t>
      </w:r>
      <w:bookmarkEnd w:id="205"/>
      <w:bookmarkEnd w:id="206"/>
    </w:p>
    <w:p w14:paraId="2B505B18" w14:textId="77777777" w:rsidR="0033578E" w:rsidRPr="003C2944" w:rsidRDefault="0033578E" w:rsidP="0033578E">
      <w:pPr>
        <w:rPr>
          <w:rFonts w:eastAsia="ArialMT"/>
        </w:rPr>
      </w:pPr>
      <w:r w:rsidRPr="00950AC1">
        <w:rPr>
          <w:rFonts w:eastAsia="ArialMT" w:cs="Arial"/>
          <w:kern w:val="1"/>
        </w:rPr>
        <w:t>The PBRER provides a report of s</w:t>
      </w:r>
      <w:r w:rsidR="008F1BE3">
        <w:rPr>
          <w:rFonts w:eastAsia="ArialMT" w:cs="Arial"/>
          <w:kern w:val="1"/>
        </w:rPr>
        <w:t>afety issues identified by the s</w:t>
      </w:r>
      <w:r w:rsidRPr="00950AC1">
        <w:rPr>
          <w:rFonts w:eastAsia="ArialMT" w:cs="Arial"/>
          <w:kern w:val="1"/>
        </w:rPr>
        <w:t xml:space="preserve">ponsor as part of ongoing </w:t>
      </w:r>
      <w:r w:rsidRPr="003C2944">
        <w:rPr>
          <w:rFonts w:eastAsia="ArialMT"/>
        </w:rPr>
        <w:t>surveillance of marketed vaccines for the year leading up to September 2016. This is based on</w:t>
      </w:r>
    </w:p>
    <w:p w14:paraId="44C36B3B" w14:textId="578542D6" w:rsidR="0033578E" w:rsidRPr="003C2944" w:rsidRDefault="0033578E" w:rsidP="0033578E">
      <w:pPr>
        <w:rPr>
          <w:rFonts w:eastAsia="ArialMT"/>
        </w:rPr>
      </w:pPr>
      <w:proofErr w:type="gramStart"/>
      <w:r w:rsidRPr="003C2944">
        <w:rPr>
          <w:rFonts w:eastAsia="ArialMT"/>
        </w:rPr>
        <w:lastRenderedPageBreak/>
        <w:t>a</w:t>
      </w:r>
      <w:proofErr w:type="gramEnd"/>
      <w:r w:rsidRPr="003C2944">
        <w:rPr>
          <w:rFonts w:eastAsia="ArialMT"/>
        </w:rPr>
        <w:t xml:space="preserve"> range of data sources including individual case notifications of adverse events, clinical trials or post-marketing safety trials, and regulatory reports. The sponsor has identified a range of safety issues (signals) for ongoing monitoring which include AESIs such as anaphylaxis, Guillain-</w:t>
      </w:r>
      <w:r w:rsidR="00323651" w:rsidRPr="003C2944">
        <w:rPr>
          <w:rFonts w:eastAsia="ArialMT"/>
        </w:rPr>
        <w:t>Barr</w:t>
      </w:r>
      <w:r w:rsidR="00323651">
        <w:rPr>
          <w:rFonts w:eastAsia="ArialMT"/>
        </w:rPr>
        <w:t>é</w:t>
      </w:r>
      <w:r w:rsidR="00323651" w:rsidRPr="003C2944">
        <w:rPr>
          <w:rFonts w:eastAsia="ArialMT"/>
        </w:rPr>
        <w:t xml:space="preserve"> </w:t>
      </w:r>
      <w:r w:rsidRPr="003C2944">
        <w:rPr>
          <w:rFonts w:eastAsia="ArialMT"/>
        </w:rPr>
        <w:t>syndrome etc. These are presented in the PBRER as separate analyses for each signal.</w:t>
      </w:r>
    </w:p>
    <w:p w14:paraId="17F5832A" w14:textId="77777777" w:rsidR="0033578E" w:rsidRPr="003C2944" w:rsidRDefault="0033578E" w:rsidP="0033578E">
      <w:pPr>
        <w:rPr>
          <w:rFonts w:eastAsia="ArialMT"/>
        </w:rPr>
      </w:pPr>
      <w:r w:rsidRPr="003C2944">
        <w:rPr>
          <w:rFonts w:eastAsia="ArialMT"/>
        </w:rPr>
        <w:t>The PBRER notes that during the reporting period no significant actions were taken by the Marketing Authorisation Holder, regulatory authorities, data monitoring committees</w:t>
      </w:r>
      <w:r>
        <w:rPr>
          <w:rFonts w:eastAsia="ArialMT"/>
        </w:rPr>
        <w:t>,</w:t>
      </w:r>
      <w:r w:rsidRPr="003C2944">
        <w:rPr>
          <w:rFonts w:eastAsia="ArialMT"/>
        </w:rPr>
        <w:t xml:space="preserve"> or ethics committees in relation to the safety of Fluzone vaccines, including </w:t>
      </w:r>
      <w:r w:rsidR="00CD0E09">
        <w:rPr>
          <w:rFonts w:eastAsia="ArialMT"/>
        </w:rPr>
        <w:t>Fluzone High-Dose</w:t>
      </w:r>
      <w:r w:rsidRPr="003C2944">
        <w:rPr>
          <w:rFonts w:eastAsia="ArialMT"/>
        </w:rPr>
        <w:t>. The Company Core Data Sheet (CCDS) was not changed during the reporting period reviewed by the PBRER. No new safety information was received between the locking of the data in the PBRER and its finalisation.</w:t>
      </w:r>
    </w:p>
    <w:p w14:paraId="40B595BC" w14:textId="2E620308" w:rsidR="0033578E" w:rsidRPr="00950AC1" w:rsidRDefault="0033578E" w:rsidP="0033578E">
      <w:pPr>
        <w:rPr>
          <w:rFonts w:eastAsia="ArialMT" w:cs="Arial"/>
          <w:kern w:val="1"/>
        </w:rPr>
      </w:pPr>
      <w:r w:rsidRPr="003C2944">
        <w:rPr>
          <w:rFonts w:eastAsia="ArialMT"/>
        </w:rPr>
        <w:t xml:space="preserve">The PBRER presents data for all Fluzone preparations but </w:t>
      </w:r>
      <w:r w:rsidR="00A06A77">
        <w:rPr>
          <w:rFonts w:eastAsia="ArialMT"/>
        </w:rPr>
        <w:t>the evaluator</w:t>
      </w:r>
      <w:r w:rsidRPr="003C2944">
        <w:rPr>
          <w:rFonts w:eastAsia="ArialMT"/>
        </w:rPr>
        <w:t xml:space="preserve"> has chosen to only present information regarding </w:t>
      </w:r>
      <w:r w:rsidR="00CD0E09">
        <w:rPr>
          <w:rFonts w:eastAsia="ArialMT"/>
        </w:rPr>
        <w:t>Fluzone High-Dose</w:t>
      </w:r>
      <w:r w:rsidRPr="003C2944">
        <w:rPr>
          <w:rFonts w:eastAsia="ArialMT"/>
        </w:rPr>
        <w:t xml:space="preserve"> as this is the most relevant to this evaluation report. It is noted that </w:t>
      </w:r>
      <w:r>
        <w:rPr>
          <w:rFonts w:eastAsia="ArialMT" w:cs="Arial"/>
          <w:kern w:val="1"/>
        </w:rPr>
        <w:t xml:space="preserve">the DSUR is slightly more contemporaneous than the PBRER but </w:t>
      </w:r>
      <w:r w:rsidR="00A06A77">
        <w:rPr>
          <w:rFonts w:eastAsia="ArialMT" w:cs="Arial"/>
          <w:kern w:val="1"/>
        </w:rPr>
        <w:t>the evaluator</w:t>
      </w:r>
      <w:r>
        <w:rPr>
          <w:rFonts w:eastAsia="ArialMT" w:cs="Arial"/>
          <w:kern w:val="1"/>
        </w:rPr>
        <w:t xml:space="preserve"> has considered the PBRER to be pivotal as it contains a more complete analysis of safety information.</w:t>
      </w:r>
    </w:p>
    <w:p w14:paraId="113E1EF9" w14:textId="011B03FB" w:rsidR="0033578E" w:rsidRPr="00950AC1" w:rsidRDefault="0033578E" w:rsidP="008F1BE3">
      <w:pPr>
        <w:pStyle w:val="Heading4"/>
      </w:pPr>
      <w:r>
        <w:t xml:space="preserve"> </w:t>
      </w:r>
      <w:bookmarkStart w:id="207" w:name="_Toc370580805"/>
      <w:r w:rsidRPr="00950AC1">
        <w:t xml:space="preserve">Estimated population exposure to </w:t>
      </w:r>
      <w:r w:rsidR="00CD0E09">
        <w:t>Fluzone High-Dose</w:t>
      </w:r>
      <w:bookmarkEnd w:id="207"/>
    </w:p>
    <w:p w14:paraId="1736E97C" w14:textId="3576E8F2" w:rsidR="0033578E" w:rsidRPr="001D6E08" w:rsidRDefault="0033578E" w:rsidP="0033578E">
      <w:pPr>
        <w:rPr>
          <w:rFonts w:eastAsia="ArialMT"/>
        </w:rPr>
      </w:pPr>
      <w:r w:rsidRPr="001D6E08">
        <w:rPr>
          <w:rFonts w:eastAsia="ArialMT"/>
        </w:rPr>
        <w:t>Since 2006-2007 a total of 25</w:t>
      </w:r>
      <w:r>
        <w:rPr>
          <w:rFonts w:eastAsia="ArialMT"/>
        </w:rPr>
        <w:t>,</w:t>
      </w:r>
      <w:r w:rsidRPr="001D6E08">
        <w:rPr>
          <w:rFonts w:eastAsia="ArialMT"/>
        </w:rPr>
        <w:t xml:space="preserve">463 patients have received at least one dose of </w:t>
      </w:r>
      <w:r w:rsidR="00CD0E09">
        <w:rPr>
          <w:rFonts w:eastAsia="ArialMT"/>
        </w:rPr>
        <w:t>Fluzone High-Dose</w:t>
      </w:r>
      <w:r w:rsidRPr="001D6E08">
        <w:rPr>
          <w:rFonts w:eastAsia="ArialMT"/>
        </w:rPr>
        <w:t xml:space="preserve"> in all clinical trials, including those not included in the current dossier. The majority of </w:t>
      </w:r>
      <w:r>
        <w:rPr>
          <w:rFonts w:eastAsia="ArialMT"/>
        </w:rPr>
        <w:t>these have</w:t>
      </w:r>
      <w:r w:rsidRPr="001D6E08">
        <w:rPr>
          <w:rFonts w:eastAsia="ArialMT"/>
        </w:rPr>
        <w:t xml:space="preserve"> been patients </w:t>
      </w:r>
      <w:r w:rsidR="006A3980">
        <w:rPr>
          <w:rFonts w:eastAsia="ArialMT"/>
        </w:rPr>
        <w:t xml:space="preserve">&gt; </w:t>
      </w:r>
      <w:r w:rsidRPr="001D6E08">
        <w:rPr>
          <w:rFonts w:eastAsia="ArialMT"/>
        </w:rPr>
        <w:t>65 years of age (n</w:t>
      </w:r>
      <w:r w:rsidR="00323651">
        <w:rPr>
          <w:rFonts w:eastAsia="ArialMT"/>
        </w:rPr>
        <w:t xml:space="preserve"> </w:t>
      </w:r>
      <w:r w:rsidRPr="001D6E08">
        <w:rPr>
          <w:rFonts w:eastAsia="ArialMT"/>
        </w:rPr>
        <w:t>=</w:t>
      </w:r>
      <w:r w:rsidR="00323651">
        <w:rPr>
          <w:rFonts w:eastAsia="ArialMT"/>
        </w:rPr>
        <w:t xml:space="preserve"> </w:t>
      </w:r>
      <w:r w:rsidRPr="001D6E08">
        <w:rPr>
          <w:rFonts w:eastAsia="ArialMT"/>
        </w:rPr>
        <w:t>24</w:t>
      </w:r>
      <w:r>
        <w:rPr>
          <w:rFonts w:eastAsia="ArialMT"/>
        </w:rPr>
        <w:t>,</w:t>
      </w:r>
      <w:r w:rsidRPr="001D6E08">
        <w:rPr>
          <w:rFonts w:eastAsia="ArialMT"/>
        </w:rPr>
        <w:t>976).</w:t>
      </w:r>
    </w:p>
    <w:p w14:paraId="30A80846" w14:textId="77777777" w:rsidR="0033578E" w:rsidRPr="00950AC1" w:rsidRDefault="008F1BE3" w:rsidP="0033578E">
      <w:pPr>
        <w:rPr>
          <w:rFonts w:eastAsia="ArialMT" w:cs="Arial"/>
          <w:kern w:val="1"/>
        </w:rPr>
      </w:pPr>
      <w:r>
        <w:rPr>
          <w:rFonts w:eastAsia="ArialMT"/>
        </w:rPr>
        <w:t>The s</w:t>
      </w:r>
      <w:r w:rsidR="0033578E" w:rsidRPr="001D6E08">
        <w:rPr>
          <w:rFonts w:eastAsia="ArialMT"/>
        </w:rPr>
        <w:t xml:space="preserve">ponsor has estimated the non-trial post-marketing exposure of people to </w:t>
      </w:r>
      <w:r w:rsidR="00CD0E09">
        <w:rPr>
          <w:rFonts w:eastAsia="ArialMT"/>
        </w:rPr>
        <w:t>Fluzone High-Dose</w:t>
      </w:r>
      <w:r w:rsidR="0033578E" w:rsidRPr="001D6E08">
        <w:rPr>
          <w:rFonts w:eastAsia="ArialMT"/>
        </w:rPr>
        <w:t xml:space="preserve"> from sales to wholesalers and distributers. It is estimated that</w:t>
      </w:r>
      <w:r w:rsidR="0033578E">
        <w:rPr>
          <w:rFonts w:eastAsia="ArialMT"/>
        </w:rPr>
        <w:t xml:space="preserve"> nearly 60 million</w:t>
      </w:r>
      <w:r w:rsidR="0033578E" w:rsidRPr="001D6E08">
        <w:rPr>
          <w:rFonts w:eastAsia="ArialMT"/>
        </w:rPr>
        <w:t xml:space="preserve"> doses of </w:t>
      </w:r>
      <w:r w:rsidR="00CD0E09">
        <w:rPr>
          <w:rFonts w:eastAsia="ArialMT"/>
        </w:rPr>
        <w:t>Fluzone High-Dose</w:t>
      </w:r>
      <w:r w:rsidR="0033578E" w:rsidRPr="001D6E08">
        <w:rPr>
          <w:rFonts w:eastAsia="ArialMT"/>
        </w:rPr>
        <w:t xml:space="preserve"> have been</w:t>
      </w:r>
      <w:r w:rsidR="0033578E" w:rsidRPr="00950AC1">
        <w:rPr>
          <w:rFonts w:eastAsia="ArialMT" w:cs="Arial"/>
          <w:kern w:val="1"/>
        </w:rPr>
        <w:t xml:space="preserve"> distributed since 2010, when </w:t>
      </w:r>
      <w:r w:rsidR="00CD0E09">
        <w:rPr>
          <w:rFonts w:eastAsia="ArialMT" w:cs="Arial"/>
          <w:kern w:val="1"/>
        </w:rPr>
        <w:t>Fluzone High-Dose</w:t>
      </w:r>
      <w:r w:rsidR="0033578E" w:rsidRPr="00950AC1">
        <w:rPr>
          <w:rFonts w:eastAsia="ArialMT" w:cs="Arial"/>
          <w:kern w:val="1"/>
        </w:rPr>
        <w:t xml:space="preserve"> became available in the United States.</w:t>
      </w:r>
    </w:p>
    <w:p w14:paraId="3952312F" w14:textId="77777777" w:rsidR="0033578E" w:rsidRPr="00950AC1" w:rsidRDefault="0033578E" w:rsidP="0033578E">
      <w:pPr>
        <w:rPr>
          <w:rFonts w:eastAsia="ArialMT" w:cs="Arial"/>
          <w:kern w:val="1"/>
          <w:sz w:val="24"/>
        </w:rPr>
      </w:pPr>
      <w:r>
        <w:rPr>
          <w:rFonts w:eastAsia="ArialMT" w:cs="Arial"/>
          <w:kern w:val="1"/>
        </w:rPr>
        <w:t>As s</w:t>
      </w:r>
      <w:r w:rsidRPr="00950AC1">
        <w:rPr>
          <w:rFonts w:eastAsia="ArialMT" w:cs="Arial"/>
          <w:kern w:val="1"/>
        </w:rPr>
        <w:t>ales data do</w:t>
      </w:r>
      <w:r>
        <w:rPr>
          <w:rFonts w:eastAsia="ArialMT" w:cs="Arial"/>
          <w:kern w:val="1"/>
        </w:rPr>
        <w:t xml:space="preserve"> not capture </w:t>
      </w:r>
      <w:r w:rsidRPr="00950AC1">
        <w:rPr>
          <w:rFonts w:eastAsia="ArialMT" w:cs="Arial"/>
          <w:kern w:val="1"/>
        </w:rPr>
        <w:t xml:space="preserve">demographic characteristics of individual vaccine recipients and a more detailed analysis of </w:t>
      </w:r>
      <w:r w:rsidR="00CD0E09">
        <w:rPr>
          <w:rFonts w:eastAsia="ArialMT" w:cs="Arial"/>
          <w:kern w:val="1"/>
        </w:rPr>
        <w:t>Fluzone High-Dose</w:t>
      </w:r>
      <w:r w:rsidRPr="00950AC1">
        <w:rPr>
          <w:rFonts w:eastAsia="ArialMT" w:cs="Arial"/>
          <w:kern w:val="1"/>
        </w:rPr>
        <w:t xml:space="preserve"> distribution cannot be provided.</w:t>
      </w:r>
    </w:p>
    <w:p w14:paraId="2135A40E" w14:textId="77777777" w:rsidR="0033578E" w:rsidRPr="006A69DA" w:rsidRDefault="0033578E" w:rsidP="008F1BE3">
      <w:pPr>
        <w:pStyle w:val="Heading4"/>
      </w:pPr>
      <w:r>
        <w:t xml:space="preserve"> </w:t>
      </w:r>
      <w:r>
        <w:tab/>
      </w:r>
      <w:bookmarkStart w:id="208" w:name="_Toc370580806"/>
      <w:r w:rsidRPr="006A69DA">
        <w:t xml:space="preserve">Safety findings from clinical trials </w:t>
      </w:r>
      <w:r w:rsidRPr="008F1BE3">
        <w:t>involving</w:t>
      </w:r>
      <w:r w:rsidRPr="006A69DA">
        <w:t xml:space="preserve"> </w:t>
      </w:r>
      <w:r w:rsidR="00CD0E09">
        <w:t>Fluzone High-Dose</w:t>
      </w:r>
      <w:bookmarkEnd w:id="208"/>
    </w:p>
    <w:p w14:paraId="21E3679B" w14:textId="77777777" w:rsidR="0033578E" w:rsidRPr="00950AC1" w:rsidRDefault="0033578E" w:rsidP="0033578E">
      <w:pPr>
        <w:rPr>
          <w:rFonts w:eastAsia="ArialMT" w:cs="Arial"/>
          <w:b/>
          <w:bCs/>
          <w:kern w:val="1"/>
        </w:rPr>
      </w:pPr>
      <w:r w:rsidRPr="00950AC1">
        <w:rPr>
          <w:rFonts w:eastAsia="ArialMT" w:cs="Arial"/>
          <w:kern w:val="1"/>
        </w:rPr>
        <w:t xml:space="preserve">No new safety related issues were discovered in trials using </w:t>
      </w:r>
      <w:r w:rsidR="00CD0E09">
        <w:rPr>
          <w:rFonts w:eastAsia="ArialMT" w:cs="Arial"/>
          <w:kern w:val="1"/>
        </w:rPr>
        <w:t>Fluzone High-Dose</w:t>
      </w:r>
      <w:r w:rsidRPr="00950AC1">
        <w:rPr>
          <w:rFonts w:eastAsia="ArialMT" w:cs="Arial"/>
          <w:kern w:val="1"/>
        </w:rPr>
        <w:t xml:space="preserve"> during the reporting period.</w:t>
      </w:r>
    </w:p>
    <w:p w14:paraId="2C0A79D4" w14:textId="77777777" w:rsidR="0033578E" w:rsidRPr="00950AC1" w:rsidRDefault="0033578E" w:rsidP="008F1BE3">
      <w:pPr>
        <w:pStyle w:val="Heading5"/>
        <w:rPr>
          <w:rFonts w:eastAsia="ArialMT"/>
        </w:rPr>
      </w:pPr>
      <w:r w:rsidRPr="00950AC1">
        <w:rPr>
          <w:rFonts w:eastAsia="ArialMT"/>
        </w:rPr>
        <w:t>Interventional studies</w:t>
      </w:r>
    </w:p>
    <w:p w14:paraId="28F08FA9" w14:textId="2DD34C5B" w:rsidR="0033578E" w:rsidRPr="00EF11A7" w:rsidRDefault="0033578E" w:rsidP="0033578E">
      <w:pPr>
        <w:rPr>
          <w:rFonts w:eastAsia="ArialMT" w:cs="Arial"/>
          <w:kern w:val="1"/>
        </w:rPr>
      </w:pPr>
      <w:r w:rsidRPr="00950AC1">
        <w:rPr>
          <w:rFonts w:eastAsia="ArialMT" w:cs="Arial"/>
          <w:kern w:val="1"/>
        </w:rPr>
        <w:t>Two MAH</w:t>
      </w:r>
      <w:r w:rsidR="00EF11A7">
        <w:rPr>
          <w:rFonts w:eastAsia="ArialMT" w:cs="Arial"/>
          <w:kern w:val="1"/>
        </w:rPr>
        <w:t xml:space="preserve"> </w:t>
      </w:r>
      <w:r w:rsidRPr="00950AC1">
        <w:rPr>
          <w:rFonts w:eastAsia="ArialMT" w:cs="Arial"/>
          <w:kern w:val="1"/>
        </w:rPr>
        <w:t>spons</w:t>
      </w:r>
      <w:r>
        <w:rPr>
          <w:rFonts w:eastAsia="ArialMT" w:cs="Arial"/>
          <w:kern w:val="1"/>
        </w:rPr>
        <w:t>o</w:t>
      </w:r>
      <w:r w:rsidRPr="00950AC1">
        <w:rPr>
          <w:rFonts w:eastAsia="ArialMT" w:cs="Arial"/>
          <w:kern w:val="1"/>
        </w:rPr>
        <w:t xml:space="preserve">red interventional </w:t>
      </w:r>
      <w:r w:rsidRPr="008F1BE3">
        <w:rPr>
          <w:rFonts w:eastAsia="ArialMT" w:cs="Arial"/>
          <w:kern w:val="1"/>
        </w:rPr>
        <w:t>studies (</w:t>
      </w:r>
      <w:r w:rsidR="00323651">
        <w:rPr>
          <w:rFonts w:eastAsia="ArialMT" w:cs="Arial"/>
          <w:kern w:val="1"/>
        </w:rPr>
        <w:t xml:space="preserve">Studies </w:t>
      </w:r>
      <w:r w:rsidRPr="008F1BE3">
        <w:rPr>
          <w:rFonts w:eastAsia="ArialMT" w:cs="Arial"/>
          <w:kern w:val="1"/>
        </w:rPr>
        <w:t>GRC 71 and GRC 57</w:t>
      </w:r>
      <w:r>
        <w:rPr>
          <w:rFonts w:eastAsia="ArialMT" w:cs="Arial"/>
          <w:kern w:val="1"/>
        </w:rPr>
        <w:t>)</w:t>
      </w:r>
      <w:r w:rsidRPr="00950AC1">
        <w:rPr>
          <w:rFonts w:eastAsia="ArialMT" w:cs="Arial"/>
          <w:kern w:val="1"/>
        </w:rPr>
        <w:t xml:space="preserve"> involving </w:t>
      </w:r>
      <w:r w:rsidR="00CD0E09">
        <w:rPr>
          <w:rFonts w:eastAsia="ArialMT" w:cs="Arial"/>
          <w:kern w:val="1"/>
        </w:rPr>
        <w:t>Fluzone High-Dose</w:t>
      </w:r>
      <w:r w:rsidRPr="00950AC1">
        <w:rPr>
          <w:rFonts w:eastAsia="ArialMT" w:cs="Arial"/>
          <w:kern w:val="1"/>
        </w:rPr>
        <w:t xml:space="preserve"> </w:t>
      </w:r>
      <w:r>
        <w:rPr>
          <w:rFonts w:eastAsia="ArialMT" w:cs="Arial"/>
          <w:kern w:val="1"/>
        </w:rPr>
        <w:t>and with</w:t>
      </w:r>
      <w:r w:rsidRPr="00950AC1">
        <w:rPr>
          <w:rFonts w:eastAsia="ArialMT" w:cs="Arial"/>
          <w:kern w:val="1"/>
        </w:rPr>
        <w:t xml:space="preserve"> the primary objective of post-authorisation safety monitoring were reported in the PBRER. The protocols of these studies are </w:t>
      </w:r>
      <w:r w:rsidRPr="00EF11A7">
        <w:rPr>
          <w:rFonts w:eastAsia="ArialMT" w:cs="Arial"/>
          <w:kern w:val="1"/>
        </w:rPr>
        <w:t xml:space="preserve">summarised in </w:t>
      </w:r>
      <w:r w:rsidR="00EF11A7" w:rsidRPr="00EF11A7">
        <w:rPr>
          <w:rFonts w:eastAsia="ArialMT" w:cs="Arial"/>
          <w:kern w:val="1"/>
        </w:rPr>
        <w:t>Table 3</w:t>
      </w:r>
      <w:r w:rsidR="00F05C2C">
        <w:rPr>
          <w:rFonts w:eastAsia="ArialMT" w:cs="Arial"/>
          <w:kern w:val="1"/>
        </w:rPr>
        <w:t>2</w:t>
      </w:r>
      <w:r w:rsidRPr="00EF11A7">
        <w:rPr>
          <w:rFonts w:eastAsia="ArialMT" w:cs="Arial"/>
          <w:kern w:val="1"/>
        </w:rPr>
        <w:t>.</w:t>
      </w:r>
    </w:p>
    <w:p w14:paraId="2FC41179" w14:textId="77777777" w:rsidR="008F1BE3" w:rsidRDefault="008F1BE3" w:rsidP="00EF11A7">
      <w:pPr>
        <w:pStyle w:val="Tabletitle"/>
        <w:rPr>
          <w:lang w:eastAsia="hi-IN" w:bidi="hi-IN"/>
        </w:rPr>
      </w:pPr>
      <w:r w:rsidRPr="00D6425F">
        <w:rPr>
          <w:lang w:eastAsia="hi-IN" w:bidi="hi-IN"/>
        </w:rPr>
        <w:lastRenderedPageBreak/>
        <w:t xml:space="preserve">Table </w:t>
      </w:r>
      <w:r w:rsidR="00EF11A7">
        <w:rPr>
          <w:lang w:eastAsia="hi-IN" w:bidi="hi-IN"/>
        </w:rPr>
        <w:t>3</w:t>
      </w:r>
      <w:r w:rsidR="00F05C2C">
        <w:rPr>
          <w:lang w:eastAsia="hi-IN" w:bidi="hi-IN"/>
        </w:rPr>
        <w:t>2</w:t>
      </w:r>
      <w:r w:rsidR="00EF11A7">
        <w:rPr>
          <w:lang w:eastAsia="hi-IN" w:bidi="hi-IN"/>
        </w:rPr>
        <w:t xml:space="preserve">: </w:t>
      </w:r>
      <w:r w:rsidRPr="00D6425F">
        <w:rPr>
          <w:lang w:eastAsia="hi-IN" w:bidi="hi-IN"/>
        </w:rPr>
        <w:t>Status of sponsor initiated studies reported in PBRER</w:t>
      </w:r>
    </w:p>
    <w:p w14:paraId="0FDF28F3" w14:textId="77777777" w:rsidR="00EF11A7" w:rsidRPr="00D6425F" w:rsidRDefault="00EF11A7" w:rsidP="008F1BE3">
      <w:pPr>
        <w:widowControl w:val="0"/>
        <w:suppressAutoHyphens/>
        <w:spacing w:after="0"/>
        <w:rPr>
          <w:rFonts w:eastAsia="SimSun" w:cs="Arial"/>
          <w:kern w:val="1"/>
          <w:lang w:eastAsia="hi-IN" w:bidi="hi-IN"/>
        </w:rPr>
      </w:pPr>
      <w:r>
        <w:rPr>
          <w:noProof/>
          <w:lang w:eastAsia="en-AU"/>
        </w:rPr>
        <w:drawing>
          <wp:inline distT="0" distB="0" distL="0" distR="0" wp14:anchorId="0E6DFDD1" wp14:editId="26FC7980">
            <wp:extent cx="5694218" cy="6289800"/>
            <wp:effectExtent l="0" t="0" r="1905" b="0"/>
            <wp:docPr id="13" name="Picture 13" descr="Status of sponsor initiated studies reported in PB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Lst>
                    </a:blip>
                    <a:stretch>
                      <a:fillRect/>
                    </a:stretch>
                  </pic:blipFill>
                  <pic:spPr>
                    <a:xfrm>
                      <a:off x="0" y="0"/>
                      <a:ext cx="5693779" cy="6289315"/>
                    </a:xfrm>
                    <a:prstGeom prst="rect">
                      <a:avLst/>
                    </a:prstGeom>
                  </pic:spPr>
                </pic:pic>
              </a:graphicData>
            </a:graphic>
          </wp:inline>
        </w:drawing>
      </w:r>
    </w:p>
    <w:p w14:paraId="7F32AB85" w14:textId="77777777" w:rsidR="0033578E" w:rsidRPr="00950AC1" w:rsidRDefault="0033578E" w:rsidP="008F1BE3">
      <w:pPr>
        <w:widowControl w:val="0"/>
        <w:suppressAutoHyphens/>
        <w:rPr>
          <w:rFonts w:eastAsia="ArialMT" w:cs="Arial"/>
          <w:b/>
          <w:bCs/>
          <w:kern w:val="1"/>
        </w:rPr>
      </w:pPr>
      <w:r w:rsidRPr="00950AC1">
        <w:rPr>
          <w:rFonts w:eastAsia="ArialMT" w:cs="Arial"/>
          <w:kern w:val="1"/>
        </w:rPr>
        <w:t xml:space="preserve">One patient in </w:t>
      </w:r>
      <w:r w:rsidR="00EF11A7">
        <w:rPr>
          <w:rFonts w:eastAsia="ArialMT" w:cs="Arial"/>
          <w:kern w:val="1"/>
        </w:rPr>
        <w:t>S</w:t>
      </w:r>
      <w:r w:rsidRPr="00EF11A7">
        <w:rPr>
          <w:rFonts w:eastAsia="ArialMT" w:cs="Arial"/>
          <w:kern w:val="1"/>
        </w:rPr>
        <w:t>tudy GRC 57</w:t>
      </w:r>
      <w:r w:rsidRPr="00950AC1">
        <w:rPr>
          <w:rFonts w:eastAsia="ArialMT" w:cs="Arial"/>
          <w:kern w:val="1"/>
        </w:rPr>
        <w:t xml:space="preserve"> suffered three adverse events (atrial fibrillation, cardiac failure and transient ischemic attack) </w:t>
      </w:r>
      <w:r>
        <w:rPr>
          <w:rFonts w:eastAsia="ArialMT" w:cs="Arial"/>
          <w:kern w:val="1"/>
        </w:rPr>
        <w:t>that</w:t>
      </w:r>
      <w:r w:rsidRPr="00950AC1">
        <w:rPr>
          <w:rFonts w:eastAsia="ArialMT" w:cs="Arial"/>
          <w:kern w:val="1"/>
        </w:rPr>
        <w:t xml:space="preserve"> were considered unrelated to vaccine. There were no adverse events leading to discontinuation or deaths during the study. </w:t>
      </w:r>
      <w:r w:rsidRPr="00EF11A7">
        <w:rPr>
          <w:rFonts w:eastAsia="ArialMT" w:cs="Arial"/>
          <w:kern w:val="1"/>
        </w:rPr>
        <w:t>Study GRC 71</w:t>
      </w:r>
      <w:r w:rsidRPr="00950AC1">
        <w:rPr>
          <w:rFonts w:eastAsia="ArialMT" w:cs="Arial"/>
          <w:kern w:val="1"/>
        </w:rPr>
        <w:t xml:space="preserve"> is ongoing but </w:t>
      </w:r>
      <w:r>
        <w:rPr>
          <w:rFonts w:eastAsia="ArialMT" w:cs="Arial"/>
          <w:kern w:val="1"/>
        </w:rPr>
        <w:t xml:space="preserve">thus far </w:t>
      </w:r>
      <w:r w:rsidRPr="00950AC1">
        <w:rPr>
          <w:rFonts w:eastAsia="ArialMT" w:cs="Arial"/>
          <w:kern w:val="1"/>
        </w:rPr>
        <w:t xml:space="preserve">has reported no </w:t>
      </w:r>
      <w:r>
        <w:rPr>
          <w:rFonts w:eastAsia="ArialMT" w:cs="Arial"/>
          <w:kern w:val="1"/>
        </w:rPr>
        <w:t>SAEs</w:t>
      </w:r>
      <w:r w:rsidRPr="00950AC1">
        <w:rPr>
          <w:rFonts w:eastAsia="ArialMT" w:cs="Arial"/>
          <w:kern w:val="1"/>
        </w:rPr>
        <w:t>, deaths or adverse events leading to discontinuation.</w:t>
      </w:r>
    </w:p>
    <w:p w14:paraId="55EB04D3" w14:textId="77777777" w:rsidR="0033578E" w:rsidRPr="00950AC1" w:rsidRDefault="0033578E" w:rsidP="00EF11A7">
      <w:pPr>
        <w:pStyle w:val="Heading5"/>
        <w:rPr>
          <w:rFonts w:eastAsia="ArialMT"/>
        </w:rPr>
      </w:pPr>
      <w:r w:rsidRPr="00950AC1">
        <w:rPr>
          <w:rFonts w:eastAsia="ArialMT"/>
        </w:rPr>
        <w:t>Non-interventional studies</w:t>
      </w:r>
    </w:p>
    <w:p w14:paraId="34250811" w14:textId="77777777" w:rsidR="0033578E" w:rsidRPr="00950AC1" w:rsidRDefault="0033578E" w:rsidP="0033578E">
      <w:pPr>
        <w:autoSpaceDE w:val="0"/>
        <w:rPr>
          <w:rFonts w:eastAsia="ArialMT" w:cs="Arial"/>
          <w:b/>
          <w:bCs/>
          <w:kern w:val="1"/>
        </w:rPr>
      </w:pPr>
      <w:r w:rsidRPr="00950AC1">
        <w:rPr>
          <w:rFonts w:eastAsia="ArialMT" w:cs="Arial"/>
          <w:kern w:val="1"/>
        </w:rPr>
        <w:t xml:space="preserve">Three non-interventional studies were reported in the PBRER but these did not include </w:t>
      </w:r>
      <w:r w:rsidR="00CD0E09">
        <w:rPr>
          <w:rFonts w:eastAsia="ArialMT" w:cs="Arial"/>
          <w:kern w:val="1"/>
        </w:rPr>
        <w:t>Fluzone High-Dose</w:t>
      </w:r>
      <w:r w:rsidRPr="00950AC1">
        <w:rPr>
          <w:rFonts w:eastAsia="ArialMT" w:cs="Arial"/>
          <w:kern w:val="1"/>
        </w:rPr>
        <w:t xml:space="preserve"> treatment.</w:t>
      </w:r>
    </w:p>
    <w:p w14:paraId="0BB33FDB" w14:textId="77777777" w:rsidR="0033578E" w:rsidRPr="00950AC1" w:rsidRDefault="0033578E" w:rsidP="00EF11A7">
      <w:pPr>
        <w:pStyle w:val="Heading5"/>
        <w:rPr>
          <w:rFonts w:eastAsia="ArialMT"/>
        </w:rPr>
      </w:pPr>
      <w:r w:rsidRPr="00950AC1">
        <w:rPr>
          <w:rFonts w:eastAsia="ArialMT"/>
        </w:rPr>
        <w:t>Investigator initiated studies</w:t>
      </w:r>
    </w:p>
    <w:p w14:paraId="76A57991" w14:textId="77777777" w:rsidR="0033578E" w:rsidRPr="00950AC1" w:rsidRDefault="0033578E" w:rsidP="0033578E">
      <w:pPr>
        <w:autoSpaceDE w:val="0"/>
        <w:rPr>
          <w:rFonts w:eastAsia="ArialMT" w:cs="Arial"/>
          <w:kern w:val="1"/>
          <w:sz w:val="24"/>
        </w:rPr>
      </w:pPr>
      <w:r w:rsidRPr="00950AC1">
        <w:rPr>
          <w:rFonts w:eastAsia="ArialMT" w:cs="Arial"/>
          <w:kern w:val="1"/>
        </w:rPr>
        <w:t>The PBRER noted 13 investigator</w:t>
      </w:r>
      <w:r>
        <w:rPr>
          <w:rFonts w:eastAsia="ArialMT" w:cs="Arial"/>
          <w:kern w:val="1"/>
        </w:rPr>
        <w:t>-</w:t>
      </w:r>
      <w:r w:rsidRPr="00950AC1">
        <w:rPr>
          <w:rFonts w:eastAsia="ArialMT" w:cs="Arial"/>
          <w:kern w:val="1"/>
        </w:rPr>
        <w:t xml:space="preserve">initiated trials of which the </w:t>
      </w:r>
      <w:r w:rsidR="00EF11A7">
        <w:rPr>
          <w:rFonts w:eastAsia="ArialMT" w:cs="Arial"/>
          <w:kern w:val="1"/>
        </w:rPr>
        <w:t>s</w:t>
      </w:r>
      <w:r w:rsidRPr="00950AC1">
        <w:rPr>
          <w:rFonts w:eastAsia="ArialMT" w:cs="Arial"/>
          <w:kern w:val="1"/>
        </w:rPr>
        <w:t>ponsor was aware, 11 of which were ongoing, 1 of which was completed and 1 cancelled. No safety issues referencing thes</w:t>
      </w:r>
      <w:r w:rsidR="00EF11A7">
        <w:rPr>
          <w:rFonts w:eastAsia="ArialMT" w:cs="Arial"/>
          <w:kern w:val="1"/>
        </w:rPr>
        <w:t>e studies were reported to the s</w:t>
      </w:r>
      <w:r w:rsidRPr="00950AC1">
        <w:rPr>
          <w:rFonts w:eastAsia="ArialMT" w:cs="Arial"/>
          <w:kern w:val="1"/>
        </w:rPr>
        <w:t xml:space="preserve">ponsor during the PBRER reporting period. Six of the studies </w:t>
      </w:r>
      <w:r w:rsidRPr="00950AC1">
        <w:rPr>
          <w:rFonts w:eastAsia="ArialMT" w:cs="Arial"/>
          <w:kern w:val="1"/>
        </w:rPr>
        <w:lastRenderedPageBreak/>
        <w:t xml:space="preserve">appear from their titles to involve </w:t>
      </w:r>
      <w:r w:rsidR="00CD0E09">
        <w:rPr>
          <w:rFonts w:eastAsia="ArialMT" w:cs="Arial"/>
          <w:kern w:val="1"/>
        </w:rPr>
        <w:t>Fluzone High-Dose</w:t>
      </w:r>
      <w:r>
        <w:rPr>
          <w:rFonts w:eastAsia="ArialMT" w:cs="Arial"/>
          <w:kern w:val="1"/>
        </w:rPr>
        <w:t>,</w:t>
      </w:r>
      <w:r w:rsidRPr="00950AC1">
        <w:rPr>
          <w:rFonts w:eastAsia="ArialMT" w:cs="Arial"/>
          <w:kern w:val="1"/>
        </w:rPr>
        <w:t xml:space="preserve"> </w:t>
      </w:r>
      <w:r>
        <w:rPr>
          <w:rFonts w:eastAsia="ArialMT" w:cs="Arial"/>
          <w:kern w:val="1"/>
        </w:rPr>
        <w:t>and</w:t>
      </w:r>
      <w:r w:rsidRPr="00950AC1">
        <w:rPr>
          <w:rFonts w:eastAsia="ArialMT" w:cs="Arial"/>
          <w:kern w:val="1"/>
        </w:rPr>
        <w:t xml:space="preserve"> as protocols were not reported all have been included for completeness.</w:t>
      </w:r>
    </w:p>
    <w:p w14:paraId="453594AE" w14:textId="4226E087" w:rsidR="0033578E" w:rsidRPr="00B46229" w:rsidRDefault="0033578E" w:rsidP="00EF11A7">
      <w:pPr>
        <w:pStyle w:val="Heading4"/>
      </w:pPr>
      <w:bookmarkStart w:id="209" w:name="_Toc370580807"/>
      <w:r w:rsidRPr="00B46229">
        <w:t>Literature reports of safety issues</w:t>
      </w:r>
      <w:bookmarkEnd w:id="209"/>
    </w:p>
    <w:p w14:paraId="3395AB5B" w14:textId="77777777" w:rsidR="0033578E" w:rsidRPr="00950AC1" w:rsidRDefault="0033578E" w:rsidP="0033578E">
      <w:pPr>
        <w:rPr>
          <w:rFonts w:eastAsia="ArialMT"/>
        </w:rPr>
      </w:pPr>
      <w:r w:rsidRPr="00950AC1">
        <w:rPr>
          <w:rFonts w:eastAsia="ArialMT"/>
        </w:rPr>
        <w:t xml:space="preserve">During the reporting period 2 original studies were published which included analysis of the safety of </w:t>
      </w:r>
      <w:r w:rsidR="00CD0E09">
        <w:rPr>
          <w:rFonts w:eastAsia="ArialMT"/>
        </w:rPr>
        <w:t>Fluzone High-Dose</w:t>
      </w:r>
      <w:r w:rsidRPr="00950AC1">
        <w:rPr>
          <w:rFonts w:eastAsia="ArialMT"/>
        </w:rPr>
        <w:t xml:space="preserve">. These reports did not identify any new safety issues related to </w:t>
      </w:r>
      <w:r w:rsidR="00CD0E09">
        <w:rPr>
          <w:rFonts w:eastAsia="ArialMT"/>
        </w:rPr>
        <w:t>Fluzone High-Dose</w:t>
      </w:r>
      <w:r w:rsidRPr="00950AC1">
        <w:rPr>
          <w:rFonts w:eastAsia="ArialMT"/>
        </w:rPr>
        <w:t>.</w:t>
      </w:r>
    </w:p>
    <w:p w14:paraId="0FDB9B3A" w14:textId="68806658" w:rsidR="0033578E" w:rsidRPr="00950AC1" w:rsidRDefault="0033578E" w:rsidP="00EF11A7">
      <w:pPr>
        <w:pStyle w:val="Heading4"/>
      </w:pPr>
      <w:bookmarkStart w:id="210" w:name="_Toc370580808"/>
      <w:r w:rsidRPr="00B46229">
        <w:t>Cumulative</w:t>
      </w:r>
      <w:r w:rsidRPr="00950AC1">
        <w:t xml:space="preserve"> </w:t>
      </w:r>
      <w:r w:rsidRPr="00946B71">
        <w:t>SAEs from post-marketing</w:t>
      </w:r>
      <w:r w:rsidRPr="00946B71">
        <w:rPr>
          <w:spacing w:val="-24"/>
        </w:rPr>
        <w:t xml:space="preserve"> </w:t>
      </w:r>
      <w:r w:rsidRPr="00946B71">
        <w:t>data</w:t>
      </w:r>
      <w:bookmarkEnd w:id="210"/>
    </w:p>
    <w:p w14:paraId="76DEB963" w14:textId="77777777" w:rsidR="0033578E" w:rsidRPr="00950AC1" w:rsidRDefault="0033578E" w:rsidP="0033578E">
      <w:pPr>
        <w:autoSpaceDE w:val="0"/>
        <w:rPr>
          <w:rFonts w:eastAsia="ArialMT" w:cs="Arial"/>
          <w:kern w:val="1"/>
        </w:rPr>
      </w:pPr>
      <w:r w:rsidRPr="00950AC1">
        <w:rPr>
          <w:rFonts w:eastAsia="ArialMT" w:cs="Arial"/>
          <w:kern w:val="1"/>
        </w:rPr>
        <w:t>The cu</w:t>
      </w:r>
      <w:r>
        <w:rPr>
          <w:rFonts w:eastAsia="ArialMT" w:cs="Arial"/>
          <w:kern w:val="1"/>
        </w:rPr>
        <w:t>m</w:t>
      </w:r>
      <w:r w:rsidRPr="00950AC1">
        <w:rPr>
          <w:rFonts w:eastAsia="ArialMT" w:cs="Arial"/>
          <w:kern w:val="1"/>
        </w:rPr>
        <w:t xml:space="preserve">ulative incidence of </w:t>
      </w:r>
      <w:r>
        <w:rPr>
          <w:rFonts w:eastAsia="ArialMT" w:cs="Arial"/>
          <w:kern w:val="1"/>
        </w:rPr>
        <w:t xml:space="preserve">SAEs </w:t>
      </w:r>
      <w:r w:rsidRPr="00950AC1">
        <w:rPr>
          <w:rFonts w:eastAsia="ArialMT" w:cs="Arial"/>
          <w:kern w:val="1"/>
        </w:rPr>
        <w:t xml:space="preserve">reported </w:t>
      </w:r>
      <w:r>
        <w:rPr>
          <w:rFonts w:eastAsia="ArialMT" w:cs="Arial"/>
          <w:kern w:val="1"/>
        </w:rPr>
        <w:t>between</w:t>
      </w:r>
      <w:r w:rsidRPr="00950AC1">
        <w:rPr>
          <w:rFonts w:eastAsia="ArialMT" w:cs="Arial"/>
          <w:kern w:val="1"/>
        </w:rPr>
        <w:t xml:space="preserve"> 1993 </w:t>
      </w:r>
      <w:r>
        <w:rPr>
          <w:rFonts w:eastAsia="ArialMT" w:cs="Arial"/>
          <w:kern w:val="1"/>
        </w:rPr>
        <w:t>and</w:t>
      </w:r>
      <w:r w:rsidRPr="00950AC1">
        <w:rPr>
          <w:rFonts w:eastAsia="ArialMT" w:cs="Arial"/>
          <w:kern w:val="1"/>
        </w:rPr>
        <w:t xml:space="preserve"> September 2016 was line listed in the PBRER. This provides a long</w:t>
      </w:r>
      <w:r>
        <w:rPr>
          <w:rFonts w:eastAsia="ArialMT" w:cs="Arial"/>
          <w:kern w:val="1"/>
        </w:rPr>
        <w:t>-</w:t>
      </w:r>
      <w:r w:rsidRPr="00950AC1">
        <w:rPr>
          <w:rFonts w:eastAsia="ArialMT" w:cs="Arial"/>
          <w:kern w:val="1"/>
        </w:rPr>
        <w:t>term baseline of adverse events beyond the reporting period of the PBRER submitted.</w:t>
      </w:r>
      <w:r>
        <w:rPr>
          <w:rFonts w:eastAsia="ArialMT" w:cs="Arial"/>
          <w:kern w:val="1"/>
        </w:rPr>
        <w:t xml:space="preserve"> </w:t>
      </w:r>
      <w:r w:rsidRPr="00950AC1">
        <w:rPr>
          <w:rFonts w:eastAsia="ArialMT" w:cs="Arial"/>
          <w:kern w:val="1"/>
        </w:rPr>
        <w:t>Th</w:t>
      </w:r>
      <w:r>
        <w:rPr>
          <w:rFonts w:eastAsia="ArialMT" w:cs="Arial"/>
          <w:kern w:val="1"/>
        </w:rPr>
        <w:t>ese</w:t>
      </w:r>
      <w:r w:rsidRPr="00950AC1">
        <w:rPr>
          <w:rFonts w:eastAsia="ArialMT" w:cs="Arial"/>
          <w:kern w:val="1"/>
        </w:rPr>
        <w:t xml:space="preserve"> data include both medically confirmed reports from health care providers, reports in the scientific literature and reports from consumers.</w:t>
      </w:r>
    </w:p>
    <w:p w14:paraId="597B0971" w14:textId="77777777" w:rsidR="0033578E" w:rsidRPr="00950AC1" w:rsidRDefault="0033578E" w:rsidP="0033578E">
      <w:pPr>
        <w:autoSpaceDE w:val="0"/>
        <w:rPr>
          <w:rFonts w:eastAsia="ArialMT" w:cs="Arial"/>
          <w:kern w:val="1"/>
        </w:rPr>
      </w:pPr>
      <w:r w:rsidRPr="00950AC1">
        <w:rPr>
          <w:rFonts w:eastAsia="ArialMT" w:cs="Arial"/>
          <w:kern w:val="1"/>
        </w:rPr>
        <w:t>While rates of adverse events cannot be calculated from th</w:t>
      </w:r>
      <w:r>
        <w:rPr>
          <w:rFonts w:eastAsia="ArialMT" w:cs="Arial"/>
          <w:kern w:val="1"/>
        </w:rPr>
        <w:t>ese</w:t>
      </w:r>
      <w:r w:rsidRPr="00950AC1">
        <w:rPr>
          <w:rFonts w:eastAsia="ArialMT" w:cs="Arial"/>
          <w:kern w:val="1"/>
        </w:rPr>
        <w:t xml:space="preserve"> data, the general trend</w:t>
      </w:r>
      <w:r>
        <w:rPr>
          <w:rFonts w:eastAsia="ArialMT" w:cs="Arial"/>
          <w:kern w:val="1"/>
        </w:rPr>
        <w:t>s</w:t>
      </w:r>
      <w:r w:rsidRPr="00950AC1">
        <w:rPr>
          <w:rFonts w:eastAsia="ArialMT" w:cs="Arial"/>
          <w:kern w:val="1"/>
        </w:rPr>
        <w:t xml:space="preserve"> </w:t>
      </w:r>
      <w:r>
        <w:rPr>
          <w:rFonts w:eastAsia="ArialMT" w:cs="Arial"/>
          <w:kern w:val="1"/>
        </w:rPr>
        <w:t>in</w:t>
      </w:r>
      <w:r w:rsidRPr="00950AC1">
        <w:rPr>
          <w:rFonts w:eastAsia="ArialMT" w:cs="Arial"/>
          <w:kern w:val="1"/>
        </w:rPr>
        <w:t xml:space="preserve"> case and reaction numbers </w:t>
      </w:r>
      <w:r>
        <w:rPr>
          <w:rFonts w:eastAsia="ArialMT" w:cs="Arial"/>
          <w:kern w:val="1"/>
        </w:rPr>
        <w:t>are</w:t>
      </w:r>
      <w:r w:rsidRPr="00950AC1">
        <w:rPr>
          <w:rFonts w:eastAsia="ArialMT" w:cs="Arial"/>
          <w:kern w:val="1"/>
        </w:rPr>
        <w:t xml:space="preserve"> consistent with those observed in Study </w:t>
      </w:r>
      <w:r w:rsidRPr="00EF11A7">
        <w:rPr>
          <w:rFonts w:eastAsia="ArialMT" w:cs="Arial"/>
          <w:kern w:val="1"/>
        </w:rPr>
        <w:t>FIM12</w:t>
      </w:r>
      <w:r w:rsidRPr="00950AC1">
        <w:rPr>
          <w:rFonts w:eastAsia="ArialMT" w:cs="Arial"/>
          <w:kern w:val="1"/>
        </w:rPr>
        <w:t xml:space="preserve"> and do not suggest a different pattern of adverse events in the post-marketing environment from </w:t>
      </w:r>
      <w:r>
        <w:rPr>
          <w:rFonts w:eastAsia="ArialMT" w:cs="Arial"/>
          <w:kern w:val="1"/>
        </w:rPr>
        <w:t xml:space="preserve">those in </w:t>
      </w:r>
      <w:r w:rsidRPr="00950AC1">
        <w:rPr>
          <w:rFonts w:eastAsia="ArialMT" w:cs="Arial"/>
          <w:kern w:val="1"/>
        </w:rPr>
        <w:t>the pivotal trial.</w:t>
      </w:r>
    </w:p>
    <w:p w14:paraId="60262544" w14:textId="77777777" w:rsidR="0033578E" w:rsidRDefault="0033578E" w:rsidP="00EF11A7">
      <w:pPr>
        <w:pStyle w:val="Tabletitle"/>
      </w:pPr>
      <w:bookmarkStart w:id="211" w:name="_Toc370576223"/>
      <w:r w:rsidRPr="00950AC1">
        <w:t>T</w:t>
      </w:r>
      <w:r w:rsidR="00EF11A7">
        <w:t>able 3</w:t>
      </w:r>
      <w:r w:rsidR="00F05C2C">
        <w:t>3</w:t>
      </w:r>
      <w:r w:rsidRPr="00950AC1">
        <w:t xml:space="preserve">: Summary of cumulative incidence of serious cases and serious reactions by System Organ Class over the marketing history of </w:t>
      </w:r>
      <w:r w:rsidR="00CD0E09">
        <w:t>Fluzone High-Dose</w:t>
      </w:r>
      <w:bookmarkEnd w:id="211"/>
    </w:p>
    <w:tbl>
      <w:tblPr>
        <w:tblStyle w:val="TableTGAblue"/>
        <w:tblW w:w="8755" w:type="dxa"/>
        <w:tblLook w:val="04A0" w:firstRow="1" w:lastRow="0" w:firstColumn="1" w:lastColumn="0" w:noHBand="0" w:noVBand="1"/>
      </w:tblPr>
      <w:tblGrid>
        <w:gridCol w:w="3080"/>
        <w:gridCol w:w="2698"/>
        <w:gridCol w:w="2977"/>
      </w:tblGrid>
      <w:tr w:rsidR="009A3199" w14:paraId="0944A46F" w14:textId="77777777" w:rsidTr="005804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tcPr>
          <w:p w14:paraId="13F28022" w14:textId="718DD96F" w:rsidR="009A3199" w:rsidRPr="009A3199" w:rsidRDefault="009A3199" w:rsidP="009A3199">
            <w:r w:rsidRPr="009A3199">
              <w:rPr>
                <w:sz w:val="20"/>
                <w:szCs w:val="20"/>
              </w:rPr>
              <w:t>System Organ Class (SOC)</w:t>
            </w:r>
          </w:p>
        </w:tc>
        <w:tc>
          <w:tcPr>
            <w:tcW w:w="2698" w:type="dxa"/>
          </w:tcPr>
          <w:p w14:paraId="33B7788D" w14:textId="2FF0679B" w:rsidR="009A3199" w:rsidRPr="009A3199" w:rsidRDefault="009A3199" w:rsidP="009A3199">
            <w:pPr>
              <w:cnfStyle w:val="100000000000" w:firstRow="1" w:lastRow="0" w:firstColumn="0" w:lastColumn="0" w:oddVBand="0" w:evenVBand="0" w:oddHBand="0" w:evenHBand="0" w:firstRowFirstColumn="0" w:firstRowLastColumn="0" w:lastRowFirstColumn="0" w:lastRowLastColumn="0"/>
            </w:pPr>
            <w:r w:rsidRPr="009A3199">
              <w:rPr>
                <w:sz w:val="20"/>
                <w:szCs w:val="20"/>
              </w:rPr>
              <w:t>Cumulative Number of cases (SAEs)</w:t>
            </w:r>
          </w:p>
        </w:tc>
        <w:tc>
          <w:tcPr>
            <w:tcW w:w="2977" w:type="dxa"/>
          </w:tcPr>
          <w:p w14:paraId="3F81DBE6" w14:textId="72BE8054" w:rsidR="009A3199" w:rsidRPr="009A3199" w:rsidRDefault="009A3199" w:rsidP="009A3199">
            <w:pPr>
              <w:cnfStyle w:val="100000000000" w:firstRow="1" w:lastRow="0" w:firstColumn="0" w:lastColumn="0" w:oddVBand="0" w:evenVBand="0" w:oddHBand="0" w:evenHBand="0" w:firstRowFirstColumn="0" w:firstRowLastColumn="0" w:lastRowFirstColumn="0" w:lastRowLastColumn="0"/>
            </w:pPr>
            <w:r w:rsidRPr="009A3199">
              <w:rPr>
                <w:sz w:val="20"/>
                <w:szCs w:val="20"/>
              </w:rPr>
              <w:t>Cumulative Number of reactions (SAEs)</w:t>
            </w:r>
          </w:p>
        </w:tc>
      </w:tr>
      <w:tr w:rsidR="009A3199" w14:paraId="0682605A"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47ABAA2D" w14:textId="69DB6012" w:rsidR="009A3199" w:rsidRDefault="009A3199" w:rsidP="009A3199">
            <w:r w:rsidRPr="00A06D16">
              <w:rPr>
                <w:sz w:val="20"/>
                <w:szCs w:val="20"/>
              </w:rPr>
              <w:t>Blood and lymphatic system</w:t>
            </w:r>
          </w:p>
        </w:tc>
        <w:tc>
          <w:tcPr>
            <w:tcW w:w="2698" w:type="dxa"/>
          </w:tcPr>
          <w:p w14:paraId="18B339F6" w14:textId="34C37149"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3</w:t>
            </w:r>
          </w:p>
        </w:tc>
        <w:tc>
          <w:tcPr>
            <w:tcW w:w="2977" w:type="dxa"/>
          </w:tcPr>
          <w:p w14:paraId="23D09F07" w14:textId="114DFFCB"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6</w:t>
            </w:r>
          </w:p>
        </w:tc>
      </w:tr>
      <w:tr w:rsidR="009A3199" w14:paraId="76946ED6"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348238CA" w14:textId="20019032" w:rsidR="009A3199" w:rsidRDefault="009A3199" w:rsidP="009A3199">
            <w:r w:rsidRPr="00A06D16">
              <w:rPr>
                <w:sz w:val="20"/>
                <w:szCs w:val="20"/>
              </w:rPr>
              <w:t>Cardiac disorders</w:t>
            </w:r>
          </w:p>
        </w:tc>
        <w:tc>
          <w:tcPr>
            <w:tcW w:w="2698" w:type="dxa"/>
          </w:tcPr>
          <w:p w14:paraId="15AB9203" w14:textId="48DDDE67"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14</w:t>
            </w:r>
          </w:p>
        </w:tc>
        <w:tc>
          <w:tcPr>
            <w:tcW w:w="2977" w:type="dxa"/>
          </w:tcPr>
          <w:p w14:paraId="404316E6" w14:textId="785ACA29"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19</w:t>
            </w:r>
          </w:p>
        </w:tc>
      </w:tr>
      <w:tr w:rsidR="009A3199" w14:paraId="3BBDD369"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02D91AF3" w14:textId="77059917" w:rsidR="009A3199" w:rsidRDefault="009A3199" w:rsidP="009A3199">
            <w:r w:rsidRPr="00A06D16">
              <w:rPr>
                <w:sz w:val="20"/>
                <w:szCs w:val="20"/>
              </w:rPr>
              <w:t>Ear and labyrinth disorders</w:t>
            </w:r>
          </w:p>
        </w:tc>
        <w:tc>
          <w:tcPr>
            <w:tcW w:w="2698" w:type="dxa"/>
          </w:tcPr>
          <w:p w14:paraId="0177008C" w14:textId="02A9E9F1"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6</w:t>
            </w:r>
          </w:p>
        </w:tc>
        <w:tc>
          <w:tcPr>
            <w:tcW w:w="2977" w:type="dxa"/>
          </w:tcPr>
          <w:p w14:paraId="696A4E46" w14:textId="4E0A88AB"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7</w:t>
            </w:r>
          </w:p>
        </w:tc>
      </w:tr>
      <w:tr w:rsidR="009A3199" w14:paraId="07234247"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2E4206F4" w14:textId="2CCEF9C6" w:rsidR="009A3199" w:rsidRDefault="009A3199" w:rsidP="009A3199">
            <w:r w:rsidRPr="00A06D16">
              <w:rPr>
                <w:sz w:val="20"/>
                <w:szCs w:val="20"/>
              </w:rPr>
              <w:t>Eye disorders</w:t>
            </w:r>
          </w:p>
        </w:tc>
        <w:tc>
          <w:tcPr>
            <w:tcW w:w="2698" w:type="dxa"/>
          </w:tcPr>
          <w:p w14:paraId="76FDB1E5" w14:textId="4B8071D5"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12</w:t>
            </w:r>
          </w:p>
        </w:tc>
        <w:tc>
          <w:tcPr>
            <w:tcW w:w="2977" w:type="dxa"/>
          </w:tcPr>
          <w:p w14:paraId="5C6377E8" w14:textId="0529F90B"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16</w:t>
            </w:r>
          </w:p>
        </w:tc>
      </w:tr>
      <w:tr w:rsidR="009A3199" w14:paraId="2027CBC2"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58DD5D57" w14:textId="1B50E27F" w:rsidR="009A3199" w:rsidRDefault="009A3199" w:rsidP="009A3199">
            <w:r w:rsidRPr="00A06D16">
              <w:rPr>
                <w:sz w:val="20"/>
                <w:szCs w:val="20"/>
              </w:rPr>
              <w:t>Gastrointestinal disorders</w:t>
            </w:r>
          </w:p>
        </w:tc>
        <w:tc>
          <w:tcPr>
            <w:tcW w:w="2698" w:type="dxa"/>
          </w:tcPr>
          <w:p w14:paraId="49B0B48B" w14:textId="199BC376"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33</w:t>
            </w:r>
          </w:p>
        </w:tc>
        <w:tc>
          <w:tcPr>
            <w:tcW w:w="2977" w:type="dxa"/>
          </w:tcPr>
          <w:p w14:paraId="5382555B" w14:textId="3643C435"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49</w:t>
            </w:r>
          </w:p>
        </w:tc>
      </w:tr>
      <w:tr w:rsidR="009A3199" w14:paraId="1EDBDA73"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65C4B402" w14:textId="090DD325" w:rsidR="009A3199" w:rsidRDefault="009A3199" w:rsidP="009A3199">
            <w:r w:rsidRPr="00A06D16">
              <w:rPr>
                <w:sz w:val="20"/>
                <w:szCs w:val="20"/>
              </w:rPr>
              <w:t>General disorders and administration site conditions</w:t>
            </w:r>
          </w:p>
        </w:tc>
        <w:tc>
          <w:tcPr>
            <w:tcW w:w="2698" w:type="dxa"/>
          </w:tcPr>
          <w:p w14:paraId="13B13492" w14:textId="07A65080"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77</w:t>
            </w:r>
          </w:p>
        </w:tc>
        <w:tc>
          <w:tcPr>
            <w:tcW w:w="2977" w:type="dxa"/>
          </w:tcPr>
          <w:p w14:paraId="1B11E6C7" w14:textId="60CAFB58"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120</w:t>
            </w:r>
          </w:p>
        </w:tc>
      </w:tr>
      <w:tr w:rsidR="009A3199" w14:paraId="3198A51E"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53FBB3A2" w14:textId="7269DDF9" w:rsidR="009A3199" w:rsidRDefault="009A3199" w:rsidP="009A3199">
            <w:r w:rsidRPr="00A06D16">
              <w:rPr>
                <w:sz w:val="20"/>
                <w:szCs w:val="20"/>
              </w:rPr>
              <w:t>Hepatobiliary disorders</w:t>
            </w:r>
          </w:p>
        </w:tc>
        <w:tc>
          <w:tcPr>
            <w:tcW w:w="2698" w:type="dxa"/>
          </w:tcPr>
          <w:p w14:paraId="3072D781" w14:textId="126AEEAF"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19</w:t>
            </w:r>
          </w:p>
        </w:tc>
        <w:tc>
          <w:tcPr>
            <w:tcW w:w="2977" w:type="dxa"/>
          </w:tcPr>
          <w:p w14:paraId="5A9B0538" w14:textId="661953DB"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19</w:t>
            </w:r>
          </w:p>
        </w:tc>
      </w:tr>
      <w:tr w:rsidR="009A3199" w14:paraId="7D7BEE22"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4C6C747D" w14:textId="627587C0" w:rsidR="009A3199" w:rsidRDefault="009A3199" w:rsidP="009A3199">
            <w:r w:rsidRPr="00A06D16">
              <w:rPr>
                <w:sz w:val="20"/>
                <w:szCs w:val="20"/>
              </w:rPr>
              <w:t>Immune system disorders</w:t>
            </w:r>
          </w:p>
        </w:tc>
        <w:tc>
          <w:tcPr>
            <w:tcW w:w="2698" w:type="dxa"/>
          </w:tcPr>
          <w:p w14:paraId="747BFF22" w14:textId="2B535B2F"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19</w:t>
            </w:r>
          </w:p>
        </w:tc>
        <w:tc>
          <w:tcPr>
            <w:tcW w:w="2977" w:type="dxa"/>
          </w:tcPr>
          <w:p w14:paraId="6EF09B7F" w14:textId="74B2E02E"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19</w:t>
            </w:r>
          </w:p>
        </w:tc>
      </w:tr>
      <w:tr w:rsidR="009A3199" w14:paraId="648D3F68"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443960C4" w14:textId="51E5B8F9" w:rsidR="009A3199" w:rsidRDefault="009A3199" w:rsidP="009A3199">
            <w:r w:rsidRPr="00A06D16">
              <w:rPr>
                <w:sz w:val="20"/>
                <w:szCs w:val="20"/>
              </w:rPr>
              <w:t>Infections and infestations</w:t>
            </w:r>
          </w:p>
        </w:tc>
        <w:tc>
          <w:tcPr>
            <w:tcW w:w="2698" w:type="dxa"/>
          </w:tcPr>
          <w:p w14:paraId="62674262" w14:textId="37DDE8F9"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52</w:t>
            </w:r>
          </w:p>
        </w:tc>
        <w:tc>
          <w:tcPr>
            <w:tcW w:w="2977" w:type="dxa"/>
          </w:tcPr>
          <w:p w14:paraId="16E9D183" w14:textId="0D4F4CEF"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59</w:t>
            </w:r>
          </w:p>
        </w:tc>
      </w:tr>
      <w:tr w:rsidR="009A3199" w14:paraId="00265B41"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4CCCF564" w14:textId="74F61BB2" w:rsidR="009A3199" w:rsidRDefault="009A3199" w:rsidP="009A3199">
            <w:r w:rsidRPr="00A06D16">
              <w:rPr>
                <w:sz w:val="20"/>
                <w:szCs w:val="20"/>
              </w:rPr>
              <w:t>Injury, poisonings and procedural complications</w:t>
            </w:r>
          </w:p>
        </w:tc>
        <w:tc>
          <w:tcPr>
            <w:tcW w:w="2698" w:type="dxa"/>
          </w:tcPr>
          <w:p w14:paraId="4891A897" w14:textId="573F7C8F"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19</w:t>
            </w:r>
          </w:p>
        </w:tc>
        <w:tc>
          <w:tcPr>
            <w:tcW w:w="2977" w:type="dxa"/>
          </w:tcPr>
          <w:p w14:paraId="527E879C" w14:textId="364728D8"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25</w:t>
            </w:r>
          </w:p>
        </w:tc>
      </w:tr>
      <w:tr w:rsidR="009A3199" w14:paraId="328B0C9F"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7CC1B54F" w14:textId="20916371" w:rsidR="009A3199" w:rsidRDefault="009A3199" w:rsidP="009A3199">
            <w:r w:rsidRPr="00A06D16">
              <w:rPr>
                <w:sz w:val="20"/>
                <w:szCs w:val="20"/>
              </w:rPr>
              <w:t>Investigations</w:t>
            </w:r>
          </w:p>
        </w:tc>
        <w:tc>
          <w:tcPr>
            <w:tcW w:w="2698" w:type="dxa"/>
          </w:tcPr>
          <w:p w14:paraId="18F5BC89" w14:textId="399A6D90"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18</w:t>
            </w:r>
          </w:p>
        </w:tc>
        <w:tc>
          <w:tcPr>
            <w:tcW w:w="2977" w:type="dxa"/>
          </w:tcPr>
          <w:p w14:paraId="3F72A990" w14:textId="62F6ACE6"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19</w:t>
            </w:r>
          </w:p>
        </w:tc>
      </w:tr>
      <w:tr w:rsidR="009A3199" w14:paraId="025E53DF"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2552436D" w14:textId="04A0AF8F" w:rsidR="009A3199" w:rsidRDefault="009A3199" w:rsidP="009A3199">
            <w:r w:rsidRPr="00A06D16">
              <w:rPr>
                <w:sz w:val="20"/>
                <w:szCs w:val="20"/>
              </w:rPr>
              <w:t>Metabolism and nutrition disorders</w:t>
            </w:r>
          </w:p>
        </w:tc>
        <w:tc>
          <w:tcPr>
            <w:tcW w:w="2698" w:type="dxa"/>
          </w:tcPr>
          <w:p w14:paraId="2D0934AC" w14:textId="746A1190"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8</w:t>
            </w:r>
          </w:p>
        </w:tc>
        <w:tc>
          <w:tcPr>
            <w:tcW w:w="2977" w:type="dxa"/>
          </w:tcPr>
          <w:p w14:paraId="23F616D9" w14:textId="2C53E9DE"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9</w:t>
            </w:r>
          </w:p>
        </w:tc>
      </w:tr>
      <w:tr w:rsidR="009A3199" w14:paraId="472B475D"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5CFC117A" w14:textId="625DA003" w:rsidR="009A3199" w:rsidRPr="00A06D16" w:rsidRDefault="009A3199" w:rsidP="009A3199">
            <w:pPr>
              <w:rPr>
                <w:sz w:val="20"/>
                <w:szCs w:val="20"/>
              </w:rPr>
            </w:pPr>
            <w:r w:rsidRPr="00A06D16">
              <w:rPr>
                <w:sz w:val="20"/>
                <w:szCs w:val="20"/>
              </w:rPr>
              <w:t>Musculoskeletal and connective tissue disorders</w:t>
            </w:r>
          </w:p>
        </w:tc>
        <w:tc>
          <w:tcPr>
            <w:tcW w:w="2698" w:type="dxa"/>
          </w:tcPr>
          <w:p w14:paraId="26E6DCAE" w14:textId="2430C2DE"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39</w:t>
            </w:r>
          </w:p>
        </w:tc>
        <w:tc>
          <w:tcPr>
            <w:tcW w:w="2977" w:type="dxa"/>
          </w:tcPr>
          <w:p w14:paraId="0792CC1F" w14:textId="2A3FBC39"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77</w:t>
            </w:r>
          </w:p>
        </w:tc>
      </w:tr>
      <w:tr w:rsidR="009A3199" w14:paraId="0B704F11"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489BC6E9" w14:textId="6E95F964" w:rsidR="009A3199" w:rsidRPr="00A06D16" w:rsidRDefault="009A3199" w:rsidP="009A3199">
            <w:pPr>
              <w:rPr>
                <w:sz w:val="20"/>
                <w:szCs w:val="20"/>
              </w:rPr>
            </w:pPr>
            <w:r w:rsidRPr="00A06D16">
              <w:rPr>
                <w:sz w:val="20"/>
                <w:szCs w:val="20"/>
              </w:rPr>
              <w:lastRenderedPageBreak/>
              <w:t>Neoplasms</w:t>
            </w:r>
          </w:p>
        </w:tc>
        <w:tc>
          <w:tcPr>
            <w:tcW w:w="2698" w:type="dxa"/>
          </w:tcPr>
          <w:p w14:paraId="5D3B0E79" w14:textId="7DB0745E"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4</w:t>
            </w:r>
          </w:p>
        </w:tc>
        <w:tc>
          <w:tcPr>
            <w:tcW w:w="2977" w:type="dxa"/>
          </w:tcPr>
          <w:p w14:paraId="0B6F9C4F" w14:textId="6A2490A0"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5</w:t>
            </w:r>
          </w:p>
        </w:tc>
      </w:tr>
      <w:tr w:rsidR="009A3199" w14:paraId="6A1BDB01"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24D5C331" w14:textId="49ADA0E3" w:rsidR="009A3199" w:rsidRPr="00A06D16" w:rsidRDefault="009A3199" w:rsidP="009A3199">
            <w:pPr>
              <w:rPr>
                <w:sz w:val="20"/>
                <w:szCs w:val="20"/>
              </w:rPr>
            </w:pPr>
            <w:r w:rsidRPr="00A06D16">
              <w:rPr>
                <w:sz w:val="20"/>
                <w:szCs w:val="20"/>
              </w:rPr>
              <w:t>Nervous system disorders</w:t>
            </w:r>
          </w:p>
        </w:tc>
        <w:tc>
          <w:tcPr>
            <w:tcW w:w="2698" w:type="dxa"/>
          </w:tcPr>
          <w:p w14:paraId="503FA6CE" w14:textId="756D436A"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57</w:t>
            </w:r>
          </w:p>
        </w:tc>
        <w:tc>
          <w:tcPr>
            <w:tcW w:w="2977" w:type="dxa"/>
          </w:tcPr>
          <w:p w14:paraId="5C444E26" w14:textId="17CD33A0"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92</w:t>
            </w:r>
          </w:p>
        </w:tc>
      </w:tr>
      <w:tr w:rsidR="009A3199" w14:paraId="65C0A143"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4FD16611" w14:textId="29F7709E" w:rsidR="009A3199" w:rsidRPr="00A06D16" w:rsidRDefault="009A3199" w:rsidP="009A3199">
            <w:pPr>
              <w:rPr>
                <w:sz w:val="20"/>
                <w:szCs w:val="20"/>
              </w:rPr>
            </w:pPr>
            <w:r w:rsidRPr="00A06D16">
              <w:rPr>
                <w:sz w:val="20"/>
                <w:szCs w:val="20"/>
              </w:rPr>
              <w:t>Psychiatric disorders</w:t>
            </w:r>
          </w:p>
        </w:tc>
        <w:tc>
          <w:tcPr>
            <w:tcW w:w="2698" w:type="dxa"/>
          </w:tcPr>
          <w:p w14:paraId="52F0D4B9" w14:textId="7BC030B7"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11</w:t>
            </w:r>
          </w:p>
        </w:tc>
        <w:tc>
          <w:tcPr>
            <w:tcW w:w="2977" w:type="dxa"/>
          </w:tcPr>
          <w:p w14:paraId="43482247" w14:textId="36425160"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14</w:t>
            </w:r>
          </w:p>
        </w:tc>
      </w:tr>
      <w:tr w:rsidR="009A3199" w14:paraId="35F4A226"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604C8B51" w14:textId="04FD4FD9" w:rsidR="009A3199" w:rsidRPr="00A06D16" w:rsidRDefault="009A3199" w:rsidP="009A3199">
            <w:pPr>
              <w:rPr>
                <w:sz w:val="20"/>
                <w:szCs w:val="20"/>
              </w:rPr>
            </w:pPr>
            <w:r w:rsidRPr="00A06D16">
              <w:rPr>
                <w:sz w:val="20"/>
                <w:szCs w:val="20"/>
              </w:rPr>
              <w:t>Renal and urinary disorders</w:t>
            </w:r>
          </w:p>
        </w:tc>
        <w:tc>
          <w:tcPr>
            <w:tcW w:w="2698" w:type="dxa"/>
          </w:tcPr>
          <w:p w14:paraId="17802A4A" w14:textId="1719DC63"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6</w:t>
            </w:r>
          </w:p>
        </w:tc>
        <w:tc>
          <w:tcPr>
            <w:tcW w:w="2977" w:type="dxa"/>
          </w:tcPr>
          <w:p w14:paraId="6062E5C2" w14:textId="293897F5"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7</w:t>
            </w:r>
          </w:p>
        </w:tc>
      </w:tr>
      <w:tr w:rsidR="009A3199" w14:paraId="5D9813E8"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34627344" w14:textId="2E40838D" w:rsidR="009A3199" w:rsidRPr="00A06D16" w:rsidRDefault="009A3199" w:rsidP="009A3199">
            <w:pPr>
              <w:rPr>
                <w:sz w:val="20"/>
                <w:szCs w:val="20"/>
              </w:rPr>
            </w:pPr>
            <w:r w:rsidRPr="00A06D16">
              <w:rPr>
                <w:sz w:val="20"/>
                <w:szCs w:val="20"/>
              </w:rPr>
              <w:t>Reproductive system and breast disorders</w:t>
            </w:r>
          </w:p>
        </w:tc>
        <w:tc>
          <w:tcPr>
            <w:tcW w:w="2698" w:type="dxa"/>
          </w:tcPr>
          <w:p w14:paraId="67A245F3" w14:textId="562877D6"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0</w:t>
            </w:r>
          </w:p>
        </w:tc>
        <w:tc>
          <w:tcPr>
            <w:tcW w:w="2977" w:type="dxa"/>
          </w:tcPr>
          <w:p w14:paraId="3ED8D52D" w14:textId="7B2A61CD"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0</w:t>
            </w:r>
          </w:p>
        </w:tc>
      </w:tr>
      <w:tr w:rsidR="009A3199" w14:paraId="4AB34AEB"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5BB129D7" w14:textId="5B4DE74C" w:rsidR="009A3199" w:rsidRPr="00A06D16" w:rsidRDefault="009A3199" w:rsidP="009A3199">
            <w:pPr>
              <w:rPr>
                <w:sz w:val="20"/>
                <w:szCs w:val="20"/>
              </w:rPr>
            </w:pPr>
            <w:r w:rsidRPr="00A06D16">
              <w:rPr>
                <w:sz w:val="20"/>
                <w:szCs w:val="20"/>
              </w:rPr>
              <w:t>Pregnancy, puerperium and perinatal conditions</w:t>
            </w:r>
          </w:p>
        </w:tc>
        <w:tc>
          <w:tcPr>
            <w:tcW w:w="2698" w:type="dxa"/>
          </w:tcPr>
          <w:p w14:paraId="735F6672" w14:textId="698A3D95"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0</w:t>
            </w:r>
          </w:p>
        </w:tc>
        <w:tc>
          <w:tcPr>
            <w:tcW w:w="2977" w:type="dxa"/>
          </w:tcPr>
          <w:p w14:paraId="2FD2B42D" w14:textId="23F6E079"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0</w:t>
            </w:r>
          </w:p>
        </w:tc>
      </w:tr>
      <w:tr w:rsidR="009A3199" w14:paraId="2B3076A8"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305237E0" w14:textId="7D44DD60" w:rsidR="009A3199" w:rsidRPr="00A06D16" w:rsidRDefault="009A3199" w:rsidP="009A3199">
            <w:pPr>
              <w:rPr>
                <w:sz w:val="20"/>
                <w:szCs w:val="20"/>
              </w:rPr>
            </w:pPr>
            <w:r w:rsidRPr="00A06D16">
              <w:rPr>
                <w:sz w:val="20"/>
                <w:szCs w:val="20"/>
              </w:rPr>
              <w:t>Respiratory, thoracic and mediastinal disorders</w:t>
            </w:r>
          </w:p>
        </w:tc>
        <w:tc>
          <w:tcPr>
            <w:tcW w:w="2698" w:type="dxa"/>
          </w:tcPr>
          <w:p w14:paraId="08F546B4" w14:textId="77696C18"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58</w:t>
            </w:r>
          </w:p>
        </w:tc>
        <w:tc>
          <w:tcPr>
            <w:tcW w:w="2977" w:type="dxa"/>
          </w:tcPr>
          <w:p w14:paraId="3D0D9D8A" w14:textId="510E441E"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75</w:t>
            </w:r>
          </w:p>
        </w:tc>
      </w:tr>
      <w:tr w:rsidR="009A3199" w14:paraId="629F9E05"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54D778CF" w14:textId="207E12B1" w:rsidR="009A3199" w:rsidRPr="00A06D16" w:rsidRDefault="009A3199" w:rsidP="009A3199">
            <w:pPr>
              <w:rPr>
                <w:sz w:val="20"/>
                <w:szCs w:val="20"/>
              </w:rPr>
            </w:pPr>
            <w:r w:rsidRPr="00A06D16">
              <w:rPr>
                <w:sz w:val="20"/>
                <w:szCs w:val="20"/>
              </w:rPr>
              <w:t>Skin and subcutaneous tissue disorders</w:t>
            </w:r>
          </w:p>
        </w:tc>
        <w:tc>
          <w:tcPr>
            <w:tcW w:w="2698" w:type="dxa"/>
          </w:tcPr>
          <w:p w14:paraId="32EBADA0" w14:textId="2264D54C"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26</w:t>
            </w:r>
          </w:p>
        </w:tc>
        <w:tc>
          <w:tcPr>
            <w:tcW w:w="2977" w:type="dxa"/>
          </w:tcPr>
          <w:p w14:paraId="0D712FBF" w14:textId="2B581BA6"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36</w:t>
            </w:r>
          </w:p>
        </w:tc>
      </w:tr>
      <w:tr w:rsidR="009A3199" w14:paraId="11BCCA77"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3B6765C6" w14:textId="12AFEE4E" w:rsidR="009A3199" w:rsidRPr="00A06D16" w:rsidRDefault="009A3199" w:rsidP="009A3199">
            <w:pPr>
              <w:rPr>
                <w:sz w:val="20"/>
                <w:szCs w:val="20"/>
              </w:rPr>
            </w:pPr>
            <w:r w:rsidRPr="00A06D16">
              <w:rPr>
                <w:sz w:val="20"/>
                <w:szCs w:val="20"/>
              </w:rPr>
              <w:t>Social circumstances</w:t>
            </w:r>
          </w:p>
        </w:tc>
        <w:tc>
          <w:tcPr>
            <w:tcW w:w="2698" w:type="dxa"/>
          </w:tcPr>
          <w:p w14:paraId="782A599F" w14:textId="115792C3"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5</w:t>
            </w:r>
          </w:p>
        </w:tc>
        <w:tc>
          <w:tcPr>
            <w:tcW w:w="2977" w:type="dxa"/>
          </w:tcPr>
          <w:p w14:paraId="4D4EDA08" w14:textId="6E298698"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5</w:t>
            </w:r>
          </w:p>
        </w:tc>
      </w:tr>
      <w:tr w:rsidR="009A3199" w14:paraId="37C1DA06"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6D3A2E60" w14:textId="22D5E7AE" w:rsidR="009A3199" w:rsidRPr="00A06D16" w:rsidRDefault="009A3199" w:rsidP="009A3199">
            <w:pPr>
              <w:rPr>
                <w:sz w:val="20"/>
                <w:szCs w:val="20"/>
              </w:rPr>
            </w:pPr>
            <w:r w:rsidRPr="00A06D16">
              <w:rPr>
                <w:sz w:val="20"/>
                <w:szCs w:val="20"/>
              </w:rPr>
              <w:t>Surgery and medical procedures</w:t>
            </w:r>
          </w:p>
        </w:tc>
        <w:tc>
          <w:tcPr>
            <w:tcW w:w="2698" w:type="dxa"/>
          </w:tcPr>
          <w:p w14:paraId="6F61255D" w14:textId="67A6079F"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w:t>
            </w:r>
          </w:p>
        </w:tc>
        <w:tc>
          <w:tcPr>
            <w:tcW w:w="2977" w:type="dxa"/>
          </w:tcPr>
          <w:p w14:paraId="12EA2DF4" w14:textId="4A1D6683"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1</w:t>
            </w:r>
          </w:p>
        </w:tc>
      </w:tr>
      <w:tr w:rsidR="009A3199" w14:paraId="3D657BCA" w14:textId="77777777" w:rsidTr="005804E9">
        <w:tc>
          <w:tcPr>
            <w:cnfStyle w:val="001000000000" w:firstRow="0" w:lastRow="0" w:firstColumn="1" w:lastColumn="0" w:oddVBand="0" w:evenVBand="0" w:oddHBand="0" w:evenHBand="0" w:firstRowFirstColumn="0" w:firstRowLastColumn="0" w:lastRowFirstColumn="0" w:lastRowLastColumn="0"/>
            <w:tcW w:w="3080" w:type="dxa"/>
          </w:tcPr>
          <w:p w14:paraId="7BE116D7" w14:textId="794AC274" w:rsidR="009A3199" w:rsidRPr="00A06D16" w:rsidRDefault="009A3199" w:rsidP="009A3199">
            <w:pPr>
              <w:rPr>
                <w:sz w:val="20"/>
                <w:szCs w:val="20"/>
              </w:rPr>
            </w:pPr>
            <w:r w:rsidRPr="00A06D16">
              <w:rPr>
                <w:sz w:val="20"/>
                <w:szCs w:val="20"/>
              </w:rPr>
              <w:t>Vascular disorders</w:t>
            </w:r>
          </w:p>
        </w:tc>
        <w:tc>
          <w:tcPr>
            <w:tcW w:w="2698" w:type="dxa"/>
          </w:tcPr>
          <w:p w14:paraId="355831C5" w14:textId="677F5539" w:rsidR="009A3199" w:rsidRDefault="009A3199" w:rsidP="009A3199">
            <w:pPr>
              <w:cnfStyle w:val="000000000000" w:firstRow="0" w:lastRow="0" w:firstColumn="0" w:lastColumn="0" w:oddVBand="0" w:evenVBand="0" w:oddHBand="0" w:evenHBand="0" w:firstRowFirstColumn="0" w:firstRowLastColumn="0" w:lastRowFirstColumn="0" w:lastRowLastColumn="0"/>
            </w:pPr>
            <w:r w:rsidRPr="00A06D16">
              <w:rPr>
                <w:sz w:val="20"/>
                <w:szCs w:val="20"/>
              </w:rPr>
              <w:t>0.43</w:t>
            </w:r>
          </w:p>
        </w:tc>
        <w:tc>
          <w:tcPr>
            <w:tcW w:w="2977" w:type="dxa"/>
          </w:tcPr>
          <w:p w14:paraId="1C283972" w14:textId="77777777" w:rsidR="009A3199" w:rsidRDefault="009A3199" w:rsidP="009A3199">
            <w:pPr>
              <w:cnfStyle w:val="000000000000" w:firstRow="0" w:lastRow="0" w:firstColumn="0" w:lastColumn="0" w:oddVBand="0" w:evenVBand="0" w:oddHBand="0" w:evenHBand="0" w:firstRowFirstColumn="0" w:firstRowLastColumn="0" w:lastRowFirstColumn="0" w:lastRowLastColumn="0"/>
            </w:pPr>
          </w:p>
        </w:tc>
      </w:tr>
    </w:tbl>
    <w:p w14:paraId="01B58D26" w14:textId="77777777" w:rsidR="0033578E" w:rsidRPr="00950AC1" w:rsidRDefault="0033578E" w:rsidP="00EF11A7">
      <w:pPr>
        <w:pStyle w:val="Heading4"/>
        <w:rPr>
          <w:szCs w:val="22"/>
        </w:rPr>
      </w:pPr>
      <w:bookmarkStart w:id="212" w:name="_Toc370580809"/>
      <w:r w:rsidRPr="00950AC1">
        <w:t>Deaths</w:t>
      </w:r>
      <w:bookmarkEnd w:id="212"/>
    </w:p>
    <w:p w14:paraId="2CF48B1A" w14:textId="20E32CDD" w:rsidR="0033578E" w:rsidRPr="00950AC1" w:rsidRDefault="001F1AE1" w:rsidP="0033578E">
      <w:pPr>
        <w:rPr>
          <w:rFonts w:eastAsia="ArialMT" w:cs="Arial"/>
          <w:b/>
          <w:bCs/>
        </w:rPr>
      </w:pPr>
      <w:r>
        <w:rPr>
          <w:rFonts w:eastAsia="ArialMT" w:cs="Arial"/>
        </w:rPr>
        <w:t xml:space="preserve">Three </w:t>
      </w:r>
      <w:r w:rsidR="0033578E" w:rsidRPr="00950AC1">
        <w:rPr>
          <w:rFonts w:eastAsia="ArialMT" w:cs="Arial"/>
        </w:rPr>
        <w:t>death</w:t>
      </w:r>
      <w:r>
        <w:rPr>
          <w:rFonts w:eastAsia="ArialMT" w:cs="Arial"/>
        </w:rPr>
        <w:t>s</w:t>
      </w:r>
      <w:r w:rsidR="0033578E" w:rsidRPr="00950AC1">
        <w:rPr>
          <w:rFonts w:eastAsia="ArialMT" w:cs="Arial"/>
        </w:rPr>
        <w:t xml:space="preserve"> after </w:t>
      </w:r>
      <w:r w:rsidR="00CD0E09">
        <w:rPr>
          <w:rFonts w:eastAsia="ArialMT" w:cs="Arial"/>
        </w:rPr>
        <w:t>Fluzone High-Dose</w:t>
      </w:r>
      <w:r w:rsidR="0033578E" w:rsidRPr="00950AC1">
        <w:rPr>
          <w:rFonts w:eastAsia="ArialMT" w:cs="Arial"/>
        </w:rPr>
        <w:t xml:space="preserve"> administration were assessed during the reporting period of the PBRER. In two of these cases there was insufficient documentation to assess relationship</w:t>
      </w:r>
      <w:r w:rsidR="0033578E">
        <w:rPr>
          <w:rFonts w:eastAsia="ArialMT" w:cs="Arial"/>
        </w:rPr>
        <w:t xml:space="preserve"> </w:t>
      </w:r>
      <w:r w:rsidR="0033578E" w:rsidRPr="00950AC1">
        <w:rPr>
          <w:rFonts w:eastAsia="ArialMT" w:cs="Arial"/>
        </w:rPr>
        <w:t xml:space="preserve">to the vaccine. The </w:t>
      </w:r>
      <w:r w:rsidR="0033578E" w:rsidRPr="004D462D">
        <w:rPr>
          <w:rFonts w:eastAsia="ArialMT" w:cs="Arial"/>
          <w:kern w:val="1"/>
        </w:rPr>
        <w:t>third</w:t>
      </w:r>
      <w:r w:rsidR="0033578E" w:rsidRPr="00950AC1">
        <w:rPr>
          <w:rFonts w:eastAsia="ArialMT" w:cs="Arial"/>
        </w:rPr>
        <w:t xml:space="preserve"> death was a 75 year old patient with a myelodysplastic disorder who died 34 days after co-administ</w:t>
      </w:r>
      <w:r w:rsidR="0033578E">
        <w:rPr>
          <w:rFonts w:eastAsia="ArialMT" w:cs="Arial"/>
        </w:rPr>
        <w:t>ration of</w:t>
      </w:r>
      <w:r w:rsidR="0033578E" w:rsidRPr="00950AC1" w:rsidDel="002B5AA1">
        <w:rPr>
          <w:rFonts w:eastAsia="ArialMT" w:cs="Arial"/>
        </w:rPr>
        <w:t xml:space="preserve"> </w:t>
      </w:r>
      <w:r w:rsidR="00CD0E09">
        <w:rPr>
          <w:rFonts w:eastAsia="ArialMT" w:cs="Arial"/>
        </w:rPr>
        <w:t>Fluzone High-Dose</w:t>
      </w:r>
      <w:r w:rsidR="0033578E" w:rsidRPr="00950AC1">
        <w:rPr>
          <w:rFonts w:eastAsia="ArialMT" w:cs="Arial"/>
        </w:rPr>
        <w:t xml:space="preserve"> and a pneumococcal vaccine</w:t>
      </w:r>
      <w:r w:rsidR="0033578E">
        <w:rPr>
          <w:rFonts w:eastAsia="ArialMT" w:cs="Arial"/>
        </w:rPr>
        <w:t xml:space="preserve">. </w:t>
      </w:r>
      <w:r w:rsidR="0033578E" w:rsidRPr="00950AC1">
        <w:rPr>
          <w:rFonts w:eastAsia="ArialMT" w:cs="Arial"/>
        </w:rPr>
        <w:t xml:space="preserve">The </w:t>
      </w:r>
      <w:r>
        <w:rPr>
          <w:rFonts w:eastAsia="ArialMT" w:cs="Arial"/>
        </w:rPr>
        <w:t>s</w:t>
      </w:r>
      <w:r w:rsidR="0033578E" w:rsidRPr="00950AC1">
        <w:rPr>
          <w:rFonts w:eastAsia="ArialMT" w:cs="Arial"/>
        </w:rPr>
        <w:t>ponsor has not reported a level of association between with vaccination and this case.</w:t>
      </w:r>
    </w:p>
    <w:p w14:paraId="3C8922F0" w14:textId="463CED88" w:rsidR="0033578E" w:rsidRPr="00711EF3" w:rsidRDefault="0033578E" w:rsidP="00C81CCB">
      <w:pPr>
        <w:pStyle w:val="Heading4"/>
      </w:pPr>
      <w:bookmarkStart w:id="213" w:name="_Toc370580810"/>
      <w:r w:rsidRPr="00711EF3">
        <w:t>Safety signals under assessment</w:t>
      </w:r>
      <w:bookmarkEnd w:id="213"/>
    </w:p>
    <w:p w14:paraId="740E2E65" w14:textId="75EFD49B" w:rsidR="0033578E" w:rsidRPr="001F1AE1" w:rsidRDefault="0033578E" w:rsidP="0033578E">
      <w:pPr>
        <w:rPr>
          <w:rFonts w:eastAsia="ArialMT" w:cs="Arial"/>
          <w:kern w:val="1"/>
        </w:rPr>
      </w:pPr>
      <w:r w:rsidRPr="00950AC1">
        <w:rPr>
          <w:rFonts w:eastAsia="ArialMT" w:cs="Arial"/>
          <w:kern w:val="1"/>
        </w:rPr>
        <w:t xml:space="preserve">The status of a number of known safety risks, or ’signals’ under ongoing surveillance by the </w:t>
      </w:r>
      <w:r w:rsidR="001F1AE1">
        <w:rPr>
          <w:rFonts w:eastAsia="ArialMT" w:cs="Arial"/>
          <w:kern w:val="1"/>
        </w:rPr>
        <w:t>s</w:t>
      </w:r>
      <w:r w:rsidRPr="00950AC1">
        <w:rPr>
          <w:rFonts w:eastAsia="ArialMT" w:cs="Arial"/>
          <w:kern w:val="1"/>
        </w:rPr>
        <w:t>ponsor w</w:t>
      </w:r>
      <w:r>
        <w:rPr>
          <w:rFonts w:eastAsia="ArialMT" w:cs="Arial"/>
          <w:kern w:val="1"/>
        </w:rPr>
        <w:t>as</w:t>
      </w:r>
      <w:r w:rsidRPr="00950AC1">
        <w:rPr>
          <w:rFonts w:eastAsia="ArialMT" w:cs="Arial"/>
          <w:kern w:val="1"/>
        </w:rPr>
        <w:t xml:space="preserve"> reported. No new safety signals were added during the reporting period of the PBRER. The evaluator notes that these safety signals include several of the </w:t>
      </w:r>
      <w:r w:rsidR="00C81CCB" w:rsidRPr="00950AC1">
        <w:rPr>
          <w:rFonts w:eastAsia="ArialMT" w:cs="Arial"/>
          <w:kern w:val="1"/>
        </w:rPr>
        <w:t xml:space="preserve">adverse events of special interest </w:t>
      </w:r>
      <w:r w:rsidRPr="00950AC1">
        <w:rPr>
          <w:rFonts w:eastAsia="ArialMT" w:cs="Arial"/>
          <w:kern w:val="1"/>
        </w:rPr>
        <w:t xml:space="preserve">(AESIs) </w:t>
      </w:r>
      <w:r w:rsidRPr="001F1AE1">
        <w:rPr>
          <w:rFonts w:eastAsia="ArialMT" w:cs="Arial"/>
          <w:kern w:val="1"/>
        </w:rPr>
        <w:t>examined in Study FIM12.</w:t>
      </w:r>
    </w:p>
    <w:p w14:paraId="5F16D765" w14:textId="77777777" w:rsidR="0033578E" w:rsidRPr="001F1AE1" w:rsidRDefault="0033578E" w:rsidP="001F1AE1">
      <w:pPr>
        <w:pStyle w:val="Heading5"/>
        <w:numPr>
          <w:ilvl w:val="0"/>
          <w:numId w:val="0"/>
        </w:numPr>
        <w:ind w:left="1304" w:hanging="1077"/>
        <w:rPr>
          <w:rFonts w:eastAsia="ArialMT"/>
        </w:rPr>
      </w:pPr>
      <w:r w:rsidRPr="001F1AE1">
        <w:rPr>
          <w:rFonts w:eastAsia="ArialMT"/>
        </w:rPr>
        <w:t>Risk 1: Anaphylaxis/hypersensitivity</w:t>
      </w:r>
    </w:p>
    <w:p w14:paraId="0A521D87" w14:textId="77777777" w:rsidR="0033578E" w:rsidRPr="00950AC1" w:rsidRDefault="0033578E" w:rsidP="0033578E">
      <w:pPr>
        <w:rPr>
          <w:rFonts w:eastAsia="ArialMT" w:cs="Arial"/>
          <w:kern w:val="1"/>
        </w:rPr>
      </w:pPr>
      <w:r w:rsidRPr="00950AC1">
        <w:rPr>
          <w:rFonts w:eastAsia="ArialMT" w:cs="Arial"/>
          <w:kern w:val="1"/>
        </w:rPr>
        <w:t xml:space="preserve">A total of 10 cases of anaphylactic reaction were reported during the review period of the PBRER, 8 of which were serious. In six cases (4 serious, 2 non-serious) the adverse event was considered related to vaccination. </w:t>
      </w:r>
    </w:p>
    <w:p w14:paraId="0B4383BC" w14:textId="2A714CAE" w:rsidR="0033578E" w:rsidRPr="00950AC1" w:rsidRDefault="0033578E" w:rsidP="0033578E">
      <w:pPr>
        <w:rPr>
          <w:rFonts w:eastAsia="ArialMT" w:cs="Arial"/>
          <w:kern w:val="1"/>
        </w:rPr>
      </w:pPr>
      <w:r w:rsidRPr="00950AC1">
        <w:rPr>
          <w:rFonts w:eastAsia="ArialMT" w:cs="Arial"/>
          <w:kern w:val="1"/>
        </w:rPr>
        <w:t xml:space="preserve">The sponsor has estimated the rate of anaphylaxis in </w:t>
      </w:r>
      <w:r w:rsidR="00CD0E09">
        <w:rPr>
          <w:rFonts w:eastAsia="ArialMT" w:cs="Arial"/>
          <w:kern w:val="1"/>
        </w:rPr>
        <w:t>Fluzone High-Dose</w:t>
      </w:r>
      <w:r w:rsidRPr="00950AC1">
        <w:rPr>
          <w:rFonts w:eastAsia="ArialMT" w:cs="Arial"/>
          <w:kern w:val="1"/>
        </w:rPr>
        <w:t xml:space="preserve"> as 0.158/100</w:t>
      </w:r>
      <w:r>
        <w:rPr>
          <w:rFonts w:eastAsia="ArialMT" w:cs="Arial"/>
          <w:kern w:val="1"/>
        </w:rPr>
        <w:t>,</w:t>
      </w:r>
      <w:r w:rsidRPr="00950AC1">
        <w:rPr>
          <w:rFonts w:eastAsia="ArialMT" w:cs="Arial"/>
          <w:kern w:val="1"/>
        </w:rPr>
        <w:t>000</w:t>
      </w:r>
      <w:r w:rsidR="00C81CCB">
        <w:rPr>
          <w:rFonts w:eastAsia="ArialMT" w:cs="Arial"/>
          <w:kern w:val="1"/>
        </w:rPr>
        <w:t> </w:t>
      </w:r>
      <w:r w:rsidRPr="00950AC1">
        <w:rPr>
          <w:rFonts w:eastAsia="ArialMT" w:cs="Arial"/>
          <w:kern w:val="1"/>
        </w:rPr>
        <w:t>doses distributed.</w:t>
      </w:r>
    </w:p>
    <w:p w14:paraId="382185E9" w14:textId="77777777" w:rsidR="0033578E" w:rsidRPr="00950AC1" w:rsidRDefault="0033578E" w:rsidP="0033578E">
      <w:pPr>
        <w:rPr>
          <w:rFonts w:eastAsia="ArialMT" w:cs="Arial"/>
          <w:b/>
          <w:bCs/>
          <w:kern w:val="1"/>
        </w:rPr>
      </w:pPr>
      <w:r w:rsidRPr="00950AC1">
        <w:rPr>
          <w:rFonts w:eastAsia="ArialMT" w:cs="Arial"/>
          <w:kern w:val="1"/>
        </w:rPr>
        <w:t xml:space="preserve">The </w:t>
      </w:r>
      <w:r w:rsidR="001F1AE1">
        <w:rPr>
          <w:rFonts w:eastAsia="ArialMT" w:cs="Arial"/>
          <w:kern w:val="1"/>
        </w:rPr>
        <w:t>s</w:t>
      </w:r>
      <w:r w:rsidRPr="00950AC1">
        <w:rPr>
          <w:rFonts w:eastAsia="ArialMT" w:cs="Arial"/>
          <w:kern w:val="1"/>
        </w:rPr>
        <w:t xml:space="preserve">ponsor has noted that the potential for anaphylaxis was already noted in </w:t>
      </w:r>
      <w:r>
        <w:rPr>
          <w:rFonts w:eastAsia="ArialMT" w:cs="Arial"/>
          <w:kern w:val="1"/>
        </w:rPr>
        <w:t>P</w:t>
      </w:r>
      <w:r w:rsidRPr="00950AC1">
        <w:rPr>
          <w:rFonts w:eastAsia="ArialMT" w:cs="Arial"/>
          <w:kern w:val="1"/>
        </w:rPr>
        <w:t xml:space="preserve">roduct </w:t>
      </w:r>
      <w:r>
        <w:rPr>
          <w:rFonts w:eastAsia="ArialMT" w:cs="Arial"/>
          <w:kern w:val="1"/>
        </w:rPr>
        <w:t>I</w:t>
      </w:r>
      <w:r w:rsidRPr="00950AC1">
        <w:rPr>
          <w:rFonts w:eastAsia="ArialMT" w:cs="Arial"/>
          <w:kern w:val="1"/>
        </w:rPr>
        <w:t>nformation, and that these cases (and those reported for other formulations of Fluzone) indicate no new safety concerns.</w:t>
      </w:r>
    </w:p>
    <w:p w14:paraId="791B0179" w14:textId="77777777" w:rsidR="0033578E" w:rsidRPr="004D462D" w:rsidRDefault="0033578E" w:rsidP="001F1AE1">
      <w:pPr>
        <w:pStyle w:val="Heading5"/>
        <w:numPr>
          <w:ilvl w:val="0"/>
          <w:numId w:val="0"/>
        </w:numPr>
        <w:ind w:left="1304" w:hanging="1077"/>
        <w:rPr>
          <w:rFonts w:eastAsia="ArialMT"/>
        </w:rPr>
      </w:pPr>
      <w:r w:rsidRPr="00950AC1">
        <w:rPr>
          <w:rFonts w:eastAsia="ArialMT"/>
        </w:rPr>
        <w:lastRenderedPageBreak/>
        <w:t>Risk 2: Syncope</w:t>
      </w:r>
    </w:p>
    <w:p w14:paraId="1C148A40" w14:textId="77777777" w:rsidR="0033578E" w:rsidRPr="00950AC1" w:rsidRDefault="0033578E" w:rsidP="0033578E">
      <w:pPr>
        <w:rPr>
          <w:rFonts w:eastAsia="ArialMT" w:cs="Arial"/>
          <w:b/>
          <w:bCs/>
          <w:kern w:val="1"/>
        </w:rPr>
      </w:pPr>
      <w:r w:rsidRPr="00950AC1">
        <w:rPr>
          <w:rFonts w:eastAsia="ArialMT" w:cs="Arial"/>
          <w:kern w:val="1"/>
        </w:rPr>
        <w:t xml:space="preserve">No cases were reported for </w:t>
      </w:r>
      <w:r w:rsidR="00CD0E09">
        <w:rPr>
          <w:rFonts w:eastAsia="ArialMT" w:cs="Arial"/>
          <w:kern w:val="1"/>
        </w:rPr>
        <w:t>Fluzone High-Dose</w:t>
      </w:r>
      <w:r w:rsidRPr="00950AC1">
        <w:rPr>
          <w:rFonts w:eastAsia="ArialMT" w:cs="Arial"/>
          <w:kern w:val="1"/>
        </w:rPr>
        <w:t xml:space="preserve">. Syncope is a known adverse event and the </w:t>
      </w:r>
      <w:r w:rsidR="001F1AE1">
        <w:rPr>
          <w:rFonts w:eastAsia="ArialMT" w:cs="Arial"/>
          <w:kern w:val="1"/>
        </w:rPr>
        <w:t>s</w:t>
      </w:r>
      <w:r w:rsidRPr="00950AC1">
        <w:rPr>
          <w:rFonts w:eastAsia="ArialMT" w:cs="Arial"/>
          <w:kern w:val="1"/>
        </w:rPr>
        <w:t>ponsor has noted that cases in other formulations of Fluzone did not reveal any new safety concerns.</w:t>
      </w:r>
    </w:p>
    <w:p w14:paraId="5B088680" w14:textId="5797739F" w:rsidR="0033578E" w:rsidRPr="001F1AE1" w:rsidRDefault="0033578E" w:rsidP="001F1AE1">
      <w:pPr>
        <w:pStyle w:val="Heading5"/>
        <w:numPr>
          <w:ilvl w:val="0"/>
          <w:numId w:val="0"/>
        </w:numPr>
        <w:ind w:left="1304" w:hanging="1077"/>
        <w:rPr>
          <w:rFonts w:eastAsia="ArialMT"/>
        </w:rPr>
      </w:pPr>
      <w:r w:rsidRPr="001F1AE1">
        <w:rPr>
          <w:rFonts w:eastAsia="ArialMT"/>
        </w:rPr>
        <w:t>Risk 3: Guillain-</w:t>
      </w:r>
      <w:r w:rsidR="00C81CCB" w:rsidRPr="001F1AE1">
        <w:rPr>
          <w:rFonts w:eastAsia="ArialMT"/>
        </w:rPr>
        <w:t>Barr</w:t>
      </w:r>
      <w:r w:rsidR="00C81CCB">
        <w:rPr>
          <w:rFonts w:eastAsia="ArialMT"/>
        </w:rPr>
        <w:t>é</w:t>
      </w:r>
      <w:r w:rsidR="00C81CCB" w:rsidRPr="001F1AE1">
        <w:rPr>
          <w:rFonts w:eastAsia="ArialMT"/>
        </w:rPr>
        <w:t xml:space="preserve"> </w:t>
      </w:r>
      <w:r w:rsidRPr="001F1AE1">
        <w:rPr>
          <w:rFonts w:eastAsia="ArialMT"/>
        </w:rPr>
        <w:t>Syndrome (GBS)</w:t>
      </w:r>
    </w:p>
    <w:p w14:paraId="711CC0C0" w14:textId="77777777" w:rsidR="0033578E" w:rsidRPr="00950AC1" w:rsidRDefault="0033578E" w:rsidP="0033578E">
      <w:pPr>
        <w:rPr>
          <w:rFonts w:eastAsia="ArialMT" w:cs="Arial"/>
          <w:kern w:val="1"/>
        </w:rPr>
      </w:pPr>
      <w:r w:rsidRPr="00950AC1">
        <w:rPr>
          <w:rFonts w:eastAsia="ArialMT" w:cs="Arial"/>
          <w:kern w:val="1"/>
        </w:rPr>
        <w:t>Two cases of GBS occurred during the review period of the PBRER. In one case latency after vaccination was not re</w:t>
      </w:r>
      <w:r>
        <w:rPr>
          <w:rFonts w:eastAsia="ArialMT" w:cs="Arial"/>
          <w:kern w:val="1"/>
        </w:rPr>
        <w:t>cord</w:t>
      </w:r>
      <w:r w:rsidRPr="00950AC1">
        <w:rPr>
          <w:rFonts w:eastAsia="ArialMT" w:cs="Arial"/>
          <w:kern w:val="1"/>
        </w:rPr>
        <w:t xml:space="preserve">ed and relationship to the vaccine has not been reported. In the second case the diagnosis of GBS was not confirmed and there was insufficient documentation to assess relationship to vaccination. </w:t>
      </w:r>
    </w:p>
    <w:p w14:paraId="771B874C" w14:textId="77777777" w:rsidR="0033578E" w:rsidRPr="00950AC1" w:rsidRDefault="0033578E" w:rsidP="0033578E">
      <w:pPr>
        <w:rPr>
          <w:rFonts w:eastAsia="ArialMT" w:cs="Arial"/>
          <w:kern w:val="1"/>
        </w:rPr>
      </w:pPr>
      <w:r w:rsidRPr="00950AC1">
        <w:rPr>
          <w:rFonts w:eastAsia="ArialMT" w:cs="Arial"/>
          <w:kern w:val="1"/>
        </w:rPr>
        <w:t xml:space="preserve">The </w:t>
      </w:r>
      <w:r w:rsidR="001F1AE1">
        <w:rPr>
          <w:rFonts w:eastAsia="ArialMT" w:cs="Arial"/>
          <w:kern w:val="1"/>
        </w:rPr>
        <w:t>s</w:t>
      </w:r>
      <w:r w:rsidRPr="00950AC1">
        <w:rPr>
          <w:rFonts w:eastAsia="ArialMT" w:cs="Arial"/>
          <w:kern w:val="1"/>
        </w:rPr>
        <w:t>pons</w:t>
      </w:r>
      <w:r>
        <w:rPr>
          <w:rFonts w:eastAsia="ArialMT" w:cs="Arial"/>
          <w:kern w:val="1"/>
        </w:rPr>
        <w:t>o</w:t>
      </w:r>
      <w:r w:rsidRPr="00950AC1">
        <w:rPr>
          <w:rFonts w:eastAsia="ArialMT" w:cs="Arial"/>
          <w:kern w:val="1"/>
        </w:rPr>
        <w:t>r has estimated the incidence of GBS as 0.0226/100</w:t>
      </w:r>
      <w:r>
        <w:rPr>
          <w:rFonts w:eastAsia="ArialMT" w:cs="Arial"/>
          <w:kern w:val="1"/>
        </w:rPr>
        <w:t>,</w:t>
      </w:r>
      <w:r w:rsidRPr="00950AC1">
        <w:rPr>
          <w:rFonts w:eastAsia="ArialMT" w:cs="Arial"/>
          <w:kern w:val="1"/>
        </w:rPr>
        <w:t xml:space="preserve">000 doses of </w:t>
      </w:r>
      <w:r w:rsidR="00CD0E09">
        <w:rPr>
          <w:rFonts w:eastAsia="ArialMT" w:cs="Arial"/>
          <w:kern w:val="1"/>
        </w:rPr>
        <w:t>Fluzone High-Dose</w:t>
      </w:r>
      <w:r w:rsidRPr="00950AC1">
        <w:rPr>
          <w:rFonts w:eastAsia="ArialMT" w:cs="Arial"/>
          <w:kern w:val="1"/>
        </w:rPr>
        <w:t xml:space="preserve"> distributed.</w:t>
      </w:r>
    </w:p>
    <w:p w14:paraId="7622710E" w14:textId="77777777" w:rsidR="0033578E" w:rsidRPr="00950AC1" w:rsidRDefault="0033578E" w:rsidP="0033578E">
      <w:pPr>
        <w:rPr>
          <w:rFonts w:eastAsia="ArialMT" w:cs="Arial"/>
          <w:b/>
          <w:bCs/>
          <w:kern w:val="1"/>
        </w:rPr>
      </w:pPr>
      <w:r w:rsidRPr="00950AC1">
        <w:rPr>
          <w:rFonts w:eastAsia="ArialMT" w:cs="Arial"/>
          <w:kern w:val="1"/>
        </w:rPr>
        <w:t>GBS is listed as a potential adverse event for</w:t>
      </w:r>
      <w:r w:rsidR="001F1AE1">
        <w:rPr>
          <w:rFonts w:eastAsia="ArialMT" w:cs="Arial"/>
          <w:kern w:val="1"/>
        </w:rPr>
        <w:t xml:space="preserve"> all Fluzone formulations. The s</w:t>
      </w:r>
      <w:r w:rsidRPr="00950AC1">
        <w:rPr>
          <w:rFonts w:eastAsia="ArialMT" w:cs="Arial"/>
          <w:kern w:val="1"/>
        </w:rPr>
        <w:t>ponsor has noted that these cases (and those in other formulations of Fluzone) raised no new safety concerns with respect to the frequency or severity of GBS observed.</w:t>
      </w:r>
    </w:p>
    <w:p w14:paraId="22582F6E" w14:textId="77777777" w:rsidR="0033578E" w:rsidRPr="001F1AE1" w:rsidRDefault="0033578E" w:rsidP="001F1AE1">
      <w:pPr>
        <w:pStyle w:val="Heading5"/>
        <w:numPr>
          <w:ilvl w:val="0"/>
          <w:numId w:val="0"/>
        </w:numPr>
        <w:ind w:left="1304" w:hanging="1077"/>
        <w:rPr>
          <w:rFonts w:eastAsia="ArialMT"/>
        </w:rPr>
      </w:pPr>
      <w:r w:rsidRPr="001F1AE1">
        <w:rPr>
          <w:rFonts w:eastAsia="ArialMT"/>
        </w:rPr>
        <w:t>Risk 4: Neuritis</w:t>
      </w:r>
    </w:p>
    <w:p w14:paraId="2C2066DA" w14:textId="683B6E61" w:rsidR="0033578E" w:rsidRPr="00950AC1" w:rsidRDefault="0033578E" w:rsidP="0033578E">
      <w:pPr>
        <w:autoSpaceDE w:val="0"/>
        <w:rPr>
          <w:rFonts w:eastAsia="ArialMT" w:cs="Arial"/>
          <w:kern w:val="1"/>
          <w:sz w:val="24"/>
        </w:rPr>
      </w:pPr>
      <w:r w:rsidRPr="004D462D">
        <w:rPr>
          <w:rFonts w:eastAsia="ArialMT" w:cs="Arial"/>
          <w:kern w:val="1"/>
        </w:rPr>
        <w:t xml:space="preserve">No new cases of neuritis were reported with </w:t>
      </w:r>
      <w:r w:rsidR="00CD0E09">
        <w:rPr>
          <w:rFonts w:eastAsia="ArialMT" w:cs="Arial"/>
          <w:kern w:val="1"/>
        </w:rPr>
        <w:t>Fluzone High-Dose</w:t>
      </w:r>
      <w:r w:rsidRPr="004D462D">
        <w:rPr>
          <w:rFonts w:eastAsia="ArialMT" w:cs="Arial"/>
          <w:kern w:val="1"/>
        </w:rPr>
        <w:t xml:space="preserve"> administration during the reporting period of the PBRER</w:t>
      </w:r>
      <w:r w:rsidRPr="00950AC1">
        <w:rPr>
          <w:rFonts w:eastAsia="ArialMT" w:cs="Arial"/>
          <w:kern w:val="1"/>
          <w:sz w:val="24"/>
        </w:rPr>
        <w:t>.</w:t>
      </w:r>
    </w:p>
    <w:p w14:paraId="72169581" w14:textId="77777777" w:rsidR="0033578E" w:rsidRPr="00950AC1" w:rsidRDefault="001F1AE1" w:rsidP="0033578E">
      <w:pPr>
        <w:rPr>
          <w:rFonts w:eastAsia="ArialMT" w:cs="Arial"/>
          <w:kern w:val="1"/>
          <w:sz w:val="24"/>
        </w:rPr>
      </w:pPr>
      <w:r>
        <w:rPr>
          <w:rFonts w:eastAsia="ArialMT" w:cs="Arial"/>
          <w:kern w:val="1"/>
        </w:rPr>
        <w:t>The s</w:t>
      </w:r>
      <w:r w:rsidR="0033578E" w:rsidRPr="004D462D">
        <w:rPr>
          <w:rFonts w:eastAsia="ArialMT" w:cs="Arial"/>
          <w:kern w:val="1"/>
        </w:rPr>
        <w:t>ponsor has estimated the rate of neuritis as 0.0226/100</w:t>
      </w:r>
      <w:r w:rsidR="0033578E">
        <w:rPr>
          <w:rFonts w:eastAsia="ArialMT" w:cs="Arial"/>
          <w:kern w:val="1"/>
        </w:rPr>
        <w:t>,</w:t>
      </w:r>
      <w:r w:rsidR="0033578E" w:rsidRPr="004D462D">
        <w:rPr>
          <w:rFonts w:eastAsia="ArialMT" w:cs="Arial"/>
          <w:kern w:val="1"/>
        </w:rPr>
        <w:t xml:space="preserve">000 doses of </w:t>
      </w:r>
      <w:r w:rsidR="00CD0E09">
        <w:rPr>
          <w:rFonts w:eastAsia="ArialMT" w:cs="Arial"/>
          <w:kern w:val="1"/>
        </w:rPr>
        <w:t>Fluzone High-Dose</w:t>
      </w:r>
      <w:r w:rsidR="0033578E" w:rsidRPr="004D462D">
        <w:rPr>
          <w:rFonts w:eastAsia="ArialMT" w:cs="Arial"/>
          <w:kern w:val="1"/>
        </w:rPr>
        <w:t xml:space="preserve"> distributed.</w:t>
      </w:r>
    </w:p>
    <w:p w14:paraId="67726DAC" w14:textId="4B06745A" w:rsidR="0033578E" w:rsidRPr="00950AC1" w:rsidRDefault="001F1AE1" w:rsidP="0033578E">
      <w:pPr>
        <w:autoSpaceDE w:val="0"/>
        <w:rPr>
          <w:rFonts w:eastAsia="ArialMT" w:cs="Arial"/>
          <w:kern w:val="1"/>
          <w:sz w:val="24"/>
        </w:rPr>
      </w:pPr>
      <w:r>
        <w:rPr>
          <w:rFonts w:eastAsia="ArialMT" w:cs="Arial"/>
          <w:kern w:val="1"/>
        </w:rPr>
        <w:t>The s</w:t>
      </w:r>
      <w:r w:rsidR="0033578E" w:rsidRPr="004D462D">
        <w:rPr>
          <w:rFonts w:eastAsia="ArialMT" w:cs="Arial"/>
          <w:kern w:val="1"/>
        </w:rPr>
        <w:t xml:space="preserve">ponsor has noted that no new safety concerns </w:t>
      </w:r>
      <w:r w:rsidR="0033578E">
        <w:rPr>
          <w:rFonts w:eastAsia="ArialMT" w:cs="Arial"/>
          <w:kern w:val="1"/>
        </w:rPr>
        <w:t>regarding</w:t>
      </w:r>
      <w:r w:rsidR="0033578E" w:rsidRPr="004D462D">
        <w:rPr>
          <w:rFonts w:eastAsia="ArialMT" w:cs="Arial"/>
          <w:kern w:val="1"/>
        </w:rPr>
        <w:t xml:space="preserve"> the frequency or severity of </w:t>
      </w:r>
      <w:r w:rsidR="0033578E">
        <w:rPr>
          <w:rFonts w:eastAsia="ArialMT" w:cs="Arial"/>
          <w:kern w:val="1"/>
        </w:rPr>
        <w:t>n</w:t>
      </w:r>
      <w:r w:rsidR="0033578E" w:rsidRPr="004D462D">
        <w:rPr>
          <w:rFonts w:eastAsia="ArialMT" w:cs="Arial"/>
          <w:kern w:val="1"/>
        </w:rPr>
        <w:t>euritis were raised with regard to adverse events occurring in all other Fluzone preparations</w:t>
      </w:r>
      <w:r w:rsidR="00C81CCB">
        <w:rPr>
          <w:rFonts w:eastAsia="ArialMT" w:cs="Arial"/>
          <w:kern w:val="1"/>
          <w:sz w:val="24"/>
        </w:rPr>
        <w:t>.</w:t>
      </w:r>
    </w:p>
    <w:p w14:paraId="2BE64A69" w14:textId="77777777" w:rsidR="0033578E" w:rsidRPr="001F1AE1" w:rsidRDefault="0033578E" w:rsidP="001F1AE1">
      <w:pPr>
        <w:pStyle w:val="Heading5"/>
        <w:numPr>
          <w:ilvl w:val="0"/>
          <w:numId w:val="0"/>
        </w:numPr>
        <w:ind w:left="1304" w:hanging="1077"/>
        <w:rPr>
          <w:rFonts w:eastAsia="ArialMT"/>
          <w:sz w:val="24"/>
        </w:rPr>
      </w:pPr>
      <w:r w:rsidRPr="001F1AE1">
        <w:rPr>
          <w:rFonts w:eastAsia="ArialMT"/>
        </w:rPr>
        <w:t>Risk 5: Convulsion</w:t>
      </w:r>
    </w:p>
    <w:p w14:paraId="3CC15957" w14:textId="77777777" w:rsidR="0033578E" w:rsidRPr="004D462D" w:rsidRDefault="0033578E" w:rsidP="0033578E">
      <w:pPr>
        <w:rPr>
          <w:rFonts w:eastAsia="ArialMT" w:cs="Arial"/>
          <w:kern w:val="1"/>
        </w:rPr>
      </w:pPr>
      <w:r w:rsidRPr="004D462D">
        <w:rPr>
          <w:rFonts w:eastAsia="ArialMT" w:cs="Arial"/>
          <w:kern w:val="1"/>
        </w:rPr>
        <w:t xml:space="preserve">Two cases of convulsion were reported following vaccination with </w:t>
      </w:r>
      <w:r w:rsidR="00CD0E09">
        <w:rPr>
          <w:rFonts w:eastAsia="ArialMT" w:cs="Arial"/>
          <w:kern w:val="1"/>
        </w:rPr>
        <w:t>Fluzone High-Dose</w:t>
      </w:r>
      <w:r w:rsidRPr="004D462D">
        <w:rPr>
          <w:rFonts w:eastAsia="ArialMT" w:cs="Arial"/>
          <w:kern w:val="1"/>
        </w:rPr>
        <w:t xml:space="preserve">. In one case the cause was considered to be concomitant gastroenteritis and dehydration. In a second case an alternative </w:t>
      </w:r>
      <w:r>
        <w:rPr>
          <w:rFonts w:eastAsia="ArialMT" w:cs="Arial"/>
          <w:kern w:val="1"/>
        </w:rPr>
        <w:t>aet</w:t>
      </w:r>
      <w:r w:rsidRPr="004D462D">
        <w:rPr>
          <w:rFonts w:eastAsia="ArialMT" w:cs="Arial"/>
          <w:kern w:val="1"/>
        </w:rPr>
        <w:t xml:space="preserve">iology of Guillain-Barre syndrome was considered a possible alternative aetiology. </w:t>
      </w:r>
    </w:p>
    <w:p w14:paraId="608D251D" w14:textId="77777777" w:rsidR="0033578E" w:rsidRPr="004D462D" w:rsidRDefault="001F1AE1" w:rsidP="0033578E">
      <w:pPr>
        <w:rPr>
          <w:rFonts w:eastAsia="ArialMT" w:cs="Arial"/>
          <w:kern w:val="1"/>
        </w:rPr>
      </w:pPr>
      <w:r>
        <w:rPr>
          <w:rFonts w:eastAsia="ArialMT" w:cs="Arial"/>
          <w:kern w:val="1"/>
        </w:rPr>
        <w:t>The s</w:t>
      </w:r>
      <w:r w:rsidR="0033578E" w:rsidRPr="004D462D">
        <w:rPr>
          <w:rFonts w:eastAsia="ArialMT" w:cs="Arial"/>
          <w:kern w:val="1"/>
        </w:rPr>
        <w:t>ponsor has estimated the incidence of convulsion as 0</w:t>
      </w:r>
      <w:r w:rsidR="0033578E">
        <w:rPr>
          <w:rFonts w:eastAsia="ArialMT" w:cs="Arial"/>
          <w:kern w:val="1"/>
        </w:rPr>
        <w:t>.</w:t>
      </w:r>
      <w:r w:rsidR="0033578E" w:rsidRPr="004D462D">
        <w:rPr>
          <w:rFonts w:eastAsia="ArialMT" w:cs="Arial"/>
          <w:kern w:val="1"/>
        </w:rPr>
        <w:t>0113/100</w:t>
      </w:r>
      <w:r w:rsidR="0033578E">
        <w:rPr>
          <w:rFonts w:eastAsia="ArialMT" w:cs="Arial"/>
          <w:kern w:val="1"/>
        </w:rPr>
        <w:t>,</w:t>
      </w:r>
      <w:r w:rsidR="0033578E" w:rsidRPr="004D462D">
        <w:rPr>
          <w:rFonts w:eastAsia="ArialMT" w:cs="Arial"/>
          <w:kern w:val="1"/>
        </w:rPr>
        <w:t xml:space="preserve">000 doses of </w:t>
      </w:r>
      <w:r w:rsidR="00CD0E09">
        <w:rPr>
          <w:rFonts w:eastAsia="ArialMT" w:cs="Arial"/>
          <w:kern w:val="1"/>
        </w:rPr>
        <w:t>Fluzone High-Dose</w:t>
      </w:r>
      <w:r w:rsidR="0033578E" w:rsidRPr="004D462D">
        <w:rPr>
          <w:rFonts w:eastAsia="ArialMT" w:cs="Arial"/>
          <w:kern w:val="1"/>
        </w:rPr>
        <w:t xml:space="preserve"> distributed.</w:t>
      </w:r>
    </w:p>
    <w:p w14:paraId="21D5A074" w14:textId="77777777" w:rsidR="0033578E" w:rsidRPr="00950AC1" w:rsidRDefault="0033578E" w:rsidP="0033578E">
      <w:pPr>
        <w:rPr>
          <w:rFonts w:eastAsia="ArialMT" w:cs="Arial"/>
          <w:kern w:val="1"/>
          <w:sz w:val="24"/>
        </w:rPr>
      </w:pPr>
      <w:r w:rsidRPr="004D462D">
        <w:rPr>
          <w:rFonts w:eastAsia="ArialMT" w:cs="Arial"/>
          <w:kern w:val="1"/>
        </w:rPr>
        <w:t xml:space="preserve">Convulsions are already listed in the company core data sheet, and the </w:t>
      </w:r>
      <w:r w:rsidR="001F1AE1">
        <w:rPr>
          <w:rFonts w:eastAsia="ArialMT" w:cs="Arial"/>
          <w:kern w:val="1"/>
        </w:rPr>
        <w:t>s</w:t>
      </w:r>
      <w:r w:rsidRPr="004D462D">
        <w:rPr>
          <w:rFonts w:eastAsia="ArialMT" w:cs="Arial"/>
          <w:kern w:val="1"/>
        </w:rPr>
        <w:t>ponsor noted that these cases (and those reported in other formulations of Fluzone) revealed no new safety concerns with respect to the severity or frequency of convulsions.</w:t>
      </w:r>
    </w:p>
    <w:p w14:paraId="1B795098" w14:textId="77777777" w:rsidR="0033578E" w:rsidRPr="001F1AE1" w:rsidRDefault="0033578E" w:rsidP="001F1AE1">
      <w:pPr>
        <w:pStyle w:val="Heading5"/>
        <w:numPr>
          <w:ilvl w:val="0"/>
          <w:numId w:val="0"/>
        </w:numPr>
        <w:ind w:left="1304" w:hanging="1077"/>
        <w:rPr>
          <w:rFonts w:eastAsia="ArialMT"/>
        </w:rPr>
      </w:pPr>
      <w:r w:rsidRPr="001F1AE1">
        <w:rPr>
          <w:rFonts w:eastAsia="ArialMT"/>
        </w:rPr>
        <w:t xml:space="preserve">Risk 6: </w:t>
      </w:r>
      <w:r w:rsidR="00F05C2C" w:rsidRPr="001F1AE1">
        <w:rPr>
          <w:rFonts w:eastAsia="ArialMT"/>
        </w:rPr>
        <w:t>Encephalomyelitis</w:t>
      </w:r>
      <w:r w:rsidRPr="001F1AE1">
        <w:rPr>
          <w:rFonts w:eastAsia="ArialMT"/>
        </w:rPr>
        <w:t xml:space="preserve"> and transverse myelitis</w:t>
      </w:r>
    </w:p>
    <w:p w14:paraId="18159184" w14:textId="77777777" w:rsidR="0033578E" w:rsidRPr="00950AC1" w:rsidRDefault="0033578E" w:rsidP="0033578E">
      <w:pPr>
        <w:rPr>
          <w:rFonts w:eastAsia="ArialMT" w:cs="Arial"/>
          <w:kern w:val="1"/>
        </w:rPr>
      </w:pPr>
      <w:r w:rsidRPr="00950AC1">
        <w:rPr>
          <w:rFonts w:eastAsia="ArialMT" w:cs="Arial"/>
          <w:kern w:val="1"/>
        </w:rPr>
        <w:t xml:space="preserve">One new case of </w:t>
      </w:r>
      <w:r w:rsidR="00F05C2C" w:rsidRPr="00950AC1">
        <w:rPr>
          <w:rFonts w:eastAsia="ArialMT" w:cs="Arial"/>
          <w:kern w:val="1"/>
        </w:rPr>
        <w:t>encephalomyelitis</w:t>
      </w:r>
      <w:r w:rsidRPr="00950AC1">
        <w:rPr>
          <w:rFonts w:eastAsia="ArialMT" w:cs="Arial"/>
          <w:kern w:val="1"/>
        </w:rPr>
        <w:t xml:space="preserve"> was reported during the review period of the PBRER. Latency after vaccination was not reported with the case and so relationship to vaccination has not been assigned. </w:t>
      </w:r>
      <w:r w:rsidR="00F05C2C" w:rsidRPr="00950AC1">
        <w:rPr>
          <w:rFonts w:eastAsia="ArialMT" w:cs="Arial"/>
          <w:kern w:val="1"/>
        </w:rPr>
        <w:t>Encephalomyelitis</w:t>
      </w:r>
      <w:r w:rsidRPr="00950AC1">
        <w:rPr>
          <w:rFonts w:eastAsia="ArialMT" w:cs="Arial"/>
          <w:kern w:val="1"/>
        </w:rPr>
        <w:t xml:space="preserve"> is listed as a known adverse event and the </w:t>
      </w:r>
      <w:r w:rsidR="00D11A4C">
        <w:rPr>
          <w:rFonts w:eastAsia="ArialMT" w:cs="Arial"/>
          <w:kern w:val="1"/>
        </w:rPr>
        <w:t>s</w:t>
      </w:r>
      <w:r w:rsidRPr="00950AC1">
        <w:rPr>
          <w:rFonts w:eastAsia="ArialMT" w:cs="Arial"/>
          <w:kern w:val="1"/>
        </w:rPr>
        <w:t>ponsor has noted that review of this case (and those in other Fluzone formulations) indicated no new safe</w:t>
      </w:r>
      <w:r>
        <w:rPr>
          <w:rFonts w:eastAsia="ArialMT" w:cs="Arial"/>
          <w:kern w:val="1"/>
        </w:rPr>
        <w:t>t</w:t>
      </w:r>
      <w:r w:rsidRPr="00950AC1">
        <w:rPr>
          <w:rFonts w:eastAsia="ArialMT" w:cs="Arial"/>
          <w:kern w:val="1"/>
        </w:rPr>
        <w:t>y concerns with respect to its frequency or severity.</w:t>
      </w:r>
    </w:p>
    <w:p w14:paraId="0E7C3492" w14:textId="77777777" w:rsidR="0033578E" w:rsidRPr="00950AC1" w:rsidRDefault="0033578E" w:rsidP="00D11A4C">
      <w:pPr>
        <w:pStyle w:val="Heading5"/>
        <w:numPr>
          <w:ilvl w:val="0"/>
          <w:numId w:val="0"/>
        </w:numPr>
        <w:ind w:left="1304" w:hanging="1077"/>
        <w:rPr>
          <w:rFonts w:eastAsia="ArialMT"/>
        </w:rPr>
      </w:pPr>
      <w:r w:rsidRPr="00950AC1">
        <w:rPr>
          <w:rFonts w:eastAsia="ArialMT"/>
        </w:rPr>
        <w:t>Risk 7: Thrombocytopenia</w:t>
      </w:r>
    </w:p>
    <w:p w14:paraId="4DF980AE" w14:textId="51AA76DD" w:rsidR="0033578E" w:rsidRPr="00950AC1" w:rsidRDefault="0033578E" w:rsidP="0033578E">
      <w:pPr>
        <w:tabs>
          <w:tab w:val="left" w:pos="8550"/>
        </w:tabs>
        <w:rPr>
          <w:rFonts w:eastAsia="ArialMT" w:cs="Arial"/>
          <w:kern w:val="1"/>
        </w:rPr>
      </w:pPr>
      <w:r w:rsidRPr="00950AC1">
        <w:rPr>
          <w:rFonts w:eastAsia="ArialMT" w:cs="Arial"/>
          <w:kern w:val="1"/>
        </w:rPr>
        <w:t xml:space="preserve">One new case of thrombocytopenia was recorded in a patient taking </w:t>
      </w:r>
      <w:r w:rsidR="00CD0E09">
        <w:rPr>
          <w:rFonts w:eastAsia="ArialMT" w:cs="Arial"/>
          <w:kern w:val="1"/>
        </w:rPr>
        <w:t>Fluzone High-Dose</w:t>
      </w:r>
      <w:r w:rsidRPr="00950AC1">
        <w:rPr>
          <w:rFonts w:eastAsia="ArialMT" w:cs="Arial"/>
          <w:kern w:val="1"/>
        </w:rPr>
        <w:t>. An elderly patient received vaccine concomitant</w:t>
      </w:r>
      <w:r>
        <w:rPr>
          <w:rFonts w:eastAsia="ArialMT" w:cs="Arial"/>
          <w:kern w:val="1"/>
        </w:rPr>
        <w:t>ly</w:t>
      </w:r>
      <w:r w:rsidRPr="00950AC1">
        <w:rPr>
          <w:rFonts w:eastAsia="ArialMT" w:cs="Arial"/>
          <w:kern w:val="1"/>
        </w:rPr>
        <w:t xml:space="preserve"> with pneumococcal vaccination and was diagnosed 3 months later with thrombocytopenia. The patient had metastatic disease and bleeding and given this past medical history, a relationship between vaccination and thrombocytopenia wa</w:t>
      </w:r>
      <w:r w:rsidR="00D11A4C">
        <w:rPr>
          <w:rFonts w:eastAsia="ArialMT" w:cs="Arial"/>
          <w:kern w:val="1"/>
        </w:rPr>
        <w:t>s considered unlikely by the s</w:t>
      </w:r>
      <w:r w:rsidRPr="00950AC1">
        <w:rPr>
          <w:rFonts w:eastAsia="ArialMT" w:cs="Arial"/>
          <w:kern w:val="1"/>
        </w:rPr>
        <w:t>pon</w:t>
      </w:r>
      <w:r>
        <w:rPr>
          <w:rFonts w:eastAsia="ArialMT" w:cs="Arial"/>
          <w:kern w:val="1"/>
        </w:rPr>
        <w:t>s</w:t>
      </w:r>
      <w:r w:rsidRPr="00950AC1">
        <w:rPr>
          <w:rFonts w:eastAsia="ArialMT" w:cs="Arial"/>
          <w:kern w:val="1"/>
        </w:rPr>
        <w:t>or.</w:t>
      </w:r>
    </w:p>
    <w:p w14:paraId="77CA8386" w14:textId="139ED1C8" w:rsidR="0033578E" w:rsidRPr="00950AC1" w:rsidRDefault="0033578E" w:rsidP="0033578E">
      <w:pPr>
        <w:rPr>
          <w:rFonts w:eastAsia="ArialMT" w:cs="Arial"/>
          <w:kern w:val="1"/>
        </w:rPr>
      </w:pPr>
      <w:r w:rsidRPr="00950AC1">
        <w:rPr>
          <w:rFonts w:eastAsia="ArialMT" w:cs="Arial"/>
          <w:kern w:val="1"/>
        </w:rPr>
        <w:t xml:space="preserve">The sponsor has not estimated the incidence of </w:t>
      </w:r>
      <w:r>
        <w:rPr>
          <w:rFonts w:eastAsia="ArialMT" w:cs="Arial"/>
          <w:kern w:val="1"/>
        </w:rPr>
        <w:t>t</w:t>
      </w:r>
      <w:r w:rsidRPr="00950AC1">
        <w:rPr>
          <w:rFonts w:eastAsia="ArialMT" w:cs="Arial"/>
          <w:kern w:val="1"/>
        </w:rPr>
        <w:t xml:space="preserve">hrombocytopenia for </w:t>
      </w:r>
      <w:r w:rsidR="00CD0E09">
        <w:rPr>
          <w:rFonts w:eastAsia="ArialMT" w:cs="Arial"/>
          <w:kern w:val="1"/>
        </w:rPr>
        <w:t>Fluzone High-Dose</w:t>
      </w:r>
      <w:r w:rsidRPr="00950AC1">
        <w:rPr>
          <w:rFonts w:eastAsia="ArialMT" w:cs="Arial"/>
          <w:kern w:val="1"/>
        </w:rPr>
        <w:t xml:space="preserve"> in the PBRER.</w:t>
      </w:r>
    </w:p>
    <w:p w14:paraId="2F24B699" w14:textId="77777777" w:rsidR="0033578E" w:rsidRPr="00950AC1" w:rsidRDefault="0033578E" w:rsidP="0033578E">
      <w:pPr>
        <w:rPr>
          <w:rFonts w:eastAsia="ArialMT" w:cs="Arial"/>
          <w:kern w:val="1"/>
        </w:rPr>
      </w:pPr>
      <w:r w:rsidRPr="00950AC1">
        <w:rPr>
          <w:rFonts w:eastAsia="ArialMT" w:cs="Arial"/>
          <w:kern w:val="1"/>
        </w:rPr>
        <w:lastRenderedPageBreak/>
        <w:t xml:space="preserve">Thrombocytopenia is listed as a potential adverse event of </w:t>
      </w:r>
      <w:r w:rsidR="00CD0E09">
        <w:rPr>
          <w:rFonts w:eastAsia="ArialMT" w:cs="Arial"/>
          <w:kern w:val="1"/>
        </w:rPr>
        <w:t>Fluzone High-Dose</w:t>
      </w:r>
      <w:r w:rsidRPr="00950AC1">
        <w:rPr>
          <w:rFonts w:eastAsia="ArialMT" w:cs="Arial"/>
          <w:kern w:val="1"/>
        </w:rPr>
        <w:t xml:space="preserve"> vaccination. The </w:t>
      </w:r>
      <w:r w:rsidR="00D11A4C">
        <w:rPr>
          <w:rFonts w:eastAsia="ArialMT" w:cs="Arial"/>
          <w:kern w:val="1"/>
        </w:rPr>
        <w:t>s</w:t>
      </w:r>
      <w:r w:rsidRPr="00950AC1">
        <w:rPr>
          <w:rFonts w:eastAsia="ArialMT" w:cs="Arial"/>
          <w:kern w:val="1"/>
        </w:rPr>
        <w:t>ponsor has noted that this case (and those reported in other Fluzone formulations) indicate</w:t>
      </w:r>
      <w:r w:rsidR="00F05C2C">
        <w:rPr>
          <w:rFonts w:eastAsia="ArialMT" w:cs="Arial"/>
          <w:kern w:val="1"/>
        </w:rPr>
        <w:t>s</w:t>
      </w:r>
      <w:r w:rsidRPr="00950AC1">
        <w:rPr>
          <w:rFonts w:eastAsia="ArialMT" w:cs="Arial"/>
          <w:kern w:val="1"/>
        </w:rPr>
        <w:t xml:space="preserve"> no new safety concerns with respect to its frequency or severity.</w:t>
      </w:r>
    </w:p>
    <w:p w14:paraId="2E7DDC6E" w14:textId="77777777" w:rsidR="0033578E" w:rsidRPr="00D11A4C" w:rsidRDefault="0033578E" w:rsidP="00D11A4C">
      <w:pPr>
        <w:pStyle w:val="Heading5"/>
        <w:numPr>
          <w:ilvl w:val="0"/>
          <w:numId w:val="0"/>
        </w:numPr>
        <w:ind w:left="1304" w:hanging="1077"/>
        <w:rPr>
          <w:rFonts w:eastAsia="ArialMT"/>
        </w:rPr>
      </w:pPr>
      <w:r w:rsidRPr="00D11A4C">
        <w:rPr>
          <w:rFonts w:eastAsia="ArialMT"/>
        </w:rPr>
        <w:t>Risk 8: Vasculitis</w:t>
      </w:r>
    </w:p>
    <w:p w14:paraId="2D7E416D" w14:textId="77777777" w:rsidR="0033578E" w:rsidRPr="00950AC1" w:rsidRDefault="0033578E" w:rsidP="0033578E">
      <w:pPr>
        <w:rPr>
          <w:rFonts w:eastAsia="ArialMT" w:cs="Arial"/>
          <w:kern w:val="1"/>
        </w:rPr>
      </w:pPr>
      <w:r w:rsidRPr="00950AC1">
        <w:rPr>
          <w:rFonts w:eastAsia="ArialMT" w:cs="Arial"/>
          <w:kern w:val="1"/>
        </w:rPr>
        <w:t xml:space="preserve">Two cases of vasculitis were reported in association with </w:t>
      </w:r>
      <w:r w:rsidR="00CD0E09">
        <w:rPr>
          <w:rFonts w:eastAsia="ArialMT" w:cs="Arial"/>
          <w:kern w:val="1"/>
        </w:rPr>
        <w:t>Fluzone High-Dose</w:t>
      </w:r>
      <w:r w:rsidRPr="00950AC1">
        <w:rPr>
          <w:rFonts w:eastAsia="ArialMT" w:cs="Arial"/>
          <w:kern w:val="1"/>
        </w:rPr>
        <w:t xml:space="preserve"> vaccination. In the first case</w:t>
      </w:r>
      <w:r>
        <w:rPr>
          <w:rFonts w:eastAsia="ArialMT" w:cs="Arial"/>
          <w:kern w:val="1"/>
        </w:rPr>
        <w:t xml:space="preserve"> the</w:t>
      </w:r>
      <w:r w:rsidRPr="00950AC1">
        <w:rPr>
          <w:rFonts w:eastAsia="ArialMT" w:cs="Arial"/>
          <w:kern w:val="1"/>
        </w:rPr>
        <w:t xml:space="preserve"> onset 2 days after vaccination was considered to indicate a possible role for the vaccine, but no information on alternative causes was available. In the second case there was insufficient information to assess </w:t>
      </w:r>
      <w:r>
        <w:rPr>
          <w:rFonts w:eastAsia="ArialMT" w:cs="Arial"/>
          <w:kern w:val="1"/>
        </w:rPr>
        <w:t xml:space="preserve">an </w:t>
      </w:r>
      <w:r w:rsidRPr="00950AC1">
        <w:rPr>
          <w:rFonts w:eastAsia="ArialMT" w:cs="Arial"/>
          <w:kern w:val="1"/>
        </w:rPr>
        <w:t xml:space="preserve">association with vaccination. </w:t>
      </w:r>
    </w:p>
    <w:p w14:paraId="5FA0C7CA" w14:textId="77777777" w:rsidR="0033578E" w:rsidRPr="00950AC1" w:rsidRDefault="0033578E" w:rsidP="0033578E">
      <w:pPr>
        <w:rPr>
          <w:rFonts w:eastAsia="ArialMT" w:cs="Arial"/>
          <w:kern w:val="1"/>
        </w:rPr>
      </w:pPr>
      <w:r w:rsidRPr="00950AC1">
        <w:rPr>
          <w:rFonts w:eastAsia="ArialMT" w:cs="Arial"/>
          <w:kern w:val="1"/>
        </w:rPr>
        <w:t xml:space="preserve">The </w:t>
      </w:r>
      <w:r w:rsidR="00D11A4C">
        <w:rPr>
          <w:rFonts w:eastAsia="ArialMT" w:cs="Arial"/>
          <w:kern w:val="1"/>
        </w:rPr>
        <w:t>s</w:t>
      </w:r>
      <w:r w:rsidRPr="00950AC1">
        <w:rPr>
          <w:rFonts w:eastAsia="ArialMT" w:cs="Arial"/>
          <w:kern w:val="1"/>
        </w:rPr>
        <w:t xml:space="preserve">ponsor has not estimated the incidence of </w:t>
      </w:r>
      <w:r>
        <w:rPr>
          <w:rFonts w:eastAsia="ArialMT" w:cs="Arial"/>
          <w:kern w:val="1"/>
        </w:rPr>
        <w:t>v</w:t>
      </w:r>
      <w:r w:rsidRPr="00950AC1">
        <w:rPr>
          <w:rFonts w:eastAsia="ArialMT" w:cs="Arial"/>
          <w:kern w:val="1"/>
        </w:rPr>
        <w:t xml:space="preserve">asculitis for </w:t>
      </w:r>
      <w:r w:rsidR="00CD0E09">
        <w:rPr>
          <w:rFonts w:eastAsia="ArialMT" w:cs="Arial"/>
          <w:kern w:val="1"/>
        </w:rPr>
        <w:t>Fluzone High-Dose</w:t>
      </w:r>
      <w:r w:rsidRPr="00950AC1">
        <w:rPr>
          <w:rFonts w:eastAsia="ArialMT" w:cs="Arial"/>
          <w:kern w:val="1"/>
        </w:rPr>
        <w:t xml:space="preserve"> in the PBRER.</w:t>
      </w:r>
    </w:p>
    <w:p w14:paraId="361D7E61" w14:textId="77777777" w:rsidR="0033578E" w:rsidRPr="00950AC1" w:rsidRDefault="0033578E" w:rsidP="0033578E">
      <w:pPr>
        <w:rPr>
          <w:rFonts w:eastAsia="ArialMT" w:cs="Arial"/>
          <w:kern w:val="1"/>
        </w:rPr>
      </w:pPr>
      <w:r w:rsidRPr="00950AC1">
        <w:rPr>
          <w:rFonts w:eastAsia="ArialMT" w:cs="Arial"/>
          <w:kern w:val="1"/>
        </w:rPr>
        <w:t>Vascul</w:t>
      </w:r>
      <w:r>
        <w:rPr>
          <w:rFonts w:eastAsia="ArialMT" w:cs="Arial"/>
          <w:kern w:val="1"/>
        </w:rPr>
        <w:t>i</w:t>
      </w:r>
      <w:r w:rsidRPr="00950AC1">
        <w:rPr>
          <w:rFonts w:eastAsia="ArialMT" w:cs="Arial"/>
          <w:kern w:val="1"/>
        </w:rPr>
        <w:t xml:space="preserve">tis is listed as a potential adverse event of </w:t>
      </w:r>
      <w:r w:rsidR="00CD0E09">
        <w:rPr>
          <w:rFonts w:eastAsia="ArialMT" w:cs="Arial"/>
          <w:kern w:val="1"/>
        </w:rPr>
        <w:t>Fluzone High-Dose</w:t>
      </w:r>
      <w:r w:rsidR="00D11A4C">
        <w:rPr>
          <w:rFonts w:eastAsia="ArialMT" w:cs="Arial"/>
          <w:kern w:val="1"/>
        </w:rPr>
        <w:t>. The s</w:t>
      </w:r>
      <w:r w:rsidRPr="00950AC1">
        <w:rPr>
          <w:rFonts w:eastAsia="ArialMT" w:cs="Arial"/>
          <w:kern w:val="1"/>
        </w:rPr>
        <w:t>ponsor has noted that these cases (and those reported for other formulations of Fluzone)</w:t>
      </w:r>
      <w:r w:rsidR="00D11A4C">
        <w:rPr>
          <w:rFonts w:eastAsia="ArialMT" w:cs="Arial"/>
          <w:kern w:val="1"/>
        </w:rPr>
        <w:t xml:space="preserve"> </w:t>
      </w:r>
      <w:r w:rsidRPr="00950AC1">
        <w:rPr>
          <w:rFonts w:eastAsia="ArialMT" w:cs="Arial"/>
          <w:kern w:val="1"/>
        </w:rPr>
        <w:t>do not indicate an</w:t>
      </w:r>
      <w:r>
        <w:rPr>
          <w:rFonts w:eastAsia="ArialMT" w:cs="Arial"/>
          <w:kern w:val="1"/>
        </w:rPr>
        <w:t>y</w:t>
      </w:r>
      <w:r w:rsidRPr="00950AC1">
        <w:rPr>
          <w:rFonts w:eastAsia="ArialMT" w:cs="Arial"/>
          <w:kern w:val="1"/>
        </w:rPr>
        <w:t xml:space="preserve"> new safety concerns with respect to the severity or frequency of vasculitis associated with vaccination.</w:t>
      </w:r>
    </w:p>
    <w:p w14:paraId="24861B98" w14:textId="77777777" w:rsidR="0033578E" w:rsidRPr="00D11A4C" w:rsidRDefault="0033578E" w:rsidP="00F63AC6">
      <w:pPr>
        <w:pStyle w:val="Heading5"/>
        <w:numPr>
          <w:ilvl w:val="0"/>
          <w:numId w:val="0"/>
        </w:numPr>
        <w:ind w:left="1304" w:hanging="1077"/>
        <w:rPr>
          <w:rFonts w:eastAsia="ArialMT"/>
        </w:rPr>
      </w:pPr>
      <w:r w:rsidRPr="00D11A4C">
        <w:rPr>
          <w:rFonts w:eastAsia="ArialMT"/>
        </w:rPr>
        <w:t>Risk 9: Nausea, vomiting and diarrhoea (NVD)</w:t>
      </w:r>
    </w:p>
    <w:p w14:paraId="47DD4D37" w14:textId="77777777" w:rsidR="0033578E" w:rsidRPr="00950AC1" w:rsidRDefault="0033578E" w:rsidP="0033578E">
      <w:pPr>
        <w:rPr>
          <w:rFonts w:eastAsia="ArialMT" w:cs="Arial"/>
          <w:kern w:val="1"/>
        </w:rPr>
      </w:pPr>
      <w:r w:rsidRPr="00950AC1">
        <w:rPr>
          <w:rFonts w:eastAsia="ArialMT" w:cs="Arial"/>
          <w:kern w:val="1"/>
        </w:rPr>
        <w:t xml:space="preserve">This adverse event was being monitored for </w:t>
      </w:r>
      <w:r w:rsidR="00CD0E09">
        <w:rPr>
          <w:rFonts w:eastAsia="ArialMT" w:cs="Arial"/>
          <w:kern w:val="1"/>
        </w:rPr>
        <w:t>Fluzone High-Dose</w:t>
      </w:r>
      <w:r w:rsidRPr="00950AC1">
        <w:rPr>
          <w:rFonts w:eastAsia="ArialMT" w:cs="Arial"/>
          <w:kern w:val="1"/>
        </w:rPr>
        <w:t xml:space="preserve"> only.</w:t>
      </w:r>
    </w:p>
    <w:p w14:paraId="0FE81D43" w14:textId="77777777" w:rsidR="0033578E" w:rsidRPr="00950AC1" w:rsidRDefault="0033578E" w:rsidP="0033578E">
      <w:pPr>
        <w:rPr>
          <w:rFonts w:eastAsia="ArialMT" w:cs="Arial"/>
          <w:kern w:val="1"/>
        </w:rPr>
      </w:pPr>
      <w:r w:rsidRPr="00950AC1">
        <w:rPr>
          <w:rFonts w:eastAsia="ArialMT" w:cs="Arial"/>
          <w:kern w:val="1"/>
        </w:rPr>
        <w:t xml:space="preserve">A total of 15 new cases of NVD were reported during the review period of the PBRER. In all of these cases the </w:t>
      </w:r>
      <w:r w:rsidR="00D11A4C">
        <w:rPr>
          <w:rFonts w:eastAsia="ArialMT" w:cs="Arial"/>
          <w:kern w:val="1"/>
        </w:rPr>
        <w:t>s</w:t>
      </w:r>
      <w:r w:rsidRPr="00950AC1">
        <w:rPr>
          <w:rFonts w:eastAsia="ArialMT" w:cs="Arial"/>
          <w:kern w:val="1"/>
        </w:rPr>
        <w:t>ponsor has noted that either insufficient information was available to establish an association between the patient</w:t>
      </w:r>
      <w:r>
        <w:rPr>
          <w:rFonts w:eastAsia="ArialMT" w:cs="Arial"/>
          <w:kern w:val="1"/>
        </w:rPr>
        <w:t>’</w:t>
      </w:r>
      <w:r w:rsidRPr="00950AC1">
        <w:rPr>
          <w:rFonts w:eastAsia="ArialMT" w:cs="Arial"/>
          <w:kern w:val="1"/>
        </w:rPr>
        <w:t>s symptoms and vaccination, or alternative causes to vaccination could not be excluded.</w:t>
      </w:r>
    </w:p>
    <w:p w14:paraId="56B7447E" w14:textId="77777777" w:rsidR="0033578E" w:rsidRPr="00950AC1" w:rsidRDefault="00D11A4C" w:rsidP="0033578E">
      <w:pPr>
        <w:rPr>
          <w:rFonts w:eastAsia="ArialMT" w:cs="Arial"/>
          <w:kern w:val="1"/>
        </w:rPr>
      </w:pPr>
      <w:r>
        <w:rPr>
          <w:rFonts w:eastAsia="ArialMT" w:cs="Arial"/>
          <w:kern w:val="1"/>
        </w:rPr>
        <w:t>The s</w:t>
      </w:r>
      <w:r w:rsidR="0033578E" w:rsidRPr="00950AC1">
        <w:rPr>
          <w:rFonts w:eastAsia="ArialMT" w:cs="Arial"/>
          <w:kern w:val="1"/>
        </w:rPr>
        <w:t>ponsor has estimated the incidence of gastrointestinal disorders (</w:t>
      </w:r>
      <w:r w:rsidR="0033578E">
        <w:rPr>
          <w:rFonts w:eastAsia="ArialMT" w:cs="Arial"/>
          <w:kern w:val="1"/>
        </w:rPr>
        <w:t>n</w:t>
      </w:r>
      <w:r w:rsidR="0033578E" w:rsidRPr="00950AC1">
        <w:rPr>
          <w:rFonts w:eastAsia="ArialMT" w:cs="Arial"/>
          <w:kern w:val="1"/>
        </w:rPr>
        <w:t>ausea, vomiting and diarrhoea) to be 0.218/100</w:t>
      </w:r>
      <w:r w:rsidR="0033578E">
        <w:rPr>
          <w:rFonts w:eastAsia="ArialMT" w:cs="Arial"/>
          <w:kern w:val="1"/>
        </w:rPr>
        <w:t>,</w:t>
      </w:r>
      <w:r w:rsidR="0033578E" w:rsidRPr="00950AC1">
        <w:rPr>
          <w:rFonts w:eastAsia="ArialMT" w:cs="Arial"/>
          <w:kern w:val="1"/>
        </w:rPr>
        <w:t xml:space="preserve">000 doses of </w:t>
      </w:r>
      <w:r w:rsidR="00CD0E09">
        <w:rPr>
          <w:rFonts w:eastAsia="ArialMT" w:cs="Arial"/>
          <w:kern w:val="1"/>
        </w:rPr>
        <w:t>Fluzone High-Dose</w:t>
      </w:r>
      <w:r w:rsidR="0033578E" w:rsidRPr="00950AC1">
        <w:rPr>
          <w:rFonts w:eastAsia="ArialMT" w:cs="Arial"/>
          <w:kern w:val="1"/>
        </w:rPr>
        <w:t xml:space="preserve"> distributed.</w:t>
      </w:r>
    </w:p>
    <w:p w14:paraId="4FCB759B" w14:textId="77777777" w:rsidR="0033578E" w:rsidRPr="00950AC1" w:rsidRDefault="0033578E" w:rsidP="0033578E">
      <w:pPr>
        <w:rPr>
          <w:rFonts w:eastAsia="ArialMT" w:cs="Arial"/>
          <w:b/>
          <w:bCs/>
          <w:kern w:val="1"/>
        </w:rPr>
      </w:pPr>
      <w:r w:rsidRPr="00950AC1">
        <w:rPr>
          <w:rFonts w:eastAsia="ArialMT" w:cs="Arial"/>
          <w:kern w:val="1"/>
        </w:rPr>
        <w:t>Ga</w:t>
      </w:r>
      <w:r>
        <w:rPr>
          <w:rFonts w:eastAsia="ArialMT" w:cs="Arial"/>
          <w:kern w:val="1"/>
        </w:rPr>
        <w:t>s</w:t>
      </w:r>
      <w:r w:rsidRPr="00950AC1">
        <w:rPr>
          <w:rFonts w:eastAsia="ArialMT" w:cs="Arial"/>
          <w:kern w:val="1"/>
        </w:rPr>
        <w:t>trointestinal disorders (nausea, vomiting and diarrh</w:t>
      </w:r>
      <w:r>
        <w:rPr>
          <w:rFonts w:eastAsia="ArialMT" w:cs="Arial"/>
          <w:kern w:val="1"/>
        </w:rPr>
        <w:t>o</w:t>
      </w:r>
      <w:r w:rsidRPr="00950AC1">
        <w:rPr>
          <w:rFonts w:eastAsia="ArialMT" w:cs="Arial"/>
          <w:kern w:val="1"/>
        </w:rPr>
        <w:t xml:space="preserve">ea) are listed in the adverse events section of the current core data sheet for </w:t>
      </w:r>
      <w:r w:rsidR="00CD0E09">
        <w:rPr>
          <w:rFonts w:eastAsia="ArialMT" w:cs="Arial"/>
          <w:kern w:val="1"/>
        </w:rPr>
        <w:t>Fluzone High-Dose</w:t>
      </w:r>
      <w:r w:rsidRPr="00950AC1">
        <w:rPr>
          <w:rFonts w:eastAsia="ArialMT" w:cs="Arial"/>
          <w:kern w:val="1"/>
        </w:rPr>
        <w:t xml:space="preserve">. </w:t>
      </w:r>
    </w:p>
    <w:p w14:paraId="4B6BA15C" w14:textId="77777777" w:rsidR="0033578E" w:rsidRPr="00950AC1" w:rsidRDefault="0033578E" w:rsidP="00D11A4C">
      <w:pPr>
        <w:pStyle w:val="Heading3"/>
        <w:rPr>
          <w:rFonts w:eastAsia="ArialMT"/>
        </w:rPr>
      </w:pPr>
      <w:r>
        <w:rPr>
          <w:rFonts w:eastAsia="ArialMT"/>
        </w:rPr>
        <w:t xml:space="preserve"> </w:t>
      </w:r>
      <w:bookmarkStart w:id="214" w:name="_Toc370580811"/>
      <w:bookmarkStart w:id="215" w:name="_Toc522542383"/>
      <w:r w:rsidRPr="00950AC1">
        <w:rPr>
          <w:rFonts w:eastAsia="ArialMT"/>
        </w:rPr>
        <w:t>Development Safety Update Report (D</w:t>
      </w:r>
      <w:r>
        <w:rPr>
          <w:rFonts w:eastAsia="ArialMT"/>
        </w:rPr>
        <w:t>SU</w:t>
      </w:r>
      <w:r w:rsidRPr="00950AC1">
        <w:rPr>
          <w:rFonts w:eastAsia="ArialMT"/>
        </w:rPr>
        <w:t>R)</w:t>
      </w:r>
      <w:bookmarkStart w:id="216" w:name="_Toc370556940"/>
      <w:bookmarkEnd w:id="214"/>
      <w:bookmarkEnd w:id="216"/>
      <w:bookmarkEnd w:id="215"/>
    </w:p>
    <w:p w14:paraId="7B1A2F65" w14:textId="77777777" w:rsidR="0033578E" w:rsidRPr="00950AC1" w:rsidRDefault="0033578E" w:rsidP="0033578E">
      <w:pPr>
        <w:rPr>
          <w:rFonts w:eastAsia="ArialMT" w:cs="Arial"/>
          <w:kern w:val="1"/>
        </w:rPr>
      </w:pPr>
      <w:r w:rsidRPr="00950AC1">
        <w:rPr>
          <w:rFonts w:eastAsia="ArialMT" w:cs="Arial"/>
          <w:kern w:val="1"/>
        </w:rPr>
        <w:t>The DSUR reports on the period between April 2016 and April 2017, and therefore overlaps the scope and reporting period of the PBRER significantly. The DSUR summarises safety data for three presentat</w:t>
      </w:r>
      <w:r>
        <w:rPr>
          <w:rFonts w:eastAsia="ArialMT" w:cs="Arial"/>
          <w:kern w:val="1"/>
        </w:rPr>
        <w:t>i</w:t>
      </w:r>
      <w:r w:rsidRPr="00950AC1">
        <w:rPr>
          <w:rFonts w:eastAsia="ArialMT" w:cs="Arial"/>
          <w:kern w:val="1"/>
        </w:rPr>
        <w:t xml:space="preserve">ons, including </w:t>
      </w:r>
      <w:r w:rsidR="00CD0E09">
        <w:rPr>
          <w:rFonts w:eastAsia="ArialMT" w:cs="Arial"/>
          <w:kern w:val="1"/>
        </w:rPr>
        <w:t>Fluzone High-Dose</w:t>
      </w:r>
      <w:r w:rsidRPr="00950AC1">
        <w:rPr>
          <w:rFonts w:eastAsia="ArialMT" w:cs="Arial"/>
          <w:kern w:val="1"/>
        </w:rPr>
        <w:t>.</w:t>
      </w:r>
    </w:p>
    <w:p w14:paraId="369921E4" w14:textId="77777777" w:rsidR="0033578E" w:rsidRPr="00950AC1" w:rsidRDefault="0033578E" w:rsidP="0033578E">
      <w:pPr>
        <w:rPr>
          <w:rFonts w:eastAsia="ArialMT" w:cs="Arial"/>
          <w:kern w:val="1"/>
        </w:rPr>
      </w:pPr>
      <w:r w:rsidRPr="00950AC1">
        <w:rPr>
          <w:rFonts w:eastAsia="ArialMT" w:cs="Arial"/>
          <w:kern w:val="1"/>
        </w:rPr>
        <w:t xml:space="preserve">The DSUR notes that no actions were taken in relation to the safety of </w:t>
      </w:r>
      <w:r w:rsidR="00CD0E09">
        <w:rPr>
          <w:rFonts w:eastAsia="ArialMT" w:cs="Arial"/>
          <w:kern w:val="1"/>
        </w:rPr>
        <w:t>Fluzone High-Dose</w:t>
      </w:r>
      <w:r w:rsidRPr="00950AC1">
        <w:rPr>
          <w:rFonts w:eastAsia="ArialMT" w:cs="Arial"/>
          <w:kern w:val="1"/>
        </w:rPr>
        <w:t xml:space="preserve"> during the reporting period, nor were any changes made to the core data sheets or US prescribing information.</w:t>
      </w:r>
    </w:p>
    <w:p w14:paraId="2BB5E665" w14:textId="77777777" w:rsidR="0033578E" w:rsidRPr="00950AC1" w:rsidRDefault="0033578E" w:rsidP="00D11A4C">
      <w:pPr>
        <w:pStyle w:val="Heading4"/>
        <w:rPr>
          <w:rFonts w:cs="Arial"/>
          <w:kern w:val="1"/>
        </w:rPr>
      </w:pPr>
      <w:r w:rsidRPr="007D182B">
        <w:t>Estimated population exposure</w:t>
      </w:r>
      <w:r w:rsidRPr="00950AC1">
        <w:rPr>
          <w:rFonts w:cs="Arial"/>
          <w:kern w:val="1"/>
        </w:rPr>
        <w:t xml:space="preserve"> to </w:t>
      </w:r>
      <w:r w:rsidR="00CD0E09">
        <w:rPr>
          <w:rFonts w:cs="Arial"/>
          <w:kern w:val="1"/>
        </w:rPr>
        <w:t>Fluzone High-Dose</w:t>
      </w:r>
    </w:p>
    <w:p w14:paraId="7C547DDD" w14:textId="77777777" w:rsidR="0033578E" w:rsidRPr="00950AC1" w:rsidRDefault="0033578E" w:rsidP="0033578E">
      <w:pPr>
        <w:rPr>
          <w:rFonts w:eastAsia="ArialMT" w:cs="Arial"/>
          <w:kern w:val="1"/>
        </w:rPr>
      </w:pPr>
      <w:r w:rsidRPr="00950AC1">
        <w:rPr>
          <w:rFonts w:eastAsia="ArialMT" w:cs="Arial"/>
          <w:kern w:val="1"/>
        </w:rPr>
        <w:t xml:space="preserve">The DSUR reports the cumulative exposure of patients in trials to </w:t>
      </w:r>
      <w:r w:rsidR="00CD0E09">
        <w:rPr>
          <w:rFonts w:eastAsia="ArialMT" w:cs="Arial"/>
          <w:kern w:val="1"/>
        </w:rPr>
        <w:t>Fluzone High-Dose</w:t>
      </w:r>
      <w:r w:rsidRPr="00950AC1">
        <w:rPr>
          <w:rFonts w:eastAsia="ArialMT" w:cs="Arial"/>
          <w:kern w:val="1"/>
        </w:rPr>
        <w:t xml:space="preserve"> as 25</w:t>
      </w:r>
      <w:r>
        <w:rPr>
          <w:rFonts w:eastAsia="ArialMT" w:cs="Arial"/>
          <w:kern w:val="1"/>
        </w:rPr>
        <w:t>,</w:t>
      </w:r>
      <w:r w:rsidRPr="00950AC1">
        <w:rPr>
          <w:rFonts w:eastAsia="ArialMT" w:cs="Arial"/>
          <w:kern w:val="1"/>
        </w:rPr>
        <w:t>504.</w:t>
      </w:r>
    </w:p>
    <w:p w14:paraId="506D8AEF" w14:textId="77777777" w:rsidR="0033578E" w:rsidRPr="00950AC1" w:rsidRDefault="0033578E" w:rsidP="0033578E">
      <w:pPr>
        <w:rPr>
          <w:rFonts w:eastAsia="ArialMT" w:cs="Arial"/>
          <w:kern w:val="1"/>
        </w:rPr>
      </w:pPr>
      <w:r w:rsidRPr="00950AC1">
        <w:rPr>
          <w:rFonts w:eastAsia="ArialMT" w:cs="Arial"/>
          <w:kern w:val="1"/>
        </w:rPr>
        <w:t xml:space="preserve">The </w:t>
      </w:r>
      <w:r w:rsidR="00D11A4C">
        <w:rPr>
          <w:rFonts w:eastAsia="ArialMT" w:cs="Arial"/>
          <w:kern w:val="1"/>
        </w:rPr>
        <w:t>s</w:t>
      </w:r>
      <w:r w:rsidRPr="00950AC1">
        <w:rPr>
          <w:rFonts w:eastAsia="ArialMT" w:cs="Arial"/>
          <w:kern w:val="1"/>
        </w:rPr>
        <w:t xml:space="preserve">ponsor has estimated that cumulative post-market exposure to </w:t>
      </w:r>
      <w:r w:rsidR="00CD0E09">
        <w:rPr>
          <w:rFonts w:eastAsia="ArialMT" w:cs="Arial"/>
          <w:kern w:val="1"/>
        </w:rPr>
        <w:t>Fluzone High-Dose</w:t>
      </w:r>
      <w:r w:rsidRPr="00950AC1">
        <w:rPr>
          <w:rFonts w:eastAsia="ArialMT" w:cs="Arial"/>
          <w:kern w:val="1"/>
        </w:rPr>
        <w:t xml:space="preserve"> to be 69</w:t>
      </w:r>
      <w:r>
        <w:rPr>
          <w:rFonts w:eastAsia="ArialMT" w:cs="Arial"/>
          <w:kern w:val="1"/>
        </w:rPr>
        <w:t>,</w:t>
      </w:r>
      <w:r w:rsidRPr="00950AC1">
        <w:rPr>
          <w:rFonts w:eastAsia="ArialMT" w:cs="Arial"/>
          <w:kern w:val="1"/>
        </w:rPr>
        <w:t>220</w:t>
      </w:r>
      <w:r>
        <w:rPr>
          <w:rFonts w:eastAsia="ArialMT" w:cs="Arial"/>
          <w:kern w:val="1"/>
        </w:rPr>
        <w:t>,</w:t>
      </w:r>
      <w:r w:rsidRPr="00950AC1">
        <w:rPr>
          <w:rFonts w:eastAsia="ArialMT" w:cs="Arial"/>
          <w:kern w:val="1"/>
        </w:rPr>
        <w:t xml:space="preserve">066 doses based on wholesale </w:t>
      </w:r>
      <w:r>
        <w:rPr>
          <w:rFonts w:eastAsia="ArialMT" w:cs="Arial"/>
          <w:kern w:val="1"/>
        </w:rPr>
        <w:t xml:space="preserve">distribution </w:t>
      </w:r>
      <w:r w:rsidRPr="00950AC1">
        <w:rPr>
          <w:rFonts w:eastAsia="ArialMT" w:cs="Arial"/>
          <w:kern w:val="1"/>
        </w:rPr>
        <w:t>information.</w:t>
      </w:r>
    </w:p>
    <w:p w14:paraId="1577D236" w14:textId="77777777" w:rsidR="0033578E" w:rsidRPr="001F3076" w:rsidRDefault="0033578E" w:rsidP="00D11A4C">
      <w:pPr>
        <w:pStyle w:val="Heading4"/>
      </w:pPr>
      <w:r w:rsidRPr="001F3076">
        <w:t xml:space="preserve">Safety findings from clinical trials involving </w:t>
      </w:r>
      <w:r w:rsidR="00CD0E09">
        <w:t>Fluzone High-Dose</w:t>
      </w:r>
    </w:p>
    <w:p w14:paraId="30C81DDC" w14:textId="678C4E57" w:rsidR="0033578E" w:rsidRPr="00950AC1" w:rsidRDefault="0033578E" w:rsidP="0033578E">
      <w:pPr>
        <w:rPr>
          <w:rFonts w:eastAsia="ArialMT" w:cs="Arial"/>
          <w:kern w:val="1"/>
        </w:rPr>
      </w:pPr>
      <w:r w:rsidRPr="00950AC1">
        <w:rPr>
          <w:rFonts w:eastAsia="ArialMT" w:cs="Arial"/>
          <w:kern w:val="1"/>
        </w:rPr>
        <w:t>The DSUR has reported on safety data in ongoing clinical trials, all of which except one have been reviewed in the PBRER. This investigator initiated trial</w:t>
      </w:r>
      <w:r w:rsidRPr="00D11A4C">
        <w:rPr>
          <w:rFonts w:eastAsia="ArialMT" w:cs="Arial"/>
          <w:kern w:val="1"/>
        </w:rPr>
        <w:t xml:space="preserve"> GRC00096 reported no new safety information. No new safety information was identified in the </w:t>
      </w:r>
      <w:r w:rsidR="00D11A4C">
        <w:rPr>
          <w:rFonts w:eastAsia="ArialMT" w:cs="Arial"/>
          <w:kern w:val="1"/>
        </w:rPr>
        <w:t>s</w:t>
      </w:r>
      <w:r w:rsidRPr="00D11A4C">
        <w:rPr>
          <w:rFonts w:eastAsia="ArialMT" w:cs="Arial"/>
          <w:kern w:val="1"/>
        </w:rPr>
        <w:t>ponsor</w:t>
      </w:r>
      <w:r w:rsidR="00C81CCB">
        <w:rPr>
          <w:rFonts w:eastAsia="ArialMT" w:cs="Arial"/>
          <w:kern w:val="1"/>
        </w:rPr>
        <w:t>-</w:t>
      </w:r>
      <w:r w:rsidRPr="00D11A4C">
        <w:rPr>
          <w:rFonts w:eastAsia="ArialMT" w:cs="Arial"/>
          <w:kern w:val="1"/>
        </w:rPr>
        <w:t xml:space="preserve">initiated </w:t>
      </w:r>
      <w:r w:rsidR="00C81CCB">
        <w:rPr>
          <w:rFonts w:eastAsia="ArialMT" w:cs="Arial"/>
          <w:kern w:val="1"/>
        </w:rPr>
        <w:t>T</w:t>
      </w:r>
      <w:r w:rsidR="00C81CCB" w:rsidRPr="00D11A4C">
        <w:rPr>
          <w:rFonts w:eastAsia="ArialMT" w:cs="Arial"/>
          <w:kern w:val="1"/>
        </w:rPr>
        <w:t xml:space="preserve">rials </w:t>
      </w:r>
      <w:r w:rsidRPr="00D11A4C">
        <w:rPr>
          <w:rFonts w:eastAsia="ArialMT" w:cs="Arial"/>
          <w:kern w:val="1"/>
        </w:rPr>
        <w:t>GRC57 and GRC71, which were also</w:t>
      </w:r>
      <w:r w:rsidRPr="00950AC1">
        <w:rPr>
          <w:rFonts w:eastAsia="ArialMT" w:cs="Arial"/>
          <w:kern w:val="1"/>
        </w:rPr>
        <w:t xml:space="preserve"> reviewed in the PBRER.</w:t>
      </w:r>
    </w:p>
    <w:p w14:paraId="082E5C43" w14:textId="77777777" w:rsidR="0033578E" w:rsidRPr="001F3076" w:rsidRDefault="0033578E" w:rsidP="0033578E">
      <w:pPr>
        <w:rPr>
          <w:rFonts w:eastAsia="ArialMT"/>
          <w:b/>
          <w:szCs w:val="20"/>
        </w:rPr>
      </w:pPr>
      <w:r w:rsidRPr="00950AC1">
        <w:rPr>
          <w:rFonts w:eastAsia="ArialMT" w:cs="Arial"/>
          <w:kern w:val="1"/>
        </w:rPr>
        <w:t xml:space="preserve">No deaths associated with </w:t>
      </w:r>
      <w:r w:rsidR="00CD0E09">
        <w:rPr>
          <w:rFonts w:eastAsia="ArialMT" w:cs="Arial"/>
          <w:kern w:val="1"/>
        </w:rPr>
        <w:t>Fluzone High-Dose</w:t>
      </w:r>
      <w:r w:rsidRPr="00950AC1">
        <w:rPr>
          <w:rFonts w:eastAsia="ArialMT" w:cs="Arial"/>
          <w:kern w:val="1"/>
        </w:rPr>
        <w:t xml:space="preserve"> or other formulations were reported in clinical trials during the reporting period of the DSUR.</w:t>
      </w:r>
    </w:p>
    <w:p w14:paraId="759639EC" w14:textId="77777777" w:rsidR="0033578E" w:rsidRPr="00950AC1" w:rsidRDefault="0033578E" w:rsidP="00D11A4C">
      <w:pPr>
        <w:pStyle w:val="Heading4"/>
        <w:rPr>
          <w:rFonts w:cs="Arial"/>
          <w:kern w:val="1"/>
        </w:rPr>
      </w:pPr>
      <w:r w:rsidRPr="001F3076">
        <w:t>Literature reports of safety issues</w:t>
      </w:r>
    </w:p>
    <w:p w14:paraId="1F390CCB" w14:textId="77777777" w:rsidR="0033578E" w:rsidRPr="00950AC1" w:rsidRDefault="0033578E" w:rsidP="0033578E">
      <w:pPr>
        <w:rPr>
          <w:rFonts w:eastAsia="ArialMT" w:cs="Arial"/>
          <w:kern w:val="1"/>
        </w:rPr>
      </w:pPr>
      <w:r w:rsidRPr="00950AC1">
        <w:rPr>
          <w:rFonts w:eastAsia="ArialMT" w:cs="Arial"/>
          <w:kern w:val="1"/>
        </w:rPr>
        <w:t>The DSUR identified 6 publications. These have not identified signifi</w:t>
      </w:r>
      <w:r>
        <w:rPr>
          <w:rFonts w:eastAsia="ArialMT" w:cs="Arial"/>
          <w:kern w:val="1"/>
        </w:rPr>
        <w:t>c</w:t>
      </w:r>
      <w:r w:rsidRPr="00950AC1">
        <w:rPr>
          <w:rFonts w:eastAsia="ArialMT" w:cs="Arial"/>
          <w:kern w:val="1"/>
        </w:rPr>
        <w:t>ant new safety issues.</w:t>
      </w:r>
    </w:p>
    <w:p w14:paraId="6AAC9D89" w14:textId="77777777" w:rsidR="0033578E" w:rsidRPr="00950AC1" w:rsidRDefault="0033578E" w:rsidP="00D11A4C">
      <w:pPr>
        <w:pStyle w:val="Heading4"/>
        <w:rPr>
          <w:rFonts w:cs="Arial"/>
          <w:kern w:val="1"/>
        </w:rPr>
      </w:pPr>
      <w:r w:rsidRPr="001F3076">
        <w:lastRenderedPageBreak/>
        <w:t xml:space="preserve">Cumulative </w:t>
      </w:r>
      <w:r>
        <w:t>SAES</w:t>
      </w:r>
      <w:r w:rsidRPr="001F3076">
        <w:t xml:space="preserve"> and non-serious </w:t>
      </w:r>
      <w:r>
        <w:t>AEs</w:t>
      </w:r>
      <w:r w:rsidRPr="001F3076">
        <w:t xml:space="preserve"> from post-marketing data</w:t>
      </w:r>
    </w:p>
    <w:p w14:paraId="7B249025" w14:textId="77777777" w:rsidR="0033578E" w:rsidRPr="00950AC1" w:rsidRDefault="0033578E" w:rsidP="0033578E">
      <w:pPr>
        <w:rPr>
          <w:rFonts w:eastAsia="ArialMT" w:cs="Arial"/>
          <w:kern w:val="1"/>
        </w:rPr>
      </w:pPr>
      <w:r w:rsidRPr="00950AC1">
        <w:rPr>
          <w:rFonts w:eastAsia="ArialMT" w:cs="Arial"/>
          <w:kern w:val="1"/>
        </w:rPr>
        <w:t>Line li</w:t>
      </w:r>
      <w:r w:rsidR="001459F5">
        <w:rPr>
          <w:rFonts w:eastAsia="ArialMT" w:cs="Arial"/>
          <w:kern w:val="1"/>
        </w:rPr>
        <w:t>stings of SAEs reported to the s</w:t>
      </w:r>
      <w:r w:rsidRPr="00950AC1">
        <w:rPr>
          <w:rFonts w:eastAsia="ArialMT" w:cs="Arial"/>
          <w:kern w:val="1"/>
        </w:rPr>
        <w:t xml:space="preserve">ponsor since 1993 was reported. </w:t>
      </w:r>
      <w:r w:rsidR="00F91A35">
        <w:rPr>
          <w:rFonts w:eastAsia="ArialMT" w:cs="Arial"/>
          <w:kern w:val="1"/>
        </w:rPr>
        <w:t>The evaluator</w:t>
      </w:r>
      <w:r w:rsidRPr="00950AC1">
        <w:rPr>
          <w:rFonts w:eastAsia="ArialMT" w:cs="Arial"/>
          <w:kern w:val="1"/>
        </w:rPr>
        <w:t xml:space="preserve"> has not re-extracted the data for organ classes </w:t>
      </w:r>
      <w:r w:rsidRPr="001459F5">
        <w:rPr>
          <w:rFonts w:eastAsia="ArialMT" w:cs="Arial"/>
          <w:kern w:val="1"/>
        </w:rPr>
        <w:t>presented as Table 3</w:t>
      </w:r>
      <w:r w:rsidR="00F05C2C">
        <w:rPr>
          <w:rFonts w:eastAsia="ArialMT" w:cs="Arial"/>
          <w:kern w:val="1"/>
        </w:rPr>
        <w:t>3</w:t>
      </w:r>
      <w:r w:rsidRPr="00950AC1">
        <w:rPr>
          <w:rFonts w:eastAsia="ArialMT" w:cs="Arial"/>
          <w:kern w:val="1"/>
        </w:rPr>
        <w:t xml:space="preserve"> in the evaluation of the PBRER.</w:t>
      </w:r>
    </w:p>
    <w:p w14:paraId="44BAD38D" w14:textId="77777777" w:rsidR="0033578E" w:rsidRPr="001F3076" w:rsidRDefault="0033578E" w:rsidP="0033578E">
      <w:pPr>
        <w:rPr>
          <w:rFonts w:eastAsia="ArialMT"/>
          <w:b/>
          <w:szCs w:val="20"/>
        </w:rPr>
      </w:pPr>
      <w:r w:rsidRPr="00950AC1">
        <w:rPr>
          <w:rFonts w:eastAsia="ArialMT" w:cs="Arial"/>
          <w:kern w:val="1"/>
        </w:rPr>
        <w:t xml:space="preserve">However, the System Organ Class totals of </w:t>
      </w:r>
      <w:r>
        <w:rPr>
          <w:rFonts w:eastAsia="ArialMT" w:cs="Arial"/>
          <w:kern w:val="1"/>
        </w:rPr>
        <w:t>SAEs</w:t>
      </w:r>
      <w:r w:rsidRPr="00950AC1">
        <w:rPr>
          <w:rFonts w:eastAsia="ArialMT" w:cs="Arial"/>
          <w:kern w:val="1"/>
        </w:rPr>
        <w:t xml:space="preserve"> </w:t>
      </w:r>
      <w:r>
        <w:rPr>
          <w:rFonts w:eastAsia="ArialMT" w:cs="Arial"/>
          <w:kern w:val="1"/>
        </w:rPr>
        <w:t>are</w:t>
      </w:r>
      <w:r w:rsidRPr="00950AC1">
        <w:rPr>
          <w:rFonts w:eastAsia="ArialMT" w:cs="Arial"/>
          <w:kern w:val="1"/>
        </w:rPr>
        <w:t xml:space="preserve"> similar to th</w:t>
      </w:r>
      <w:r>
        <w:rPr>
          <w:rFonts w:eastAsia="ArialMT" w:cs="Arial"/>
          <w:kern w:val="1"/>
        </w:rPr>
        <w:t>ose</w:t>
      </w:r>
      <w:r w:rsidRPr="00950AC1">
        <w:rPr>
          <w:rFonts w:eastAsia="ArialMT" w:cs="Arial"/>
          <w:kern w:val="1"/>
        </w:rPr>
        <w:t xml:space="preserve"> in the PBRER and do not indicate to </w:t>
      </w:r>
      <w:r w:rsidR="00A06A77">
        <w:rPr>
          <w:rFonts w:eastAsia="ArialMT" w:cs="Arial"/>
          <w:kern w:val="1"/>
        </w:rPr>
        <w:t>the evaluator</w:t>
      </w:r>
      <w:r w:rsidRPr="00950AC1">
        <w:rPr>
          <w:rFonts w:eastAsia="ArialMT" w:cs="Arial"/>
          <w:kern w:val="1"/>
        </w:rPr>
        <w:t xml:space="preserve"> an</w:t>
      </w:r>
      <w:r>
        <w:rPr>
          <w:rFonts w:eastAsia="ArialMT" w:cs="Arial"/>
          <w:kern w:val="1"/>
        </w:rPr>
        <w:t>y</w:t>
      </w:r>
      <w:r w:rsidRPr="00950AC1">
        <w:rPr>
          <w:rFonts w:eastAsia="ArialMT" w:cs="Arial"/>
          <w:kern w:val="1"/>
        </w:rPr>
        <w:t xml:space="preserve"> additional safety i</w:t>
      </w:r>
      <w:r>
        <w:rPr>
          <w:rFonts w:eastAsia="ArialMT" w:cs="Arial"/>
          <w:kern w:val="1"/>
        </w:rPr>
        <w:t>ssues</w:t>
      </w:r>
      <w:r w:rsidRPr="00950AC1">
        <w:rPr>
          <w:rFonts w:eastAsia="ArialMT" w:cs="Arial"/>
          <w:kern w:val="1"/>
        </w:rPr>
        <w:t>.</w:t>
      </w:r>
    </w:p>
    <w:p w14:paraId="4E52A8A8" w14:textId="77777777" w:rsidR="0033578E" w:rsidRPr="00950AC1" w:rsidRDefault="0033578E" w:rsidP="00D11A4C">
      <w:pPr>
        <w:pStyle w:val="Heading4"/>
        <w:rPr>
          <w:rFonts w:cs="Arial"/>
          <w:kern w:val="1"/>
        </w:rPr>
      </w:pPr>
      <w:r w:rsidRPr="001F3076">
        <w:t>Deaths</w:t>
      </w:r>
    </w:p>
    <w:p w14:paraId="541D061A" w14:textId="77777777" w:rsidR="0033578E" w:rsidRPr="001F3076" w:rsidRDefault="0033578E" w:rsidP="0033578E">
      <w:pPr>
        <w:rPr>
          <w:rFonts w:eastAsia="ArialMT"/>
          <w:b/>
          <w:szCs w:val="20"/>
        </w:rPr>
      </w:pPr>
      <w:r w:rsidRPr="00950AC1">
        <w:rPr>
          <w:rFonts w:eastAsia="ArialMT" w:cs="Arial"/>
          <w:kern w:val="1"/>
        </w:rPr>
        <w:t>Deaths in post-marketing experience were not reported in the DSUR.</w:t>
      </w:r>
    </w:p>
    <w:p w14:paraId="788001D0" w14:textId="0CA63E78" w:rsidR="0033578E" w:rsidRPr="00950AC1" w:rsidRDefault="0033578E" w:rsidP="0033578E">
      <w:pPr>
        <w:tabs>
          <w:tab w:val="left" w:pos="1080"/>
        </w:tabs>
        <w:autoSpaceDE w:val="0"/>
        <w:rPr>
          <w:rFonts w:eastAsia="ArialMT" w:cs="Arial"/>
          <w:b/>
          <w:bCs/>
          <w:kern w:val="1"/>
        </w:rPr>
      </w:pPr>
      <w:r w:rsidRPr="001F3076">
        <w:rPr>
          <w:rFonts w:eastAsia="ArialMT"/>
          <w:b/>
          <w:szCs w:val="20"/>
        </w:rPr>
        <w:t xml:space="preserve">14.3.6 </w:t>
      </w:r>
      <w:r>
        <w:rPr>
          <w:rFonts w:eastAsia="ArialMT"/>
          <w:b/>
          <w:szCs w:val="20"/>
        </w:rPr>
        <w:tab/>
      </w:r>
      <w:r w:rsidRPr="001F3076">
        <w:rPr>
          <w:rFonts w:eastAsia="ArialMT"/>
          <w:b/>
          <w:szCs w:val="20"/>
        </w:rPr>
        <w:t>Post-marketing experience</w:t>
      </w:r>
    </w:p>
    <w:p w14:paraId="61D277C1" w14:textId="77777777" w:rsidR="00C618F7" w:rsidRPr="00586F98" w:rsidRDefault="0033578E" w:rsidP="0033578E">
      <w:pPr>
        <w:rPr>
          <w:lang w:eastAsia="ja-JP"/>
        </w:rPr>
      </w:pPr>
      <w:r w:rsidRPr="00950AC1">
        <w:rPr>
          <w:rFonts w:eastAsia="ArialMT" w:cs="Arial"/>
          <w:kern w:val="1"/>
        </w:rPr>
        <w:t xml:space="preserve">The DSUR provides a list of adverse events included in the USPI for </w:t>
      </w:r>
      <w:r w:rsidR="00CD0E09">
        <w:rPr>
          <w:rFonts w:eastAsia="ArialMT" w:cs="Arial"/>
          <w:kern w:val="1"/>
        </w:rPr>
        <w:t>Fluzone High-Dose</w:t>
      </w:r>
      <w:r w:rsidRPr="00950AC1">
        <w:rPr>
          <w:rFonts w:eastAsia="ArialMT" w:cs="Arial"/>
          <w:kern w:val="1"/>
        </w:rPr>
        <w:t>. These are not new safety signals from the reporting period of the DSUR.</w:t>
      </w:r>
      <w:r w:rsidR="006A3980">
        <w:rPr>
          <w:rFonts w:eastAsia="ArialMT" w:cs="Arial"/>
          <w:kern w:val="1"/>
        </w:rPr>
        <w:t xml:space="preserve"> </w:t>
      </w:r>
      <w:r w:rsidRPr="00950AC1">
        <w:rPr>
          <w:rFonts w:eastAsia="ArialMT" w:cs="Arial"/>
          <w:kern w:val="1"/>
        </w:rPr>
        <w:t xml:space="preserve">The important safety risks </w:t>
      </w:r>
      <w:r w:rsidR="001459F5">
        <w:rPr>
          <w:rFonts w:eastAsia="ArialMT" w:cs="Arial"/>
          <w:kern w:val="1"/>
        </w:rPr>
        <w:t>such as</w:t>
      </w:r>
      <w:r w:rsidRPr="00950AC1">
        <w:rPr>
          <w:rFonts w:eastAsia="ArialMT" w:cs="Arial"/>
          <w:kern w:val="1"/>
        </w:rPr>
        <w:t xml:space="preserve"> hypersens</w:t>
      </w:r>
      <w:r>
        <w:rPr>
          <w:rFonts w:eastAsia="ArialMT" w:cs="Arial"/>
          <w:kern w:val="1"/>
        </w:rPr>
        <w:t xml:space="preserve">itivity, GBS </w:t>
      </w:r>
      <w:r w:rsidR="001459F5">
        <w:rPr>
          <w:rFonts w:eastAsia="ArialMT" w:cs="Arial"/>
          <w:kern w:val="1"/>
        </w:rPr>
        <w:t>and so on</w:t>
      </w:r>
      <w:r>
        <w:rPr>
          <w:rFonts w:eastAsia="ArialMT" w:cs="Arial"/>
          <w:kern w:val="1"/>
        </w:rPr>
        <w:t xml:space="preserve"> are noted but </w:t>
      </w:r>
      <w:r w:rsidRPr="00950AC1">
        <w:rPr>
          <w:rFonts w:eastAsia="ArialMT" w:cs="Arial"/>
          <w:kern w:val="1"/>
        </w:rPr>
        <w:t>no additional information to that in the PBRER has been provided.</w:t>
      </w:r>
    </w:p>
    <w:p w14:paraId="6249163B" w14:textId="77777777" w:rsidR="00C618F7" w:rsidRDefault="00C618F7" w:rsidP="00C618F7">
      <w:pPr>
        <w:pStyle w:val="Heading2"/>
      </w:pPr>
      <w:bookmarkStart w:id="217" w:name="_Toc522542384"/>
      <w:r>
        <w:t>Second round benefit-risk assessment</w:t>
      </w:r>
      <w:bookmarkEnd w:id="217"/>
    </w:p>
    <w:p w14:paraId="28E6BD96" w14:textId="77777777" w:rsidR="0033578E" w:rsidRPr="00051F30" w:rsidRDefault="0033578E" w:rsidP="001459F5">
      <w:pPr>
        <w:pStyle w:val="Heading3"/>
      </w:pPr>
      <w:bookmarkStart w:id="218" w:name="_Toc370580813"/>
      <w:bookmarkStart w:id="219" w:name="_Toc522542385"/>
      <w:r>
        <w:t>Second</w:t>
      </w:r>
      <w:r w:rsidRPr="00051F30">
        <w:t xml:space="preserve"> round assessment of benefits</w:t>
      </w:r>
      <w:bookmarkEnd w:id="218"/>
      <w:bookmarkEnd w:id="219"/>
    </w:p>
    <w:p w14:paraId="3703E967" w14:textId="60B7336B" w:rsidR="001459F5" w:rsidRDefault="0033578E" w:rsidP="001459F5">
      <w:pPr>
        <w:rPr>
          <w:shd w:val="clear" w:color="auto" w:fill="FFFFFF"/>
        </w:rPr>
      </w:pPr>
      <w:r w:rsidRPr="00B51FED">
        <w:rPr>
          <w:shd w:val="clear" w:color="auto" w:fill="FFFFFF"/>
        </w:rPr>
        <w:t xml:space="preserve">A noted in the first round evaluation, the benefits of </w:t>
      </w:r>
      <w:r w:rsidR="00CD0E09">
        <w:rPr>
          <w:shd w:val="clear" w:color="auto" w:fill="FFFFFF"/>
        </w:rPr>
        <w:t>Fluzone High-Dose</w:t>
      </w:r>
      <w:r w:rsidRPr="00B51FED">
        <w:rPr>
          <w:shd w:val="clear" w:color="auto" w:fill="FFFFFF"/>
        </w:rPr>
        <w:t xml:space="preserve"> in the proposed usage </w:t>
      </w:r>
      <w:r w:rsidR="00F05C2C">
        <w:rPr>
          <w:shd w:val="clear" w:color="auto" w:fill="FFFFFF"/>
        </w:rPr>
        <w:t>is</w:t>
      </w:r>
      <w:r w:rsidRPr="00B51FED">
        <w:rPr>
          <w:shd w:val="clear" w:color="auto" w:fill="FFFFFF"/>
        </w:rPr>
        <w:t xml:space="preserve"> protection from influenza that is greater than that offered by standard adult dose trivalent influenza vaccine (</w:t>
      </w:r>
      <w:r w:rsidR="001459F5">
        <w:rPr>
          <w:shd w:val="clear" w:color="auto" w:fill="FFFFFF"/>
        </w:rPr>
        <w:t>such as</w:t>
      </w:r>
      <w:r w:rsidRPr="00B51FED">
        <w:rPr>
          <w:shd w:val="clear" w:color="auto" w:fill="FFFFFF"/>
        </w:rPr>
        <w:t xml:space="preserve"> Fluzone). The extent of benefit will fluctuate as the match between circulating strains of influenza and the included vaccine strains varies from year to year.</w:t>
      </w:r>
      <w:bookmarkStart w:id="220" w:name="_Toc370580814"/>
    </w:p>
    <w:p w14:paraId="2C1DD9F4" w14:textId="77777777" w:rsidR="0033578E" w:rsidRPr="00B51FED" w:rsidRDefault="0033578E" w:rsidP="001459F5">
      <w:pPr>
        <w:pStyle w:val="Heading3"/>
        <w:rPr>
          <w:shd w:val="clear" w:color="auto" w:fill="FFFFFF"/>
        </w:rPr>
      </w:pPr>
      <w:bookmarkStart w:id="221" w:name="_Toc522542386"/>
      <w:r w:rsidRPr="00B51FED">
        <w:rPr>
          <w:shd w:val="clear" w:color="auto" w:fill="FFFFFF"/>
        </w:rPr>
        <w:t>Second round assessment of risks</w:t>
      </w:r>
      <w:bookmarkEnd w:id="220"/>
      <w:bookmarkEnd w:id="221"/>
    </w:p>
    <w:p w14:paraId="103F2EB3" w14:textId="77777777" w:rsidR="0033578E" w:rsidRPr="00051F30" w:rsidRDefault="0033578E" w:rsidP="0033578E">
      <w:pPr>
        <w:rPr>
          <w:rFonts w:cs="Arial"/>
        </w:rPr>
      </w:pPr>
      <w:r w:rsidRPr="00051F30">
        <w:rPr>
          <w:rFonts w:cs="Arial"/>
        </w:rPr>
        <w:t xml:space="preserve">The risks of </w:t>
      </w:r>
      <w:r w:rsidR="00CD0E09">
        <w:rPr>
          <w:rFonts w:cs="Arial"/>
        </w:rPr>
        <w:t>Fluzone High-Dose</w:t>
      </w:r>
      <w:r w:rsidRPr="00051F30">
        <w:rPr>
          <w:rFonts w:cs="Arial"/>
        </w:rPr>
        <w:t xml:space="preserve"> in the proposed usage </w:t>
      </w:r>
      <w:r>
        <w:rPr>
          <w:rFonts w:cs="Arial"/>
        </w:rPr>
        <w:t>as previously noted are:</w:t>
      </w:r>
    </w:p>
    <w:p w14:paraId="62EF4053" w14:textId="77777777" w:rsidR="0033578E" w:rsidRPr="00051F30" w:rsidRDefault="0033578E" w:rsidP="001459F5">
      <w:pPr>
        <w:pStyle w:val="ListBullet"/>
      </w:pPr>
      <w:r w:rsidRPr="00051F30">
        <w:t>Increase</w:t>
      </w:r>
      <w:r>
        <w:t>d</w:t>
      </w:r>
      <w:r w:rsidRPr="00051F30">
        <w:t xml:space="preserve"> immune</w:t>
      </w:r>
      <w:r>
        <w:t>-</w:t>
      </w:r>
      <w:r w:rsidRPr="00051F30">
        <w:t>mediated reactions</w:t>
      </w:r>
      <w:r w:rsidR="001459F5">
        <w:t xml:space="preserve"> such as</w:t>
      </w:r>
      <w:r w:rsidRPr="00051F30">
        <w:t xml:space="preserve"> </w:t>
      </w:r>
      <w:r>
        <w:t xml:space="preserve">higher rates of </w:t>
      </w:r>
      <w:r w:rsidRPr="00051F30">
        <w:t xml:space="preserve">injection site and systemic reactions in the first week post vaccination compared </w:t>
      </w:r>
      <w:r>
        <w:t>with the</w:t>
      </w:r>
      <w:r w:rsidRPr="00051F30">
        <w:t xml:space="preserve"> standard adult dose influenza vaccine </w:t>
      </w:r>
      <w:r>
        <w:t>(</w:t>
      </w:r>
      <w:r w:rsidR="001459F5">
        <w:t xml:space="preserve">for example </w:t>
      </w:r>
      <w:r w:rsidRPr="00051F30">
        <w:t>Fluzone</w:t>
      </w:r>
      <w:r>
        <w:t>).</w:t>
      </w:r>
    </w:p>
    <w:p w14:paraId="0F838BF1" w14:textId="77777777" w:rsidR="0033578E" w:rsidRPr="00051F30" w:rsidRDefault="0033578E" w:rsidP="001459F5">
      <w:pPr>
        <w:pStyle w:val="Heading3"/>
      </w:pPr>
      <w:bookmarkStart w:id="222" w:name="_Toc370580815"/>
      <w:bookmarkStart w:id="223" w:name="_Toc522542387"/>
      <w:r>
        <w:t>Second</w:t>
      </w:r>
      <w:r w:rsidRPr="00051F30">
        <w:t xml:space="preserve"> round assessment of benefit-risk balance</w:t>
      </w:r>
      <w:bookmarkEnd w:id="222"/>
      <w:bookmarkEnd w:id="223"/>
    </w:p>
    <w:p w14:paraId="449C6395" w14:textId="6F3C880E" w:rsidR="0033578E" w:rsidRPr="00B51FED" w:rsidRDefault="00F91A35" w:rsidP="0033578E">
      <w:pPr>
        <w:rPr>
          <w:shd w:val="clear" w:color="auto" w:fill="FFFFFF"/>
        </w:rPr>
      </w:pPr>
      <w:r>
        <w:rPr>
          <w:rFonts w:cs="Arial"/>
        </w:rPr>
        <w:t>The evaluator</w:t>
      </w:r>
      <w:r w:rsidR="0033578E" w:rsidRPr="00B51FED">
        <w:rPr>
          <w:shd w:val="clear" w:color="auto" w:fill="FFFFFF"/>
        </w:rPr>
        <w:t xml:space="preserve"> notes that a quadrivalent inactivated influenza vaccine (Afluria Quad) is now included in the Australian National Immunisation Program (NIP) for adults aged 18 years and over (although it is not the recommended product for those aged 65 and over). As Fluzone has not been compared to any quadrivalent IIV in clinical studies, the benefits of </w:t>
      </w:r>
      <w:r w:rsidR="00CD0E09">
        <w:rPr>
          <w:shd w:val="clear" w:color="auto" w:fill="FFFFFF"/>
        </w:rPr>
        <w:t>Fluzone High-Dose</w:t>
      </w:r>
      <w:r w:rsidR="0033578E" w:rsidRPr="00B51FED">
        <w:rPr>
          <w:shd w:val="clear" w:color="auto" w:fill="FFFFFF"/>
        </w:rPr>
        <w:t xml:space="preserve"> against the three included strains have to </w:t>
      </w:r>
      <w:r w:rsidR="00F05C2C" w:rsidRPr="00B51FED">
        <w:rPr>
          <w:shd w:val="clear" w:color="auto" w:fill="FFFFFF"/>
        </w:rPr>
        <w:t>balance</w:t>
      </w:r>
      <w:r w:rsidR="0033578E" w:rsidRPr="00B51FED">
        <w:rPr>
          <w:shd w:val="clear" w:color="auto" w:fill="FFFFFF"/>
        </w:rPr>
        <w:t> against the lack of coverage of one of the B</w:t>
      </w:r>
      <w:r w:rsidR="00782310">
        <w:rPr>
          <w:shd w:val="clear" w:color="auto" w:fill="FFFFFF"/>
        </w:rPr>
        <w:t> </w:t>
      </w:r>
      <w:r w:rsidR="0033578E" w:rsidRPr="00B51FED">
        <w:rPr>
          <w:shd w:val="clear" w:color="auto" w:fill="FFFFFF"/>
        </w:rPr>
        <w:t xml:space="preserve">strain lineages. </w:t>
      </w:r>
    </w:p>
    <w:p w14:paraId="3EA52C76" w14:textId="77777777" w:rsidR="00C618F7" w:rsidRPr="00586F98" w:rsidRDefault="0033578E" w:rsidP="0033578E">
      <w:pPr>
        <w:rPr>
          <w:lang w:eastAsia="ja-JP"/>
        </w:rPr>
      </w:pPr>
      <w:r w:rsidRPr="00B51FED">
        <w:t xml:space="preserve">Overall, however, </w:t>
      </w:r>
      <w:r w:rsidR="00A06A77">
        <w:t>the evaluator</w:t>
      </w:r>
      <w:r w:rsidRPr="00B51FED">
        <w:t xml:space="preserve"> considers that benefit-risk balance of </w:t>
      </w:r>
      <w:r w:rsidR="00CD0E09">
        <w:t>Fluzone High-Dose</w:t>
      </w:r>
      <w:r w:rsidRPr="00B51FED">
        <w:t xml:space="preserve"> for the proposed indication is favourable.</w:t>
      </w:r>
    </w:p>
    <w:p w14:paraId="61A782D5" w14:textId="77777777" w:rsidR="00C618F7" w:rsidRDefault="00C618F7" w:rsidP="00C618F7">
      <w:pPr>
        <w:pStyle w:val="Heading2"/>
      </w:pPr>
      <w:bookmarkStart w:id="224" w:name="_Toc522542388"/>
      <w:r>
        <w:t>Second round recommendation regarding authorisation</w:t>
      </w:r>
      <w:bookmarkEnd w:id="224"/>
    </w:p>
    <w:p w14:paraId="725308A8" w14:textId="77777777" w:rsidR="0033578E" w:rsidRDefault="0033578E" w:rsidP="0033578E">
      <w:pPr>
        <w:rPr>
          <w:rFonts w:cs="Arial"/>
        </w:rPr>
      </w:pPr>
      <w:r>
        <w:rPr>
          <w:rFonts w:cs="Arial"/>
        </w:rPr>
        <w:t xml:space="preserve">In the view of </w:t>
      </w:r>
      <w:r w:rsidR="00A06A77">
        <w:rPr>
          <w:rFonts w:cs="Arial"/>
        </w:rPr>
        <w:t>the evaluator</w:t>
      </w:r>
      <w:r w:rsidRPr="00051F30">
        <w:rPr>
          <w:rFonts w:cs="Arial"/>
        </w:rPr>
        <w:t xml:space="preserve"> </w:t>
      </w:r>
      <w:r>
        <w:rPr>
          <w:rFonts w:cs="Arial"/>
        </w:rPr>
        <w:t xml:space="preserve">that the </w:t>
      </w:r>
      <w:r w:rsidRPr="00051F30">
        <w:rPr>
          <w:rFonts w:cs="Arial"/>
        </w:rPr>
        <w:t xml:space="preserve">benefit-risk balance of </w:t>
      </w:r>
      <w:r w:rsidR="00CD0E09">
        <w:rPr>
          <w:rFonts w:cs="Arial"/>
        </w:rPr>
        <w:t>Fluzone High-Dose</w:t>
      </w:r>
      <w:r>
        <w:rPr>
          <w:rFonts w:cs="Arial"/>
        </w:rPr>
        <w:t xml:space="preserve"> for the proposed indication remains favourable and </w:t>
      </w:r>
      <w:r w:rsidRPr="00051F30">
        <w:rPr>
          <w:rFonts w:cs="Arial"/>
        </w:rPr>
        <w:t xml:space="preserve">recommends that </w:t>
      </w:r>
      <w:r>
        <w:rPr>
          <w:rFonts w:cs="Arial"/>
        </w:rPr>
        <w:t xml:space="preserve">it </w:t>
      </w:r>
      <w:r w:rsidRPr="00051F30">
        <w:rPr>
          <w:rFonts w:cs="Arial"/>
        </w:rPr>
        <w:t>be registered for the proposed indication</w:t>
      </w:r>
      <w:r>
        <w:rPr>
          <w:rFonts w:cs="Arial"/>
        </w:rPr>
        <w:t xml:space="preserve">. </w:t>
      </w:r>
    </w:p>
    <w:p w14:paraId="768008B8" w14:textId="77777777" w:rsidR="00C618F7" w:rsidRDefault="00C618F7" w:rsidP="00C618F7">
      <w:pPr>
        <w:pStyle w:val="Heading2"/>
      </w:pPr>
      <w:bookmarkStart w:id="225" w:name="_Toc522542389"/>
      <w:r>
        <w:lastRenderedPageBreak/>
        <w:t>References</w:t>
      </w:r>
      <w:bookmarkEnd w:id="225"/>
    </w:p>
    <w:p w14:paraId="03E77152" w14:textId="003C686B" w:rsidR="008D770F" w:rsidRPr="00AE01C2" w:rsidRDefault="0033578E" w:rsidP="008B5A3E">
      <w:pPr>
        <w:rPr>
          <w:lang w:eastAsia="ja-JP"/>
        </w:rPr>
      </w:pPr>
      <w:proofErr w:type="gramStart"/>
      <w:r>
        <w:rPr>
          <w:lang w:eastAsia="ja-JP"/>
        </w:rPr>
        <w:t>Nil</w:t>
      </w:r>
      <w:r w:rsidR="00CD66A8">
        <w:rPr>
          <w:lang w:eastAsia="ja-JP"/>
        </w:rPr>
        <w:t>.</w:t>
      </w:r>
      <w:bookmarkEnd w:id="1"/>
      <w:bookmarkEnd w:id="0"/>
      <w:bookmarkEnd w:id="3"/>
      <w:proofErr w:type="gramEnd"/>
    </w:p>
    <w:p w14:paraId="60F313C7" w14:textId="77777777" w:rsidR="003D1E62" w:rsidRPr="001D043B" w:rsidRDefault="008E7846" w:rsidP="002666AC">
      <w:pPr>
        <w:sectPr w:rsidR="003D1E62" w:rsidRPr="001D043B" w:rsidSect="008D770F">
          <w:headerReference w:type="even" r:id="rId48"/>
          <w:headerReference w:type="default" r:id="rId49"/>
          <w:headerReference w:type="first" r:id="rId50"/>
          <w:footerReference w:type="first" r:id="rId51"/>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4E65862" w14:textId="77777777" w:rsidTr="0033578E">
        <w:trPr>
          <w:trHeight w:hRule="exact" w:val="564"/>
        </w:trPr>
        <w:tc>
          <w:tcPr>
            <w:tcW w:w="9175" w:type="dxa"/>
          </w:tcPr>
          <w:p w14:paraId="684AB3F3" w14:textId="77777777" w:rsidR="00B3567E" w:rsidRPr="00487162" w:rsidRDefault="00B3567E" w:rsidP="0033578E">
            <w:pPr>
              <w:pStyle w:val="TGASignoff"/>
            </w:pPr>
            <w:r w:rsidRPr="00487162">
              <w:lastRenderedPageBreak/>
              <w:t>Therapeutic Goods Administration</w:t>
            </w:r>
          </w:p>
        </w:tc>
      </w:tr>
      <w:tr w:rsidR="00B3567E" w:rsidRPr="00487162" w14:paraId="30859C81" w14:textId="77777777" w:rsidTr="0033578E">
        <w:trPr>
          <w:trHeight w:val="1221"/>
        </w:trPr>
        <w:tc>
          <w:tcPr>
            <w:tcW w:w="9175" w:type="dxa"/>
            <w:tcMar>
              <w:top w:w="28" w:type="dxa"/>
            </w:tcMar>
          </w:tcPr>
          <w:p w14:paraId="63D958AE" w14:textId="77777777" w:rsidR="00B3567E" w:rsidRPr="00487162" w:rsidRDefault="00B3567E" w:rsidP="0033578E">
            <w:pPr>
              <w:pStyle w:val="Address"/>
            </w:pPr>
            <w:r w:rsidRPr="00487162">
              <w:t>PO Box 100 Woden ACT 2606 Australia</w:t>
            </w:r>
          </w:p>
          <w:p w14:paraId="242BE414" w14:textId="77777777" w:rsidR="00B3567E" w:rsidRPr="00487162" w:rsidRDefault="00B3567E" w:rsidP="0033578E">
            <w:pPr>
              <w:pStyle w:val="Address"/>
            </w:pPr>
            <w:r w:rsidRPr="00487162">
              <w:t xml:space="preserve">Email: </w:t>
            </w:r>
            <w:hyperlink r:id="rId52" w:history="1">
              <w:r w:rsidRPr="008D770F">
                <w:rPr>
                  <w:rStyle w:val="Hyperlink"/>
                </w:rPr>
                <w:t>info@tga.gov.au</w:t>
              </w:r>
            </w:hyperlink>
            <w:r w:rsidR="006A3980">
              <w:t xml:space="preserve"> </w:t>
            </w:r>
            <w:r w:rsidRPr="00487162">
              <w:t>Phone: 1800 020 653</w:t>
            </w:r>
            <w:r w:rsidR="006A3980">
              <w:t xml:space="preserve"> </w:t>
            </w:r>
            <w:r w:rsidRPr="00487162">
              <w:t>Fax: 02 6232 8605</w:t>
            </w:r>
          </w:p>
          <w:p w14:paraId="42D99713" w14:textId="77777777" w:rsidR="00B3567E" w:rsidRPr="008D770F" w:rsidRDefault="00C83AFB" w:rsidP="0033578E">
            <w:pPr>
              <w:pStyle w:val="Address"/>
              <w:spacing w:line="260" w:lineRule="atLeast"/>
              <w:rPr>
                <w:b/>
                <w:color w:val="0000FF"/>
                <w:u w:val="single"/>
              </w:rPr>
            </w:pPr>
            <w:hyperlink r:id="rId53" w:history="1">
              <w:r w:rsidR="00E979F4" w:rsidRPr="00FE02B1">
                <w:rPr>
                  <w:rStyle w:val="Hyperlink"/>
                  <w:b/>
                </w:rPr>
                <w:t>https://www.tga.gov.au</w:t>
              </w:r>
            </w:hyperlink>
          </w:p>
        </w:tc>
      </w:tr>
    </w:tbl>
    <w:p w14:paraId="10D1CA39" w14:textId="77777777" w:rsidR="00774E1D" w:rsidRPr="008A5E0B" w:rsidRDefault="00774E1D" w:rsidP="008A5E0B"/>
    <w:sectPr w:rsidR="00774E1D" w:rsidRPr="008A5E0B" w:rsidSect="00B3567E">
      <w:headerReference w:type="even" r:id="rId54"/>
      <w:headerReference w:type="default" r:id="rId55"/>
      <w:footerReference w:type="default" r:id="rId56"/>
      <w:headerReference w:type="first" r:id="rId57"/>
      <w:footerReference w:type="first" r:id="rId58"/>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55D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4B756" w14:textId="77777777" w:rsidR="00C83AFB" w:rsidRDefault="00C83AFB" w:rsidP="00C40A36">
      <w:pPr>
        <w:spacing w:after="0"/>
      </w:pPr>
      <w:r>
        <w:separator/>
      </w:r>
    </w:p>
  </w:endnote>
  <w:endnote w:type="continuationSeparator" w:id="0">
    <w:p w14:paraId="4D22C34A" w14:textId="77777777" w:rsidR="00C83AFB" w:rsidRDefault="00C83AF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C83AFB" w:rsidRPr="00487162" w14:paraId="296BD1CC" w14:textId="77777777" w:rsidTr="009B3A29">
      <w:trPr>
        <w:trHeight w:val="269"/>
      </w:trPr>
      <w:tc>
        <w:tcPr>
          <w:tcW w:w="7655" w:type="dxa"/>
          <w:tcMar>
            <w:top w:w="142" w:type="dxa"/>
            <w:bottom w:w="0" w:type="dxa"/>
          </w:tcMar>
        </w:tcPr>
        <w:p w14:paraId="62F346A9" w14:textId="77777777" w:rsidR="00C83AFB" w:rsidRPr="00487162" w:rsidRDefault="00C83AFB" w:rsidP="007628A4">
          <w:pPr>
            <w:pStyle w:val="Footer"/>
          </w:pPr>
          <w:r>
            <w:t>Submission</w:t>
          </w:r>
          <w:r w:rsidRPr="00487162">
            <w:t xml:space="preserve"> PM-20</w:t>
          </w:r>
          <w:r>
            <w:t>17</w:t>
          </w:r>
          <w:r w:rsidRPr="00487162">
            <w:t>-</w:t>
          </w:r>
          <w:r>
            <w:t>0690</w:t>
          </w:r>
          <w:r w:rsidRPr="00487162">
            <w:t>-</w:t>
          </w:r>
          <w:r>
            <w:t>1-2 Extract from the Clinical Evaluation Report for Fluzone High-Dose</w:t>
          </w:r>
        </w:p>
      </w:tc>
      <w:tc>
        <w:tcPr>
          <w:tcW w:w="1206" w:type="dxa"/>
          <w:tcMar>
            <w:top w:w="142" w:type="dxa"/>
            <w:bottom w:w="0" w:type="dxa"/>
          </w:tcMar>
        </w:tcPr>
        <w:p w14:paraId="29EAA294" w14:textId="77777777" w:rsidR="00C83AFB" w:rsidRPr="00981D66" w:rsidRDefault="00C83AF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D7EF7">
            <w:rPr>
              <w:noProof/>
            </w:rPr>
            <w:t>3</w:t>
          </w:r>
          <w:r w:rsidRPr="00981D66">
            <w:fldChar w:fldCharType="end"/>
          </w:r>
          <w:r w:rsidRPr="00981D66">
            <w:t xml:space="preserve"> of </w:t>
          </w:r>
          <w:fldSimple w:instr=" NUMPAGES  \* Arabic  \* MERGEFORMAT ">
            <w:r w:rsidR="00CD7EF7">
              <w:rPr>
                <w:noProof/>
              </w:rPr>
              <w:t>50</w:t>
            </w:r>
          </w:fldSimple>
        </w:p>
      </w:tc>
    </w:tr>
  </w:tbl>
  <w:p w14:paraId="285C4445" w14:textId="77777777" w:rsidR="00C83AFB" w:rsidRDefault="00C83AF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83AFB" w:rsidRPr="00487162" w14:paraId="2D3C1CB1" w14:textId="77777777" w:rsidTr="00E45619">
      <w:trPr>
        <w:trHeight w:val="269"/>
      </w:trPr>
      <w:tc>
        <w:tcPr>
          <w:tcW w:w="4519" w:type="dxa"/>
          <w:tcBorders>
            <w:top w:val="single" w:sz="4" w:space="0" w:color="auto"/>
          </w:tcBorders>
          <w:tcMar>
            <w:top w:w="142" w:type="dxa"/>
            <w:bottom w:w="0" w:type="dxa"/>
          </w:tcMar>
        </w:tcPr>
        <w:p w14:paraId="1CDB71B1" w14:textId="77777777" w:rsidR="00C83AFB" w:rsidRPr="00487162" w:rsidRDefault="00C83AFB" w:rsidP="00FE1DEE">
          <w:pPr>
            <w:pStyle w:val="Footer"/>
          </w:pPr>
          <w:r w:rsidRPr="00487162">
            <w:t>Document title, Part #, Section # - Section title</w:t>
          </w:r>
        </w:p>
        <w:p w14:paraId="29A55577" w14:textId="77777777" w:rsidR="00C83AFB" w:rsidRPr="00487162" w:rsidRDefault="00C83AFB" w:rsidP="00FE1DEE">
          <w:pPr>
            <w:pStyle w:val="Footer"/>
          </w:pPr>
          <w:r w:rsidRPr="00487162">
            <w:t>V1.0 October 2010</w:t>
          </w:r>
        </w:p>
      </w:tc>
      <w:tc>
        <w:tcPr>
          <w:tcW w:w="4342" w:type="dxa"/>
          <w:tcBorders>
            <w:top w:val="single" w:sz="4" w:space="0" w:color="auto"/>
          </w:tcBorders>
          <w:tcMar>
            <w:top w:w="142" w:type="dxa"/>
            <w:bottom w:w="0" w:type="dxa"/>
          </w:tcMar>
        </w:tcPr>
        <w:p w14:paraId="46CC789E" w14:textId="77777777" w:rsidR="00C83AFB" w:rsidRPr="00487162" w:rsidRDefault="00C83AF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50</w:t>
            </w:r>
          </w:fldSimple>
        </w:p>
      </w:tc>
    </w:tr>
  </w:tbl>
  <w:p w14:paraId="76257D3A" w14:textId="77777777" w:rsidR="00C83AFB" w:rsidRDefault="00C83A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E7066" w14:textId="77777777" w:rsidR="00C83AFB" w:rsidRDefault="00C83AF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83AFB" w14:paraId="5FE3E4B7" w14:textId="77777777" w:rsidTr="0010601F">
      <w:trPr>
        <w:trHeight w:val="108"/>
      </w:trPr>
      <w:tc>
        <w:tcPr>
          <w:tcW w:w="8875" w:type="dxa"/>
          <w:gridSpan w:val="2"/>
          <w:tcBorders>
            <w:bottom w:val="single" w:sz="4" w:space="0" w:color="auto"/>
          </w:tcBorders>
          <w:tcMar>
            <w:right w:w="284" w:type="dxa"/>
          </w:tcMar>
        </w:tcPr>
        <w:p w14:paraId="46D52E43" w14:textId="77777777" w:rsidR="00C83AFB" w:rsidRDefault="00C83AFB" w:rsidP="006E08B3">
          <w:pPr>
            <w:pStyle w:val="Heading3"/>
          </w:pPr>
          <w:r>
            <w:t>Copyright</w:t>
          </w:r>
        </w:p>
        <w:p w14:paraId="7B5C9B00" w14:textId="77777777" w:rsidR="00C83AFB" w:rsidRDefault="00C83AFB" w:rsidP="006E08B3">
          <w:r>
            <w:rPr>
              <w:rFonts w:cs="Arial"/>
            </w:rPr>
            <w:t>©</w:t>
          </w:r>
          <w:r>
            <w:t xml:space="preserve"> Commonwealth of Australia [add year]</w:t>
          </w:r>
        </w:p>
        <w:p w14:paraId="2AB346F6" w14:textId="77777777" w:rsidR="00C83AFB" w:rsidRDefault="00C83AFB" w:rsidP="006E08B3"/>
        <w:p w14:paraId="3AB61DDD" w14:textId="77777777" w:rsidR="00C83AFB" w:rsidRDefault="00C83AF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7A48099" w14:textId="77777777" w:rsidR="00C83AFB" w:rsidRDefault="00C83AFB" w:rsidP="006E08B3"/>
        <w:p w14:paraId="7CE65B33" w14:textId="77777777" w:rsidR="00C83AFB" w:rsidRDefault="00C83AFB" w:rsidP="006E08B3">
          <w:pPr>
            <w:pStyle w:val="Heading3"/>
          </w:pPr>
          <w:r>
            <w:t>Confidentiality</w:t>
          </w:r>
        </w:p>
        <w:p w14:paraId="2C45A9D7" w14:textId="77777777" w:rsidR="00C83AFB" w:rsidRDefault="00C83AF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7916FC1" w14:textId="77777777" w:rsidR="00C83AFB" w:rsidRDefault="00C83AFB" w:rsidP="006E08B3"/>
        <w:p w14:paraId="71790000" w14:textId="77777777" w:rsidR="00C83AFB" w:rsidRDefault="00C83AFB" w:rsidP="006E08B3">
          <w:r>
            <w:t>For submission made by individuals, all personal details, other than your name, will be removed from your submission before it is published on the TGA’s Internet site.</w:t>
          </w:r>
        </w:p>
        <w:p w14:paraId="4A01E561" w14:textId="77777777" w:rsidR="00C83AFB" w:rsidRDefault="00C83AFB" w:rsidP="006E08B3"/>
        <w:p w14:paraId="45C98AF0" w14:textId="77777777" w:rsidR="00C83AFB" w:rsidRDefault="00C83AFB" w:rsidP="006E08B3">
          <w:r>
            <w:t>In addition, a list of parties making submissions will be published. If you do not wish to be identified with your submission you must specifically request this in the space provided ib the submission coversheet.</w:t>
          </w:r>
        </w:p>
      </w:tc>
    </w:tr>
    <w:tr w:rsidR="00C83AFB" w14:paraId="3A94D8EF" w14:textId="77777777" w:rsidTr="0010601F">
      <w:trPr>
        <w:trHeight w:val="417"/>
      </w:trPr>
      <w:tc>
        <w:tcPr>
          <w:tcW w:w="4519" w:type="dxa"/>
          <w:tcBorders>
            <w:top w:val="single" w:sz="4" w:space="0" w:color="auto"/>
          </w:tcBorders>
          <w:tcMar>
            <w:top w:w="142" w:type="dxa"/>
            <w:bottom w:w="0" w:type="dxa"/>
          </w:tcMar>
        </w:tcPr>
        <w:p w14:paraId="44CA1DEB" w14:textId="77777777" w:rsidR="00C83AFB" w:rsidRDefault="00C83AFB" w:rsidP="006E08B3">
          <w:r>
            <w:t>Document title, Part #, Section # - Section title</w:t>
          </w:r>
        </w:p>
        <w:p w14:paraId="18EA8742" w14:textId="77777777" w:rsidR="00C83AFB" w:rsidRDefault="00C83AFB" w:rsidP="006E08B3">
          <w:r>
            <w:t>V1.0 October 2010</w:t>
          </w:r>
        </w:p>
      </w:tc>
      <w:tc>
        <w:tcPr>
          <w:tcW w:w="4356" w:type="dxa"/>
          <w:tcBorders>
            <w:top w:val="single" w:sz="4" w:space="0" w:color="auto"/>
          </w:tcBorders>
          <w:tcMar>
            <w:top w:w="142" w:type="dxa"/>
            <w:bottom w:w="0" w:type="dxa"/>
          </w:tcMar>
        </w:tcPr>
        <w:p w14:paraId="78539C01" w14:textId="77777777" w:rsidR="00C83AFB" w:rsidRDefault="00C83AF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50</w:t>
            </w:r>
          </w:fldSimple>
          <w:r>
            <w:t xml:space="preserve">  </w:t>
          </w:r>
        </w:p>
      </w:tc>
    </w:tr>
  </w:tbl>
  <w:p w14:paraId="7B532B5A" w14:textId="77777777" w:rsidR="00C83AFB" w:rsidRDefault="00C83A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AB24A" w14:textId="77777777" w:rsidR="00C83AFB" w:rsidRDefault="00C83AFB" w:rsidP="00C40A36">
      <w:pPr>
        <w:spacing w:after="0"/>
      </w:pPr>
      <w:r>
        <w:separator/>
      </w:r>
    </w:p>
  </w:footnote>
  <w:footnote w:type="continuationSeparator" w:id="0">
    <w:p w14:paraId="10375CB2" w14:textId="77777777" w:rsidR="00C83AFB" w:rsidRDefault="00C83AFB" w:rsidP="00C40A36">
      <w:pPr>
        <w:spacing w:after="0"/>
      </w:pPr>
      <w:r>
        <w:continuationSeparator/>
      </w:r>
    </w:p>
  </w:footnote>
  <w:footnote w:id="1">
    <w:p w14:paraId="425B5C3F" w14:textId="09B904A3" w:rsidR="00C83AFB" w:rsidRPr="00CD0E09" w:rsidRDefault="00C83AFB" w:rsidP="00CD0E09">
      <w:pPr>
        <w:rPr>
          <w:sz w:val="18"/>
          <w:szCs w:val="18"/>
        </w:rPr>
      </w:pPr>
      <w:r w:rsidRPr="00CD0E09">
        <w:rPr>
          <w:rStyle w:val="FootnoteReference"/>
          <w:rFonts w:cs="Arial"/>
          <w:sz w:val="18"/>
          <w:szCs w:val="18"/>
        </w:rPr>
        <w:footnoteRef/>
      </w:r>
      <w:r w:rsidRPr="00CD0E09">
        <w:rPr>
          <w:sz w:val="18"/>
          <w:szCs w:val="18"/>
        </w:rPr>
        <w:t xml:space="preserve"> Impact of Influenza, reference Influenza Specialist Group website, </w:t>
      </w:r>
      <w:hyperlink r:id="rId1" w:history="1">
        <w:r w:rsidRPr="00E128A0">
          <w:rPr>
            <w:rStyle w:val="Hyperlink"/>
            <w:sz w:val="18"/>
            <w:szCs w:val="18"/>
          </w:rPr>
          <w:t>www.isg.org.au</w:t>
        </w:r>
      </w:hyperlink>
      <w:r>
        <w:rPr>
          <w:sz w:val="18"/>
          <w:szCs w:val="18"/>
        </w:rPr>
        <w:t xml:space="preserve"> </w:t>
      </w:r>
    </w:p>
  </w:footnote>
  <w:footnote w:id="2">
    <w:p w14:paraId="45EEA232" w14:textId="77777777" w:rsidR="00C83AFB" w:rsidRPr="00A06A77" w:rsidRDefault="00C83AFB">
      <w:pPr>
        <w:pStyle w:val="FootnoteText"/>
        <w:rPr>
          <w:rFonts w:asciiTheme="minorHAnsi" w:hAnsiTheme="minorHAnsi"/>
          <w:sz w:val="18"/>
          <w:szCs w:val="18"/>
          <w:lang w:val="en-US"/>
        </w:rPr>
      </w:pPr>
      <w:r w:rsidRPr="00A06A77">
        <w:rPr>
          <w:rStyle w:val="FootnoteReference"/>
          <w:rFonts w:asciiTheme="minorHAnsi" w:hAnsiTheme="minorHAnsi"/>
          <w:sz w:val="18"/>
          <w:szCs w:val="18"/>
        </w:rPr>
        <w:footnoteRef/>
      </w:r>
      <w:r w:rsidRPr="00A06A77">
        <w:rPr>
          <w:rFonts w:asciiTheme="minorHAnsi" w:hAnsiTheme="minorHAnsi"/>
          <w:sz w:val="18"/>
          <w:szCs w:val="18"/>
        </w:rPr>
        <w:t xml:space="preserve"> Keitel WA, Campbell JD, Treanor JJ, Walter EB, Patel SM, He F, et al. Safety and immunogenicity of an inactivated influenza A/H5N1 vaccine given with or without aluminum hydroxide to healthy adults: results of a phase I-II randomized clinical trial. J Infect Dis. 2008;198(9):1309–16</w:t>
      </w:r>
    </w:p>
  </w:footnote>
  <w:footnote w:id="3">
    <w:p w14:paraId="6A9200DE" w14:textId="287E7091" w:rsidR="00C83AFB" w:rsidRDefault="00C83AFB" w:rsidP="006F20F2">
      <w:r w:rsidRPr="00F91A35">
        <w:rPr>
          <w:rStyle w:val="FootnoteReference"/>
          <w:sz w:val="18"/>
          <w:szCs w:val="18"/>
        </w:rPr>
        <w:footnoteRef/>
      </w:r>
      <w:r w:rsidRPr="00F91A35">
        <w:rPr>
          <w:sz w:val="18"/>
          <w:szCs w:val="18"/>
        </w:rPr>
        <w:t xml:space="preserve"> Evaluation of STN 103914/5726 by Roshan Ramanthan MD MPH, 29 October 2014</w:t>
      </w:r>
    </w:p>
  </w:footnote>
  <w:footnote w:id="4">
    <w:p w14:paraId="64DED4D9" w14:textId="77777777" w:rsidR="00C83AFB" w:rsidRPr="001E41BA" w:rsidRDefault="00C83AFB" w:rsidP="00AC4160">
      <w:pPr>
        <w:rPr>
          <w:sz w:val="18"/>
          <w:szCs w:val="18"/>
        </w:rPr>
      </w:pPr>
      <w:r w:rsidRPr="001E41BA">
        <w:rPr>
          <w:rStyle w:val="FootnoteReference"/>
          <w:sz w:val="18"/>
          <w:szCs w:val="18"/>
        </w:rPr>
        <w:footnoteRef/>
      </w:r>
      <w:r w:rsidRPr="001E41BA">
        <w:rPr>
          <w:sz w:val="18"/>
          <w:szCs w:val="18"/>
        </w:rPr>
        <w:t xml:space="preserve"> Evaluation of STN 103914/5726 by Roshan Ramanthan MD MPH, 29 October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E9DB" w14:textId="77777777" w:rsidR="00C83AFB" w:rsidRDefault="00C83AF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4A0D7" w14:textId="77777777" w:rsidR="00C83AFB" w:rsidRDefault="00C83AFB">
    <w:pPr>
      <w:rPr>
        <w:noProof/>
        <w:lang w:eastAsia="en-AU"/>
      </w:rPr>
    </w:pPr>
    <w:r w:rsidRPr="002D545C">
      <w:rPr>
        <w:noProof/>
        <w:lang w:eastAsia="en-AU"/>
      </w:rPr>
      <w:drawing>
        <wp:anchor distT="0" distB="0" distL="114300" distR="114300" simplePos="0" relativeHeight="251659264" behindDoc="1" locked="0" layoutInCell="1" allowOverlap="1" wp14:anchorId="3A99D02F" wp14:editId="39D46C13">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B7B5875" w14:textId="77777777" w:rsidR="00C83AFB" w:rsidRDefault="00C83AFB" w:rsidP="00593AD1">
    <w:pPr>
      <w:pStyle w:val="HeaderNoLine"/>
    </w:pPr>
    <w:r>
      <w:rPr>
        <w:noProof/>
        <w:lang w:eastAsia="en-AU"/>
      </w:rPr>
      <w:drawing>
        <wp:inline distT="0" distB="0" distL="0" distR="0" wp14:anchorId="2542D5F1" wp14:editId="10164B81">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FE9A2" w14:textId="77777777" w:rsidR="00C83AFB" w:rsidRDefault="00C83A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678E6" w14:textId="77777777" w:rsidR="00C83AFB" w:rsidRDefault="00C83AF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6C2C0" w14:textId="77777777" w:rsidR="00C83AFB" w:rsidRDefault="00C83AF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5D8F9" w14:textId="77777777" w:rsidR="00C83AFB" w:rsidRDefault="00C83A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D338C" w14:textId="77777777" w:rsidR="00C83AFB" w:rsidRDefault="00C83AF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B4553" w14:textId="77777777" w:rsidR="00C83AFB" w:rsidRDefault="00C83AFB" w:rsidP="006E08B3">
    <w:r>
      <w:t>Therapeutic Goods Administration</w:t>
    </w:r>
  </w:p>
  <w:p w14:paraId="27AF4676" w14:textId="77777777" w:rsidR="00C83AFB" w:rsidRDefault="00C83AF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C54790A"/>
    <w:multiLevelType w:val="hybridMultilevel"/>
    <w:tmpl w:val="8E8E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24589F"/>
    <w:multiLevelType w:val="hybridMultilevel"/>
    <w:tmpl w:val="16E46B78"/>
    <w:lvl w:ilvl="0" w:tplc="0C090001">
      <w:start w:val="1"/>
      <w:numFmt w:val="bullet"/>
      <w:lvlText w:val=""/>
      <w:lvlJc w:val="left"/>
      <w:pPr>
        <w:ind w:left="1044" w:hanging="360"/>
      </w:pPr>
      <w:rPr>
        <w:rFonts w:ascii="Symbol" w:hAnsi="Symbol" w:hint="default"/>
      </w:rPr>
    </w:lvl>
    <w:lvl w:ilvl="1" w:tplc="0C090003" w:tentative="1">
      <w:start w:val="1"/>
      <w:numFmt w:val="bullet"/>
      <w:lvlText w:val="o"/>
      <w:lvlJc w:val="left"/>
      <w:pPr>
        <w:ind w:left="176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3204" w:hanging="360"/>
      </w:pPr>
      <w:rPr>
        <w:rFonts w:ascii="Symbol" w:hAnsi="Symbol" w:hint="default"/>
      </w:rPr>
    </w:lvl>
    <w:lvl w:ilvl="4" w:tplc="0C090003" w:tentative="1">
      <w:start w:val="1"/>
      <w:numFmt w:val="bullet"/>
      <w:lvlText w:val="o"/>
      <w:lvlJc w:val="left"/>
      <w:pPr>
        <w:ind w:left="3924" w:hanging="360"/>
      </w:pPr>
      <w:rPr>
        <w:rFonts w:ascii="Courier New" w:hAnsi="Courier New" w:cs="Courier New" w:hint="default"/>
      </w:rPr>
    </w:lvl>
    <w:lvl w:ilvl="5" w:tplc="0C090005" w:tentative="1">
      <w:start w:val="1"/>
      <w:numFmt w:val="bullet"/>
      <w:lvlText w:val=""/>
      <w:lvlJc w:val="left"/>
      <w:pPr>
        <w:ind w:left="4644" w:hanging="360"/>
      </w:pPr>
      <w:rPr>
        <w:rFonts w:ascii="Wingdings" w:hAnsi="Wingdings" w:hint="default"/>
      </w:rPr>
    </w:lvl>
    <w:lvl w:ilvl="6" w:tplc="0C090001" w:tentative="1">
      <w:start w:val="1"/>
      <w:numFmt w:val="bullet"/>
      <w:lvlText w:val=""/>
      <w:lvlJc w:val="left"/>
      <w:pPr>
        <w:ind w:left="5364" w:hanging="360"/>
      </w:pPr>
      <w:rPr>
        <w:rFonts w:ascii="Symbol" w:hAnsi="Symbol" w:hint="default"/>
      </w:rPr>
    </w:lvl>
    <w:lvl w:ilvl="7" w:tplc="0C090003" w:tentative="1">
      <w:start w:val="1"/>
      <w:numFmt w:val="bullet"/>
      <w:lvlText w:val="o"/>
      <w:lvlJc w:val="left"/>
      <w:pPr>
        <w:ind w:left="6084" w:hanging="360"/>
      </w:pPr>
      <w:rPr>
        <w:rFonts w:ascii="Courier New" w:hAnsi="Courier New" w:cs="Courier New" w:hint="default"/>
      </w:rPr>
    </w:lvl>
    <w:lvl w:ilvl="8" w:tplc="0C090005" w:tentative="1">
      <w:start w:val="1"/>
      <w:numFmt w:val="bullet"/>
      <w:lvlText w:val=""/>
      <w:lvlJc w:val="left"/>
      <w:pPr>
        <w:ind w:left="6804"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19320B7"/>
    <w:multiLevelType w:val="hybridMultilevel"/>
    <w:tmpl w:val="839C6E50"/>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01C296C"/>
    <w:multiLevelType w:val="hybridMultilevel"/>
    <w:tmpl w:val="BD20E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523B47"/>
    <w:multiLevelType w:val="hybridMultilevel"/>
    <w:tmpl w:val="A7005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4EB37D4F"/>
    <w:multiLevelType w:val="hybridMultilevel"/>
    <w:tmpl w:val="1780D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316394"/>
    <w:multiLevelType w:val="hybridMultilevel"/>
    <w:tmpl w:val="E7E84C82"/>
    <w:lvl w:ilvl="0" w:tplc="4CEEB5BE">
      <w:start w:val="7"/>
      <w:numFmt w:val="decimal"/>
      <w:lvlText w:val="%1.1.2.2"/>
      <w:lvlJc w:val="left"/>
      <w:pPr>
        <w:ind w:left="2629" w:hanging="360"/>
      </w:pPr>
      <w:rPr>
        <w:rFonts w:hint="default"/>
      </w:rPr>
    </w:lvl>
    <w:lvl w:ilvl="1" w:tplc="4CEEB5BE">
      <w:start w:val="7"/>
      <w:numFmt w:val="decimal"/>
      <w:lvlText w:val="%2.1.2.2"/>
      <w:lvlJc w:val="left"/>
      <w:pPr>
        <w:ind w:left="3141" w:hanging="360"/>
      </w:pPr>
      <w:rPr>
        <w:rFonts w:hint="default"/>
      </w:rPr>
    </w:lvl>
    <w:lvl w:ilvl="2" w:tplc="4CEEB5BE">
      <w:start w:val="7"/>
      <w:numFmt w:val="decimal"/>
      <w:lvlText w:val="%3.1.2.2"/>
      <w:lvlJc w:val="left"/>
      <w:pPr>
        <w:ind w:left="3861" w:hanging="180"/>
      </w:pPr>
      <w:rPr>
        <w:rFonts w:hint="default"/>
      </w:rPr>
    </w:lvl>
    <w:lvl w:ilvl="3" w:tplc="4CEEB5BE">
      <w:start w:val="7"/>
      <w:numFmt w:val="decimal"/>
      <w:lvlText w:val="%4.1.2.2"/>
      <w:lvlJc w:val="left"/>
      <w:pPr>
        <w:ind w:left="4581" w:hanging="360"/>
      </w:pPr>
      <w:rPr>
        <w:rFonts w:hint="default"/>
      </w:rPr>
    </w:lvl>
    <w:lvl w:ilvl="4" w:tplc="4CEEB5BE">
      <w:start w:val="7"/>
      <w:numFmt w:val="decimal"/>
      <w:lvlText w:val="%5.1.2.2"/>
      <w:lvlJc w:val="left"/>
      <w:pPr>
        <w:ind w:left="5301" w:hanging="360"/>
      </w:pPr>
      <w:rPr>
        <w:rFonts w:hint="default"/>
      </w:r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6">
    <w:nsid w:val="57076D7D"/>
    <w:multiLevelType w:val="multilevel"/>
    <w:tmpl w:val="E910B24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numFmt w:val="decimal"/>
      <w:lvlText w:val="%1.%2.%3.%4.%5."/>
      <w:lvlJc w:val="left"/>
      <w:pPr>
        <w:tabs>
          <w:tab w:val="num" w:pos="1985"/>
        </w:tabs>
        <w:ind w:left="1985"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7">
    <w:nsid w:val="5AC042D0"/>
    <w:multiLevelType w:val="hybridMultilevel"/>
    <w:tmpl w:val="C8B8AE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727059D"/>
    <w:multiLevelType w:val="hybridMultilevel"/>
    <w:tmpl w:val="FE5A5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D0B1B75"/>
    <w:multiLevelType w:val="multilevel"/>
    <w:tmpl w:val="8096743E"/>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2609"/>
        </w:tabs>
        <w:ind w:left="2609"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79D2398D"/>
    <w:multiLevelType w:val="hybridMultilevel"/>
    <w:tmpl w:val="4DB20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3"/>
  </w:num>
  <w:num w:numId="27">
    <w:abstractNumId w:val="18"/>
  </w:num>
  <w:num w:numId="28">
    <w:abstractNumId w:val="20"/>
  </w:num>
  <w:num w:numId="29">
    <w:abstractNumId w:val="21"/>
  </w:num>
  <w:num w:numId="30">
    <w:abstractNumId w:val="21"/>
  </w:num>
  <w:num w:numId="31">
    <w:abstractNumId w:val="21"/>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6"/>
  </w:num>
  <w:num w:numId="34">
    <w:abstractNumId w:val="12"/>
  </w:num>
  <w:num w:numId="35">
    <w:abstractNumId w:val="7"/>
  </w:num>
  <w:num w:numId="36">
    <w:abstractNumId w:val="14"/>
  </w:num>
  <w:num w:numId="37">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num>
  <w:num w:numId="40">
    <w:abstractNumId w:val="11"/>
  </w:num>
  <w:num w:numId="41">
    <w:abstractNumId w:val="15"/>
  </w:num>
  <w:num w:numId="42">
    <w:abstractNumId w:val="8"/>
  </w:num>
  <w:num w:numId="43">
    <w:abstractNumId w:val="19"/>
  </w:num>
  <w:num w:numId="44">
    <w:abstractNumId w:val="22"/>
  </w:num>
  <w:num w:numId="45">
    <w:abstractNumId w:val="9"/>
  </w:num>
  <w:num w:numId="46">
    <w:abstractNumId w:val="6"/>
  </w:num>
  <w:num w:numId="4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8A4"/>
    <w:rsid w:val="00002031"/>
    <w:rsid w:val="00004734"/>
    <w:rsid w:val="00006B22"/>
    <w:rsid w:val="0001276A"/>
    <w:rsid w:val="000246AE"/>
    <w:rsid w:val="00025C67"/>
    <w:rsid w:val="00036BBD"/>
    <w:rsid w:val="00040ACB"/>
    <w:rsid w:val="00042F5C"/>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589F"/>
    <w:rsid w:val="0010601F"/>
    <w:rsid w:val="0010788A"/>
    <w:rsid w:val="00107A31"/>
    <w:rsid w:val="00110EA5"/>
    <w:rsid w:val="00112F56"/>
    <w:rsid w:val="00125318"/>
    <w:rsid w:val="001260E1"/>
    <w:rsid w:val="00126902"/>
    <w:rsid w:val="001305A2"/>
    <w:rsid w:val="00133238"/>
    <w:rsid w:val="0014197B"/>
    <w:rsid w:val="001447CD"/>
    <w:rsid w:val="001459F5"/>
    <w:rsid w:val="001516B1"/>
    <w:rsid w:val="00154EBB"/>
    <w:rsid w:val="00156316"/>
    <w:rsid w:val="00165389"/>
    <w:rsid w:val="0017078F"/>
    <w:rsid w:val="001708EC"/>
    <w:rsid w:val="0017105B"/>
    <w:rsid w:val="0017693F"/>
    <w:rsid w:val="0018110E"/>
    <w:rsid w:val="00181684"/>
    <w:rsid w:val="001843C6"/>
    <w:rsid w:val="001850E0"/>
    <w:rsid w:val="00196C1B"/>
    <w:rsid w:val="001A2158"/>
    <w:rsid w:val="001A525F"/>
    <w:rsid w:val="001B09F9"/>
    <w:rsid w:val="001B5D98"/>
    <w:rsid w:val="001B6448"/>
    <w:rsid w:val="001C19EF"/>
    <w:rsid w:val="001C657B"/>
    <w:rsid w:val="001E07CF"/>
    <w:rsid w:val="001E41BA"/>
    <w:rsid w:val="001E59F1"/>
    <w:rsid w:val="001F1AE1"/>
    <w:rsid w:val="001F3349"/>
    <w:rsid w:val="001F497A"/>
    <w:rsid w:val="001F49EB"/>
    <w:rsid w:val="001F6CBA"/>
    <w:rsid w:val="00201D4E"/>
    <w:rsid w:val="002076C9"/>
    <w:rsid w:val="00220B8A"/>
    <w:rsid w:val="002257F3"/>
    <w:rsid w:val="00233456"/>
    <w:rsid w:val="002339A5"/>
    <w:rsid w:val="0024178D"/>
    <w:rsid w:val="00252A5C"/>
    <w:rsid w:val="00257848"/>
    <w:rsid w:val="0026401D"/>
    <w:rsid w:val="002666AC"/>
    <w:rsid w:val="0027084A"/>
    <w:rsid w:val="00272B3E"/>
    <w:rsid w:val="002757EE"/>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3651"/>
    <w:rsid w:val="0032583B"/>
    <w:rsid w:val="00327883"/>
    <w:rsid w:val="00335504"/>
    <w:rsid w:val="0033578E"/>
    <w:rsid w:val="003521E8"/>
    <w:rsid w:val="003728F3"/>
    <w:rsid w:val="0037496E"/>
    <w:rsid w:val="0037623D"/>
    <w:rsid w:val="00385BD5"/>
    <w:rsid w:val="00386150"/>
    <w:rsid w:val="003874CE"/>
    <w:rsid w:val="00390900"/>
    <w:rsid w:val="003931E3"/>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8155A"/>
    <w:rsid w:val="004936E4"/>
    <w:rsid w:val="00494E60"/>
    <w:rsid w:val="00497487"/>
    <w:rsid w:val="004A7E13"/>
    <w:rsid w:val="004B7B76"/>
    <w:rsid w:val="004C2DCA"/>
    <w:rsid w:val="004F0F38"/>
    <w:rsid w:val="004F4AF5"/>
    <w:rsid w:val="00501921"/>
    <w:rsid w:val="0051446E"/>
    <w:rsid w:val="00526B19"/>
    <w:rsid w:val="00530354"/>
    <w:rsid w:val="0053625B"/>
    <w:rsid w:val="005434C6"/>
    <w:rsid w:val="00543B39"/>
    <w:rsid w:val="00550096"/>
    <w:rsid w:val="00552AC1"/>
    <w:rsid w:val="00557FF9"/>
    <w:rsid w:val="00570789"/>
    <w:rsid w:val="00575E67"/>
    <w:rsid w:val="00576378"/>
    <w:rsid w:val="00577945"/>
    <w:rsid w:val="00577E38"/>
    <w:rsid w:val="005804E9"/>
    <w:rsid w:val="00585322"/>
    <w:rsid w:val="005857C6"/>
    <w:rsid w:val="00586F98"/>
    <w:rsid w:val="00592F6E"/>
    <w:rsid w:val="00593AD1"/>
    <w:rsid w:val="005A68B6"/>
    <w:rsid w:val="005C24D9"/>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63D2"/>
    <w:rsid w:val="0067687A"/>
    <w:rsid w:val="00677D22"/>
    <w:rsid w:val="00680C08"/>
    <w:rsid w:val="00683B49"/>
    <w:rsid w:val="006931B1"/>
    <w:rsid w:val="006A15C0"/>
    <w:rsid w:val="006A3980"/>
    <w:rsid w:val="006B4C50"/>
    <w:rsid w:val="006C130C"/>
    <w:rsid w:val="006C3E2A"/>
    <w:rsid w:val="006C642F"/>
    <w:rsid w:val="006D03E5"/>
    <w:rsid w:val="006D5D3E"/>
    <w:rsid w:val="006E08B3"/>
    <w:rsid w:val="006F17AC"/>
    <w:rsid w:val="006F1D37"/>
    <w:rsid w:val="006F20F2"/>
    <w:rsid w:val="006F26D0"/>
    <w:rsid w:val="006F2796"/>
    <w:rsid w:val="006F572E"/>
    <w:rsid w:val="007046D6"/>
    <w:rsid w:val="00705DB0"/>
    <w:rsid w:val="00722B57"/>
    <w:rsid w:val="0074253D"/>
    <w:rsid w:val="0074429B"/>
    <w:rsid w:val="007513B4"/>
    <w:rsid w:val="007615BC"/>
    <w:rsid w:val="007628A4"/>
    <w:rsid w:val="00762F05"/>
    <w:rsid w:val="007652FF"/>
    <w:rsid w:val="00770EF1"/>
    <w:rsid w:val="00773EF7"/>
    <w:rsid w:val="00774E1D"/>
    <w:rsid w:val="0077675A"/>
    <w:rsid w:val="00780355"/>
    <w:rsid w:val="00782310"/>
    <w:rsid w:val="00785721"/>
    <w:rsid w:val="00793A59"/>
    <w:rsid w:val="007B6E9F"/>
    <w:rsid w:val="007C1216"/>
    <w:rsid w:val="007C1AF7"/>
    <w:rsid w:val="007D102B"/>
    <w:rsid w:val="007D3033"/>
    <w:rsid w:val="007E6E27"/>
    <w:rsid w:val="007F3E00"/>
    <w:rsid w:val="00805D27"/>
    <w:rsid w:val="00821776"/>
    <w:rsid w:val="008321F5"/>
    <w:rsid w:val="00832369"/>
    <w:rsid w:val="00834306"/>
    <w:rsid w:val="00834660"/>
    <w:rsid w:val="00836BC2"/>
    <w:rsid w:val="008414A0"/>
    <w:rsid w:val="00841562"/>
    <w:rsid w:val="0085641B"/>
    <w:rsid w:val="00857136"/>
    <w:rsid w:val="00886D15"/>
    <w:rsid w:val="00887DD8"/>
    <w:rsid w:val="00896018"/>
    <w:rsid w:val="008960DD"/>
    <w:rsid w:val="0089635C"/>
    <w:rsid w:val="008A0739"/>
    <w:rsid w:val="008A1D6D"/>
    <w:rsid w:val="008A2B9D"/>
    <w:rsid w:val="008A5E0B"/>
    <w:rsid w:val="008A6D59"/>
    <w:rsid w:val="008A74D5"/>
    <w:rsid w:val="008B4B03"/>
    <w:rsid w:val="008B596F"/>
    <w:rsid w:val="008B5A3E"/>
    <w:rsid w:val="008C159F"/>
    <w:rsid w:val="008C1623"/>
    <w:rsid w:val="008C1850"/>
    <w:rsid w:val="008C51A9"/>
    <w:rsid w:val="008D770F"/>
    <w:rsid w:val="008E7846"/>
    <w:rsid w:val="008F1BE3"/>
    <w:rsid w:val="008F1CCC"/>
    <w:rsid w:val="008F2967"/>
    <w:rsid w:val="008F5A64"/>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4C95"/>
    <w:rsid w:val="009A3199"/>
    <w:rsid w:val="009A3A29"/>
    <w:rsid w:val="009A4CED"/>
    <w:rsid w:val="009A690D"/>
    <w:rsid w:val="009B0270"/>
    <w:rsid w:val="009B1D12"/>
    <w:rsid w:val="009B3A29"/>
    <w:rsid w:val="009B416B"/>
    <w:rsid w:val="009C4BD5"/>
    <w:rsid w:val="009D7B77"/>
    <w:rsid w:val="009E0BB0"/>
    <w:rsid w:val="009E3C82"/>
    <w:rsid w:val="009E3FBB"/>
    <w:rsid w:val="009F764D"/>
    <w:rsid w:val="00A04561"/>
    <w:rsid w:val="00A06A77"/>
    <w:rsid w:val="00A06D16"/>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B4FA5"/>
    <w:rsid w:val="00AC2B40"/>
    <w:rsid w:val="00AC2BB2"/>
    <w:rsid w:val="00AC2C3C"/>
    <w:rsid w:val="00AC4160"/>
    <w:rsid w:val="00AC512D"/>
    <w:rsid w:val="00AE01C2"/>
    <w:rsid w:val="00AE65EB"/>
    <w:rsid w:val="00AE67A7"/>
    <w:rsid w:val="00AF1D94"/>
    <w:rsid w:val="00AF60C5"/>
    <w:rsid w:val="00B009C6"/>
    <w:rsid w:val="00B01548"/>
    <w:rsid w:val="00B02208"/>
    <w:rsid w:val="00B1425E"/>
    <w:rsid w:val="00B203E1"/>
    <w:rsid w:val="00B21D29"/>
    <w:rsid w:val="00B25034"/>
    <w:rsid w:val="00B275F4"/>
    <w:rsid w:val="00B33588"/>
    <w:rsid w:val="00B33863"/>
    <w:rsid w:val="00B34C56"/>
    <w:rsid w:val="00B3567E"/>
    <w:rsid w:val="00B37D17"/>
    <w:rsid w:val="00B414C4"/>
    <w:rsid w:val="00B4175E"/>
    <w:rsid w:val="00B452CE"/>
    <w:rsid w:val="00B54C25"/>
    <w:rsid w:val="00B76B91"/>
    <w:rsid w:val="00B77EB1"/>
    <w:rsid w:val="00B811C6"/>
    <w:rsid w:val="00B840E0"/>
    <w:rsid w:val="00B85A87"/>
    <w:rsid w:val="00B92E08"/>
    <w:rsid w:val="00B96EBE"/>
    <w:rsid w:val="00BC622A"/>
    <w:rsid w:val="00BD45E3"/>
    <w:rsid w:val="00BE0A78"/>
    <w:rsid w:val="00BE32A6"/>
    <w:rsid w:val="00BE6252"/>
    <w:rsid w:val="00BE79F0"/>
    <w:rsid w:val="00BF046D"/>
    <w:rsid w:val="00BF1190"/>
    <w:rsid w:val="00BF5D04"/>
    <w:rsid w:val="00C01D80"/>
    <w:rsid w:val="00C1164D"/>
    <w:rsid w:val="00C137CE"/>
    <w:rsid w:val="00C16861"/>
    <w:rsid w:val="00C22678"/>
    <w:rsid w:val="00C2355E"/>
    <w:rsid w:val="00C404A6"/>
    <w:rsid w:val="00C409B6"/>
    <w:rsid w:val="00C40A36"/>
    <w:rsid w:val="00C44419"/>
    <w:rsid w:val="00C45E7B"/>
    <w:rsid w:val="00C4625F"/>
    <w:rsid w:val="00C471B1"/>
    <w:rsid w:val="00C56D39"/>
    <w:rsid w:val="00C618F7"/>
    <w:rsid w:val="00C6316B"/>
    <w:rsid w:val="00C634A9"/>
    <w:rsid w:val="00C64586"/>
    <w:rsid w:val="00C70D53"/>
    <w:rsid w:val="00C73D0B"/>
    <w:rsid w:val="00C772FF"/>
    <w:rsid w:val="00C801AF"/>
    <w:rsid w:val="00C80256"/>
    <w:rsid w:val="00C811C0"/>
    <w:rsid w:val="00C81CCB"/>
    <w:rsid w:val="00C83AFB"/>
    <w:rsid w:val="00CA7836"/>
    <w:rsid w:val="00CB6BC0"/>
    <w:rsid w:val="00CC1B7C"/>
    <w:rsid w:val="00CC727F"/>
    <w:rsid w:val="00CD0E09"/>
    <w:rsid w:val="00CD66A8"/>
    <w:rsid w:val="00CD7EF7"/>
    <w:rsid w:val="00CF15C3"/>
    <w:rsid w:val="00CF2B6F"/>
    <w:rsid w:val="00CF58B6"/>
    <w:rsid w:val="00D017ED"/>
    <w:rsid w:val="00D040D3"/>
    <w:rsid w:val="00D04C65"/>
    <w:rsid w:val="00D11A4C"/>
    <w:rsid w:val="00D224FE"/>
    <w:rsid w:val="00D246B1"/>
    <w:rsid w:val="00D31195"/>
    <w:rsid w:val="00D53A31"/>
    <w:rsid w:val="00D6493E"/>
    <w:rsid w:val="00D7301E"/>
    <w:rsid w:val="00D83AE1"/>
    <w:rsid w:val="00D855D4"/>
    <w:rsid w:val="00D87961"/>
    <w:rsid w:val="00D93466"/>
    <w:rsid w:val="00DA1124"/>
    <w:rsid w:val="00DA6B02"/>
    <w:rsid w:val="00DB75B7"/>
    <w:rsid w:val="00DC156B"/>
    <w:rsid w:val="00DC6E02"/>
    <w:rsid w:val="00DE02AE"/>
    <w:rsid w:val="00DF1D7F"/>
    <w:rsid w:val="00DF420B"/>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307"/>
    <w:rsid w:val="00EE1DE8"/>
    <w:rsid w:val="00EF11A7"/>
    <w:rsid w:val="00F033EC"/>
    <w:rsid w:val="00F04F68"/>
    <w:rsid w:val="00F05C2C"/>
    <w:rsid w:val="00F12670"/>
    <w:rsid w:val="00F14B27"/>
    <w:rsid w:val="00F3148D"/>
    <w:rsid w:val="00F325C5"/>
    <w:rsid w:val="00F32FE0"/>
    <w:rsid w:val="00F35298"/>
    <w:rsid w:val="00F47333"/>
    <w:rsid w:val="00F47E37"/>
    <w:rsid w:val="00F53C07"/>
    <w:rsid w:val="00F54B65"/>
    <w:rsid w:val="00F63AC6"/>
    <w:rsid w:val="00F640B6"/>
    <w:rsid w:val="00F80E40"/>
    <w:rsid w:val="00F848D9"/>
    <w:rsid w:val="00F91A35"/>
    <w:rsid w:val="00FA5B82"/>
    <w:rsid w:val="00FA639E"/>
    <w:rsid w:val="00FA7CB8"/>
    <w:rsid w:val="00FC25E4"/>
    <w:rsid w:val="00FC4EF7"/>
    <w:rsid w:val="00FD4ECC"/>
    <w:rsid w:val="00FD701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09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rsid w:val="007628A4"/>
    <w:pPr>
      <w:tabs>
        <w:tab w:val="left" w:pos="720"/>
      </w:tabs>
      <w:spacing w:before="0" w:after="200" w:line="240" w:lineRule="auto"/>
      <w:jc w:val="both"/>
    </w:pPr>
    <w:rPr>
      <w:rFonts w:ascii="Arial" w:eastAsia="Times New Roman" w:hAnsi="Arial"/>
      <w:kern w:val="16"/>
      <w:sz w:val="20"/>
      <w:szCs w:val="20"/>
      <w:lang w:eastAsia="en-AU"/>
    </w:rPr>
  </w:style>
  <w:style w:type="character" w:customStyle="1" w:styleId="FootnoteTextChar">
    <w:name w:val="Footnote Text Char"/>
    <w:basedOn w:val="DefaultParagraphFont"/>
    <w:link w:val="FootnoteText"/>
    <w:uiPriority w:val="99"/>
    <w:rsid w:val="007628A4"/>
    <w:rPr>
      <w:rFonts w:ascii="Arial" w:eastAsia="Times New Roman" w:hAnsi="Arial" w:cs="Times New Roman"/>
      <w:kern w:val="16"/>
      <w:sz w:val="20"/>
      <w:szCs w:val="20"/>
      <w:lang w:eastAsia="en-AU"/>
    </w:rPr>
  </w:style>
  <w:style w:type="character" w:styleId="FootnoteReference">
    <w:name w:val="footnote reference"/>
    <w:uiPriority w:val="99"/>
    <w:semiHidden/>
    <w:rsid w:val="007628A4"/>
    <w:rPr>
      <w:vertAlign w:val="superscript"/>
    </w:rPr>
  </w:style>
  <w:style w:type="paragraph" w:styleId="TableofFigures">
    <w:name w:val="table of figures"/>
    <w:basedOn w:val="Normal"/>
    <w:next w:val="Normal"/>
    <w:uiPriority w:val="99"/>
    <w:rsid w:val="007628A4"/>
    <w:pPr>
      <w:tabs>
        <w:tab w:val="left" w:pos="720"/>
        <w:tab w:val="left" w:pos="1080"/>
      </w:tabs>
      <w:spacing w:before="0" w:after="200" w:line="240" w:lineRule="auto"/>
      <w:ind w:left="1080" w:hanging="1080"/>
      <w:jc w:val="both"/>
    </w:pPr>
    <w:rPr>
      <w:rFonts w:ascii="Arial" w:eastAsia="Times New Roman" w:hAnsi="Arial" w:cs="Calibri"/>
      <w:b/>
      <w:kern w:val="16"/>
      <w:sz w:val="20"/>
      <w:szCs w:val="20"/>
      <w:lang w:eastAsia="en-AU"/>
    </w:rPr>
  </w:style>
  <w:style w:type="paragraph" w:styleId="ListParagraph">
    <w:name w:val="List Paragraph"/>
    <w:basedOn w:val="Normal"/>
    <w:uiPriority w:val="34"/>
    <w:qFormat/>
    <w:rsid w:val="0033578E"/>
    <w:pPr>
      <w:tabs>
        <w:tab w:val="left" w:pos="720"/>
      </w:tabs>
      <w:spacing w:before="0" w:after="200" w:line="240" w:lineRule="auto"/>
      <w:ind w:left="720"/>
      <w:contextualSpacing/>
      <w:jc w:val="both"/>
    </w:pPr>
    <w:rPr>
      <w:rFonts w:ascii="Arial" w:eastAsia="Times New Roman" w:hAnsi="Arial"/>
      <w:kern w:val="16"/>
      <w:sz w:val="20"/>
      <w:szCs w:val="24"/>
      <w:lang w:eastAsia="en-AU"/>
    </w:rPr>
  </w:style>
  <w:style w:type="paragraph" w:customStyle="1" w:styleId="Bullet1">
    <w:name w:val="Bullet 1"/>
    <w:basedOn w:val="Normal"/>
    <w:rsid w:val="0033578E"/>
    <w:pPr>
      <w:numPr>
        <w:numId w:val="42"/>
      </w:numPr>
      <w:tabs>
        <w:tab w:val="left" w:pos="720"/>
      </w:tabs>
      <w:spacing w:after="200" w:line="240" w:lineRule="auto"/>
      <w:jc w:val="both"/>
    </w:pPr>
    <w:rPr>
      <w:rFonts w:ascii="Arial" w:eastAsia="Times New Roman" w:hAnsi="Arial"/>
      <w:kern w:val="24"/>
      <w:sz w:val="20"/>
      <w:szCs w:val="24"/>
      <w:lang w:eastAsia="en-AU"/>
    </w:rPr>
  </w:style>
  <w:style w:type="paragraph" w:styleId="DocumentMap">
    <w:name w:val="Document Map"/>
    <w:basedOn w:val="Normal"/>
    <w:link w:val="DocumentMapChar"/>
    <w:uiPriority w:val="99"/>
    <w:semiHidden/>
    <w:unhideWhenUsed/>
    <w:rsid w:val="00526B19"/>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26B19"/>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rsid w:val="007628A4"/>
    <w:pPr>
      <w:tabs>
        <w:tab w:val="left" w:pos="720"/>
      </w:tabs>
      <w:spacing w:before="0" w:after="200" w:line="240" w:lineRule="auto"/>
      <w:jc w:val="both"/>
    </w:pPr>
    <w:rPr>
      <w:rFonts w:ascii="Arial" w:eastAsia="Times New Roman" w:hAnsi="Arial"/>
      <w:kern w:val="16"/>
      <w:sz w:val="20"/>
      <w:szCs w:val="20"/>
      <w:lang w:eastAsia="en-AU"/>
    </w:rPr>
  </w:style>
  <w:style w:type="character" w:customStyle="1" w:styleId="FootnoteTextChar">
    <w:name w:val="Footnote Text Char"/>
    <w:basedOn w:val="DefaultParagraphFont"/>
    <w:link w:val="FootnoteText"/>
    <w:uiPriority w:val="99"/>
    <w:rsid w:val="007628A4"/>
    <w:rPr>
      <w:rFonts w:ascii="Arial" w:eastAsia="Times New Roman" w:hAnsi="Arial" w:cs="Times New Roman"/>
      <w:kern w:val="16"/>
      <w:sz w:val="20"/>
      <w:szCs w:val="20"/>
      <w:lang w:eastAsia="en-AU"/>
    </w:rPr>
  </w:style>
  <w:style w:type="character" w:styleId="FootnoteReference">
    <w:name w:val="footnote reference"/>
    <w:uiPriority w:val="99"/>
    <w:semiHidden/>
    <w:rsid w:val="007628A4"/>
    <w:rPr>
      <w:vertAlign w:val="superscript"/>
    </w:rPr>
  </w:style>
  <w:style w:type="paragraph" w:styleId="TableofFigures">
    <w:name w:val="table of figures"/>
    <w:basedOn w:val="Normal"/>
    <w:next w:val="Normal"/>
    <w:uiPriority w:val="99"/>
    <w:rsid w:val="007628A4"/>
    <w:pPr>
      <w:tabs>
        <w:tab w:val="left" w:pos="720"/>
        <w:tab w:val="left" w:pos="1080"/>
      </w:tabs>
      <w:spacing w:before="0" w:after="200" w:line="240" w:lineRule="auto"/>
      <w:ind w:left="1080" w:hanging="1080"/>
      <w:jc w:val="both"/>
    </w:pPr>
    <w:rPr>
      <w:rFonts w:ascii="Arial" w:eastAsia="Times New Roman" w:hAnsi="Arial" w:cs="Calibri"/>
      <w:b/>
      <w:kern w:val="16"/>
      <w:sz w:val="20"/>
      <w:szCs w:val="20"/>
      <w:lang w:eastAsia="en-AU"/>
    </w:rPr>
  </w:style>
  <w:style w:type="paragraph" w:styleId="ListParagraph">
    <w:name w:val="List Paragraph"/>
    <w:basedOn w:val="Normal"/>
    <w:uiPriority w:val="34"/>
    <w:qFormat/>
    <w:rsid w:val="0033578E"/>
    <w:pPr>
      <w:tabs>
        <w:tab w:val="left" w:pos="720"/>
      </w:tabs>
      <w:spacing w:before="0" w:after="200" w:line="240" w:lineRule="auto"/>
      <w:ind w:left="720"/>
      <w:contextualSpacing/>
      <w:jc w:val="both"/>
    </w:pPr>
    <w:rPr>
      <w:rFonts w:ascii="Arial" w:eastAsia="Times New Roman" w:hAnsi="Arial"/>
      <w:kern w:val="16"/>
      <w:sz w:val="20"/>
      <w:szCs w:val="24"/>
      <w:lang w:eastAsia="en-AU"/>
    </w:rPr>
  </w:style>
  <w:style w:type="paragraph" w:customStyle="1" w:styleId="Bullet1">
    <w:name w:val="Bullet 1"/>
    <w:basedOn w:val="Normal"/>
    <w:rsid w:val="0033578E"/>
    <w:pPr>
      <w:numPr>
        <w:numId w:val="42"/>
      </w:numPr>
      <w:tabs>
        <w:tab w:val="left" w:pos="720"/>
      </w:tabs>
      <w:spacing w:after="200" w:line="240" w:lineRule="auto"/>
      <w:jc w:val="both"/>
    </w:pPr>
    <w:rPr>
      <w:rFonts w:ascii="Arial" w:eastAsia="Times New Roman" w:hAnsi="Arial"/>
      <w:kern w:val="24"/>
      <w:sz w:val="20"/>
      <w:szCs w:val="24"/>
      <w:lang w:eastAsia="en-AU"/>
    </w:rPr>
  </w:style>
  <w:style w:type="paragraph" w:styleId="DocumentMap">
    <w:name w:val="Document Map"/>
    <w:basedOn w:val="Normal"/>
    <w:link w:val="DocumentMapChar"/>
    <w:uiPriority w:val="99"/>
    <w:semiHidden/>
    <w:unhideWhenUsed/>
    <w:rsid w:val="00526B19"/>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26B19"/>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image" Target="media/image27.emf"/><Relationship Id="rId47" Type="http://schemas.microsoft.com/office/2007/relationships/hdphoto" Target="media/hdphoto4.wdp"/><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image" Target="media/image26.emf"/><Relationship Id="rId54" Type="http://schemas.openxmlformats.org/officeDocument/2006/relationships/header" Target="header6.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microsoft.com/office/2007/relationships/hdphoto" Target="media/hdphoto2.wdp"/><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header" Target="header4.xml"/><Relationship Id="rId57" Type="http://schemas.openxmlformats.org/officeDocument/2006/relationships/header" Target="header8.xml"/><Relationship Id="rId61" Type="http://schemas.microsoft.com/office/2011/relationships/people" Target="people.xml"/><Relationship Id="rId10" Type="http://schemas.openxmlformats.org/officeDocument/2006/relationships/hyperlink" Target="https://www.tga.gov.au/product-information-pi" TargetMode="Externa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emf"/><Relationship Id="rId33" Type="http://schemas.microsoft.com/office/2007/relationships/hdphoto" Target="media/hdphoto3.wdp"/><Relationship Id="rId38" Type="http://schemas.openxmlformats.org/officeDocument/2006/relationships/image" Target="media/image23.emf"/><Relationship Id="rId46" Type="http://schemas.openxmlformats.org/officeDocument/2006/relationships/image" Target="media/image31.jpeg"/><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sg.org.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8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80ACF-70EE-4586-BE1E-170E28420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12</TotalTime>
  <Pages>50</Pages>
  <Words>12885</Words>
  <Characters>71513</Characters>
  <Application>Microsoft Office Word</Application>
  <DocSecurity>0</DocSecurity>
  <Lines>1459</Lines>
  <Paragraphs>691</Paragraphs>
  <ScaleCrop>false</ScaleCrop>
  <HeadingPairs>
    <vt:vector size="2" baseType="variant">
      <vt:variant>
        <vt:lpstr>Title</vt:lpstr>
      </vt:variant>
      <vt:variant>
        <vt:i4>1</vt:i4>
      </vt:variant>
    </vt:vector>
  </HeadingPairs>
  <TitlesOfParts>
    <vt:vector size="1" baseType="lpstr">
      <vt:lpstr>Attachment: Extract from Clinical Evaluation Inactivated high-dose trivalent influenza vaccine</vt:lpstr>
    </vt:vector>
  </TitlesOfParts>
  <Company>Department of Health Therapeutic Goods Administration</Company>
  <LinksUpToDate>false</LinksUpToDate>
  <CharactersWithSpaces>83707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Inactivated high-dose trivalent influenza vaccine</dc:title>
  <dc:subject>prescription medicines</dc:subject>
  <dc:creator>Therapeutic Goods Administration</dc:creator>
  <cp:keywords>AusPARs</cp:keywords>
  <cp:lastModifiedBy>LACK, Janet</cp:lastModifiedBy>
  <cp:revision>3</cp:revision>
  <cp:lastPrinted>2015-09-22T23:53:00Z</cp:lastPrinted>
  <dcterms:created xsi:type="dcterms:W3CDTF">2018-08-20T05:18:00Z</dcterms:created>
  <dcterms:modified xsi:type="dcterms:W3CDTF">2018-08-20T05:30:00Z</dcterms:modified>
</cp:coreProperties>
</file>