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D3" w:rsidRPr="0063530D" w:rsidRDefault="00B800D3" w:rsidP="00B800D3">
      <w:pPr>
        <w:pStyle w:val="Heading1"/>
        <w:pageBreakBefore w:val="0"/>
        <w:numPr>
          <w:ilvl w:val="0"/>
          <w:numId w:val="0"/>
        </w:numPr>
        <w:jc w:val="center"/>
        <w:rPr>
          <w:rFonts w:ascii="Times New Roman" w:hAnsi="Times New Roman" w:cs="Times New Roman"/>
          <w:lang w:val="en-AU"/>
        </w:rPr>
      </w:pPr>
      <w:r w:rsidRPr="0063530D">
        <w:rPr>
          <w:rFonts w:ascii="Times New Roman" w:hAnsi="Times New Roman" w:cs="Times New Roman"/>
          <w:lang w:val="en-AU"/>
        </w:rPr>
        <w:t>AUSTRALIAN PRODUCT INFORMATION</w:t>
      </w:r>
    </w:p>
    <w:p w:rsidR="00B800D3" w:rsidRPr="0063530D" w:rsidRDefault="00B800D3" w:rsidP="00B800D3">
      <w:pPr>
        <w:pStyle w:val="Heading1"/>
        <w:pageBreakBefore w:val="0"/>
        <w:numPr>
          <w:ilvl w:val="0"/>
          <w:numId w:val="0"/>
        </w:numPr>
        <w:rPr>
          <w:rFonts w:ascii="Times New Roman" w:hAnsi="Times New Roman" w:cs="Times New Roman"/>
          <w:noProof/>
          <w:lang w:val="en-AU"/>
        </w:rPr>
      </w:pPr>
      <w:bookmarkStart w:id="0" w:name="wcp2k_avpmt_cp_20020206_142532SNPH"/>
      <w:r w:rsidRPr="0063530D">
        <w:rPr>
          <w:rFonts w:ascii="Times New Roman" w:hAnsi="Times New Roman" w:cs="Times New Roman"/>
          <w:noProof/>
          <w:lang w:val="en-AU"/>
        </w:rPr>
        <w:t>NAME OF THE MEDICINE</w:t>
      </w:r>
    </w:p>
    <w:p w:rsidR="00B800D3" w:rsidRPr="0063530D" w:rsidRDefault="00B800D3" w:rsidP="00642CA8">
      <w:pPr>
        <w:pStyle w:val="Heading3"/>
        <w:numPr>
          <w:ilvl w:val="0"/>
          <w:numId w:val="0"/>
        </w:numPr>
        <w:ind w:left="680" w:hanging="680"/>
        <w:rPr>
          <w:rFonts w:ascii="Times New Roman" w:hAnsi="Times New Roman" w:cs="Times New Roman"/>
          <w:lang w:val="en-AU"/>
        </w:rPr>
      </w:pPr>
      <w:proofErr w:type="spellStart"/>
      <w:r w:rsidRPr="0063530D">
        <w:rPr>
          <w:rFonts w:ascii="Times New Roman" w:hAnsi="Times New Roman" w:cs="Times New Roman"/>
          <w:lang w:val="en-AU"/>
        </w:rPr>
        <w:t>Fluzone</w:t>
      </w:r>
      <w:proofErr w:type="spellEnd"/>
      <w:r w:rsidRPr="0063530D">
        <w:rPr>
          <w:rFonts w:ascii="Times New Roman" w:hAnsi="Times New Roman" w:cs="Times New Roman"/>
          <w:lang w:val="en-AU"/>
        </w:rPr>
        <w:t xml:space="preserve"> High-Dose</w:t>
      </w:r>
    </w:p>
    <w:p w:rsidR="00B800D3" w:rsidRPr="0063530D" w:rsidRDefault="00B800D3" w:rsidP="00B800D3">
      <w:pPr>
        <w:rPr>
          <w:color w:val="auto"/>
          <w:lang w:val="en-AU"/>
        </w:rPr>
      </w:pPr>
      <w:r w:rsidRPr="0063530D">
        <w:rPr>
          <w:color w:val="auto"/>
          <w:lang w:val="en-AU"/>
        </w:rPr>
        <w:t xml:space="preserve">Inactivated Trivalent Influenza Vaccine (Split </w:t>
      </w:r>
      <w:proofErr w:type="spellStart"/>
      <w:r w:rsidRPr="0063530D">
        <w:rPr>
          <w:color w:val="auto"/>
          <w:lang w:val="en-AU"/>
        </w:rPr>
        <w:t>Virion</w:t>
      </w:r>
      <w:proofErr w:type="spellEnd"/>
      <w:r w:rsidRPr="0063530D">
        <w:rPr>
          <w:color w:val="auto"/>
          <w:lang w:val="en-AU"/>
        </w:rPr>
        <w:t>)</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DESCRIPTION</w:t>
      </w:r>
    </w:p>
    <w:p w:rsidR="00E968F4" w:rsidRPr="0017348F" w:rsidRDefault="00B800D3" w:rsidP="0095161A">
      <w:pPr>
        <w:spacing w:before="0"/>
        <w:jc w:val="both"/>
        <w:rPr>
          <w:noProof/>
          <w:color w:val="auto"/>
          <w:szCs w:val="16"/>
          <w:lang w:val="en-AU"/>
        </w:rPr>
      </w:pPr>
      <w:r w:rsidRPr="0063530D">
        <w:rPr>
          <w:noProof/>
          <w:color w:val="auto"/>
          <w:szCs w:val="16"/>
          <w:lang w:val="en-AU"/>
        </w:rPr>
        <w:t>Fluzone High-Dose for intramuscular injection is an inactivated influenza virus vaccine</w:t>
      </w:r>
      <w:r w:rsidR="00593DD8" w:rsidRPr="0063530D">
        <w:rPr>
          <w:noProof/>
          <w:color w:val="auto"/>
          <w:szCs w:val="16"/>
          <w:lang w:val="en-AU"/>
        </w:rPr>
        <w:t>.</w:t>
      </w:r>
      <w:r w:rsidR="00593DD8" w:rsidRPr="0063530D">
        <w:rPr>
          <w:color w:val="auto"/>
        </w:rPr>
        <w:t xml:space="preserve"> </w:t>
      </w:r>
      <w:r w:rsidR="00865BE8" w:rsidRPr="0063530D">
        <w:rPr>
          <w:noProof/>
          <w:color w:val="auto"/>
          <w:szCs w:val="16"/>
          <w:lang w:val="en-AU"/>
        </w:rPr>
        <w:t xml:space="preserve">It </w:t>
      </w:r>
      <w:r w:rsidR="00865BE8" w:rsidRPr="0017348F">
        <w:rPr>
          <w:noProof/>
          <w:color w:val="auto"/>
          <w:szCs w:val="16"/>
          <w:lang w:val="en-AU"/>
        </w:rPr>
        <w:t>contains 180 micrograms (µg) haemagglutinin (HA) per 0.5 mL dose in the recommended ratio of 60 µg HA of each of the three strains recommended for the</w:t>
      </w:r>
      <w:r w:rsidR="00380CE9" w:rsidRPr="0017348F">
        <w:rPr>
          <w:noProof/>
          <w:color w:val="auto"/>
          <w:szCs w:val="16"/>
          <w:lang w:val="en-AU"/>
        </w:rPr>
        <w:t xml:space="preserve"> 2018 </w:t>
      </w:r>
      <w:r w:rsidR="00865BE8" w:rsidRPr="0017348F">
        <w:rPr>
          <w:noProof/>
          <w:color w:val="auto"/>
          <w:szCs w:val="16"/>
          <w:lang w:val="en-AU"/>
        </w:rPr>
        <w:t xml:space="preserve"> influenza season:</w:t>
      </w:r>
    </w:p>
    <w:p w:rsidR="00244E4A" w:rsidRPr="0017348F" w:rsidRDefault="00244E4A" w:rsidP="0095161A">
      <w:pPr>
        <w:spacing w:before="0"/>
        <w:jc w:val="both"/>
        <w:rPr>
          <w:noProof/>
          <w:color w:val="auto"/>
          <w:szCs w:val="16"/>
          <w:lang w:val="en-AU"/>
        </w:rPr>
      </w:pPr>
    </w:p>
    <w:p w:rsidR="00593DD8" w:rsidRPr="0017348F" w:rsidRDefault="00017613" w:rsidP="00E968F4">
      <w:pPr>
        <w:numPr>
          <w:ilvl w:val="0"/>
          <w:numId w:val="25"/>
        </w:numPr>
        <w:spacing w:before="0"/>
        <w:jc w:val="both"/>
        <w:rPr>
          <w:noProof/>
          <w:color w:val="auto"/>
          <w:szCs w:val="16"/>
          <w:lang w:val="en-AU"/>
        </w:rPr>
      </w:pPr>
      <w:r w:rsidRPr="0017348F">
        <w:rPr>
          <w:noProof/>
          <w:color w:val="auto"/>
          <w:szCs w:val="16"/>
          <w:lang w:val="en-AU"/>
        </w:rPr>
        <w:t>A/Michigan/45/2015 (H1N1)</w:t>
      </w:r>
      <w:r w:rsidR="00E968F4" w:rsidRPr="0017348F">
        <w:rPr>
          <w:noProof/>
          <w:color w:val="auto"/>
          <w:szCs w:val="16"/>
          <w:lang w:val="en-AU"/>
        </w:rPr>
        <w:t xml:space="preserve"> </w:t>
      </w:r>
      <w:r w:rsidRPr="0017348F">
        <w:rPr>
          <w:noProof/>
          <w:color w:val="auto"/>
          <w:szCs w:val="16"/>
          <w:lang w:val="en-AU"/>
        </w:rPr>
        <w:t>pdm09-like virus (A/Michigan/45/2015 X-275)</w:t>
      </w:r>
    </w:p>
    <w:p w:rsidR="0017348F" w:rsidRPr="0017348F" w:rsidRDefault="0017348F" w:rsidP="00304C8B">
      <w:pPr>
        <w:numPr>
          <w:ilvl w:val="0"/>
          <w:numId w:val="25"/>
        </w:numPr>
        <w:spacing w:before="0"/>
        <w:jc w:val="both"/>
        <w:rPr>
          <w:noProof/>
          <w:color w:val="auto"/>
          <w:szCs w:val="16"/>
          <w:lang w:val="en-AU"/>
        </w:rPr>
      </w:pPr>
      <w:r w:rsidRPr="0017348F">
        <w:rPr>
          <w:noProof/>
          <w:color w:val="auto"/>
          <w:szCs w:val="16"/>
          <w:lang w:val="en-AU"/>
        </w:rPr>
        <w:t>A</w:t>
      </w:r>
      <w:r w:rsidR="00380CE9" w:rsidRPr="0017348F">
        <w:rPr>
          <w:noProof/>
          <w:color w:val="auto"/>
          <w:szCs w:val="16"/>
          <w:lang w:val="en-AU"/>
        </w:rPr>
        <w:t>/Singapore/INFIMH-16-0019/2016 (H3N2)-like virus (A/Singapore/INFIMH-16-0019/2016 NIB-104)</w:t>
      </w:r>
    </w:p>
    <w:p w:rsidR="00380CE9" w:rsidRPr="0017348F" w:rsidRDefault="00380CE9" w:rsidP="00304C8B">
      <w:pPr>
        <w:numPr>
          <w:ilvl w:val="0"/>
          <w:numId w:val="25"/>
        </w:numPr>
        <w:spacing w:before="0"/>
        <w:jc w:val="both"/>
        <w:rPr>
          <w:noProof/>
          <w:color w:val="auto"/>
          <w:szCs w:val="16"/>
          <w:lang w:val="en-AU"/>
        </w:rPr>
      </w:pPr>
      <w:r w:rsidRPr="0017348F">
        <w:rPr>
          <w:noProof/>
          <w:color w:val="auto"/>
          <w:szCs w:val="16"/>
          <w:lang w:val="en-AU"/>
        </w:rPr>
        <w:t>B/Phuket/3073/2013-like virus (B/Phuket/3073/2013; Yamagata lineage)</w:t>
      </w:r>
    </w:p>
    <w:p w:rsidR="00214BF3" w:rsidRPr="0063530D" w:rsidRDefault="00214BF3" w:rsidP="00E968F4">
      <w:pPr>
        <w:jc w:val="both"/>
        <w:rPr>
          <w:noProof/>
          <w:color w:val="auto"/>
          <w:szCs w:val="16"/>
          <w:lang w:val="en-AU"/>
        </w:rPr>
      </w:pPr>
      <w:r w:rsidRPr="0017348F">
        <w:rPr>
          <w:noProof/>
          <w:color w:val="auto"/>
          <w:szCs w:val="16"/>
          <w:lang w:val="en-AU"/>
        </w:rPr>
        <w:t>The type and amount of viral antigens contained in Fluzone High-Dose conform to the annual</w:t>
      </w:r>
      <w:r w:rsidRPr="0063530D">
        <w:rPr>
          <w:noProof/>
          <w:color w:val="auto"/>
          <w:szCs w:val="16"/>
          <w:lang w:val="en-AU"/>
        </w:rPr>
        <w:t xml:space="preserve"> requirements of the Australian Influenza Vaccine Committee (AIVC) and the World Health Organisation (WHO) recommendations for the season. </w:t>
      </w:r>
    </w:p>
    <w:p w:rsidR="00214BF3" w:rsidRPr="0063530D" w:rsidRDefault="00593DD8" w:rsidP="00214BF3">
      <w:pPr>
        <w:jc w:val="both"/>
        <w:rPr>
          <w:noProof/>
          <w:color w:val="auto"/>
          <w:szCs w:val="16"/>
        </w:rPr>
      </w:pPr>
      <w:r w:rsidRPr="0063530D">
        <w:rPr>
          <w:noProof/>
          <w:color w:val="auto"/>
          <w:szCs w:val="16"/>
          <w:lang w:val="en-AU"/>
        </w:rPr>
        <w:t>Fluzone High-Dose is</w:t>
      </w:r>
      <w:r w:rsidR="0064034C" w:rsidRPr="0063530D">
        <w:rPr>
          <w:noProof/>
          <w:color w:val="auto"/>
          <w:szCs w:val="16"/>
          <w:lang w:val="en-AU"/>
        </w:rPr>
        <w:t xml:space="preserve"> </w:t>
      </w:r>
      <w:r w:rsidR="00B800D3" w:rsidRPr="0063530D">
        <w:rPr>
          <w:noProof/>
          <w:color w:val="auto"/>
          <w:szCs w:val="16"/>
          <w:lang w:val="en-AU"/>
        </w:rPr>
        <w:t>prepared from influenza viruses propagat</w:t>
      </w:r>
      <w:r w:rsidRPr="0063530D">
        <w:rPr>
          <w:noProof/>
          <w:color w:val="auto"/>
          <w:szCs w:val="16"/>
          <w:lang w:val="en-AU"/>
        </w:rPr>
        <w:t xml:space="preserve">ed in </w:t>
      </w:r>
      <w:bookmarkStart w:id="1" w:name="_GoBack"/>
      <w:r w:rsidRPr="0063530D">
        <w:rPr>
          <w:noProof/>
          <w:color w:val="auto"/>
          <w:szCs w:val="16"/>
          <w:lang w:val="en-AU"/>
        </w:rPr>
        <w:t xml:space="preserve">embryonated chicken eggs </w:t>
      </w:r>
      <w:bookmarkEnd w:id="1"/>
      <w:r w:rsidR="00B800D3" w:rsidRPr="0063530D">
        <w:rPr>
          <w:noProof/>
          <w:color w:val="auto"/>
          <w:szCs w:val="16"/>
          <w:lang w:val="en-AU"/>
        </w:rPr>
        <w:t xml:space="preserve">and inactivated with formaldehyde. </w:t>
      </w:r>
      <w:r w:rsidR="00865BE8" w:rsidRPr="0063530D">
        <w:rPr>
          <w:noProof/>
          <w:color w:val="auto"/>
          <w:szCs w:val="16"/>
          <w:lang w:val="en-AU"/>
        </w:rPr>
        <w:t>The i</w:t>
      </w:r>
      <w:r w:rsidR="00214BF3" w:rsidRPr="0063530D">
        <w:rPr>
          <w:noProof/>
          <w:color w:val="auto"/>
          <w:szCs w:val="16"/>
        </w:rPr>
        <w:t>nfluenza virus is concentrated and purified, and is then chemically disrupted to produce a “split virus”. The split virus is further purified by ultrafiltration and diluted to appropriate concentration. Antigens from the three strains included in the vaccine are produced separately and then combined to make the trivalent  formulation.</w:t>
      </w:r>
    </w:p>
    <w:p w:rsidR="00865BE8" w:rsidRPr="0063530D" w:rsidRDefault="00214BF3" w:rsidP="00B800D3">
      <w:pPr>
        <w:jc w:val="both"/>
        <w:rPr>
          <w:noProof/>
          <w:color w:val="auto"/>
          <w:szCs w:val="16"/>
          <w:lang w:val="en-AU"/>
        </w:rPr>
      </w:pPr>
      <w:r w:rsidRPr="0063530D">
        <w:rPr>
          <w:noProof/>
          <w:color w:val="auto"/>
          <w:szCs w:val="16"/>
          <w:lang w:val="en-AU"/>
        </w:rPr>
        <w:t xml:space="preserve">The ingredients per dose of vaccine are listed in </w:t>
      </w:r>
      <w:r w:rsidRPr="0063530D">
        <w:rPr>
          <w:noProof/>
          <w:color w:val="auto"/>
          <w:szCs w:val="16"/>
          <w:lang w:val="en-AU"/>
        </w:rPr>
        <w:fldChar w:fldCharType="begin"/>
      </w:r>
      <w:r w:rsidRPr="0063530D">
        <w:rPr>
          <w:noProof/>
          <w:color w:val="auto"/>
          <w:szCs w:val="16"/>
          <w:lang w:val="en-AU"/>
        </w:rPr>
        <w:instrText xml:space="preserve"> REF _Ref466901286 \h  \* MERGEFORMAT </w:instrText>
      </w:r>
      <w:r w:rsidRPr="0063530D">
        <w:rPr>
          <w:noProof/>
          <w:color w:val="auto"/>
          <w:szCs w:val="16"/>
          <w:lang w:val="en-AU"/>
        </w:rPr>
      </w:r>
      <w:r w:rsidRPr="0063530D">
        <w:rPr>
          <w:noProof/>
          <w:color w:val="auto"/>
          <w:szCs w:val="16"/>
          <w:lang w:val="en-AU"/>
        </w:rPr>
        <w:fldChar w:fldCharType="separate"/>
      </w:r>
      <w:r w:rsidR="001F32F5" w:rsidRPr="001F32F5">
        <w:rPr>
          <w:color w:val="auto"/>
          <w:lang w:val="en-AU"/>
        </w:rPr>
        <w:t>Table 1</w:t>
      </w:r>
      <w:r w:rsidRPr="0063530D">
        <w:rPr>
          <w:noProof/>
          <w:color w:val="auto"/>
          <w:szCs w:val="16"/>
          <w:lang w:val="en-AU"/>
        </w:rPr>
        <w:fldChar w:fldCharType="end"/>
      </w:r>
      <w:r w:rsidRPr="0063530D">
        <w:rPr>
          <w:noProof/>
          <w:color w:val="auto"/>
          <w:szCs w:val="16"/>
          <w:lang w:val="en-AU"/>
        </w:rPr>
        <w:t xml:space="preserve">. </w:t>
      </w:r>
    </w:p>
    <w:p w:rsidR="00B800D3" w:rsidRPr="0063530D" w:rsidRDefault="00B800D3" w:rsidP="00B800D3">
      <w:pPr>
        <w:pStyle w:val="Caption"/>
        <w:rPr>
          <w:lang w:val="en-AU"/>
        </w:rPr>
      </w:pPr>
      <w:bookmarkStart w:id="2" w:name="_Ref466901286"/>
      <w:bookmarkStart w:id="3" w:name="Table_20110323_162306SNPH"/>
      <w:r w:rsidRPr="0063530D">
        <w:rPr>
          <w:lang w:val="en-AU"/>
        </w:rPr>
        <w:t>Table </w:t>
      </w:r>
      <w:r w:rsidRPr="0063530D">
        <w:rPr>
          <w:lang w:val="en-AU"/>
        </w:rPr>
        <w:fldChar w:fldCharType="begin"/>
      </w:r>
      <w:r w:rsidRPr="0063530D">
        <w:rPr>
          <w:lang w:val="en-AU"/>
        </w:rPr>
        <w:instrText xml:space="preserve"> SEQ Table \* ARABIC </w:instrText>
      </w:r>
      <w:r w:rsidRPr="0063530D">
        <w:rPr>
          <w:lang w:val="en-AU"/>
        </w:rPr>
        <w:fldChar w:fldCharType="separate"/>
      </w:r>
      <w:r w:rsidR="001F32F5">
        <w:rPr>
          <w:noProof/>
          <w:lang w:val="en-AU"/>
        </w:rPr>
        <w:t>1</w:t>
      </w:r>
      <w:r w:rsidRPr="0063530D">
        <w:rPr>
          <w:lang w:val="en-AU"/>
        </w:rPr>
        <w:fldChar w:fldCharType="end"/>
      </w:r>
      <w:bookmarkEnd w:id="2"/>
      <w:r w:rsidRPr="0063530D">
        <w:rPr>
          <w:lang w:val="en-AU"/>
        </w:rPr>
        <w:t xml:space="preserve"> ­ </w:t>
      </w:r>
      <w:proofErr w:type="spellStart"/>
      <w:r w:rsidRPr="0063530D">
        <w:rPr>
          <w:lang w:val="en-AU"/>
        </w:rPr>
        <w:t>Fluzone</w:t>
      </w:r>
      <w:proofErr w:type="spellEnd"/>
      <w:r w:rsidRPr="0063530D">
        <w:rPr>
          <w:lang w:val="en-AU"/>
        </w:rPr>
        <w:t xml:space="preserve"> High-Dose Ingredients</w:t>
      </w:r>
    </w:p>
    <w:tbl>
      <w:tblPr>
        <w:tblW w:w="0" w:type="auto"/>
        <w:jc w:val="center"/>
        <w:tblBorders>
          <w:top w:val="single" w:sz="2" w:space="0" w:color="000000"/>
        </w:tblBorders>
        <w:tblLook w:val="04A0" w:firstRow="1" w:lastRow="0" w:firstColumn="1" w:lastColumn="0" w:noHBand="0" w:noVBand="1"/>
      </w:tblPr>
      <w:tblGrid>
        <w:gridCol w:w="2376"/>
        <w:gridCol w:w="2552"/>
        <w:gridCol w:w="2410"/>
        <w:gridCol w:w="2347"/>
      </w:tblGrid>
      <w:tr w:rsidR="00865BE8" w:rsidRPr="0063530D" w:rsidTr="00865BE8">
        <w:trPr>
          <w:cantSplit/>
          <w:tblHeader/>
          <w:jc w:val="center"/>
        </w:trPr>
        <w:tc>
          <w:tcPr>
            <w:tcW w:w="2376" w:type="dxa"/>
            <w:tcBorders>
              <w:top w:val="single" w:sz="4" w:space="0" w:color="000000"/>
              <w:bottom w:val="single" w:sz="4" w:space="0" w:color="000000"/>
            </w:tcBorders>
            <w:shd w:val="clear" w:color="auto" w:fill="auto"/>
          </w:tcPr>
          <w:p w:rsidR="00865BE8" w:rsidRPr="0063530D" w:rsidRDefault="00865BE8" w:rsidP="009F505A">
            <w:pPr>
              <w:pStyle w:val="TblHeadingCenter"/>
              <w:rPr>
                <w:lang w:val="en-AU"/>
              </w:rPr>
            </w:pPr>
            <w:r w:rsidRPr="0063530D">
              <w:rPr>
                <w:lang w:val="en-AU"/>
              </w:rPr>
              <w:t>Active Substance</w:t>
            </w:r>
          </w:p>
        </w:tc>
        <w:tc>
          <w:tcPr>
            <w:tcW w:w="2552" w:type="dxa"/>
            <w:tcBorders>
              <w:top w:val="single" w:sz="4" w:space="0" w:color="000000"/>
              <w:bottom w:val="single" w:sz="4" w:space="0" w:color="000000"/>
            </w:tcBorders>
            <w:shd w:val="clear" w:color="auto" w:fill="auto"/>
          </w:tcPr>
          <w:p w:rsidR="00865BE8" w:rsidRPr="0063530D" w:rsidRDefault="00865BE8" w:rsidP="009F505A">
            <w:pPr>
              <w:pStyle w:val="TblHeadingCenter"/>
              <w:rPr>
                <w:lang w:val="en-AU"/>
              </w:rPr>
            </w:pPr>
            <w:r w:rsidRPr="0063530D">
              <w:rPr>
                <w:lang w:val="en-AU"/>
              </w:rPr>
              <w:t>Quantity</w:t>
            </w:r>
            <w:r w:rsidRPr="0063530D">
              <w:rPr>
                <w:lang w:val="en-AU"/>
              </w:rPr>
              <w:br/>
              <w:t>(per 0.5 mL dose)</w:t>
            </w:r>
          </w:p>
        </w:tc>
        <w:tc>
          <w:tcPr>
            <w:tcW w:w="2410" w:type="dxa"/>
            <w:tcBorders>
              <w:top w:val="single" w:sz="4" w:space="0" w:color="000000"/>
              <w:bottom w:val="single" w:sz="4" w:space="0" w:color="000000"/>
            </w:tcBorders>
          </w:tcPr>
          <w:p w:rsidR="00865BE8" w:rsidRPr="0063530D" w:rsidRDefault="00865BE8" w:rsidP="00CF6A4A">
            <w:pPr>
              <w:pStyle w:val="TblHeadingCenter"/>
              <w:rPr>
                <w:lang w:val="en-AU"/>
              </w:rPr>
            </w:pPr>
            <w:r w:rsidRPr="0063530D">
              <w:rPr>
                <w:lang w:val="en-AU"/>
              </w:rPr>
              <w:t>Excipients</w:t>
            </w:r>
          </w:p>
        </w:tc>
        <w:tc>
          <w:tcPr>
            <w:tcW w:w="2347" w:type="dxa"/>
            <w:tcBorders>
              <w:top w:val="single" w:sz="4" w:space="0" w:color="000000"/>
              <w:bottom w:val="single" w:sz="4" w:space="0" w:color="000000"/>
            </w:tcBorders>
          </w:tcPr>
          <w:p w:rsidR="00865BE8" w:rsidRPr="0063530D" w:rsidRDefault="00865BE8" w:rsidP="00CF6A4A">
            <w:pPr>
              <w:pStyle w:val="TblHeadingCenter"/>
              <w:rPr>
                <w:lang w:val="en-AU"/>
              </w:rPr>
            </w:pPr>
            <w:r w:rsidRPr="0063530D">
              <w:rPr>
                <w:lang w:val="en-AU"/>
              </w:rPr>
              <w:t>Quantity</w:t>
            </w:r>
            <w:r w:rsidRPr="0063530D">
              <w:rPr>
                <w:lang w:val="en-AU"/>
              </w:rPr>
              <w:br/>
              <w:t>(per 0.5 mL dose)</w:t>
            </w:r>
          </w:p>
        </w:tc>
      </w:tr>
      <w:tr w:rsidR="00865BE8" w:rsidRPr="0063530D" w:rsidTr="00865BE8">
        <w:trPr>
          <w:cantSplit/>
          <w:jc w:val="center"/>
        </w:trPr>
        <w:tc>
          <w:tcPr>
            <w:tcW w:w="2376" w:type="dxa"/>
            <w:tcBorders>
              <w:top w:val="single" w:sz="4" w:space="0" w:color="000000"/>
            </w:tcBorders>
            <w:shd w:val="clear" w:color="auto" w:fill="auto"/>
          </w:tcPr>
          <w:p w:rsidR="00865BE8" w:rsidRPr="0063530D" w:rsidRDefault="00865BE8" w:rsidP="009F505A">
            <w:pPr>
              <w:pStyle w:val="TblTextCenter"/>
              <w:jc w:val="left"/>
              <w:rPr>
                <w:lang w:val="en-AU"/>
              </w:rPr>
            </w:pPr>
            <w:r w:rsidRPr="0063530D">
              <w:rPr>
                <w:b/>
                <w:noProof/>
                <w:lang w:val="en-AU"/>
              </w:rPr>
              <w:t>Influenza virus haemagglutinin</w:t>
            </w:r>
            <w:r w:rsidRPr="0063530D">
              <w:rPr>
                <w:b/>
                <w:noProof/>
                <w:vertAlign w:val="superscript"/>
                <w:lang w:val="en-AU"/>
              </w:rPr>
              <w:t>a</w:t>
            </w:r>
            <w:r w:rsidRPr="0063530D">
              <w:rPr>
                <w:b/>
                <w:noProof/>
                <w:lang w:val="en-AU"/>
              </w:rPr>
              <w:t>:</w:t>
            </w:r>
          </w:p>
        </w:tc>
        <w:tc>
          <w:tcPr>
            <w:tcW w:w="2552" w:type="dxa"/>
            <w:tcBorders>
              <w:top w:val="single" w:sz="4" w:space="0" w:color="000000"/>
            </w:tcBorders>
            <w:shd w:val="clear" w:color="auto" w:fill="auto"/>
          </w:tcPr>
          <w:p w:rsidR="00865BE8" w:rsidRPr="0063530D" w:rsidRDefault="00865BE8" w:rsidP="009F505A">
            <w:pPr>
              <w:pStyle w:val="TblTextCenter"/>
              <w:rPr>
                <w:lang w:val="en-AU"/>
              </w:rPr>
            </w:pPr>
            <w:r w:rsidRPr="0063530D">
              <w:rPr>
                <w:lang w:val="en-AU"/>
              </w:rPr>
              <w:t>180 µg HA total</w:t>
            </w:r>
          </w:p>
        </w:tc>
        <w:tc>
          <w:tcPr>
            <w:tcW w:w="2410" w:type="dxa"/>
            <w:tcBorders>
              <w:top w:val="single" w:sz="4" w:space="0" w:color="000000"/>
            </w:tcBorders>
          </w:tcPr>
          <w:p w:rsidR="00865BE8" w:rsidRPr="0063530D" w:rsidRDefault="00865BE8" w:rsidP="00CF6A4A">
            <w:pPr>
              <w:pStyle w:val="TblTextCenter"/>
              <w:jc w:val="left"/>
              <w:rPr>
                <w:lang w:val="en-AU"/>
              </w:rPr>
            </w:pPr>
            <w:r w:rsidRPr="0063530D">
              <w:rPr>
                <w:lang w:val="en-AU"/>
              </w:rPr>
              <w:t xml:space="preserve">Sodium chloride </w:t>
            </w:r>
          </w:p>
        </w:tc>
        <w:tc>
          <w:tcPr>
            <w:tcW w:w="2347" w:type="dxa"/>
            <w:tcBorders>
              <w:top w:val="single" w:sz="4" w:space="0" w:color="000000"/>
            </w:tcBorders>
          </w:tcPr>
          <w:p w:rsidR="00865BE8" w:rsidRPr="0063530D" w:rsidRDefault="00FF50DC" w:rsidP="00CF6A4A">
            <w:pPr>
              <w:pStyle w:val="TblTextCenter"/>
              <w:rPr>
                <w:lang w:val="en-AU"/>
              </w:rPr>
            </w:pPr>
            <w:r w:rsidRPr="0063530D">
              <w:rPr>
                <w:lang w:val="en-AU"/>
              </w:rPr>
              <w:t>3.3 mg</w:t>
            </w:r>
          </w:p>
        </w:tc>
      </w:tr>
      <w:tr w:rsidR="00865BE8" w:rsidRPr="0063530D" w:rsidTr="00865BE8">
        <w:trPr>
          <w:cantSplit/>
          <w:jc w:val="center"/>
        </w:trPr>
        <w:tc>
          <w:tcPr>
            <w:tcW w:w="2376" w:type="dxa"/>
            <w:shd w:val="clear" w:color="auto" w:fill="auto"/>
          </w:tcPr>
          <w:p w:rsidR="00865BE8" w:rsidRPr="0063530D" w:rsidRDefault="00865BE8" w:rsidP="00865BE8">
            <w:pPr>
              <w:pStyle w:val="TblTextCenter"/>
              <w:ind w:firstLine="284"/>
              <w:jc w:val="left"/>
              <w:rPr>
                <w:lang w:val="en-AU"/>
              </w:rPr>
            </w:pPr>
            <w:r w:rsidRPr="0063530D">
              <w:rPr>
                <w:lang w:val="en-AU"/>
              </w:rPr>
              <w:t>A (H1N1)</w:t>
            </w:r>
          </w:p>
        </w:tc>
        <w:tc>
          <w:tcPr>
            <w:tcW w:w="2552" w:type="dxa"/>
            <w:shd w:val="clear" w:color="auto" w:fill="auto"/>
          </w:tcPr>
          <w:p w:rsidR="00865BE8" w:rsidRPr="0063530D" w:rsidRDefault="00865BE8" w:rsidP="009F505A">
            <w:pPr>
              <w:pStyle w:val="TblTextCenter"/>
              <w:rPr>
                <w:lang w:val="en-AU"/>
              </w:rPr>
            </w:pPr>
            <w:r w:rsidRPr="0063530D">
              <w:rPr>
                <w:lang w:val="en-AU"/>
              </w:rPr>
              <w:t>60 µg HA</w:t>
            </w:r>
          </w:p>
        </w:tc>
        <w:tc>
          <w:tcPr>
            <w:tcW w:w="2410" w:type="dxa"/>
          </w:tcPr>
          <w:p w:rsidR="00865BE8" w:rsidRPr="0063530D" w:rsidRDefault="00B7568D" w:rsidP="00CF6A4A">
            <w:pPr>
              <w:pStyle w:val="TblTextCenter"/>
              <w:jc w:val="left"/>
              <w:rPr>
                <w:lang w:val="en-AU"/>
              </w:rPr>
            </w:pPr>
            <w:r w:rsidRPr="0063530D">
              <w:rPr>
                <w:lang w:val="en-AU"/>
              </w:rPr>
              <w:t>Dibasic sodium phosphate</w:t>
            </w:r>
          </w:p>
        </w:tc>
        <w:tc>
          <w:tcPr>
            <w:tcW w:w="2347" w:type="dxa"/>
          </w:tcPr>
          <w:p w:rsidR="00865BE8" w:rsidRPr="0063530D" w:rsidRDefault="00FF50DC" w:rsidP="00CF6A4A">
            <w:pPr>
              <w:pStyle w:val="TblTextCenter"/>
              <w:rPr>
                <w:lang w:val="en-AU"/>
              </w:rPr>
            </w:pPr>
            <w:r w:rsidRPr="0063530D">
              <w:rPr>
                <w:lang w:val="en-AU"/>
              </w:rPr>
              <w:t>1915 µg</w:t>
            </w:r>
          </w:p>
        </w:tc>
      </w:tr>
      <w:tr w:rsidR="00865BE8" w:rsidRPr="0063530D" w:rsidTr="00865BE8">
        <w:trPr>
          <w:cantSplit/>
          <w:jc w:val="center"/>
        </w:trPr>
        <w:tc>
          <w:tcPr>
            <w:tcW w:w="2376" w:type="dxa"/>
            <w:shd w:val="clear" w:color="auto" w:fill="auto"/>
          </w:tcPr>
          <w:p w:rsidR="00865BE8" w:rsidRPr="0063530D" w:rsidRDefault="00865BE8" w:rsidP="00865BE8">
            <w:pPr>
              <w:pStyle w:val="TblTextCenter"/>
              <w:ind w:firstLine="284"/>
              <w:jc w:val="left"/>
              <w:rPr>
                <w:lang w:val="en-AU"/>
              </w:rPr>
            </w:pPr>
            <w:r w:rsidRPr="0063530D">
              <w:rPr>
                <w:lang w:val="en-AU"/>
              </w:rPr>
              <w:t>A (H3N2)</w:t>
            </w:r>
          </w:p>
        </w:tc>
        <w:tc>
          <w:tcPr>
            <w:tcW w:w="2552" w:type="dxa"/>
            <w:shd w:val="clear" w:color="auto" w:fill="auto"/>
          </w:tcPr>
          <w:p w:rsidR="00865BE8" w:rsidRPr="0063530D" w:rsidRDefault="00865BE8" w:rsidP="009F505A">
            <w:pPr>
              <w:pStyle w:val="TblTextCenter"/>
              <w:rPr>
                <w:lang w:val="en-AU"/>
              </w:rPr>
            </w:pPr>
            <w:r w:rsidRPr="0063530D">
              <w:rPr>
                <w:lang w:val="en-AU"/>
              </w:rPr>
              <w:t>60 µg HA</w:t>
            </w:r>
          </w:p>
        </w:tc>
        <w:tc>
          <w:tcPr>
            <w:tcW w:w="2410" w:type="dxa"/>
          </w:tcPr>
          <w:p w:rsidR="00865BE8" w:rsidRPr="0063530D" w:rsidRDefault="00B7568D" w:rsidP="00CF6A4A">
            <w:pPr>
              <w:pStyle w:val="TblTextCenter"/>
              <w:jc w:val="left"/>
              <w:rPr>
                <w:lang w:val="en-AU"/>
              </w:rPr>
            </w:pPr>
            <w:r w:rsidRPr="0063530D">
              <w:rPr>
                <w:lang w:val="en-AU"/>
              </w:rPr>
              <w:t>Monobasic sodium phosphate</w:t>
            </w:r>
            <w:r w:rsidR="00865BE8" w:rsidRPr="0063530D">
              <w:rPr>
                <w:lang w:val="en-AU"/>
              </w:rPr>
              <w:t xml:space="preserve">  </w:t>
            </w:r>
          </w:p>
        </w:tc>
        <w:tc>
          <w:tcPr>
            <w:tcW w:w="2347" w:type="dxa"/>
          </w:tcPr>
          <w:p w:rsidR="00865BE8" w:rsidRPr="0063530D" w:rsidRDefault="00FF50DC" w:rsidP="00CF6A4A">
            <w:pPr>
              <w:pStyle w:val="TblTextCenter"/>
              <w:rPr>
                <w:lang w:val="en-AU"/>
              </w:rPr>
            </w:pPr>
            <w:r w:rsidRPr="0063530D">
              <w:rPr>
                <w:lang w:val="en-AU"/>
              </w:rPr>
              <w:t>205 µg</w:t>
            </w:r>
          </w:p>
        </w:tc>
      </w:tr>
      <w:tr w:rsidR="00380CE9" w:rsidRPr="0063530D" w:rsidTr="00865BE8">
        <w:trPr>
          <w:cantSplit/>
          <w:jc w:val="center"/>
        </w:trPr>
        <w:tc>
          <w:tcPr>
            <w:tcW w:w="2376" w:type="dxa"/>
            <w:shd w:val="clear" w:color="auto" w:fill="auto"/>
          </w:tcPr>
          <w:p w:rsidR="00380CE9" w:rsidRPr="0063530D" w:rsidRDefault="00380CE9" w:rsidP="00380CE9">
            <w:pPr>
              <w:pStyle w:val="TblTextCenter"/>
              <w:ind w:firstLine="284"/>
              <w:jc w:val="left"/>
              <w:rPr>
                <w:lang w:val="en-AU"/>
              </w:rPr>
            </w:pPr>
            <w:r w:rsidRPr="0063530D">
              <w:rPr>
                <w:lang w:val="en-AU"/>
              </w:rPr>
              <w:t>B</w:t>
            </w:r>
          </w:p>
        </w:tc>
        <w:tc>
          <w:tcPr>
            <w:tcW w:w="2552" w:type="dxa"/>
            <w:shd w:val="clear" w:color="auto" w:fill="auto"/>
          </w:tcPr>
          <w:p w:rsidR="00380CE9" w:rsidRPr="0063530D" w:rsidRDefault="00380CE9" w:rsidP="00380CE9">
            <w:pPr>
              <w:pStyle w:val="TblTextCenter"/>
              <w:rPr>
                <w:lang w:val="en-AU"/>
              </w:rPr>
            </w:pPr>
            <w:r w:rsidRPr="0063530D">
              <w:rPr>
                <w:lang w:val="en-AU"/>
              </w:rPr>
              <w:t>60 µg HA</w:t>
            </w:r>
          </w:p>
        </w:tc>
        <w:tc>
          <w:tcPr>
            <w:tcW w:w="2410" w:type="dxa"/>
          </w:tcPr>
          <w:p w:rsidR="00380CE9" w:rsidRPr="0017348F" w:rsidRDefault="00380CE9" w:rsidP="00380CE9">
            <w:pPr>
              <w:pStyle w:val="TblTextCenter"/>
              <w:jc w:val="left"/>
              <w:rPr>
                <w:lang w:val="en-AU"/>
              </w:rPr>
            </w:pPr>
            <w:r w:rsidRPr="0017348F">
              <w:rPr>
                <w:lang w:val="en-AU"/>
              </w:rPr>
              <w:t>Octoxinol-9</w:t>
            </w:r>
          </w:p>
        </w:tc>
        <w:tc>
          <w:tcPr>
            <w:tcW w:w="2347" w:type="dxa"/>
          </w:tcPr>
          <w:p w:rsidR="00380CE9" w:rsidRPr="0017348F" w:rsidRDefault="00380CE9" w:rsidP="00380CE9">
            <w:pPr>
              <w:pStyle w:val="TblTextCenter"/>
              <w:rPr>
                <w:lang w:val="en-AU"/>
              </w:rPr>
            </w:pPr>
            <w:r w:rsidRPr="0017348F">
              <w:rPr>
                <w:lang w:val="en-AU"/>
              </w:rPr>
              <w:t>≤ 250 µg</w:t>
            </w:r>
          </w:p>
        </w:tc>
      </w:tr>
      <w:tr w:rsidR="00380CE9" w:rsidRPr="0063530D" w:rsidTr="00865BE8">
        <w:trPr>
          <w:cantSplit/>
          <w:jc w:val="center"/>
        </w:trPr>
        <w:tc>
          <w:tcPr>
            <w:tcW w:w="2376" w:type="dxa"/>
            <w:shd w:val="clear" w:color="auto" w:fill="auto"/>
          </w:tcPr>
          <w:p w:rsidR="00380CE9" w:rsidRPr="0063530D" w:rsidRDefault="00380CE9" w:rsidP="00380CE9">
            <w:pPr>
              <w:pStyle w:val="TblTextCenter"/>
              <w:ind w:firstLine="284"/>
              <w:jc w:val="left"/>
              <w:rPr>
                <w:lang w:val="en-AU"/>
              </w:rPr>
            </w:pPr>
          </w:p>
        </w:tc>
        <w:tc>
          <w:tcPr>
            <w:tcW w:w="2552" w:type="dxa"/>
            <w:shd w:val="clear" w:color="auto" w:fill="auto"/>
          </w:tcPr>
          <w:p w:rsidR="00380CE9" w:rsidRPr="0063530D" w:rsidRDefault="00380CE9" w:rsidP="00380CE9">
            <w:pPr>
              <w:pStyle w:val="TblTextCenter"/>
              <w:rPr>
                <w:lang w:val="en-AU"/>
              </w:rPr>
            </w:pPr>
          </w:p>
        </w:tc>
        <w:tc>
          <w:tcPr>
            <w:tcW w:w="2410" w:type="dxa"/>
          </w:tcPr>
          <w:p w:rsidR="00380CE9" w:rsidRPr="0063530D" w:rsidRDefault="00380CE9" w:rsidP="00380CE9">
            <w:pPr>
              <w:pStyle w:val="TblTextCenter"/>
              <w:jc w:val="left"/>
              <w:rPr>
                <w:lang w:val="en-AU"/>
              </w:rPr>
            </w:pPr>
            <w:r w:rsidRPr="0063530D">
              <w:rPr>
                <w:lang w:val="en-AU"/>
              </w:rPr>
              <w:t>Water for injections</w:t>
            </w:r>
          </w:p>
        </w:tc>
        <w:tc>
          <w:tcPr>
            <w:tcW w:w="2347" w:type="dxa"/>
          </w:tcPr>
          <w:p w:rsidR="00380CE9" w:rsidRPr="0063530D" w:rsidRDefault="00380CE9" w:rsidP="00380CE9">
            <w:pPr>
              <w:pStyle w:val="TblTextCenter"/>
              <w:rPr>
                <w:lang w:val="en-AU"/>
              </w:rPr>
            </w:pPr>
            <w:r w:rsidRPr="0063530D">
              <w:rPr>
                <w:lang w:val="en-AU"/>
              </w:rPr>
              <w:t>Up to 0.5 mL</w:t>
            </w:r>
          </w:p>
        </w:tc>
      </w:tr>
      <w:tr w:rsidR="00380CE9" w:rsidRPr="0063530D" w:rsidTr="00865BE8">
        <w:trPr>
          <w:cantSplit/>
          <w:jc w:val="center"/>
        </w:trPr>
        <w:tc>
          <w:tcPr>
            <w:tcW w:w="4928" w:type="dxa"/>
            <w:gridSpan w:val="2"/>
            <w:tcBorders>
              <w:top w:val="single" w:sz="12" w:space="0" w:color="auto"/>
            </w:tcBorders>
            <w:shd w:val="clear" w:color="auto" w:fill="auto"/>
          </w:tcPr>
          <w:p w:rsidR="00380CE9" w:rsidRPr="0063530D" w:rsidRDefault="00380CE9" w:rsidP="00380CE9">
            <w:pPr>
              <w:spacing w:before="60"/>
              <w:ind w:left="850" w:hanging="850"/>
              <w:rPr>
                <w:rFonts w:ascii="Arial Narrow" w:hAnsi="Arial Narrow"/>
                <w:noProof/>
                <w:color w:val="auto"/>
                <w:sz w:val="18"/>
                <w:szCs w:val="18"/>
                <w:lang w:val="en-AU"/>
              </w:rPr>
            </w:pPr>
            <w:r w:rsidRPr="0063530D">
              <w:rPr>
                <w:rFonts w:ascii="Arial Narrow" w:hAnsi="Arial Narrow"/>
                <w:noProof/>
                <w:color w:val="auto"/>
                <w:sz w:val="18"/>
                <w:szCs w:val="18"/>
                <w:vertAlign w:val="superscript"/>
                <w:lang w:val="en-AU"/>
              </w:rPr>
              <w:lastRenderedPageBreak/>
              <w:t xml:space="preserve">a </w:t>
            </w:r>
            <w:r w:rsidRPr="0063530D">
              <w:rPr>
                <w:rFonts w:ascii="Arial Narrow" w:hAnsi="Arial Narrow"/>
                <w:noProof/>
                <w:color w:val="auto"/>
                <w:sz w:val="18"/>
                <w:szCs w:val="18"/>
                <w:lang w:val="en-AU"/>
              </w:rPr>
              <w:t>per AIVC and WHO recommendations</w:t>
            </w:r>
          </w:p>
        </w:tc>
        <w:tc>
          <w:tcPr>
            <w:tcW w:w="2410" w:type="dxa"/>
            <w:tcBorders>
              <w:top w:val="single" w:sz="12" w:space="0" w:color="auto"/>
            </w:tcBorders>
          </w:tcPr>
          <w:p w:rsidR="00380CE9" w:rsidRPr="0063530D" w:rsidRDefault="00380CE9" w:rsidP="00380CE9">
            <w:pPr>
              <w:spacing w:before="60"/>
              <w:ind w:left="850" w:hanging="850"/>
              <w:rPr>
                <w:rFonts w:ascii="Arial Narrow" w:hAnsi="Arial Narrow"/>
                <w:noProof/>
                <w:color w:val="auto"/>
                <w:sz w:val="18"/>
                <w:szCs w:val="18"/>
                <w:vertAlign w:val="superscript"/>
                <w:lang w:val="en-AU"/>
              </w:rPr>
            </w:pPr>
          </w:p>
        </w:tc>
        <w:tc>
          <w:tcPr>
            <w:tcW w:w="2347" w:type="dxa"/>
            <w:tcBorders>
              <w:top w:val="single" w:sz="12" w:space="0" w:color="auto"/>
            </w:tcBorders>
          </w:tcPr>
          <w:p w:rsidR="00380CE9" w:rsidRPr="0063530D" w:rsidRDefault="00380CE9" w:rsidP="00380CE9">
            <w:pPr>
              <w:spacing w:before="60"/>
              <w:ind w:left="850" w:hanging="850"/>
              <w:rPr>
                <w:rFonts w:ascii="Arial Narrow" w:hAnsi="Arial Narrow"/>
                <w:noProof/>
                <w:color w:val="auto"/>
                <w:sz w:val="18"/>
                <w:szCs w:val="18"/>
                <w:vertAlign w:val="superscript"/>
                <w:lang w:val="en-AU"/>
              </w:rPr>
            </w:pPr>
          </w:p>
        </w:tc>
      </w:tr>
    </w:tbl>
    <w:bookmarkEnd w:id="3"/>
    <w:p w:rsidR="00865BE8" w:rsidRPr="0063530D" w:rsidRDefault="00B800D3" w:rsidP="00865BE8">
      <w:pPr>
        <w:jc w:val="both"/>
        <w:rPr>
          <w:noProof/>
          <w:color w:val="auto"/>
          <w:szCs w:val="16"/>
          <w:lang w:val="en-AU"/>
        </w:rPr>
      </w:pPr>
      <w:r w:rsidRPr="0063530D">
        <w:rPr>
          <w:noProof/>
          <w:color w:val="auto"/>
          <w:szCs w:val="16"/>
          <w:lang w:val="en-AU"/>
        </w:rPr>
        <w:t>Fluzone High-Dose may also contain traces of formaldehyde (≤ 100 µg</w:t>
      </w:r>
      <w:r w:rsidR="0017348F">
        <w:rPr>
          <w:noProof/>
          <w:color w:val="auto"/>
          <w:szCs w:val="16"/>
          <w:lang w:val="en-AU"/>
        </w:rPr>
        <w:t xml:space="preserve">) </w:t>
      </w:r>
      <w:r w:rsidRPr="0063530D">
        <w:rPr>
          <w:noProof/>
          <w:color w:val="auto"/>
          <w:szCs w:val="16"/>
          <w:lang w:val="en-AU"/>
        </w:rPr>
        <w:t>and ovalbumin (</w:t>
      </w:r>
      <w:r w:rsidR="00603C14" w:rsidRPr="0063530D">
        <w:rPr>
          <w:noProof/>
          <w:color w:val="auto"/>
          <w:szCs w:val="16"/>
          <w:lang w:val="en-AU"/>
        </w:rPr>
        <w:t>&lt;1 µ</w:t>
      </w:r>
      <w:r w:rsidR="00FF50DC" w:rsidRPr="0063530D">
        <w:rPr>
          <w:noProof/>
          <w:color w:val="auto"/>
          <w:szCs w:val="16"/>
          <w:lang w:val="en-AU"/>
        </w:rPr>
        <w:t>g</w:t>
      </w:r>
      <w:r w:rsidRPr="0063530D">
        <w:rPr>
          <w:noProof/>
          <w:color w:val="auto"/>
          <w:szCs w:val="16"/>
          <w:lang w:val="en-AU"/>
        </w:rPr>
        <w:t>).</w:t>
      </w:r>
      <w:r w:rsidR="00865BE8" w:rsidRPr="0063530D">
        <w:rPr>
          <w:noProof/>
          <w:color w:val="auto"/>
          <w:szCs w:val="16"/>
          <w:lang w:val="en-AU"/>
        </w:rPr>
        <w:t xml:space="preserve"> Neither antibiotics nor preservative are used during manufacture.</w:t>
      </w:r>
    </w:p>
    <w:p w:rsidR="00865BE8" w:rsidRPr="0063530D" w:rsidRDefault="00865BE8" w:rsidP="00865BE8">
      <w:pPr>
        <w:jc w:val="both"/>
        <w:rPr>
          <w:noProof/>
          <w:color w:val="auto"/>
          <w:szCs w:val="16"/>
          <w:lang w:val="en-AU"/>
        </w:rPr>
      </w:pPr>
      <w:r w:rsidRPr="0063530D">
        <w:rPr>
          <w:noProof/>
          <w:color w:val="auto"/>
          <w:szCs w:val="16"/>
          <w:lang w:val="en-AU"/>
        </w:rPr>
        <w:t xml:space="preserve">Fluzone High-Dose is presented in prefilled syringes that are not made with natural rubber latex. </w:t>
      </w:r>
    </w:p>
    <w:p w:rsidR="00865BE8" w:rsidRPr="0063530D" w:rsidRDefault="00865BE8" w:rsidP="00865BE8">
      <w:pPr>
        <w:jc w:val="both"/>
        <w:rPr>
          <w:noProof/>
          <w:color w:val="auto"/>
          <w:szCs w:val="16"/>
          <w:lang w:val="en-AU"/>
        </w:rPr>
      </w:pPr>
      <w:r w:rsidRPr="0063530D">
        <w:rPr>
          <w:noProof/>
          <w:color w:val="auto"/>
          <w:szCs w:val="16"/>
          <w:lang w:val="en-AU"/>
        </w:rPr>
        <w:t xml:space="preserve">Fluzone High-Dose suspension for injection is clear and slightly opalescent in colour. </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PHARMACOLOGY</w:t>
      </w:r>
    </w:p>
    <w:p w:rsidR="00B800D3" w:rsidRPr="0063530D" w:rsidRDefault="00B800D3" w:rsidP="00B800D3">
      <w:pPr>
        <w:pStyle w:val="Heading3"/>
        <w:numPr>
          <w:ilvl w:val="0"/>
          <w:numId w:val="0"/>
        </w:numPr>
        <w:rPr>
          <w:rFonts w:ascii="Times New Roman" w:hAnsi="Times New Roman" w:cs="Times New Roman"/>
          <w:noProof/>
          <w:lang w:val="en-AU"/>
        </w:rPr>
      </w:pPr>
      <w:r w:rsidRPr="0063530D">
        <w:rPr>
          <w:rFonts w:ascii="Times New Roman" w:hAnsi="Times New Roman" w:cs="Times New Roman"/>
          <w:noProof/>
          <w:lang w:val="en-AU"/>
        </w:rPr>
        <w:t>Mechanism of action</w:t>
      </w:r>
    </w:p>
    <w:p w:rsidR="00B800D3" w:rsidRPr="0063530D" w:rsidRDefault="00B800D3" w:rsidP="00B800D3">
      <w:pPr>
        <w:jc w:val="both"/>
        <w:rPr>
          <w:noProof/>
          <w:color w:val="auto"/>
          <w:szCs w:val="16"/>
          <w:lang w:val="en-AU"/>
        </w:rPr>
      </w:pPr>
      <w:r w:rsidRPr="0063530D">
        <w:rPr>
          <w:noProof/>
          <w:color w:val="auto"/>
          <w:szCs w:val="16"/>
          <w:lang w:val="en-AU"/>
        </w:rPr>
        <w:t xml:space="preserve">Fluzone High-Dose provides active immunisation against three influenza virus strains (two A subtypes and one B strain) contained in the vaccine. Fluzone High-Dose induces humoral antibodies against the haemagglutinins. </w:t>
      </w:r>
      <w:r w:rsidRPr="0063530D">
        <w:rPr>
          <w:color w:val="auto"/>
          <w:lang w:val="en-AU"/>
        </w:rPr>
        <w:t xml:space="preserve">Specific levels of </w:t>
      </w:r>
      <w:proofErr w:type="spellStart"/>
      <w:r w:rsidRPr="0063530D">
        <w:rPr>
          <w:color w:val="auto"/>
          <w:lang w:val="en-AU"/>
        </w:rPr>
        <w:t>haemagglutination</w:t>
      </w:r>
      <w:proofErr w:type="spellEnd"/>
      <w:r w:rsidRPr="0063530D">
        <w:rPr>
          <w:color w:val="auto"/>
          <w:lang w:val="en-AU"/>
        </w:rPr>
        <w:t xml:space="preserve"> inhibition (HI) antibody titre post-vaccination with inactivated influenza virus vaccines have not been correlated with protection from influenza virus infection. </w:t>
      </w:r>
      <w:r w:rsidRPr="0063530D">
        <w:rPr>
          <w:noProof/>
          <w:color w:val="auto"/>
          <w:szCs w:val="16"/>
          <w:lang w:val="en-AU"/>
        </w:rPr>
        <w:t>In some human studies, HI antibody titres of ≥ 1:40 have been associated with protection from influenza illness in up to 50% of participants.  Antibodies against one influenza virus type or subtype confer limited or no protection against another. Furthermore, antibodies to one antigenic variant of influenza virus might not protect against a new antigenic variant of the same type or subtype. Frequent development of antigenic variants through antigenic drift is the virologic basis for seasonal epidemics and the reason for the usual change of one or more new strains in each year's influenza vaccine. Therefore, influenza vaccines are standardized to contain the haemagglutinins of influenza virus strains representing the influenza viruses likely to be circulating in the Southern Hemisphere during the influenza season.</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CLINICAL TRIALS</w:t>
      </w:r>
    </w:p>
    <w:p w:rsidR="005C1A47" w:rsidRPr="0063530D" w:rsidRDefault="005C1A47" w:rsidP="00FE6207">
      <w:pPr>
        <w:rPr>
          <w:color w:val="auto"/>
          <w:lang w:val="en-AU"/>
        </w:rPr>
      </w:pPr>
      <w:r w:rsidRPr="0063530D">
        <w:rPr>
          <w:color w:val="auto"/>
          <w:lang w:val="en-AU"/>
        </w:rPr>
        <w:t xml:space="preserve">Two multi-centre, double-blind trials were conducted: one to determine </w:t>
      </w:r>
      <w:r w:rsidR="009745BE" w:rsidRPr="0063530D">
        <w:rPr>
          <w:color w:val="auto"/>
          <w:lang w:val="en-AU"/>
        </w:rPr>
        <w:t xml:space="preserve">safety and </w:t>
      </w:r>
      <w:r w:rsidRPr="0063530D">
        <w:rPr>
          <w:color w:val="auto"/>
          <w:lang w:val="en-AU"/>
        </w:rPr>
        <w:t>immunogenicity and one to evaluate efficacy in a total of 35 826 participants.</w:t>
      </w:r>
    </w:p>
    <w:p w:rsidR="00B800D3" w:rsidRPr="0063530D" w:rsidRDefault="00B800D3" w:rsidP="00B800D3">
      <w:pPr>
        <w:pStyle w:val="Heading3"/>
        <w:numPr>
          <w:ilvl w:val="0"/>
          <w:numId w:val="0"/>
        </w:numPr>
        <w:ind w:left="680" w:hanging="680"/>
        <w:rPr>
          <w:rFonts w:ascii="Times New Roman" w:hAnsi="Times New Roman" w:cs="Times New Roman"/>
          <w:lang w:val="en-AU"/>
        </w:rPr>
      </w:pPr>
      <w:r w:rsidRPr="0063530D">
        <w:rPr>
          <w:rFonts w:ascii="Times New Roman" w:hAnsi="Times New Roman" w:cs="Times New Roman"/>
          <w:lang w:val="en-AU"/>
        </w:rPr>
        <w:t xml:space="preserve">Immunogenicity of </w:t>
      </w:r>
      <w:proofErr w:type="spellStart"/>
      <w:r w:rsidRPr="0063530D">
        <w:rPr>
          <w:rFonts w:ascii="Times New Roman" w:hAnsi="Times New Roman" w:cs="Times New Roman"/>
          <w:lang w:val="en-AU"/>
        </w:rPr>
        <w:t>Fluzone</w:t>
      </w:r>
      <w:proofErr w:type="spellEnd"/>
      <w:r w:rsidRPr="0063530D">
        <w:rPr>
          <w:rFonts w:ascii="Times New Roman" w:hAnsi="Times New Roman" w:cs="Times New Roman"/>
          <w:lang w:val="en-AU"/>
        </w:rPr>
        <w:t xml:space="preserve"> High-Dose in Adults 65 Years of Age and Older</w:t>
      </w:r>
    </w:p>
    <w:p w:rsidR="00B800D3" w:rsidRPr="0063530D" w:rsidRDefault="00B800D3" w:rsidP="00B800D3">
      <w:pPr>
        <w:jc w:val="both"/>
        <w:rPr>
          <w:noProof/>
          <w:color w:val="auto"/>
          <w:szCs w:val="16"/>
          <w:lang w:val="en-AU"/>
        </w:rPr>
      </w:pPr>
      <w:r w:rsidRPr="0063530D">
        <w:rPr>
          <w:noProof/>
          <w:color w:val="auto"/>
          <w:szCs w:val="16"/>
          <w:lang w:val="en-AU"/>
        </w:rPr>
        <w:t>FIM05</w:t>
      </w:r>
      <w:r w:rsidRPr="0063530D">
        <w:rPr>
          <w:noProof/>
          <w:color w:val="auto"/>
          <w:lang w:val="en-AU"/>
        </w:rPr>
        <w:t xml:space="preserve"> </w:t>
      </w:r>
      <w:r w:rsidRPr="0063530D">
        <w:rPr>
          <w:noProof/>
          <w:color w:val="auto"/>
          <w:szCs w:val="16"/>
          <w:lang w:val="en-AU"/>
        </w:rPr>
        <w:t>was a multi-center, double-blind trial conducted in the US in which adults 65 years of age and older were randomised to receive either Fluzone High-Dose or Fluzone</w:t>
      </w:r>
      <w:r w:rsidRPr="0063530D">
        <w:rPr>
          <w:noProof/>
          <w:color w:val="auto"/>
          <w:szCs w:val="16"/>
          <w:vertAlign w:val="superscript"/>
          <w:lang w:val="en-AU"/>
        </w:rPr>
        <w:t>®</w:t>
      </w:r>
      <w:r w:rsidRPr="0063530D">
        <w:rPr>
          <w:rStyle w:val="FootnoteReference"/>
          <w:noProof/>
          <w:color w:val="auto"/>
          <w:szCs w:val="16"/>
          <w:lang w:val="en-AU"/>
        </w:rPr>
        <w:footnoteReference w:id="1"/>
      </w:r>
      <w:r w:rsidRPr="0063530D">
        <w:rPr>
          <w:noProof/>
          <w:color w:val="auto"/>
          <w:szCs w:val="16"/>
          <w:lang w:val="en-AU"/>
        </w:rPr>
        <w:t xml:space="preserve">(2006-2007 formulation). The study compared the safety and immunogenicity of </w:t>
      </w:r>
      <w:r w:rsidR="00B1210B" w:rsidRPr="0063530D">
        <w:rPr>
          <w:noProof/>
          <w:color w:val="auto"/>
          <w:szCs w:val="16"/>
          <w:lang w:val="en-AU"/>
        </w:rPr>
        <w:t xml:space="preserve">Fluzone High-Dose </w:t>
      </w:r>
      <w:r w:rsidRPr="0063530D">
        <w:rPr>
          <w:noProof/>
          <w:color w:val="auto"/>
          <w:szCs w:val="16"/>
          <w:lang w:val="en-AU"/>
        </w:rPr>
        <w:t>to th</w:t>
      </w:r>
      <w:r w:rsidR="00865BE8" w:rsidRPr="0063530D">
        <w:rPr>
          <w:noProof/>
          <w:color w:val="auto"/>
          <w:szCs w:val="16"/>
          <w:lang w:val="en-AU"/>
        </w:rPr>
        <w:t xml:space="preserve">ose </w:t>
      </w:r>
      <w:r w:rsidR="00865BE8" w:rsidRPr="0063530D">
        <w:rPr>
          <w:noProof/>
          <w:color w:val="auto"/>
          <w:szCs w:val="16"/>
          <w:lang w:val="en-AU"/>
        </w:rPr>
        <w:lastRenderedPageBreak/>
        <w:t xml:space="preserve">of </w:t>
      </w:r>
      <w:r w:rsidR="00B509DB" w:rsidRPr="0063530D">
        <w:rPr>
          <w:noProof/>
          <w:color w:val="auto"/>
          <w:szCs w:val="16"/>
          <w:lang w:val="en-AU"/>
        </w:rPr>
        <w:t>Fluzone</w:t>
      </w:r>
      <w:r w:rsidRPr="0063530D">
        <w:rPr>
          <w:noProof/>
          <w:color w:val="auto"/>
          <w:szCs w:val="16"/>
          <w:lang w:val="en-AU"/>
        </w:rPr>
        <w:t xml:space="preserve">. For immunogenicity analyses, 2576 participants were randomised to </w:t>
      </w:r>
      <w:r w:rsidR="00B1210B" w:rsidRPr="0063530D">
        <w:rPr>
          <w:noProof/>
          <w:color w:val="auto"/>
          <w:szCs w:val="16"/>
          <w:lang w:val="en-AU"/>
        </w:rPr>
        <w:t>Fluzone High-Dose</w:t>
      </w:r>
      <w:r w:rsidR="00865BE8" w:rsidRPr="0063530D">
        <w:rPr>
          <w:noProof/>
          <w:color w:val="auto"/>
          <w:szCs w:val="16"/>
          <w:lang w:val="en-AU"/>
        </w:rPr>
        <w:t xml:space="preserve"> </w:t>
      </w:r>
      <w:r w:rsidRPr="0063530D">
        <w:rPr>
          <w:noProof/>
          <w:color w:val="auto"/>
          <w:szCs w:val="16"/>
          <w:lang w:val="en-AU"/>
        </w:rPr>
        <w:t>and 1275 p</w:t>
      </w:r>
      <w:r w:rsidR="00865BE8" w:rsidRPr="0063530D">
        <w:rPr>
          <w:noProof/>
          <w:color w:val="auto"/>
          <w:szCs w:val="16"/>
          <w:lang w:val="en-AU"/>
        </w:rPr>
        <w:t xml:space="preserve">articipants were randomised to </w:t>
      </w:r>
      <w:r w:rsidR="00753A67" w:rsidRPr="0063530D">
        <w:rPr>
          <w:noProof/>
          <w:color w:val="auto"/>
          <w:szCs w:val="16"/>
          <w:lang w:val="en-AU"/>
        </w:rPr>
        <w:t>Fluzone</w:t>
      </w:r>
      <w:r w:rsidRPr="0063530D">
        <w:rPr>
          <w:noProof/>
          <w:color w:val="auto"/>
          <w:szCs w:val="16"/>
          <w:lang w:val="en-AU"/>
        </w:rPr>
        <w:t xml:space="preserve">. Females accounted for 51.3% of participants in the </w:t>
      </w:r>
      <w:r w:rsidR="009927DF" w:rsidRPr="0063530D">
        <w:rPr>
          <w:noProof/>
          <w:color w:val="auto"/>
          <w:szCs w:val="16"/>
          <w:lang w:val="en-AU"/>
        </w:rPr>
        <w:t>Fluzone High-Dose</w:t>
      </w:r>
      <w:r w:rsidR="00865BE8" w:rsidRPr="0063530D">
        <w:rPr>
          <w:noProof/>
          <w:color w:val="auto"/>
          <w:szCs w:val="16"/>
          <w:lang w:val="en-AU"/>
        </w:rPr>
        <w:t xml:space="preserve"> </w:t>
      </w:r>
      <w:r w:rsidRPr="0063530D">
        <w:rPr>
          <w:noProof/>
          <w:color w:val="auto"/>
          <w:szCs w:val="16"/>
          <w:lang w:val="en-AU"/>
        </w:rPr>
        <w:t xml:space="preserve">group and 54.7% of participants in the </w:t>
      </w:r>
      <w:r w:rsidR="00753A67" w:rsidRPr="0063530D">
        <w:rPr>
          <w:noProof/>
          <w:color w:val="auto"/>
          <w:szCs w:val="16"/>
          <w:lang w:val="en-AU"/>
        </w:rPr>
        <w:t>Fluzone</w:t>
      </w:r>
      <w:r w:rsidR="00865BE8" w:rsidRPr="0063530D">
        <w:rPr>
          <w:noProof/>
          <w:color w:val="auto"/>
          <w:szCs w:val="16"/>
          <w:lang w:val="en-AU"/>
        </w:rPr>
        <w:t xml:space="preserve"> </w:t>
      </w:r>
      <w:r w:rsidRPr="0063530D">
        <w:rPr>
          <w:noProof/>
          <w:color w:val="auto"/>
          <w:szCs w:val="16"/>
          <w:lang w:val="en-AU"/>
        </w:rPr>
        <w:t xml:space="preserve">group. In both groups, the mean age was 72.9 years (ranged from 65 through 97 years in the </w:t>
      </w:r>
      <w:r w:rsidR="009927DF" w:rsidRPr="0063530D">
        <w:rPr>
          <w:noProof/>
          <w:color w:val="auto"/>
          <w:szCs w:val="16"/>
          <w:lang w:val="en-AU"/>
        </w:rPr>
        <w:t>Fluzone High-Dose</w:t>
      </w:r>
      <w:r w:rsidR="00865BE8" w:rsidRPr="0063530D">
        <w:rPr>
          <w:noProof/>
          <w:color w:val="auto"/>
          <w:szCs w:val="16"/>
          <w:lang w:val="en-AU"/>
        </w:rPr>
        <w:t xml:space="preserve"> </w:t>
      </w:r>
      <w:r w:rsidRPr="0063530D">
        <w:rPr>
          <w:noProof/>
          <w:color w:val="auto"/>
          <w:szCs w:val="16"/>
          <w:lang w:val="en-AU"/>
        </w:rPr>
        <w:t xml:space="preserve">group and 65 through 94 years in the </w:t>
      </w:r>
      <w:r w:rsidR="00753A67" w:rsidRPr="0063530D">
        <w:rPr>
          <w:noProof/>
          <w:color w:val="auto"/>
          <w:szCs w:val="16"/>
          <w:lang w:val="en-AU"/>
        </w:rPr>
        <w:t>Fluzone</w:t>
      </w:r>
      <w:r w:rsidR="00865BE8" w:rsidRPr="0063530D">
        <w:rPr>
          <w:noProof/>
          <w:color w:val="auto"/>
          <w:szCs w:val="16"/>
          <w:lang w:val="en-AU"/>
        </w:rPr>
        <w:t xml:space="preserve"> </w:t>
      </w:r>
      <w:r w:rsidRPr="0063530D">
        <w:rPr>
          <w:noProof/>
          <w:color w:val="auto"/>
          <w:szCs w:val="16"/>
          <w:lang w:val="en-AU"/>
        </w:rPr>
        <w:t xml:space="preserve">group); 35% of participants in the </w:t>
      </w:r>
      <w:r w:rsidR="009927DF" w:rsidRPr="0063530D">
        <w:rPr>
          <w:noProof/>
          <w:color w:val="auto"/>
          <w:szCs w:val="16"/>
          <w:lang w:val="en-AU"/>
        </w:rPr>
        <w:t xml:space="preserve">Fluzone High-Dose </w:t>
      </w:r>
      <w:r w:rsidRPr="0063530D">
        <w:rPr>
          <w:noProof/>
          <w:color w:val="auto"/>
          <w:szCs w:val="16"/>
          <w:lang w:val="en-AU"/>
        </w:rPr>
        <w:t xml:space="preserve">group and 36% of participants in the </w:t>
      </w:r>
      <w:r w:rsidR="00753A67" w:rsidRPr="0063530D">
        <w:rPr>
          <w:noProof/>
          <w:color w:val="auto"/>
          <w:szCs w:val="16"/>
          <w:lang w:val="en-AU"/>
        </w:rPr>
        <w:t>Fluzone</w:t>
      </w:r>
      <w:r w:rsidR="00865BE8" w:rsidRPr="0063530D">
        <w:rPr>
          <w:noProof/>
          <w:color w:val="auto"/>
          <w:szCs w:val="16"/>
          <w:lang w:val="en-AU"/>
        </w:rPr>
        <w:t xml:space="preserve"> </w:t>
      </w:r>
      <w:r w:rsidRPr="0063530D">
        <w:rPr>
          <w:noProof/>
          <w:color w:val="auto"/>
          <w:szCs w:val="16"/>
          <w:lang w:val="en-AU"/>
        </w:rPr>
        <w:t xml:space="preserve">group were 75 years of age or older. Most participants in the </w:t>
      </w:r>
      <w:r w:rsidR="009927DF" w:rsidRPr="0063530D">
        <w:rPr>
          <w:noProof/>
          <w:color w:val="auto"/>
          <w:szCs w:val="16"/>
          <w:lang w:val="en-AU"/>
        </w:rPr>
        <w:t>Fluzone High-Dose</w:t>
      </w:r>
      <w:r w:rsidR="00865BE8" w:rsidRPr="0063530D">
        <w:rPr>
          <w:noProof/>
          <w:color w:val="auto"/>
          <w:szCs w:val="16"/>
          <w:lang w:val="en-AU"/>
        </w:rPr>
        <w:t xml:space="preserve"> </w:t>
      </w:r>
      <w:r w:rsidRPr="0063530D">
        <w:rPr>
          <w:noProof/>
          <w:color w:val="auto"/>
          <w:szCs w:val="16"/>
          <w:lang w:val="en-AU"/>
        </w:rPr>
        <w:t xml:space="preserve">and </w:t>
      </w:r>
      <w:r w:rsidR="00753A67" w:rsidRPr="0063530D">
        <w:rPr>
          <w:noProof/>
          <w:color w:val="auto"/>
          <w:szCs w:val="16"/>
          <w:lang w:val="en-AU"/>
        </w:rPr>
        <w:t>Fluzone</w:t>
      </w:r>
      <w:r w:rsidRPr="0063530D">
        <w:rPr>
          <w:noProof/>
          <w:color w:val="auto"/>
          <w:szCs w:val="16"/>
          <w:lang w:val="en-AU"/>
        </w:rPr>
        <w:t xml:space="preserve"> groups, respectively, were </w:t>
      </w:r>
      <w:r w:rsidR="00865BE8" w:rsidRPr="0063530D">
        <w:rPr>
          <w:noProof/>
          <w:color w:val="auto"/>
          <w:szCs w:val="16"/>
          <w:lang w:val="en-AU"/>
        </w:rPr>
        <w:t xml:space="preserve">White </w:t>
      </w:r>
      <w:r w:rsidRPr="0063530D">
        <w:rPr>
          <w:noProof/>
          <w:color w:val="auto"/>
          <w:szCs w:val="16"/>
          <w:lang w:val="en-AU"/>
        </w:rPr>
        <w:t>(91.7% and 92.9%), followed by Hispanic (4.8% and 3.7%), and Black (2.7% and 2.7%).</w:t>
      </w:r>
    </w:p>
    <w:p w:rsidR="00B800D3" w:rsidRPr="0063530D" w:rsidRDefault="00B800D3" w:rsidP="00B800D3">
      <w:pPr>
        <w:jc w:val="both"/>
        <w:rPr>
          <w:noProof/>
          <w:color w:val="auto"/>
          <w:szCs w:val="16"/>
          <w:lang w:val="en-AU"/>
        </w:rPr>
      </w:pPr>
      <w:r w:rsidRPr="0063530D">
        <w:rPr>
          <w:noProof/>
          <w:color w:val="auto"/>
          <w:szCs w:val="16"/>
          <w:lang w:val="en-AU"/>
        </w:rPr>
        <w:t xml:space="preserve">The primary endpoints of the study were HI </w:t>
      </w:r>
      <w:r w:rsidR="00B85B31" w:rsidRPr="0063530D">
        <w:rPr>
          <w:noProof/>
          <w:color w:val="auto"/>
          <w:szCs w:val="16"/>
          <w:lang w:val="en-AU"/>
        </w:rPr>
        <w:t>geometric mean titres (</w:t>
      </w:r>
      <w:r w:rsidRPr="0063530D">
        <w:rPr>
          <w:noProof/>
          <w:color w:val="auto"/>
          <w:szCs w:val="16"/>
          <w:lang w:val="en-AU"/>
        </w:rPr>
        <w:t>GMTs</w:t>
      </w:r>
      <w:r w:rsidR="00B85B31" w:rsidRPr="0063530D">
        <w:rPr>
          <w:noProof/>
          <w:color w:val="auto"/>
          <w:szCs w:val="16"/>
          <w:lang w:val="en-AU"/>
        </w:rPr>
        <w:t>)</w:t>
      </w:r>
      <w:r w:rsidRPr="0063530D">
        <w:rPr>
          <w:noProof/>
          <w:color w:val="auto"/>
          <w:szCs w:val="16"/>
          <w:lang w:val="en-AU"/>
        </w:rPr>
        <w:t xml:space="preserve"> and seroconversion rates 28 days after vaccination. Pre-specified statistical superiority criteria required that the lower limit (LL) of the 2-sided 95% </w:t>
      </w:r>
      <w:r w:rsidR="00C13735" w:rsidRPr="0063530D">
        <w:rPr>
          <w:noProof/>
          <w:color w:val="auto"/>
          <w:szCs w:val="16"/>
          <w:lang w:val="en-AU"/>
        </w:rPr>
        <w:t>confidence interval (</w:t>
      </w:r>
      <w:r w:rsidRPr="0063530D">
        <w:rPr>
          <w:noProof/>
          <w:color w:val="auto"/>
          <w:szCs w:val="16"/>
          <w:lang w:val="en-AU"/>
        </w:rPr>
        <w:t>CI</w:t>
      </w:r>
      <w:r w:rsidR="00C13735" w:rsidRPr="0063530D">
        <w:rPr>
          <w:noProof/>
          <w:color w:val="auto"/>
          <w:szCs w:val="16"/>
          <w:lang w:val="en-AU"/>
        </w:rPr>
        <w:t>)</w:t>
      </w:r>
      <w:r w:rsidRPr="0063530D">
        <w:rPr>
          <w:noProof/>
          <w:color w:val="auto"/>
          <w:szCs w:val="16"/>
          <w:lang w:val="en-AU"/>
        </w:rPr>
        <w:t xml:space="preserve"> of the GMT ratio (</w:t>
      </w:r>
      <w:r w:rsidR="009927DF" w:rsidRPr="0063530D">
        <w:rPr>
          <w:noProof/>
          <w:color w:val="auto"/>
          <w:szCs w:val="16"/>
          <w:lang w:val="en-AU"/>
        </w:rPr>
        <w:t xml:space="preserve">Fluzone High-Dose </w:t>
      </w:r>
      <w:r w:rsidRPr="0063530D">
        <w:rPr>
          <w:noProof/>
          <w:color w:val="auto"/>
          <w:szCs w:val="16"/>
          <w:lang w:val="en-AU"/>
        </w:rPr>
        <w:t>/</w:t>
      </w:r>
      <w:r w:rsidR="00753A67" w:rsidRPr="0063530D">
        <w:rPr>
          <w:noProof/>
          <w:color w:val="auto"/>
          <w:szCs w:val="16"/>
          <w:lang w:val="en-AU"/>
        </w:rPr>
        <w:t>Fluzone</w:t>
      </w:r>
      <w:r w:rsidRPr="0063530D">
        <w:rPr>
          <w:noProof/>
          <w:color w:val="auto"/>
          <w:szCs w:val="16"/>
          <w:lang w:val="en-AU"/>
        </w:rPr>
        <w:t>) be greater than 1.50 for at least two of the strains, and if one strain failed, non-inferiority of that strain must be demonstrated (LL&gt;0.67), and that the lower limit of the 2-sided 95% CI of the seroconversion rate difference (</w:t>
      </w:r>
      <w:r w:rsidR="009927DF" w:rsidRPr="0063530D">
        <w:rPr>
          <w:noProof/>
          <w:color w:val="auto"/>
          <w:szCs w:val="16"/>
          <w:lang w:val="en-AU"/>
        </w:rPr>
        <w:t>Fluzone High-Dose</w:t>
      </w:r>
      <w:r w:rsidR="00FE6207" w:rsidRPr="0063530D">
        <w:rPr>
          <w:noProof/>
          <w:color w:val="auto"/>
          <w:szCs w:val="16"/>
          <w:lang w:val="en-AU"/>
        </w:rPr>
        <w:t xml:space="preserve"> minus </w:t>
      </w:r>
      <w:r w:rsidR="00753A67" w:rsidRPr="0063530D">
        <w:rPr>
          <w:noProof/>
          <w:color w:val="auto"/>
          <w:szCs w:val="16"/>
          <w:lang w:val="en-AU"/>
        </w:rPr>
        <w:t>Fluzone</w:t>
      </w:r>
      <w:r w:rsidRPr="0063530D">
        <w:rPr>
          <w:noProof/>
          <w:color w:val="auto"/>
          <w:szCs w:val="16"/>
          <w:lang w:val="en-AU"/>
        </w:rPr>
        <w:t xml:space="preserve">) be greater than 10% for at least two of the strains, and if one strain failed, non-inferiority of that strain must be demonstrated (LL&gt;-10%). As shown in </w:t>
      </w:r>
      <w:r w:rsidRPr="0063530D">
        <w:rPr>
          <w:noProof/>
          <w:color w:val="auto"/>
          <w:szCs w:val="16"/>
          <w:highlight w:val="yellow"/>
          <w:lang w:val="en-AU"/>
        </w:rPr>
        <w:fldChar w:fldCharType="begin"/>
      </w:r>
      <w:r w:rsidRPr="0063530D">
        <w:rPr>
          <w:noProof/>
          <w:color w:val="auto"/>
          <w:szCs w:val="16"/>
          <w:lang w:val="en-AU"/>
        </w:rPr>
        <w:instrText xml:space="preserve"> REF _Ref466468431 \h  \* MERGEFORMAT </w:instrText>
      </w:r>
      <w:r w:rsidRPr="0063530D">
        <w:rPr>
          <w:noProof/>
          <w:color w:val="auto"/>
          <w:szCs w:val="16"/>
          <w:highlight w:val="yellow"/>
          <w:lang w:val="en-AU"/>
        </w:rPr>
      </w:r>
      <w:r w:rsidRPr="0063530D">
        <w:rPr>
          <w:noProof/>
          <w:color w:val="auto"/>
          <w:szCs w:val="16"/>
          <w:highlight w:val="yellow"/>
          <w:lang w:val="en-AU"/>
        </w:rPr>
        <w:fldChar w:fldCharType="separate"/>
      </w:r>
      <w:r w:rsidR="001F32F5" w:rsidRPr="001F32F5">
        <w:rPr>
          <w:color w:val="auto"/>
          <w:lang w:val="en-AU"/>
        </w:rPr>
        <w:t>Table 2</w:t>
      </w:r>
      <w:r w:rsidRPr="0063530D">
        <w:rPr>
          <w:noProof/>
          <w:color w:val="auto"/>
          <w:szCs w:val="16"/>
          <w:highlight w:val="yellow"/>
          <w:lang w:val="en-AU"/>
        </w:rPr>
        <w:fldChar w:fldCharType="end"/>
      </w:r>
      <w:r w:rsidRPr="0063530D">
        <w:rPr>
          <w:noProof/>
          <w:color w:val="auto"/>
          <w:szCs w:val="16"/>
          <w:lang w:val="en-AU"/>
        </w:rPr>
        <w:t xml:space="preserve">, statistically superior HI GMTs and seroconversion rates after vaccination with </w:t>
      </w:r>
      <w:r w:rsidR="009927DF" w:rsidRPr="0063530D">
        <w:rPr>
          <w:noProof/>
          <w:color w:val="auto"/>
          <w:szCs w:val="16"/>
          <w:lang w:val="en-AU"/>
        </w:rPr>
        <w:t>Fluzone High-Dose</w:t>
      </w:r>
      <w:r w:rsidR="00FE6207" w:rsidRPr="0063530D">
        <w:rPr>
          <w:noProof/>
          <w:color w:val="auto"/>
          <w:szCs w:val="16"/>
          <w:lang w:val="en-AU"/>
        </w:rPr>
        <w:t xml:space="preserve"> </w:t>
      </w:r>
      <w:r w:rsidRPr="0063530D">
        <w:rPr>
          <w:noProof/>
          <w:color w:val="auto"/>
          <w:szCs w:val="16"/>
          <w:lang w:val="en-AU"/>
        </w:rPr>
        <w:t xml:space="preserve">compared to </w:t>
      </w:r>
      <w:r w:rsidR="00753A67" w:rsidRPr="0063530D">
        <w:rPr>
          <w:noProof/>
          <w:color w:val="auto"/>
          <w:szCs w:val="16"/>
          <w:lang w:val="en-AU"/>
        </w:rPr>
        <w:t>Fluzone</w:t>
      </w:r>
      <w:r w:rsidRPr="0063530D">
        <w:rPr>
          <w:noProof/>
          <w:color w:val="auto"/>
          <w:szCs w:val="16"/>
          <w:lang w:val="en-AU"/>
        </w:rPr>
        <w:t xml:space="preserve"> were demonstrated for influenza A subtypes, A (H1N1) and A (H3N2), but not for influenza type B. For strain B, non-inferiority of </w:t>
      </w:r>
      <w:r w:rsidR="009927DF" w:rsidRPr="0063530D">
        <w:rPr>
          <w:noProof/>
          <w:color w:val="auto"/>
          <w:szCs w:val="16"/>
          <w:lang w:val="en-AU"/>
        </w:rPr>
        <w:t>Fluzone High-Dose</w:t>
      </w:r>
      <w:r w:rsidR="00FE6207" w:rsidRPr="0063530D">
        <w:rPr>
          <w:noProof/>
          <w:color w:val="auto"/>
          <w:szCs w:val="16"/>
          <w:lang w:val="en-AU"/>
        </w:rPr>
        <w:t xml:space="preserve"> </w:t>
      </w:r>
      <w:r w:rsidRPr="0063530D">
        <w:rPr>
          <w:noProof/>
          <w:color w:val="auto"/>
          <w:szCs w:val="16"/>
          <w:lang w:val="en-AU"/>
        </w:rPr>
        <w:t xml:space="preserve">compared to </w:t>
      </w:r>
      <w:r w:rsidR="00753A67" w:rsidRPr="0063530D">
        <w:rPr>
          <w:noProof/>
          <w:color w:val="auto"/>
          <w:szCs w:val="16"/>
          <w:lang w:val="en-AU"/>
        </w:rPr>
        <w:t>Fluzone</w:t>
      </w:r>
      <w:r w:rsidR="00FE6207" w:rsidRPr="0063530D">
        <w:rPr>
          <w:noProof/>
          <w:color w:val="auto"/>
          <w:szCs w:val="16"/>
          <w:lang w:val="en-AU"/>
        </w:rPr>
        <w:t xml:space="preserve"> </w:t>
      </w:r>
      <w:r w:rsidRPr="0063530D">
        <w:rPr>
          <w:noProof/>
          <w:color w:val="auto"/>
          <w:szCs w:val="16"/>
          <w:lang w:val="en-AU"/>
        </w:rPr>
        <w:t>was demonstrated for both the HI GMTs and seroconversion rates.</w:t>
      </w:r>
    </w:p>
    <w:p w:rsidR="00B800D3" w:rsidRPr="0063530D" w:rsidRDefault="00B800D3" w:rsidP="00B800D3">
      <w:pPr>
        <w:pStyle w:val="Caption"/>
        <w:rPr>
          <w:lang w:val="en-AU"/>
        </w:rPr>
      </w:pPr>
      <w:bookmarkStart w:id="4" w:name="_Ref466468431"/>
      <w:r w:rsidRPr="0063530D">
        <w:rPr>
          <w:lang w:val="en-AU"/>
        </w:rPr>
        <w:t>Table </w:t>
      </w:r>
      <w:r w:rsidRPr="0063530D">
        <w:rPr>
          <w:lang w:val="en-AU"/>
        </w:rPr>
        <w:fldChar w:fldCharType="begin"/>
      </w:r>
      <w:r w:rsidRPr="0063530D">
        <w:rPr>
          <w:lang w:val="en-AU"/>
        </w:rPr>
        <w:instrText xml:space="preserve"> SEQ Table \* ARABIC </w:instrText>
      </w:r>
      <w:r w:rsidRPr="0063530D">
        <w:rPr>
          <w:lang w:val="en-AU"/>
        </w:rPr>
        <w:fldChar w:fldCharType="separate"/>
      </w:r>
      <w:r w:rsidR="001F32F5">
        <w:rPr>
          <w:noProof/>
          <w:lang w:val="en-AU"/>
        </w:rPr>
        <w:t>2</w:t>
      </w:r>
      <w:r w:rsidRPr="0063530D">
        <w:rPr>
          <w:lang w:val="en-AU"/>
        </w:rPr>
        <w:fldChar w:fldCharType="end"/>
      </w:r>
      <w:bookmarkEnd w:id="4"/>
      <w:r w:rsidRPr="0063530D">
        <w:rPr>
          <w:lang w:val="en-AU"/>
        </w:rPr>
        <w:t xml:space="preserve"> ­ FIM05:</w:t>
      </w:r>
      <w:r w:rsidRPr="0063530D">
        <w:rPr>
          <w:vertAlign w:val="superscript"/>
          <w:lang w:val="en-AU"/>
        </w:rPr>
        <w:t xml:space="preserve"> </w:t>
      </w:r>
      <w:r w:rsidRPr="0063530D">
        <w:rPr>
          <w:lang w:val="en-AU"/>
        </w:rPr>
        <w:t xml:space="preserve">Post-Vaccination HI Antibody GMTs and Seroconversion Rates and Analyses of Superiority of </w:t>
      </w:r>
      <w:r w:rsidR="009927DF" w:rsidRPr="0063530D">
        <w:rPr>
          <w:noProof/>
          <w:szCs w:val="16"/>
          <w:lang w:val="en-AU"/>
        </w:rPr>
        <w:t>Fluzone High-Dose</w:t>
      </w:r>
      <w:r w:rsidR="00FE6207" w:rsidRPr="0063530D">
        <w:rPr>
          <w:lang w:val="en-AU"/>
        </w:rPr>
        <w:t xml:space="preserve"> </w:t>
      </w:r>
      <w:r w:rsidRPr="0063530D">
        <w:rPr>
          <w:lang w:val="en-AU"/>
        </w:rPr>
        <w:t>Relative to</w:t>
      </w:r>
      <w:r w:rsidR="00FE6207" w:rsidRPr="0063530D">
        <w:rPr>
          <w:lang w:val="en-AU"/>
        </w:rPr>
        <w:t xml:space="preserve"> </w:t>
      </w:r>
      <w:proofErr w:type="spellStart"/>
      <w:r w:rsidR="00322AD4">
        <w:rPr>
          <w:lang w:val="en-AU"/>
        </w:rPr>
        <w:t>Fluzone</w:t>
      </w:r>
      <w:proofErr w:type="spellEnd"/>
      <w:r w:rsidRPr="0063530D">
        <w:rPr>
          <w:lang w:val="en-AU"/>
        </w:rPr>
        <w:t>, Adults 65 Years of Age and Older</w:t>
      </w:r>
    </w:p>
    <w:tbl>
      <w:tblPr>
        <w:tblW w:w="0" w:type="auto"/>
        <w:jc w:val="center"/>
        <w:tblBorders>
          <w:top w:val="single" w:sz="2" w:space="0" w:color="000000"/>
        </w:tblBorders>
        <w:tblLook w:val="04A0" w:firstRow="1" w:lastRow="0" w:firstColumn="1" w:lastColumn="0" w:noHBand="0" w:noVBand="1"/>
      </w:tblPr>
      <w:tblGrid>
        <w:gridCol w:w="1100"/>
        <w:gridCol w:w="1196"/>
        <w:gridCol w:w="1030"/>
        <w:gridCol w:w="1121"/>
        <w:gridCol w:w="1472"/>
        <w:gridCol w:w="1286"/>
        <w:gridCol w:w="1208"/>
        <w:gridCol w:w="1272"/>
      </w:tblGrid>
      <w:tr w:rsidR="00B800D3" w:rsidRPr="0063530D" w:rsidTr="002D7EB4">
        <w:trPr>
          <w:cantSplit/>
          <w:tblHeader/>
          <w:jc w:val="center"/>
        </w:trPr>
        <w:tc>
          <w:tcPr>
            <w:tcW w:w="1100" w:type="dxa"/>
            <w:vMerge w:val="restart"/>
            <w:tcBorders>
              <w:top w:val="single" w:sz="4" w:space="0" w:color="000000"/>
            </w:tcBorders>
            <w:shd w:val="clear" w:color="auto" w:fill="auto"/>
            <w:vAlign w:val="center"/>
          </w:tcPr>
          <w:p w:rsidR="00B800D3" w:rsidRPr="0063530D" w:rsidRDefault="00B800D3" w:rsidP="009F505A">
            <w:pPr>
              <w:pStyle w:val="TblHeadingCenter"/>
              <w:rPr>
                <w:lang w:val="en-AU"/>
              </w:rPr>
            </w:pPr>
            <w:r w:rsidRPr="0063530D">
              <w:rPr>
                <w:lang w:val="en-AU"/>
              </w:rPr>
              <w:t>Influenza Strain</w:t>
            </w:r>
          </w:p>
        </w:tc>
        <w:tc>
          <w:tcPr>
            <w:tcW w:w="2226" w:type="dxa"/>
            <w:gridSpan w:val="2"/>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r w:rsidRPr="0063530D">
              <w:rPr>
                <w:lang w:val="en-AU"/>
              </w:rPr>
              <w:t>GMT</w:t>
            </w:r>
          </w:p>
        </w:tc>
        <w:tc>
          <w:tcPr>
            <w:tcW w:w="1121" w:type="dxa"/>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r w:rsidRPr="0063530D">
              <w:rPr>
                <w:lang w:val="en-AU"/>
              </w:rPr>
              <w:t>GMT Ratio</w:t>
            </w:r>
          </w:p>
        </w:tc>
        <w:tc>
          <w:tcPr>
            <w:tcW w:w="2758" w:type="dxa"/>
            <w:gridSpan w:val="2"/>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r w:rsidRPr="0063530D">
              <w:rPr>
                <w:lang w:val="en-AU"/>
              </w:rPr>
              <w:t>Seroconversion %</w:t>
            </w:r>
            <w:r w:rsidR="00DB12CD" w:rsidRPr="0063530D">
              <w:rPr>
                <w:vertAlign w:val="superscript"/>
                <w:lang w:val="en-AU"/>
              </w:rPr>
              <w:t>a</w:t>
            </w:r>
          </w:p>
        </w:tc>
        <w:tc>
          <w:tcPr>
            <w:tcW w:w="1208" w:type="dxa"/>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r w:rsidRPr="0063530D">
              <w:rPr>
                <w:lang w:val="en-AU"/>
              </w:rPr>
              <w:t>Difference</w:t>
            </w:r>
          </w:p>
        </w:tc>
        <w:tc>
          <w:tcPr>
            <w:tcW w:w="1272" w:type="dxa"/>
            <w:vMerge w:val="restart"/>
            <w:tcBorders>
              <w:top w:val="single" w:sz="4" w:space="0" w:color="000000"/>
            </w:tcBorders>
            <w:shd w:val="clear" w:color="auto" w:fill="auto"/>
            <w:vAlign w:val="center"/>
          </w:tcPr>
          <w:p w:rsidR="00B800D3" w:rsidRPr="0063530D" w:rsidRDefault="00B800D3" w:rsidP="009F505A">
            <w:pPr>
              <w:pStyle w:val="TblHeadingCenter"/>
              <w:rPr>
                <w:lang w:val="en-AU"/>
              </w:rPr>
            </w:pPr>
            <w:r w:rsidRPr="0063530D">
              <w:rPr>
                <w:lang w:val="en-AU"/>
              </w:rPr>
              <w:t>Met Both Pre-defined Superiority Criteria</w:t>
            </w:r>
            <w:r w:rsidR="00DB12CD" w:rsidRPr="0063530D">
              <w:rPr>
                <w:vertAlign w:val="superscript"/>
                <w:lang w:val="en-AU"/>
              </w:rPr>
              <w:t>c</w:t>
            </w:r>
          </w:p>
        </w:tc>
      </w:tr>
      <w:tr w:rsidR="00B800D3" w:rsidRPr="0063530D" w:rsidTr="002D7EB4">
        <w:trPr>
          <w:cantSplit/>
          <w:jc w:val="center"/>
        </w:trPr>
        <w:tc>
          <w:tcPr>
            <w:tcW w:w="1100" w:type="dxa"/>
            <w:vMerge/>
            <w:tcBorders>
              <w:bottom w:val="single" w:sz="4" w:space="0" w:color="auto"/>
            </w:tcBorders>
            <w:shd w:val="clear" w:color="auto" w:fill="auto"/>
          </w:tcPr>
          <w:p w:rsidR="00B800D3" w:rsidRPr="0063530D" w:rsidRDefault="00B800D3" w:rsidP="009F505A">
            <w:pPr>
              <w:pStyle w:val="TblTextCenter"/>
              <w:rPr>
                <w:lang w:val="en-AU"/>
              </w:rPr>
            </w:pPr>
          </w:p>
        </w:tc>
        <w:tc>
          <w:tcPr>
            <w:tcW w:w="1196" w:type="dxa"/>
            <w:tcBorders>
              <w:top w:val="single" w:sz="4" w:space="0" w:color="000000"/>
              <w:bottom w:val="single" w:sz="4" w:space="0" w:color="auto"/>
            </w:tcBorders>
            <w:shd w:val="clear" w:color="auto" w:fill="auto"/>
          </w:tcPr>
          <w:p w:rsidR="00B800D3" w:rsidRPr="0063530D" w:rsidRDefault="009927DF" w:rsidP="00DB12CD">
            <w:pPr>
              <w:pStyle w:val="TblHeadingCenter"/>
              <w:rPr>
                <w:lang w:val="en-AU"/>
              </w:rPr>
            </w:pPr>
            <w:r w:rsidRPr="0063530D">
              <w:rPr>
                <w:szCs w:val="16"/>
                <w:lang w:val="en-AU"/>
              </w:rPr>
              <w:t>Fluzone High-Dose</w:t>
            </w:r>
            <w:r w:rsidR="00B800D3" w:rsidRPr="0063530D">
              <w:rPr>
                <w:lang w:val="en-AU"/>
              </w:rPr>
              <w:br/>
              <w:t>N</w:t>
            </w:r>
            <w:r w:rsidR="00DB12CD" w:rsidRPr="0063530D">
              <w:rPr>
                <w:vertAlign w:val="superscript"/>
                <w:lang w:val="en-AU"/>
              </w:rPr>
              <w:t>b</w:t>
            </w:r>
            <w:r w:rsidR="00B800D3" w:rsidRPr="0063530D">
              <w:rPr>
                <w:lang w:val="en-AU"/>
              </w:rPr>
              <w:t>= 2542-2544</w:t>
            </w:r>
          </w:p>
        </w:tc>
        <w:tc>
          <w:tcPr>
            <w:tcW w:w="1030" w:type="dxa"/>
            <w:tcBorders>
              <w:top w:val="single" w:sz="4" w:space="0" w:color="000000"/>
              <w:bottom w:val="single" w:sz="4" w:space="0" w:color="auto"/>
            </w:tcBorders>
            <w:shd w:val="clear" w:color="auto" w:fill="auto"/>
          </w:tcPr>
          <w:p w:rsidR="00B800D3" w:rsidRPr="0063530D" w:rsidRDefault="00753A67" w:rsidP="00DB12CD">
            <w:pPr>
              <w:pStyle w:val="TblHeadingCenter"/>
              <w:rPr>
                <w:lang w:val="en-AU"/>
              </w:rPr>
            </w:pPr>
            <w:r w:rsidRPr="0063530D">
              <w:rPr>
                <w:szCs w:val="16"/>
                <w:lang w:val="en-AU"/>
              </w:rPr>
              <w:t>Fluzone</w:t>
            </w:r>
            <w:r w:rsidR="00B800D3" w:rsidRPr="0063530D">
              <w:rPr>
                <w:lang w:val="en-AU"/>
              </w:rPr>
              <w:t xml:space="preserve"> </w:t>
            </w:r>
            <w:r w:rsidR="00B800D3" w:rsidRPr="0063530D">
              <w:rPr>
                <w:lang w:val="en-AU"/>
              </w:rPr>
              <w:br/>
              <w:t>N</w:t>
            </w:r>
            <w:r w:rsidR="00DB12CD" w:rsidRPr="0063530D">
              <w:rPr>
                <w:vertAlign w:val="superscript"/>
                <w:lang w:val="en-AU"/>
              </w:rPr>
              <w:t>b</w:t>
            </w:r>
            <w:r w:rsidR="00B800D3" w:rsidRPr="0063530D">
              <w:rPr>
                <w:lang w:val="en-AU"/>
              </w:rPr>
              <w:t>= 1252</w:t>
            </w:r>
          </w:p>
        </w:tc>
        <w:tc>
          <w:tcPr>
            <w:tcW w:w="1121" w:type="dxa"/>
            <w:tcBorders>
              <w:top w:val="single" w:sz="4" w:space="0" w:color="000000"/>
              <w:bottom w:val="single" w:sz="4" w:space="0" w:color="auto"/>
            </w:tcBorders>
            <w:shd w:val="clear" w:color="auto" w:fill="auto"/>
          </w:tcPr>
          <w:p w:rsidR="00B800D3" w:rsidRPr="0063530D" w:rsidRDefault="009927DF" w:rsidP="00FE6207">
            <w:pPr>
              <w:pStyle w:val="TblHeadingCenter"/>
              <w:rPr>
                <w:lang w:val="en-AU"/>
              </w:rPr>
            </w:pPr>
            <w:r w:rsidRPr="0063530D">
              <w:rPr>
                <w:szCs w:val="16"/>
                <w:lang w:val="en-AU"/>
              </w:rPr>
              <w:t>Fluzone High-Dose</w:t>
            </w:r>
            <w:r w:rsidR="00FE6207" w:rsidRPr="0063530D">
              <w:rPr>
                <w:lang w:val="en-AU"/>
              </w:rPr>
              <w:t xml:space="preserve"> </w:t>
            </w:r>
            <w:r w:rsidR="00B800D3" w:rsidRPr="0063530D">
              <w:rPr>
                <w:lang w:val="en-AU"/>
              </w:rPr>
              <w:t xml:space="preserve">over </w:t>
            </w:r>
            <w:r w:rsidR="00322AD4">
              <w:rPr>
                <w:lang w:val="en-AU"/>
              </w:rPr>
              <w:t>Fluzone</w:t>
            </w:r>
            <w:r w:rsidR="00FE6207" w:rsidRPr="0063530D">
              <w:rPr>
                <w:lang w:val="en-AU"/>
              </w:rPr>
              <w:t xml:space="preserve"> </w:t>
            </w:r>
            <w:r w:rsidR="00B800D3" w:rsidRPr="0063530D">
              <w:rPr>
                <w:lang w:val="en-AU"/>
              </w:rPr>
              <w:t>(95% CI)</w:t>
            </w:r>
          </w:p>
        </w:tc>
        <w:tc>
          <w:tcPr>
            <w:tcW w:w="1472" w:type="dxa"/>
            <w:tcBorders>
              <w:top w:val="single" w:sz="4" w:space="0" w:color="000000"/>
              <w:bottom w:val="single" w:sz="4" w:space="0" w:color="auto"/>
            </w:tcBorders>
            <w:shd w:val="clear" w:color="auto" w:fill="auto"/>
          </w:tcPr>
          <w:p w:rsidR="00B800D3" w:rsidRPr="0063530D" w:rsidRDefault="009927DF" w:rsidP="00DB12CD">
            <w:pPr>
              <w:pStyle w:val="TblHeadingCenter"/>
              <w:rPr>
                <w:lang w:val="en-AU"/>
              </w:rPr>
            </w:pPr>
            <w:r w:rsidRPr="0063530D">
              <w:rPr>
                <w:szCs w:val="16"/>
                <w:lang w:val="en-AU"/>
              </w:rPr>
              <w:t>Fluzone High-Dose</w:t>
            </w:r>
            <w:r w:rsidR="00B800D3" w:rsidRPr="0063530D">
              <w:rPr>
                <w:lang w:val="en-AU"/>
              </w:rPr>
              <w:br/>
              <w:t>N</w:t>
            </w:r>
            <w:r w:rsidR="00DB12CD" w:rsidRPr="0063530D">
              <w:rPr>
                <w:vertAlign w:val="superscript"/>
                <w:lang w:val="en-AU"/>
              </w:rPr>
              <w:t>b</w:t>
            </w:r>
            <w:r w:rsidR="00B800D3" w:rsidRPr="0063530D">
              <w:rPr>
                <w:lang w:val="en-AU"/>
              </w:rPr>
              <w:t>= 2529-2531</w:t>
            </w:r>
          </w:p>
        </w:tc>
        <w:tc>
          <w:tcPr>
            <w:tcW w:w="1286" w:type="dxa"/>
            <w:tcBorders>
              <w:top w:val="single" w:sz="4" w:space="0" w:color="000000"/>
              <w:bottom w:val="single" w:sz="4" w:space="0" w:color="auto"/>
            </w:tcBorders>
            <w:shd w:val="clear" w:color="auto" w:fill="auto"/>
          </w:tcPr>
          <w:p w:rsidR="00B800D3" w:rsidRPr="0063530D" w:rsidRDefault="00753A67" w:rsidP="009F505A">
            <w:pPr>
              <w:pStyle w:val="TblHeadingCenter"/>
              <w:rPr>
                <w:lang w:val="en-AU"/>
              </w:rPr>
            </w:pPr>
            <w:r w:rsidRPr="0063530D">
              <w:rPr>
                <w:szCs w:val="16"/>
                <w:lang w:val="en-AU"/>
              </w:rPr>
              <w:t>Fluzone</w:t>
            </w:r>
            <w:r w:rsidR="00B800D3" w:rsidRPr="0063530D">
              <w:rPr>
                <w:lang w:val="en-AU"/>
              </w:rPr>
              <w:br/>
              <w:t>N</w:t>
            </w:r>
            <w:r w:rsidR="00DB12CD" w:rsidRPr="0063530D">
              <w:rPr>
                <w:vertAlign w:val="superscript"/>
                <w:lang w:val="en-AU"/>
              </w:rPr>
              <w:t>b</w:t>
            </w:r>
            <w:r w:rsidR="00B800D3" w:rsidRPr="0063530D">
              <w:rPr>
                <w:lang w:val="en-AU"/>
              </w:rPr>
              <w:t>= 1248-1249</w:t>
            </w:r>
          </w:p>
        </w:tc>
        <w:tc>
          <w:tcPr>
            <w:tcW w:w="1208" w:type="dxa"/>
            <w:tcBorders>
              <w:top w:val="single" w:sz="4" w:space="0" w:color="000000"/>
              <w:bottom w:val="single" w:sz="4" w:space="0" w:color="auto"/>
            </w:tcBorders>
            <w:shd w:val="clear" w:color="auto" w:fill="auto"/>
          </w:tcPr>
          <w:p w:rsidR="00B800D3" w:rsidRPr="0063530D" w:rsidRDefault="009927DF" w:rsidP="00322AD4">
            <w:pPr>
              <w:pStyle w:val="TblHeadingCenter"/>
              <w:rPr>
                <w:lang w:val="en-AU"/>
              </w:rPr>
            </w:pPr>
            <w:r w:rsidRPr="0063530D">
              <w:rPr>
                <w:szCs w:val="16"/>
                <w:lang w:val="en-AU"/>
              </w:rPr>
              <w:t>Fluzone High-Dose</w:t>
            </w:r>
            <w:r w:rsidR="00FE6207" w:rsidRPr="0063530D">
              <w:rPr>
                <w:lang w:val="en-AU"/>
              </w:rPr>
              <w:t xml:space="preserve"> minus </w:t>
            </w:r>
            <w:r w:rsidR="00322AD4">
              <w:rPr>
                <w:lang w:val="en-AU"/>
              </w:rPr>
              <w:t>Fluzone</w:t>
            </w:r>
            <w:r w:rsidR="00B800D3" w:rsidRPr="0063530D">
              <w:rPr>
                <w:lang w:val="en-AU"/>
              </w:rPr>
              <w:t xml:space="preserve"> (95% CI)</w:t>
            </w:r>
          </w:p>
        </w:tc>
        <w:tc>
          <w:tcPr>
            <w:tcW w:w="1272" w:type="dxa"/>
            <w:vMerge/>
            <w:tcBorders>
              <w:bottom w:val="single" w:sz="4" w:space="0" w:color="auto"/>
            </w:tcBorders>
            <w:shd w:val="clear" w:color="auto" w:fill="auto"/>
          </w:tcPr>
          <w:p w:rsidR="00B800D3" w:rsidRPr="0063530D" w:rsidRDefault="00B800D3" w:rsidP="009F505A">
            <w:pPr>
              <w:pStyle w:val="TblTextCenter"/>
              <w:rPr>
                <w:lang w:val="en-AU"/>
              </w:rPr>
            </w:pPr>
          </w:p>
        </w:tc>
      </w:tr>
      <w:tr w:rsidR="00B800D3" w:rsidRPr="0063530D" w:rsidTr="002D7EB4">
        <w:trPr>
          <w:cantSplit/>
          <w:jc w:val="center"/>
        </w:trPr>
        <w:tc>
          <w:tcPr>
            <w:tcW w:w="1100" w:type="dxa"/>
            <w:tcBorders>
              <w:top w:val="single" w:sz="4" w:space="0" w:color="auto"/>
            </w:tcBorders>
            <w:shd w:val="clear" w:color="auto" w:fill="auto"/>
            <w:vAlign w:val="center"/>
          </w:tcPr>
          <w:p w:rsidR="00B800D3" w:rsidRPr="0063530D" w:rsidRDefault="00B800D3" w:rsidP="009F505A">
            <w:pPr>
              <w:pStyle w:val="TblTextCenter"/>
              <w:jc w:val="left"/>
              <w:rPr>
                <w:b/>
                <w:lang w:val="en-AU"/>
              </w:rPr>
            </w:pPr>
            <w:r w:rsidRPr="0063530D">
              <w:rPr>
                <w:b/>
                <w:lang w:val="en-AU"/>
              </w:rPr>
              <w:t>A (H1N1)</w:t>
            </w:r>
          </w:p>
        </w:tc>
        <w:tc>
          <w:tcPr>
            <w:tcW w:w="1196"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115.8</w:t>
            </w:r>
          </w:p>
        </w:tc>
        <w:tc>
          <w:tcPr>
            <w:tcW w:w="1030"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67.3</w:t>
            </w:r>
          </w:p>
        </w:tc>
        <w:tc>
          <w:tcPr>
            <w:tcW w:w="1121"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1.7</w:t>
            </w:r>
          </w:p>
          <w:p w:rsidR="00B800D3" w:rsidRPr="0063530D" w:rsidRDefault="00B800D3" w:rsidP="009F505A">
            <w:pPr>
              <w:pStyle w:val="TblTextCenter"/>
              <w:rPr>
                <w:lang w:val="en-AU"/>
              </w:rPr>
            </w:pPr>
            <w:r w:rsidRPr="0063530D">
              <w:rPr>
                <w:lang w:val="en-AU"/>
              </w:rPr>
              <w:t>(1.6; 1.8)</w:t>
            </w:r>
          </w:p>
        </w:tc>
        <w:tc>
          <w:tcPr>
            <w:tcW w:w="1472"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48.6</w:t>
            </w:r>
          </w:p>
        </w:tc>
        <w:tc>
          <w:tcPr>
            <w:tcW w:w="1286"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23.1</w:t>
            </w:r>
          </w:p>
        </w:tc>
        <w:tc>
          <w:tcPr>
            <w:tcW w:w="1208"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25.4</w:t>
            </w:r>
          </w:p>
          <w:p w:rsidR="00B800D3" w:rsidRPr="0063530D" w:rsidRDefault="00B800D3" w:rsidP="009F505A">
            <w:pPr>
              <w:pStyle w:val="TblTextCenter"/>
              <w:rPr>
                <w:lang w:val="en-AU"/>
              </w:rPr>
            </w:pPr>
            <w:r w:rsidRPr="0063530D">
              <w:rPr>
                <w:lang w:val="en-AU"/>
              </w:rPr>
              <w:t>(22.4; 28.5)</w:t>
            </w:r>
          </w:p>
        </w:tc>
        <w:tc>
          <w:tcPr>
            <w:tcW w:w="1272" w:type="dxa"/>
            <w:tcBorders>
              <w:top w:val="single" w:sz="4" w:space="0" w:color="auto"/>
            </w:tcBorders>
            <w:shd w:val="clear" w:color="auto" w:fill="auto"/>
            <w:vAlign w:val="center"/>
          </w:tcPr>
          <w:p w:rsidR="00B800D3" w:rsidRPr="0063530D" w:rsidRDefault="00B800D3" w:rsidP="009F505A">
            <w:pPr>
              <w:pStyle w:val="TblTextCenter"/>
              <w:rPr>
                <w:lang w:val="en-AU"/>
              </w:rPr>
            </w:pPr>
            <w:r w:rsidRPr="0063530D">
              <w:rPr>
                <w:lang w:val="en-AU"/>
              </w:rPr>
              <w:t>Yes</w:t>
            </w:r>
          </w:p>
        </w:tc>
      </w:tr>
      <w:tr w:rsidR="00B800D3" w:rsidRPr="0063530D" w:rsidTr="002D7EB4">
        <w:trPr>
          <w:cantSplit/>
          <w:jc w:val="center"/>
        </w:trPr>
        <w:tc>
          <w:tcPr>
            <w:tcW w:w="1100" w:type="dxa"/>
            <w:shd w:val="clear" w:color="auto" w:fill="auto"/>
            <w:vAlign w:val="center"/>
          </w:tcPr>
          <w:p w:rsidR="00B800D3" w:rsidRPr="0063530D" w:rsidRDefault="00B800D3" w:rsidP="009F505A">
            <w:pPr>
              <w:pStyle w:val="TblTextCenter"/>
              <w:jc w:val="left"/>
              <w:rPr>
                <w:b/>
                <w:lang w:val="en-AU"/>
              </w:rPr>
            </w:pPr>
            <w:r w:rsidRPr="0063530D">
              <w:rPr>
                <w:b/>
                <w:lang w:val="en-AU"/>
              </w:rPr>
              <w:t>A (H3N2)</w:t>
            </w:r>
          </w:p>
        </w:tc>
        <w:tc>
          <w:tcPr>
            <w:tcW w:w="1196" w:type="dxa"/>
            <w:shd w:val="clear" w:color="auto" w:fill="auto"/>
            <w:vAlign w:val="center"/>
          </w:tcPr>
          <w:p w:rsidR="00B800D3" w:rsidRPr="0063530D" w:rsidRDefault="00B800D3" w:rsidP="009F505A">
            <w:pPr>
              <w:pStyle w:val="TblTextCenter"/>
              <w:rPr>
                <w:lang w:val="en-AU"/>
              </w:rPr>
            </w:pPr>
            <w:r w:rsidRPr="0063530D">
              <w:rPr>
                <w:lang w:val="en-AU"/>
              </w:rPr>
              <w:t>608.9</w:t>
            </w:r>
          </w:p>
        </w:tc>
        <w:tc>
          <w:tcPr>
            <w:tcW w:w="1030" w:type="dxa"/>
            <w:shd w:val="clear" w:color="auto" w:fill="auto"/>
            <w:vAlign w:val="center"/>
          </w:tcPr>
          <w:p w:rsidR="00B800D3" w:rsidRPr="0063530D" w:rsidRDefault="00B800D3" w:rsidP="009F505A">
            <w:pPr>
              <w:pStyle w:val="TblTextCenter"/>
              <w:rPr>
                <w:lang w:val="en-AU"/>
              </w:rPr>
            </w:pPr>
            <w:r w:rsidRPr="0063530D">
              <w:rPr>
                <w:lang w:val="en-AU"/>
              </w:rPr>
              <w:t>332.5</w:t>
            </w:r>
          </w:p>
        </w:tc>
        <w:tc>
          <w:tcPr>
            <w:tcW w:w="1121" w:type="dxa"/>
            <w:shd w:val="clear" w:color="auto" w:fill="auto"/>
            <w:vAlign w:val="center"/>
          </w:tcPr>
          <w:p w:rsidR="00B800D3" w:rsidRPr="0063530D" w:rsidRDefault="00B800D3" w:rsidP="009F505A">
            <w:pPr>
              <w:pStyle w:val="TblTextCenter"/>
              <w:rPr>
                <w:lang w:val="en-AU"/>
              </w:rPr>
            </w:pPr>
            <w:r w:rsidRPr="0063530D">
              <w:rPr>
                <w:lang w:val="en-AU"/>
              </w:rPr>
              <w:t>1.8</w:t>
            </w:r>
          </w:p>
          <w:p w:rsidR="00B800D3" w:rsidRPr="0063530D" w:rsidRDefault="00B800D3" w:rsidP="009F505A">
            <w:pPr>
              <w:pStyle w:val="TblTextCenter"/>
              <w:rPr>
                <w:lang w:val="en-AU"/>
              </w:rPr>
            </w:pPr>
            <w:r w:rsidRPr="0063530D">
              <w:rPr>
                <w:lang w:val="en-AU"/>
              </w:rPr>
              <w:t>(1.7; 2.0)</w:t>
            </w:r>
          </w:p>
        </w:tc>
        <w:tc>
          <w:tcPr>
            <w:tcW w:w="1472" w:type="dxa"/>
            <w:shd w:val="clear" w:color="auto" w:fill="auto"/>
            <w:vAlign w:val="center"/>
          </w:tcPr>
          <w:p w:rsidR="00B800D3" w:rsidRPr="0063530D" w:rsidRDefault="00B800D3" w:rsidP="009F505A">
            <w:pPr>
              <w:pStyle w:val="TblTextCenter"/>
              <w:rPr>
                <w:lang w:val="en-AU"/>
              </w:rPr>
            </w:pPr>
            <w:r w:rsidRPr="0063530D">
              <w:rPr>
                <w:lang w:val="en-AU"/>
              </w:rPr>
              <w:t>69.1</w:t>
            </w:r>
          </w:p>
        </w:tc>
        <w:tc>
          <w:tcPr>
            <w:tcW w:w="1286" w:type="dxa"/>
            <w:shd w:val="clear" w:color="auto" w:fill="auto"/>
            <w:vAlign w:val="center"/>
          </w:tcPr>
          <w:p w:rsidR="00B800D3" w:rsidRPr="0063530D" w:rsidRDefault="00B800D3" w:rsidP="009F505A">
            <w:pPr>
              <w:pStyle w:val="TblTextCenter"/>
              <w:rPr>
                <w:lang w:val="en-AU"/>
              </w:rPr>
            </w:pPr>
            <w:r w:rsidRPr="0063530D">
              <w:rPr>
                <w:lang w:val="en-AU"/>
              </w:rPr>
              <w:t>50.7</w:t>
            </w:r>
          </w:p>
        </w:tc>
        <w:tc>
          <w:tcPr>
            <w:tcW w:w="1208" w:type="dxa"/>
            <w:shd w:val="clear" w:color="auto" w:fill="auto"/>
            <w:vAlign w:val="center"/>
          </w:tcPr>
          <w:p w:rsidR="00B800D3" w:rsidRPr="0063530D" w:rsidRDefault="00B800D3" w:rsidP="009F505A">
            <w:pPr>
              <w:pStyle w:val="TblTextCenter"/>
              <w:rPr>
                <w:lang w:val="en-AU"/>
              </w:rPr>
            </w:pPr>
            <w:r w:rsidRPr="0063530D">
              <w:rPr>
                <w:lang w:val="en-AU"/>
              </w:rPr>
              <w:t>18.4</w:t>
            </w:r>
          </w:p>
          <w:p w:rsidR="00B800D3" w:rsidRPr="0063530D" w:rsidRDefault="00B800D3" w:rsidP="009F505A">
            <w:pPr>
              <w:pStyle w:val="TblTextCenter"/>
              <w:rPr>
                <w:lang w:val="en-AU"/>
              </w:rPr>
            </w:pPr>
            <w:r w:rsidRPr="0063530D">
              <w:rPr>
                <w:lang w:val="en-AU"/>
              </w:rPr>
              <w:t>(15.1; 21.7)</w:t>
            </w:r>
          </w:p>
        </w:tc>
        <w:tc>
          <w:tcPr>
            <w:tcW w:w="1272" w:type="dxa"/>
            <w:shd w:val="clear" w:color="auto" w:fill="auto"/>
            <w:vAlign w:val="center"/>
          </w:tcPr>
          <w:p w:rsidR="00B800D3" w:rsidRPr="0063530D" w:rsidRDefault="00B800D3" w:rsidP="009F505A">
            <w:pPr>
              <w:pStyle w:val="TblTextCenter"/>
              <w:rPr>
                <w:lang w:val="en-AU"/>
              </w:rPr>
            </w:pPr>
            <w:r w:rsidRPr="0063530D">
              <w:rPr>
                <w:lang w:val="en-AU"/>
              </w:rPr>
              <w:t>Yes</w:t>
            </w:r>
          </w:p>
        </w:tc>
      </w:tr>
      <w:tr w:rsidR="00B800D3" w:rsidRPr="0063530D" w:rsidTr="002D7EB4">
        <w:trPr>
          <w:cantSplit/>
          <w:jc w:val="center"/>
        </w:trPr>
        <w:tc>
          <w:tcPr>
            <w:tcW w:w="1100" w:type="dxa"/>
            <w:tcBorders>
              <w:bottom w:val="single" w:sz="12" w:space="0" w:color="auto"/>
            </w:tcBorders>
            <w:shd w:val="clear" w:color="auto" w:fill="auto"/>
            <w:vAlign w:val="center"/>
          </w:tcPr>
          <w:p w:rsidR="00B800D3" w:rsidRPr="0063530D" w:rsidRDefault="00B800D3" w:rsidP="009F505A">
            <w:pPr>
              <w:pStyle w:val="TblTextCenter"/>
              <w:jc w:val="left"/>
              <w:rPr>
                <w:b/>
                <w:lang w:val="en-AU"/>
              </w:rPr>
            </w:pPr>
            <w:r w:rsidRPr="0063530D">
              <w:rPr>
                <w:b/>
                <w:lang w:val="en-AU"/>
              </w:rPr>
              <w:t>B</w:t>
            </w:r>
          </w:p>
        </w:tc>
        <w:tc>
          <w:tcPr>
            <w:tcW w:w="1196"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69.1</w:t>
            </w:r>
          </w:p>
        </w:tc>
        <w:tc>
          <w:tcPr>
            <w:tcW w:w="1030"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52.3</w:t>
            </w:r>
          </w:p>
        </w:tc>
        <w:tc>
          <w:tcPr>
            <w:tcW w:w="1121"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1.3</w:t>
            </w:r>
          </w:p>
          <w:p w:rsidR="00B800D3" w:rsidRPr="0063530D" w:rsidRDefault="00B800D3" w:rsidP="009F505A">
            <w:pPr>
              <w:pStyle w:val="TblTextCenter"/>
              <w:rPr>
                <w:lang w:val="en-AU"/>
              </w:rPr>
            </w:pPr>
            <w:r w:rsidRPr="0063530D">
              <w:rPr>
                <w:lang w:val="en-AU"/>
              </w:rPr>
              <w:t>(1.2; 1.4)</w:t>
            </w:r>
          </w:p>
        </w:tc>
        <w:tc>
          <w:tcPr>
            <w:tcW w:w="1472"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41.8</w:t>
            </w:r>
          </w:p>
        </w:tc>
        <w:tc>
          <w:tcPr>
            <w:tcW w:w="1286"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29.9</w:t>
            </w:r>
          </w:p>
        </w:tc>
        <w:tc>
          <w:tcPr>
            <w:tcW w:w="1208"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11.8</w:t>
            </w:r>
          </w:p>
          <w:p w:rsidR="00B800D3" w:rsidRPr="0063530D" w:rsidRDefault="00B800D3" w:rsidP="009F505A">
            <w:pPr>
              <w:pStyle w:val="TblTextCenter"/>
              <w:rPr>
                <w:lang w:val="en-AU"/>
              </w:rPr>
            </w:pPr>
            <w:r w:rsidRPr="0063530D">
              <w:rPr>
                <w:lang w:val="en-AU"/>
              </w:rPr>
              <w:t>(8.6; 15.0)</w:t>
            </w:r>
          </w:p>
        </w:tc>
        <w:tc>
          <w:tcPr>
            <w:tcW w:w="1272"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No</w:t>
            </w:r>
          </w:p>
        </w:tc>
      </w:tr>
      <w:tr w:rsidR="00B800D3" w:rsidRPr="0063530D" w:rsidTr="002D7EB4">
        <w:trPr>
          <w:cantSplit/>
          <w:jc w:val="center"/>
        </w:trPr>
        <w:tc>
          <w:tcPr>
            <w:tcW w:w="9685" w:type="dxa"/>
            <w:gridSpan w:val="8"/>
            <w:tcBorders>
              <w:top w:val="single" w:sz="12" w:space="0" w:color="auto"/>
            </w:tcBorders>
            <w:shd w:val="clear" w:color="auto" w:fill="auto"/>
          </w:tcPr>
          <w:p w:rsidR="00B800D3" w:rsidRPr="0063530D" w:rsidRDefault="00DB12CD" w:rsidP="00FE6207">
            <w:pPr>
              <w:spacing w:before="60"/>
              <w:ind w:left="90" w:hanging="9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a</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Seroconversion: Paired samples with pre-vaccination HI titre &lt;1:10 and post-vaccination (day 28) titre ≥1:40 or a minimum 4-fold increase for participants with pre-vaccination titre ≥1:10</w:t>
            </w:r>
          </w:p>
          <w:p w:rsidR="00B800D3" w:rsidRPr="0063530D" w:rsidRDefault="00DB12CD" w:rsidP="009F505A">
            <w:pPr>
              <w:spacing w:before="60"/>
              <w:ind w:left="850" w:hanging="85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b</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N is the number of vaccinated participants with available data for the immunologic endpoint listed</w:t>
            </w:r>
          </w:p>
          <w:p w:rsidR="00B800D3" w:rsidRPr="0063530D" w:rsidRDefault="00DB12CD" w:rsidP="002D07C8">
            <w:pPr>
              <w:spacing w:before="60"/>
              <w:ind w:left="90" w:hanging="90"/>
              <w:rPr>
                <w:rFonts w:eastAsia="Times New Roman"/>
                <w:color w:val="auto"/>
                <w:sz w:val="20"/>
                <w:szCs w:val="20"/>
                <w:lang w:val="en-AU"/>
              </w:rPr>
            </w:pPr>
            <w:proofErr w:type="gramStart"/>
            <w:r w:rsidRPr="0063530D">
              <w:rPr>
                <w:rFonts w:ascii="Arial Narrow" w:eastAsia="Times New Roman" w:hAnsi="Arial Narrow"/>
                <w:color w:val="auto"/>
                <w:sz w:val="18"/>
                <w:szCs w:val="18"/>
                <w:vertAlign w:val="superscript"/>
                <w:lang w:val="en-AU"/>
              </w:rPr>
              <w:t>c</w:t>
            </w:r>
            <w:proofErr w:type="gramEnd"/>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Predefined superiority criterion for seroconversion: the lower limit of the two-sided 95% CI of the differenc</w:t>
            </w:r>
            <w:r w:rsidR="00FE6207" w:rsidRPr="0063530D">
              <w:rPr>
                <w:rFonts w:ascii="Arial Narrow" w:eastAsia="Times New Roman" w:hAnsi="Arial Narrow"/>
                <w:color w:val="auto"/>
                <w:sz w:val="18"/>
                <w:szCs w:val="18"/>
                <w:lang w:val="en-AU"/>
              </w:rPr>
              <w:t>e of the seroconversion rates (</w:t>
            </w:r>
            <w:proofErr w:type="spellStart"/>
            <w:r w:rsidR="009927DF" w:rsidRPr="0063530D">
              <w:rPr>
                <w:rFonts w:ascii="Arial Narrow" w:hAnsi="Arial Narrow"/>
                <w:noProof/>
                <w:color w:val="auto"/>
                <w:sz w:val="18"/>
                <w:szCs w:val="18"/>
                <w:lang w:val="en-AU"/>
              </w:rPr>
              <w:t>Fluzone</w:t>
            </w:r>
            <w:proofErr w:type="spellEnd"/>
            <w:r w:rsidR="009927DF" w:rsidRPr="0063530D">
              <w:rPr>
                <w:rFonts w:ascii="Arial Narrow" w:hAnsi="Arial Narrow"/>
                <w:noProof/>
                <w:color w:val="auto"/>
                <w:sz w:val="18"/>
                <w:szCs w:val="18"/>
                <w:lang w:val="en-AU"/>
              </w:rPr>
              <w:t xml:space="preserve"> High-Dose</w:t>
            </w:r>
            <w:r w:rsidR="00B800D3" w:rsidRPr="0063530D">
              <w:rPr>
                <w:rFonts w:ascii="Arial Narrow" w:eastAsia="Times New Roman" w:hAnsi="Arial Narrow"/>
                <w:color w:val="auto"/>
                <w:sz w:val="18"/>
                <w:szCs w:val="18"/>
                <w:lang w:val="en-AU"/>
              </w:rPr>
              <w:t xml:space="preserve"> minus </w:t>
            </w:r>
            <w:r w:rsidR="00753A67" w:rsidRPr="0063530D">
              <w:rPr>
                <w:rFonts w:ascii="Arial Narrow" w:hAnsi="Arial Narrow"/>
                <w:noProof/>
                <w:color w:val="auto"/>
                <w:sz w:val="18"/>
                <w:szCs w:val="18"/>
                <w:lang w:val="en-AU"/>
              </w:rPr>
              <w:t>Fluzone</w:t>
            </w:r>
            <w:r w:rsidR="00B800D3" w:rsidRPr="0063530D">
              <w:rPr>
                <w:rFonts w:ascii="Arial Narrow" w:eastAsia="Times New Roman" w:hAnsi="Arial Narrow"/>
                <w:color w:val="auto"/>
                <w:sz w:val="18"/>
                <w:szCs w:val="18"/>
                <w:lang w:val="en-AU"/>
              </w:rPr>
              <w:t>) is &gt;10%. Predefined superiority criterion for the GMT ratio: the lower limit of the 95% CI of the GMT ratio (</w:t>
            </w:r>
            <w:proofErr w:type="spellStart"/>
            <w:r w:rsidR="009927DF" w:rsidRPr="0063530D">
              <w:rPr>
                <w:rFonts w:ascii="Arial Narrow" w:hAnsi="Arial Narrow"/>
                <w:noProof/>
                <w:color w:val="auto"/>
                <w:sz w:val="18"/>
                <w:szCs w:val="18"/>
                <w:lang w:val="en-AU"/>
              </w:rPr>
              <w:t>Fluzone</w:t>
            </w:r>
            <w:proofErr w:type="spellEnd"/>
            <w:r w:rsidR="009927DF" w:rsidRPr="0063530D">
              <w:rPr>
                <w:rFonts w:ascii="Arial Narrow" w:hAnsi="Arial Narrow"/>
                <w:noProof/>
                <w:color w:val="auto"/>
                <w:sz w:val="18"/>
                <w:szCs w:val="18"/>
                <w:lang w:val="en-AU"/>
              </w:rPr>
              <w:t xml:space="preserve"> High-Dose</w:t>
            </w:r>
            <w:r w:rsidR="009927DF" w:rsidRPr="0063530D">
              <w:rPr>
                <w:rFonts w:ascii="Arial Narrow" w:eastAsia="Times New Roman" w:hAnsi="Arial Narrow"/>
                <w:color w:val="auto"/>
                <w:sz w:val="18"/>
                <w:szCs w:val="18"/>
                <w:lang w:val="en-AU"/>
              </w:rPr>
              <w:t xml:space="preserve"> </w:t>
            </w:r>
            <w:r w:rsidR="00B800D3" w:rsidRPr="0063530D">
              <w:rPr>
                <w:rFonts w:ascii="Arial Narrow" w:eastAsia="Times New Roman" w:hAnsi="Arial Narrow"/>
                <w:color w:val="auto"/>
                <w:sz w:val="18"/>
                <w:szCs w:val="18"/>
                <w:lang w:val="en-AU"/>
              </w:rPr>
              <w:t>divided by</w:t>
            </w:r>
            <w:r w:rsidR="00B368D1" w:rsidRPr="0063530D">
              <w:rPr>
                <w:rFonts w:ascii="Arial Narrow" w:eastAsia="Times New Roman" w:hAnsi="Arial Narrow"/>
                <w:color w:val="auto"/>
                <w:sz w:val="18"/>
                <w:szCs w:val="18"/>
                <w:lang w:val="en-AU"/>
              </w:rPr>
              <w:t xml:space="preserve"> </w:t>
            </w:r>
            <w:r w:rsidR="00B62746" w:rsidRPr="0063530D">
              <w:rPr>
                <w:rFonts w:ascii="Arial Narrow" w:hAnsi="Arial Narrow"/>
                <w:noProof/>
                <w:color w:val="auto"/>
                <w:sz w:val="18"/>
                <w:szCs w:val="18"/>
                <w:lang w:val="en-AU"/>
              </w:rPr>
              <w:t>Fluzone</w:t>
            </w:r>
            <w:r w:rsidR="00B800D3" w:rsidRPr="0063530D">
              <w:rPr>
                <w:rFonts w:ascii="Arial Narrow" w:eastAsia="Times New Roman" w:hAnsi="Arial Narrow"/>
                <w:color w:val="auto"/>
                <w:sz w:val="18"/>
                <w:szCs w:val="18"/>
                <w:lang w:val="en-AU"/>
              </w:rPr>
              <w:t>) is &gt;1.5</w:t>
            </w:r>
          </w:p>
        </w:tc>
      </w:tr>
    </w:tbl>
    <w:p w:rsidR="002D7EB4" w:rsidRPr="0063530D" w:rsidRDefault="002D7EB4" w:rsidP="002D7EB4">
      <w:pPr>
        <w:pStyle w:val="Heading3"/>
        <w:numPr>
          <w:ilvl w:val="0"/>
          <w:numId w:val="0"/>
        </w:numPr>
        <w:ind w:left="680" w:hanging="680"/>
        <w:rPr>
          <w:rFonts w:ascii="Times New Roman" w:hAnsi="Times New Roman" w:cs="Times New Roman"/>
          <w:lang w:val="en-AU"/>
        </w:rPr>
      </w:pPr>
      <w:bookmarkStart w:id="5" w:name="_Toc481758581"/>
      <w:bookmarkStart w:id="6" w:name="_Ref410896649"/>
      <w:r w:rsidRPr="0063530D">
        <w:rPr>
          <w:rFonts w:ascii="Times New Roman" w:hAnsi="Times New Roman" w:cs="Times New Roman"/>
          <w:lang w:val="en-AU"/>
        </w:rPr>
        <w:lastRenderedPageBreak/>
        <w:t xml:space="preserve">Secondary Immunogenicity Objective: </w:t>
      </w:r>
      <w:proofErr w:type="spellStart"/>
      <w:r w:rsidRPr="0063530D">
        <w:rPr>
          <w:rFonts w:ascii="Times New Roman" w:hAnsi="Times New Roman" w:cs="Times New Roman"/>
          <w:lang w:val="en-AU"/>
        </w:rPr>
        <w:t>Seroprotection</w:t>
      </w:r>
      <w:bookmarkEnd w:id="5"/>
      <w:proofErr w:type="spellEnd"/>
    </w:p>
    <w:p w:rsidR="002D7EB4" w:rsidRPr="0063530D" w:rsidRDefault="002D7EB4" w:rsidP="002D7EB4">
      <w:pPr>
        <w:pStyle w:val="BodyText"/>
        <w:rPr>
          <w:noProof/>
          <w:szCs w:val="16"/>
          <w:lang w:val="en-AU"/>
        </w:rPr>
      </w:pPr>
      <w:r w:rsidRPr="0063530D">
        <w:rPr>
          <w:noProof/>
          <w:szCs w:val="16"/>
          <w:lang w:val="en-AU"/>
        </w:rPr>
        <w:t>The secondary immunogenicity objective was to describe the seroprotection of Fluzone High-Dose (based on the pooled responses elicited by the three lots) compared to that of Fluzone vaccine, where seroprotection was defined as an anti-hemagglutinin antibody titer ≥1:40. The percentage of subjects who had a titer of ≥1:40 at baseline were comparable for both groups for all three strains.</w:t>
      </w:r>
    </w:p>
    <w:p w:rsidR="002D7EB4" w:rsidRPr="0063530D" w:rsidRDefault="002D7EB4" w:rsidP="002D7EB4">
      <w:pPr>
        <w:pStyle w:val="BodyText"/>
        <w:rPr>
          <w:noProof/>
          <w:szCs w:val="16"/>
          <w:lang w:val="en-AU"/>
        </w:rPr>
      </w:pPr>
      <w:r w:rsidRPr="0063530D">
        <w:rPr>
          <w:noProof/>
          <w:szCs w:val="16"/>
          <w:lang w:val="en-AU"/>
        </w:rPr>
        <w:t>For the A (H1N1) strain, seroprotection was achieved by 89.9% of subjects in the Fluzone High-Dose group compared with 76.8% of subjects in the Fluzone vaccine group (difference between groups of 13.14%); for A (H3N2), seroprotection was achieved by 99.3% compared with 96.5%, respectively (difference of 2.81%); and for B, the values were 79.3% compared with 67.6%, respectively (difference of 11.70%).</w:t>
      </w:r>
    </w:p>
    <w:p w:rsidR="002D7EB4" w:rsidRPr="0063530D" w:rsidRDefault="002D7EB4" w:rsidP="002D7EB4">
      <w:pPr>
        <w:pStyle w:val="Caption"/>
        <w:rPr>
          <w:vertAlign w:val="superscript"/>
          <w:lang w:val="en-AU"/>
        </w:rPr>
      </w:pPr>
      <w:r w:rsidRPr="0063530D">
        <w:rPr>
          <w:noProof/>
          <w:szCs w:val="16"/>
          <w:lang w:val="en-AU"/>
        </w:rPr>
        <w:t xml:space="preserve"> </w:t>
      </w:r>
      <w:r w:rsidRPr="0063530D">
        <w:t>Table </w:t>
      </w:r>
      <w:r w:rsidRPr="0063530D">
        <w:fldChar w:fldCharType="begin"/>
      </w:r>
      <w:r w:rsidRPr="0063530D">
        <w:instrText xml:space="preserve"> SEQ Table \* ARABIC </w:instrText>
      </w:r>
      <w:r w:rsidRPr="0063530D">
        <w:fldChar w:fldCharType="separate"/>
      </w:r>
      <w:r w:rsidR="001F32F5">
        <w:rPr>
          <w:noProof/>
        </w:rPr>
        <w:t>3</w:t>
      </w:r>
      <w:r w:rsidRPr="0063530D">
        <w:fldChar w:fldCharType="end"/>
      </w:r>
      <w:r w:rsidRPr="0063530D">
        <w:t xml:space="preserve"> ­ </w:t>
      </w:r>
      <w:r w:rsidRPr="0063530D">
        <w:rPr>
          <w:lang w:val="en-AU"/>
        </w:rPr>
        <w:t>Geometric Mean Titres 28 Days Post-Vaccination (Immunogenicity Analysis Set</w:t>
      </w:r>
      <w:proofErr w:type="gramStart"/>
      <w:r w:rsidRPr="0063530D">
        <w:rPr>
          <w:lang w:val="en-AU"/>
        </w:rPr>
        <w:t>)</w:t>
      </w:r>
      <w:r w:rsidRPr="0063530D">
        <w:rPr>
          <w:vertAlign w:val="superscript"/>
          <w:lang w:val="en-AU"/>
        </w:rPr>
        <w:t>a</w:t>
      </w:r>
      <w:proofErr w:type="gramEnd"/>
    </w:p>
    <w:tbl>
      <w:tblPr>
        <w:tblW w:w="0" w:type="auto"/>
        <w:jc w:val="center"/>
        <w:tblBorders>
          <w:top w:val="single" w:sz="2" w:space="0" w:color="000000"/>
        </w:tblBorders>
        <w:tblLook w:val="04A0" w:firstRow="1" w:lastRow="0" w:firstColumn="1" w:lastColumn="0" w:noHBand="0" w:noVBand="1"/>
      </w:tblPr>
      <w:tblGrid>
        <w:gridCol w:w="1937"/>
        <w:gridCol w:w="1937"/>
        <w:gridCol w:w="1937"/>
        <w:gridCol w:w="1937"/>
        <w:gridCol w:w="1937"/>
      </w:tblGrid>
      <w:tr w:rsidR="002D7EB4" w:rsidRPr="0063530D" w:rsidTr="007F688E">
        <w:trPr>
          <w:cantSplit/>
          <w:tblHeader/>
          <w:jc w:val="center"/>
        </w:trPr>
        <w:tc>
          <w:tcPr>
            <w:tcW w:w="1937" w:type="dxa"/>
            <w:tcBorders>
              <w:top w:val="single" w:sz="4" w:space="0" w:color="000000"/>
              <w:bottom w:val="single" w:sz="4" w:space="0" w:color="000000"/>
            </w:tcBorders>
            <w:shd w:val="clear" w:color="auto" w:fill="auto"/>
          </w:tcPr>
          <w:p w:rsidR="002D7EB4" w:rsidRPr="0063530D" w:rsidRDefault="002D7EB4" w:rsidP="007F688E">
            <w:pPr>
              <w:pStyle w:val="TblHeadingCenter"/>
            </w:pPr>
          </w:p>
        </w:tc>
        <w:tc>
          <w:tcPr>
            <w:tcW w:w="3874" w:type="dxa"/>
            <w:gridSpan w:val="2"/>
            <w:tcBorders>
              <w:top w:val="single" w:sz="4" w:space="0" w:color="000000"/>
              <w:bottom w:val="single" w:sz="4" w:space="0" w:color="000000"/>
            </w:tcBorders>
            <w:shd w:val="clear" w:color="auto" w:fill="auto"/>
          </w:tcPr>
          <w:p w:rsidR="002D7EB4" w:rsidRPr="0063530D" w:rsidRDefault="002D7EB4" w:rsidP="007F688E">
            <w:pPr>
              <w:pStyle w:val="TblHeadingCenter"/>
            </w:pPr>
            <w:r w:rsidRPr="0063530D">
              <w:t>Fluzone High-Dose</w:t>
            </w:r>
            <w:r w:rsidRPr="0063530D">
              <w:br/>
              <w:t>N</w:t>
            </w:r>
            <w:r w:rsidRPr="0063530D">
              <w:rPr>
                <w:vertAlign w:val="superscript"/>
              </w:rPr>
              <w:t>b</w:t>
            </w:r>
            <w:r w:rsidRPr="0063530D">
              <w:t xml:space="preserve"> = 2576</w:t>
            </w:r>
          </w:p>
        </w:tc>
        <w:tc>
          <w:tcPr>
            <w:tcW w:w="3874" w:type="dxa"/>
            <w:gridSpan w:val="2"/>
            <w:tcBorders>
              <w:top w:val="single" w:sz="4" w:space="0" w:color="000000"/>
              <w:bottom w:val="single" w:sz="4" w:space="0" w:color="000000"/>
            </w:tcBorders>
            <w:shd w:val="clear" w:color="auto" w:fill="auto"/>
          </w:tcPr>
          <w:p w:rsidR="002D7EB4" w:rsidRPr="0063530D" w:rsidRDefault="002D7EB4" w:rsidP="007F688E">
            <w:pPr>
              <w:pStyle w:val="TblHeadingCenter"/>
            </w:pPr>
            <w:r w:rsidRPr="0063530D">
              <w:t>Fluzone</w:t>
            </w:r>
            <w:r w:rsidRPr="0063530D">
              <w:br/>
              <w:t>N</w:t>
            </w:r>
            <w:r w:rsidRPr="0063530D">
              <w:rPr>
                <w:vertAlign w:val="superscript"/>
              </w:rPr>
              <w:t>b</w:t>
            </w:r>
            <w:r w:rsidRPr="0063530D">
              <w:t xml:space="preserve"> = 1275</w:t>
            </w:r>
          </w:p>
        </w:tc>
      </w:tr>
      <w:tr w:rsidR="002D7EB4" w:rsidRPr="0063530D" w:rsidTr="007F688E">
        <w:trPr>
          <w:cantSplit/>
          <w:jc w:val="center"/>
        </w:trPr>
        <w:tc>
          <w:tcPr>
            <w:tcW w:w="1937" w:type="dxa"/>
            <w:tcBorders>
              <w:top w:val="single" w:sz="4" w:space="0" w:color="000000"/>
              <w:bottom w:val="single" w:sz="4" w:space="0" w:color="auto"/>
            </w:tcBorders>
            <w:shd w:val="clear" w:color="auto" w:fill="auto"/>
          </w:tcPr>
          <w:p w:rsidR="002D7EB4" w:rsidRPr="0063530D" w:rsidRDefault="002D7EB4" w:rsidP="007F688E">
            <w:pPr>
              <w:pStyle w:val="TblTextCenter"/>
              <w:rPr>
                <w:b/>
              </w:rPr>
            </w:pPr>
            <w:r w:rsidRPr="0063530D">
              <w:rPr>
                <w:b/>
              </w:rPr>
              <w:t>Influenza Strain</w:t>
            </w:r>
          </w:p>
        </w:tc>
        <w:tc>
          <w:tcPr>
            <w:tcW w:w="1937" w:type="dxa"/>
            <w:tcBorders>
              <w:top w:val="single" w:sz="4" w:space="0" w:color="000000"/>
              <w:bottom w:val="single" w:sz="4" w:space="0" w:color="auto"/>
            </w:tcBorders>
            <w:shd w:val="clear" w:color="auto" w:fill="auto"/>
            <w:vAlign w:val="center"/>
          </w:tcPr>
          <w:p w:rsidR="002D7EB4" w:rsidRPr="0063530D" w:rsidRDefault="002D7EB4" w:rsidP="007F688E">
            <w:pPr>
              <w:pStyle w:val="TblTextCenter"/>
              <w:rPr>
                <w:b/>
              </w:rPr>
            </w:pPr>
            <w:r w:rsidRPr="0063530D">
              <w:rPr>
                <w:b/>
              </w:rPr>
              <w:t>Mc</w:t>
            </w:r>
          </w:p>
        </w:tc>
        <w:tc>
          <w:tcPr>
            <w:tcW w:w="1937" w:type="dxa"/>
            <w:tcBorders>
              <w:top w:val="single" w:sz="4" w:space="0" w:color="000000"/>
              <w:bottom w:val="single" w:sz="4" w:space="0" w:color="auto"/>
            </w:tcBorders>
            <w:shd w:val="clear" w:color="auto" w:fill="auto"/>
            <w:vAlign w:val="center"/>
          </w:tcPr>
          <w:p w:rsidR="002D7EB4" w:rsidRPr="0063530D" w:rsidRDefault="002D7EB4" w:rsidP="007F688E">
            <w:pPr>
              <w:pStyle w:val="TblTextCenter"/>
              <w:rPr>
                <w:b/>
              </w:rPr>
            </w:pPr>
            <w:r w:rsidRPr="0063530D">
              <w:rPr>
                <w:b/>
              </w:rPr>
              <w:t>GMT</w:t>
            </w:r>
          </w:p>
          <w:p w:rsidR="002D7EB4" w:rsidRPr="0063530D" w:rsidRDefault="002D7EB4" w:rsidP="007F688E">
            <w:pPr>
              <w:pStyle w:val="TblTextCenter"/>
              <w:rPr>
                <w:b/>
              </w:rPr>
            </w:pPr>
            <w:r w:rsidRPr="0063530D">
              <w:rPr>
                <w:b/>
              </w:rPr>
              <w:t>(95% CI)</w:t>
            </w:r>
          </w:p>
        </w:tc>
        <w:tc>
          <w:tcPr>
            <w:tcW w:w="1937" w:type="dxa"/>
            <w:tcBorders>
              <w:top w:val="single" w:sz="4" w:space="0" w:color="000000"/>
              <w:bottom w:val="single" w:sz="4" w:space="0" w:color="auto"/>
            </w:tcBorders>
            <w:shd w:val="clear" w:color="auto" w:fill="auto"/>
            <w:vAlign w:val="center"/>
          </w:tcPr>
          <w:p w:rsidR="002D7EB4" w:rsidRPr="0063530D" w:rsidRDefault="002D7EB4" w:rsidP="007F688E">
            <w:pPr>
              <w:pStyle w:val="TblTextCenter"/>
              <w:rPr>
                <w:b/>
              </w:rPr>
            </w:pPr>
            <w:r w:rsidRPr="0063530D">
              <w:rPr>
                <w:b/>
              </w:rPr>
              <w:t>Mc</w:t>
            </w:r>
          </w:p>
        </w:tc>
        <w:tc>
          <w:tcPr>
            <w:tcW w:w="1937" w:type="dxa"/>
            <w:tcBorders>
              <w:top w:val="single" w:sz="4" w:space="0" w:color="000000"/>
              <w:bottom w:val="single" w:sz="4" w:space="0" w:color="auto"/>
            </w:tcBorders>
            <w:shd w:val="clear" w:color="auto" w:fill="auto"/>
            <w:vAlign w:val="center"/>
          </w:tcPr>
          <w:p w:rsidR="002D7EB4" w:rsidRPr="0063530D" w:rsidRDefault="002D7EB4" w:rsidP="007F688E">
            <w:pPr>
              <w:pStyle w:val="TblTextCenter"/>
              <w:rPr>
                <w:b/>
              </w:rPr>
            </w:pPr>
            <w:r w:rsidRPr="0063530D">
              <w:rPr>
                <w:b/>
              </w:rPr>
              <w:t>GMT</w:t>
            </w:r>
          </w:p>
          <w:p w:rsidR="002D7EB4" w:rsidRPr="0063530D" w:rsidRDefault="002D7EB4" w:rsidP="007F688E">
            <w:pPr>
              <w:pStyle w:val="TblTextCenter"/>
              <w:rPr>
                <w:b/>
              </w:rPr>
            </w:pPr>
            <w:r w:rsidRPr="0063530D">
              <w:rPr>
                <w:b/>
              </w:rPr>
              <w:t>(95% CI)</w:t>
            </w:r>
          </w:p>
        </w:tc>
      </w:tr>
      <w:tr w:rsidR="002D7EB4" w:rsidRPr="0063530D" w:rsidTr="007F688E">
        <w:trPr>
          <w:cantSplit/>
          <w:jc w:val="center"/>
        </w:trPr>
        <w:tc>
          <w:tcPr>
            <w:tcW w:w="1937" w:type="dxa"/>
            <w:tcBorders>
              <w:top w:val="single" w:sz="4" w:space="0" w:color="auto"/>
            </w:tcBorders>
            <w:shd w:val="clear" w:color="auto" w:fill="auto"/>
          </w:tcPr>
          <w:p w:rsidR="002D7EB4" w:rsidRPr="0063530D" w:rsidRDefault="002D7EB4" w:rsidP="007F688E">
            <w:pPr>
              <w:pStyle w:val="TblTextCenter"/>
              <w:rPr>
                <w:b/>
              </w:rPr>
            </w:pPr>
            <w:r w:rsidRPr="0063530D">
              <w:rPr>
                <w:b/>
              </w:rPr>
              <w:t>A(H1N1)</w:t>
            </w:r>
          </w:p>
        </w:tc>
        <w:tc>
          <w:tcPr>
            <w:tcW w:w="1937" w:type="dxa"/>
            <w:tcBorders>
              <w:top w:val="single" w:sz="4" w:space="0" w:color="auto"/>
            </w:tcBorders>
            <w:shd w:val="clear" w:color="auto" w:fill="auto"/>
            <w:vAlign w:val="center"/>
          </w:tcPr>
          <w:p w:rsidR="002D7EB4" w:rsidRPr="0063530D" w:rsidRDefault="002D7EB4" w:rsidP="007F688E">
            <w:pPr>
              <w:pStyle w:val="TblTextCenter"/>
            </w:pPr>
            <w:r w:rsidRPr="0063530D">
              <w:t>2543</w:t>
            </w:r>
          </w:p>
        </w:tc>
        <w:tc>
          <w:tcPr>
            <w:tcW w:w="1937" w:type="dxa"/>
            <w:tcBorders>
              <w:top w:val="single" w:sz="4" w:space="0" w:color="auto"/>
            </w:tcBorders>
            <w:shd w:val="clear" w:color="auto" w:fill="auto"/>
            <w:vAlign w:val="center"/>
          </w:tcPr>
          <w:p w:rsidR="002D7EB4" w:rsidRPr="0063530D" w:rsidRDefault="002D7EB4" w:rsidP="007F688E">
            <w:pPr>
              <w:pStyle w:val="TblTextCenter"/>
            </w:pPr>
            <w:r w:rsidRPr="0063530D">
              <w:t>115.79</w:t>
            </w:r>
          </w:p>
          <w:p w:rsidR="002D7EB4" w:rsidRPr="0063530D" w:rsidRDefault="002D7EB4" w:rsidP="007F688E">
            <w:pPr>
              <w:pStyle w:val="TblTextCenter"/>
            </w:pPr>
            <w:r w:rsidRPr="0063530D">
              <w:t>(111.41; 120.34)</w:t>
            </w:r>
          </w:p>
        </w:tc>
        <w:tc>
          <w:tcPr>
            <w:tcW w:w="1937" w:type="dxa"/>
            <w:tcBorders>
              <w:top w:val="single" w:sz="4" w:space="0" w:color="auto"/>
            </w:tcBorders>
            <w:shd w:val="clear" w:color="auto" w:fill="auto"/>
            <w:vAlign w:val="center"/>
          </w:tcPr>
          <w:p w:rsidR="002D7EB4" w:rsidRPr="0063530D" w:rsidRDefault="002D7EB4" w:rsidP="007F688E">
            <w:pPr>
              <w:pStyle w:val="TblTextCenter"/>
            </w:pPr>
            <w:r w:rsidRPr="0063530D">
              <w:t>1252</w:t>
            </w:r>
          </w:p>
        </w:tc>
        <w:tc>
          <w:tcPr>
            <w:tcW w:w="1937" w:type="dxa"/>
            <w:tcBorders>
              <w:top w:val="single" w:sz="4" w:space="0" w:color="auto"/>
            </w:tcBorders>
            <w:shd w:val="clear" w:color="auto" w:fill="auto"/>
            <w:vAlign w:val="center"/>
          </w:tcPr>
          <w:p w:rsidR="002D7EB4" w:rsidRPr="0063530D" w:rsidRDefault="002D7EB4" w:rsidP="007F688E">
            <w:pPr>
              <w:pStyle w:val="TblTextCenter"/>
            </w:pPr>
            <w:r w:rsidRPr="0063530D">
              <w:t>67.29</w:t>
            </w:r>
          </w:p>
          <w:p w:rsidR="002D7EB4" w:rsidRPr="0063530D" w:rsidRDefault="002D7EB4" w:rsidP="007F688E">
            <w:pPr>
              <w:pStyle w:val="TblTextCenter"/>
            </w:pPr>
            <w:r w:rsidRPr="0063530D">
              <w:t>(63.65; 71.13)</w:t>
            </w:r>
          </w:p>
        </w:tc>
      </w:tr>
      <w:tr w:rsidR="002D7EB4" w:rsidRPr="0063530D" w:rsidTr="007F688E">
        <w:trPr>
          <w:cantSplit/>
          <w:jc w:val="center"/>
        </w:trPr>
        <w:tc>
          <w:tcPr>
            <w:tcW w:w="1937" w:type="dxa"/>
            <w:shd w:val="clear" w:color="auto" w:fill="auto"/>
          </w:tcPr>
          <w:p w:rsidR="002D7EB4" w:rsidRPr="0063530D" w:rsidRDefault="002D7EB4" w:rsidP="007F688E">
            <w:pPr>
              <w:pStyle w:val="TblTextCenter"/>
              <w:rPr>
                <w:b/>
              </w:rPr>
            </w:pPr>
            <w:r w:rsidRPr="0063530D">
              <w:rPr>
                <w:b/>
              </w:rPr>
              <w:t>A(H3N2)</w:t>
            </w:r>
          </w:p>
        </w:tc>
        <w:tc>
          <w:tcPr>
            <w:tcW w:w="1937" w:type="dxa"/>
            <w:shd w:val="clear" w:color="auto" w:fill="auto"/>
            <w:vAlign w:val="center"/>
          </w:tcPr>
          <w:p w:rsidR="002D7EB4" w:rsidRPr="0063530D" w:rsidRDefault="002D7EB4" w:rsidP="007F688E">
            <w:pPr>
              <w:pStyle w:val="TblTextCenter"/>
            </w:pPr>
            <w:r w:rsidRPr="0063530D">
              <w:t>2544</w:t>
            </w:r>
          </w:p>
        </w:tc>
        <w:tc>
          <w:tcPr>
            <w:tcW w:w="1937" w:type="dxa"/>
            <w:shd w:val="clear" w:color="auto" w:fill="auto"/>
            <w:vAlign w:val="center"/>
          </w:tcPr>
          <w:p w:rsidR="002D7EB4" w:rsidRPr="0063530D" w:rsidRDefault="002D7EB4" w:rsidP="007F688E">
            <w:pPr>
              <w:pStyle w:val="TblTextCenter"/>
            </w:pPr>
            <w:r w:rsidRPr="0063530D">
              <w:t>608.87</w:t>
            </w:r>
          </w:p>
          <w:p w:rsidR="002D7EB4" w:rsidRPr="0063530D" w:rsidRDefault="002D7EB4" w:rsidP="007F688E">
            <w:pPr>
              <w:pStyle w:val="TblTextCenter"/>
            </w:pPr>
            <w:r w:rsidRPr="0063530D">
              <w:t>(583.54; 635.30)</w:t>
            </w:r>
          </w:p>
        </w:tc>
        <w:tc>
          <w:tcPr>
            <w:tcW w:w="1937" w:type="dxa"/>
            <w:shd w:val="clear" w:color="auto" w:fill="auto"/>
            <w:vAlign w:val="center"/>
          </w:tcPr>
          <w:p w:rsidR="002D7EB4" w:rsidRPr="0063530D" w:rsidRDefault="002D7EB4" w:rsidP="007F688E">
            <w:pPr>
              <w:pStyle w:val="TblTextCenter"/>
            </w:pPr>
            <w:r w:rsidRPr="0063530D">
              <w:t>1252</w:t>
            </w:r>
          </w:p>
        </w:tc>
        <w:tc>
          <w:tcPr>
            <w:tcW w:w="1937" w:type="dxa"/>
            <w:shd w:val="clear" w:color="auto" w:fill="auto"/>
            <w:vAlign w:val="center"/>
          </w:tcPr>
          <w:p w:rsidR="002D7EB4" w:rsidRPr="0063530D" w:rsidRDefault="002D7EB4" w:rsidP="007F688E">
            <w:pPr>
              <w:pStyle w:val="TblTextCenter"/>
            </w:pPr>
            <w:r w:rsidRPr="0063530D">
              <w:t>332.46(310.44; 356.05)</w:t>
            </w:r>
          </w:p>
        </w:tc>
      </w:tr>
      <w:tr w:rsidR="002D7EB4" w:rsidRPr="0063530D" w:rsidTr="007F688E">
        <w:trPr>
          <w:cantSplit/>
          <w:jc w:val="center"/>
        </w:trPr>
        <w:tc>
          <w:tcPr>
            <w:tcW w:w="1937" w:type="dxa"/>
            <w:tcBorders>
              <w:bottom w:val="single" w:sz="12" w:space="0" w:color="auto"/>
            </w:tcBorders>
            <w:shd w:val="clear" w:color="auto" w:fill="auto"/>
          </w:tcPr>
          <w:p w:rsidR="002D7EB4" w:rsidRPr="0063530D" w:rsidRDefault="002D7EB4" w:rsidP="007F688E">
            <w:pPr>
              <w:pStyle w:val="TblTextCenter"/>
              <w:rPr>
                <w:b/>
              </w:rPr>
            </w:pPr>
            <w:r w:rsidRPr="0063530D">
              <w:rPr>
                <w:b/>
              </w:rPr>
              <w:t>B</w:t>
            </w:r>
          </w:p>
        </w:tc>
        <w:tc>
          <w:tcPr>
            <w:tcW w:w="1937" w:type="dxa"/>
            <w:tcBorders>
              <w:bottom w:val="single" w:sz="12" w:space="0" w:color="auto"/>
            </w:tcBorders>
            <w:shd w:val="clear" w:color="auto" w:fill="auto"/>
            <w:vAlign w:val="center"/>
          </w:tcPr>
          <w:p w:rsidR="002D7EB4" w:rsidRPr="0063530D" w:rsidRDefault="002D7EB4" w:rsidP="007F688E">
            <w:pPr>
              <w:pStyle w:val="TblTextCenter"/>
            </w:pPr>
            <w:r w:rsidRPr="0063530D">
              <w:t>2542</w:t>
            </w:r>
          </w:p>
        </w:tc>
        <w:tc>
          <w:tcPr>
            <w:tcW w:w="1937" w:type="dxa"/>
            <w:tcBorders>
              <w:bottom w:val="single" w:sz="12" w:space="0" w:color="auto"/>
            </w:tcBorders>
            <w:shd w:val="clear" w:color="auto" w:fill="auto"/>
            <w:vAlign w:val="center"/>
          </w:tcPr>
          <w:p w:rsidR="002D7EB4" w:rsidRPr="0063530D" w:rsidRDefault="002D7EB4" w:rsidP="007F688E">
            <w:pPr>
              <w:pStyle w:val="TblTextCenter"/>
            </w:pPr>
            <w:r w:rsidRPr="0063530D">
              <w:t>69.06</w:t>
            </w:r>
          </w:p>
          <w:p w:rsidR="002D7EB4" w:rsidRPr="0063530D" w:rsidRDefault="002D7EB4" w:rsidP="007F688E">
            <w:pPr>
              <w:pStyle w:val="TblTextCenter"/>
            </w:pPr>
            <w:r w:rsidRPr="0063530D">
              <w:t>(66.60; 71.60)</w:t>
            </w:r>
          </w:p>
        </w:tc>
        <w:tc>
          <w:tcPr>
            <w:tcW w:w="1937" w:type="dxa"/>
            <w:tcBorders>
              <w:bottom w:val="single" w:sz="12" w:space="0" w:color="auto"/>
            </w:tcBorders>
            <w:shd w:val="clear" w:color="auto" w:fill="auto"/>
            <w:vAlign w:val="center"/>
          </w:tcPr>
          <w:p w:rsidR="002D7EB4" w:rsidRPr="0063530D" w:rsidRDefault="002D7EB4" w:rsidP="007F688E">
            <w:pPr>
              <w:pStyle w:val="TblTextCenter"/>
            </w:pPr>
            <w:r w:rsidRPr="0063530D">
              <w:t>1252</w:t>
            </w:r>
          </w:p>
        </w:tc>
        <w:tc>
          <w:tcPr>
            <w:tcW w:w="1937" w:type="dxa"/>
            <w:tcBorders>
              <w:bottom w:val="single" w:sz="12" w:space="0" w:color="auto"/>
            </w:tcBorders>
            <w:shd w:val="clear" w:color="auto" w:fill="auto"/>
            <w:vAlign w:val="center"/>
          </w:tcPr>
          <w:p w:rsidR="002D7EB4" w:rsidRPr="0063530D" w:rsidRDefault="002D7EB4" w:rsidP="007F688E">
            <w:pPr>
              <w:pStyle w:val="TblTextCenter"/>
            </w:pPr>
            <w:r w:rsidRPr="0063530D">
              <w:t>52.34</w:t>
            </w:r>
          </w:p>
          <w:p w:rsidR="002D7EB4" w:rsidRPr="0063530D" w:rsidRDefault="002D7EB4" w:rsidP="007F688E">
            <w:pPr>
              <w:pStyle w:val="TblTextCenter"/>
            </w:pPr>
            <w:r w:rsidRPr="0063530D">
              <w:t>(49.48; 55.35)</w:t>
            </w:r>
          </w:p>
        </w:tc>
      </w:tr>
      <w:tr w:rsidR="002D7EB4" w:rsidRPr="0063530D" w:rsidTr="007F688E">
        <w:trPr>
          <w:cantSplit/>
          <w:jc w:val="center"/>
        </w:trPr>
        <w:tc>
          <w:tcPr>
            <w:tcW w:w="9685" w:type="dxa"/>
            <w:gridSpan w:val="5"/>
            <w:tcBorders>
              <w:top w:val="single" w:sz="12" w:space="0" w:color="auto"/>
            </w:tcBorders>
            <w:shd w:val="clear" w:color="auto" w:fill="auto"/>
          </w:tcPr>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t>a</w:t>
            </w:r>
            <w:r w:rsidRPr="0063530D">
              <w:rPr>
                <w:rFonts w:ascii="Arial Narrow" w:eastAsia="MS Mincho" w:hAnsi="Arial Narrow"/>
                <w:noProof/>
                <w:sz w:val="18"/>
                <w:szCs w:val="18"/>
                <w:lang w:val="en-AU"/>
              </w:rPr>
              <w:t>Immunogenicity analysis set: subjects who participated in immunogenicity assessments</w:t>
            </w:r>
          </w:p>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t>b</w:t>
            </w:r>
            <w:r w:rsidRPr="0063530D">
              <w:rPr>
                <w:rFonts w:ascii="Arial Narrow" w:eastAsia="MS Mincho" w:hAnsi="Arial Narrow"/>
                <w:noProof/>
                <w:sz w:val="18"/>
                <w:szCs w:val="18"/>
                <w:lang w:val="en-AU"/>
              </w:rPr>
              <w:t>N is the number of participants in the immunogenicity analysis set</w:t>
            </w:r>
          </w:p>
          <w:p w:rsidR="002D7EB4" w:rsidRPr="0063530D" w:rsidRDefault="002D7EB4" w:rsidP="007F688E">
            <w:pPr>
              <w:pStyle w:val="TblFigFootnote"/>
              <w:rPr>
                <w:lang w:val="en-AU"/>
              </w:rPr>
            </w:pPr>
            <w:r w:rsidRPr="0063530D">
              <w:rPr>
                <w:rFonts w:eastAsia="MS Mincho"/>
                <w:noProof/>
                <w:szCs w:val="18"/>
                <w:vertAlign w:val="superscript"/>
                <w:lang w:val="en-AU"/>
              </w:rPr>
              <w:t>c</w:t>
            </w:r>
            <w:r w:rsidRPr="0063530D">
              <w:rPr>
                <w:rFonts w:eastAsia="MS Mincho"/>
                <w:noProof/>
                <w:szCs w:val="18"/>
                <w:lang w:val="en-AU"/>
              </w:rPr>
              <w:t>M is the number of participants with a valid serology result for the strain, including results reported as less than the lower limit of quantification</w:t>
            </w:r>
          </w:p>
        </w:tc>
      </w:tr>
    </w:tbl>
    <w:p w:rsidR="002D7EB4" w:rsidRPr="0063530D" w:rsidRDefault="002D7EB4" w:rsidP="002D7EB4">
      <w:pPr>
        <w:pStyle w:val="Caption"/>
        <w:rPr>
          <w:vertAlign w:val="superscript"/>
          <w:lang w:val="en-AU"/>
        </w:rPr>
      </w:pPr>
      <w:bookmarkStart w:id="7" w:name="Table_20080312_104525SNPH"/>
      <w:bookmarkStart w:id="8" w:name="_Toc481759823"/>
      <w:bookmarkStart w:id="9" w:name="OLE_LINK19"/>
      <w:bookmarkStart w:id="10" w:name="OLE_LINK20"/>
      <w:bookmarkStart w:id="11" w:name="Table_20080312_110518SNPH"/>
      <w:bookmarkStart w:id="12" w:name="_Toc481759824"/>
      <w:bookmarkEnd w:id="7"/>
      <w:bookmarkEnd w:id="8"/>
      <w:bookmarkEnd w:id="9"/>
      <w:bookmarkEnd w:id="10"/>
      <w:bookmarkEnd w:id="11"/>
      <w:bookmarkEnd w:id="12"/>
      <w:r w:rsidRPr="0063530D">
        <w:t>Table </w:t>
      </w:r>
      <w:r w:rsidRPr="0063530D">
        <w:fldChar w:fldCharType="begin"/>
      </w:r>
      <w:r w:rsidRPr="0063530D">
        <w:instrText xml:space="preserve"> SEQ Table \* ARABIC </w:instrText>
      </w:r>
      <w:r w:rsidRPr="0063530D">
        <w:fldChar w:fldCharType="separate"/>
      </w:r>
      <w:r w:rsidR="001F32F5">
        <w:rPr>
          <w:noProof/>
        </w:rPr>
        <w:t>4</w:t>
      </w:r>
      <w:r w:rsidRPr="0063530D">
        <w:fldChar w:fldCharType="end"/>
      </w:r>
      <w:r w:rsidRPr="0063530D">
        <w:t xml:space="preserve"> ­ </w:t>
      </w:r>
      <w:r w:rsidRPr="0063530D">
        <w:rPr>
          <w:lang w:val="en-AU"/>
        </w:rPr>
        <w:t xml:space="preserve">Percentage of Subjects Achieving </w:t>
      </w:r>
      <w:proofErr w:type="spellStart"/>
      <w:r w:rsidRPr="0063530D">
        <w:rPr>
          <w:lang w:val="en-AU"/>
        </w:rPr>
        <w:t>Seroprotection</w:t>
      </w:r>
      <w:r w:rsidRPr="0063530D">
        <w:rPr>
          <w:vertAlign w:val="superscript"/>
          <w:lang w:val="en-AU"/>
        </w:rPr>
        <w:t>a</w:t>
      </w:r>
      <w:proofErr w:type="spellEnd"/>
      <w:r w:rsidRPr="0063530D">
        <w:rPr>
          <w:lang w:val="en-AU"/>
        </w:rPr>
        <w:t xml:space="preserve"> at 28 Days Post-Vaccination (Immunogenicity Analysis Set</w:t>
      </w:r>
      <w:proofErr w:type="gramStart"/>
      <w:r w:rsidRPr="0063530D">
        <w:rPr>
          <w:lang w:val="en-AU"/>
        </w:rPr>
        <w:t>)</w:t>
      </w:r>
      <w:r w:rsidRPr="0063530D">
        <w:rPr>
          <w:vertAlign w:val="superscript"/>
          <w:lang w:val="en-AU"/>
        </w:rPr>
        <w:t>b</w:t>
      </w:r>
      <w:proofErr w:type="gramEnd"/>
    </w:p>
    <w:tbl>
      <w:tblPr>
        <w:tblW w:w="0" w:type="auto"/>
        <w:jc w:val="center"/>
        <w:tblBorders>
          <w:top w:val="single" w:sz="2" w:space="0" w:color="000000"/>
        </w:tblBorders>
        <w:tblLook w:val="04A0" w:firstRow="1" w:lastRow="0" w:firstColumn="1" w:lastColumn="0" w:noHBand="0" w:noVBand="1"/>
      </w:tblPr>
      <w:tblGrid>
        <w:gridCol w:w="1614"/>
        <w:gridCol w:w="1614"/>
        <w:gridCol w:w="1614"/>
        <w:gridCol w:w="1614"/>
        <w:gridCol w:w="1614"/>
        <w:gridCol w:w="1615"/>
      </w:tblGrid>
      <w:tr w:rsidR="002D7EB4" w:rsidRPr="0063530D" w:rsidTr="007F688E">
        <w:trPr>
          <w:cantSplit/>
          <w:tblHeader/>
          <w:jc w:val="center"/>
        </w:trPr>
        <w:tc>
          <w:tcPr>
            <w:tcW w:w="1614" w:type="dxa"/>
            <w:tcBorders>
              <w:top w:val="single" w:sz="4" w:space="0" w:color="000000"/>
              <w:bottom w:val="single" w:sz="4" w:space="0" w:color="000000"/>
            </w:tcBorders>
            <w:shd w:val="clear" w:color="auto" w:fill="auto"/>
          </w:tcPr>
          <w:p w:rsidR="002D7EB4" w:rsidRPr="0063530D" w:rsidRDefault="002D7EB4" w:rsidP="007F688E">
            <w:pPr>
              <w:pStyle w:val="TblHeadingCenter"/>
            </w:pPr>
          </w:p>
        </w:tc>
        <w:tc>
          <w:tcPr>
            <w:tcW w:w="3228" w:type="dxa"/>
            <w:gridSpan w:val="2"/>
            <w:tcBorders>
              <w:top w:val="single" w:sz="4" w:space="0" w:color="000000"/>
              <w:bottom w:val="single" w:sz="4" w:space="0" w:color="000000"/>
            </w:tcBorders>
            <w:shd w:val="clear" w:color="auto" w:fill="auto"/>
          </w:tcPr>
          <w:p w:rsidR="002D7EB4" w:rsidRPr="0063530D" w:rsidRDefault="002D7EB4" w:rsidP="007F688E">
            <w:pPr>
              <w:pStyle w:val="TblHeadingCenter"/>
            </w:pPr>
            <w:r w:rsidRPr="0063530D">
              <w:t>Fluzone High-Dose</w:t>
            </w:r>
            <w:r w:rsidRPr="0063530D">
              <w:br/>
              <w:t>N</w:t>
            </w:r>
            <w:r w:rsidRPr="0063530D">
              <w:rPr>
                <w:vertAlign w:val="superscript"/>
              </w:rPr>
              <w:t>c</w:t>
            </w:r>
            <w:r w:rsidRPr="0063530D">
              <w:t xml:space="preserve"> = 2576</w:t>
            </w:r>
          </w:p>
        </w:tc>
        <w:tc>
          <w:tcPr>
            <w:tcW w:w="3228" w:type="dxa"/>
            <w:gridSpan w:val="2"/>
            <w:tcBorders>
              <w:top w:val="single" w:sz="4" w:space="0" w:color="000000"/>
              <w:bottom w:val="single" w:sz="4" w:space="0" w:color="000000"/>
            </w:tcBorders>
            <w:shd w:val="clear" w:color="auto" w:fill="auto"/>
          </w:tcPr>
          <w:p w:rsidR="002D7EB4" w:rsidRPr="0063530D" w:rsidRDefault="002D7EB4" w:rsidP="007F688E">
            <w:pPr>
              <w:pStyle w:val="TblHeadingCenter"/>
            </w:pPr>
            <w:r w:rsidRPr="0063530D">
              <w:t>Fluzone</w:t>
            </w:r>
            <w:r w:rsidRPr="0063530D">
              <w:br/>
              <w:t>N</w:t>
            </w:r>
            <w:r w:rsidRPr="0063530D">
              <w:rPr>
                <w:vertAlign w:val="superscript"/>
              </w:rPr>
              <w:t>c</w:t>
            </w:r>
            <w:r w:rsidRPr="0063530D">
              <w:t xml:space="preserve"> = 1275</w:t>
            </w:r>
          </w:p>
        </w:tc>
        <w:tc>
          <w:tcPr>
            <w:tcW w:w="1615" w:type="dxa"/>
            <w:tcBorders>
              <w:top w:val="single" w:sz="4" w:space="0" w:color="000000"/>
              <w:bottom w:val="single" w:sz="4" w:space="0" w:color="000000"/>
            </w:tcBorders>
            <w:shd w:val="clear" w:color="auto" w:fill="auto"/>
          </w:tcPr>
          <w:p w:rsidR="002D7EB4" w:rsidRPr="0063530D" w:rsidRDefault="002D7EB4" w:rsidP="007F688E">
            <w:pPr>
              <w:pStyle w:val="TblHeadingCenter"/>
            </w:pPr>
            <w:r w:rsidRPr="0063530D">
              <w:t>Fluzone High-Dose minus Fluzone</w:t>
            </w:r>
          </w:p>
        </w:tc>
      </w:tr>
      <w:tr w:rsidR="002D7EB4" w:rsidRPr="0063530D" w:rsidTr="007F688E">
        <w:trPr>
          <w:cantSplit/>
          <w:jc w:val="center"/>
        </w:trPr>
        <w:tc>
          <w:tcPr>
            <w:tcW w:w="1614" w:type="dxa"/>
            <w:tcBorders>
              <w:top w:val="single" w:sz="4" w:space="0" w:color="000000"/>
            </w:tcBorders>
            <w:shd w:val="clear" w:color="auto" w:fill="auto"/>
          </w:tcPr>
          <w:p w:rsidR="002D7EB4" w:rsidRPr="0063530D" w:rsidRDefault="002D7EB4" w:rsidP="007F688E">
            <w:pPr>
              <w:pStyle w:val="TblTextCenter"/>
              <w:rPr>
                <w:b/>
              </w:rPr>
            </w:pPr>
            <w:r w:rsidRPr="0063530D">
              <w:rPr>
                <w:b/>
              </w:rPr>
              <w:t>Influenza Strain</w:t>
            </w:r>
          </w:p>
        </w:tc>
        <w:tc>
          <w:tcPr>
            <w:tcW w:w="1614" w:type="dxa"/>
            <w:tcBorders>
              <w:top w:val="single" w:sz="4" w:space="0" w:color="000000"/>
            </w:tcBorders>
            <w:shd w:val="clear" w:color="auto" w:fill="auto"/>
            <w:vAlign w:val="center"/>
          </w:tcPr>
          <w:p w:rsidR="002D7EB4" w:rsidRPr="0063530D" w:rsidRDefault="002D7EB4" w:rsidP="007F688E">
            <w:pPr>
              <w:pStyle w:val="cliRTF8"/>
              <w:keepNext/>
              <w:spacing w:before="40" w:after="40"/>
              <w:ind w:left="200"/>
              <w:jc w:val="center"/>
              <w:rPr>
                <w:rFonts w:ascii="Arial Narrow" w:eastAsia="MS Mincho" w:hAnsi="Arial Narrow"/>
                <w:b/>
                <w:noProof/>
                <w:sz w:val="20"/>
                <w:szCs w:val="20"/>
                <w:lang w:val="en-AU"/>
              </w:rPr>
            </w:pPr>
            <w:r w:rsidRPr="0063530D">
              <w:rPr>
                <w:rFonts w:ascii="Arial Narrow" w:eastAsia="MS Mincho" w:hAnsi="Arial Narrow"/>
                <w:b/>
                <w:noProof/>
                <w:sz w:val="20"/>
                <w:szCs w:val="20"/>
                <w:lang w:val="en-AU"/>
              </w:rPr>
              <w:t>n</w:t>
            </w:r>
            <w:r w:rsidRPr="0063530D">
              <w:rPr>
                <w:rFonts w:ascii="Arial Narrow" w:eastAsia="MS Mincho" w:hAnsi="Arial Narrow"/>
                <w:b/>
                <w:noProof/>
                <w:sz w:val="20"/>
                <w:szCs w:val="20"/>
                <w:vertAlign w:val="superscript"/>
                <w:lang w:val="en-AU"/>
              </w:rPr>
              <w:t>d</w:t>
            </w:r>
            <w:r w:rsidRPr="0063530D">
              <w:rPr>
                <w:rFonts w:ascii="Arial Narrow" w:eastAsia="MS Mincho" w:hAnsi="Arial Narrow"/>
                <w:b/>
                <w:noProof/>
                <w:sz w:val="20"/>
                <w:szCs w:val="20"/>
                <w:lang w:val="en-AU"/>
              </w:rPr>
              <w:t>/M</w:t>
            </w:r>
            <w:r w:rsidRPr="0063530D">
              <w:rPr>
                <w:rFonts w:ascii="Arial Narrow" w:eastAsia="MS Mincho" w:hAnsi="Arial Narrow"/>
                <w:b/>
                <w:noProof/>
                <w:sz w:val="20"/>
                <w:szCs w:val="20"/>
                <w:vertAlign w:val="superscript"/>
                <w:lang w:val="en-AU"/>
              </w:rPr>
              <w:t>e</w:t>
            </w:r>
          </w:p>
        </w:tc>
        <w:tc>
          <w:tcPr>
            <w:tcW w:w="1614" w:type="dxa"/>
            <w:tcBorders>
              <w:top w:val="single" w:sz="4" w:space="0" w:color="000000"/>
            </w:tcBorders>
            <w:shd w:val="clear" w:color="auto" w:fill="auto"/>
            <w:vAlign w:val="center"/>
          </w:tcPr>
          <w:p w:rsidR="002D7EB4" w:rsidRPr="0063530D" w:rsidRDefault="002D7EB4" w:rsidP="007F688E">
            <w:pPr>
              <w:pStyle w:val="TblTextCenter"/>
              <w:rPr>
                <w:b/>
              </w:rPr>
            </w:pPr>
            <w:r w:rsidRPr="0063530D">
              <w:rPr>
                <w:b/>
              </w:rPr>
              <w:t>% ≥1:40</w:t>
            </w:r>
          </w:p>
          <w:p w:rsidR="002D7EB4" w:rsidRPr="0063530D" w:rsidRDefault="002D7EB4" w:rsidP="007F688E">
            <w:pPr>
              <w:pStyle w:val="TblTextCenter"/>
              <w:rPr>
                <w:b/>
              </w:rPr>
            </w:pPr>
            <w:r w:rsidRPr="0063530D">
              <w:rPr>
                <w:b/>
              </w:rPr>
              <w:t>(95% CI)</w:t>
            </w:r>
          </w:p>
        </w:tc>
        <w:tc>
          <w:tcPr>
            <w:tcW w:w="1614" w:type="dxa"/>
            <w:tcBorders>
              <w:top w:val="single" w:sz="4" w:space="0" w:color="000000"/>
            </w:tcBorders>
            <w:shd w:val="clear" w:color="auto" w:fill="auto"/>
            <w:vAlign w:val="center"/>
          </w:tcPr>
          <w:p w:rsidR="002D7EB4" w:rsidRPr="0063530D" w:rsidRDefault="002D7EB4" w:rsidP="007F688E">
            <w:pPr>
              <w:pStyle w:val="cliRTF8"/>
              <w:keepNext/>
              <w:spacing w:before="40" w:after="40"/>
              <w:ind w:left="200"/>
              <w:jc w:val="center"/>
              <w:rPr>
                <w:rFonts w:ascii="Arial Narrow" w:eastAsia="MS Mincho" w:hAnsi="Arial Narrow"/>
                <w:b/>
                <w:noProof/>
                <w:sz w:val="20"/>
                <w:szCs w:val="20"/>
                <w:lang w:val="en-AU"/>
              </w:rPr>
            </w:pPr>
            <w:r w:rsidRPr="0063530D">
              <w:rPr>
                <w:rFonts w:ascii="Arial Narrow" w:eastAsia="MS Mincho" w:hAnsi="Arial Narrow"/>
                <w:b/>
                <w:noProof/>
                <w:sz w:val="20"/>
                <w:szCs w:val="20"/>
                <w:lang w:val="en-AU"/>
              </w:rPr>
              <w:t>n</w:t>
            </w:r>
            <w:r w:rsidRPr="0063530D">
              <w:rPr>
                <w:rFonts w:ascii="Arial Narrow" w:eastAsia="MS Mincho" w:hAnsi="Arial Narrow"/>
                <w:b/>
                <w:noProof/>
                <w:sz w:val="20"/>
                <w:szCs w:val="20"/>
                <w:vertAlign w:val="superscript"/>
                <w:lang w:val="en-AU"/>
              </w:rPr>
              <w:t>d</w:t>
            </w:r>
            <w:r w:rsidRPr="0063530D">
              <w:rPr>
                <w:rFonts w:ascii="Arial Narrow" w:eastAsia="MS Mincho" w:hAnsi="Arial Narrow"/>
                <w:b/>
                <w:noProof/>
                <w:sz w:val="20"/>
                <w:szCs w:val="20"/>
                <w:lang w:val="en-AU"/>
              </w:rPr>
              <w:t>/M</w:t>
            </w:r>
            <w:r w:rsidRPr="0063530D">
              <w:rPr>
                <w:rFonts w:ascii="Arial Narrow" w:eastAsia="MS Mincho" w:hAnsi="Arial Narrow"/>
                <w:b/>
                <w:noProof/>
                <w:sz w:val="20"/>
                <w:szCs w:val="20"/>
                <w:vertAlign w:val="superscript"/>
                <w:lang w:val="en-AU"/>
              </w:rPr>
              <w:t>e</w:t>
            </w:r>
          </w:p>
        </w:tc>
        <w:tc>
          <w:tcPr>
            <w:tcW w:w="1614" w:type="dxa"/>
            <w:tcBorders>
              <w:top w:val="single" w:sz="4" w:space="0" w:color="000000"/>
            </w:tcBorders>
            <w:shd w:val="clear" w:color="auto" w:fill="auto"/>
            <w:vAlign w:val="center"/>
          </w:tcPr>
          <w:p w:rsidR="002D7EB4" w:rsidRPr="0063530D" w:rsidRDefault="002D7EB4" w:rsidP="007F688E">
            <w:pPr>
              <w:pStyle w:val="TblTextCenter"/>
              <w:rPr>
                <w:b/>
              </w:rPr>
            </w:pPr>
            <w:r w:rsidRPr="0063530D">
              <w:rPr>
                <w:b/>
              </w:rPr>
              <w:t>% ≥1:40</w:t>
            </w:r>
          </w:p>
          <w:p w:rsidR="002D7EB4" w:rsidRPr="0063530D" w:rsidRDefault="002D7EB4" w:rsidP="007F688E">
            <w:pPr>
              <w:pStyle w:val="TblTextCenter"/>
              <w:rPr>
                <w:b/>
              </w:rPr>
            </w:pPr>
            <w:r w:rsidRPr="0063530D">
              <w:rPr>
                <w:b/>
              </w:rPr>
              <w:t>(95% CI)</w:t>
            </w:r>
          </w:p>
        </w:tc>
        <w:tc>
          <w:tcPr>
            <w:tcW w:w="1615" w:type="dxa"/>
            <w:tcBorders>
              <w:top w:val="single" w:sz="4" w:space="0" w:color="000000"/>
            </w:tcBorders>
            <w:shd w:val="clear" w:color="auto" w:fill="auto"/>
            <w:vAlign w:val="center"/>
          </w:tcPr>
          <w:p w:rsidR="002D7EB4" w:rsidRPr="0063530D" w:rsidRDefault="002D7EB4" w:rsidP="007F688E">
            <w:pPr>
              <w:pStyle w:val="TblTextCenter"/>
              <w:rPr>
                <w:b/>
              </w:rPr>
            </w:pPr>
            <w:r w:rsidRPr="0063530D">
              <w:rPr>
                <w:b/>
              </w:rPr>
              <w:t>%</w:t>
            </w:r>
          </w:p>
          <w:p w:rsidR="002D7EB4" w:rsidRPr="0063530D" w:rsidRDefault="002D7EB4" w:rsidP="007F688E">
            <w:pPr>
              <w:pStyle w:val="TblTextCenter"/>
              <w:rPr>
                <w:b/>
              </w:rPr>
            </w:pPr>
            <w:r w:rsidRPr="0063530D">
              <w:rPr>
                <w:b/>
              </w:rPr>
              <w:t>(95% CI)</w:t>
            </w:r>
          </w:p>
        </w:tc>
      </w:tr>
      <w:tr w:rsidR="002D7EB4" w:rsidRPr="0063530D" w:rsidTr="007F688E">
        <w:trPr>
          <w:cantSplit/>
          <w:jc w:val="center"/>
        </w:trPr>
        <w:tc>
          <w:tcPr>
            <w:tcW w:w="1614" w:type="dxa"/>
            <w:shd w:val="clear" w:color="auto" w:fill="auto"/>
            <w:vAlign w:val="center"/>
          </w:tcPr>
          <w:p w:rsidR="002D7EB4" w:rsidRPr="0063530D" w:rsidRDefault="002D7EB4" w:rsidP="007F688E">
            <w:pPr>
              <w:pStyle w:val="TblTextCenter"/>
              <w:rPr>
                <w:b/>
              </w:rPr>
            </w:pPr>
            <w:r w:rsidRPr="0063530D">
              <w:rPr>
                <w:b/>
              </w:rPr>
              <w:t>A (H1N1)</w:t>
            </w:r>
          </w:p>
          <w:p w:rsidR="002D7EB4" w:rsidRPr="0063530D" w:rsidRDefault="002D7EB4" w:rsidP="007F688E">
            <w:pPr>
              <w:pStyle w:val="TblTextCenter"/>
              <w:rPr>
                <w:b/>
              </w:rPr>
            </w:pPr>
          </w:p>
        </w:tc>
        <w:tc>
          <w:tcPr>
            <w:tcW w:w="1614" w:type="dxa"/>
            <w:shd w:val="clear" w:color="auto" w:fill="auto"/>
          </w:tcPr>
          <w:p w:rsidR="002D7EB4" w:rsidRPr="0063530D" w:rsidRDefault="002D7EB4" w:rsidP="007F688E">
            <w:pPr>
              <w:pStyle w:val="TblTextCenter"/>
            </w:pPr>
            <w:r w:rsidRPr="0063530D">
              <w:t>2286/2543</w:t>
            </w:r>
          </w:p>
        </w:tc>
        <w:tc>
          <w:tcPr>
            <w:tcW w:w="1614" w:type="dxa"/>
            <w:shd w:val="clear" w:color="auto" w:fill="auto"/>
          </w:tcPr>
          <w:p w:rsidR="002D7EB4" w:rsidRPr="0063530D" w:rsidRDefault="002D7EB4" w:rsidP="007F688E">
            <w:pPr>
              <w:pStyle w:val="TblTextCenter"/>
            </w:pPr>
            <w:r w:rsidRPr="0063530D">
              <w:t>89.9</w:t>
            </w:r>
          </w:p>
          <w:p w:rsidR="002D7EB4" w:rsidRPr="0063530D" w:rsidRDefault="002D7EB4" w:rsidP="007F688E">
            <w:pPr>
              <w:pStyle w:val="TblTextCenter"/>
            </w:pPr>
            <w:r w:rsidRPr="0063530D">
              <w:t>(88.66; 91.04)</w:t>
            </w:r>
          </w:p>
        </w:tc>
        <w:tc>
          <w:tcPr>
            <w:tcW w:w="1614" w:type="dxa"/>
            <w:shd w:val="clear" w:color="auto" w:fill="auto"/>
          </w:tcPr>
          <w:p w:rsidR="002D7EB4" w:rsidRPr="0063530D" w:rsidRDefault="002D7EB4" w:rsidP="007F688E">
            <w:pPr>
              <w:pStyle w:val="TblTextCenter"/>
            </w:pPr>
            <w:r w:rsidRPr="0063530D">
              <w:t>961/1252</w:t>
            </w:r>
          </w:p>
        </w:tc>
        <w:tc>
          <w:tcPr>
            <w:tcW w:w="1614" w:type="dxa"/>
            <w:shd w:val="clear" w:color="auto" w:fill="auto"/>
          </w:tcPr>
          <w:p w:rsidR="002D7EB4" w:rsidRPr="0063530D" w:rsidRDefault="002D7EB4" w:rsidP="007F688E">
            <w:pPr>
              <w:pStyle w:val="TblTextCenter"/>
            </w:pPr>
            <w:r w:rsidRPr="0063530D">
              <w:t>76.8</w:t>
            </w:r>
          </w:p>
          <w:p w:rsidR="002D7EB4" w:rsidRPr="0063530D" w:rsidRDefault="002D7EB4" w:rsidP="007F688E">
            <w:pPr>
              <w:pStyle w:val="TblTextCenter"/>
            </w:pPr>
            <w:r w:rsidRPr="0063530D">
              <w:t>(74.32; 79.07)</w:t>
            </w:r>
          </w:p>
        </w:tc>
        <w:tc>
          <w:tcPr>
            <w:tcW w:w="1615" w:type="dxa"/>
            <w:shd w:val="clear" w:color="auto" w:fill="auto"/>
          </w:tcPr>
          <w:p w:rsidR="002D7EB4" w:rsidRPr="0063530D" w:rsidRDefault="002D7EB4" w:rsidP="007F688E">
            <w:pPr>
              <w:pStyle w:val="TblTextCenter"/>
            </w:pPr>
            <w:r w:rsidRPr="0063530D">
              <w:t>13.14</w:t>
            </w:r>
          </w:p>
          <w:p w:rsidR="002D7EB4" w:rsidRPr="0063530D" w:rsidRDefault="002D7EB4" w:rsidP="007F688E">
            <w:pPr>
              <w:pStyle w:val="TblTextCenter"/>
            </w:pPr>
            <w:r w:rsidRPr="0063530D">
              <w:t>(10.52; 15.75)</w:t>
            </w:r>
          </w:p>
        </w:tc>
      </w:tr>
      <w:tr w:rsidR="002D7EB4" w:rsidRPr="0063530D" w:rsidTr="007F688E">
        <w:trPr>
          <w:cantSplit/>
          <w:jc w:val="center"/>
        </w:trPr>
        <w:tc>
          <w:tcPr>
            <w:tcW w:w="1614" w:type="dxa"/>
            <w:shd w:val="clear" w:color="auto" w:fill="auto"/>
            <w:vAlign w:val="center"/>
          </w:tcPr>
          <w:p w:rsidR="002D7EB4" w:rsidRPr="0063530D" w:rsidRDefault="002D7EB4" w:rsidP="007F688E">
            <w:pPr>
              <w:pStyle w:val="TblTextCenter"/>
              <w:rPr>
                <w:b/>
              </w:rPr>
            </w:pPr>
            <w:r w:rsidRPr="0063530D">
              <w:rPr>
                <w:b/>
              </w:rPr>
              <w:t>A (H3N2)</w:t>
            </w:r>
          </w:p>
          <w:p w:rsidR="002D7EB4" w:rsidRPr="0063530D" w:rsidRDefault="002D7EB4" w:rsidP="007F688E">
            <w:pPr>
              <w:pStyle w:val="TblTextCenter"/>
              <w:rPr>
                <w:b/>
              </w:rPr>
            </w:pPr>
          </w:p>
        </w:tc>
        <w:tc>
          <w:tcPr>
            <w:tcW w:w="1614" w:type="dxa"/>
            <w:shd w:val="clear" w:color="auto" w:fill="auto"/>
          </w:tcPr>
          <w:p w:rsidR="002D7EB4" w:rsidRPr="0063530D" w:rsidRDefault="002D7EB4" w:rsidP="007F688E">
            <w:pPr>
              <w:pStyle w:val="TblTextCenter"/>
            </w:pPr>
            <w:r w:rsidRPr="0063530D">
              <w:t>2526/2544</w:t>
            </w:r>
          </w:p>
        </w:tc>
        <w:tc>
          <w:tcPr>
            <w:tcW w:w="1614" w:type="dxa"/>
            <w:shd w:val="clear" w:color="auto" w:fill="auto"/>
          </w:tcPr>
          <w:p w:rsidR="002D7EB4" w:rsidRPr="0063530D" w:rsidRDefault="002D7EB4" w:rsidP="007F688E">
            <w:pPr>
              <w:pStyle w:val="TblTextCenter"/>
            </w:pPr>
            <w:r w:rsidRPr="0063530D">
              <w:t>99.3</w:t>
            </w:r>
          </w:p>
          <w:p w:rsidR="002D7EB4" w:rsidRPr="0063530D" w:rsidRDefault="002D7EB4" w:rsidP="007F688E">
            <w:pPr>
              <w:pStyle w:val="TblTextCenter"/>
            </w:pPr>
            <w:r w:rsidRPr="0063530D">
              <w:t>(99.88; 99.58)</w:t>
            </w:r>
          </w:p>
        </w:tc>
        <w:tc>
          <w:tcPr>
            <w:tcW w:w="1614" w:type="dxa"/>
            <w:shd w:val="clear" w:color="auto" w:fill="auto"/>
          </w:tcPr>
          <w:p w:rsidR="002D7EB4" w:rsidRPr="0063530D" w:rsidRDefault="002D7EB4" w:rsidP="007F688E">
            <w:pPr>
              <w:pStyle w:val="TblTextCenter"/>
            </w:pPr>
            <w:r w:rsidRPr="0063530D">
              <w:t>1208/1252</w:t>
            </w:r>
          </w:p>
        </w:tc>
        <w:tc>
          <w:tcPr>
            <w:tcW w:w="1614" w:type="dxa"/>
            <w:shd w:val="clear" w:color="auto" w:fill="auto"/>
          </w:tcPr>
          <w:p w:rsidR="002D7EB4" w:rsidRPr="0063530D" w:rsidRDefault="002D7EB4" w:rsidP="007F688E">
            <w:pPr>
              <w:pStyle w:val="TblTextCenter"/>
            </w:pPr>
            <w:r w:rsidRPr="0063530D">
              <w:t>96.5</w:t>
            </w:r>
          </w:p>
          <w:p w:rsidR="002D7EB4" w:rsidRPr="0063530D" w:rsidRDefault="002D7EB4" w:rsidP="007F688E">
            <w:pPr>
              <w:pStyle w:val="TblTextCenter"/>
            </w:pPr>
            <w:r w:rsidRPr="0063530D">
              <w:t>(95.31; 97.44)</w:t>
            </w:r>
          </w:p>
        </w:tc>
        <w:tc>
          <w:tcPr>
            <w:tcW w:w="1615" w:type="dxa"/>
            <w:shd w:val="clear" w:color="auto" w:fill="auto"/>
          </w:tcPr>
          <w:p w:rsidR="002D7EB4" w:rsidRPr="0063530D" w:rsidRDefault="002D7EB4" w:rsidP="007F688E">
            <w:pPr>
              <w:pStyle w:val="TblTextCenter"/>
            </w:pPr>
            <w:r w:rsidRPr="0063530D">
              <w:t>2.81</w:t>
            </w:r>
          </w:p>
          <w:p w:rsidR="002D7EB4" w:rsidRPr="0063530D" w:rsidRDefault="002D7EB4" w:rsidP="007F688E">
            <w:pPr>
              <w:pStyle w:val="TblTextCenter"/>
            </w:pPr>
            <w:r w:rsidRPr="0063530D">
              <w:t>(1.74; 3.88)</w:t>
            </w:r>
          </w:p>
        </w:tc>
      </w:tr>
      <w:tr w:rsidR="002D7EB4" w:rsidRPr="0063530D" w:rsidTr="007F688E">
        <w:trPr>
          <w:cantSplit/>
          <w:jc w:val="center"/>
        </w:trPr>
        <w:tc>
          <w:tcPr>
            <w:tcW w:w="1614" w:type="dxa"/>
            <w:tcBorders>
              <w:bottom w:val="single" w:sz="12" w:space="0" w:color="auto"/>
            </w:tcBorders>
            <w:shd w:val="clear" w:color="auto" w:fill="auto"/>
            <w:vAlign w:val="center"/>
          </w:tcPr>
          <w:p w:rsidR="002D7EB4" w:rsidRPr="0063530D" w:rsidRDefault="002D7EB4" w:rsidP="007F688E">
            <w:pPr>
              <w:pStyle w:val="TblTextCenter"/>
              <w:rPr>
                <w:b/>
              </w:rPr>
            </w:pPr>
            <w:r w:rsidRPr="0063530D">
              <w:rPr>
                <w:b/>
              </w:rPr>
              <w:t>B</w:t>
            </w:r>
          </w:p>
        </w:tc>
        <w:tc>
          <w:tcPr>
            <w:tcW w:w="1614" w:type="dxa"/>
            <w:tcBorders>
              <w:bottom w:val="single" w:sz="12" w:space="0" w:color="auto"/>
            </w:tcBorders>
            <w:shd w:val="clear" w:color="auto" w:fill="auto"/>
          </w:tcPr>
          <w:p w:rsidR="002D7EB4" w:rsidRPr="0063530D" w:rsidRDefault="002D7EB4" w:rsidP="007F688E">
            <w:pPr>
              <w:pStyle w:val="TblTextCenter"/>
            </w:pPr>
            <w:r w:rsidRPr="0063530D">
              <w:t>2015/2542</w:t>
            </w:r>
          </w:p>
        </w:tc>
        <w:tc>
          <w:tcPr>
            <w:tcW w:w="1614" w:type="dxa"/>
            <w:tcBorders>
              <w:bottom w:val="single" w:sz="12" w:space="0" w:color="auto"/>
            </w:tcBorders>
            <w:shd w:val="clear" w:color="auto" w:fill="auto"/>
          </w:tcPr>
          <w:p w:rsidR="002D7EB4" w:rsidRPr="0063530D" w:rsidRDefault="002D7EB4" w:rsidP="007F688E">
            <w:pPr>
              <w:pStyle w:val="TblTextCenter"/>
            </w:pPr>
            <w:r w:rsidRPr="0063530D">
              <w:t>79.3</w:t>
            </w:r>
          </w:p>
          <w:p w:rsidR="002D7EB4" w:rsidRPr="0063530D" w:rsidRDefault="002D7EB4" w:rsidP="007F688E">
            <w:pPr>
              <w:pStyle w:val="TblTextCenter"/>
            </w:pPr>
            <w:r w:rsidRPr="0063530D">
              <w:t>(77.64; 80.83)</w:t>
            </w:r>
          </w:p>
        </w:tc>
        <w:tc>
          <w:tcPr>
            <w:tcW w:w="1614" w:type="dxa"/>
            <w:tcBorders>
              <w:bottom w:val="single" w:sz="12" w:space="0" w:color="auto"/>
            </w:tcBorders>
            <w:shd w:val="clear" w:color="auto" w:fill="auto"/>
          </w:tcPr>
          <w:p w:rsidR="002D7EB4" w:rsidRPr="0063530D" w:rsidRDefault="002D7EB4" w:rsidP="007F688E">
            <w:pPr>
              <w:pStyle w:val="TblTextCenter"/>
            </w:pPr>
            <w:r w:rsidRPr="0063530D">
              <w:t>846/1252</w:t>
            </w:r>
          </w:p>
        </w:tc>
        <w:tc>
          <w:tcPr>
            <w:tcW w:w="1614" w:type="dxa"/>
            <w:tcBorders>
              <w:bottom w:val="single" w:sz="12" w:space="0" w:color="auto"/>
            </w:tcBorders>
            <w:shd w:val="clear" w:color="auto" w:fill="auto"/>
          </w:tcPr>
          <w:p w:rsidR="002D7EB4" w:rsidRPr="0063530D" w:rsidRDefault="002D7EB4" w:rsidP="007F688E">
            <w:pPr>
              <w:pStyle w:val="TblTextCenter"/>
            </w:pPr>
            <w:r w:rsidRPr="0063530D">
              <w:t>67.6</w:t>
            </w:r>
          </w:p>
          <w:p w:rsidR="002D7EB4" w:rsidRPr="0063530D" w:rsidRDefault="002D7EB4" w:rsidP="007F688E">
            <w:pPr>
              <w:pStyle w:val="TblTextCenter"/>
            </w:pPr>
            <w:r w:rsidRPr="0063530D">
              <w:t>(64.90; 70.16)</w:t>
            </w:r>
          </w:p>
        </w:tc>
        <w:tc>
          <w:tcPr>
            <w:tcW w:w="1615" w:type="dxa"/>
            <w:tcBorders>
              <w:bottom w:val="single" w:sz="12" w:space="0" w:color="auto"/>
            </w:tcBorders>
            <w:shd w:val="clear" w:color="auto" w:fill="auto"/>
          </w:tcPr>
          <w:p w:rsidR="002D7EB4" w:rsidRPr="0063530D" w:rsidRDefault="002D7EB4" w:rsidP="007F688E">
            <w:pPr>
              <w:pStyle w:val="TblTextCenter"/>
            </w:pPr>
            <w:r w:rsidRPr="0063530D">
              <w:t>11.70</w:t>
            </w:r>
          </w:p>
          <w:p w:rsidR="002D7EB4" w:rsidRPr="0063530D" w:rsidRDefault="002D7EB4" w:rsidP="007F688E">
            <w:pPr>
              <w:pStyle w:val="TblTextCenter"/>
            </w:pPr>
            <w:r w:rsidRPr="0063530D">
              <w:t>(8.66; 14.73)</w:t>
            </w:r>
          </w:p>
        </w:tc>
      </w:tr>
      <w:tr w:rsidR="002D7EB4" w:rsidRPr="0063530D" w:rsidTr="007F688E">
        <w:trPr>
          <w:cantSplit/>
          <w:jc w:val="center"/>
        </w:trPr>
        <w:tc>
          <w:tcPr>
            <w:tcW w:w="9685" w:type="dxa"/>
            <w:gridSpan w:val="6"/>
            <w:tcBorders>
              <w:top w:val="single" w:sz="12" w:space="0" w:color="auto"/>
            </w:tcBorders>
            <w:shd w:val="clear" w:color="auto" w:fill="auto"/>
          </w:tcPr>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lastRenderedPageBreak/>
              <w:t>a</w:t>
            </w:r>
            <w:r w:rsidRPr="0063530D">
              <w:rPr>
                <w:rFonts w:ascii="Arial Narrow" w:eastAsia="MS Mincho" w:hAnsi="Arial Narrow"/>
                <w:noProof/>
                <w:sz w:val="18"/>
                <w:szCs w:val="18"/>
                <w:lang w:val="en-AU"/>
              </w:rPr>
              <w:t>Seroprotection: HI Titers ≥1:40 at Day 28</w:t>
            </w:r>
          </w:p>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t>b</w:t>
            </w:r>
            <w:r w:rsidRPr="0063530D">
              <w:rPr>
                <w:rFonts w:ascii="Arial Narrow" w:eastAsia="MS Mincho" w:hAnsi="Arial Narrow"/>
                <w:noProof/>
                <w:sz w:val="18"/>
                <w:szCs w:val="18"/>
                <w:lang w:val="en-AU"/>
              </w:rPr>
              <w:t>Immunogenicity analysis set: subjects who participated in immunogenicity assessments</w:t>
            </w:r>
          </w:p>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t>c</w:t>
            </w:r>
            <w:r w:rsidRPr="0063530D">
              <w:rPr>
                <w:rFonts w:ascii="Arial Narrow" w:eastAsia="MS Mincho" w:hAnsi="Arial Narrow"/>
                <w:noProof/>
                <w:sz w:val="18"/>
                <w:szCs w:val="18"/>
                <w:lang w:val="en-AU"/>
              </w:rPr>
              <w:t>N is the number of participants in the immunogenicity analysis set</w:t>
            </w:r>
          </w:p>
          <w:p w:rsidR="002D7EB4" w:rsidRPr="0063530D" w:rsidRDefault="002D7EB4" w:rsidP="007F688E">
            <w:pPr>
              <w:pStyle w:val="wcpTablenote"/>
              <w:spacing w:before="0"/>
              <w:ind w:left="120" w:hanging="120"/>
              <w:rPr>
                <w:rFonts w:ascii="Arial Narrow" w:eastAsia="MS Mincho" w:hAnsi="Arial Narrow"/>
                <w:noProof/>
                <w:sz w:val="18"/>
                <w:szCs w:val="18"/>
                <w:lang w:val="en-AU"/>
              </w:rPr>
            </w:pPr>
            <w:r w:rsidRPr="0063530D">
              <w:rPr>
                <w:rFonts w:ascii="Arial Narrow" w:eastAsia="MS Mincho" w:hAnsi="Arial Narrow"/>
                <w:noProof/>
                <w:sz w:val="18"/>
                <w:szCs w:val="18"/>
                <w:vertAlign w:val="superscript"/>
                <w:lang w:val="en-AU"/>
              </w:rPr>
              <w:t>d</w:t>
            </w:r>
            <w:r w:rsidRPr="0063530D">
              <w:rPr>
                <w:rFonts w:ascii="Arial Narrow" w:eastAsia="MS Mincho" w:hAnsi="Arial Narrow"/>
                <w:noProof/>
                <w:sz w:val="18"/>
                <w:szCs w:val="18"/>
                <w:lang w:val="en-AU"/>
              </w:rPr>
              <w:t>n is the number of participants who achieved seroprotection for the strain</w:t>
            </w:r>
          </w:p>
          <w:p w:rsidR="002D7EB4" w:rsidRPr="0063530D" w:rsidRDefault="002D7EB4" w:rsidP="007F688E">
            <w:pPr>
              <w:pStyle w:val="TblFigFootnote"/>
              <w:rPr>
                <w:lang w:val="en-AU"/>
              </w:rPr>
            </w:pPr>
            <w:r w:rsidRPr="0063530D">
              <w:rPr>
                <w:noProof/>
                <w:szCs w:val="18"/>
                <w:vertAlign w:val="superscript"/>
                <w:lang w:val="en-AU"/>
              </w:rPr>
              <w:t>e</w:t>
            </w:r>
            <w:r w:rsidRPr="0063530D">
              <w:rPr>
                <w:noProof/>
                <w:szCs w:val="18"/>
                <w:lang w:val="en-AU"/>
              </w:rPr>
              <w:t>M is the number of participants with a valid serology result for the strain, including results reported as less than the lower limit of quantification</w:t>
            </w:r>
          </w:p>
        </w:tc>
      </w:tr>
    </w:tbl>
    <w:p w:rsidR="00B800D3" w:rsidRPr="0063530D" w:rsidRDefault="00B800D3" w:rsidP="00B800D3">
      <w:pPr>
        <w:pStyle w:val="Heading3"/>
        <w:numPr>
          <w:ilvl w:val="0"/>
          <w:numId w:val="0"/>
        </w:numPr>
        <w:ind w:left="680" w:hanging="680"/>
        <w:rPr>
          <w:rFonts w:ascii="Times New Roman" w:hAnsi="Times New Roman" w:cs="Times New Roman"/>
          <w:lang w:val="en-AU"/>
        </w:rPr>
      </w:pPr>
      <w:r w:rsidRPr="0063530D">
        <w:rPr>
          <w:rFonts w:ascii="Times New Roman" w:hAnsi="Times New Roman" w:cs="Times New Roman"/>
          <w:lang w:val="en-AU"/>
        </w:rPr>
        <w:t xml:space="preserve">Efficacy of </w:t>
      </w:r>
      <w:proofErr w:type="spellStart"/>
      <w:r w:rsidRPr="0063530D">
        <w:rPr>
          <w:rFonts w:ascii="Times New Roman" w:hAnsi="Times New Roman" w:cs="Times New Roman"/>
          <w:lang w:val="en-AU"/>
        </w:rPr>
        <w:t>Fluzone</w:t>
      </w:r>
      <w:proofErr w:type="spellEnd"/>
      <w:r w:rsidRPr="0063530D">
        <w:rPr>
          <w:rFonts w:ascii="Times New Roman" w:hAnsi="Times New Roman" w:cs="Times New Roman"/>
          <w:lang w:val="en-AU"/>
        </w:rPr>
        <w:t xml:space="preserve"> High-Dose in Adults 65 Years of Age and Older</w:t>
      </w:r>
      <w:bookmarkEnd w:id="6"/>
    </w:p>
    <w:p w:rsidR="00B800D3" w:rsidRPr="0063530D" w:rsidRDefault="00FE6207" w:rsidP="00B800D3">
      <w:pPr>
        <w:jc w:val="both"/>
        <w:rPr>
          <w:noProof/>
          <w:color w:val="auto"/>
          <w:szCs w:val="16"/>
          <w:lang w:val="en-AU"/>
        </w:rPr>
      </w:pPr>
      <w:r w:rsidRPr="0063530D">
        <w:rPr>
          <w:noProof/>
          <w:color w:val="auto"/>
          <w:szCs w:val="16"/>
          <w:lang w:val="en-AU"/>
        </w:rPr>
        <w:t>FIM12</w:t>
      </w:r>
      <w:r w:rsidR="00B800D3" w:rsidRPr="0063530D">
        <w:rPr>
          <w:noProof/>
          <w:color w:val="auto"/>
          <w:szCs w:val="16"/>
          <w:lang w:val="en-AU"/>
        </w:rPr>
        <w:t xml:space="preserve"> was a multi-center, double-blind efficacy trial conducted in the US and Canada in which adults 65 years of age and older were randomised (1:1) to receive either </w:t>
      </w:r>
      <w:r w:rsidR="009927DF" w:rsidRPr="0063530D">
        <w:rPr>
          <w:noProof/>
          <w:color w:val="auto"/>
          <w:szCs w:val="16"/>
          <w:lang w:val="en-AU"/>
        </w:rPr>
        <w:t>Fluzone High-Dose</w:t>
      </w:r>
      <w:r w:rsidR="00B368D1" w:rsidRPr="0063530D">
        <w:rPr>
          <w:noProof/>
          <w:color w:val="auto"/>
          <w:szCs w:val="16"/>
          <w:lang w:val="en-AU"/>
        </w:rPr>
        <w:t xml:space="preserve"> or </w:t>
      </w:r>
      <w:r w:rsidR="00B62746" w:rsidRPr="0063530D">
        <w:rPr>
          <w:noProof/>
          <w:color w:val="auto"/>
          <w:szCs w:val="16"/>
          <w:lang w:val="en-AU"/>
        </w:rPr>
        <w:t>Fluzone</w:t>
      </w:r>
      <w:r w:rsidR="00B800D3" w:rsidRPr="0063530D">
        <w:rPr>
          <w:noProof/>
          <w:color w:val="auto"/>
          <w:szCs w:val="16"/>
          <w:lang w:val="en-AU"/>
        </w:rPr>
        <w:t>. The study was conducted over two influenza seasons (2011-2012 and 2012-2013)</w:t>
      </w:r>
      <w:r w:rsidR="005C20A9" w:rsidRPr="0063530D">
        <w:rPr>
          <w:noProof/>
          <w:color w:val="auto"/>
          <w:szCs w:val="16"/>
          <w:lang w:val="en-AU"/>
        </w:rPr>
        <w:t xml:space="preserve"> with a total of 31,989 participants randomised and vaccinated</w:t>
      </w:r>
      <w:r w:rsidR="00B800D3" w:rsidRPr="0063530D">
        <w:rPr>
          <w:noProof/>
          <w:color w:val="auto"/>
          <w:szCs w:val="16"/>
          <w:lang w:val="en-AU"/>
        </w:rPr>
        <w:t>; 53% of participants enrolled in the first year of the study were re-enrolled and re-randomised in the second year. The per-protocol analysis set for e</w:t>
      </w:r>
      <w:r w:rsidR="005C20A9" w:rsidRPr="0063530D">
        <w:rPr>
          <w:noProof/>
          <w:color w:val="auto"/>
          <w:szCs w:val="16"/>
          <w:lang w:val="en-AU"/>
        </w:rPr>
        <w:t>fficacy assessments included 15,</w:t>
      </w:r>
      <w:r w:rsidR="00B800D3" w:rsidRPr="0063530D">
        <w:rPr>
          <w:noProof/>
          <w:color w:val="auto"/>
          <w:szCs w:val="16"/>
          <w:lang w:val="en-AU"/>
        </w:rPr>
        <w:t xml:space="preserve">892 </w:t>
      </w:r>
      <w:r w:rsidR="009927DF" w:rsidRPr="0063530D">
        <w:rPr>
          <w:noProof/>
          <w:color w:val="auto"/>
          <w:szCs w:val="16"/>
          <w:lang w:val="en-AU"/>
        </w:rPr>
        <w:t>Fluzone High-Dose</w:t>
      </w:r>
      <w:r w:rsidR="00B368D1" w:rsidRPr="0063530D">
        <w:rPr>
          <w:noProof/>
          <w:color w:val="auto"/>
          <w:szCs w:val="16"/>
          <w:lang w:val="en-AU"/>
        </w:rPr>
        <w:t xml:space="preserve"> </w:t>
      </w:r>
      <w:r w:rsidR="00B800D3" w:rsidRPr="0063530D">
        <w:rPr>
          <w:noProof/>
          <w:color w:val="auto"/>
          <w:szCs w:val="16"/>
          <w:lang w:val="en-AU"/>
        </w:rPr>
        <w:t>recipients and 15</w:t>
      </w:r>
      <w:r w:rsidR="005C20A9" w:rsidRPr="0063530D">
        <w:rPr>
          <w:noProof/>
          <w:color w:val="auto"/>
          <w:szCs w:val="16"/>
          <w:lang w:val="en-AU"/>
        </w:rPr>
        <w:t>,</w:t>
      </w:r>
      <w:r w:rsidR="00B800D3" w:rsidRPr="0063530D">
        <w:rPr>
          <w:noProof/>
          <w:color w:val="auto"/>
          <w:szCs w:val="16"/>
          <w:lang w:val="en-AU"/>
        </w:rPr>
        <w:t xml:space="preserve">911 </w:t>
      </w:r>
      <w:r w:rsidR="00B62746" w:rsidRPr="0063530D">
        <w:rPr>
          <w:noProof/>
          <w:color w:val="auto"/>
          <w:szCs w:val="16"/>
          <w:lang w:val="en-AU"/>
        </w:rPr>
        <w:t>Fluzone</w:t>
      </w:r>
      <w:r w:rsidR="00B368D1" w:rsidRPr="0063530D">
        <w:rPr>
          <w:noProof/>
          <w:color w:val="auto"/>
          <w:szCs w:val="16"/>
          <w:lang w:val="en-AU"/>
        </w:rPr>
        <w:t xml:space="preserve"> </w:t>
      </w:r>
      <w:r w:rsidR="00B800D3" w:rsidRPr="0063530D">
        <w:rPr>
          <w:noProof/>
          <w:color w:val="auto"/>
          <w:szCs w:val="16"/>
          <w:lang w:val="en-AU"/>
        </w:rPr>
        <w:t xml:space="preserve">recipients. The majority (67%) of participants in the per-protocol analysis set for efficacy had one or more high-risk chronic comorbid conditions. </w:t>
      </w:r>
    </w:p>
    <w:p w:rsidR="00B800D3" w:rsidRPr="0063530D" w:rsidRDefault="00B800D3" w:rsidP="00B800D3">
      <w:pPr>
        <w:jc w:val="both"/>
        <w:rPr>
          <w:noProof/>
          <w:color w:val="auto"/>
          <w:szCs w:val="16"/>
          <w:lang w:val="en-AU"/>
        </w:rPr>
      </w:pPr>
      <w:r w:rsidRPr="0063530D">
        <w:rPr>
          <w:noProof/>
          <w:color w:val="auto"/>
          <w:szCs w:val="16"/>
          <w:lang w:val="en-AU"/>
        </w:rPr>
        <w:t xml:space="preserve">In the per-protocol analysis set, females accounted for 57.2% of participants in the </w:t>
      </w:r>
      <w:r w:rsidR="009927DF" w:rsidRPr="0063530D">
        <w:rPr>
          <w:noProof/>
          <w:color w:val="auto"/>
          <w:szCs w:val="16"/>
          <w:lang w:val="en-AU"/>
        </w:rPr>
        <w:t>Fluzone High-Dose</w:t>
      </w:r>
      <w:r w:rsidR="00B368D1" w:rsidRPr="0063530D">
        <w:rPr>
          <w:noProof/>
          <w:color w:val="auto"/>
          <w:szCs w:val="16"/>
          <w:lang w:val="en-AU"/>
        </w:rPr>
        <w:t xml:space="preserve"> </w:t>
      </w:r>
      <w:r w:rsidRPr="0063530D">
        <w:rPr>
          <w:noProof/>
          <w:color w:val="auto"/>
          <w:szCs w:val="16"/>
          <w:lang w:val="en-AU"/>
        </w:rPr>
        <w:t xml:space="preserve">group and 56.1% of participants in the </w:t>
      </w:r>
      <w:r w:rsidR="00B62746" w:rsidRPr="0063530D">
        <w:rPr>
          <w:noProof/>
          <w:color w:val="auto"/>
          <w:szCs w:val="16"/>
          <w:lang w:val="en-AU"/>
        </w:rPr>
        <w:t>Fluzone</w:t>
      </w:r>
      <w:r w:rsidR="00B368D1" w:rsidRPr="0063530D">
        <w:rPr>
          <w:noProof/>
          <w:color w:val="auto"/>
          <w:szCs w:val="16"/>
          <w:lang w:val="en-AU"/>
        </w:rPr>
        <w:t xml:space="preserve"> </w:t>
      </w:r>
      <w:r w:rsidRPr="0063530D">
        <w:rPr>
          <w:noProof/>
          <w:color w:val="auto"/>
          <w:szCs w:val="16"/>
          <w:lang w:val="en-AU"/>
        </w:rPr>
        <w:t xml:space="preserve">group. In both groups, the median age was 72.2 years (range 65 through 100 years). Overall, most participants in the study were </w:t>
      </w:r>
      <w:r w:rsidR="00B368D1" w:rsidRPr="0063530D">
        <w:rPr>
          <w:noProof/>
          <w:color w:val="auto"/>
          <w:szCs w:val="16"/>
          <w:lang w:val="en-AU"/>
        </w:rPr>
        <w:t xml:space="preserve">White </w:t>
      </w:r>
      <w:r w:rsidRPr="0063530D">
        <w:rPr>
          <w:noProof/>
          <w:color w:val="auto"/>
          <w:szCs w:val="16"/>
          <w:lang w:val="en-AU"/>
        </w:rPr>
        <w:t>(95%); approximately 4% of study participants were Black, and approximately 6% reported Hispanic ethnicity.</w:t>
      </w:r>
    </w:p>
    <w:p w:rsidR="00B800D3" w:rsidRPr="0063530D" w:rsidRDefault="00B800D3" w:rsidP="00B800D3">
      <w:pPr>
        <w:jc w:val="both"/>
        <w:rPr>
          <w:noProof/>
          <w:color w:val="auto"/>
          <w:szCs w:val="16"/>
          <w:lang w:val="en-AU"/>
        </w:rPr>
      </w:pPr>
      <w:r w:rsidRPr="0063530D">
        <w:rPr>
          <w:noProof/>
          <w:color w:val="auto"/>
          <w:szCs w:val="16"/>
          <w:lang w:val="en-AU"/>
        </w:rPr>
        <w:t>The primary endpoint of the study was the occurrence of laboratory-confirmed influenza (as determined by culture or polymerase chain reaction) caused by any influenza viral type/subtype in association with influenza-like illness (ILI), defined as the occurrence of at least one of the following respiratory symptoms: sore throat, cough, sputum production, wheezing, or difficulty breathing; concurrent with at least one of the following systemic signs o</w:t>
      </w:r>
      <w:r w:rsidR="006A7836" w:rsidRPr="0063530D">
        <w:rPr>
          <w:noProof/>
          <w:color w:val="auto"/>
          <w:szCs w:val="16"/>
          <w:lang w:val="en-AU"/>
        </w:rPr>
        <w:t xml:space="preserve">r symptoms: temperature </w:t>
      </w:r>
      <w:r w:rsidRPr="0063530D">
        <w:rPr>
          <w:noProof/>
          <w:color w:val="auto"/>
          <w:szCs w:val="16"/>
          <w:lang w:val="en-AU"/>
        </w:rPr>
        <w:t xml:space="preserve">&gt;37.2°C, chills, tiredness, headaches or myalgia.  Participants were monitored for the occurrence of a respiratory illness by both active and passive surveillance, starting 2 weeks post-vaccination for approximately 7 months.  After an episode of respiratory illness, nasopharyngeal swab samples were collected for analysis; attack rates and vaccine efficacy were calculated (see </w:t>
      </w:r>
      <w:r w:rsidRPr="0063530D">
        <w:rPr>
          <w:noProof/>
          <w:color w:val="auto"/>
          <w:szCs w:val="16"/>
          <w:lang w:val="en-AU"/>
        </w:rPr>
        <w:fldChar w:fldCharType="begin"/>
      </w:r>
      <w:r w:rsidRPr="0063530D">
        <w:rPr>
          <w:noProof/>
          <w:color w:val="auto"/>
          <w:szCs w:val="16"/>
          <w:lang w:val="en-AU"/>
        </w:rPr>
        <w:instrText xml:space="preserve"> REF _Ref466469026 \h  \* MERGEFORMAT </w:instrText>
      </w:r>
      <w:r w:rsidRPr="0063530D">
        <w:rPr>
          <w:noProof/>
          <w:color w:val="auto"/>
          <w:szCs w:val="16"/>
          <w:lang w:val="en-AU"/>
        </w:rPr>
      </w:r>
      <w:r w:rsidRPr="0063530D">
        <w:rPr>
          <w:noProof/>
          <w:color w:val="auto"/>
          <w:szCs w:val="16"/>
          <w:lang w:val="en-AU"/>
        </w:rPr>
        <w:fldChar w:fldCharType="separate"/>
      </w:r>
      <w:r w:rsidR="001F32F5" w:rsidRPr="001F32F5">
        <w:rPr>
          <w:color w:val="auto"/>
          <w:lang w:val="en-AU"/>
        </w:rPr>
        <w:t>Table 5</w:t>
      </w:r>
      <w:r w:rsidRPr="0063530D">
        <w:rPr>
          <w:noProof/>
          <w:color w:val="auto"/>
          <w:szCs w:val="16"/>
          <w:lang w:val="en-AU"/>
        </w:rPr>
        <w:fldChar w:fldCharType="end"/>
      </w:r>
      <w:r w:rsidRPr="0063530D">
        <w:rPr>
          <w:noProof/>
          <w:color w:val="auto"/>
          <w:szCs w:val="16"/>
          <w:lang w:val="en-AU"/>
        </w:rPr>
        <w:t>).</w:t>
      </w:r>
    </w:p>
    <w:p w:rsidR="00B800D3" w:rsidRPr="0063530D" w:rsidRDefault="00B800D3" w:rsidP="00B800D3">
      <w:pPr>
        <w:pStyle w:val="Caption"/>
        <w:rPr>
          <w:lang w:val="en-AU"/>
        </w:rPr>
      </w:pPr>
      <w:r w:rsidRPr="0063530D">
        <w:rPr>
          <w:lang w:val="en-AU"/>
        </w:rPr>
        <w:t xml:space="preserve"> </w:t>
      </w:r>
      <w:bookmarkStart w:id="13" w:name="_Ref466469026"/>
      <w:r w:rsidRPr="0063530D">
        <w:rPr>
          <w:lang w:val="en-AU"/>
        </w:rPr>
        <w:t>Table </w:t>
      </w:r>
      <w:r w:rsidRPr="0063530D">
        <w:rPr>
          <w:lang w:val="en-AU"/>
        </w:rPr>
        <w:fldChar w:fldCharType="begin"/>
      </w:r>
      <w:r w:rsidRPr="0063530D">
        <w:rPr>
          <w:lang w:val="en-AU"/>
        </w:rPr>
        <w:instrText xml:space="preserve"> SEQ Table \* ARABIC </w:instrText>
      </w:r>
      <w:r w:rsidRPr="0063530D">
        <w:rPr>
          <w:lang w:val="en-AU"/>
        </w:rPr>
        <w:fldChar w:fldCharType="separate"/>
      </w:r>
      <w:r w:rsidR="001F32F5">
        <w:rPr>
          <w:noProof/>
          <w:lang w:val="en-AU"/>
        </w:rPr>
        <w:t>5</w:t>
      </w:r>
      <w:r w:rsidRPr="0063530D">
        <w:rPr>
          <w:lang w:val="en-AU"/>
        </w:rPr>
        <w:fldChar w:fldCharType="end"/>
      </w:r>
      <w:bookmarkEnd w:id="13"/>
      <w:r w:rsidRPr="0063530D">
        <w:rPr>
          <w:lang w:val="en-AU"/>
        </w:rPr>
        <w:t xml:space="preserve"> ­ FIM12:</w:t>
      </w:r>
      <w:r w:rsidRPr="0063530D">
        <w:rPr>
          <w:vertAlign w:val="superscript"/>
          <w:lang w:val="en-AU"/>
        </w:rPr>
        <w:t xml:space="preserve"> </w:t>
      </w:r>
      <w:r w:rsidRPr="0063530D">
        <w:rPr>
          <w:lang w:val="en-AU"/>
        </w:rPr>
        <w:t xml:space="preserve">Relative Efficacy Against Laboratory-Confirmed </w:t>
      </w:r>
      <w:proofErr w:type="spellStart"/>
      <w:r w:rsidRPr="0063530D">
        <w:rPr>
          <w:lang w:val="en-AU"/>
        </w:rPr>
        <w:t>Influenza</w:t>
      </w:r>
      <w:r w:rsidR="002D6151" w:rsidRPr="0063530D">
        <w:rPr>
          <w:vertAlign w:val="superscript"/>
          <w:lang w:val="en-AU"/>
        </w:rPr>
        <w:t>a</w:t>
      </w:r>
      <w:proofErr w:type="spellEnd"/>
      <w:r w:rsidRPr="0063530D">
        <w:rPr>
          <w:lang w:val="en-AU"/>
        </w:rPr>
        <w:t xml:space="preserve"> Regardless of Similarity to the Vaccine Components, Associated with Influenza-Like </w:t>
      </w:r>
      <w:proofErr w:type="spellStart"/>
      <w:r w:rsidRPr="0063530D">
        <w:rPr>
          <w:lang w:val="en-AU"/>
        </w:rPr>
        <w:t>Illness</w:t>
      </w:r>
      <w:r w:rsidR="002D6151" w:rsidRPr="0063530D">
        <w:rPr>
          <w:vertAlign w:val="superscript"/>
          <w:lang w:val="en-AU"/>
        </w:rPr>
        <w:t>b</w:t>
      </w:r>
      <w:proofErr w:type="spellEnd"/>
      <w:r w:rsidRPr="0063530D">
        <w:rPr>
          <w:lang w:val="en-AU"/>
        </w:rPr>
        <w:t>, Adults 65 Years of Age and Older</w:t>
      </w:r>
    </w:p>
    <w:tbl>
      <w:tblPr>
        <w:tblW w:w="0" w:type="auto"/>
        <w:jc w:val="center"/>
        <w:tblBorders>
          <w:top w:val="single" w:sz="2" w:space="0" w:color="000000"/>
        </w:tblBorders>
        <w:tblLook w:val="04A0" w:firstRow="1" w:lastRow="0" w:firstColumn="1" w:lastColumn="0" w:noHBand="0" w:noVBand="1"/>
      </w:tblPr>
      <w:tblGrid>
        <w:gridCol w:w="2420"/>
        <w:gridCol w:w="2421"/>
        <w:gridCol w:w="2422"/>
        <w:gridCol w:w="2422"/>
      </w:tblGrid>
      <w:tr w:rsidR="00B800D3" w:rsidRPr="0063530D" w:rsidTr="009F505A">
        <w:trPr>
          <w:cantSplit/>
          <w:tblHeader/>
          <w:jc w:val="center"/>
        </w:trPr>
        <w:tc>
          <w:tcPr>
            <w:tcW w:w="2421" w:type="dxa"/>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p>
        </w:tc>
        <w:tc>
          <w:tcPr>
            <w:tcW w:w="2421" w:type="dxa"/>
            <w:tcBorders>
              <w:top w:val="single" w:sz="4" w:space="0" w:color="000000"/>
              <w:bottom w:val="single" w:sz="4" w:space="0" w:color="000000"/>
            </w:tcBorders>
            <w:shd w:val="clear" w:color="auto" w:fill="auto"/>
            <w:vAlign w:val="bottom"/>
          </w:tcPr>
          <w:p w:rsidR="00B800D3" w:rsidRPr="0063530D" w:rsidRDefault="009927DF" w:rsidP="009927DF">
            <w:pPr>
              <w:spacing w:after="120"/>
              <w:jc w:val="center"/>
              <w:rPr>
                <w:rFonts w:ascii="Arial" w:hAnsi="Arial" w:cs="Arial"/>
                <w:b/>
                <w:noProof/>
                <w:color w:val="auto"/>
                <w:sz w:val="20"/>
                <w:szCs w:val="20"/>
                <w:lang w:val="en-AU"/>
              </w:rPr>
            </w:pPr>
            <w:r w:rsidRPr="0063530D">
              <w:rPr>
                <w:rFonts w:ascii="Arial" w:hAnsi="Arial" w:cs="Arial"/>
                <w:b/>
                <w:noProof/>
                <w:color w:val="auto"/>
                <w:sz w:val="20"/>
                <w:szCs w:val="20"/>
                <w:lang w:val="en-AU"/>
              </w:rPr>
              <w:t>Fluzone High-Dose</w:t>
            </w:r>
            <w:r w:rsidR="00B368D1" w:rsidRPr="0063530D">
              <w:rPr>
                <w:rFonts w:ascii="Arial" w:eastAsia="MS Gothic" w:hAnsi="Arial" w:cs="Arial"/>
                <w:b/>
                <w:noProof/>
                <w:color w:val="auto"/>
                <w:sz w:val="20"/>
                <w:szCs w:val="20"/>
                <w:lang w:val="en-AU"/>
              </w:rPr>
              <w:br/>
            </w:r>
            <w:r w:rsidR="00B800D3" w:rsidRPr="0063530D">
              <w:rPr>
                <w:rFonts w:ascii="Arial" w:eastAsia="MS Gothic" w:hAnsi="Arial" w:cs="Arial"/>
                <w:b/>
                <w:noProof/>
                <w:color w:val="auto"/>
                <w:sz w:val="20"/>
                <w:szCs w:val="20"/>
                <w:lang w:val="en-AU"/>
              </w:rPr>
              <w:t>N</w:t>
            </w:r>
            <w:r w:rsidR="002D6151" w:rsidRPr="0063530D">
              <w:rPr>
                <w:rFonts w:ascii="Arial" w:eastAsia="MS Gothic" w:hAnsi="Arial" w:cs="Arial"/>
                <w:b/>
                <w:noProof/>
                <w:color w:val="auto"/>
                <w:sz w:val="20"/>
                <w:szCs w:val="20"/>
                <w:vertAlign w:val="superscript"/>
                <w:lang w:val="en-AU"/>
              </w:rPr>
              <w:t>c</w:t>
            </w:r>
            <w:r w:rsidR="00B800D3" w:rsidRPr="0063530D">
              <w:rPr>
                <w:rFonts w:ascii="Arial" w:eastAsia="MS Gothic" w:hAnsi="Arial" w:cs="Arial"/>
                <w:b/>
                <w:noProof/>
                <w:color w:val="auto"/>
                <w:sz w:val="20"/>
                <w:szCs w:val="20"/>
                <w:lang w:val="en-AU"/>
              </w:rPr>
              <w:t>=15,892</w:t>
            </w:r>
            <w:r w:rsidR="00B800D3" w:rsidRPr="0063530D">
              <w:rPr>
                <w:rFonts w:ascii="Arial" w:eastAsia="MS Gothic" w:hAnsi="Arial" w:cs="Arial"/>
                <w:b/>
                <w:noProof/>
                <w:color w:val="auto"/>
                <w:sz w:val="20"/>
                <w:szCs w:val="20"/>
                <w:lang w:val="en-AU"/>
              </w:rPr>
              <w:br/>
              <w:t>n</w:t>
            </w:r>
            <w:r w:rsidR="002D6151" w:rsidRPr="0063530D">
              <w:rPr>
                <w:rFonts w:ascii="Arial" w:eastAsia="MS Gothic" w:hAnsi="Arial" w:cs="Arial"/>
                <w:b/>
                <w:noProof/>
                <w:color w:val="auto"/>
                <w:sz w:val="20"/>
                <w:szCs w:val="20"/>
                <w:vertAlign w:val="superscript"/>
                <w:lang w:val="en-AU"/>
              </w:rPr>
              <w:t>d</w:t>
            </w:r>
            <w:r w:rsidR="00B800D3" w:rsidRPr="0063530D">
              <w:rPr>
                <w:rFonts w:ascii="Arial" w:eastAsia="MS Gothic" w:hAnsi="Arial" w:cs="Arial"/>
                <w:b/>
                <w:noProof/>
                <w:color w:val="auto"/>
                <w:sz w:val="20"/>
                <w:szCs w:val="20"/>
                <w:lang w:val="en-AU"/>
              </w:rPr>
              <w:t xml:space="preserve"> (%)</w:t>
            </w:r>
          </w:p>
        </w:tc>
        <w:tc>
          <w:tcPr>
            <w:tcW w:w="2422" w:type="dxa"/>
            <w:tcBorders>
              <w:top w:val="single" w:sz="4" w:space="0" w:color="000000"/>
              <w:bottom w:val="single" w:sz="4" w:space="0" w:color="000000"/>
            </w:tcBorders>
            <w:shd w:val="clear" w:color="auto" w:fill="auto"/>
            <w:vAlign w:val="bottom"/>
          </w:tcPr>
          <w:p w:rsidR="00B800D3" w:rsidRPr="0063530D" w:rsidRDefault="00B62746" w:rsidP="009F505A">
            <w:pPr>
              <w:spacing w:after="120"/>
              <w:jc w:val="center"/>
              <w:rPr>
                <w:rFonts w:ascii="Arial" w:eastAsia="MS Gothic" w:hAnsi="Arial" w:cs="Arial"/>
                <w:b/>
                <w:noProof/>
                <w:color w:val="auto"/>
                <w:sz w:val="20"/>
                <w:szCs w:val="20"/>
                <w:lang w:val="en-AU"/>
              </w:rPr>
            </w:pPr>
            <w:r w:rsidRPr="0063530D">
              <w:rPr>
                <w:rFonts w:ascii="Arial" w:hAnsi="Arial" w:cs="Arial"/>
                <w:b/>
                <w:noProof/>
                <w:color w:val="auto"/>
                <w:sz w:val="20"/>
                <w:szCs w:val="20"/>
                <w:lang w:val="en-AU"/>
              </w:rPr>
              <w:t>Fluzone</w:t>
            </w:r>
            <w:r w:rsidR="00B800D3" w:rsidRPr="0063530D">
              <w:rPr>
                <w:rFonts w:ascii="Arial" w:eastAsia="MS Gothic" w:hAnsi="Arial" w:cs="Arial"/>
                <w:b/>
                <w:noProof/>
                <w:color w:val="auto"/>
                <w:sz w:val="20"/>
                <w:szCs w:val="20"/>
                <w:lang w:val="en-AU"/>
              </w:rPr>
              <w:br/>
              <w:t>N</w:t>
            </w:r>
            <w:r w:rsidR="002D6151" w:rsidRPr="0063530D">
              <w:rPr>
                <w:rFonts w:ascii="Arial" w:eastAsia="MS Gothic" w:hAnsi="Arial" w:cs="Arial"/>
                <w:b/>
                <w:noProof/>
                <w:color w:val="auto"/>
                <w:sz w:val="20"/>
                <w:szCs w:val="20"/>
                <w:vertAlign w:val="superscript"/>
                <w:lang w:val="en-AU"/>
              </w:rPr>
              <w:t>c</w:t>
            </w:r>
            <w:r w:rsidR="00B800D3" w:rsidRPr="0063530D">
              <w:rPr>
                <w:rFonts w:ascii="Arial" w:eastAsia="MS Gothic" w:hAnsi="Arial" w:cs="Arial"/>
                <w:b/>
                <w:noProof/>
                <w:color w:val="auto"/>
                <w:sz w:val="20"/>
                <w:szCs w:val="20"/>
                <w:lang w:val="en-AU"/>
              </w:rPr>
              <w:t>=15,911</w:t>
            </w:r>
            <w:r w:rsidR="00B800D3" w:rsidRPr="0063530D">
              <w:rPr>
                <w:rFonts w:ascii="Arial" w:eastAsia="MS Gothic" w:hAnsi="Arial" w:cs="Arial"/>
                <w:b/>
                <w:noProof/>
                <w:color w:val="auto"/>
                <w:sz w:val="20"/>
                <w:szCs w:val="20"/>
                <w:lang w:val="en-AU"/>
              </w:rPr>
              <w:br/>
              <w:t>n</w:t>
            </w:r>
            <w:r w:rsidR="002D6151" w:rsidRPr="0063530D">
              <w:rPr>
                <w:rFonts w:ascii="Arial" w:eastAsia="MS Gothic" w:hAnsi="Arial" w:cs="Arial"/>
                <w:b/>
                <w:noProof/>
                <w:color w:val="auto"/>
                <w:sz w:val="20"/>
                <w:szCs w:val="20"/>
                <w:vertAlign w:val="superscript"/>
                <w:lang w:val="en-AU"/>
              </w:rPr>
              <w:t>d</w:t>
            </w:r>
            <w:r w:rsidR="00B800D3" w:rsidRPr="0063530D">
              <w:rPr>
                <w:rFonts w:ascii="Arial" w:eastAsia="MS Gothic" w:hAnsi="Arial" w:cs="Arial"/>
                <w:b/>
                <w:noProof/>
                <w:color w:val="auto"/>
                <w:sz w:val="20"/>
                <w:szCs w:val="20"/>
                <w:lang w:val="en-AU"/>
              </w:rPr>
              <w:t xml:space="preserve"> (%)</w:t>
            </w:r>
          </w:p>
        </w:tc>
        <w:tc>
          <w:tcPr>
            <w:tcW w:w="2422" w:type="dxa"/>
            <w:tcBorders>
              <w:top w:val="single" w:sz="4" w:space="0" w:color="000000"/>
              <w:bottom w:val="single" w:sz="4" w:space="0" w:color="000000"/>
            </w:tcBorders>
            <w:shd w:val="clear" w:color="auto" w:fill="auto"/>
            <w:vAlign w:val="bottom"/>
          </w:tcPr>
          <w:p w:rsidR="00B800D3" w:rsidRPr="0063530D" w:rsidRDefault="00B800D3" w:rsidP="009F505A">
            <w:pPr>
              <w:spacing w:after="120"/>
              <w:jc w:val="center"/>
              <w:rPr>
                <w:rFonts w:ascii="Arial" w:eastAsia="MS Gothic" w:hAnsi="Arial" w:cs="Arial"/>
                <w:b/>
                <w:noProof/>
                <w:color w:val="auto"/>
                <w:sz w:val="20"/>
                <w:szCs w:val="20"/>
                <w:lang w:val="en-AU"/>
              </w:rPr>
            </w:pPr>
            <w:r w:rsidRPr="0063530D">
              <w:rPr>
                <w:rFonts w:ascii="Arial" w:eastAsia="MS Gothic" w:hAnsi="Arial" w:cs="Arial"/>
                <w:b/>
                <w:noProof/>
                <w:color w:val="auto"/>
                <w:sz w:val="20"/>
                <w:szCs w:val="20"/>
                <w:lang w:val="en-AU"/>
              </w:rPr>
              <w:t>Relative</w:t>
            </w:r>
            <w:r w:rsidRPr="0063530D">
              <w:rPr>
                <w:rFonts w:ascii="Arial" w:eastAsia="MS Gothic" w:hAnsi="Arial" w:cs="Arial"/>
                <w:b/>
                <w:noProof/>
                <w:color w:val="auto"/>
                <w:sz w:val="20"/>
                <w:szCs w:val="20"/>
                <w:lang w:val="en-AU"/>
              </w:rPr>
              <w:br/>
              <w:t>Efficacy</w:t>
            </w:r>
            <w:r w:rsidRPr="0063530D">
              <w:rPr>
                <w:rFonts w:ascii="Arial" w:eastAsia="MS Gothic" w:hAnsi="Arial" w:cs="Arial"/>
                <w:b/>
                <w:noProof/>
                <w:color w:val="auto"/>
                <w:sz w:val="20"/>
                <w:szCs w:val="20"/>
                <w:lang w:val="en-AU"/>
              </w:rPr>
              <w:br/>
              <w:t>% (95% CI)</w:t>
            </w:r>
          </w:p>
        </w:tc>
      </w:tr>
      <w:tr w:rsidR="00B800D3" w:rsidRPr="0063530D" w:rsidTr="009F505A">
        <w:trPr>
          <w:cantSplit/>
          <w:jc w:val="center"/>
        </w:trPr>
        <w:tc>
          <w:tcPr>
            <w:tcW w:w="2421" w:type="dxa"/>
            <w:tcBorders>
              <w:top w:val="single" w:sz="4" w:space="0" w:color="000000"/>
            </w:tcBorders>
            <w:shd w:val="clear" w:color="auto" w:fill="auto"/>
          </w:tcPr>
          <w:p w:rsidR="00B800D3" w:rsidRPr="0063530D" w:rsidRDefault="00B800D3" w:rsidP="009F505A">
            <w:pPr>
              <w:pStyle w:val="TblTextCenter"/>
              <w:jc w:val="left"/>
              <w:rPr>
                <w:b/>
                <w:lang w:val="en-AU"/>
              </w:rPr>
            </w:pPr>
            <w:r w:rsidRPr="0063530D">
              <w:rPr>
                <w:b/>
                <w:lang w:val="en-AU"/>
              </w:rPr>
              <w:t>Any type/</w:t>
            </w:r>
            <w:proofErr w:type="spellStart"/>
            <w:r w:rsidRPr="0063530D">
              <w:rPr>
                <w:b/>
                <w:lang w:val="en-AU"/>
              </w:rPr>
              <w:t>subtype</w:t>
            </w:r>
            <w:r w:rsidR="002D6151" w:rsidRPr="0063530D">
              <w:rPr>
                <w:b/>
                <w:vertAlign w:val="superscript"/>
                <w:lang w:val="en-AU"/>
              </w:rPr>
              <w:t>e</w:t>
            </w:r>
            <w:proofErr w:type="spellEnd"/>
          </w:p>
        </w:tc>
        <w:tc>
          <w:tcPr>
            <w:tcW w:w="2421" w:type="dxa"/>
            <w:tcBorders>
              <w:top w:val="single" w:sz="4" w:space="0" w:color="000000"/>
            </w:tcBorders>
            <w:shd w:val="clear" w:color="auto" w:fill="auto"/>
            <w:vAlign w:val="center"/>
          </w:tcPr>
          <w:p w:rsidR="00B800D3" w:rsidRPr="0063530D" w:rsidRDefault="00B800D3" w:rsidP="009F505A">
            <w:pPr>
              <w:pStyle w:val="TblTextCenter"/>
              <w:rPr>
                <w:lang w:val="en-AU"/>
              </w:rPr>
            </w:pPr>
            <w:r w:rsidRPr="0063530D">
              <w:rPr>
                <w:lang w:val="en-AU"/>
              </w:rPr>
              <w:t>227 (1.43)</w:t>
            </w:r>
          </w:p>
        </w:tc>
        <w:tc>
          <w:tcPr>
            <w:tcW w:w="2422" w:type="dxa"/>
            <w:tcBorders>
              <w:top w:val="single" w:sz="4" w:space="0" w:color="000000"/>
            </w:tcBorders>
            <w:shd w:val="clear" w:color="auto" w:fill="auto"/>
            <w:vAlign w:val="center"/>
          </w:tcPr>
          <w:p w:rsidR="00B800D3" w:rsidRPr="0063530D" w:rsidRDefault="00B800D3" w:rsidP="009F505A">
            <w:pPr>
              <w:pStyle w:val="TblTextCenter"/>
              <w:rPr>
                <w:lang w:val="en-AU"/>
              </w:rPr>
            </w:pPr>
            <w:r w:rsidRPr="0063530D">
              <w:rPr>
                <w:lang w:val="en-AU"/>
              </w:rPr>
              <w:t>300 (1.89)</w:t>
            </w:r>
          </w:p>
        </w:tc>
        <w:tc>
          <w:tcPr>
            <w:tcW w:w="2422" w:type="dxa"/>
            <w:tcBorders>
              <w:top w:val="single" w:sz="4" w:space="0" w:color="000000"/>
            </w:tcBorders>
            <w:shd w:val="clear" w:color="auto" w:fill="auto"/>
            <w:vAlign w:val="center"/>
          </w:tcPr>
          <w:p w:rsidR="00B800D3" w:rsidRPr="0063530D" w:rsidRDefault="00B800D3" w:rsidP="009F505A">
            <w:pPr>
              <w:pStyle w:val="TblTextCenter"/>
              <w:rPr>
                <w:lang w:val="en-AU"/>
              </w:rPr>
            </w:pPr>
            <w:r w:rsidRPr="0063530D">
              <w:rPr>
                <w:lang w:val="en-AU"/>
              </w:rPr>
              <w:t>24.2 (9.7; 36.5)</w:t>
            </w:r>
            <w:r w:rsidR="002D6151" w:rsidRPr="0063530D">
              <w:rPr>
                <w:vertAlign w:val="superscript"/>
                <w:lang w:val="en-AU"/>
              </w:rPr>
              <w:t>f</w:t>
            </w:r>
          </w:p>
        </w:tc>
      </w:tr>
      <w:tr w:rsidR="00B800D3" w:rsidRPr="0063530D" w:rsidTr="009F505A">
        <w:trPr>
          <w:cantSplit/>
          <w:jc w:val="center"/>
        </w:trPr>
        <w:tc>
          <w:tcPr>
            <w:tcW w:w="2421" w:type="dxa"/>
            <w:shd w:val="clear" w:color="auto" w:fill="auto"/>
          </w:tcPr>
          <w:p w:rsidR="00B800D3" w:rsidRPr="0063530D" w:rsidRDefault="00B800D3" w:rsidP="009F505A">
            <w:pPr>
              <w:pStyle w:val="TblTextCenter"/>
              <w:jc w:val="left"/>
              <w:rPr>
                <w:b/>
                <w:lang w:val="en-AU"/>
              </w:rPr>
            </w:pPr>
            <w:r w:rsidRPr="0063530D">
              <w:rPr>
                <w:b/>
                <w:lang w:val="en-AU"/>
              </w:rPr>
              <w:t>Influenza A</w:t>
            </w:r>
          </w:p>
        </w:tc>
        <w:tc>
          <w:tcPr>
            <w:tcW w:w="2421" w:type="dxa"/>
            <w:shd w:val="clear" w:color="auto" w:fill="auto"/>
            <w:vAlign w:val="center"/>
          </w:tcPr>
          <w:p w:rsidR="00B800D3" w:rsidRPr="0063530D" w:rsidRDefault="00B800D3" w:rsidP="009F505A">
            <w:pPr>
              <w:pStyle w:val="TblTextCenter"/>
              <w:rPr>
                <w:lang w:val="en-AU"/>
              </w:rPr>
            </w:pPr>
            <w:r w:rsidRPr="0063530D">
              <w:rPr>
                <w:lang w:val="en-AU"/>
              </w:rPr>
              <w:t>190 (1.20)</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249 (1.56)</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23.6 (7.4; 37.1)</w:t>
            </w:r>
          </w:p>
        </w:tc>
      </w:tr>
      <w:tr w:rsidR="00B800D3" w:rsidRPr="0063530D" w:rsidTr="009F505A">
        <w:trPr>
          <w:cantSplit/>
          <w:jc w:val="center"/>
        </w:trPr>
        <w:tc>
          <w:tcPr>
            <w:tcW w:w="2421" w:type="dxa"/>
            <w:shd w:val="clear" w:color="auto" w:fill="auto"/>
          </w:tcPr>
          <w:p w:rsidR="00B800D3" w:rsidRPr="0063530D" w:rsidRDefault="00B800D3" w:rsidP="009F505A">
            <w:pPr>
              <w:pStyle w:val="TblTextCenter"/>
              <w:jc w:val="left"/>
              <w:rPr>
                <w:b/>
                <w:lang w:val="en-AU"/>
              </w:rPr>
            </w:pPr>
            <w:r w:rsidRPr="0063530D">
              <w:rPr>
                <w:b/>
                <w:lang w:val="en-AU"/>
              </w:rPr>
              <w:lastRenderedPageBreak/>
              <w:t>A (H1N1)</w:t>
            </w:r>
          </w:p>
        </w:tc>
        <w:tc>
          <w:tcPr>
            <w:tcW w:w="2421" w:type="dxa"/>
            <w:shd w:val="clear" w:color="auto" w:fill="auto"/>
            <w:vAlign w:val="center"/>
          </w:tcPr>
          <w:p w:rsidR="00B800D3" w:rsidRPr="0063530D" w:rsidRDefault="00B800D3" w:rsidP="009F505A">
            <w:pPr>
              <w:pStyle w:val="TblTextCenter"/>
              <w:rPr>
                <w:lang w:val="en-AU"/>
              </w:rPr>
            </w:pPr>
            <w:r w:rsidRPr="0063530D">
              <w:rPr>
                <w:lang w:val="en-AU"/>
              </w:rPr>
              <w:t>8 (0.05)</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9 (0.06)</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11.0 (-159.9; 70.1)</w:t>
            </w:r>
          </w:p>
        </w:tc>
      </w:tr>
      <w:tr w:rsidR="00B800D3" w:rsidRPr="0063530D" w:rsidTr="009F505A">
        <w:trPr>
          <w:cantSplit/>
          <w:jc w:val="center"/>
        </w:trPr>
        <w:tc>
          <w:tcPr>
            <w:tcW w:w="2421" w:type="dxa"/>
            <w:shd w:val="clear" w:color="auto" w:fill="auto"/>
          </w:tcPr>
          <w:p w:rsidR="00B800D3" w:rsidRPr="0063530D" w:rsidRDefault="00B800D3" w:rsidP="009F505A">
            <w:pPr>
              <w:pStyle w:val="TblTextCenter"/>
              <w:jc w:val="left"/>
              <w:rPr>
                <w:b/>
                <w:lang w:val="en-AU"/>
              </w:rPr>
            </w:pPr>
            <w:r w:rsidRPr="0063530D">
              <w:rPr>
                <w:b/>
                <w:lang w:val="en-AU"/>
              </w:rPr>
              <w:t>A (H3N2)</w:t>
            </w:r>
          </w:p>
        </w:tc>
        <w:tc>
          <w:tcPr>
            <w:tcW w:w="2421" w:type="dxa"/>
            <w:shd w:val="clear" w:color="auto" w:fill="auto"/>
            <w:vAlign w:val="center"/>
          </w:tcPr>
          <w:p w:rsidR="00B800D3" w:rsidRPr="0063530D" w:rsidRDefault="00B800D3" w:rsidP="009F505A">
            <w:pPr>
              <w:pStyle w:val="TblTextCenter"/>
              <w:rPr>
                <w:lang w:val="en-AU"/>
              </w:rPr>
            </w:pPr>
            <w:r w:rsidRPr="0063530D">
              <w:rPr>
                <w:lang w:val="en-AU"/>
              </w:rPr>
              <w:t>171 (1.08)</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222 (1.40)</w:t>
            </w:r>
          </w:p>
        </w:tc>
        <w:tc>
          <w:tcPr>
            <w:tcW w:w="2422" w:type="dxa"/>
            <w:shd w:val="clear" w:color="auto" w:fill="auto"/>
            <w:vAlign w:val="center"/>
          </w:tcPr>
          <w:p w:rsidR="00B800D3" w:rsidRPr="0063530D" w:rsidRDefault="00B800D3" w:rsidP="009F505A">
            <w:pPr>
              <w:pStyle w:val="TblTextCenter"/>
              <w:rPr>
                <w:lang w:val="en-AU"/>
              </w:rPr>
            </w:pPr>
            <w:r w:rsidRPr="0063530D">
              <w:rPr>
                <w:lang w:val="en-AU"/>
              </w:rPr>
              <w:t>22.9 (5.4; 37.2)</w:t>
            </w:r>
          </w:p>
        </w:tc>
      </w:tr>
      <w:tr w:rsidR="00B800D3" w:rsidRPr="0063530D" w:rsidTr="009F505A">
        <w:trPr>
          <w:cantSplit/>
          <w:jc w:val="center"/>
        </w:trPr>
        <w:tc>
          <w:tcPr>
            <w:tcW w:w="2421" w:type="dxa"/>
            <w:tcBorders>
              <w:bottom w:val="single" w:sz="12" w:space="0" w:color="auto"/>
            </w:tcBorders>
            <w:shd w:val="clear" w:color="auto" w:fill="auto"/>
          </w:tcPr>
          <w:p w:rsidR="00B800D3" w:rsidRPr="0063530D" w:rsidRDefault="00B800D3" w:rsidP="009F505A">
            <w:pPr>
              <w:pStyle w:val="TblTextCenter"/>
              <w:jc w:val="left"/>
              <w:rPr>
                <w:b/>
                <w:lang w:val="en-AU"/>
              </w:rPr>
            </w:pPr>
            <w:r w:rsidRPr="0063530D">
              <w:rPr>
                <w:b/>
                <w:lang w:val="en-AU"/>
              </w:rPr>
              <w:t xml:space="preserve">Influenza </w:t>
            </w:r>
            <w:proofErr w:type="spellStart"/>
            <w:r w:rsidRPr="0063530D">
              <w:rPr>
                <w:b/>
                <w:lang w:val="en-AU"/>
              </w:rPr>
              <w:t>B</w:t>
            </w:r>
            <w:r w:rsidR="002D6151" w:rsidRPr="0063530D">
              <w:rPr>
                <w:b/>
                <w:vertAlign w:val="superscript"/>
                <w:lang w:val="en-AU"/>
              </w:rPr>
              <w:t>g</w:t>
            </w:r>
            <w:proofErr w:type="spellEnd"/>
          </w:p>
        </w:tc>
        <w:tc>
          <w:tcPr>
            <w:tcW w:w="2421"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37 (0.23)</w:t>
            </w:r>
          </w:p>
        </w:tc>
        <w:tc>
          <w:tcPr>
            <w:tcW w:w="2422"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51 (0.32)</w:t>
            </w:r>
          </w:p>
        </w:tc>
        <w:tc>
          <w:tcPr>
            <w:tcW w:w="2422"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27.4 (-13.1; 53.8)</w:t>
            </w:r>
          </w:p>
        </w:tc>
      </w:tr>
      <w:tr w:rsidR="00B800D3" w:rsidRPr="0063530D" w:rsidTr="009F505A">
        <w:trPr>
          <w:cantSplit/>
          <w:jc w:val="center"/>
        </w:trPr>
        <w:tc>
          <w:tcPr>
            <w:tcW w:w="9686" w:type="dxa"/>
            <w:gridSpan w:val="4"/>
            <w:tcBorders>
              <w:top w:val="single" w:sz="12" w:space="0" w:color="auto"/>
            </w:tcBorders>
            <w:shd w:val="clear" w:color="auto" w:fill="auto"/>
          </w:tcPr>
          <w:p w:rsidR="00B800D3" w:rsidRPr="0063530D" w:rsidRDefault="002D6151" w:rsidP="009F505A">
            <w:pPr>
              <w:spacing w:before="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a</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 xml:space="preserve">Laboratory-confirmed: culture- or polymerase-chain-reaction-confirmed </w:t>
            </w:r>
          </w:p>
          <w:p w:rsidR="00B800D3" w:rsidRPr="0063530D" w:rsidRDefault="002D6151" w:rsidP="009F505A">
            <w:pPr>
              <w:spacing w:before="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b</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 xml:space="preserve">Occurrence of at least one of the following respiratory symptoms: sore throat, cough, sputum production, wheezing, or difficulty breathing; concurrent with at least one of the following systemic signs or symptoms: temperature </w:t>
            </w:r>
            <w:r w:rsidR="00DE2974" w:rsidRPr="0063530D">
              <w:rPr>
                <w:rFonts w:ascii="Arial Narrow" w:eastAsia="Times New Roman" w:hAnsi="Arial Narrow"/>
                <w:color w:val="auto"/>
                <w:sz w:val="18"/>
                <w:szCs w:val="18"/>
                <w:lang w:val="en-AU"/>
              </w:rPr>
              <w:t>&gt; 37.2°C</w:t>
            </w:r>
            <w:r w:rsidR="00B800D3" w:rsidRPr="0063530D">
              <w:rPr>
                <w:rFonts w:ascii="Arial Narrow" w:eastAsia="Times New Roman" w:hAnsi="Arial Narrow"/>
                <w:color w:val="auto"/>
                <w:sz w:val="18"/>
                <w:szCs w:val="18"/>
                <w:lang w:val="en-AU"/>
              </w:rPr>
              <w:t>, chills, tiredness, headaches or myalgia</w:t>
            </w:r>
          </w:p>
          <w:p w:rsidR="00B800D3" w:rsidRPr="0063530D" w:rsidRDefault="002D6151" w:rsidP="009F505A">
            <w:pPr>
              <w:spacing w:before="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c</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N is the number of vaccinated participants in the per-protocol analysis set for efficacy assessments</w:t>
            </w:r>
          </w:p>
          <w:p w:rsidR="00B800D3" w:rsidRPr="0063530D" w:rsidRDefault="002D6151" w:rsidP="009F505A">
            <w:pPr>
              <w:spacing w:before="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d</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n is the number of participants with protocol-defined influenza-like illness with laboratory confirmation</w:t>
            </w:r>
          </w:p>
          <w:p w:rsidR="00B800D3" w:rsidRPr="0063530D" w:rsidRDefault="002D6151" w:rsidP="009F505A">
            <w:pPr>
              <w:spacing w:before="0"/>
              <w:rPr>
                <w:rFonts w:ascii="Arial Narrow" w:eastAsia="Times New Roman" w:hAnsi="Arial Narrow"/>
                <w:color w:val="auto"/>
                <w:sz w:val="18"/>
                <w:szCs w:val="18"/>
                <w:lang w:val="en-AU"/>
              </w:rPr>
            </w:pPr>
            <w:r w:rsidRPr="0063530D">
              <w:rPr>
                <w:rFonts w:ascii="Arial Narrow" w:eastAsia="Times New Roman" w:hAnsi="Arial Narrow"/>
                <w:color w:val="auto"/>
                <w:sz w:val="18"/>
                <w:szCs w:val="18"/>
                <w:vertAlign w:val="superscript"/>
                <w:lang w:val="en-AU"/>
              </w:rPr>
              <w:t>e</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Primary endpoint</w:t>
            </w:r>
          </w:p>
          <w:p w:rsidR="00B800D3" w:rsidRPr="0063530D" w:rsidRDefault="002D6151" w:rsidP="009F505A">
            <w:pPr>
              <w:spacing w:before="0"/>
              <w:rPr>
                <w:rFonts w:ascii="Arial Narrow" w:eastAsia="Times New Roman" w:hAnsi="Arial Narrow"/>
                <w:color w:val="auto"/>
                <w:sz w:val="18"/>
                <w:szCs w:val="18"/>
                <w:lang w:val="en-AU"/>
              </w:rPr>
            </w:pPr>
            <w:proofErr w:type="spellStart"/>
            <w:proofErr w:type="gramStart"/>
            <w:r w:rsidRPr="0063530D">
              <w:rPr>
                <w:rFonts w:ascii="Arial Narrow" w:eastAsia="Times New Roman" w:hAnsi="Arial Narrow"/>
                <w:color w:val="auto"/>
                <w:sz w:val="18"/>
                <w:szCs w:val="18"/>
                <w:vertAlign w:val="superscript"/>
                <w:lang w:val="en-AU"/>
              </w:rPr>
              <w:t>f</w:t>
            </w:r>
            <w:proofErr w:type="spellEnd"/>
            <w:proofErr w:type="gramEnd"/>
            <w:r w:rsidR="00B800D3" w:rsidRPr="0063530D">
              <w:rPr>
                <w:rFonts w:ascii="Arial Narrow" w:eastAsia="Times New Roman" w:hAnsi="Arial Narrow"/>
                <w:color w:val="auto"/>
                <w:sz w:val="18"/>
                <w:szCs w:val="18"/>
                <w:lang w:val="en-AU"/>
              </w:rPr>
              <w:t xml:space="preserve"> The pre-specified statistical superiority criterion for the primary endpoint (lower limit of the 2-sided 95% CI of the vaccine efficacy of </w:t>
            </w:r>
            <w:r w:rsidR="009927DF" w:rsidRPr="0063530D">
              <w:rPr>
                <w:rFonts w:ascii="Arial Narrow" w:hAnsi="Arial Narrow"/>
                <w:noProof/>
                <w:color w:val="auto"/>
                <w:sz w:val="18"/>
                <w:szCs w:val="18"/>
                <w:lang w:val="en-AU"/>
              </w:rPr>
              <w:t>Fluzone High-Dose</w:t>
            </w:r>
            <w:r w:rsidR="009927DF" w:rsidRPr="0063530D">
              <w:rPr>
                <w:rFonts w:ascii="Arial Narrow" w:eastAsia="Times New Roman" w:hAnsi="Arial Narrow"/>
                <w:color w:val="auto"/>
                <w:sz w:val="18"/>
                <w:szCs w:val="18"/>
                <w:lang w:val="en-AU"/>
              </w:rPr>
              <w:t xml:space="preserve"> </w:t>
            </w:r>
            <w:r w:rsidR="00B368D1" w:rsidRPr="0063530D">
              <w:rPr>
                <w:rFonts w:ascii="Arial Narrow" w:eastAsia="Times New Roman" w:hAnsi="Arial Narrow"/>
                <w:color w:val="auto"/>
                <w:sz w:val="18"/>
                <w:szCs w:val="18"/>
                <w:lang w:val="en-AU"/>
              </w:rPr>
              <w:t xml:space="preserve">relative to </w:t>
            </w:r>
            <w:r w:rsidR="001415F9" w:rsidRPr="0063530D">
              <w:rPr>
                <w:rFonts w:ascii="Arial Narrow" w:hAnsi="Arial Narrow"/>
                <w:noProof/>
                <w:color w:val="auto"/>
                <w:sz w:val="18"/>
                <w:szCs w:val="18"/>
                <w:lang w:val="en-AU"/>
              </w:rPr>
              <w:t>Fluzone</w:t>
            </w:r>
            <w:r w:rsidR="001415F9" w:rsidRPr="0063530D">
              <w:rPr>
                <w:rFonts w:ascii="Arial Narrow" w:eastAsia="Times New Roman" w:hAnsi="Arial Narrow"/>
                <w:color w:val="auto"/>
                <w:sz w:val="18"/>
                <w:szCs w:val="18"/>
                <w:lang w:val="en-AU"/>
              </w:rPr>
              <w:t xml:space="preserve"> </w:t>
            </w:r>
            <w:r w:rsidR="00B800D3" w:rsidRPr="0063530D">
              <w:rPr>
                <w:rFonts w:ascii="Arial Narrow" w:eastAsia="Times New Roman" w:hAnsi="Arial Narrow"/>
                <w:color w:val="auto"/>
                <w:sz w:val="18"/>
                <w:szCs w:val="18"/>
                <w:lang w:val="en-AU"/>
              </w:rPr>
              <w:t>&gt; 9.1%) was met.</w:t>
            </w:r>
          </w:p>
          <w:p w:rsidR="00B800D3" w:rsidRPr="0063530D" w:rsidRDefault="002D6151" w:rsidP="009F505A">
            <w:pPr>
              <w:spacing w:before="0"/>
              <w:rPr>
                <w:color w:val="auto"/>
                <w:lang w:val="en-AU"/>
              </w:rPr>
            </w:pPr>
            <w:r w:rsidRPr="0063530D">
              <w:rPr>
                <w:rFonts w:ascii="Arial Narrow" w:eastAsia="Times New Roman" w:hAnsi="Arial Narrow"/>
                <w:color w:val="auto"/>
                <w:sz w:val="18"/>
                <w:szCs w:val="18"/>
                <w:vertAlign w:val="superscript"/>
                <w:lang w:val="en-AU"/>
              </w:rPr>
              <w:t>g</w:t>
            </w:r>
            <w:r w:rsidR="00B800D3" w:rsidRPr="0063530D">
              <w:rPr>
                <w:rFonts w:ascii="Arial Narrow" w:eastAsia="Times New Roman" w:hAnsi="Arial Narrow"/>
                <w:color w:val="auto"/>
                <w:sz w:val="18"/>
                <w:szCs w:val="18"/>
                <w:vertAlign w:val="superscript"/>
                <w:lang w:val="en-AU"/>
              </w:rPr>
              <w:t xml:space="preserve"> </w:t>
            </w:r>
            <w:r w:rsidR="00B800D3" w:rsidRPr="0063530D">
              <w:rPr>
                <w:rFonts w:ascii="Arial Narrow" w:eastAsia="Times New Roman" w:hAnsi="Arial Narrow"/>
                <w:color w:val="auto"/>
                <w:sz w:val="18"/>
                <w:szCs w:val="18"/>
                <w:lang w:val="en-AU"/>
              </w:rPr>
              <w:t>In the first year of the study the influenza B component of the vaccine and the majority of influenza B cases were of the Victoria lineage; in the second year the influenza B component of the vaccine and the majority of influenza B cases were of the Yamagata lineage</w:t>
            </w:r>
          </w:p>
        </w:tc>
      </w:tr>
    </w:tbl>
    <w:p w:rsidR="00B800D3" w:rsidRPr="0063530D" w:rsidRDefault="00B800D3" w:rsidP="00B800D3">
      <w:pPr>
        <w:jc w:val="both"/>
        <w:rPr>
          <w:noProof/>
          <w:color w:val="auto"/>
          <w:szCs w:val="16"/>
          <w:lang w:val="en-AU"/>
        </w:rPr>
      </w:pPr>
      <w:bookmarkStart w:id="14" w:name="Table_20140702_110048SNPH"/>
      <w:r w:rsidRPr="0063530D">
        <w:rPr>
          <w:noProof/>
          <w:color w:val="auto"/>
          <w:szCs w:val="16"/>
          <w:lang w:val="en-AU"/>
        </w:rPr>
        <w:t>A secondary endpoint of the study was the occurrence of culture-confirmed influenza caused by viral types/subtypes antigenically similar to those contained in the respective annual vaccine formulations in association with a modified CDC-defined ILI, defined as the occurrence of a temperature &gt;</w:t>
      </w:r>
      <w:r w:rsidR="006A7836" w:rsidRPr="0063530D">
        <w:rPr>
          <w:noProof/>
          <w:color w:val="auto"/>
          <w:szCs w:val="16"/>
          <w:lang w:val="en-AU"/>
        </w:rPr>
        <w:t xml:space="preserve"> 37.2°C</w:t>
      </w:r>
      <w:r w:rsidRPr="0063530D">
        <w:rPr>
          <w:noProof/>
          <w:color w:val="auto"/>
          <w:szCs w:val="16"/>
          <w:lang w:val="en-AU"/>
        </w:rPr>
        <w:t xml:space="preserve"> with cough or sore throat. The efficacy of </w:t>
      </w:r>
      <w:r w:rsidR="009927DF" w:rsidRPr="0063530D">
        <w:rPr>
          <w:noProof/>
          <w:color w:val="auto"/>
          <w:szCs w:val="16"/>
          <w:lang w:val="en-AU"/>
        </w:rPr>
        <w:t>Fluzone High-Dose</w:t>
      </w:r>
      <w:r w:rsidR="00B368D1" w:rsidRPr="0063530D">
        <w:rPr>
          <w:noProof/>
          <w:color w:val="auto"/>
          <w:szCs w:val="16"/>
          <w:lang w:val="en-AU"/>
        </w:rPr>
        <w:t xml:space="preserve"> </w:t>
      </w:r>
      <w:r w:rsidRPr="0063530D">
        <w:rPr>
          <w:noProof/>
          <w:color w:val="auto"/>
          <w:szCs w:val="16"/>
          <w:lang w:val="en-AU"/>
        </w:rPr>
        <w:t xml:space="preserve">relative to </w:t>
      </w:r>
      <w:r w:rsidR="001415F9" w:rsidRPr="0063530D">
        <w:rPr>
          <w:noProof/>
          <w:color w:val="auto"/>
          <w:szCs w:val="16"/>
          <w:lang w:val="en-AU"/>
        </w:rPr>
        <w:t>Fluzone</w:t>
      </w:r>
      <w:r w:rsidR="00B368D1" w:rsidRPr="0063530D">
        <w:rPr>
          <w:noProof/>
          <w:color w:val="auto"/>
          <w:szCs w:val="16"/>
          <w:lang w:val="en-AU"/>
        </w:rPr>
        <w:t xml:space="preserve"> </w:t>
      </w:r>
      <w:r w:rsidRPr="0063530D">
        <w:rPr>
          <w:noProof/>
          <w:color w:val="auto"/>
          <w:szCs w:val="16"/>
          <w:lang w:val="en-AU"/>
        </w:rPr>
        <w:t>for this endpoint was 51.1% (95% CI: 16.8; 72.0).</w:t>
      </w:r>
      <w:bookmarkEnd w:id="14"/>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lang w:val="en-AU"/>
        </w:rPr>
        <w:t>INDICATIONS</w:t>
      </w:r>
    </w:p>
    <w:p w:rsidR="00B800D3" w:rsidRPr="0063530D" w:rsidRDefault="00B800D3" w:rsidP="00B800D3">
      <w:pPr>
        <w:ind w:right="-24"/>
        <w:jc w:val="both"/>
        <w:rPr>
          <w:noProof/>
          <w:color w:val="auto"/>
          <w:szCs w:val="16"/>
          <w:lang w:val="en-AU"/>
        </w:rPr>
      </w:pPr>
      <w:proofErr w:type="spellStart"/>
      <w:r w:rsidRPr="0063530D">
        <w:rPr>
          <w:color w:val="auto"/>
          <w:lang w:val="en-AU"/>
        </w:rPr>
        <w:t>Fluzone</w:t>
      </w:r>
      <w:proofErr w:type="spellEnd"/>
      <w:r w:rsidRPr="0063530D">
        <w:rPr>
          <w:color w:val="auto"/>
          <w:lang w:val="en-AU"/>
        </w:rPr>
        <w:t xml:space="preserve"> High-Dose is indicated for active immunisation against influenza disease caused by influenza virus </w:t>
      </w:r>
      <w:r w:rsidRPr="0063530D">
        <w:rPr>
          <w:iCs/>
          <w:color w:val="auto"/>
          <w:lang w:val="en-AU"/>
        </w:rPr>
        <w:t xml:space="preserve">types A and B contained in the vaccine </w:t>
      </w:r>
      <w:r w:rsidR="006832F8" w:rsidRPr="0063530D">
        <w:rPr>
          <w:color w:val="auto"/>
          <w:lang w:val="en-AU"/>
        </w:rPr>
        <w:t xml:space="preserve">for use </w:t>
      </w:r>
      <w:r w:rsidRPr="0063530D">
        <w:rPr>
          <w:color w:val="auto"/>
          <w:lang w:val="en-AU"/>
        </w:rPr>
        <w:t>in persons 65 years of age and older.</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CONTRAINDICATIONS</w:t>
      </w:r>
    </w:p>
    <w:p w:rsidR="007821C2" w:rsidRDefault="00B800D3" w:rsidP="007821C2">
      <w:pPr>
        <w:jc w:val="both"/>
        <w:rPr>
          <w:noProof/>
          <w:szCs w:val="16"/>
          <w:lang w:val="en-AU"/>
        </w:rPr>
      </w:pPr>
      <w:r w:rsidRPr="0063530D">
        <w:rPr>
          <w:noProof/>
          <w:color w:val="auto"/>
          <w:szCs w:val="16"/>
          <w:lang w:val="en-AU"/>
        </w:rPr>
        <w:t xml:space="preserve">Fluzone </w:t>
      </w:r>
      <w:r w:rsidR="007821C2" w:rsidRPr="00B04A31">
        <w:rPr>
          <w:noProof/>
          <w:szCs w:val="16"/>
          <w:lang w:val="en-AU"/>
        </w:rPr>
        <w:t xml:space="preserve">High-Dose should not be administered to anyone with a known systemic hypersensitivity reaction after previous administration of any influenza vaccine or to any component of the vaccine </w:t>
      </w:r>
      <w:r w:rsidR="007821C2" w:rsidRPr="00A34008">
        <w:rPr>
          <w:noProof/>
          <w:szCs w:val="16"/>
          <w:lang w:val="en-AU"/>
        </w:rPr>
        <w:t>(e.g. egg or egg products)</w:t>
      </w:r>
      <w:r w:rsidR="007821C2" w:rsidRPr="00B04A31">
        <w:rPr>
          <w:noProof/>
          <w:szCs w:val="16"/>
          <w:lang w:val="en-AU"/>
        </w:rPr>
        <w:t xml:space="preserve"> </w:t>
      </w:r>
      <w:r w:rsidR="007821C2" w:rsidRPr="00B04A31">
        <w:rPr>
          <w:bCs/>
          <w:noProof/>
          <w:szCs w:val="16"/>
          <w:lang w:val="en-AU"/>
        </w:rPr>
        <w:t>(</w:t>
      </w:r>
      <w:r w:rsidR="007821C2" w:rsidRPr="00B04A31">
        <w:rPr>
          <w:iCs/>
          <w:noProof/>
          <w:szCs w:val="16"/>
          <w:lang w:val="en-AU"/>
        </w:rPr>
        <w:t xml:space="preserve">see </w:t>
      </w:r>
      <w:r w:rsidR="007821C2" w:rsidRPr="00B04A31">
        <w:rPr>
          <w:b/>
          <w:iCs/>
          <w:noProof/>
          <w:szCs w:val="16"/>
          <w:lang w:val="en-AU"/>
        </w:rPr>
        <w:t>DESCRIPTION</w:t>
      </w:r>
      <w:r w:rsidR="007821C2" w:rsidRPr="00B04A31">
        <w:rPr>
          <w:iCs/>
          <w:noProof/>
          <w:szCs w:val="16"/>
          <w:lang w:val="en-AU"/>
        </w:rPr>
        <w:t>)</w:t>
      </w:r>
      <w:r w:rsidR="007821C2" w:rsidRPr="00B04A31">
        <w:rPr>
          <w:noProof/>
          <w:szCs w:val="16"/>
          <w:lang w:val="en-AU"/>
        </w:rPr>
        <w:t>.</w:t>
      </w:r>
    </w:p>
    <w:p w:rsidR="007821C2" w:rsidRPr="00A34008" w:rsidRDefault="007821C2" w:rsidP="007821C2">
      <w:pPr>
        <w:jc w:val="both"/>
        <w:rPr>
          <w:noProof/>
          <w:szCs w:val="16"/>
          <w:lang w:val="en-AU"/>
        </w:rPr>
      </w:pPr>
      <w:r w:rsidRPr="00A34008">
        <w:rPr>
          <w:noProof/>
          <w:szCs w:val="16"/>
          <w:lang w:val="en-AU"/>
        </w:rPr>
        <w:t>Fluzone High-Dose should be given in accordance with national recommendations as per the current Immunisation Handbook</w:t>
      </w:r>
      <w:r w:rsidR="00A34008">
        <w:rPr>
          <w:noProof/>
          <w:szCs w:val="16"/>
          <w:lang w:val="en-AU"/>
        </w:rPr>
        <w:t>.</w:t>
      </w:r>
    </w:p>
    <w:p w:rsidR="00B800D3" w:rsidRPr="0063530D" w:rsidRDefault="00B800D3" w:rsidP="007821C2">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PRECAUTIONS</w:t>
      </w:r>
    </w:p>
    <w:p w:rsidR="00B800D3" w:rsidRPr="0063530D" w:rsidRDefault="00B800D3" w:rsidP="00B800D3">
      <w:pPr>
        <w:autoSpaceDE w:val="0"/>
        <w:autoSpaceDN w:val="0"/>
        <w:adjustRightInd w:val="0"/>
        <w:spacing w:before="0"/>
        <w:rPr>
          <w:color w:val="auto"/>
          <w:highlight w:val="yellow"/>
          <w:lang w:val="en-AU" w:eastAsia="ja-JP"/>
        </w:rPr>
      </w:pPr>
    </w:p>
    <w:p w:rsidR="00B800D3" w:rsidRPr="0063530D" w:rsidRDefault="00B800D3" w:rsidP="00B800D3">
      <w:pPr>
        <w:autoSpaceDE w:val="0"/>
        <w:autoSpaceDN w:val="0"/>
        <w:adjustRightInd w:val="0"/>
        <w:spacing w:before="0"/>
        <w:rPr>
          <w:color w:val="auto"/>
          <w:lang w:val="en-AU" w:eastAsia="ja-JP"/>
        </w:rPr>
      </w:pPr>
      <w:r w:rsidRPr="0063530D">
        <w:rPr>
          <w:color w:val="auto"/>
          <w:lang w:val="en-AU" w:eastAsia="ja-JP"/>
        </w:rPr>
        <w:t>Do not administer intravenously.</w:t>
      </w:r>
    </w:p>
    <w:p w:rsidR="00504BE1" w:rsidRPr="0063530D" w:rsidRDefault="00504BE1" w:rsidP="00504BE1">
      <w:pPr>
        <w:pStyle w:val="Heading3"/>
        <w:numPr>
          <w:ilvl w:val="0"/>
          <w:numId w:val="0"/>
        </w:numPr>
        <w:ind w:left="680" w:hanging="680"/>
        <w:rPr>
          <w:rFonts w:ascii="Times New Roman" w:hAnsi="Times New Roman" w:cs="Times New Roman"/>
          <w:lang w:val="en-AU" w:eastAsia="ja-JP"/>
        </w:rPr>
      </w:pPr>
      <w:r w:rsidRPr="0063530D">
        <w:rPr>
          <w:rFonts w:ascii="Times New Roman" w:hAnsi="Times New Roman" w:cs="Times New Roman"/>
          <w:lang w:val="en-AU" w:eastAsia="ja-JP"/>
        </w:rPr>
        <w:lastRenderedPageBreak/>
        <w:t>Hypersensitivity</w:t>
      </w:r>
    </w:p>
    <w:p w:rsidR="00504BE1" w:rsidRDefault="00504BE1" w:rsidP="00504BE1">
      <w:pPr>
        <w:rPr>
          <w:color w:val="auto"/>
          <w:lang w:val="en-AU" w:eastAsia="ja-JP"/>
        </w:rPr>
      </w:pPr>
      <w:r w:rsidRPr="0063530D">
        <w:rPr>
          <w:color w:val="auto"/>
          <w:lang w:val="en-AU" w:eastAsia="ja-JP"/>
        </w:rPr>
        <w:t>Prior to any vaccine injection, all known precautions should be taken to prevent hypersensitivity reactions. This includes a review of the individual’s prior vaccination history with respect to possible hypersensitivity to the vaccine or similar vaccines. Adrenaline (epinephrine) injection (1:1000) and other appropriate agents used for the control of immediate allergic reactions must be available to treat unexpected reactions (e.g. anaphylaxis).</w:t>
      </w:r>
    </w:p>
    <w:p w:rsidR="00504BE1" w:rsidRPr="0063530D" w:rsidRDefault="00504BE1" w:rsidP="00504BE1">
      <w:pPr>
        <w:rPr>
          <w:color w:val="auto"/>
          <w:lang w:val="en-AU" w:eastAsia="ja-JP"/>
        </w:rPr>
      </w:pPr>
      <w:r w:rsidRPr="0063530D">
        <w:rPr>
          <w:color w:val="auto"/>
          <w:lang w:val="en-AU" w:eastAsia="ja-JP"/>
        </w:rPr>
        <w:t xml:space="preserve">As each dose may contain traces of formaldehyde and </w:t>
      </w:r>
      <w:proofErr w:type="spellStart"/>
      <w:r w:rsidRPr="0063530D">
        <w:rPr>
          <w:color w:val="auto"/>
          <w:lang w:val="en-AU" w:eastAsia="ja-JP"/>
        </w:rPr>
        <w:t>octoxinol</w:t>
      </w:r>
      <w:proofErr w:type="spellEnd"/>
      <w:r w:rsidRPr="0063530D">
        <w:rPr>
          <w:color w:val="auto"/>
          <w:lang w:val="en-AU" w:eastAsia="ja-JP"/>
        </w:rPr>
        <w:t xml:space="preserve"> 9 which are used during vaccine production, caution should be exercised when the vaccine is administered to individuals with hypersensitivity to either one of these products.</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Neurological Disorders</w:t>
      </w:r>
    </w:p>
    <w:p w:rsidR="00B800D3" w:rsidRPr="0063530D" w:rsidRDefault="00B800D3" w:rsidP="00B800D3">
      <w:pPr>
        <w:jc w:val="both"/>
        <w:rPr>
          <w:color w:val="auto"/>
          <w:lang w:val="en-AU"/>
        </w:rPr>
      </w:pPr>
      <w:r w:rsidRPr="0063530D">
        <w:rPr>
          <w:color w:val="auto"/>
          <w:lang w:val="en-AU"/>
        </w:rPr>
        <w:t xml:space="preserve">Recurrence of </w:t>
      </w:r>
      <w:proofErr w:type="spellStart"/>
      <w:r w:rsidRPr="0063530D">
        <w:rPr>
          <w:color w:val="auto"/>
          <w:lang w:val="en-AU"/>
        </w:rPr>
        <w:t>Guillain-Barré</w:t>
      </w:r>
      <w:proofErr w:type="spellEnd"/>
      <w:r w:rsidRPr="0063530D">
        <w:rPr>
          <w:color w:val="auto"/>
          <w:lang w:val="en-AU"/>
        </w:rPr>
        <w:t xml:space="preserve"> syndrome (GBS) has been temporally associated with the administration of influenza vaccine. </w:t>
      </w:r>
      <w:proofErr w:type="spellStart"/>
      <w:r w:rsidRPr="0063530D">
        <w:rPr>
          <w:color w:val="auto"/>
          <w:lang w:val="en-AU"/>
        </w:rPr>
        <w:t>Fluzone</w:t>
      </w:r>
      <w:proofErr w:type="spellEnd"/>
      <w:r w:rsidRPr="0063530D">
        <w:rPr>
          <w:color w:val="auto"/>
          <w:lang w:val="en-AU"/>
        </w:rPr>
        <w:t xml:space="preserve"> High-Dose should be administered to individuals who have a prior history of </w:t>
      </w:r>
      <w:proofErr w:type="spellStart"/>
      <w:r w:rsidRPr="0063530D">
        <w:rPr>
          <w:color w:val="auto"/>
          <w:lang w:val="en-AU"/>
        </w:rPr>
        <w:t>Guillain-Barré</w:t>
      </w:r>
      <w:proofErr w:type="spellEnd"/>
      <w:r w:rsidRPr="0063530D">
        <w:rPr>
          <w:color w:val="auto"/>
          <w:lang w:val="en-AU"/>
        </w:rPr>
        <w:t xml:space="preserve"> syndrome only based on careful consideration of the potential benefits and risks.</w:t>
      </w:r>
    </w:p>
    <w:p w:rsidR="00B800D3" w:rsidRPr="0063530D" w:rsidRDefault="00B800D3" w:rsidP="00B800D3">
      <w:pPr>
        <w:jc w:val="both"/>
        <w:rPr>
          <w:color w:val="auto"/>
          <w:lang w:val="en-AU"/>
        </w:rPr>
      </w:pPr>
      <w:r w:rsidRPr="0063530D">
        <w:rPr>
          <w:color w:val="auto"/>
          <w:lang w:val="en-AU"/>
        </w:rPr>
        <w:t>Immunisation should be delayed in a patient with an active neurological disorder, but should be considered when the disease process has stabilized.</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Immunosuppressive Treatments or Conditions</w:t>
      </w:r>
    </w:p>
    <w:p w:rsidR="00B800D3" w:rsidRPr="0063530D" w:rsidRDefault="00B800D3" w:rsidP="00B800D3">
      <w:pPr>
        <w:jc w:val="both"/>
        <w:rPr>
          <w:color w:val="auto"/>
          <w:lang w:val="en-AU"/>
        </w:rPr>
      </w:pPr>
      <w:r w:rsidRPr="0063530D">
        <w:rPr>
          <w:color w:val="auto"/>
          <w:lang w:val="en-AU"/>
        </w:rPr>
        <w:t xml:space="preserve">The immunogenicity of </w:t>
      </w:r>
      <w:proofErr w:type="spellStart"/>
      <w:r w:rsidRPr="0063530D">
        <w:rPr>
          <w:color w:val="auto"/>
          <w:lang w:val="en-AU"/>
        </w:rPr>
        <w:t>Fluzone</w:t>
      </w:r>
      <w:proofErr w:type="spellEnd"/>
      <w:r w:rsidRPr="0063530D">
        <w:rPr>
          <w:color w:val="auto"/>
          <w:lang w:val="en-AU"/>
        </w:rPr>
        <w:t xml:space="preserve"> High-Dose may be reduced by immunosuppressive treatment or in individuals with immune deficiency syndromes. In such cases it is recommended to postpone the vaccination until after the immunosuppressive treatment or resolution of the immunosuppressive condition, if feasible.</w:t>
      </w:r>
    </w:p>
    <w:p w:rsidR="00504BE1" w:rsidRPr="0063530D" w:rsidRDefault="00504BE1" w:rsidP="00B800D3">
      <w:pPr>
        <w:pStyle w:val="Heading3"/>
        <w:numPr>
          <w:ilvl w:val="0"/>
          <w:numId w:val="0"/>
        </w:numPr>
        <w:ind w:left="680" w:hanging="680"/>
        <w:rPr>
          <w:rFonts w:ascii="Times New Roman" w:hAnsi="Times New Roman" w:cs="Times New Roman"/>
          <w:lang w:val="en-AU" w:eastAsia="ja-JP"/>
        </w:rPr>
      </w:pPr>
      <w:r w:rsidRPr="0063530D">
        <w:rPr>
          <w:rFonts w:ascii="Times New Roman" w:hAnsi="Times New Roman" w:cs="Times New Roman"/>
          <w:lang w:val="en-AU" w:eastAsia="ja-JP"/>
        </w:rPr>
        <w:t>Febrile or Acute Disease</w:t>
      </w:r>
    </w:p>
    <w:p w:rsidR="00504BE1" w:rsidRPr="0063530D" w:rsidRDefault="00504BE1" w:rsidP="00504BE1">
      <w:pPr>
        <w:jc w:val="both"/>
        <w:rPr>
          <w:noProof/>
          <w:color w:val="auto"/>
          <w:szCs w:val="16"/>
          <w:lang w:val="en-AU"/>
        </w:rPr>
      </w:pPr>
      <w:r w:rsidRPr="0063530D">
        <w:rPr>
          <w:color w:val="auto"/>
          <w:lang w:val="en-AU"/>
        </w:rPr>
        <w:t>Vaccination should be postponed in case of an acute or febrile disease, but a disease with low-grade fever is usually not a reason to postpone vaccination.</w:t>
      </w:r>
    </w:p>
    <w:p w:rsidR="00B800D3" w:rsidRPr="0063530D" w:rsidRDefault="00B800D3" w:rsidP="00B800D3">
      <w:pPr>
        <w:pStyle w:val="Heading3"/>
        <w:numPr>
          <w:ilvl w:val="0"/>
          <w:numId w:val="0"/>
        </w:numPr>
        <w:ind w:left="680" w:hanging="680"/>
        <w:rPr>
          <w:rFonts w:ascii="Times New Roman" w:hAnsi="Times New Roman" w:cs="Times New Roman"/>
          <w:lang w:val="en-AU" w:eastAsia="ja-JP"/>
        </w:rPr>
      </w:pPr>
      <w:r w:rsidRPr="0063530D">
        <w:rPr>
          <w:rFonts w:ascii="Times New Roman" w:hAnsi="Times New Roman" w:cs="Times New Roman"/>
          <w:lang w:val="en-AU" w:eastAsia="ja-JP"/>
        </w:rPr>
        <w:t>Protection</w:t>
      </w:r>
    </w:p>
    <w:p w:rsidR="00B800D3" w:rsidRPr="0063530D" w:rsidRDefault="00B800D3" w:rsidP="00B800D3">
      <w:pPr>
        <w:jc w:val="both"/>
        <w:rPr>
          <w:noProof/>
          <w:color w:val="auto"/>
          <w:szCs w:val="16"/>
          <w:lang w:val="en-AU"/>
        </w:rPr>
      </w:pPr>
      <w:r w:rsidRPr="0063530D">
        <w:rPr>
          <w:noProof/>
          <w:color w:val="auto"/>
          <w:szCs w:val="16"/>
          <w:lang w:val="en-AU"/>
        </w:rPr>
        <w:t xml:space="preserve">As with any vaccine, vaccination with Fluzone High-Dose may not protect 100% of recepients. </w:t>
      </w:r>
    </w:p>
    <w:p w:rsidR="00B800D3" w:rsidRPr="0063530D" w:rsidRDefault="00B800D3" w:rsidP="00B800D3">
      <w:pPr>
        <w:autoSpaceDE w:val="0"/>
        <w:autoSpaceDN w:val="0"/>
        <w:adjustRightInd w:val="0"/>
        <w:jc w:val="both"/>
        <w:rPr>
          <w:color w:val="auto"/>
          <w:lang w:val="en-AU" w:eastAsia="ja-JP"/>
        </w:rPr>
      </w:pPr>
      <w:r w:rsidRPr="0063530D">
        <w:rPr>
          <w:color w:val="auto"/>
          <w:lang w:val="en-AU" w:eastAsia="ja-JP"/>
        </w:rPr>
        <w:t>Influenza virus is remarkably unpredictable in that significant antigenic changes may occur from time to time. It is known that influenza vaccines, as now constituted, are not effective against all possible strains of influenza virus. Protection is limited to those strains of virus from which the vaccine is prepared or to closely related strains.</w:t>
      </w:r>
    </w:p>
    <w:p w:rsidR="00B800D3" w:rsidRPr="0063530D" w:rsidRDefault="00B800D3" w:rsidP="00B800D3">
      <w:pPr>
        <w:pStyle w:val="Heading3"/>
        <w:numPr>
          <w:ilvl w:val="0"/>
          <w:numId w:val="0"/>
        </w:numPr>
        <w:ind w:left="680" w:hanging="680"/>
        <w:rPr>
          <w:rFonts w:ascii="Times New Roman" w:hAnsi="Times New Roman" w:cs="Times New Roman"/>
          <w:lang w:val="en-AU" w:eastAsia="ja-JP"/>
        </w:rPr>
      </w:pPr>
      <w:r w:rsidRPr="0063530D">
        <w:rPr>
          <w:rFonts w:ascii="Times New Roman" w:hAnsi="Times New Roman" w:cs="Times New Roman"/>
          <w:lang w:val="en-AU" w:eastAsia="ja-JP"/>
        </w:rPr>
        <w:lastRenderedPageBreak/>
        <w:t>Bleeding disorder</w:t>
      </w:r>
    </w:p>
    <w:p w:rsidR="00B800D3" w:rsidRPr="0063530D" w:rsidRDefault="00B800D3" w:rsidP="00B800D3">
      <w:pPr>
        <w:jc w:val="both"/>
        <w:rPr>
          <w:color w:val="auto"/>
          <w:lang w:val="en-AU"/>
        </w:rPr>
      </w:pPr>
      <w:r w:rsidRPr="0063530D">
        <w:rPr>
          <w:color w:val="auto"/>
          <w:lang w:val="en-AU"/>
        </w:rPr>
        <w:t xml:space="preserve">Because any intramuscular injection can cause an injection-site haematoma in individuals with any bleeding disorder, such as haemophilia or </w:t>
      </w:r>
      <w:proofErr w:type="spellStart"/>
      <w:r w:rsidRPr="0063530D">
        <w:rPr>
          <w:color w:val="auto"/>
          <w:lang w:val="en-AU"/>
        </w:rPr>
        <w:t>thrombocytop</w:t>
      </w:r>
      <w:r w:rsidR="00E82166" w:rsidRPr="0063530D">
        <w:rPr>
          <w:color w:val="auto"/>
          <w:lang w:val="en-AU"/>
        </w:rPr>
        <w:t>a</w:t>
      </w:r>
      <w:r w:rsidRPr="0063530D">
        <w:rPr>
          <w:color w:val="auto"/>
          <w:lang w:val="en-AU"/>
        </w:rPr>
        <w:t>enia</w:t>
      </w:r>
      <w:proofErr w:type="spellEnd"/>
      <w:r w:rsidRPr="0063530D">
        <w:rPr>
          <w:color w:val="auto"/>
          <w:lang w:val="en-AU"/>
        </w:rPr>
        <w:t xml:space="preserve">, or in individuals on anticoagulant therapy, intramuscular injections with </w:t>
      </w:r>
      <w:proofErr w:type="spellStart"/>
      <w:r w:rsidRPr="0063530D">
        <w:rPr>
          <w:color w:val="auto"/>
          <w:lang w:val="en-AU"/>
        </w:rPr>
        <w:t>Fluzone</w:t>
      </w:r>
      <w:proofErr w:type="spellEnd"/>
      <w:r w:rsidRPr="0063530D">
        <w:rPr>
          <w:color w:val="auto"/>
          <w:lang w:val="en-AU"/>
        </w:rPr>
        <w:t xml:space="preserve"> High-Dose should not be administered to such individuals unless the potential benefits outweigh the risk of administration. If the decision is made to administer any product by intramuscular injection to such individuals, it should be given with caution, with steps taken to avoid the risk of haematoma formation following injection.  </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Effects on Fertility</w:t>
      </w:r>
    </w:p>
    <w:p w:rsidR="00B800D3" w:rsidRPr="0063530D" w:rsidRDefault="00B800D3" w:rsidP="00B800D3">
      <w:pPr>
        <w:rPr>
          <w:color w:val="auto"/>
          <w:lang w:val="en-AU"/>
        </w:rPr>
      </w:pPr>
      <w:proofErr w:type="spellStart"/>
      <w:r w:rsidRPr="0063530D">
        <w:rPr>
          <w:color w:val="auto"/>
          <w:lang w:val="en-AU"/>
        </w:rPr>
        <w:t>Fluzone</w:t>
      </w:r>
      <w:proofErr w:type="spellEnd"/>
      <w:r w:rsidRPr="0063530D">
        <w:rPr>
          <w:color w:val="auto"/>
          <w:lang w:val="en-AU"/>
        </w:rPr>
        <w:t xml:space="preserve"> High-Dose has not been evaluated for possible effects on human fertility.</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Use in Pregnancy (Category C)</w:t>
      </w:r>
    </w:p>
    <w:p w:rsidR="00A61381" w:rsidRPr="0063530D" w:rsidRDefault="00B800D3" w:rsidP="00B800D3">
      <w:pPr>
        <w:jc w:val="both"/>
        <w:rPr>
          <w:color w:val="auto"/>
          <w:lang w:val="en-AU"/>
        </w:rPr>
      </w:pPr>
      <w:r w:rsidRPr="0063530D">
        <w:rPr>
          <w:color w:val="auto"/>
          <w:lang w:val="en-AU"/>
        </w:rPr>
        <w:t xml:space="preserve">Animal reproduction studies have not been conducted with </w:t>
      </w:r>
      <w:proofErr w:type="spellStart"/>
      <w:r w:rsidRPr="0063530D">
        <w:rPr>
          <w:color w:val="auto"/>
          <w:lang w:val="en-AU"/>
        </w:rPr>
        <w:t>Fluzone</w:t>
      </w:r>
      <w:proofErr w:type="spellEnd"/>
      <w:r w:rsidRPr="0063530D">
        <w:rPr>
          <w:color w:val="auto"/>
          <w:lang w:val="en-AU"/>
        </w:rPr>
        <w:t xml:space="preserve"> High-Dose. It is also not known whether </w:t>
      </w:r>
      <w:proofErr w:type="spellStart"/>
      <w:r w:rsidRPr="0063530D">
        <w:rPr>
          <w:color w:val="auto"/>
          <w:lang w:val="en-AU"/>
        </w:rPr>
        <w:t>Fluzone</w:t>
      </w:r>
      <w:proofErr w:type="spellEnd"/>
      <w:r w:rsidRPr="0063530D">
        <w:rPr>
          <w:color w:val="auto"/>
          <w:lang w:val="en-AU"/>
        </w:rPr>
        <w:t xml:space="preserve"> High-Dose can cause foetal harm when administered to a pregnant woman or can affect reproduction capacity. </w:t>
      </w:r>
    </w:p>
    <w:p w:rsidR="00B800D3" w:rsidRPr="0063530D" w:rsidRDefault="00B800D3" w:rsidP="00B800D3">
      <w:pPr>
        <w:jc w:val="both"/>
        <w:rPr>
          <w:color w:val="auto"/>
          <w:lang w:val="en-AU"/>
        </w:rPr>
      </w:pPr>
      <w:proofErr w:type="spellStart"/>
      <w:r w:rsidRPr="0063530D">
        <w:rPr>
          <w:color w:val="auto"/>
          <w:lang w:val="en-AU"/>
        </w:rPr>
        <w:t>Fluzone</w:t>
      </w:r>
      <w:proofErr w:type="spellEnd"/>
      <w:r w:rsidRPr="0063530D">
        <w:rPr>
          <w:color w:val="auto"/>
          <w:lang w:val="en-AU"/>
        </w:rPr>
        <w:t xml:space="preserve"> High-Dose should not be given to a pregnant woman unless the potential benefits outweigh the risks.</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Use in Lactation</w:t>
      </w:r>
    </w:p>
    <w:p w:rsidR="00B800D3" w:rsidRPr="0063530D" w:rsidRDefault="00B800D3" w:rsidP="00B800D3">
      <w:pPr>
        <w:autoSpaceDE w:val="0"/>
        <w:autoSpaceDN w:val="0"/>
        <w:adjustRightInd w:val="0"/>
        <w:spacing w:before="0"/>
        <w:jc w:val="both"/>
        <w:rPr>
          <w:strike/>
          <w:color w:val="auto"/>
          <w:lang w:val="en-AU"/>
        </w:rPr>
      </w:pPr>
      <w:r w:rsidRPr="0063530D">
        <w:rPr>
          <w:color w:val="auto"/>
          <w:lang w:val="en-AU"/>
        </w:rPr>
        <w:t xml:space="preserve">It is not known whether </w:t>
      </w:r>
      <w:proofErr w:type="spellStart"/>
      <w:r w:rsidRPr="0063530D">
        <w:rPr>
          <w:color w:val="auto"/>
          <w:lang w:val="en-AU"/>
        </w:rPr>
        <w:t>Fluzone</w:t>
      </w:r>
      <w:proofErr w:type="spellEnd"/>
      <w:r w:rsidRPr="0063530D">
        <w:rPr>
          <w:color w:val="auto"/>
          <w:lang w:val="en-AU"/>
        </w:rPr>
        <w:t xml:space="preserve"> High-Dose is excreted in human milk hence, caution should be used when administering the vaccine to breastfeeding women. </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Paediatric Use</w:t>
      </w:r>
    </w:p>
    <w:p w:rsidR="00B800D3" w:rsidRPr="0063530D" w:rsidRDefault="00B800D3" w:rsidP="00B800D3">
      <w:pPr>
        <w:jc w:val="both"/>
        <w:rPr>
          <w:color w:val="auto"/>
          <w:lang w:val="en-AU"/>
        </w:rPr>
      </w:pPr>
      <w:r w:rsidRPr="0063530D">
        <w:rPr>
          <w:color w:val="auto"/>
          <w:lang w:val="en-AU"/>
        </w:rPr>
        <w:t xml:space="preserve">Safety and effectiveness of </w:t>
      </w:r>
      <w:proofErr w:type="spellStart"/>
      <w:r w:rsidRPr="0063530D">
        <w:rPr>
          <w:color w:val="auto"/>
          <w:lang w:val="en-AU"/>
        </w:rPr>
        <w:t>Fluzone</w:t>
      </w:r>
      <w:proofErr w:type="spellEnd"/>
      <w:r w:rsidRPr="0063530D">
        <w:rPr>
          <w:color w:val="auto"/>
          <w:lang w:val="en-AU"/>
        </w:rPr>
        <w:t xml:space="preserve"> High-Dose in persons &lt;65 years of age have not been established.</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Use in the elderly</w:t>
      </w:r>
    </w:p>
    <w:p w:rsidR="00B800D3" w:rsidRPr="0063530D" w:rsidRDefault="001B5C3D" w:rsidP="00B800D3">
      <w:pPr>
        <w:jc w:val="both"/>
        <w:rPr>
          <w:iCs/>
          <w:noProof/>
          <w:color w:val="auto"/>
          <w:szCs w:val="16"/>
          <w:lang w:val="en-AU"/>
        </w:rPr>
      </w:pPr>
      <w:r w:rsidRPr="0063530D">
        <w:rPr>
          <w:noProof/>
          <w:color w:val="auto"/>
          <w:szCs w:val="16"/>
          <w:lang w:val="en-AU"/>
        </w:rPr>
        <w:t xml:space="preserve">Fluzone High-Dose is intended for adults 65 years </w:t>
      </w:r>
      <w:r w:rsidR="00330D4A" w:rsidRPr="0063530D">
        <w:rPr>
          <w:noProof/>
          <w:color w:val="auto"/>
          <w:szCs w:val="16"/>
          <w:lang w:val="en-AU"/>
        </w:rPr>
        <w:t xml:space="preserve">of age </w:t>
      </w:r>
      <w:r w:rsidRPr="0063530D">
        <w:rPr>
          <w:noProof/>
          <w:color w:val="auto"/>
          <w:szCs w:val="16"/>
          <w:lang w:val="en-AU"/>
        </w:rPr>
        <w:t>and over</w:t>
      </w:r>
      <w:r w:rsidR="00B800D3" w:rsidRPr="0063530D">
        <w:rPr>
          <w:noProof/>
          <w:color w:val="auto"/>
          <w:szCs w:val="16"/>
          <w:lang w:val="en-AU"/>
        </w:rPr>
        <w:t xml:space="preserve"> (</w:t>
      </w:r>
      <w:r w:rsidR="00B800D3" w:rsidRPr="0063530D">
        <w:rPr>
          <w:iCs/>
          <w:noProof/>
          <w:color w:val="auto"/>
          <w:szCs w:val="16"/>
          <w:lang w:val="en-AU"/>
        </w:rPr>
        <w:t xml:space="preserve">See </w:t>
      </w:r>
      <w:r w:rsidR="00B800D3" w:rsidRPr="0063530D">
        <w:rPr>
          <w:b/>
          <w:iCs/>
          <w:noProof/>
          <w:color w:val="auto"/>
          <w:szCs w:val="16"/>
          <w:lang w:val="en-AU"/>
        </w:rPr>
        <w:t>CLINICAL TRIALS</w:t>
      </w:r>
      <w:r w:rsidR="00B800D3" w:rsidRPr="0063530D">
        <w:rPr>
          <w:iCs/>
          <w:noProof/>
          <w:color w:val="auto"/>
          <w:szCs w:val="16"/>
          <w:lang w:val="en-AU"/>
        </w:rPr>
        <w:t>).</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Genotoxicity</w:t>
      </w:r>
    </w:p>
    <w:p w:rsidR="00B800D3" w:rsidRPr="0063530D" w:rsidRDefault="00B800D3" w:rsidP="00B800D3">
      <w:pPr>
        <w:rPr>
          <w:color w:val="auto"/>
          <w:lang w:val="en-AU"/>
        </w:rPr>
      </w:pPr>
      <w:proofErr w:type="spellStart"/>
      <w:r w:rsidRPr="0063530D">
        <w:rPr>
          <w:color w:val="auto"/>
          <w:lang w:val="en-AU"/>
        </w:rPr>
        <w:t>Fluzone</w:t>
      </w:r>
      <w:proofErr w:type="spellEnd"/>
      <w:r w:rsidRPr="0063530D">
        <w:rPr>
          <w:color w:val="auto"/>
          <w:lang w:val="en-AU"/>
        </w:rPr>
        <w:t xml:space="preserve"> High-Dose has not been </w:t>
      </w:r>
      <w:r w:rsidR="001B5C3D" w:rsidRPr="0063530D">
        <w:rPr>
          <w:color w:val="auto"/>
          <w:lang w:val="en-AU"/>
        </w:rPr>
        <w:t xml:space="preserve">tested </w:t>
      </w:r>
      <w:r w:rsidRPr="0063530D">
        <w:rPr>
          <w:color w:val="auto"/>
          <w:lang w:val="en-AU"/>
        </w:rPr>
        <w:t>for genotoxic potential.</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Carcinogenicity</w:t>
      </w:r>
    </w:p>
    <w:p w:rsidR="00B800D3" w:rsidRPr="0063530D" w:rsidRDefault="00B800D3" w:rsidP="00B800D3">
      <w:pPr>
        <w:rPr>
          <w:color w:val="auto"/>
          <w:lang w:val="en-AU"/>
        </w:rPr>
      </w:pPr>
      <w:proofErr w:type="spellStart"/>
      <w:r w:rsidRPr="0063530D">
        <w:rPr>
          <w:color w:val="auto"/>
          <w:lang w:val="en-AU"/>
        </w:rPr>
        <w:t>Fluzone</w:t>
      </w:r>
      <w:proofErr w:type="spellEnd"/>
      <w:r w:rsidRPr="0063530D">
        <w:rPr>
          <w:color w:val="auto"/>
          <w:lang w:val="en-AU"/>
        </w:rPr>
        <w:t xml:space="preserve"> High-Dose has not been </w:t>
      </w:r>
      <w:r w:rsidR="001B5C3D" w:rsidRPr="0063530D">
        <w:rPr>
          <w:color w:val="auto"/>
          <w:lang w:val="en-AU"/>
        </w:rPr>
        <w:t>teste</w:t>
      </w:r>
      <w:r w:rsidRPr="0063530D">
        <w:rPr>
          <w:color w:val="auto"/>
          <w:lang w:val="en-AU"/>
        </w:rPr>
        <w:t>d for carcinogenic potential.</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lastRenderedPageBreak/>
        <w:t>Effect on Laboratory Tests</w:t>
      </w:r>
    </w:p>
    <w:p w:rsidR="00B800D3" w:rsidRPr="0063530D" w:rsidRDefault="00B800D3" w:rsidP="00B800D3">
      <w:pPr>
        <w:jc w:val="both"/>
        <w:rPr>
          <w:color w:val="auto"/>
          <w:lang w:val="en-AU"/>
        </w:rPr>
      </w:pPr>
      <w:r w:rsidRPr="0063530D">
        <w:rPr>
          <w:color w:val="auto"/>
          <w:lang w:val="en-AU"/>
        </w:rPr>
        <w:t xml:space="preserve">Interference of </w:t>
      </w:r>
      <w:proofErr w:type="spellStart"/>
      <w:r w:rsidRPr="0063530D">
        <w:rPr>
          <w:color w:val="auto"/>
          <w:lang w:val="en-AU"/>
        </w:rPr>
        <w:t>Fluzone</w:t>
      </w:r>
      <w:proofErr w:type="spellEnd"/>
      <w:r w:rsidRPr="0063530D">
        <w:rPr>
          <w:color w:val="auto"/>
          <w:lang w:val="en-AU"/>
        </w:rPr>
        <w:t xml:space="preserve"> High-Dose with laboratory and/or diagnostic tests has not been studied.</w:t>
      </w:r>
    </w:p>
    <w:p w:rsidR="00B800D3" w:rsidRPr="0063530D" w:rsidRDefault="00B800D3" w:rsidP="00B800D3">
      <w:pPr>
        <w:jc w:val="both"/>
        <w:rPr>
          <w:color w:val="auto"/>
          <w:lang w:val="en-AU"/>
        </w:rPr>
      </w:pPr>
      <w:r w:rsidRPr="0063530D">
        <w:rPr>
          <w:color w:val="auto"/>
          <w:lang w:val="en-AU"/>
        </w:rPr>
        <w:t>Following influenza vaccination, false positive results in serology tests using the ELISA method to detect antibodies against HIV1, hepatitis C, and especially HTLV1 have been observed. An appropriate Western Blot test should be used to confirm or disprove the results of the ELISA test. The transient false-positive reactions could be due to a non-specific IgM response induced by the vaccine.</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Interactions with Other Medicines</w:t>
      </w:r>
    </w:p>
    <w:p w:rsidR="00B800D3" w:rsidRPr="0063530D" w:rsidRDefault="00B800D3" w:rsidP="00B800D3">
      <w:pPr>
        <w:autoSpaceDE w:val="0"/>
        <w:autoSpaceDN w:val="0"/>
        <w:adjustRightInd w:val="0"/>
        <w:rPr>
          <w:noProof/>
          <w:color w:val="auto"/>
          <w:szCs w:val="16"/>
          <w:lang w:val="en-AU"/>
        </w:rPr>
      </w:pPr>
      <w:proofErr w:type="spellStart"/>
      <w:r w:rsidRPr="0063530D">
        <w:rPr>
          <w:color w:val="auto"/>
          <w:lang w:val="en-AU"/>
        </w:rPr>
        <w:t>Fluzone</w:t>
      </w:r>
      <w:proofErr w:type="spellEnd"/>
      <w:r w:rsidRPr="0063530D">
        <w:rPr>
          <w:color w:val="auto"/>
          <w:lang w:val="en-AU"/>
        </w:rPr>
        <w:t xml:space="preserve"> High-Dose </w:t>
      </w:r>
      <w:r w:rsidRPr="0063530D">
        <w:rPr>
          <w:color w:val="auto"/>
          <w:lang w:val="en-AU" w:eastAsia="ja-JP"/>
        </w:rPr>
        <w:t>should not be mixed with any other vaccine in the same syringe or vial.</w:t>
      </w:r>
    </w:p>
    <w:p w:rsidR="00B800D3" w:rsidRPr="0063530D" w:rsidRDefault="00B800D3" w:rsidP="00B800D3">
      <w:pPr>
        <w:rPr>
          <w:color w:val="auto"/>
          <w:lang w:val="en-AU"/>
        </w:rPr>
      </w:pPr>
      <w:r w:rsidRPr="0063530D">
        <w:rPr>
          <w:bCs/>
          <w:color w:val="auto"/>
          <w:lang w:val="en-AU"/>
        </w:rPr>
        <w:t xml:space="preserve">There are no data to assess the concomitant administration of </w:t>
      </w:r>
      <w:proofErr w:type="spellStart"/>
      <w:r w:rsidRPr="0063530D">
        <w:rPr>
          <w:bCs/>
          <w:color w:val="auto"/>
          <w:lang w:val="en-AU"/>
        </w:rPr>
        <w:t>Fluzone</w:t>
      </w:r>
      <w:proofErr w:type="spellEnd"/>
      <w:r w:rsidRPr="0063530D">
        <w:rPr>
          <w:bCs/>
          <w:color w:val="auto"/>
          <w:lang w:val="en-AU"/>
        </w:rPr>
        <w:t xml:space="preserve"> High-Dose </w:t>
      </w:r>
      <w:r w:rsidRPr="0063530D">
        <w:rPr>
          <w:color w:val="auto"/>
          <w:lang w:val="en-AU"/>
        </w:rPr>
        <w:t>with other vaccines.</w:t>
      </w:r>
    </w:p>
    <w:p w:rsidR="00B800D3" w:rsidRPr="0063530D" w:rsidRDefault="00B800D3" w:rsidP="00B800D3">
      <w:pPr>
        <w:rPr>
          <w:color w:val="auto"/>
          <w:lang w:val="en-AU"/>
        </w:rPr>
      </w:pPr>
      <w:r w:rsidRPr="0063530D">
        <w:rPr>
          <w:color w:val="auto"/>
          <w:lang w:val="en-AU"/>
        </w:rPr>
        <w:t xml:space="preserve">If </w:t>
      </w:r>
      <w:proofErr w:type="spellStart"/>
      <w:r w:rsidRPr="0063530D">
        <w:rPr>
          <w:color w:val="auto"/>
          <w:lang w:val="en-AU"/>
        </w:rPr>
        <w:t>Fluzone</w:t>
      </w:r>
      <w:proofErr w:type="spellEnd"/>
      <w:r w:rsidRPr="0063530D">
        <w:rPr>
          <w:color w:val="auto"/>
          <w:lang w:val="en-AU"/>
        </w:rPr>
        <w:t xml:space="preserve"> High-Dose is to be given at the same time as another injectable vaccine, the vaccines should always be administered at different injection sites.</w:t>
      </w:r>
    </w:p>
    <w:p w:rsidR="00B800D3" w:rsidRPr="0063530D" w:rsidRDefault="00B800D3" w:rsidP="00B800D3">
      <w:pPr>
        <w:jc w:val="both"/>
        <w:rPr>
          <w:color w:val="auto"/>
          <w:lang w:val="en-AU"/>
        </w:rPr>
      </w:pPr>
      <w:r w:rsidRPr="0063530D">
        <w:rPr>
          <w:color w:val="auto"/>
          <w:lang w:val="en-AU"/>
        </w:rPr>
        <w:t>If the vaccine is used in individuals deficient in producing antibodies due to immunosuppressive therapy, the expected immune response may not be obtained.</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ADVERSE EFFECTS</w:t>
      </w:r>
    </w:p>
    <w:p w:rsidR="00B800D3" w:rsidRPr="0063530D" w:rsidRDefault="00B800D3" w:rsidP="00B800D3">
      <w:pPr>
        <w:pStyle w:val="Heading3"/>
        <w:numPr>
          <w:ilvl w:val="0"/>
          <w:numId w:val="0"/>
        </w:numPr>
        <w:ind w:left="680" w:hanging="680"/>
        <w:rPr>
          <w:rFonts w:ascii="Times New Roman" w:hAnsi="Times New Roman" w:cs="Times New Roman"/>
          <w:lang w:val="en-AU"/>
        </w:rPr>
      </w:pPr>
      <w:r w:rsidRPr="0063530D">
        <w:rPr>
          <w:rFonts w:ascii="Times New Roman" w:hAnsi="Times New Roman" w:cs="Times New Roman"/>
          <w:lang w:val="en-AU"/>
        </w:rPr>
        <w:t>Clinical Trials Experience</w:t>
      </w:r>
    </w:p>
    <w:p w:rsidR="00B800D3" w:rsidRPr="0063530D" w:rsidRDefault="00B800D3" w:rsidP="00B800D3">
      <w:pPr>
        <w:rPr>
          <w:color w:val="auto"/>
          <w:lang w:val="en-AU"/>
        </w:rPr>
      </w:pPr>
      <w:r w:rsidRPr="0063530D">
        <w:rPr>
          <w:color w:val="auto"/>
          <w:lang w:val="en-AU"/>
        </w:rPr>
        <w:t xml:space="preserve">Because clinical trials are conducted under widely varying conditions, adverse event rates observed in the clinical trial(s) of a vaccine cannot be directly compared to rates in the clinical trial(s) of another vaccine and may not reflect the rates observed in practice. </w:t>
      </w:r>
    </w:p>
    <w:p w:rsidR="00B800D3" w:rsidRPr="0063530D" w:rsidRDefault="00B800D3" w:rsidP="00B800D3">
      <w:pPr>
        <w:rPr>
          <w:color w:val="auto"/>
          <w:lang w:val="en-AU"/>
        </w:rPr>
      </w:pPr>
      <w:r w:rsidRPr="0063530D">
        <w:rPr>
          <w:color w:val="auto"/>
          <w:lang w:val="en-AU"/>
        </w:rPr>
        <w:t xml:space="preserve">Two clinical studies have evaluated the safety of </w:t>
      </w:r>
      <w:proofErr w:type="spellStart"/>
      <w:r w:rsidRPr="0063530D">
        <w:rPr>
          <w:color w:val="auto"/>
          <w:lang w:val="en-AU"/>
        </w:rPr>
        <w:t>Fluzone</w:t>
      </w:r>
      <w:proofErr w:type="spellEnd"/>
      <w:r w:rsidRPr="0063530D">
        <w:rPr>
          <w:color w:val="auto"/>
          <w:lang w:val="en-AU"/>
        </w:rPr>
        <w:t xml:space="preserve"> High-Dose.</w:t>
      </w:r>
    </w:p>
    <w:p w:rsidR="00B800D3" w:rsidRPr="0063530D" w:rsidRDefault="001B0902" w:rsidP="00B800D3">
      <w:pPr>
        <w:rPr>
          <w:color w:val="auto"/>
          <w:lang w:val="en-AU"/>
        </w:rPr>
      </w:pPr>
      <w:r w:rsidRPr="0063530D">
        <w:rPr>
          <w:color w:val="auto"/>
          <w:lang w:val="en-AU"/>
        </w:rPr>
        <w:t>FIM0</w:t>
      </w:r>
      <w:r w:rsidR="00330D4A" w:rsidRPr="0063530D">
        <w:rPr>
          <w:color w:val="auto"/>
          <w:lang w:val="en-AU"/>
        </w:rPr>
        <w:t xml:space="preserve">5 </w:t>
      </w:r>
      <w:r w:rsidR="00B800D3" w:rsidRPr="0063530D">
        <w:rPr>
          <w:color w:val="auto"/>
          <w:lang w:val="en-AU"/>
        </w:rPr>
        <w:t xml:space="preserve">was a multi-centre, double-blind trial conducted in the US. In this study, adults 65 years of age and older were randomised to receive either </w:t>
      </w:r>
      <w:proofErr w:type="spellStart"/>
      <w:r w:rsidR="00B800D3" w:rsidRPr="0063530D">
        <w:rPr>
          <w:color w:val="auto"/>
          <w:lang w:val="en-AU"/>
        </w:rPr>
        <w:t>Fluzone</w:t>
      </w:r>
      <w:proofErr w:type="spellEnd"/>
      <w:r w:rsidR="00B800D3" w:rsidRPr="0063530D">
        <w:rPr>
          <w:color w:val="auto"/>
          <w:lang w:val="en-AU"/>
        </w:rPr>
        <w:t xml:space="preserve"> High-Dose or </w:t>
      </w:r>
      <w:proofErr w:type="spellStart"/>
      <w:r w:rsidR="00B800D3" w:rsidRPr="0063530D">
        <w:rPr>
          <w:color w:val="auto"/>
          <w:lang w:val="en-AU"/>
        </w:rPr>
        <w:t>Fluzone</w:t>
      </w:r>
      <w:proofErr w:type="spellEnd"/>
      <w:r w:rsidR="00B800D3" w:rsidRPr="0063530D">
        <w:rPr>
          <w:color w:val="auto"/>
          <w:lang w:val="en-AU"/>
        </w:rPr>
        <w:t xml:space="preserve"> (2006-2007 formulation). The study compared the safety and immunogenicity of </w:t>
      </w:r>
      <w:r w:rsidR="009927DF" w:rsidRPr="0063530D">
        <w:rPr>
          <w:noProof/>
          <w:color w:val="auto"/>
          <w:szCs w:val="16"/>
          <w:lang w:val="en-AU"/>
        </w:rPr>
        <w:t>Fluzone High-Dose</w:t>
      </w:r>
      <w:r w:rsidR="009927DF" w:rsidRPr="0063530D">
        <w:rPr>
          <w:color w:val="auto"/>
          <w:lang w:val="en-AU"/>
        </w:rPr>
        <w:t xml:space="preserve"> </w:t>
      </w:r>
      <w:r w:rsidR="00B800D3" w:rsidRPr="0063530D">
        <w:rPr>
          <w:color w:val="auto"/>
          <w:lang w:val="en-AU"/>
        </w:rPr>
        <w:t>to those of</w:t>
      </w:r>
      <w:r w:rsidRPr="0063530D">
        <w:rPr>
          <w:color w:val="auto"/>
          <w:lang w:val="en-AU"/>
        </w:rPr>
        <w:t xml:space="preserve"> </w:t>
      </w:r>
      <w:r w:rsidR="001415F9" w:rsidRPr="0063530D">
        <w:rPr>
          <w:noProof/>
          <w:color w:val="auto"/>
          <w:szCs w:val="16"/>
          <w:lang w:val="en-AU"/>
        </w:rPr>
        <w:t>Fluzone</w:t>
      </w:r>
      <w:r w:rsidR="00B800D3" w:rsidRPr="0063530D">
        <w:rPr>
          <w:color w:val="auto"/>
          <w:lang w:val="en-AU"/>
        </w:rPr>
        <w:t xml:space="preserve">. The safety analysis set included 2573 </w:t>
      </w:r>
      <w:r w:rsidR="009927DF" w:rsidRPr="0063530D">
        <w:rPr>
          <w:noProof/>
          <w:color w:val="auto"/>
          <w:szCs w:val="16"/>
          <w:lang w:val="en-AU"/>
        </w:rPr>
        <w:t>Fluzone High-Dose</w:t>
      </w:r>
      <w:r w:rsidR="009927DF" w:rsidRPr="0063530D">
        <w:rPr>
          <w:color w:val="auto"/>
          <w:lang w:val="en-AU"/>
        </w:rPr>
        <w:t xml:space="preserve"> </w:t>
      </w:r>
      <w:r w:rsidR="00B800D3" w:rsidRPr="0063530D">
        <w:rPr>
          <w:color w:val="auto"/>
          <w:lang w:val="en-AU"/>
        </w:rPr>
        <w:t xml:space="preserve">recipients and 1260 </w:t>
      </w:r>
      <w:r w:rsidR="001415F9" w:rsidRPr="0063530D">
        <w:rPr>
          <w:noProof/>
          <w:color w:val="auto"/>
          <w:szCs w:val="16"/>
          <w:lang w:val="en-AU"/>
        </w:rPr>
        <w:t>Fluzone</w:t>
      </w:r>
      <w:r w:rsidR="00B800D3" w:rsidRPr="0063530D">
        <w:rPr>
          <w:color w:val="auto"/>
          <w:lang w:val="en-AU"/>
        </w:rPr>
        <w:t xml:space="preserve"> recipients.</w:t>
      </w:r>
    </w:p>
    <w:p w:rsidR="00B800D3" w:rsidRDefault="003A6346" w:rsidP="00B800D3">
      <w:pPr>
        <w:rPr>
          <w:color w:val="auto"/>
          <w:lang w:val="en-AU"/>
        </w:rPr>
      </w:pPr>
      <w:r w:rsidRPr="0063530D">
        <w:rPr>
          <w:color w:val="auto"/>
          <w:lang w:val="en-AU"/>
        </w:rPr>
        <w:fldChar w:fldCharType="begin"/>
      </w:r>
      <w:r w:rsidRPr="0063530D">
        <w:rPr>
          <w:color w:val="auto"/>
          <w:lang w:val="en-AU"/>
        </w:rPr>
        <w:instrText xml:space="preserve"> REF _Ref493508699 \h  \* MERGEFORMAT </w:instrText>
      </w:r>
      <w:r w:rsidRPr="0063530D">
        <w:rPr>
          <w:color w:val="auto"/>
          <w:lang w:val="en-AU"/>
        </w:rPr>
      </w:r>
      <w:r w:rsidRPr="0063530D">
        <w:rPr>
          <w:color w:val="auto"/>
          <w:lang w:val="en-AU"/>
        </w:rPr>
        <w:fldChar w:fldCharType="separate"/>
      </w:r>
      <w:r w:rsidR="001F32F5" w:rsidRPr="001F32F5">
        <w:rPr>
          <w:color w:val="auto"/>
        </w:rPr>
        <w:t>Table 6</w:t>
      </w:r>
      <w:r w:rsidRPr="0063530D">
        <w:rPr>
          <w:color w:val="auto"/>
          <w:lang w:val="en-AU"/>
        </w:rPr>
        <w:fldChar w:fldCharType="end"/>
      </w:r>
      <w:r w:rsidRPr="0063530D">
        <w:rPr>
          <w:color w:val="auto"/>
          <w:lang w:val="en-AU"/>
        </w:rPr>
        <w:t xml:space="preserve"> </w:t>
      </w:r>
      <w:r w:rsidR="00B800D3" w:rsidRPr="0063530D">
        <w:rPr>
          <w:color w:val="auto"/>
          <w:lang w:val="en-AU"/>
        </w:rPr>
        <w:t xml:space="preserve">summarizes solicited injection-site reactions and systemic adverse events reported within 7 days post-vaccination via diary cards. Onset was usually within the first 3 days after vaccination and a majority of the reactions resolved within 3 days. Solicited injection-site reactions and systemic adverse events were more frequent after vaccination with </w:t>
      </w:r>
      <w:r w:rsidR="009927DF" w:rsidRPr="0063530D">
        <w:rPr>
          <w:noProof/>
          <w:color w:val="auto"/>
          <w:szCs w:val="16"/>
          <w:lang w:val="en-AU"/>
        </w:rPr>
        <w:t>Fluzone High-Dose</w:t>
      </w:r>
      <w:r w:rsidR="009927DF" w:rsidRPr="0063530D">
        <w:rPr>
          <w:color w:val="auto"/>
          <w:lang w:val="en-AU"/>
        </w:rPr>
        <w:t xml:space="preserve"> </w:t>
      </w:r>
      <w:r w:rsidR="00B800D3" w:rsidRPr="0063530D">
        <w:rPr>
          <w:color w:val="auto"/>
          <w:lang w:val="en-AU"/>
        </w:rPr>
        <w:t xml:space="preserve">compared to </w:t>
      </w:r>
      <w:r w:rsidR="001415F9" w:rsidRPr="0063530D">
        <w:rPr>
          <w:noProof/>
          <w:color w:val="auto"/>
          <w:szCs w:val="16"/>
          <w:lang w:val="en-AU"/>
        </w:rPr>
        <w:t>Fluzone</w:t>
      </w:r>
      <w:r w:rsidR="00B800D3" w:rsidRPr="0063530D">
        <w:rPr>
          <w:color w:val="auto"/>
          <w:lang w:val="en-AU"/>
        </w:rPr>
        <w:t>.</w:t>
      </w:r>
    </w:p>
    <w:p w:rsidR="004B75EB" w:rsidRPr="0063530D" w:rsidRDefault="004B75EB" w:rsidP="00B800D3">
      <w:pPr>
        <w:rPr>
          <w:color w:val="auto"/>
          <w:lang w:val="en-AU"/>
        </w:rPr>
      </w:pPr>
    </w:p>
    <w:p w:rsidR="00B800D3" w:rsidRPr="0063530D" w:rsidRDefault="003A6346" w:rsidP="003A6346">
      <w:pPr>
        <w:pStyle w:val="Caption"/>
        <w:rPr>
          <w:lang w:val="en-AU"/>
        </w:rPr>
      </w:pPr>
      <w:r w:rsidRPr="0063530D">
        <w:rPr>
          <w:lang w:val="en-AU"/>
        </w:rPr>
        <w:t xml:space="preserve"> </w:t>
      </w:r>
      <w:bookmarkStart w:id="15" w:name="_Ref493508699"/>
      <w:r w:rsidRPr="0063530D">
        <w:t>Table </w:t>
      </w:r>
      <w:r w:rsidRPr="0063530D">
        <w:fldChar w:fldCharType="begin"/>
      </w:r>
      <w:r w:rsidRPr="0063530D">
        <w:instrText xml:space="preserve"> SEQ Table \* ARABIC </w:instrText>
      </w:r>
      <w:r w:rsidRPr="0063530D">
        <w:fldChar w:fldCharType="separate"/>
      </w:r>
      <w:r w:rsidR="001F32F5">
        <w:rPr>
          <w:noProof/>
        </w:rPr>
        <w:t>6</w:t>
      </w:r>
      <w:r w:rsidRPr="0063530D">
        <w:fldChar w:fldCharType="end"/>
      </w:r>
      <w:bookmarkEnd w:id="15"/>
      <w:r w:rsidRPr="0063530D">
        <w:t xml:space="preserve"> ­ </w:t>
      </w:r>
      <w:r w:rsidRPr="0063530D">
        <w:rPr>
          <w:lang w:val="en-AU"/>
        </w:rPr>
        <w:t xml:space="preserve">FIM05: Frequency of Solicited Injection-Site Reactions and Systemic Adverse Events </w:t>
      </w:r>
      <w:proofErr w:type="gramStart"/>
      <w:r w:rsidRPr="0063530D">
        <w:rPr>
          <w:lang w:val="en-AU"/>
        </w:rPr>
        <w:t>Within</w:t>
      </w:r>
      <w:proofErr w:type="gramEnd"/>
      <w:r w:rsidRPr="0063530D">
        <w:rPr>
          <w:lang w:val="en-AU"/>
        </w:rPr>
        <w:t xml:space="preserve"> 7 Days After Vaccination with </w:t>
      </w:r>
      <w:r w:rsidRPr="0063530D">
        <w:rPr>
          <w:noProof/>
          <w:szCs w:val="16"/>
          <w:lang w:val="en-AU"/>
        </w:rPr>
        <w:t>Fluzone High-Dose</w:t>
      </w:r>
      <w:r w:rsidRPr="0063530D">
        <w:rPr>
          <w:lang w:val="en-AU"/>
        </w:rPr>
        <w:t xml:space="preserve"> or </w:t>
      </w:r>
      <w:r w:rsidRPr="0063530D">
        <w:rPr>
          <w:noProof/>
          <w:szCs w:val="16"/>
          <w:lang w:val="en-AU"/>
        </w:rPr>
        <w:t>Fluzone</w:t>
      </w:r>
      <w:r w:rsidRPr="0063530D">
        <w:rPr>
          <w:lang w:val="en-AU"/>
        </w:rPr>
        <w:t>, Adults 65 Years of Age and Older</w:t>
      </w:r>
    </w:p>
    <w:tbl>
      <w:tblPr>
        <w:tblW w:w="0" w:type="auto"/>
        <w:jc w:val="center"/>
        <w:tblBorders>
          <w:top w:val="single" w:sz="2" w:space="0" w:color="000000"/>
        </w:tblBorders>
        <w:tblLook w:val="04A0" w:firstRow="1" w:lastRow="0" w:firstColumn="1" w:lastColumn="0" w:noHBand="0" w:noVBand="1"/>
      </w:tblPr>
      <w:tblGrid>
        <w:gridCol w:w="1382"/>
        <w:gridCol w:w="1383"/>
        <w:gridCol w:w="1384"/>
        <w:gridCol w:w="1384"/>
        <w:gridCol w:w="1384"/>
        <w:gridCol w:w="1384"/>
        <w:gridCol w:w="1384"/>
      </w:tblGrid>
      <w:tr w:rsidR="00B800D3" w:rsidRPr="0063530D" w:rsidTr="009F505A">
        <w:trPr>
          <w:cantSplit/>
          <w:tblHeader/>
          <w:jc w:val="center"/>
        </w:trPr>
        <w:tc>
          <w:tcPr>
            <w:tcW w:w="1383" w:type="dxa"/>
            <w:tcBorders>
              <w:top w:val="single" w:sz="4" w:space="0" w:color="000000"/>
              <w:bottom w:val="single" w:sz="4" w:space="0" w:color="000000"/>
            </w:tcBorders>
            <w:shd w:val="clear" w:color="auto" w:fill="auto"/>
          </w:tcPr>
          <w:p w:rsidR="00B800D3" w:rsidRPr="0063530D" w:rsidRDefault="00B800D3" w:rsidP="009F505A">
            <w:pPr>
              <w:pStyle w:val="TblHeadingCenter"/>
              <w:rPr>
                <w:lang w:val="en-AU"/>
              </w:rPr>
            </w:pPr>
          </w:p>
        </w:tc>
        <w:tc>
          <w:tcPr>
            <w:tcW w:w="4151" w:type="dxa"/>
            <w:gridSpan w:val="3"/>
            <w:tcBorders>
              <w:top w:val="single" w:sz="4" w:space="0" w:color="000000"/>
              <w:bottom w:val="single" w:sz="4" w:space="0" w:color="000000"/>
            </w:tcBorders>
            <w:shd w:val="clear" w:color="auto" w:fill="auto"/>
          </w:tcPr>
          <w:p w:rsidR="00B800D3" w:rsidRPr="0063530D" w:rsidRDefault="003857FE" w:rsidP="009F505A">
            <w:pPr>
              <w:pStyle w:val="TblHeadingCenter"/>
              <w:rPr>
                <w:lang w:val="en-AU"/>
              </w:rPr>
            </w:pPr>
            <w:r w:rsidRPr="0063530D">
              <w:rPr>
                <w:szCs w:val="16"/>
                <w:lang w:val="en-AU"/>
              </w:rPr>
              <w:t>Fluzone High-Dose</w:t>
            </w:r>
            <w:r w:rsidR="00B800D3" w:rsidRPr="0063530D">
              <w:rPr>
                <w:lang w:val="en-AU"/>
              </w:rPr>
              <w:t xml:space="preserve"> (N</w:t>
            </w:r>
            <w:r w:rsidR="002D6151" w:rsidRPr="0063530D">
              <w:rPr>
                <w:vertAlign w:val="superscript"/>
                <w:lang w:val="en-AU"/>
              </w:rPr>
              <w:t>a</w:t>
            </w:r>
            <w:r w:rsidR="00B800D3" w:rsidRPr="0063530D">
              <w:rPr>
                <w:lang w:val="en-AU"/>
              </w:rPr>
              <w:t>=2569-2572)</w:t>
            </w:r>
          </w:p>
          <w:p w:rsidR="00B800D3" w:rsidRPr="0063530D" w:rsidRDefault="00B800D3" w:rsidP="009F505A">
            <w:pPr>
              <w:pStyle w:val="TblHeadingCenter"/>
              <w:rPr>
                <w:lang w:val="en-AU"/>
              </w:rPr>
            </w:pPr>
            <w:r w:rsidRPr="0063530D">
              <w:rPr>
                <w:lang w:val="en-AU"/>
              </w:rPr>
              <w:t>Percentage</w:t>
            </w:r>
          </w:p>
        </w:tc>
        <w:tc>
          <w:tcPr>
            <w:tcW w:w="4152" w:type="dxa"/>
            <w:gridSpan w:val="3"/>
            <w:tcBorders>
              <w:top w:val="single" w:sz="4" w:space="0" w:color="000000"/>
              <w:bottom w:val="single" w:sz="4" w:space="0" w:color="000000"/>
            </w:tcBorders>
            <w:shd w:val="clear" w:color="auto" w:fill="auto"/>
          </w:tcPr>
          <w:p w:rsidR="00B800D3" w:rsidRPr="0063530D" w:rsidRDefault="001415F9" w:rsidP="009F505A">
            <w:pPr>
              <w:pStyle w:val="TblHeadingCenter"/>
              <w:rPr>
                <w:lang w:val="en-AU"/>
              </w:rPr>
            </w:pPr>
            <w:r w:rsidRPr="0063530D">
              <w:rPr>
                <w:szCs w:val="16"/>
                <w:lang w:val="en-AU"/>
              </w:rPr>
              <w:t>Fluzone</w:t>
            </w:r>
            <w:r w:rsidR="00D50D5B" w:rsidRPr="0063530D">
              <w:rPr>
                <w:lang w:val="en-AU"/>
              </w:rPr>
              <w:t xml:space="preserve"> </w:t>
            </w:r>
            <w:r w:rsidR="00B800D3" w:rsidRPr="0063530D">
              <w:rPr>
                <w:lang w:val="en-AU"/>
              </w:rPr>
              <w:t>(N</w:t>
            </w:r>
            <w:r w:rsidR="002D6151" w:rsidRPr="0063530D">
              <w:rPr>
                <w:vertAlign w:val="superscript"/>
                <w:lang w:val="en-AU"/>
              </w:rPr>
              <w:t>a</w:t>
            </w:r>
            <w:r w:rsidR="00B800D3" w:rsidRPr="0063530D">
              <w:rPr>
                <w:lang w:val="en-AU"/>
              </w:rPr>
              <w:t>=1258-1260)</w:t>
            </w:r>
          </w:p>
          <w:p w:rsidR="00B800D3" w:rsidRPr="0063530D" w:rsidRDefault="00B800D3" w:rsidP="009F505A">
            <w:pPr>
              <w:pStyle w:val="TblHeadingCenter"/>
              <w:rPr>
                <w:lang w:val="en-AU"/>
              </w:rPr>
            </w:pPr>
            <w:r w:rsidRPr="0063530D">
              <w:rPr>
                <w:lang w:val="en-AU"/>
              </w:rPr>
              <w:t>Percentage</w:t>
            </w:r>
          </w:p>
        </w:tc>
      </w:tr>
      <w:tr w:rsidR="00B800D3" w:rsidRPr="0063530D" w:rsidTr="009F505A">
        <w:trPr>
          <w:cantSplit/>
          <w:jc w:val="center"/>
        </w:trPr>
        <w:tc>
          <w:tcPr>
            <w:tcW w:w="1383" w:type="dxa"/>
            <w:tcBorders>
              <w:top w:val="single" w:sz="4" w:space="0" w:color="000000"/>
            </w:tcBorders>
            <w:shd w:val="clear" w:color="auto" w:fill="auto"/>
          </w:tcPr>
          <w:p w:rsidR="00B800D3" w:rsidRPr="0063530D" w:rsidRDefault="00B800D3" w:rsidP="009F505A">
            <w:pPr>
              <w:pStyle w:val="TblTextCenter"/>
              <w:jc w:val="left"/>
              <w:rPr>
                <w:lang w:val="en-AU"/>
              </w:rPr>
            </w:pPr>
          </w:p>
        </w:tc>
        <w:tc>
          <w:tcPr>
            <w:tcW w:w="1383" w:type="dxa"/>
            <w:tcBorders>
              <w:top w:val="single" w:sz="4" w:space="0" w:color="000000"/>
            </w:tcBorders>
            <w:shd w:val="clear" w:color="auto" w:fill="auto"/>
          </w:tcPr>
          <w:p w:rsidR="00B800D3" w:rsidRPr="0063530D" w:rsidRDefault="00B800D3" w:rsidP="009F505A">
            <w:pPr>
              <w:pStyle w:val="TblTextCenter"/>
              <w:rPr>
                <w:b/>
                <w:lang w:val="en-AU"/>
              </w:rPr>
            </w:pPr>
            <w:r w:rsidRPr="0063530D">
              <w:rPr>
                <w:b/>
                <w:lang w:val="en-AU"/>
              </w:rPr>
              <w:t>Any</w:t>
            </w:r>
          </w:p>
        </w:tc>
        <w:tc>
          <w:tcPr>
            <w:tcW w:w="1384" w:type="dxa"/>
            <w:tcBorders>
              <w:top w:val="single" w:sz="4" w:space="0" w:color="000000"/>
            </w:tcBorders>
            <w:shd w:val="clear" w:color="auto" w:fill="auto"/>
          </w:tcPr>
          <w:p w:rsidR="00B800D3" w:rsidRPr="0063530D" w:rsidRDefault="00B800D3" w:rsidP="009F505A">
            <w:pPr>
              <w:pStyle w:val="TblTextCenter"/>
              <w:rPr>
                <w:b/>
                <w:lang w:val="en-AU"/>
              </w:rPr>
            </w:pPr>
            <w:proofErr w:type="spellStart"/>
            <w:r w:rsidRPr="0063530D">
              <w:rPr>
                <w:b/>
                <w:lang w:val="en-AU"/>
              </w:rPr>
              <w:t>Moderate</w:t>
            </w:r>
            <w:r w:rsidR="002D6151" w:rsidRPr="0063530D">
              <w:rPr>
                <w:b/>
                <w:vertAlign w:val="superscript"/>
                <w:lang w:val="en-AU"/>
              </w:rPr>
              <w:t>b</w:t>
            </w:r>
            <w:proofErr w:type="spellEnd"/>
          </w:p>
        </w:tc>
        <w:tc>
          <w:tcPr>
            <w:tcW w:w="1384" w:type="dxa"/>
            <w:tcBorders>
              <w:top w:val="single" w:sz="4" w:space="0" w:color="000000"/>
            </w:tcBorders>
            <w:shd w:val="clear" w:color="auto" w:fill="auto"/>
          </w:tcPr>
          <w:p w:rsidR="00B800D3" w:rsidRPr="0063530D" w:rsidRDefault="00B800D3" w:rsidP="009F505A">
            <w:pPr>
              <w:pStyle w:val="TblTextCenter"/>
              <w:rPr>
                <w:b/>
                <w:lang w:val="en-AU"/>
              </w:rPr>
            </w:pPr>
            <w:proofErr w:type="spellStart"/>
            <w:r w:rsidRPr="0063530D">
              <w:rPr>
                <w:b/>
                <w:lang w:val="en-AU"/>
              </w:rPr>
              <w:t>Severe</w:t>
            </w:r>
            <w:r w:rsidR="002D6151" w:rsidRPr="0063530D">
              <w:rPr>
                <w:b/>
                <w:vertAlign w:val="superscript"/>
                <w:lang w:val="en-AU"/>
              </w:rPr>
              <w:t>c</w:t>
            </w:r>
            <w:proofErr w:type="spellEnd"/>
          </w:p>
        </w:tc>
        <w:tc>
          <w:tcPr>
            <w:tcW w:w="1384" w:type="dxa"/>
            <w:tcBorders>
              <w:top w:val="single" w:sz="4" w:space="0" w:color="000000"/>
            </w:tcBorders>
            <w:shd w:val="clear" w:color="auto" w:fill="auto"/>
          </w:tcPr>
          <w:p w:rsidR="00B800D3" w:rsidRPr="0063530D" w:rsidRDefault="00B800D3" w:rsidP="009F505A">
            <w:pPr>
              <w:pStyle w:val="TblTextCenter"/>
              <w:rPr>
                <w:b/>
                <w:lang w:val="en-AU"/>
              </w:rPr>
            </w:pPr>
            <w:r w:rsidRPr="0063530D">
              <w:rPr>
                <w:b/>
                <w:lang w:val="en-AU"/>
              </w:rPr>
              <w:t>Any</w:t>
            </w:r>
          </w:p>
        </w:tc>
        <w:tc>
          <w:tcPr>
            <w:tcW w:w="1384" w:type="dxa"/>
            <w:tcBorders>
              <w:top w:val="single" w:sz="4" w:space="0" w:color="000000"/>
            </w:tcBorders>
            <w:shd w:val="clear" w:color="auto" w:fill="auto"/>
          </w:tcPr>
          <w:p w:rsidR="00B800D3" w:rsidRPr="0063530D" w:rsidRDefault="00B800D3" w:rsidP="009F505A">
            <w:pPr>
              <w:pStyle w:val="TblTextCenter"/>
              <w:rPr>
                <w:b/>
                <w:lang w:val="en-AU"/>
              </w:rPr>
            </w:pPr>
            <w:proofErr w:type="spellStart"/>
            <w:r w:rsidRPr="0063530D">
              <w:rPr>
                <w:b/>
                <w:lang w:val="en-AU"/>
              </w:rPr>
              <w:t>Moderate</w:t>
            </w:r>
            <w:r w:rsidR="002D6151" w:rsidRPr="0063530D">
              <w:rPr>
                <w:b/>
                <w:vertAlign w:val="superscript"/>
                <w:lang w:val="en-AU"/>
              </w:rPr>
              <w:t>b</w:t>
            </w:r>
            <w:proofErr w:type="spellEnd"/>
          </w:p>
        </w:tc>
        <w:tc>
          <w:tcPr>
            <w:tcW w:w="1384" w:type="dxa"/>
            <w:tcBorders>
              <w:top w:val="single" w:sz="4" w:space="0" w:color="000000"/>
            </w:tcBorders>
            <w:shd w:val="clear" w:color="auto" w:fill="auto"/>
          </w:tcPr>
          <w:p w:rsidR="00B800D3" w:rsidRPr="0063530D" w:rsidRDefault="00B800D3" w:rsidP="009F505A">
            <w:pPr>
              <w:pStyle w:val="TblTextCenter"/>
              <w:rPr>
                <w:b/>
                <w:lang w:val="en-AU"/>
              </w:rPr>
            </w:pPr>
            <w:proofErr w:type="spellStart"/>
            <w:r w:rsidRPr="0063530D">
              <w:rPr>
                <w:b/>
                <w:lang w:val="en-AU"/>
              </w:rPr>
              <w:t>Severe</w:t>
            </w:r>
            <w:r w:rsidR="002D6151" w:rsidRPr="0063530D">
              <w:rPr>
                <w:b/>
                <w:vertAlign w:val="superscript"/>
                <w:lang w:val="en-AU"/>
              </w:rPr>
              <w:t>c</w:t>
            </w:r>
            <w:proofErr w:type="spellEnd"/>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Injection-Site Pain</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35.6</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3.7</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0.3</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24.3</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1.7</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0.2</w:t>
            </w:r>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Injection-Site Erythema</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14.9</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1.9</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1.8</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10.8</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0.8</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0.6</w:t>
            </w:r>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Injection-Site Swelling</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8.9</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1.6</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1.5</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5.8</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1.3</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0.6</w:t>
            </w:r>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Myalgia</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21.4</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4.2</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1.6</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18.3</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3.2</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0.2</w:t>
            </w:r>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Malaise</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18.0</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4.7</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1.6</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14.0</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3.7</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0.6</w:t>
            </w:r>
          </w:p>
        </w:tc>
      </w:tr>
      <w:tr w:rsidR="00B800D3" w:rsidRPr="0063530D" w:rsidTr="009F505A">
        <w:trPr>
          <w:cantSplit/>
          <w:jc w:val="center"/>
        </w:trPr>
        <w:tc>
          <w:tcPr>
            <w:tcW w:w="1383" w:type="dxa"/>
            <w:shd w:val="clear" w:color="auto" w:fill="auto"/>
          </w:tcPr>
          <w:p w:rsidR="00B800D3" w:rsidRPr="0063530D" w:rsidRDefault="00B800D3" w:rsidP="009F505A">
            <w:pPr>
              <w:pStyle w:val="TblTextCenter"/>
              <w:jc w:val="left"/>
              <w:rPr>
                <w:b/>
                <w:lang w:val="en-AU"/>
              </w:rPr>
            </w:pPr>
            <w:r w:rsidRPr="0063530D">
              <w:rPr>
                <w:b/>
                <w:lang w:val="en-AU"/>
              </w:rPr>
              <w:t>Headache</w:t>
            </w:r>
          </w:p>
        </w:tc>
        <w:tc>
          <w:tcPr>
            <w:tcW w:w="1383" w:type="dxa"/>
            <w:shd w:val="clear" w:color="auto" w:fill="auto"/>
            <w:vAlign w:val="center"/>
          </w:tcPr>
          <w:p w:rsidR="00B800D3" w:rsidRPr="0063530D" w:rsidRDefault="00B800D3" w:rsidP="009F505A">
            <w:pPr>
              <w:pStyle w:val="TblTextCenter"/>
              <w:rPr>
                <w:lang w:val="en-AU"/>
              </w:rPr>
            </w:pPr>
            <w:r w:rsidRPr="0063530D">
              <w:rPr>
                <w:lang w:val="en-AU"/>
              </w:rPr>
              <w:t>16.8</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3.1</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1.1</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14.4</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2.5</w:t>
            </w:r>
          </w:p>
        </w:tc>
        <w:tc>
          <w:tcPr>
            <w:tcW w:w="1384" w:type="dxa"/>
            <w:shd w:val="clear" w:color="auto" w:fill="auto"/>
            <w:vAlign w:val="center"/>
          </w:tcPr>
          <w:p w:rsidR="00B800D3" w:rsidRPr="0063530D" w:rsidRDefault="00B800D3" w:rsidP="009F505A">
            <w:pPr>
              <w:pStyle w:val="TblTextCenter"/>
              <w:rPr>
                <w:lang w:val="en-AU"/>
              </w:rPr>
            </w:pPr>
            <w:r w:rsidRPr="0063530D">
              <w:rPr>
                <w:lang w:val="en-AU"/>
              </w:rPr>
              <w:t>0.3</w:t>
            </w:r>
          </w:p>
        </w:tc>
      </w:tr>
      <w:tr w:rsidR="00B800D3" w:rsidRPr="0063530D" w:rsidTr="009F505A">
        <w:trPr>
          <w:cantSplit/>
          <w:jc w:val="center"/>
        </w:trPr>
        <w:tc>
          <w:tcPr>
            <w:tcW w:w="1383" w:type="dxa"/>
            <w:tcBorders>
              <w:bottom w:val="single" w:sz="12" w:space="0" w:color="auto"/>
            </w:tcBorders>
            <w:shd w:val="clear" w:color="auto" w:fill="auto"/>
          </w:tcPr>
          <w:p w:rsidR="00B800D3" w:rsidRPr="0063530D" w:rsidRDefault="00B800D3" w:rsidP="002D6151">
            <w:pPr>
              <w:pStyle w:val="TblTextCenter"/>
              <w:jc w:val="left"/>
              <w:rPr>
                <w:b/>
                <w:lang w:val="en-AU"/>
              </w:rPr>
            </w:pPr>
            <w:proofErr w:type="spellStart"/>
            <w:r w:rsidRPr="0063530D">
              <w:rPr>
                <w:b/>
                <w:lang w:val="en-AU"/>
              </w:rPr>
              <w:t>Fever</w:t>
            </w:r>
            <w:r w:rsidR="002D6151" w:rsidRPr="0063530D">
              <w:rPr>
                <w:b/>
                <w:vertAlign w:val="superscript"/>
                <w:lang w:val="en-AU"/>
              </w:rPr>
              <w:t>d</w:t>
            </w:r>
            <w:proofErr w:type="spellEnd"/>
            <w:r w:rsidR="002D6151" w:rsidRPr="0063530D">
              <w:rPr>
                <w:b/>
                <w:vertAlign w:val="superscript"/>
                <w:lang w:val="en-AU"/>
              </w:rPr>
              <w:t xml:space="preserve"> </w:t>
            </w:r>
            <w:r w:rsidRPr="0063530D">
              <w:rPr>
                <w:b/>
                <w:lang w:val="en-AU"/>
              </w:rPr>
              <w:t>(≥</w:t>
            </w:r>
            <w:r w:rsidR="00DE2974" w:rsidRPr="0063530D">
              <w:rPr>
                <w:b/>
                <w:lang w:val="en-AU"/>
              </w:rPr>
              <w:t> 37.5ºC</w:t>
            </w:r>
            <w:r w:rsidRPr="0063530D">
              <w:rPr>
                <w:b/>
                <w:lang w:val="en-AU"/>
              </w:rPr>
              <w:t>)</w:t>
            </w:r>
          </w:p>
        </w:tc>
        <w:tc>
          <w:tcPr>
            <w:tcW w:w="1383"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3.6</w:t>
            </w:r>
          </w:p>
        </w:tc>
        <w:tc>
          <w:tcPr>
            <w:tcW w:w="1384"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1.1</w:t>
            </w:r>
          </w:p>
        </w:tc>
        <w:tc>
          <w:tcPr>
            <w:tcW w:w="1384"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0.0</w:t>
            </w:r>
          </w:p>
        </w:tc>
        <w:tc>
          <w:tcPr>
            <w:tcW w:w="1384"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2.3</w:t>
            </w:r>
          </w:p>
        </w:tc>
        <w:tc>
          <w:tcPr>
            <w:tcW w:w="1384"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0.2</w:t>
            </w:r>
          </w:p>
        </w:tc>
        <w:tc>
          <w:tcPr>
            <w:tcW w:w="1384" w:type="dxa"/>
            <w:tcBorders>
              <w:bottom w:val="single" w:sz="12" w:space="0" w:color="auto"/>
            </w:tcBorders>
            <w:shd w:val="clear" w:color="auto" w:fill="auto"/>
            <w:vAlign w:val="center"/>
          </w:tcPr>
          <w:p w:rsidR="00B800D3" w:rsidRPr="0063530D" w:rsidRDefault="00B800D3" w:rsidP="009F505A">
            <w:pPr>
              <w:pStyle w:val="TblTextCenter"/>
              <w:rPr>
                <w:lang w:val="en-AU"/>
              </w:rPr>
            </w:pPr>
            <w:r w:rsidRPr="0063530D">
              <w:rPr>
                <w:lang w:val="en-AU"/>
              </w:rPr>
              <w:t>0.1</w:t>
            </w:r>
          </w:p>
        </w:tc>
      </w:tr>
      <w:tr w:rsidR="00B800D3" w:rsidRPr="0063530D" w:rsidTr="009F505A">
        <w:trPr>
          <w:cantSplit/>
          <w:jc w:val="center"/>
        </w:trPr>
        <w:tc>
          <w:tcPr>
            <w:tcW w:w="9686" w:type="dxa"/>
            <w:gridSpan w:val="7"/>
            <w:tcBorders>
              <w:top w:val="single" w:sz="12" w:space="0" w:color="auto"/>
            </w:tcBorders>
            <w:shd w:val="clear" w:color="auto" w:fill="auto"/>
          </w:tcPr>
          <w:p w:rsidR="00B800D3" w:rsidRPr="0063530D" w:rsidRDefault="002D6151" w:rsidP="009F505A">
            <w:pPr>
              <w:spacing w:before="60"/>
              <w:ind w:left="850" w:hanging="850"/>
              <w:rPr>
                <w:rFonts w:ascii="Arial Narrow" w:hAnsi="Arial Narrow"/>
                <w:color w:val="auto"/>
                <w:sz w:val="18"/>
                <w:szCs w:val="18"/>
                <w:lang w:val="en-AU"/>
              </w:rPr>
            </w:pPr>
            <w:r w:rsidRPr="0063530D">
              <w:rPr>
                <w:rFonts w:ascii="Arial Narrow" w:hAnsi="Arial Narrow"/>
                <w:color w:val="auto"/>
                <w:sz w:val="18"/>
                <w:szCs w:val="18"/>
                <w:vertAlign w:val="superscript"/>
                <w:lang w:val="en-AU"/>
              </w:rPr>
              <w:t>a</w:t>
            </w:r>
            <w:r w:rsidR="00B800D3" w:rsidRPr="0063530D">
              <w:rPr>
                <w:rFonts w:ascii="Arial Narrow" w:hAnsi="Arial Narrow"/>
                <w:color w:val="auto"/>
                <w:sz w:val="18"/>
                <w:szCs w:val="18"/>
                <w:vertAlign w:val="superscript"/>
                <w:lang w:val="en-AU"/>
              </w:rPr>
              <w:t xml:space="preserve"> </w:t>
            </w:r>
            <w:r w:rsidR="00B800D3" w:rsidRPr="0063530D">
              <w:rPr>
                <w:rFonts w:ascii="Arial Narrow" w:hAnsi="Arial Narrow"/>
                <w:color w:val="auto"/>
                <w:sz w:val="18"/>
                <w:szCs w:val="18"/>
                <w:lang w:val="en-AU"/>
              </w:rPr>
              <w:t>N is the number of vaccinated participants with available data for the events listed</w:t>
            </w:r>
          </w:p>
          <w:p w:rsidR="00B800D3" w:rsidRPr="0063530D" w:rsidRDefault="002D6151" w:rsidP="009F505A">
            <w:pPr>
              <w:spacing w:before="60"/>
              <w:ind w:left="120" w:hanging="120"/>
              <w:rPr>
                <w:rFonts w:ascii="Arial Narrow" w:hAnsi="Arial Narrow"/>
                <w:color w:val="auto"/>
                <w:sz w:val="18"/>
                <w:szCs w:val="18"/>
                <w:lang w:val="en-AU"/>
              </w:rPr>
            </w:pPr>
            <w:r w:rsidRPr="0063530D">
              <w:rPr>
                <w:rFonts w:ascii="Arial Narrow" w:hAnsi="Arial Narrow"/>
                <w:color w:val="auto"/>
                <w:sz w:val="18"/>
                <w:szCs w:val="18"/>
                <w:vertAlign w:val="superscript"/>
                <w:lang w:val="en-AU"/>
              </w:rPr>
              <w:t>b</w:t>
            </w:r>
            <w:r w:rsidR="00B800D3" w:rsidRPr="0063530D">
              <w:rPr>
                <w:rFonts w:ascii="Arial Narrow" w:hAnsi="Arial Narrow"/>
                <w:color w:val="auto"/>
                <w:sz w:val="18"/>
                <w:szCs w:val="18"/>
                <w:vertAlign w:val="superscript"/>
                <w:lang w:val="en-AU"/>
              </w:rPr>
              <w:t xml:space="preserve"> </w:t>
            </w:r>
            <w:r w:rsidR="00B800D3" w:rsidRPr="0063530D">
              <w:rPr>
                <w:rFonts w:ascii="Arial Narrow" w:hAnsi="Arial Narrow"/>
                <w:color w:val="auto"/>
                <w:sz w:val="18"/>
                <w:szCs w:val="18"/>
                <w:lang w:val="en-AU"/>
              </w:rPr>
              <w:t>Moderate - Injection-site pain: sufficiently discomforting to interfere with normal behaviour or activities; Injection-site erythema and Injection-site swelling: ≥2.5 cm to &lt;5 cm; Fever: &gt;</w:t>
            </w:r>
            <w:r w:rsidR="00DE2974" w:rsidRPr="0063530D">
              <w:rPr>
                <w:rFonts w:ascii="Arial Narrow" w:hAnsi="Arial Narrow"/>
                <w:color w:val="auto"/>
                <w:sz w:val="18"/>
                <w:szCs w:val="18"/>
                <w:lang w:val="en-AU"/>
              </w:rPr>
              <w:t>38</w:t>
            </w:r>
            <w:r w:rsidR="00B800D3" w:rsidRPr="0063530D">
              <w:rPr>
                <w:rFonts w:ascii="Arial Narrow" w:hAnsi="Arial Narrow"/>
                <w:color w:val="auto"/>
                <w:sz w:val="18"/>
                <w:szCs w:val="18"/>
                <w:lang w:val="en-AU"/>
              </w:rPr>
              <w:t>º</w:t>
            </w:r>
            <w:r w:rsidR="00DE2974" w:rsidRPr="0063530D">
              <w:rPr>
                <w:rFonts w:ascii="Arial Narrow" w:hAnsi="Arial Narrow"/>
                <w:color w:val="auto"/>
                <w:sz w:val="18"/>
                <w:szCs w:val="18"/>
                <w:lang w:val="en-AU"/>
              </w:rPr>
              <w:t>C to ≤39</w:t>
            </w:r>
            <w:r w:rsidR="00B800D3" w:rsidRPr="0063530D">
              <w:rPr>
                <w:rFonts w:ascii="Arial Narrow" w:hAnsi="Arial Narrow"/>
                <w:color w:val="auto"/>
                <w:sz w:val="18"/>
                <w:szCs w:val="18"/>
                <w:lang w:val="en-AU"/>
              </w:rPr>
              <w:t>º</w:t>
            </w:r>
            <w:r w:rsidR="00DE2974" w:rsidRPr="0063530D">
              <w:rPr>
                <w:rFonts w:ascii="Arial Narrow" w:hAnsi="Arial Narrow"/>
                <w:color w:val="auto"/>
                <w:sz w:val="18"/>
                <w:szCs w:val="18"/>
                <w:lang w:val="en-AU"/>
              </w:rPr>
              <w:t>C</w:t>
            </w:r>
            <w:r w:rsidR="00B800D3" w:rsidRPr="0063530D">
              <w:rPr>
                <w:rFonts w:ascii="Arial Narrow" w:hAnsi="Arial Narrow"/>
                <w:color w:val="auto"/>
                <w:sz w:val="18"/>
                <w:szCs w:val="18"/>
                <w:lang w:val="en-AU"/>
              </w:rPr>
              <w:t>; Myalgia, Malaise, and Headache: interferes with daily activities</w:t>
            </w:r>
          </w:p>
          <w:p w:rsidR="00B800D3" w:rsidRPr="0063530D" w:rsidRDefault="002D6151" w:rsidP="009F505A">
            <w:pPr>
              <w:spacing w:before="60"/>
              <w:ind w:left="120" w:hanging="120"/>
              <w:rPr>
                <w:rFonts w:ascii="Arial Narrow" w:hAnsi="Arial Narrow"/>
                <w:color w:val="auto"/>
                <w:sz w:val="18"/>
                <w:szCs w:val="18"/>
                <w:lang w:val="en-AU"/>
              </w:rPr>
            </w:pPr>
            <w:r w:rsidRPr="0063530D">
              <w:rPr>
                <w:rFonts w:ascii="Arial Narrow" w:hAnsi="Arial Narrow"/>
                <w:color w:val="auto"/>
                <w:sz w:val="18"/>
                <w:szCs w:val="18"/>
                <w:vertAlign w:val="superscript"/>
                <w:lang w:val="en-AU"/>
              </w:rPr>
              <w:t>c</w:t>
            </w:r>
            <w:r w:rsidR="00B800D3" w:rsidRPr="0063530D">
              <w:rPr>
                <w:rFonts w:ascii="Arial Narrow" w:hAnsi="Arial Narrow"/>
                <w:color w:val="auto"/>
                <w:sz w:val="18"/>
                <w:szCs w:val="18"/>
                <w:vertAlign w:val="superscript"/>
                <w:lang w:val="en-AU"/>
              </w:rPr>
              <w:t xml:space="preserve"> </w:t>
            </w:r>
            <w:r w:rsidR="00B800D3" w:rsidRPr="0063530D">
              <w:rPr>
                <w:rFonts w:ascii="Arial Narrow" w:hAnsi="Arial Narrow"/>
                <w:color w:val="auto"/>
                <w:sz w:val="18"/>
                <w:szCs w:val="18"/>
                <w:lang w:val="en-AU"/>
              </w:rPr>
              <w:t xml:space="preserve">Severe - Injection-site pain: incapacitating, unable to perform usual activities; Injection-site erythema and Injection-site swelling: ≥5 cm; Fever: </w:t>
            </w:r>
            <w:r w:rsidR="00DE2974" w:rsidRPr="0063530D">
              <w:rPr>
                <w:rFonts w:ascii="Arial Narrow" w:hAnsi="Arial Narrow"/>
                <w:color w:val="auto"/>
                <w:sz w:val="18"/>
                <w:szCs w:val="18"/>
                <w:lang w:val="en-AU"/>
              </w:rPr>
              <w:t>&gt;39</w:t>
            </w:r>
            <w:r w:rsidR="00B800D3" w:rsidRPr="0063530D">
              <w:rPr>
                <w:rFonts w:ascii="Arial Narrow" w:hAnsi="Arial Narrow"/>
                <w:color w:val="auto"/>
                <w:sz w:val="18"/>
                <w:szCs w:val="18"/>
                <w:lang w:val="en-AU"/>
              </w:rPr>
              <w:t>º</w:t>
            </w:r>
            <w:r w:rsidR="00DE2974" w:rsidRPr="0063530D">
              <w:rPr>
                <w:rFonts w:ascii="Arial Narrow" w:hAnsi="Arial Narrow"/>
                <w:color w:val="auto"/>
                <w:sz w:val="18"/>
                <w:szCs w:val="18"/>
                <w:lang w:val="en-AU"/>
              </w:rPr>
              <w:t>C</w:t>
            </w:r>
            <w:r w:rsidR="00B800D3" w:rsidRPr="0063530D">
              <w:rPr>
                <w:rFonts w:ascii="Arial Narrow" w:hAnsi="Arial Narrow"/>
                <w:color w:val="auto"/>
                <w:sz w:val="18"/>
                <w:szCs w:val="18"/>
                <w:lang w:val="en-AU"/>
              </w:rPr>
              <w:t>; Myalgia, Malaise, and Headache: prevents daily activities</w:t>
            </w:r>
          </w:p>
          <w:p w:rsidR="00B800D3" w:rsidRPr="0063530D" w:rsidRDefault="002D6151" w:rsidP="002D07C8">
            <w:pPr>
              <w:spacing w:before="60"/>
              <w:ind w:left="120" w:hanging="120"/>
              <w:rPr>
                <w:color w:val="auto"/>
                <w:sz w:val="20"/>
                <w:szCs w:val="16"/>
                <w:lang w:val="en-AU"/>
              </w:rPr>
            </w:pPr>
            <w:r w:rsidRPr="0063530D">
              <w:rPr>
                <w:rFonts w:ascii="Arial Narrow" w:hAnsi="Arial Narrow"/>
                <w:color w:val="auto"/>
                <w:sz w:val="18"/>
                <w:szCs w:val="18"/>
                <w:vertAlign w:val="superscript"/>
                <w:lang w:val="en-AU"/>
              </w:rPr>
              <w:t>d</w:t>
            </w:r>
            <w:r w:rsidR="00B800D3" w:rsidRPr="0063530D">
              <w:rPr>
                <w:rFonts w:ascii="Arial Narrow" w:hAnsi="Arial Narrow"/>
                <w:color w:val="auto"/>
                <w:sz w:val="18"/>
                <w:szCs w:val="18"/>
                <w:vertAlign w:val="superscript"/>
                <w:lang w:val="en-AU"/>
              </w:rPr>
              <w:t xml:space="preserve"> </w:t>
            </w:r>
            <w:r w:rsidR="00B800D3" w:rsidRPr="0063530D">
              <w:rPr>
                <w:rFonts w:ascii="Arial Narrow" w:hAnsi="Arial Narrow"/>
                <w:color w:val="auto"/>
                <w:sz w:val="18"/>
                <w:szCs w:val="18"/>
                <w:lang w:val="en-AU"/>
              </w:rPr>
              <w:t>Fever - The percentage of temperature measurements that were taken by oral route or not recorded were 97.9% and 2.1%, respectively, for</w:t>
            </w:r>
            <w:r w:rsidR="00D50D5B" w:rsidRPr="0063530D">
              <w:rPr>
                <w:rFonts w:ascii="Arial Narrow" w:hAnsi="Arial Narrow"/>
                <w:color w:val="auto"/>
                <w:sz w:val="18"/>
                <w:szCs w:val="18"/>
                <w:lang w:val="en-AU"/>
              </w:rPr>
              <w:t xml:space="preserve"> </w:t>
            </w:r>
            <w:r w:rsidR="003857FE" w:rsidRPr="0063530D">
              <w:rPr>
                <w:rFonts w:ascii="Arial Narrow" w:hAnsi="Arial Narrow"/>
                <w:noProof/>
                <w:color w:val="auto"/>
                <w:sz w:val="18"/>
                <w:szCs w:val="18"/>
                <w:lang w:val="en-AU"/>
              </w:rPr>
              <w:t>Fluzone High-Dose</w:t>
            </w:r>
            <w:r w:rsidR="00B800D3" w:rsidRPr="0063530D">
              <w:rPr>
                <w:rFonts w:ascii="Arial Narrow" w:hAnsi="Arial Narrow"/>
                <w:color w:val="auto"/>
                <w:sz w:val="18"/>
                <w:szCs w:val="18"/>
                <w:lang w:val="en-AU"/>
              </w:rPr>
              <w:t>; and 98.6% and 1.4%, respectively, for</w:t>
            </w:r>
            <w:r w:rsidR="001415F9" w:rsidRPr="0063530D">
              <w:rPr>
                <w:rFonts w:ascii="Arial Narrow" w:hAnsi="Arial Narrow"/>
                <w:noProof/>
                <w:color w:val="auto"/>
                <w:sz w:val="18"/>
                <w:szCs w:val="18"/>
                <w:lang w:val="en-AU"/>
              </w:rPr>
              <w:t xml:space="preserve"> Fluzone</w:t>
            </w:r>
            <w:r w:rsidR="00D50D5B" w:rsidRPr="0063530D">
              <w:rPr>
                <w:rFonts w:ascii="Arial Narrow" w:hAnsi="Arial Narrow"/>
                <w:color w:val="auto"/>
                <w:sz w:val="18"/>
                <w:szCs w:val="18"/>
                <w:lang w:val="en-AU"/>
              </w:rPr>
              <w:t>.</w:t>
            </w:r>
          </w:p>
        </w:tc>
      </w:tr>
    </w:tbl>
    <w:p w:rsidR="00B800D3" w:rsidRPr="0063530D" w:rsidRDefault="00B800D3" w:rsidP="00B800D3">
      <w:pPr>
        <w:rPr>
          <w:color w:val="auto"/>
          <w:lang w:val="en-AU"/>
        </w:rPr>
      </w:pPr>
      <w:r w:rsidRPr="0063530D">
        <w:rPr>
          <w:color w:val="auto"/>
          <w:lang w:val="en-AU"/>
        </w:rPr>
        <w:t xml:space="preserve">Within 6 months post-vaccination, 156 (6.1%) </w:t>
      </w:r>
      <w:r w:rsidR="003857FE" w:rsidRPr="0063530D">
        <w:rPr>
          <w:noProof/>
          <w:color w:val="auto"/>
          <w:szCs w:val="16"/>
          <w:lang w:val="en-AU"/>
        </w:rPr>
        <w:t>Fluzone High-Dose</w:t>
      </w:r>
      <w:r w:rsidR="00D50D5B" w:rsidRPr="0063530D">
        <w:rPr>
          <w:color w:val="auto"/>
          <w:lang w:val="en-AU"/>
        </w:rPr>
        <w:t xml:space="preserve"> recipients and 93 (7.4%) </w:t>
      </w:r>
      <w:r w:rsidR="001415F9" w:rsidRPr="0063530D">
        <w:rPr>
          <w:noProof/>
          <w:color w:val="auto"/>
          <w:szCs w:val="16"/>
          <w:lang w:val="en-AU"/>
        </w:rPr>
        <w:t>Fluzone</w:t>
      </w:r>
      <w:r w:rsidRPr="0063530D">
        <w:rPr>
          <w:color w:val="auto"/>
          <w:lang w:val="en-AU"/>
        </w:rPr>
        <w:t xml:space="preserve"> recipients experienced a serious adverse event (SAE). No deaths were reported within 28 days post-vaccination. A total of 23 deaths were reported during Days 29 – 180 post-vaccination: 16 (0.6%) among </w:t>
      </w:r>
      <w:r w:rsidR="003857FE" w:rsidRPr="0063530D">
        <w:rPr>
          <w:noProof/>
          <w:color w:val="auto"/>
          <w:szCs w:val="16"/>
          <w:lang w:val="en-AU"/>
        </w:rPr>
        <w:t>Fluzone High-Dose</w:t>
      </w:r>
      <w:r w:rsidRPr="0063530D">
        <w:rPr>
          <w:color w:val="auto"/>
          <w:lang w:val="en-AU"/>
        </w:rPr>
        <w:t xml:space="preserve"> reci</w:t>
      </w:r>
      <w:r w:rsidR="00D50D5B" w:rsidRPr="0063530D">
        <w:rPr>
          <w:color w:val="auto"/>
          <w:lang w:val="en-AU"/>
        </w:rPr>
        <w:t xml:space="preserve">pients and 7 (0.6%) among </w:t>
      </w:r>
      <w:r w:rsidR="001415F9" w:rsidRPr="0063530D">
        <w:rPr>
          <w:noProof/>
          <w:color w:val="auto"/>
          <w:szCs w:val="16"/>
          <w:lang w:val="en-AU"/>
        </w:rPr>
        <w:t>Fluzone</w:t>
      </w:r>
      <w:r w:rsidRPr="0063530D">
        <w:rPr>
          <w:color w:val="auto"/>
          <w:lang w:val="en-AU"/>
        </w:rPr>
        <w:t xml:space="preserve"> recipients. The majority of these participants had a medical history of cardiac, hepatic, neoplastic, renal, and/or respiratory diseases. These data do not provide evidence for a causal relationship between deaths and vaccination with</w:t>
      </w:r>
      <w:r w:rsidR="00D50D5B" w:rsidRPr="0063530D">
        <w:rPr>
          <w:color w:val="auto"/>
          <w:lang w:val="en-AU"/>
        </w:rPr>
        <w:t xml:space="preserve"> </w:t>
      </w:r>
      <w:r w:rsidR="003857FE" w:rsidRPr="0063530D">
        <w:rPr>
          <w:noProof/>
          <w:color w:val="auto"/>
          <w:szCs w:val="16"/>
          <w:lang w:val="en-AU"/>
        </w:rPr>
        <w:t>Fluzone High-Dose</w:t>
      </w:r>
      <w:r w:rsidRPr="0063530D">
        <w:rPr>
          <w:color w:val="auto"/>
          <w:lang w:val="en-AU"/>
        </w:rPr>
        <w:t xml:space="preserve">. </w:t>
      </w:r>
    </w:p>
    <w:p w:rsidR="00B800D3" w:rsidRPr="0063530D" w:rsidRDefault="00D50D5B" w:rsidP="00B800D3">
      <w:pPr>
        <w:rPr>
          <w:color w:val="auto"/>
          <w:lang w:val="en-AU"/>
        </w:rPr>
      </w:pPr>
      <w:r w:rsidRPr="0063530D">
        <w:rPr>
          <w:color w:val="auto"/>
          <w:lang w:val="en-AU"/>
        </w:rPr>
        <w:t>FIM12</w:t>
      </w:r>
      <w:r w:rsidR="00B800D3" w:rsidRPr="0063530D">
        <w:rPr>
          <w:color w:val="auto"/>
          <w:lang w:val="en-AU"/>
        </w:rPr>
        <w:t xml:space="preserve"> was a multi-centre, double-blind efficacy trial conducted in the US and Canada over two influenza seasons. In this study, adults 65 years of age and older were randomised to receive either </w:t>
      </w:r>
      <w:r w:rsidR="003857FE" w:rsidRPr="0063530D">
        <w:rPr>
          <w:noProof/>
          <w:color w:val="auto"/>
          <w:szCs w:val="16"/>
          <w:lang w:val="en-AU"/>
        </w:rPr>
        <w:t>Fluzone High-Dose</w:t>
      </w:r>
      <w:r w:rsidRPr="0063530D">
        <w:rPr>
          <w:color w:val="auto"/>
          <w:lang w:val="en-AU"/>
        </w:rPr>
        <w:t xml:space="preserve"> </w:t>
      </w:r>
      <w:r w:rsidR="00B800D3" w:rsidRPr="0063530D">
        <w:rPr>
          <w:color w:val="auto"/>
          <w:lang w:val="en-AU"/>
        </w:rPr>
        <w:t xml:space="preserve">or </w:t>
      </w:r>
      <w:r w:rsidR="001415F9" w:rsidRPr="0063530D">
        <w:rPr>
          <w:noProof/>
          <w:color w:val="auto"/>
          <w:szCs w:val="16"/>
          <w:lang w:val="en-AU"/>
        </w:rPr>
        <w:t>Fluzone</w:t>
      </w:r>
      <w:r w:rsidR="00B800D3" w:rsidRPr="0063530D">
        <w:rPr>
          <w:color w:val="auto"/>
          <w:lang w:val="en-AU"/>
        </w:rPr>
        <w:t xml:space="preserve"> (2011-2012 and 2012-2013 formulations). The study compared the efficacy and safety of </w:t>
      </w:r>
      <w:r w:rsidR="00532B5F" w:rsidRPr="0063530D">
        <w:rPr>
          <w:noProof/>
          <w:color w:val="auto"/>
          <w:szCs w:val="16"/>
          <w:lang w:val="en-AU"/>
        </w:rPr>
        <w:t>Fluzone High-Dose</w:t>
      </w:r>
      <w:r w:rsidRPr="0063530D">
        <w:rPr>
          <w:color w:val="auto"/>
          <w:lang w:val="en-AU"/>
        </w:rPr>
        <w:t xml:space="preserve"> </w:t>
      </w:r>
      <w:r w:rsidR="00B800D3" w:rsidRPr="0063530D">
        <w:rPr>
          <w:color w:val="auto"/>
          <w:lang w:val="en-AU"/>
        </w:rPr>
        <w:t xml:space="preserve">to those of </w:t>
      </w:r>
      <w:r w:rsidR="001415F9" w:rsidRPr="0063530D">
        <w:rPr>
          <w:noProof/>
          <w:color w:val="auto"/>
          <w:szCs w:val="16"/>
          <w:lang w:val="en-AU"/>
        </w:rPr>
        <w:t>Fluzone</w:t>
      </w:r>
      <w:r w:rsidR="00B800D3" w:rsidRPr="0063530D">
        <w:rPr>
          <w:color w:val="auto"/>
          <w:lang w:val="en-AU"/>
        </w:rPr>
        <w:t xml:space="preserve">. The safety analysis set included 15,992 </w:t>
      </w:r>
      <w:r w:rsidR="003857FE" w:rsidRPr="0063530D">
        <w:rPr>
          <w:noProof/>
          <w:color w:val="auto"/>
          <w:szCs w:val="16"/>
          <w:lang w:val="en-AU"/>
        </w:rPr>
        <w:t>Fluzone High-Dose</w:t>
      </w:r>
      <w:r w:rsidRPr="0063530D">
        <w:rPr>
          <w:color w:val="auto"/>
          <w:lang w:val="en-AU"/>
        </w:rPr>
        <w:t xml:space="preserve"> recipients and 15,991 </w:t>
      </w:r>
      <w:r w:rsidR="00532B5F" w:rsidRPr="0063530D">
        <w:rPr>
          <w:noProof/>
          <w:color w:val="auto"/>
          <w:szCs w:val="16"/>
          <w:lang w:val="en-AU"/>
        </w:rPr>
        <w:t>Fluzone</w:t>
      </w:r>
      <w:r w:rsidR="00B800D3" w:rsidRPr="0063530D">
        <w:rPr>
          <w:color w:val="auto"/>
          <w:lang w:val="en-AU"/>
        </w:rPr>
        <w:t xml:space="preserve"> recipients.</w:t>
      </w:r>
    </w:p>
    <w:p w:rsidR="00B800D3" w:rsidRPr="0063530D" w:rsidRDefault="00B800D3" w:rsidP="00B800D3">
      <w:pPr>
        <w:rPr>
          <w:color w:val="auto"/>
          <w:lang w:val="en-AU"/>
        </w:rPr>
      </w:pPr>
      <w:r w:rsidRPr="0063530D">
        <w:rPr>
          <w:color w:val="auto"/>
          <w:lang w:val="en-AU"/>
        </w:rPr>
        <w:t xml:space="preserve">Within the study surveillance period (approximately 6 to 8 months post-vaccination), 1323 (8.3%) </w:t>
      </w:r>
      <w:r w:rsidR="003857FE" w:rsidRPr="0063530D">
        <w:rPr>
          <w:noProof/>
          <w:color w:val="auto"/>
          <w:szCs w:val="16"/>
          <w:lang w:val="en-AU"/>
        </w:rPr>
        <w:t>Fluzone High-Dose</w:t>
      </w:r>
      <w:r w:rsidR="00D50D5B" w:rsidRPr="0063530D">
        <w:rPr>
          <w:color w:val="auto"/>
          <w:lang w:val="en-AU"/>
        </w:rPr>
        <w:t xml:space="preserve"> recipients and 1442 (9.0%) </w:t>
      </w:r>
      <w:r w:rsidR="00532B5F" w:rsidRPr="0063530D">
        <w:rPr>
          <w:noProof/>
          <w:color w:val="auto"/>
          <w:szCs w:val="16"/>
          <w:lang w:val="en-AU"/>
        </w:rPr>
        <w:t>Fluzone</w:t>
      </w:r>
      <w:r w:rsidRPr="0063530D">
        <w:rPr>
          <w:color w:val="auto"/>
          <w:lang w:val="en-AU"/>
        </w:rPr>
        <w:t xml:space="preserve"> recipients experienced an SAE. Within 30 days post-vaccination, 204 (1.3%) </w:t>
      </w:r>
      <w:r w:rsidR="003857FE" w:rsidRPr="0063530D">
        <w:rPr>
          <w:noProof/>
          <w:color w:val="auto"/>
          <w:szCs w:val="16"/>
          <w:lang w:val="en-AU"/>
        </w:rPr>
        <w:t>Fluzone High-Dose</w:t>
      </w:r>
      <w:r w:rsidR="00D50D5B" w:rsidRPr="0063530D">
        <w:rPr>
          <w:color w:val="auto"/>
          <w:lang w:val="en-AU"/>
        </w:rPr>
        <w:t xml:space="preserve"> </w:t>
      </w:r>
      <w:r w:rsidRPr="0063530D">
        <w:rPr>
          <w:color w:val="auto"/>
          <w:lang w:val="en-AU"/>
        </w:rPr>
        <w:t xml:space="preserve">recipients and 200 (1.3%) </w:t>
      </w:r>
      <w:r w:rsidR="00532B5F" w:rsidRPr="0063530D">
        <w:rPr>
          <w:noProof/>
          <w:color w:val="auto"/>
          <w:szCs w:val="16"/>
          <w:lang w:val="en-AU"/>
        </w:rPr>
        <w:t>Fluzone</w:t>
      </w:r>
      <w:r w:rsidR="00D50D5B" w:rsidRPr="0063530D">
        <w:rPr>
          <w:color w:val="auto"/>
          <w:lang w:val="en-AU"/>
        </w:rPr>
        <w:t xml:space="preserve"> </w:t>
      </w:r>
      <w:r w:rsidRPr="0063530D">
        <w:rPr>
          <w:color w:val="auto"/>
          <w:lang w:val="en-AU"/>
        </w:rPr>
        <w:lastRenderedPageBreak/>
        <w:t xml:space="preserve">recipients experienced an SAE. The majority of these participants had one or more chronic comorbid illnesses. A total of 167 deaths were reported within 6 to 8 months post-vaccination: 83 (0.5%) among </w:t>
      </w:r>
      <w:r w:rsidR="003857FE" w:rsidRPr="0063530D">
        <w:rPr>
          <w:noProof/>
          <w:color w:val="auto"/>
          <w:szCs w:val="16"/>
          <w:lang w:val="en-AU"/>
        </w:rPr>
        <w:t>Fluzone High-Dose</w:t>
      </w:r>
      <w:r w:rsidR="00D50D5B" w:rsidRPr="0063530D">
        <w:rPr>
          <w:color w:val="auto"/>
          <w:lang w:val="en-AU"/>
        </w:rPr>
        <w:t xml:space="preserve"> </w:t>
      </w:r>
      <w:r w:rsidRPr="0063530D">
        <w:rPr>
          <w:color w:val="auto"/>
          <w:lang w:val="en-AU"/>
        </w:rPr>
        <w:t xml:space="preserve">recipients and 84 (0.5%) among </w:t>
      </w:r>
      <w:r w:rsidR="00532B5F" w:rsidRPr="0063530D">
        <w:rPr>
          <w:noProof/>
          <w:color w:val="auto"/>
          <w:szCs w:val="16"/>
          <w:lang w:val="en-AU"/>
        </w:rPr>
        <w:t>Fluzone</w:t>
      </w:r>
      <w:r w:rsidR="00D50D5B" w:rsidRPr="0063530D">
        <w:rPr>
          <w:color w:val="auto"/>
          <w:lang w:val="en-AU"/>
        </w:rPr>
        <w:t xml:space="preserve"> </w:t>
      </w:r>
      <w:r w:rsidRPr="0063530D">
        <w:rPr>
          <w:color w:val="auto"/>
          <w:lang w:val="en-AU"/>
        </w:rPr>
        <w:t xml:space="preserve">recipients. A total of 6 deaths were reported within 30 days post-vaccination: 6 (0.04%) among </w:t>
      </w:r>
      <w:r w:rsidR="003857FE" w:rsidRPr="0063530D">
        <w:rPr>
          <w:noProof/>
          <w:color w:val="auto"/>
          <w:szCs w:val="16"/>
          <w:lang w:val="en-AU"/>
        </w:rPr>
        <w:t>Fluzone High-Dose</w:t>
      </w:r>
      <w:r w:rsidR="00D50D5B" w:rsidRPr="0063530D">
        <w:rPr>
          <w:color w:val="auto"/>
          <w:lang w:val="en-AU"/>
        </w:rPr>
        <w:t xml:space="preserve"> </w:t>
      </w:r>
      <w:r w:rsidRPr="0063530D">
        <w:rPr>
          <w:color w:val="auto"/>
          <w:lang w:val="en-AU"/>
        </w:rPr>
        <w:t xml:space="preserve">recipients and 0 (0 %) among </w:t>
      </w:r>
      <w:r w:rsidR="00532B5F" w:rsidRPr="0063530D">
        <w:rPr>
          <w:noProof/>
          <w:color w:val="auto"/>
          <w:szCs w:val="16"/>
          <w:lang w:val="en-AU"/>
        </w:rPr>
        <w:t>Fluzone</w:t>
      </w:r>
      <w:r w:rsidR="00D50D5B" w:rsidRPr="0063530D">
        <w:rPr>
          <w:color w:val="auto"/>
          <w:lang w:val="en-AU"/>
        </w:rPr>
        <w:t xml:space="preserve"> </w:t>
      </w:r>
      <w:r w:rsidRPr="0063530D">
        <w:rPr>
          <w:color w:val="auto"/>
          <w:lang w:val="en-AU"/>
        </w:rPr>
        <w:t>recipients. These data do not provide evidence for a causal relationship between deaths and vaccination with</w:t>
      </w:r>
      <w:r w:rsidR="00D50D5B" w:rsidRPr="0063530D">
        <w:rPr>
          <w:color w:val="auto"/>
          <w:lang w:val="en-AU"/>
        </w:rPr>
        <w:t xml:space="preserve"> </w:t>
      </w:r>
      <w:r w:rsidR="003857FE" w:rsidRPr="0063530D">
        <w:rPr>
          <w:noProof/>
          <w:color w:val="auto"/>
          <w:szCs w:val="16"/>
          <w:lang w:val="en-AU"/>
        </w:rPr>
        <w:t>Fluzone High-Dose</w:t>
      </w:r>
      <w:r w:rsidRPr="0063530D">
        <w:rPr>
          <w:color w:val="auto"/>
          <w:lang w:val="en-AU"/>
        </w:rPr>
        <w:t>.</w:t>
      </w:r>
    </w:p>
    <w:p w:rsidR="00B800D3" w:rsidRPr="0063530D" w:rsidRDefault="00B800D3" w:rsidP="00B800D3">
      <w:pPr>
        <w:pStyle w:val="Heading3"/>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Adverse Reactions from Post-Marketing Surveillance</w:t>
      </w:r>
    </w:p>
    <w:p w:rsidR="00B800D3" w:rsidRPr="0063530D" w:rsidRDefault="00B800D3" w:rsidP="00B800D3">
      <w:pPr>
        <w:rPr>
          <w:color w:val="auto"/>
          <w:lang w:val="en-AU"/>
        </w:rPr>
      </w:pPr>
      <w:r w:rsidRPr="0063530D">
        <w:rPr>
          <w:color w:val="auto"/>
          <w:lang w:val="en-AU"/>
        </w:rPr>
        <w:t xml:space="preserve">The following events have been spontaneously reported during the post-approval use of </w:t>
      </w:r>
      <w:proofErr w:type="spellStart"/>
      <w:r w:rsidRPr="0063530D">
        <w:rPr>
          <w:color w:val="auto"/>
          <w:lang w:val="en-AU"/>
        </w:rPr>
        <w:t>Fluzone</w:t>
      </w:r>
      <w:proofErr w:type="spellEnd"/>
      <w:r w:rsidRPr="0063530D">
        <w:rPr>
          <w:color w:val="auto"/>
          <w:lang w:val="en-AU"/>
        </w:rPr>
        <w:t xml:space="preserve"> or </w:t>
      </w:r>
      <w:proofErr w:type="spellStart"/>
      <w:r w:rsidRPr="0063530D">
        <w:rPr>
          <w:color w:val="auto"/>
          <w:lang w:val="en-AU"/>
        </w:rPr>
        <w:t>Fluzone</w:t>
      </w:r>
      <w:proofErr w:type="spellEnd"/>
      <w:r w:rsidRPr="0063530D">
        <w:rPr>
          <w:color w:val="auto"/>
          <w:lang w:val="en-AU"/>
        </w:rPr>
        <w:t xml:space="preserve"> High-Dose. Because these events are reported voluntarily from a population of uncertain size, it is not always possible to reliably estimate their frequency or establish a causal relationship to vaccine exposure. Adverse events were included based on one or more of the following factors: severity, frequency of reporting, or strength of evidence for a causal relationship to </w:t>
      </w:r>
      <w:r w:rsidR="00532B5F" w:rsidRPr="0063530D">
        <w:rPr>
          <w:noProof/>
          <w:color w:val="auto"/>
          <w:szCs w:val="16"/>
          <w:lang w:val="en-AU"/>
        </w:rPr>
        <w:t>Fluzone</w:t>
      </w:r>
      <w:r w:rsidR="00445E15" w:rsidRPr="0063530D">
        <w:rPr>
          <w:color w:val="auto"/>
          <w:lang w:val="en-AU"/>
        </w:rPr>
        <w:t xml:space="preserve"> or </w:t>
      </w:r>
      <w:r w:rsidR="003857FE" w:rsidRPr="0063530D">
        <w:rPr>
          <w:noProof/>
          <w:color w:val="auto"/>
          <w:szCs w:val="16"/>
          <w:lang w:val="en-AU"/>
        </w:rPr>
        <w:t>Fluzone High-Dose</w:t>
      </w:r>
      <w:r w:rsidRPr="0063530D">
        <w:rPr>
          <w:color w:val="auto"/>
          <w:lang w:val="en-AU"/>
        </w:rPr>
        <w:t>.</w:t>
      </w:r>
    </w:p>
    <w:p w:rsidR="00B800D3" w:rsidRPr="0063530D" w:rsidRDefault="00B800D3" w:rsidP="00B800D3">
      <w:pPr>
        <w:numPr>
          <w:ilvl w:val="0"/>
          <w:numId w:val="25"/>
        </w:numPr>
        <w:jc w:val="both"/>
        <w:rPr>
          <w:color w:val="auto"/>
          <w:lang w:val="en-AU"/>
        </w:rPr>
      </w:pPr>
      <w:r w:rsidRPr="0063530D">
        <w:rPr>
          <w:i/>
          <w:color w:val="auto"/>
          <w:lang w:val="en-AU"/>
        </w:rPr>
        <w:t>Blood and Lymphatic System Disorders</w:t>
      </w:r>
      <w:r w:rsidRPr="0063530D">
        <w:rPr>
          <w:color w:val="auto"/>
          <w:lang w:val="en-AU"/>
        </w:rPr>
        <w:t xml:space="preserve">: </w:t>
      </w:r>
      <w:proofErr w:type="spellStart"/>
      <w:r w:rsidRPr="0063530D">
        <w:rPr>
          <w:color w:val="auto"/>
          <w:lang w:val="en-AU"/>
        </w:rPr>
        <w:t>Thrombocytop</w:t>
      </w:r>
      <w:r w:rsidR="00CE7BFF" w:rsidRPr="0063530D">
        <w:rPr>
          <w:color w:val="auto"/>
          <w:lang w:val="en-AU"/>
        </w:rPr>
        <w:t>a</w:t>
      </w:r>
      <w:r w:rsidRPr="0063530D">
        <w:rPr>
          <w:color w:val="auto"/>
          <w:lang w:val="en-AU"/>
        </w:rPr>
        <w:t>enia</w:t>
      </w:r>
      <w:proofErr w:type="spellEnd"/>
      <w:r w:rsidRPr="0063530D">
        <w:rPr>
          <w:color w:val="auto"/>
          <w:lang w:val="en-AU"/>
        </w:rPr>
        <w:t>, lymphadenopathy</w:t>
      </w:r>
    </w:p>
    <w:p w:rsidR="00B800D3" w:rsidRPr="0063530D" w:rsidRDefault="00B800D3" w:rsidP="00B800D3">
      <w:pPr>
        <w:numPr>
          <w:ilvl w:val="0"/>
          <w:numId w:val="25"/>
        </w:numPr>
        <w:jc w:val="both"/>
        <w:rPr>
          <w:color w:val="auto"/>
          <w:lang w:val="en-AU"/>
        </w:rPr>
      </w:pPr>
      <w:r w:rsidRPr="0063530D">
        <w:rPr>
          <w:i/>
          <w:color w:val="auto"/>
          <w:lang w:val="en-AU"/>
        </w:rPr>
        <w:t>Immune System Disorders:</w:t>
      </w:r>
      <w:r w:rsidRPr="0063530D">
        <w:rPr>
          <w:color w:val="auto"/>
          <w:lang w:val="en-AU"/>
        </w:rPr>
        <w:t xml:space="preserve"> Anaphylaxis, other allergic/hypersensitivity reactions (including </w:t>
      </w:r>
      <w:proofErr w:type="spellStart"/>
      <w:r w:rsidRPr="0063530D">
        <w:rPr>
          <w:color w:val="auto"/>
          <w:lang w:val="en-AU"/>
        </w:rPr>
        <w:t>urticaria</w:t>
      </w:r>
      <w:proofErr w:type="spellEnd"/>
      <w:r w:rsidRPr="0063530D">
        <w:rPr>
          <w:color w:val="auto"/>
          <w:lang w:val="en-AU"/>
        </w:rPr>
        <w:t>, angioedema)</w:t>
      </w:r>
    </w:p>
    <w:p w:rsidR="00B800D3" w:rsidRPr="0063530D" w:rsidRDefault="00B800D3" w:rsidP="00B800D3">
      <w:pPr>
        <w:numPr>
          <w:ilvl w:val="0"/>
          <w:numId w:val="25"/>
        </w:numPr>
        <w:jc w:val="both"/>
        <w:rPr>
          <w:color w:val="auto"/>
          <w:lang w:val="en-AU"/>
        </w:rPr>
      </w:pPr>
      <w:r w:rsidRPr="0063530D">
        <w:rPr>
          <w:i/>
          <w:color w:val="auto"/>
          <w:lang w:val="en-AU"/>
        </w:rPr>
        <w:t>Eye Disorders</w:t>
      </w:r>
      <w:r w:rsidRPr="0063530D">
        <w:rPr>
          <w:color w:val="auto"/>
          <w:lang w:val="en-AU"/>
        </w:rPr>
        <w:t>: Ocular hyperaemia</w:t>
      </w:r>
    </w:p>
    <w:p w:rsidR="00B800D3" w:rsidRPr="0063530D" w:rsidRDefault="00B800D3" w:rsidP="00B800D3">
      <w:pPr>
        <w:numPr>
          <w:ilvl w:val="0"/>
          <w:numId w:val="25"/>
        </w:numPr>
        <w:jc w:val="both"/>
        <w:rPr>
          <w:color w:val="auto"/>
          <w:lang w:val="en-AU"/>
        </w:rPr>
      </w:pPr>
      <w:r w:rsidRPr="0063530D">
        <w:rPr>
          <w:i/>
          <w:color w:val="auto"/>
          <w:lang w:val="en-AU"/>
        </w:rPr>
        <w:t>Nervous System Disorders:</w:t>
      </w:r>
      <w:r w:rsidRPr="0063530D">
        <w:rPr>
          <w:color w:val="auto"/>
          <w:lang w:val="en-AU"/>
        </w:rPr>
        <w:t xml:space="preserve"> </w:t>
      </w:r>
      <w:proofErr w:type="spellStart"/>
      <w:r w:rsidRPr="0063530D">
        <w:rPr>
          <w:color w:val="auto"/>
          <w:lang w:val="en-AU"/>
        </w:rPr>
        <w:t>Guillain-Barré</w:t>
      </w:r>
      <w:proofErr w:type="spellEnd"/>
      <w:r w:rsidRPr="0063530D">
        <w:rPr>
          <w:color w:val="auto"/>
          <w:lang w:val="en-AU"/>
        </w:rPr>
        <w:t xml:space="preserve"> syndrome (GBS), convulsions, febrile convulsions, myelitis (including encephalomyelitis and transverse myelitis), facial palsy (Bell’s palsy), optic neuritis/neuropathy, brachial neuritis, syncope (shortly after vaccination), dizziness, paraesthesia</w:t>
      </w:r>
    </w:p>
    <w:p w:rsidR="00B800D3" w:rsidRPr="0063530D" w:rsidRDefault="00B800D3" w:rsidP="00B800D3">
      <w:pPr>
        <w:numPr>
          <w:ilvl w:val="0"/>
          <w:numId w:val="25"/>
        </w:numPr>
        <w:jc w:val="both"/>
        <w:rPr>
          <w:color w:val="auto"/>
          <w:lang w:val="en-AU"/>
        </w:rPr>
      </w:pPr>
      <w:r w:rsidRPr="0063530D">
        <w:rPr>
          <w:i/>
          <w:color w:val="auto"/>
          <w:lang w:val="en-AU"/>
        </w:rPr>
        <w:t>Vascular Disorders:</w:t>
      </w:r>
      <w:r w:rsidRPr="0063530D">
        <w:rPr>
          <w:color w:val="auto"/>
          <w:lang w:val="en-AU"/>
        </w:rPr>
        <w:t xml:space="preserve"> Vasculitis, vasodilatation/flushing</w:t>
      </w:r>
    </w:p>
    <w:p w:rsidR="00B800D3" w:rsidRPr="0063530D" w:rsidRDefault="00B800D3" w:rsidP="00B800D3">
      <w:pPr>
        <w:numPr>
          <w:ilvl w:val="0"/>
          <w:numId w:val="25"/>
        </w:numPr>
        <w:jc w:val="both"/>
        <w:rPr>
          <w:color w:val="auto"/>
          <w:lang w:val="en-AU"/>
        </w:rPr>
      </w:pPr>
      <w:r w:rsidRPr="0063530D">
        <w:rPr>
          <w:i/>
          <w:color w:val="auto"/>
          <w:lang w:val="en-AU"/>
        </w:rPr>
        <w:t>Respiratory, Thoracic and Mediastinal Disorders:</w:t>
      </w:r>
      <w:r w:rsidRPr="0063530D">
        <w:rPr>
          <w:color w:val="auto"/>
          <w:lang w:val="en-AU"/>
        </w:rPr>
        <w:t xml:space="preserve"> Dyspnoea, pharyngitis, rhinitis, cough, wheezing, throat tightness</w:t>
      </w:r>
    </w:p>
    <w:p w:rsidR="00B800D3" w:rsidRPr="0063530D" w:rsidRDefault="00B800D3" w:rsidP="00B800D3">
      <w:pPr>
        <w:numPr>
          <w:ilvl w:val="0"/>
          <w:numId w:val="25"/>
        </w:numPr>
        <w:jc w:val="both"/>
        <w:rPr>
          <w:color w:val="auto"/>
          <w:lang w:val="en-AU"/>
        </w:rPr>
      </w:pPr>
      <w:r w:rsidRPr="0063530D">
        <w:rPr>
          <w:i/>
          <w:color w:val="auto"/>
          <w:lang w:val="en-AU"/>
        </w:rPr>
        <w:t>Skin and Subcutaneous Tissue Disorders:</w:t>
      </w:r>
      <w:r w:rsidRPr="0063530D">
        <w:rPr>
          <w:color w:val="auto"/>
          <w:lang w:val="en-AU"/>
        </w:rPr>
        <w:t xml:space="preserve"> Stevens-Johnson syndrome</w:t>
      </w:r>
    </w:p>
    <w:p w:rsidR="00B800D3" w:rsidRPr="0063530D" w:rsidRDefault="00B800D3" w:rsidP="00B800D3">
      <w:pPr>
        <w:numPr>
          <w:ilvl w:val="0"/>
          <w:numId w:val="25"/>
        </w:numPr>
        <w:jc w:val="both"/>
        <w:rPr>
          <w:color w:val="auto"/>
          <w:lang w:val="en-AU"/>
        </w:rPr>
      </w:pPr>
      <w:r w:rsidRPr="0063530D">
        <w:rPr>
          <w:i/>
          <w:color w:val="auto"/>
          <w:lang w:val="en-AU"/>
        </w:rPr>
        <w:t>General Disorders and Administration Site Conditions:</w:t>
      </w:r>
      <w:r w:rsidRPr="0063530D">
        <w:rPr>
          <w:color w:val="auto"/>
          <w:lang w:val="en-AU"/>
        </w:rPr>
        <w:t xml:space="preserve"> Pruritus, asthenia/fatigue, pain in extremities, chest pain</w:t>
      </w:r>
    </w:p>
    <w:p w:rsidR="00B800D3" w:rsidRPr="0063530D" w:rsidRDefault="00B800D3" w:rsidP="00B800D3">
      <w:pPr>
        <w:numPr>
          <w:ilvl w:val="0"/>
          <w:numId w:val="25"/>
        </w:numPr>
        <w:jc w:val="both"/>
        <w:rPr>
          <w:color w:val="auto"/>
          <w:lang w:val="en-AU"/>
        </w:rPr>
      </w:pPr>
      <w:r w:rsidRPr="0063530D">
        <w:rPr>
          <w:i/>
          <w:color w:val="auto"/>
          <w:lang w:val="en-AU"/>
        </w:rPr>
        <w:t>Gastrointestinal Disorders:</w:t>
      </w:r>
      <w:r w:rsidRPr="0063530D">
        <w:rPr>
          <w:color w:val="auto"/>
          <w:lang w:val="en-AU"/>
        </w:rPr>
        <w:t xml:space="preserve"> Vomiting</w:t>
      </w:r>
      <w:r w:rsidR="0086375B" w:rsidRPr="0063530D">
        <w:rPr>
          <w:color w:val="auto"/>
          <w:lang w:val="en-AU"/>
        </w:rPr>
        <w:t>, diarrhoea</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DOSAGE AND ADMINISTRATION</w:t>
      </w:r>
    </w:p>
    <w:p w:rsidR="00B800D3" w:rsidRPr="0063530D" w:rsidRDefault="00B800D3" w:rsidP="00B800D3">
      <w:pPr>
        <w:jc w:val="both"/>
        <w:rPr>
          <w:noProof/>
          <w:color w:val="auto"/>
          <w:szCs w:val="16"/>
          <w:lang w:val="en-AU"/>
        </w:rPr>
      </w:pPr>
      <w:r w:rsidRPr="0063530D">
        <w:rPr>
          <w:noProof/>
          <w:color w:val="auto"/>
          <w:szCs w:val="16"/>
          <w:lang w:val="en-AU"/>
        </w:rPr>
        <w:t>Fluzone High-Dose should be given in accordance with the national recommendation as per the current Immunisation Handbook.</w:t>
      </w:r>
    </w:p>
    <w:p w:rsidR="00B800D3" w:rsidRPr="0063530D" w:rsidRDefault="00B800D3" w:rsidP="00B800D3">
      <w:pPr>
        <w:jc w:val="both"/>
        <w:rPr>
          <w:color w:val="auto"/>
          <w:lang w:val="en-AU"/>
        </w:rPr>
      </w:pPr>
      <w:proofErr w:type="spellStart"/>
      <w:r w:rsidRPr="0063530D">
        <w:rPr>
          <w:color w:val="auto"/>
          <w:lang w:val="en-AU"/>
        </w:rPr>
        <w:lastRenderedPageBreak/>
        <w:t>Fluzone</w:t>
      </w:r>
      <w:proofErr w:type="spellEnd"/>
      <w:r w:rsidRPr="0063530D">
        <w:rPr>
          <w:color w:val="auto"/>
          <w:lang w:val="en-AU"/>
        </w:rPr>
        <w:t xml:space="preserve"> High-Dose should be administered as a single 0.5 mL injection by the intramuscular route in adults 65 years of age and older.</w:t>
      </w:r>
    </w:p>
    <w:p w:rsidR="00B800D3" w:rsidRPr="0063530D" w:rsidRDefault="00B800D3" w:rsidP="00B800D3">
      <w:pPr>
        <w:rPr>
          <w:i/>
          <w:color w:val="auto"/>
          <w:lang w:val="en-AU"/>
        </w:rPr>
      </w:pPr>
      <w:r w:rsidRPr="0063530D">
        <w:rPr>
          <w:color w:val="auto"/>
          <w:lang w:val="en-AU"/>
        </w:rPr>
        <w:t xml:space="preserve">Injections of </w:t>
      </w:r>
      <w:proofErr w:type="spellStart"/>
      <w:r w:rsidRPr="0063530D">
        <w:rPr>
          <w:color w:val="auto"/>
          <w:lang w:val="en-AU"/>
        </w:rPr>
        <w:t>Fluzone</w:t>
      </w:r>
      <w:proofErr w:type="spellEnd"/>
      <w:r w:rsidRPr="0063530D">
        <w:rPr>
          <w:color w:val="auto"/>
          <w:lang w:val="en-AU"/>
        </w:rPr>
        <w:t xml:space="preserve"> High-Dose should be administered intramuscularly, preferably in the deltoid muscle in the elderly. The vaccine should not be injected into the gluteal region, or into areas where there may be a major nerve trunk.</w:t>
      </w:r>
    </w:p>
    <w:p w:rsidR="00B800D3" w:rsidRPr="0063530D" w:rsidRDefault="00B800D3" w:rsidP="00B800D3">
      <w:pPr>
        <w:autoSpaceDE w:val="0"/>
        <w:autoSpaceDN w:val="0"/>
        <w:adjustRightInd w:val="0"/>
        <w:rPr>
          <w:noProof/>
          <w:color w:val="auto"/>
          <w:szCs w:val="16"/>
          <w:lang w:val="en-AU"/>
        </w:rPr>
      </w:pPr>
      <w:r w:rsidRPr="0063530D">
        <w:rPr>
          <w:noProof/>
          <w:color w:val="auto"/>
          <w:szCs w:val="16"/>
          <w:lang w:val="en-AU"/>
        </w:rPr>
        <w:t xml:space="preserve">For needle size and length, refer to the national recommendations as per the current Immunisation Handbook.  </w:t>
      </w:r>
    </w:p>
    <w:p w:rsidR="00B800D3" w:rsidRPr="0063530D" w:rsidRDefault="00B800D3" w:rsidP="00B800D3">
      <w:pPr>
        <w:autoSpaceDE w:val="0"/>
        <w:autoSpaceDN w:val="0"/>
        <w:adjustRightInd w:val="0"/>
        <w:rPr>
          <w:noProof/>
          <w:color w:val="auto"/>
          <w:szCs w:val="16"/>
          <w:highlight w:val="yellow"/>
          <w:lang w:val="en-AU"/>
        </w:rPr>
      </w:pPr>
      <w:r w:rsidRPr="0063530D">
        <w:rPr>
          <w:noProof/>
          <w:color w:val="auto"/>
          <w:szCs w:val="16"/>
          <w:lang w:val="en-AU"/>
        </w:rPr>
        <w:t>Before administering a dose of vaccine, shake the prefilled syringe.</w:t>
      </w:r>
      <w:r w:rsidRPr="0063530D">
        <w:rPr>
          <w:noProof/>
          <w:color w:val="auto"/>
          <w:szCs w:val="16"/>
          <w:highlight w:val="yellow"/>
          <w:lang w:val="en-AU"/>
        </w:rPr>
        <w:t xml:space="preserve"> </w:t>
      </w:r>
    </w:p>
    <w:p w:rsidR="00B800D3" w:rsidRPr="0063530D" w:rsidRDefault="00B800D3" w:rsidP="00B800D3">
      <w:pPr>
        <w:autoSpaceDE w:val="0"/>
        <w:autoSpaceDN w:val="0"/>
        <w:adjustRightInd w:val="0"/>
        <w:rPr>
          <w:noProof/>
          <w:color w:val="auto"/>
          <w:szCs w:val="16"/>
          <w:lang w:val="en-AU"/>
        </w:rPr>
      </w:pPr>
      <w:r w:rsidRPr="0063530D">
        <w:rPr>
          <w:noProof/>
          <w:color w:val="auto"/>
          <w:szCs w:val="16"/>
          <w:lang w:val="en-AU"/>
        </w:rPr>
        <w:t xml:space="preserve">Inspect Fluzone High-Dose visually for particulate matter and/or discolouration prior to administration. If any of these defects or conditions exist, the vaccine should not be administered. </w:t>
      </w:r>
    </w:p>
    <w:p w:rsidR="00B800D3" w:rsidRPr="0063530D" w:rsidRDefault="00B800D3" w:rsidP="00B800D3">
      <w:pPr>
        <w:autoSpaceDE w:val="0"/>
        <w:autoSpaceDN w:val="0"/>
        <w:adjustRightInd w:val="0"/>
        <w:rPr>
          <w:noProof/>
          <w:color w:val="auto"/>
          <w:szCs w:val="16"/>
          <w:lang w:val="en-AU"/>
        </w:rPr>
      </w:pPr>
      <w:r w:rsidRPr="0063530D">
        <w:rPr>
          <w:noProof/>
          <w:color w:val="auto"/>
          <w:szCs w:val="16"/>
          <w:lang w:val="en-AU"/>
        </w:rPr>
        <w:t xml:space="preserve">The syringe is for single use only and must not be reused. Discard any remaining unused contents. </w:t>
      </w:r>
    </w:p>
    <w:p w:rsidR="00B800D3" w:rsidRPr="0063530D" w:rsidRDefault="00B800D3" w:rsidP="00B800D3">
      <w:pPr>
        <w:autoSpaceDE w:val="0"/>
        <w:autoSpaceDN w:val="0"/>
        <w:adjustRightInd w:val="0"/>
        <w:rPr>
          <w:noProof/>
          <w:color w:val="auto"/>
          <w:szCs w:val="16"/>
          <w:lang w:val="en-AU"/>
        </w:rPr>
      </w:pPr>
      <w:proofErr w:type="spellStart"/>
      <w:r w:rsidRPr="0063530D">
        <w:rPr>
          <w:color w:val="auto"/>
          <w:lang w:val="en-AU" w:eastAsia="ja-JP"/>
        </w:rPr>
        <w:t>Fluzone</w:t>
      </w:r>
      <w:proofErr w:type="spellEnd"/>
      <w:r w:rsidRPr="0063530D">
        <w:rPr>
          <w:color w:val="auto"/>
          <w:lang w:val="en-AU" w:eastAsia="ja-JP"/>
        </w:rPr>
        <w:t xml:space="preserve"> High-Dose should not be mixed with any other vaccine in the same syringe or vial.</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OVERDOSE</w:t>
      </w:r>
    </w:p>
    <w:p w:rsidR="00B800D3" w:rsidRPr="0063530D" w:rsidRDefault="00B800D3" w:rsidP="00B800D3">
      <w:pPr>
        <w:jc w:val="both"/>
        <w:rPr>
          <w:noProof/>
          <w:color w:val="auto"/>
          <w:lang w:val="en-AU"/>
        </w:rPr>
      </w:pPr>
      <w:r w:rsidRPr="0063530D">
        <w:rPr>
          <w:noProof/>
          <w:color w:val="auto"/>
          <w:lang w:val="en-AU"/>
        </w:rPr>
        <w:t>For general advice on overdose management, contact the Poisons Information Centre, teleph</w:t>
      </w:r>
      <w:r w:rsidR="001B5C3D" w:rsidRPr="0063530D">
        <w:rPr>
          <w:noProof/>
          <w:color w:val="auto"/>
          <w:lang w:val="en-AU"/>
        </w:rPr>
        <w:t>one number 13 11 26.</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PRESENTATION AND STORAGE CONDITIONS</w:t>
      </w:r>
    </w:p>
    <w:p w:rsidR="00B800D3" w:rsidRPr="0017348F" w:rsidRDefault="00380CE9" w:rsidP="00B800D3">
      <w:pPr>
        <w:rPr>
          <w:color w:val="auto"/>
          <w:lang w:val="en-AU"/>
        </w:rPr>
      </w:pPr>
      <w:proofErr w:type="spellStart"/>
      <w:r w:rsidRPr="00B75236">
        <w:rPr>
          <w:color w:val="auto"/>
          <w:lang w:val="en-AU"/>
        </w:rPr>
        <w:t>Fluzone</w:t>
      </w:r>
      <w:proofErr w:type="spellEnd"/>
      <w:r w:rsidRPr="00B75236">
        <w:rPr>
          <w:color w:val="auto"/>
          <w:lang w:val="en-AU"/>
        </w:rPr>
        <w:t xml:space="preserve"> </w:t>
      </w:r>
      <w:r w:rsidRPr="0017348F">
        <w:rPr>
          <w:color w:val="auto"/>
          <w:lang w:val="en-AU"/>
        </w:rPr>
        <w:t xml:space="preserve">High-Dose is available as a 0.5 mL single-dose, pre-filled syringe without needle. </w:t>
      </w:r>
      <w:proofErr w:type="gramStart"/>
      <w:r w:rsidRPr="0017348F">
        <w:rPr>
          <w:color w:val="auto"/>
          <w:lang w:val="en-AU"/>
        </w:rPr>
        <w:t>Packs of 5 or 10 syringes.</w:t>
      </w:r>
      <w:proofErr w:type="gramEnd"/>
    </w:p>
    <w:p w:rsidR="00B800D3" w:rsidRPr="0063530D" w:rsidRDefault="00B800D3" w:rsidP="00B800D3">
      <w:pPr>
        <w:rPr>
          <w:color w:val="auto"/>
          <w:lang w:val="en-AU"/>
        </w:rPr>
      </w:pPr>
      <w:r w:rsidRPr="0017348F">
        <w:rPr>
          <w:color w:val="auto"/>
          <w:lang w:val="en-AU"/>
        </w:rPr>
        <w:t>Store at 2°C to 8°C (</w:t>
      </w:r>
      <w:r w:rsidRPr="0063530D">
        <w:rPr>
          <w:color w:val="auto"/>
          <w:lang w:val="en-AU"/>
        </w:rPr>
        <w:t>Refrigerate, Do not freeze). Discard if vaccine has been frozen.</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NAME AND ADDRESS OF THE SPONSOR</w:t>
      </w:r>
    </w:p>
    <w:p w:rsidR="00B800D3" w:rsidRPr="0063530D" w:rsidRDefault="00B800D3" w:rsidP="00B800D3">
      <w:pPr>
        <w:rPr>
          <w:noProof/>
          <w:color w:val="auto"/>
          <w:lang w:val="en-AU"/>
        </w:rPr>
      </w:pPr>
      <w:r w:rsidRPr="0063530D">
        <w:rPr>
          <w:b/>
          <w:noProof/>
          <w:color w:val="auto"/>
          <w:lang w:val="en-AU"/>
        </w:rPr>
        <w:t>sanofi-aventis australia pty ltd</w:t>
      </w:r>
      <w:r w:rsidRPr="0063530D">
        <w:rPr>
          <w:b/>
          <w:noProof/>
          <w:color w:val="auto"/>
          <w:lang w:val="en-AU"/>
        </w:rPr>
        <w:br/>
      </w:r>
      <w:r w:rsidRPr="0063530D">
        <w:rPr>
          <w:noProof/>
          <w:color w:val="auto"/>
          <w:lang w:val="en-AU"/>
        </w:rPr>
        <w:t>Talavera Corporate Centre – Building D</w:t>
      </w:r>
      <w:r w:rsidRPr="0063530D">
        <w:rPr>
          <w:noProof/>
          <w:color w:val="auto"/>
          <w:lang w:val="en-AU"/>
        </w:rPr>
        <w:br/>
        <w:t>12-24 Talavera Road</w:t>
      </w:r>
      <w:r w:rsidRPr="0063530D">
        <w:rPr>
          <w:noProof/>
          <w:color w:val="auto"/>
          <w:lang w:val="en-AU"/>
        </w:rPr>
        <w:br/>
        <w:t>Macquarie Park NSW 2113</w:t>
      </w:r>
      <w:r w:rsidRPr="0063530D">
        <w:rPr>
          <w:noProof/>
          <w:color w:val="auto"/>
          <w:lang w:val="en-AU"/>
        </w:rPr>
        <w:br/>
        <w:t>Australia</w:t>
      </w:r>
    </w:p>
    <w:p w:rsidR="00B800D3" w:rsidRPr="0063530D" w:rsidRDefault="00B800D3" w:rsidP="00B800D3">
      <w:pPr>
        <w:rPr>
          <w:noProof/>
          <w:color w:val="auto"/>
          <w:lang w:val="en-AU"/>
        </w:rPr>
      </w:pPr>
      <w:r w:rsidRPr="0063530D">
        <w:rPr>
          <w:noProof/>
          <w:color w:val="auto"/>
          <w:lang w:val="en-AU"/>
        </w:rPr>
        <w:t>Tel: 1800 818 806</w:t>
      </w:r>
    </w:p>
    <w:p w:rsidR="00B800D3" w:rsidRPr="0063530D"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lastRenderedPageBreak/>
        <w:t>POISON SCHEDULE OF THE MEDICINE</w:t>
      </w:r>
    </w:p>
    <w:p w:rsidR="00B800D3" w:rsidRPr="0063530D" w:rsidRDefault="00B800D3" w:rsidP="00B800D3">
      <w:pPr>
        <w:ind w:left="567" w:hanging="567"/>
        <w:rPr>
          <w:noProof/>
          <w:color w:val="auto"/>
          <w:lang w:val="en-AU"/>
        </w:rPr>
      </w:pPr>
      <w:r w:rsidRPr="0063530D">
        <w:rPr>
          <w:noProof/>
          <w:color w:val="auto"/>
          <w:lang w:val="en-AU"/>
        </w:rPr>
        <w:t>S4 Prescription Only Medicine</w:t>
      </w:r>
    </w:p>
    <w:p w:rsidR="00B800D3" w:rsidRPr="0063530D" w:rsidRDefault="00B800D3" w:rsidP="00B800D3">
      <w:pPr>
        <w:pStyle w:val="Heading1"/>
        <w:pageBreakBefore w:val="0"/>
        <w:numPr>
          <w:ilvl w:val="0"/>
          <w:numId w:val="0"/>
        </w:numPr>
        <w:rPr>
          <w:rFonts w:ascii="Times New Roman" w:hAnsi="Times New Roman" w:cs="Times New Roman"/>
          <w:noProof/>
          <w:lang w:val="en-AU"/>
        </w:rPr>
      </w:pPr>
      <w:r w:rsidRPr="0063530D">
        <w:rPr>
          <w:rFonts w:ascii="Times New Roman" w:hAnsi="Times New Roman" w:cs="Times New Roman"/>
          <w:noProof/>
          <w:lang w:val="en-AU"/>
        </w:rPr>
        <w:t>DATE OF FIRST INCLUSION IN THE AUSTRALIAN REGISTER OF THERAPEUTIC GOODS (ARTG)</w:t>
      </w:r>
    </w:p>
    <w:p w:rsidR="00B800D3" w:rsidRPr="0063530D" w:rsidRDefault="006D1A75" w:rsidP="00B800D3">
      <w:pPr>
        <w:rPr>
          <w:color w:val="auto"/>
          <w:lang w:val="en-AU"/>
        </w:rPr>
      </w:pPr>
      <w:r>
        <w:rPr>
          <w:color w:val="auto"/>
          <w:lang w:val="en-AU"/>
        </w:rPr>
        <w:t>21 December 2017</w:t>
      </w:r>
    </w:p>
    <w:p w:rsidR="00B800D3" w:rsidRDefault="00B800D3" w:rsidP="00B800D3">
      <w:pPr>
        <w:pStyle w:val="Heading1"/>
        <w:pageBreakBefore w:val="0"/>
        <w:numPr>
          <w:ilvl w:val="0"/>
          <w:numId w:val="0"/>
        </w:numPr>
        <w:ind w:left="680" w:hanging="680"/>
        <w:rPr>
          <w:rFonts w:ascii="Times New Roman" w:hAnsi="Times New Roman" w:cs="Times New Roman"/>
          <w:noProof/>
          <w:lang w:val="en-AU"/>
        </w:rPr>
      </w:pPr>
      <w:r w:rsidRPr="0063530D">
        <w:rPr>
          <w:rFonts w:ascii="Times New Roman" w:hAnsi="Times New Roman" w:cs="Times New Roman"/>
          <w:noProof/>
          <w:lang w:val="en-AU"/>
        </w:rPr>
        <w:t>DATE OF MOST RECENT AMENDMENT</w:t>
      </w:r>
      <w:bookmarkEnd w:id="0"/>
    </w:p>
    <w:p w:rsidR="003B6CA5" w:rsidRPr="003B6CA5" w:rsidRDefault="003B6CA5" w:rsidP="003B6CA5">
      <w:pPr>
        <w:rPr>
          <w:lang w:val="en-AU"/>
        </w:rPr>
      </w:pPr>
      <w:r>
        <w:rPr>
          <w:lang w:val="en-AU"/>
        </w:rPr>
        <w:t>12 January 2018</w:t>
      </w:r>
    </w:p>
    <w:sectPr w:rsidR="003B6CA5" w:rsidRPr="003B6CA5" w:rsidSect="00A513F9">
      <w:headerReference w:type="default" r:id="rId9"/>
      <w:footerReference w:type="default" r:id="rId10"/>
      <w:pgSz w:w="11906" w:h="16838" w:code="9"/>
      <w:pgMar w:top="1814" w:right="850" w:bottom="2154" w:left="1587" w:header="1134"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9B" w:rsidRDefault="00A62C9B">
      <w:r>
        <w:separator/>
      </w:r>
    </w:p>
  </w:endnote>
  <w:endnote w:type="continuationSeparator" w:id="0">
    <w:p w:rsidR="00A62C9B" w:rsidRDefault="00A6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B7" w:rsidRPr="00000F92" w:rsidRDefault="00D11C9E">
    <w:pPr>
      <w:pStyle w:val="Footer"/>
      <w:rPr>
        <w:sz w:val="20"/>
      </w:rPr>
    </w:pPr>
    <w:proofErr w:type="gramStart"/>
    <w:r>
      <w:t>f</w:t>
    </w:r>
    <w:r w:rsidR="00000F92" w:rsidRPr="0017348F">
      <w:t>luzone</w:t>
    </w:r>
    <w:r>
      <w:t>hd</w:t>
    </w:r>
    <w:r w:rsidR="00821644">
      <w:t>-ccdsv1-piv2-12jan18</w:t>
    </w:r>
    <w:proofErr w:type="gramEnd"/>
    <w:r w:rsidR="00916F89">
      <w:tab/>
      <w:t>P</w:t>
    </w:r>
    <w:r w:rsidR="006F47B7">
      <w:t xml:space="preserve">age </w:t>
    </w:r>
    <w:r w:rsidR="006F47B7">
      <w:fldChar w:fldCharType="begin"/>
    </w:r>
    <w:r w:rsidR="006F47B7">
      <w:instrText xml:space="preserve"> PAGE  \* MERGEFORMAT </w:instrText>
    </w:r>
    <w:r w:rsidR="006F47B7">
      <w:fldChar w:fldCharType="separate"/>
    </w:r>
    <w:r w:rsidR="002B35C1">
      <w:rPr>
        <w:noProof/>
      </w:rPr>
      <w:t>1</w:t>
    </w:r>
    <w:r w:rsidR="006F47B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9B" w:rsidRDefault="00A62C9B">
      <w:r>
        <w:separator/>
      </w:r>
    </w:p>
  </w:footnote>
  <w:footnote w:type="continuationSeparator" w:id="0">
    <w:p w:rsidR="00A62C9B" w:rsidRDefault="00A62C9B">
      <w:r>
        <w:continuationSeparator/>
      </w:r>
    </w:p>
  </w:footnote>
  <w:footnote w:id="1">
    <w:p w:rsidR="00B800D3" w:rsidRPr="0021163E" w:rsidRDefault="00B800D3" w:rsidP="00B800D3">
      <w:pPr>
        <w:pStyle w:val="FootnoteText"/>
      </w:pPr>
      <w:r>
        <w:rPr>
          <w:rStyle w:val="FootnoteReference"/>
        </w:rPr>
        <w:footnoteRef/>
      </w:r>
      <w:r>
        <w:t xml:space="preserve"> </w:t>
      </w:r>
      <w:proofErr w:type="spellStart"/>
      <w:r w:rsidRPr="00F761B6">
        <w:t>Fluzone</w:t>
      </w:r>
      <w:proofErr w:type="spellEnd"/>
      <w:r w:rsidRPr="00F761B6">
        <w:t xml:space="preserve"> is the US-licensed </w:t>
      </w:r>
      <w:r>
        <w:t xml:space="preserve">standard-dose </w:t>
      </w:r>
      <w:r w:rsidRPr="00F761B6">
        <w:t xml:space="preserve">TIV upon which manufacture of </w:t>
      </w:r>
      <w:proofErr w:type="spellStart"/>
      <w:r w:rsidRPr="00F761B6">
        <w:t>Flu</w:t>
      </w:r>
      <w:r>
        <w:t>zone</w:t>
      </w:r>
      <w:proofErr w:type="spellEnd"/>
      <w:r>
        <w:t xml:space="preserve"> High-Dose</w:t>
      </w:r>
      <w:r w:rsidRPr="00F761B6">
        <w:t xml:space="preserve"> is based.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B024B" w:rsidRPr="001C184C" w:rsidTr="00C41F99">
      <w:tc>
        <w:tcPr>
          <w:tcW w:w="8720" w:type="dxa"/>
          <w:shd w:val="clear" w:color="auto" w:fill="E4F2E0"/>
        </w:tcPr>
        <w:p w:rsidR="008B024B" w:rsidRPr="001C184C" w:rsidRDefault="008B024B" w:rsidP="00C41F99">
          <w:pPr>
            <w:pStyle w:val="Footer"/>
            <w:rPr>
              <w:b/>
              <w:szCs w:val="18"/>
            </w:rPr>
          </w:pPr>
          <w:r w:rsidRPr="001C184C">
            <w:rPr>
              <w:b/>
              <w:szCs w:val="18"/>
            </w:rPr>
            <w:t xml:space="preserve">Attachment 1: Product information for </w:t>
          </w:r>
          <w:r w:rsidRPr="002146ED">
            <w:rPr>
              <w:b/>
              <w:szCs w:val="18"/>
            </w:rPr>
            <w:t xml:space="preserve">AusPAR </w:t>
          </w:r>
          <w:proofErr w:type="spellStart"/>
          <w:r w:rsidRPr="002146ED">
            <w:rPr>
              <w:b/>
              <w:szCs w:val="18"/>
            </w:rPr>
            <w:t>Fluzone</w:t>
          </w:r>
          <w:proofErr w:type="spellEnd"/>
          <w:r w:rsidRPr="002146ED">
            <w:rPr>
              <w:b/>
              <w:szCs w:val="18"/>
            </w:rPr>
            <w:t xml:space="preserve"> High-Dose Inactivated High-dose Trivalent Influenza Vaccine Sanofi-Aventis Australia PM-2017-00690-1-2 Final 9 July 2018</w:t>
          </w:r>
          <w:r w:rsidRPr="001C184C">
            <w:rPr>
              <w:b/>
              <w:szCs w:val="18"/>
            </w:rPr>
            <w:t xml:space="preserve"> This Product information was approved at the time this AusPAR was published.</w:t>
          </w:r>
        </w:p>
      </w:tc>
    </w:tr>
  </w:tbl>
  <w:p w:rsidR="008048CB" w:rsidRDefault="008048C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0268D4"/>
    <w:multiLevelType w:val="multilevel"/>
    <w:tmpl w:val="780CD096"/>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2">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3">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5">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6">
    <w:nsid w:val="17641A1F"/>
    <w:multiLevelType w:val="hybridMultilevel"/>
    <w:tmpl w:val="8CD0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9">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3">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1F36D5B"/>
    <w:multiLevelType w:val="hybridMultilevel"/>
    <w:tmpl w:val="685CE8CE"/>
    <w:lvl w:ilvl="0" w:tplc="B746A88C">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D6C59A9"/>
    <w:multiLevelType w:val="multilevel"/>
    <w:tmpl w:val="1834E194"/>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9">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3"/>
  </w:num>
  <w:num w:numId="2">
    <w:abstractNumId w:val="16"/>
  </w:num>
  <w:num w:numId="3">
    <w:abstractNumId w:val="8"/>
  </w:num>
  <w:num w:numId="4">
    <w:abstractNumId w:val="7"/>
  </w:num>
  <w:num w:numId="5">
    <w:abstractNumId w:val="2"/>
  </w:num>
  <w:num w:numId="6">
    <w:abstractNumId w:val="0"/>
  </w:num>
  <w:num w:numId="7">
    <w:abstractNumId w:val="18"/>
  </w:num>
  <w:num w:numId="8">
    <w:abstractNumId w:val="10"/>
  </w:num>
  <w:num w:numId="9">
    <w:abstractNumId w:val="17"/>
  </w:num>
  <w:num w:numId="10">
    <w:abstractNumId w:val="16"/>
  </w:num>
  <w:num w:numId="11">
    <w:abstractNumId w:val="16"/>
  </w:num>
  <w:num w:numId="12">
    <w:abstractNumId w:val="16"/>
  </w:num>
  <w:num w:numId="13">
    <w:abstractNumId w:val="3"/>
  </w:num>
  <w:num w:numId="14">
    <w:abstractNumId w:val="3"/>
  </w:num>
  <w:num w:numId="15">
    <w:abstractNumId w:val="18"/>
  </w:num>
  <w:num w:numId="16">
    <w:abstractNumId w:val="18"/>
  </w:num>
  <w:num w:numId="17">
    <w:abstractNumId w:val="11"/>
  </w:num>
  <w:num w:numId="18">
    <w:abstractNumId w:val="13"/>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num>
  <w:num w:numId="26">
    <w:abstractNumId w:val="1"/>
  </w:num>
  <w:num w:numId="27">
    <w:abstractNumId w:val="1"/>
  </w:num>
  <w:num w:numId="28">
    <w:abstractNumId w:val="1"/>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agShowHiddenText" w:val="1"/>
  </w:docVars>
  <w:rsids>
    <w:rsidRoot w:val="004E23E5"/>
    <w:rsid w:val="00000F92"/>
    <w:rsid w:val="00001331"/>
    <w:rsid w:val="00001713"/>
    <w:rsid w:val="00013542"/>
    <w:rsid w:val="000150AE"/>
    <w:rsid w:val="000162F2"/>
    <w:rsid w:val="00017613"/>
    <w:rsid w:val="00021E41"/>
    <w:rsid w:val="00023A2A"/>
    <w:rsid w:val="000256CB"/>
    <w:rsid w:val="00060CE0"/>
    <w:rsid w:val="00064F3E"/>
    <w:rsid w:val="000713E4"/>
    <w:rsid w:val="00076E12"/>
    <w:rsid w:val="0008354D"/>
    <w:rsid w:val="000A13E8"/>
    <w:rsid w:val="000A3B42"/>
    <w:rsid w:val="000A54F1"/>
    <w:rsid w:val="000B3000"/>
    <w:rsid w:val="000B454C"/>
    <w:rsid w:val="000B5CF0"/>
    <w:rsid w:val="000C2FE0"/>
    <w:rsid w:val="000E1B95"/>
    <w:rsid w:val="000F0430"/>
    <w:rsid w:val="0012537C"/>
    <w:rsid w:val="00130A7F"/>
    <w:rsid w:val="00133495"/>
    <w:rsid w:val="00135A9C"/>
    <w:rsid w:val="001415F9"/>
    <w:rsid w:val="00141618"/>
    <w:rsid w:val="00154DAC"/>
    <w:rsid w:val="00156B6C"/>
    <w:rsid w:val="00165586"/>
    <w:rsid w:val="0017171C"/>
    <w:rsid w:val="0017348F"/>
    <w:rsid w:val="0018149F"/>
    <w:rsid w:val="00184842"/>
    <w:rsid w:val="00193896"/>
    <w:rsid w:val="0019780F"/>
    <w:rsid w:val="001A081A"/>
    <w:rsid w:val="001A5CEC"/>
    <w:rsid w:val="001A65A8"/>
    <w:rsid w:val="001B0902"/>
    <w:rsid w:val="001B5C3D"/>
    <w:rsid w:val="001B6730"/>
    <w:rsid w:val="001D56E4"/>
    <w:rsid w:val="001E4323"/>
    <w:rsid w:val="001F32F5"/>
    <w:rsid w:val="002127C0"/>
    <w:rsid w:val="00214BF3"/>
    <w:rsid w:val="002224DB"/>
    <w:rsid w:val="002251DB"/>
    <w:rsid w:val="00236280"/>
    <w:rsid w:val="00240123"/>
    <w:rsid w:val="00244E4A"/>
    <w:rsid w:val="00246BBD"/>
    <w:rsid w:val="00251AF7"/>
    <w:rsid w:val="0025298F"/>
    <w:rsid w:val="002A325A"/>
    <w:rsid w:val="002A346A"/>
    <w:rsid w:val="002A3BA8"/>
    <w:rsid w:val="002B35C1"/>
    <w:rsid w:val="002C417A"/>
    <w:rsid w:val="002C751A"/>
    <w:rsid w:val="002D07C8"/>
    <w:rsid w:val="002D6151"/>
    <w:rsid w:val="002D650C"/>
    <w:rsid w:val="002D7EB4"/>
    <w:rsid w:val="002F0393"/>
    <w:rsid w:val="003020BF"/>
    <w:rsid w:val="00304C8B"/>
    <w:rsid w:val="0032195E"/>
    <w:rsid w:val="00322AD4"/>
    <w:rsid w:val="00330D4A"/>
    <w:rsid w:val="00334B89"/>
    <w:rsid w:val="00335355"/>
    <w:rsid w:val="00350232"/>
    <w:rsid w:val="003522EC"/>
    <w:rsid w:val="00380BED"/>
    <w:rsid w:val="00380CE9"/>
    <w:rsid w:val="00383443"/>
    <w:rsid w:val="003857FE"/>
    <w:rsid w:val="003A6346"/>
    <w:rsid w:val="003B6CA5"/>
    <w:rsid w:val="003C0F49"/>
    <w:rsid w:val="003C63AE"/>
    <w:rsid w:val="003D18A5"/>
    <w:rsid w:val="003D6617"/>
    <w:rsid w:val="003E3E26"/>
    <w:rsid w:val="003E7CED"/>
    <w:rsid w:val="003F37F5"/>
    <w:rsid w:val="003F4289"/>
    <w:rsid w:val="0040181B"/>
    <w:rsid w:val="00411882"/>
    <w:rsid w:val="004121B2"/>
    <w:rsid w:val="00415460"/>
    <w:rsid w:val="00445E15"/>
    <w:rsid w:val="00454113"/>
    <w:rsid w:val="00471D0D"/>
    <w:rsid w:val="00476F04"/>
    <w:rsid w:val="0048703B"/>
    <w:rsid w:val="00491533"/>
    <w:rsid w:val="00496258"/>
    <w:rsid w:val="004B75EB"/>
    <w:rsid w:val="004C4505"/>
    <w:rsid w:val="004C4711"/>
    <w:rsid w:val="004C7F57"/>
    <w:rsid w:val="004E23E5"/>
    <w:rsid w:val="004F6BEA"/>
    <w:rsid w:val="004F744F"/>
    <w:rsid w:val="005009A9"/>
    <w:rsid w:val="00502624"/>
    <w:rsid w:val="00502907"/>
    <w:rsid w:val="00504BE1"/>
    <w:rsid w:val="00513C24"/>
    <w:rsid w:val="00532B5F"/>
    <w:rsid w:val="005457F7"/>
    <w:rsid w:val="00570409"/>
    <w:rsid w:val="00590004"/>
    <w:rsid w:val="00593DD8"/>
    <w:rsid w:val="00597AEC"/>
    <w:rsid w:val="00597C79"/>
    <w:rsid w:val="005A47DD"/>
    <w:rsid w:val="005C1A47"/>
    <w:rsid w:val="005C20A9"/>
    <w:rsid w:val="005C3820"/>
    <w:rsid w:val="005E0A80"/>
    <w:rsid w:val="00602149"/>
    <w:rsid w:val="00603C14"/>
    <w:rsid w:val="00604E59"/>
    <w:rsid w:val="00626054"/>
    <w:rsid w:val="0063515E"/>
    <w:rsid w:val="0063530D"/>
    <w:rsid w:val="00635DF3"/>
    <w:rsid w:val="0064034C"/>
    <w:rsid w:val="00640728"/>
    <w:rsid w:val="0064242B"/>
    <w:rsid w:val="00642CA8"/>
    <w:rsid w:val="0064541C"/>
    <w:rsid w:val="006610B2"/>
    <w:rsid w:val="006645B5"/>
    <w:rsid w:val="006832F8"/>
    <w:rsid w:val="00690C2A"/>
    <w:rsid w:val="006A2A2F"/>
    <w:rsid w:val="006A7836"/>
    <w:rsid w:val="006B0EFB"/>
    <w:rsid w:val="006B4FB5"/>
    <w:rsid w:val="006D1A75"/>
    <w:rsid w:val="006F47B7"/>
    <w:rsid w:val="00704FF3"/>
    <w:rsid w:val="007141CC"/>
    <w:rsid w:val="00715870"/>
    <w:rsid w:val="00717F5D"/>
    <w:rsid w:val="00723446"/>
    <w:rsid w:val="00726E24"/>
    <w:rsid w:val="00734503"/>
    <w:rsid w:val="0074653D"/>
    <w:rsid w:val="00753A67"/>
    <w:rsid w:val="007644A5"/>
    <w:rsid w:val="007706D6"/>
    <w:rsid w:val="00774CCC"/>
    <w:rsid w:val="007821C2"/>
    <w:rsid w:val="00784BB8"/>
    <w:rsid w:val="0079203D"/>
    <w:rsid w:val="0079336A"/>
    <w:rsid w:val="007A662F"/>
    <w:rsid w:val="007E6F96"/>
    <w:rsid w:val="007F2ECF"/>
    <w:rsid w:val="007F688E"/>
    <w:rsid w:val="008048CB"/>
    <w:rsid w:val="00806362"/>
    <w:rsid w:val="00813DB6"/>
    <w:rsid w:val="00815691"/>
    <w:rsid w:val="00815DF0"/>
    <w:rsid w:val="00821644"/>
    <w:rsid w:val="00835B49"/>
    <w:rsid w:val="0086375B"/>
    <w:rsid w:val="00865BE8"/>
    <w:rsid w:val="00866176"/>
    <w:rsid w:val="008758FC"/>
    <w:rsid w:val="00875FEC"/>
    <w:rsid w:val="00886F03"/>
    <w:rsid w:val="008A1AE6"/>
    <w:rsid w:val="008A580C"/>
    <w:rsid w:val="008B024B"/>
    <w:rsid w:val="008B6DB5"/>
    <w:rsid w:val="008B71D9"/>
    <w:rsid w:val="008C3A42"/>
    <w:rsid w:val="008C49F8"/>
    <w:rsid w:val="008D0FFA"/>
    <w:rsid w:val="008D588E"/>
    <w:rsid w:val="008E2DFA"/>
    <w:rsid w:val="008F08F1"/>
    <w:rsid w:val="008F717D"/>
    <w:rsid w:val="00916F89"/>
    <w:rsid w:val="00917986"/>
    <w:rsid w:val="0092071F"/>
    <w:rsid w:val="00920B4B"/>
    <w:rsid w:val="009271D3"/>
    <w:rsid w:val="00927660"/>
    <w:rsid w:val="00936E19"/>
    <w:rsid w:val="0095161A"/>
    <w:rsid w:val="00963085"/>
    <w:rsid w:val="009745BE"/>
    <w:rsid w:val="00977CE1"/>
    <w:rsid w:val="0098042E"/>
    <w:rsid w:val="009927DF"/>
    <w:rsid w:val="00994C19"/>
    <w:rsid w:val="009A0D19"/>
    <w:rsid w:val="009A6D8F"/>
    <w:rsid w:val="009A7D7F"/>
    <w:rsid w:val="009B415F"/>
    <w:rsid w:val="009B7FE6"/>
    <w:rsid w:val="009C1F09"/>
    <w:rsid w:val="009F0E64"/>
    <w:rsid w:val="009F505A"/>
    <w:rsid w:val="00A20627"/>
    <w:rsid w:val="00A34008"/>
    <w:rsid w:val="00A35AE8"/>
    <w:rsid w:val="00A513F9"/>
    <w:rsid w:val="00A61381"/>
    <w:rsid w:val="00A62C9B"/>
    <w:rsid w:val="00A657D2"/>
    <w:rsid w:val="00A75028"/>
    <w:rsid w:val="00A81D48"/>
    <w:rsid w:val="00A9450D"/>
    <w:rsid w:val="00AA21D9"/>
    <w:rsid w:val="00AB3EFE"/>
    <w:rsid w:val="00AB70DB"/>
    <w:rsid w:val="00AC625C"/>
    <w:rsid w:val="00AD0724"/>
    <w:rsid w:val="00AF197C"/>
    <w:rsid w:val="00AF4562"/>
    <w:rsid w:val="00B04A31"/>
    <w:rsid w:val="00B04F60"/>
    <w:rsid w:val="00B1210B"/>
    <w:rsid w:val="00B22330"/>
    <w:rsid w:val="00B24434"/>
    <w:rsid w:val="00B26CD6"/>
    <w:rsid w:val="00B33A48"/>
    <w:rsid w:val="00B368D1"/>
    <w:rsid w:val="00B509DB"/>
    <w:rsid w:val="00B547A4"/>
    <w:rsid w:val="00B62746"/>
    <w:rsid w:val="00B7568D"/>
    <w:rsid w:val="00B800D3"/>
    <w:rsid w:val="00B81F40"/>
    <w:rsid w:val="00B85B31"/>
    <w:rsid w:val="00B86C50"/>
    <w:rsid w:val="00B9490F"/>
    <w:rsid w:val="00BA1748"/>
    <w:rsid w:val="00BC17A9"/>
    <w:rsid w:val="00BC23A5"/>
    <w:rsid w:val="00BC3B83"/>
    <w:rsid w:val="00BC52A5"/>
    <w:rsid w:val="00BC5723"/>
    <w:rsid w:val="00BD1617"/>
    <w:rsid w:val="00BD6941"/>
    <w:rsid w:val="00C01F85"/>
    <w:rsid w:val="00C057B6"/>
    <w:rsid w:val="00C07BD2"/>
    <w:rsid w:val="00C13735"/>
    <w:rsid w:val="00C245F5"/>
    <w:rsid w:val="00C46CDB"/>
    <w:rsid w:val="00C54933"/>
    <w:rsid w:val="00C7073E"/>
    <w:rsid w:val="00C91F9D"/>
    <w:rsid w:val="00C93A90"/>
    <w:rsid w:val="00CB7B81"/>
    <w:rsid w:val="00CD31FC"/>
    <w:rsid w:val="00CD4613"/>
    <w:rsid w:val="00CE03DE"/>
    <w:rsid w:val="00CE281D"/>
    <w:rsid w:val="00CE7BFF"/>
    <w:rsid w:val="00CF5B95"/>
    <w:rsid w:val="00CF65D6"/>
    <w:rsid w:val="00CF6A4A"/>
    <w:rsid w:val="00D107B8"/>
    <w:rsid w:val="00D11C9E"/>
    <w:rsid w:val="00D131B0"/>
    <w:rsid w:val="00D25C57"/>
    <w:rsid w:val="00D27039"/>
    <w:rsid w:val="00D50D5B"/>
    <w:rsid w:val="00D515E1"/>
    <w:rsid w:val="00D5570A"/>
    <w:rsid w:val="00D57D64"/>
    <w:rsid w:val="00D62399"/>
    <w:rsid w:val="00D65F2E"/>
    <w:rsid w:val="00D714AC"/>
    <w:rsid w:val="00D75958"/>
    <w:rsid w:val="00D96E47"/>
    <w:rsid w:val="00DB12CD"/>
    <w:rsid w:val="00DB5445"/>
    <w:rsid w:val="00DC0ED7"/>
    <w:rsid w:val="00DD33E7"/>
    <w:rsid w:val="00DE2974"/>
    <w:rsid w:val="00DF32B1"/>
    <w:rsid w:val="00DF3889"/>
    <w:rsid w:val="00E0058E"/>
    <w:rsid w:val="00E01F89"/>
    <w:rsid w:val="00E076A4"/>
    <w:rsid w:val="00E21A50"/>
    <w:rsid w:val="00E30092"/>
    <w:rsid w:val="00E30879"/>
    <w:rsid w:val="00E3274E"/>
    <w:rsid w:val="00E34F01"/>
    <w:rsid w:val="00E53956"/>
    <w:rsid w:val="00E66E13"/>
    <w:rsid w:val="00E73AC9"/>
    <w:rsid w:val="00E774D1"/>
    <w:rsid w:val="00E82166"/>
    <w:rsid w:val="00E86647"/>
    <w:rsid w:val="00E95962"/>
    <w:rsid w:val="00E968F4"/>
    <w:rsid w:val="00EB588D"/>
    <w:rsid w:val="00EC64E9"/>
    <w:rsid w:val="00EC79FF"/>
    <w:rsid w:val="00ED6722"/>
    <w:rsid w:val="00EE1B6A"/>
    <w:rsid w:val="00F360F0"/>
    <w:rsid w:val="00F60E93"/>
    <w:rsid w:val="00F623CA"/>
    <w:rsid w:val="00F64741"/>
    <w:rsid w:val="00FA1904"/>
    <w:rsid w:val="00FA1B3B"/>
    <w:rsid w:val="00FC0BD2"/>
    <w:rsid w:val="00FD4C96"/>
    <w:rsid w:val="00FE0B21"/>
    <w:rsid w:val="00FE6207"/>
    <w:rsid w:val="00FE73AA"/>
    <w:rsid w:val="00FF3830"/>
    <w:rsid w:val="00FF5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uiPriority="35" w:qFormat="1"/>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156B6C"/>
    <w:pPr>
      <w:spacing w:before="240"/>
    </w:pPr>
    <w:rPr>
      <w:rFonts w:eastAsia="MS Mincho"/>
      <w:color w:val="000000"/>
      <w:sz w:val="24"/>
      <w:szCs w:val="24"/>
      <w:lang w:val="en-US" w:eastAsia="en-US"/>
    </w:rPr>
  </w:style>
  <w:style w:type="paragraph" w:styleId="Heading1">
    <w:name w:val="heading 1"/>
    <w:next w:val="Normal"/>
    <w:qFormat/>
    <w:locked/>
    <w:rsid w:val="001F32F5"/>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F32F5"/>
    <w:pPr>
      <w:pageBreakBefore w:val="0"/>
      <w:numPr>
        <w:ilvl w:val="1"/>
      </w:numPr>
      <w:outlineLvl w:val="1"/>
    </w:pPr>
    <w:rPr>
      <w:bCs w:val="0"/>
      <w:iCs/>
      <w:sz w:val="22"/>
      <w:szCs w:val="28"/>
    </w:rPr>
  </w:style>
  <w:style w:type="paragraph" w:styleId="Heading3">
    <w:name w:val="heading 3"/>
    <w:basedOn w:val="Heading1"/>
    <w:next w:val="Normal"/>
    <w:qFormat/>
    <w:rsid w:val="001F32F5"/>
    <w:pPr>
      <w:pageBreakBefore w:val="0"/>
      <w:numPr>
        <w:ilvl w:val="2"/>
      </w:numPr>
      <w:spacing w:before="360"/>
      <w:outlineLvl w:val="2"/>
    </w:pPr>
    <w:rPr>
      <w:bCs w:val="0"/>
      <w:caps w:val="0"/>
      <w:sz w:val="24"/>
      <w:szCs w:val="26"/>
    </w:rPr>
  </w:style>
  <w:style w:type="paragraph" w:styleId="Heading4">
    <w:name w:val="heading 4"/>
    <w:basedOn w:val="Heading1"/>
    <w:next w:val="Normal"/>
    <w:qFormat/>
    <w:rsid w:val="001F32F5"/>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1F32F5"/>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F32F5"/>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F32F5"/>
    <w:pPr>
      <w:numPr>
        <w:ilvl w:val="6"/>
      </w:numPr>
      <w:outlineLvl w:val="6"/>
    </w:pPr>
  </w:style>
  <w:style w:type="paragraph" w:styleId="Heading8">
    <w:name w:val="heading 8"/>
    <w:basedOn w:val="Heading6"/>
    <w:next w:val="Normal"/>
    <w:qFormat/>
    <w:rsid w:val="001F32F5"/>
    <w:pPr>
      <w:numPr>
        <w:ilvl w:val="7"/>
      </w:numPr>
      <w:outlineLvl w:val="7"/>
    </w:pPr>
    <w:rPr>
      <w:iCs/>
    </w:rPr>
  </w:style>
  <w:style w:type="paragraph" w:styleId="Heading9">
    <w:name w:val="heading 9"/>
    <w:basedOn w:val="Heading6"/>
    <w:next w:val="Normal"/>
    <w:qFormat/>
    <w:rsid w:val="001F32F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56B6C"/>
    <w:pPr>
      <w:tabs>
        <w:tab w:val="left" w:pos="4536"/>
        <w:tab w:val="right" w:pos="9480"/>
      </w:tabs>
    </w:pPr>
    <w:rPr>
      <w:rFonts w:ascii="Arial" w:eastAsia="MS Gothic" w:hAnsi="Arial"/>
      <w:sz w:val="18"/>
      <w:lang w:val="en-US" w:eastAsia="en-US"/>
    </w:rPr>
  </w:style>
  <w:style w:type="paragraph" w:styleId="Footer">
    <w:name w:val="footer"/>
    <w:aliases w:val="wcp_Footer,Footer_Pied Page"/>
    <w:link w:val="FooterChar"/>
    <w:rsid w:val="00156B6C"/>
    <w:pPr>
      <w:tabs>
        <w:tab w:val="right" w:pos="9469"/>
      </w:tabs>
    </w:pPr>
    <w:rPr>
      <w:rFonts w:ascii="Arial" w:eastAsia="MS Gothic" w:hAnsi="Arial"/>
      <w:sz w:val="18"/>
      <w:lang w:val="en-US" w:eastAsia="en-US"/>
    </w:rPr>
  </w:style>
  <w:style w:type="paragraph" w:customStyle="1" w:styleId="Heading1NoTOC">
    <w:name w:val="Heading 1 NoTOC"/>
    <w:basedOn w:val="Heading1"/>
    <w:rsid w:val="00156B6C"/>
    <w:pPr>
      <w:numPr>
        <w:numId w:val="0"/>
      </w:numPr>
      <w:outlineLvl w:val="9"/>
    </w:pPr>
  </w:style>
  <w:style w:type="paragraph" w:styleId="Title">
    <w:name w:val="Title"/>
    <w:next w:val="Normal"/>
    <w:qFormat/>
    <w:rsid w:val="00156B6C"/>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156B6C"/>
    <w:pPr>
      <w:outlineLvl w:val="9"/>
    </w:pPr>
  </w:style>
  <w:style w:type="character" w:customStyle="1" w:styleId="InstructionsTextChar">
    <w:name w:val="Instructions Text Char"/>
    <w:link w:val="InstructionsText"/>
    <w:rsid w:val="00156B6C"/>
    <w:rPr>
      <w:rFonts w:eastAsia="MS Mincho"/>
      <w:color w:val="000000"/>
      <w:sz w:val="24"/>
      <w:szCs w:val="24"/>
      <w:shd w:val="clear" w:color="auto" w:fill="FFCC66"/>
      <w:lang w:val="en-US" w:eastAsia="en-US"/>
    </w:rPr>
  </w:style>
  <w:style w:type="paragraph" w:customStyle="1" w:styleId="ListNumbered">
    <w:name w:val="List Numbered"/>
    <w:basedOn w:val="Normal"/>
    <w:rsid w:val="00156B6C"/>
    <w:pPr>
      <w:numPr>
        <w:numId w:val="4"/>
      </w:numPr>
      <w:spacing w:before="120"/>
    </w:pPr>
  </w:style>
  <w:style w:type="paragraph" w:customStyle="1" w:styleId="ListBulletLevel1">
    <w:name w:val="List Bullet Level 1"/>
    <w:basedOn w:val="Normal"/>
    <w:rsid w:val="00156B6C"/>
    <w:pPr>
      <w:numPr>
        <w:numId w:val="16"/>
      </w:numPr>
      <w:spacing w:before="120"/>
    </w:pPr>
  </w:style>
  <w:style w:type="paragraph" w:customStyle="1" w:styleId="ListAlphabeticalLevel1">
    <w:name w:val="List Alphabetical Level 1"/>
    <w:basedOn w:val="Normal"/>
    <w:rsid w:val="00156B6C"/>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156B6C"/>
    <w:pPr>
      <w:numPr>
        <w:numId w:val="8"/>
      </w:numPr>
      <w:spacing w:before="120"/>
    </w:pPr>
    <w:rPr>
      <w:szCs w:val="20"/>
    </w:rPr>
  </w:style>
  <w:style w:type="paragraph" w:styleId="Caption">
    <w:name w:val="caption"/>
    <w:aliases w:val="wcp_Caption,Légende_Legend,Legend_Légende"/>
    <w:next w:val="Normal"/>
    <w:link w:val="CaptionChar"/>
    <w:uiPriority w:val="35"/>
    <w:qFormat/>
    <w:rsid w:val="00156B6C"/>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156B6C"/>
    <w:pPr>
      <w:shd w:val="clear" w:color="auto" w:fill="FFCC66"/>
      <w:spacing w:before="40" w:after="40"/>
    </w:pPr>
  </w:style>
  <w:style w:type="character" w:styleId="FootnoteReference">
    <w:name w:val="footnote reference"/>
    <w:aliases w:val="wcpc_FootnoteMark"/>
    <w:rsid w:val="00156B6C"/>
    <w:rPr>
      <w:rFonts w:ascii="Times New Roman" w:eastAsia="MS Mincho" w:hAnsi="Times New Roman"/>
      <w:color w:val="0000FF"/>
      <w:sz w:val="18"/>
      <w:vertAlign w:val="superscript"/>
    </w:rPr>
  </w:style>
  <w:style w:type="paragraph" w:styleId="FootnoteText">
    <w:name w:val="footnote text"/>
    <w:aliases w:val="wcp_Footnote,Footnote_Bas Page"/>
    <w:basedOn w:val="Normal"/>
    <w:link w:val="FootnoteTextChar"/>
    <w:rsid w:val="00156B6C"/>
    <w:pPr>
      <w:spacing w:before="20"/>
      <w:ind w:left="113" w:hanging="113"/>
    </w:pPr>
    <w:rPr>
      <w:sz w:val="22"/>
      <w:szCs w:val="20"/>
    </w:rPr>
  </w:style>
  <w:style w:type="paragraph" w:customStyle="1" w:styleId="Heading1NoNumbering">
    <w:name w:val="Heading 1 NoNumbering"/>
    <w:basedOn w:val="Heading1"/>
    <w:next w:val="Normal"/>
    <w:rsid w:val="00156B6C"/>
    <w:pPr>
      <w:numPr>
        <w:numId w:val="14"/>
      </w:numPr>
    </w:pPr>
  </w:style>
  <w:style w:type="paragraph" w:customStyle="1" w:styleId="TblTextCenter">
    <w:name w:val="Tbl Text Center"/>
    <w:basedOn w:val="TblTextLeft"/>
    <w:rsid w:val="00156B6C"/>
    <w:pPr>
      <w:jc w:val="center"/>
    </w:pPr>
  </w:style>
  <w:style w:type="paragraph" w:customStyle="1" w:styleId="TblTextLeft">
    <w:name w:val="Tbl Text Left"/>
    <w:rsid w:val="00156B6C"/>
    <w:pPr>
      <w:spacing w:before="60" w:after="60"/>
    </w:pPr>
    <w:rPr>
      <w:rFonts w:ascii="Arial Narrow" w:eastAsia="MS Gothic" w:hAnsi="Arial Narrow"/>
      <w:lang w:val="en-US" w:eastAsia="en-US"/>
    </w:rPr>
  </w:style>
  <w:style w:type="paragraph" w:customStyle="1" w:styleId="TblHeadingLeft">
    <w:name w:val="Tbl Heading Left"/>
    <w:rsid w:val="00156B6C"/>
    <w:pPr>
      <w:spacing w:before="60" w:after="60"/>
    </w:pPr>
    <w:rPr>
      <w:rFonts w:ascii="Arial" w:eastAsia="MS Gothic" w:hAnsi="Arial" w:cs="Arial"/>
      <w:b/>
      <w:noProof/>
      <w:lang w:val="de-DE" w:eastAsia="en-US"/>
    </w:rPr>
  </w:style>
  <w:style w:type="paragraph" w:customStyle="1" w:styleId="TblFigFootnote">
    <w:name w:val="Tbl Fig Footnote"/>
    <w:rsid w:val="00156B6C"/>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156B6C"/>
    <w:pPr>
      <w:jc w:val="center"/>
    </w:pPr>
  </w:style>
  <w:style w:type="paragraph" w:customStyle="1" w:styleId="HeaderLandscape">
    <w:name w:val="Header Landscape"/>
    <w:basedOn w:val="Header"/>
    <w:rsid w:val="00156B6C"/>
    <w:pPr>
      <w:tabs>
        <w:tab w:val="clear" w:pos="4536"/>
        <w:tab w:val="clear" w:pos="9480"/>
        <w:tab w:val="left" w:pos="6804"/>
        <w:tab w:val="right" w:pos="14118"/>
      </w:tabs>
    </w:pPr>
  </w:style>
  <w:style w:type="paragraph" w:customStyle="1" w:styleId="FooterLandscape">
    <w:name w:val="Footer Landscape"/>
    <w:basedOn w:val="Footer"/>
    <w:rsid w:val="00156B6C"/>
    <w:pPr>
      <w:tabs>
        <w:tab w:val="clear" w:pos="9469"/>
        <w:tab w:val="right" w:pos="14118"/>
      </w:tabs>
    </w:pPr>
  </w:style>
  <w:style w:type="character" w:customStyle="1" w:styleId="TblFigFootnoteReference">
    <w:name w:val="Tbl Fig Footnote Reference"/>
    <w:rsid w:val="00156B6C"/>
    <w:rPr>
      <w:rFonts w:ascii="Arial Narrow" w:eastAsia="MS Gothic" w:hAnsi="Arial Narrow"/>
      <w:i/>
      <w:dstrike w:val="0"/>
      <w:noProof w:val="0"/>
      <w:position w:val="6"/>
      <w:sz w:val="18"/>
      <w:vertAlign w:val="baseline"/>
      <w:lang w:val="en-US"/>
    </w:rPr>
  </w:style>
  <w:style w:type="paragraph" w:customStyle="1" w:styleId="xCover">
    <w:name w:val="xCover"/>
    <w:rsid w:val="00156B6C"/>
    <w:pPr>
      <w:spacing w:before="120"/>
    </w:pPr>
    <w:rPr>
      <w:rFonts w:ascii="Arial" w:eastAsia="MS Gothic" w:hAnsi="Arial"/>
      <w:lang w:val="en-US" w:eastAsia="en-US"/>
    </w:rPr>
  </w:style>
  <w:style w:type="paragraph" w:customStyle="1" w:styleId="xCoverAddress">
    <w:name w:val="xCoverAddress"/>
    <w:basedOn w:val="xCover"/>
    <w:rsid w:val="00156B6C"/>
    <w:pPr>
      <w:spacing w:before="0"/>
    </w:pPr>
  </w:style>
  <w:style w:type="paragraph" w:customStyle="1" w:styleId="xCoverDocType">
    <w:name w:val="xCoverDocType"/>
    <w:basedOn w:val="xCover"/>
    <w:rsid w:val="00156B6C"/>
    <w:pPr>
      <w:spacing w:before="360"/>
      <w:jc w:val="center"/>
    </w:pPr>
    <w:rPr>
      <w:b/>
      <w:caps/>
      <w:sz w:val="28"/>
    </w:rPr>
  </w:style>
  <w:style w:type="paragraph" w:customStyle="1" w:styleId="xCoverDocTitle">
    <w:name w:val="xCoverDocTitle"/>
    <w:basedOn w:val="xCover"/>
    <w:rsid w:val="00156B6C"/>
    <w:pPr>
      <w:spacing w:before="240"/>
      <w:jc w:val="center"/>
    </w:pPr>
    <w:rPr>
      <w:b/>
      <w:sz w:val="24"/>
    </w:rPr>
  </w:style>
  <w:style w:type="paragraph" w:styleId="BalloonText">
    <w:name w:val="Balloon Text"/>
    <w:basedOn w:val="Normal"/>
    <w:link w:val="BalloonTextChar"/>
    <w:rsid w:val="0017171C"/>
    <w:pPr>
      <w:spacing w:before="0"/>
    </w:pPr>
    <w:rPr>
      <w:rFonts w:ascii="Tahoma" w:hAnsi="Tahoma" w:cs="Tahoma"/>
      <w:sz w:val="16"/>
      <w:szCs w:val="16"/>
    </w:rPr>
  </w:style>
  <w:style w:type="paragraph" w:styleId="EndnoteText">
    <w:name w:val="endnote text"/>
    <w:basedOn w:val="Normal"/>
    <w:semiHidden/>
    <w:rsid w:val="00156B6C"/>
    <w:rPr>
      <w:sz w:val="22"/>
      <w:szCs w:val="20"/>
    </w:rPr>
  </w:style>
  <w:style w:type="character" w:styleId="EndnoteReference">
    <w:name w:val="endnote reference"/>
    <w:aliases w:val="wcpc_EndnoteMark,Ref CAll_Appel Ref"/>
    <w:rsid w:val="00156B6C"/>
    <w:rPr>
      <w:vertAlign w:val="superscript"/>
    </w:rPr>
  </w:style>
  <w:style w:type="paragraph" w:styleId="MacroText">
    <w:name w:val="macro"/>
    <w:semiHidden/>
    <w:rsid w:val="00156B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156B6C"/>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156B6C"/>
    <w:pPr>
      <w:ind w:left="240" w:hanging="240"/>
    </w:pPr>
  </w:style>
  <w:style w:type="character" w:styleId="Hyperlink">
    <w:name w:val="Hyperlink"/>
    <w:uiPriority w:val="99"/>
    <w:rsid w:val="00156B6C"/>
    <w:rPr>
      <w:color w:val="0000FF"/>
      <w:u w:val="single"/>
    </w:rPr>
  </w:style>
  <w:style w:type="paragraph" w:styleId="Bibliography">
    <w:name w:val="Bibliography"/>
    <w:basedOn w:val="Normal"/>
    <w:next w:val="Normal"/>
    <w:rsid w:val="00156B6C"/>
    <w:pPr>
      <w:ind w:left="357" w:hanging="357"/>
    </w:pPr>
  </w:style>
  <w:style w:type="character" w:customStyle="1" w:styleId="ReplaceText">
    <w:name w:val="Replace Text"/>
    <w:rsid w:val="00156B6C"/>
    <w:rPr>
      <w:color w:val="FF00FF"/>
    </w:rPr>
  </w:style>
  <w:style w:type="paragraph" w:styleId="TOC1">
    <w:name w:val="toc 1"/>
    <w:next w:val="Normal"/>
    <w:uiPriority w:val="39"/>
    <w:rsid w:val="00156B6C"/>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156B6C"/>
    <w:pPr>
      <w:numPr>
        <w:numId w:val="5"/>
      </w:numPr>
    </w:pPr>
  </w:style>
  <w:style w:type="paragraph" w:styleId="Index1">
    <w:name w:val="index 1"/>
    <w:basedOn w:val="Normal"/>
    <w:next w:val="Normal"/>
    <w:semiHidden/>
    <w:rsid w:val="00156B6C"/>
    <w:pPr>
      <w:tabs>
        <w:tab w:val="left" w:pos="1701"/>
        <w:tab w:val="left" w:pos="3402"/>
        <w:tab w:val="left" w:pos="5103"/>
      </w:tabs>
      <w:spacing w:before="0"/>
      <w:ind w:left="1701" w:hanging="1701"/>
    </w:pPr>
  </w:style>
  <w:style w:type="paragraph" w:styleId="TOAHeading">
    <w:name w:val="toa heading"/>
    <w:basedOn w:val="Normal"/>
    <w:next w:val="Normal"/>
    <w:semiHidden/>
    <w:rsid w:val="00156B6C"/>
    <w:pPr>
      <w:spacing w:before="120"/>
    </w:pPr>
    <w:rPr>
      <w:rFonts w:ascii="Arial" w:hAnsi="Arial" w:cs="Arial"/>
      <w:b/>
      <w:bCs/>
    </w:rPr>
  </w:style>
  <w:style w:type="character" w:customStyle="1" w:styleId="Reference">
    <w:name w:val="Reference"/>
    <w:rsid w:val="00156B6C"/>
    <w:rPr>
      <w:color w:val="0000FF"/>
    </w:rPr>
  </w:style>
  <w:style w:type="paragraph" w:customStyle="1" w:styleId="TblTextbulletedlist">
    <w:name w:val="Tbl Text bulleted list"/>
    <w:basedOn w:val="TblTextLeft"/>
    <w:rsid w:val="00156B6C"/>
    <w:pPr>
      <w:numPr>
        <w:numId w:val="9"/>
      </w:numPr>
      <w:tabs>
        <w:tab w:val="clear" w:pos="360"/>
        <w:tab w:val="left" w:pos="216"/>
      </w:tabs>
      <w:spacing w:before="0" w:after="0"/>
      <w:ind w:left="216" w:hanging="216"/>
    </w:pPr>
  </w:style>
  <w:style w:type="paragraph" w:styleId="TOC2">
    <w:name w:val="toc 2"/>
    <w:basedOn w:val="TOC1"/>
    <w:next w:val="Normal"/>
    <w:uiPriority w:val="39"/>
    <w:rsid w:val="00156B6C"/>
    <w:rPr>
      <w:b w:val="0"/>
    </w:rPr>
  </w:style>
  <w:style w:type="character" w:styleId="PageNumber">
    <w:name w:val="page number"/>
    <w:rsid w:val="00156B6C"/>
  </w:style>
  <w:style w:type="paragraph" w:styleId="ListBullet">
    <w:name w:val="List Bullet"/>
    <w:basedOn w:val="Normal"/>
    <w:rsid w:val="00156B6C"/>
    <w:pPr>
      <w:numPr>
        <w:numId w:val="6"/>
      </w:numPr>
    </w:pPr>
  </w:style>
  <w:style w:type="paragraph" w:styleId="TOC3">
    <w:name w:val="toc 3"/>
    <w:basedOn w:val="TOC1"/>
    <w:next w:val="Normal"/>
    <w:uiPriority w:val="39"/>
    <w:rsid w:val="00156B6C"/>
    <w:pPr>
      <w:spacing w:before="120"/>
    </w:pPr>
    <w:rPr>
      <w:b w:val="0"/>
      <w:caps w:val="0"/>
    </w:rPr>
  </w:style>
  <w:style w:type="paragraph" w:styleId="TOC4">
    <w:name w:val="toc 4"/>
    <w:basedOn w:val="TOC1"/>
    <w:next w:val="Normal"/>
    <w:uiPriority w:val="39"/>
    <w:rsid w:val="00156B6C"/>
    <w:pPr>
      <w:spacing w:before="40"/>
    </w:pPr>
    <w:rPr>
      <w:b w:val="0"/>
      <w:caps w:val="0"/>
      <w:szCs w:val="22"/>
    </w:rPr>
  </w:style>
  <w:style w:type="paragraph" w:styleId="TOC5">
    <w:name w:val="toc 5"/>
    <w:basedOn w:val="TOC1"/>
    <w:next w:val="Normal"/>
    <w:semiHidden/>
    <w:rsid w:val="00156B6C"/>
    <w:pPr>
      <w:spacing w:before="0"/>
    </w:pPr>
    <w:rPr>
      <w:b w:val="0"/>
      <w:caps w:val="0"/>
    </w:rPr>
  </w:style>
  <w:style w:type="paragraph" w:styleId="TOC6">
    <w:name w:val="toc 6"/>
    <w:basedOn w:val="TOC1"/>
    <w:next w:val="Normal"/>
    <w:semiHidden/>
    <w:rsid w:val="00156B6C"/>
    <w:pPr>
      <w:spacing w:before="0"/>
    </w:pPr>
    <w:rPr>
      <w:b w:val="0"/>
      <w:caps w:val="0"/>
    </w:rPr>
  </w:style>
  <w:style w:type="paragraph" w:styleId="TOC7">
    <w:name w:val="toc 7"/>
    <w:basedOn w:val="TOC6"/>
    <w:next w:val="Normal"/>
    <w:semiHidden/>
    <w:rsid w:val="00156B6C"/>
  </w:style>
  <w:style w:type="paragraph" w:styleId="TOC8">
    <w:name w:val="toc 8"/>
    <w:basedOn w:val="TOC6"/>
    <w:next w:val="Normal"/>
    <w:semiHidden/>
    <w:rsid w:val="00156B6C"/>
  </w:style>
  <w:style w:type="paragraph" w:styleId="TOC9">
    <w:name w:val="toc 9"/>
    <w:basedOn w:val="TOC6"/>
    <w:next w:val="Normal"/>
    <w:semiHidden/>
    <w:rsid w:val="00156B6C"/>
  </w:style>
  <w:style w:type="character" w:customStyle="1" w:styleId="TblFigFootnoteChar">
    <w:name w:val="Tbl Fig Footnote Char"/>
    <w:rsid w:val="00156B6C"/>
    <w:rPr>
      <w:rFonts w:ascii="Arial Narrow" w:eastAsia="MS Gothic" w:hAnsi="Arial Narrow"/>
      <w:sz w:val="18"/>
      <w:lang w:val="en-US" w:eastAsia="en-US" w:bidi="ar-SA"/>
    </w:rPr>
  </w:style>
  <w:style w:type="character" w:styleId="FollowedHyperlink">
    <w:name w:val="FollowedHyperlink"/>
    <w:rsid w:val="00156B6C"/>
    <w:rPr>
      <w:color w:val="800080"/>
      <w:u w:val="single"/>
    </w:rPr>
  </w:style>
  <w:style w:type="character" w:customStyle="1" w:styleId="BalloonTextChar">
    <w:name w:val="Balloon Text Char"/>
    <w:link w:val="BalloonText"/>
    <w:rsid w:val="0017171C"/>
    <w:rPr>
      <w:rFonts w:ascii="Tahoma" w:eastAsia="MS Mincho" w:hAnsi="Tahoma" w:cs="Tahoma"/>
      <w:color w:val="000000"/>
      <w:sz w:val="16"/>
      <w:szCs w:val="16"/>
      <w:lang w:val="en-US" w:eastAsia="en-US"/>
    </w:rPr>
  </w:style>
  <w:style w:type="character" w:customStyle="1" w:styleId="CaptionChar">
    <w:name w:val="Caption Char"/>
    <w:aliases w:val="wcp_Caption Char,Légende_Legend Char,Legend_Légende Char"/>
    <w:link w:val="Caption"/>
    <w:locked/>
    <w:rsid w:val="005009A9"/>
    <w:rPr>
      <w:rFonts w:ascii="Arial" w:eastAsia="MS Gothic" w:hAnsi="Arial" w:cs="Arial"/>
      <w:b/>
      <w:bCs/>
      <w:lang w:val="en-US" w:eastAsia="en-US"/>
    </w:rPr>
  </w:style>
  <w:style w:type="paragraph" w:customStyle="1" w:styleId="wcpTableContentSmall">
    <w:name w:val="wcp_TableContentSmall"/>
    <w:basedOn w:val="Normal"/>
    <w:link w:val="wcpTableContentSmallCar"/>
    <w:rsid w:val="005009A9"/>
    <w:pPr>
      <w:spacing w:before="40" w:after="40"/>
    </w:pPr>
    <w:rPr>
      <w:rFonts w:eastAsia="Times New Roman"/>
      <w:color w:val="auto"/>
      <w:sz w:val="18"/>
      <w:szCs w:val="20"/>
      <w:lang w:val="fr-FR"/>
    </w:rPr>
  </w:style>
  <w:style w:type="character" w:customStyle="1" w:styleId="wcpTableContentSmallCar">
    <w:name w:val="wcp_TableContentSmall Car"/>
    <w:link w:val="wcpTableContentSmall"/>
    <w:locked/>
    <w:rsid w:val="005009A9"/>
    <w:rPr>
      <w:sz w:val="18"/>
      <w:lang w:val="fr-FR" w:eastAsia="en-US"/>
    </w:rPr>
  </w:style>
  <w:style w:type="character" w:customStyle="1" w:styleId="FooterChar">
    <w:name w:val="Footer Char"/>
    <w:aliases w:val="wcp_Footer Char,Footer_Pied Page Char"/>
    <w:link w:val="Footer"/>
    <w:locked/>
    <w:rsid w:val="008C3A42"/>
    <w:rPr>
      <w:rFonts w:ascii="Arial" w:eastAsia="MS Gothic" w:hAnsi="Arial"/>
      <w:sz w:val="18"/>
      <w:lang w:val="en-US" w:eastAsia="en-US"/>
    </w:rPr>
  </w:style>
  <w:style w:type="character" w:styleId="CommentReference">
    <w:name w:val="annotation reference"/>
    <w:rsid w:val="008C3A42"/>
    <w:rPr>
      <w:sz w:val="16"/>
    </w:rPr>
  </w:style>
  <w:style w:type="paragraph" w:customStyle="1" w:styleId="wcpTableColHeaderSmall">
    <w:name w:val="wcp_TableColHeaderSmall"/>
    <w:basedOn w:val="Normal"/>
    <w:rsid w:val="008C3A42"/>
    <w:pPr>
      <w:keepNext/>
      <w:spacing w:before="120" w:after="120"/>
      <w:jc w:val="center"/>
    </w:pPr>
    <w:rPr>
      <w:rFonts w:eastAsia="Times New Roman"/>
      <w:b/>
      <w:color w:val="auto"/>
      <w:sz w:val="18"/>
      <w:szCs w:val="20"/>
      <w:lang w:val="fr-FR"/>
    </w:rPr>
  </w:style>
  <w:style w:type="paragraph" w:customStyle="1" w:styleId="wcpTableRowHeaderSmall">
    <w:name w:val="wcp_TableRowHeaderSmall"/>
    <w:basedOn w:val="Normal"/>
    <w:link w:val="wcpTableRowHeaderSmallCar"/>
    <w:rsid w:val="008C3A42"/>
    <w:pPr>
      <w:spacing w:before="40" w:after="40"/>
    </w:pPr>
    <w:rPr>
      <w:rFonts w:eastAsia="Times New Roman"/>
      <w:b/>
      <w:color w:val="auto"/>
      <w:sz w:val="18"/>
      <w:szCs w:val="20"/>
      <w:lang w:val="fr-FR"/>
    </w:rPr>
  </w:style>
  <w:style w:type="character" w:customStyle="1" w:styleId="wcpTableRowHeaderSmallCar">
    <w:name w:val="wcp_TableRowHeaderSmall Car"/>
    <w:link w:val="wcpTableRowHeaderSmall"/>
    <w:rsid w:val="008C3A42"/>
    <w:rPr>
      <w:b/>
      <w:sz w:val="18"/>
      <w:lang w:val="fr-FR" w:eastAsia="en-US"/>
    </w:rPr>
  </w:style>
  <w:style w:type="paragraph" w:customStyle="1" w:styleId="wcpTablenote">
    <w:name w:val="wcp_Tablenote"/>
    <w:basedOn w:val="FootnoteText"/>
    <w:link w:val="wcpTablenoteChar"/>
    <w:rsid w:val="00C7073E"/>
    <w:pPr>
      <w:spacing w:before="60"/>
      <w:ind w:left="850" w:hanging="850"/>
    </w:pPr>
    <w:rPr>
      <w:rFonts w:eastAsia="Times New Roman"/>
      <w:color w:val="auto"/>
      <w:sz w:val="20"/>
      <w:lang w:val="fr-FR"/>
    </w:rPr>
  </w:style>
  <w:style w:type="character" w:customStyle="1" w:styleId="wcpTablenoteChar">
    <w:name w:val="wcp_Tablenote Char"/>
    <w:link w:val="wcpTablenote"/>
    <w:locked/>
    <w:rsid w:val="00C7073E"/>
    <w:rPr>
      <w:lang w:val="fr-FR" w:eastAsia="en-US"/>
    </w:rPr>
  </w:style>
  <w:style w:type="table" w:styleId="TableGrid">
    <w:name w:val="Table Grid"/>
    <w:basedOn w:val="TableNormal"/>
    <w:uiPriority w:val="59"/>
    <w:rsid w:val="00C7073E"/>
    <w:pPr>
      <w:spacing w:before="120"/>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SubTitle">
    <w:name w:val="wcp_SubTitle"/>
    <w:basedOn w:val="Title"/>
    <w:next w:val="Normal"/>
    <w:link w:val="wcpSubTitleChar"/>
    <w:rsid w:val="00B800D3"/>
    <w:pPr>
      <w:spacing w:before="0"/>
    </w:pPr>
    <w:rPr>
      <w:sz w:val="30"/>
    </w:rPr>
  </w:style>
  <w:style w:type="character" w:customStyle="1" w:styleId="FootnoteTextChar">
    <w:name w:val="Footnote Text Char"/>
    <w:aliases w:val="wcp_Footnote Char,Footnote_Bas Page Char"/>
    <w:link w:val="FootnoteText"/>
    <w:rsid w:val="00B800D3"/>
    <w:rPr>
      <w:rFonts w:eastAsia="MS Mincho"/>
      <w:color w:val="000000"/>
      <w:sz w:val="22"/>
      <w:lang w:val="en-US" w:eastAsia="en-US"/>
    </w:rPr>
  </w:style>
  <w:style w:type="paragraph" w:styleId="CommentText">
    <w:name w:val="annotation text"/>
    <w:basedOn w:val="Normal"/>
    <w:link w:val="CommentTextChar"/>
    <w:rsid w:val="00B800D3"/>
    <w:rPr>
      <w:sz w:val="20"/>
      <w:lang w:val="en-AU"/>
    </w:rPr>
  </w:style>
  <w:style w:type="character" w:customStyle="1" w:styleId="CommentTextChar">
    <w:name w:val="Comment Text Char"/>
    <w:link w:val="CommentText"/>
    <w:rsid w:val="00B800D3"/>
    <w:rPr>
      <w:rFonts w:eastAsia="MS Mincho"/>
      <w:color w:val="000000"/>
      <w:szCs w:val="24"/>
      <w:lang w:eastAsia="en-US"/>
    </w:rPr>
  </w:style>
  <w:style w:type="character" w:customStyle="1" w:styleId="wcpSubTitleChar">
    <w:name w:val="wcp_SubTitle Char"/>
    <w:link w:val="wcpSubTitle"/>
    <w:rsid w:val="00B800D3"/>
    <w:rPr>
      <w:rFonts w:ascii="Arial" w:eastAsia="MS Gothic" w:hAnsi="Arial" w:cs="Arial"/>
      <w:b/>
      <w:bCs/>
      <w:caps/>
      <w:sz w:val="30"/>
      <w:szCs w:val="32"/>
      <w:lang w:val="en-US" w:eastAsia="en-US"/>
    </w:rPr>
  </w:style>
  <w:style w:type="paragraph" w:styleId="CommentSubject">
    <w:name w:val="annotation subject"/>
    <w:basedOn w:val="CommentText"/>
    <w:next w:val="CommentText"/>
    <w:link w:val="CommentSubjectChar"/>
    <w:rsid w:val="009745BE"/>
    <w:rPr>
      <w:b/>
      <w:bCs/>
      <w:szCs w:val="20"/>
      <w:lang w:val="en-US"/>
    </w:rPr>
  </w:style>
  <w:style w:type="character" w:customStyle="1" w:styleId="CommentSubjectChar">
    <w:name w:val="Comment Subject Char"/>
    <w:link w:val="CommentSubject"/>
    <w:rsid w:val="009745BE"/>
    <w:rPr>
      <w:rFonts w:eastAsia="MS Mincho"/>
      <w:b/>
      <w:bCs/>
      <w:color w:val="000000"/>
      <w:szCs w:val="24"/>
      <w:lang w:eastAsia="en-US"/>
    </w:rPr>
  </w:style>
  <w:style w:type="paragraph" w:styleId="BodyText">
    <w:name w:val="Body Text"/>
    <w:basedOn w:val="Normal"/>
    <w:link w:val="BodyTextChar"/>
    <w:uiPriority w:val="99"/>
    <w:unhideWhenUsed/>
    <w:rsid w:val="003C0F49"/>
    <w:pPr>
      <w:spacing w:before="120" w:after="60"/>
      <w:jc w:val="both"/>
    </w:pPr>
    <w:rPr>
      <w:rFonts w:eastAsia="Calibri"/>
      <w:color w:val="auto"/>
    </w:rPr>
  </w:style>
  <w:style w:type="character" w:customStyle="1" w:styleId="BodyTextChar">
    <w:name w:val="Body Text Char"/>
    <w:link w:val="BodyText"/>
    <w:uiPriority w:val="99"/>
    <w:rsid w:val="003C0F49"/>
    <w:rPr>
      <w:rFonts w:eastAsia="Calibri"/>
      <w:sz w:val="24"/>
      <w:szCs w:val="24"/>
    </w:rPr>
  </w:style>
  <w:style w:type="paragraph" w:customStyle="1" w:styleId="cliRTF8">
    <w:name w:val="cli_RTF8"/>
    <w:basedOn w:val="Normal"/>
    <w:rsid w:val="003C0F49"/>
    <w:pPr>
      <w:spacing w:before="0"/>
    </w:pPr>
    <w:rPr>
      <w:rFonts w:eastAsia="Calibri"/>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uiPriority="35" w:qFormat="1"/>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156B6C"/>
    <w:pPr>
      <w:spacing w:before="240"/>
    </w:pPr>
    <w:rPr>
      <w:rFonts w:eastAsia="MS Mincho"/>
      <w:color w:val="000000"/>
      <w:sz w:val="24"/>
      <w:szCs w:val="24"/>
      <w:lang w:val="en-US" w:eastAsia="en-US"/>
    </w:rPr>
  </w:style>
  <w:style w:type="paragraph" w:styleId="Heading1">
    <w:name w:val="heading 1"/>
    <w:next w:val="Normal"/>
    <w:qFormat/>
    <w:locked/>
    <w:rsid w:val="001F32F5"/>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F32F5"/>
    <w:pPr>
      <w:pageBreakBefore w:val="0"/>
      <w:numPr>
        <w:ilvl w:val="1"/>
      </w:numPr>
      <w:outlineLvl w:val="1"/>
    </w:pPr>
    <w:rPr>
      <w:bCs w:val="0"/>
      <w:iCs/>
      <w:sz w:val="22"/>
      <w:szCs w:val="28"/>
    </w:rPr>
  </w:style>
  <w:style w:type="paragraph" w:styleId="Heading3">
    <w:name w:val="heading 3"/>
    <w:basedOn w:val="Heading1"/>
    <w:next w:val="Normal"/>
    <w:qFormat/>
    <w:rsid w:val="001F32F5"/>
    <w:pPr>
      <w:pageBreakBefore w:val="0"/>
      <w:numPr>
        <w:ilvl w:val="2"/>
      </w:numPr>
      <w:spacing w:before="360"/>
      <w:outlineLvl w:val="2"/>
    </w:pPr>
    <w:rPr>
      <w:bCs w:val="0"/>
      <w:caps w:val="0"/>
      <w:sz w:val="24"/>
      <w:szCs w:val="26"/>
    </w:rPr>
  </w:style>
  <w:style w:type="paragraph" w:styleId="Heading4">
    <w:name w:val="heading 4"/>
    <w:basedOn w:val="Heading1"/>
    <w:next w:val="Normal"/>
    <w:qFormat/>
    <w:rsid w:val="001F32F5"/>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1F32F5"/>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F32F5"/>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F32F5"/>
    <w:pPr>
      <w:numPr>
        <w:ilvl w:val="6"/>
      </w:numPr>
      <w:outlineLvl w:val="6"/>
    </w:pPr>
  </w:style>
  <w:style w:type="paragraph" w:styleId="Heading8">
    <w:name w:val="heading 8"/>
    <w:basedOn w:val="Heading6"/>
    <w:next w:val="Normal"/>
    <w:qFormat/>
    <w:rsid w:val="001F32F5"/>
    <w:pPr>
      <w:numPr>
        <w:ilvl w:val="7"/>
      </w:numPr>
      <w:outlineLvl w:val="7"/>
    </w:pPr>
    <w:rPr>
      <w:iCs/>
    </w:rPr>
  </w:style>
  <w:style w:type="paragraph" w:styleId="Heading9">
    <w:name w:val="heading 9"/>
    <w:basedOn w:val="Heading6"/>
    <w:next w:val="Normal"/>
    <w:qFormat/>
    <w:rsid w:val="001F32F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56B6C"/>
    <w:pPr>
      <w:tabs>
        <w:tab w:val="left" w:pos="4536"/>
        <w:tab w:val="right" w:pos="9480"/>
      </w:tabs>
    </w:pPr>
    <w:rPr>
      <w:rFonts w:ascii="Arial" w:eastAsia="MS Gothic" w:hAnsi="Arial"/>
      <w:sz w:val="18"/>
      <w:lang w:val="en-US" w:eastAsia="en-US"/>
    </w:rPr>
  </w:style>
  <w:style w:type="paragraph" w:styleId="Footer">
    <w:name w:val="footer"/>
    <w:aliases w:val="wcp_Footer,Footer_Pied Page"/>
    <w:link w:val="FooterChar"/>
    <w:rsid w:val="00156B6C"/>
    <w:pPr>
      <w:tabs>
        <w:tab w:val="right" w:pos="9469"/>
      </w:tabs>
    </w:pPr>
    <w:rPr>
      <w:rFonts w:ascii="Arial" w:eastAsia="MS Gothic" w:hAnsi="Arial"/>
      <w:sz w:val="18"/>
      <w:lang w:val="en-US" w:eastAsia="en-US"/>
    </w:rPr>
  </w:style>
  <w:style w:type="paragraph" w:customStyle="1" w:styleId="Heading1NoTOC">
    <w:name w:val="Heading 1 NoTOC"/>
    <w:basedOn w:val="Heading1"/>
    <w:rsid w:val="00156B6C"/>
    <w:pPr>
      <w:numPr>
        <w:numId w:val="0"/>
      </w:numPr>
      <w:outlineLvl w:val="9"/>
    </w:pPr>
  </w:style>
  <w:style w:type="paragraph" w:styleId="Title">
    <w:name w:val="Title"/>
    <w:next w:val="Normal"/>
    <w:qFormat/>
    <w:rsid w:val="00156B6C"/>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156B6C"/>
    <w:pPr>
      <w:outlineLvl w:val="9"/>
    </w:pPr>
  </w:style>
  <w:style w:type="character" w:customStyle="1" w:styleId="InstructionsTextChar">
    <w:name w:val="Instructions Text Char"/>
    <w:link w:val="InstructionsText"/>
    <w:rsid w:val="00156B6C"/>
    <w:rPr>
      <w:rFonts w:eastAsia="MS Mincho"/>
      <w:color w:val="000000"/>
      <w:sz w:val="24"/>
      <w:szCs w:val="24"/>
      <w:shd w:val="clear" w:color="auto" w:fill="FFCC66"/>
      <w:lang w:val="en-US" w:eastAsia="en-US"/>
    </w:rPr>
  </w:style>
  <w:style w:type="paragraph" w:customStyle="1" w:styleId="ListNumbered">
    <w:name w:val="List Numbered"/>
    <w:basedOn w:val="Normal"/>
    <w:rsid w:val="00156B6C"/>
    <w:pPr>
      <w:numPr>
        <w:numId w:val="4"/>
      </w:numPr>
      <w:spacing w:before="120"/>
    </w:pPr>
  </w:style>
  <w:style w:type="paragraph" w:customStyle="1" w:styleId="ListBulletLevel1">
    <w:name w:val="List Bullet Level 1"/>
    <w:basedOn w:val="Normal"/>
    <w:rsid w:val="00156B6C"/>
    <w:pPr>
      <w:numPr>
        <w:numId w:val="16"/>
      </w:numPr>
      <w:spacing w:before="120"/>
    </w:pPr>
  </w:style>
  <w:style w:type="paragraph" w:customStyle="1" w:styleId="ListAlphabeticalLevel1">
    <w:name w:val="List Alphabetical Level 1"/>
    <w:basedOn w:val="Normal"/>
    <w:rsid w:val="00156B6C"/>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156B6C"/>
    <w:pPr>
      <w:numPr>
        <w:numId w:val="8"/>
      </w:numPr>
      <w:spacing w:before="120"/>
    </w:pPr>
    <w:rPr>
      <w:szCs w:val="20"/>
    </w:rPr>
  </w:style>
  <w:style w:type="paragraph" w:styleId="Caption">
    <w:name w:val="caption"/>
    <w:aliases w:val="wcp_Caption,Légende_Legend,Legend_Légende"/>
    <w:next w:val="Normal"/>
    <w:link w:val="CaptionChar"/>
    <w:uiPriority w:val="35"/>
    <w:qFormat/>
    <w:rsid w:val="00156B6C"/>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156B6C"/>
    <w:pPr>
      <w:shd w:val="clear" w:color="auto" w:fill="FFCC66"/>
      <w:spacing w:before="40" w:after="40"/>
    </w:pPr>
  </w:style>
  <w:style w:type="character" w:styleId="FootnoteReference">
    <w:name w:val="footnote reference"/>
    <w:aliases w:val="wcpc_FootnoteMark"/>
    <w:rsid w:val="00156B6C"/>
    <w:rPr>
      <w:rFonts w:ascii="Times New Roman" w:eastAsia="MS Mincho" w:hAnsi="Times New Roman"/>
      <w:color w:val="0000FF"/>
      <w:sz w:val="18"/>
      <w:vertAlign w:val="superscript"/>
    </w:rPr>
  </w:style>
  <w:style w:type="paragraph" w:styleId="FootnoteText">
    <w:name w:val="footnote text"/>
    <w:aliases w:val="wcp_Footnote,Footnote_Bas Page"/>
    <w:basedOn w:val="Normal"/>
    <w:link w:val="FootnoteTextChar"/>
    <w:rsid w:val="00156B6C"/>
    <w:pPr>
      <w:spacing w:before="20"/>
      <w:ind w:left="113" w:hanging="113"/>
    </w:pPr>
    <w:rPr>
      <w:sz w:val="22"/>
      <w:szCs w:val="20"/>
    </w:rPr>
  </w:style>
  <w:style w:type="paragraph" w:customStyle="1" w:styleId="Heading1NoNumbering">
    <w:name w:val="Heading 1 NoNumbering"/>
    <w:basedOn w:val="Heading1"/>
    <w:next w:val="Normal"/>
    <w:rsid w:val="00156B6C"/>
    <w:pPr>
      <w:numPr>
        <w:numId w:val="14"/>
      </w:numPr>
    </w:pPr>
  </w:style>
  <w:style w:type="paragraph" w:customStyle="1" w:styleId="TblTextCenter">
    <w:name w:val="Tbl Text Center"/>
    <w:basedOn w:val="TblTextLeft"/>
    <w:rsid w:val="00156B6C"/>
    <w:pPr>
      <w:jc w:val="center"/>
    </w:pPr>
  </w:style>
  <w:style w:type="paragraph" w:customStyle="1" w:styleId="TblTextLeft">
    <w:name w:val="Tbl Text Left"/>
    <w:rsid w:val="00156B6C"/>
    <w:pPr>
      <w:spacing w:before="60" w:after="60"/>
    </w:pPr>
    <w:rPr>
      <w:rFonts w:ascii="Arial Narrow" w:eastAsia="MS Gothic" w:hAnsi="Arial Narrow"/>
      <w:lang w:val="en-US" w:eastAsia="en-US"/>
    </w:rPr>
  </w:style>
  <w:style w:type="paragraph" w:customStyle="1" w:styleId="TblHeadingLeft">
    <w:name w:val="Tbl Heading Left"/>
    <w:rsid w:val="00156B6C"/>
    <w:pPr>
      <w:spacing w:before="60" w:after="60"/>
    </w:pPr>
    <w:rPr>
      <w:rFonts w:ascii="Arial" w:eastAsia="MS Gothic" w:hAnsi="Arial" w:cs="Arial"/>
      <w:b/>
      <w:noProof/>
      <w:lang w:val="de-DE" w:eastAsia="en-US"/>
    </w:rPr>
  </w:style>
  <w:style w:type="paragraph" w:customStyle="1" w:styleId="TblFigFootnote">
    <w:name w:val="Tbl Fig Footnote"/>
    <w:rsid w:val="00156B6C"/>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156B6C"/>
    <w:pPr>
      <w:jc w:val="center"/>
    </w:pPr>
  </w:style>
  <w:style w:type="paragraph" w:customStyle="1" w:styleId="HeaderLandscape">
    <w:name w:val="Header Landscape"/>
    <w:basedOn w:val="Header"/>
    <w:rsid w:val="00156B6C"/>
    <w:pPr>
      <w:tabs>
        <w:tab w:val="clear" w:pos="4536"/>
        <w:tab w:val="clear" w:pos="9480"/>
        <w:tab w:val="left" w:pos="6804"/>
        <w:tab w:val="right" w:pos="14118"/>
      </w:tabs>
    </w:pPr>
  </w:style>
  <w:style w:type="paragraph" w:customStyle="1" w:styleId="FooterLandscape">
    <w:name w:val="Footer Landscape"/>
    <w:basedOn w:val="Footer"/>
    <w:rsid w:val="00156B6C"/>
    <w:pPr>
      <w:tabs>
        <w:tab w:val="clear" w:pos="9469"/>
        <w:tab w:val="right" w:pos="14118"/>
      </w:tabs>
    </w:pPr>
  </w:style>
  <w:style w:type="character" w:customStyle="1" w:styleId="TblFigFootnoteReference">
    <w:name w:val="Tbl Fig Footnote Reference"/>
    <w:rsid w:val="00156B6C"/>
    <w:rPr>
      <w:rFonts w:ascii="Arial Narrow" w:eastAsia="MS Gothic" w:hAnsi="Arial Narrow"/>
      <w:i/>
      <w:dstrike w:val="0"/>
      <w:noProof w:val="0"/>
      <w:position w:val="6"/>
      <w:sz w:val="18"/>
      <w:vertAlign w:val="baseline"/>
      <w:lang w:val="en-US"/>
    </w:rPr>
  </w:style>
  <w:style w:type="paragraph" w:customStyle="1" w:styleId="xCover">
    <w:name w:val="xCover"/>
    <w:rsid w:val="00156B6C"/>
    <w:pPr>
      <w:spacing w:before="120"/>
    </w:pPr>
    <w:rPr>
      <w:rFonts w:ascii="Arial" w:eastAsia="MS Gothic" w:hAnsi="Arial"/>
      <w:lang w:val="en-US" w:eastAsia="en-US"/>
    </w:rPr>
  </w:style>
  <w:style w:type="paragraph" w:customStyle="1" w:styleId="xCoverAddress">
    <w:name w:val="xCoverAddress"/>
    <w:basedOn w:val="xCover"/>
    <w:rsid w:val="00156B6C"/>
    <w:pPr>
      <w:spacing w:before="0"/>
    </w:pPr>
  </w:style>
  <w:style w:type="paragraph" w:customStyle="1" w:styleId="xCoverDocType">
    <w:name w:val="xCoverDocType"/>
    <w:basedOn w:val="xCover"/>
    <w:rsid w:val="00156B6C"/>
    <w:pPr>
      <w:spacing w:before="360"/>
      <w:jc w:val="center"/>
    </w:pPr>
    <w:rPr>
      <w:b/>
      <w:caps/>
      <w:sz w:val="28"/>
    </w:rPr>
  </w:style>
  <w:style w:type="paragraph" w:customStyle="1" w:styleId="xCoverDocTitle">
    <w:name w:val="xCoverDocTitle"/>
    <w:basedOn w:val="xCover"/>
    <w:rsid w:val="00156B6C"/>
    <w:pPr>
      <w:spacing w:before="240"/>
      <w:jc w:val="center"/>
    </w:pPr>
    <w:rPr>
      <w:b/>
      <w:sz w:val="24"/>
    </w:rPr>
  </w:style>
  <w:style w:type="paragraph" w:styleId="BalloonText">
    <w:name w:val="Balloon Text"/>
    <w:basedOn w:val="Normal"/>
    <w:link w:val="BalloonTextChar"/>
    <w:rsid w:val="0017171C"/>
    <w:pPr>
      <w:spacing w:before="0"/>
    </w:pPr>
    <w:rPr>
      <w:rFonts w:ascii="Tahoma" w:hAnsi="Tahoma" w:cs="Tahoma"/>
      <w:sz w:val="16"/>
      <w:szCs w:val="16"/>
    </w:rPr>
  </w:style>
  <w:style w:type="paragraph" w:styleId="EndnoteText">
    <w:name w:val="endnote text"/>
    <w:basedOn w:val="Normal"/>
    <w:semiHidden/>
    <w:rsid w:val="00156B6C"/>
    <w:rPr>
      <w:sz w:val="22"/>
      <w:szCs w:val="20"/>
    </w:rPr>
  </w:style>
  <w:style w:type="character" w:styleId="EndnoteReference">
    <w:name w:val="endnote reference"/>
    <w:aliases w:val="wcpc_EndnoteMark,Ref CAll_Appel Ref"/>
    <w:rsid w:val="00156B6C"/>
    <w:rPr>
      <w:vertAlign w:val="superscript"/>
    </w:rPr>
  </w:style>
  <w:style w:type="paragraph" w:styleId="MacroText">
    <w:name w:val="macro"/>
    <w:semiHidden/>
    <w:rsid w:val="00156B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156B6C"/>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156B6C"/>
    <w:pPr>
      <w:ind w:left="240" w:hanging="240"/>
    </w:pPr>
  </w:style>
  <w:style w:type="character" w:styleId="Hyperlink">
    <w:name w:val="Hyperlink"/>
    <w:uiPriority w:val="99"/>
    <w:rsid w:val="00156B6C"/>
    <w:rPr>
      <w:color w:val="0000FF"/>
      <w:u w:val="single"/>
    </w:rPr>
  </w:style>
  <w:style w:type="paragraph" w:styleId="Bibliography">
    <w:name w:val="Bibliography"/>
    <w:basedOn w:val="Normal"/>
    <w:next w:val="Normal"/>
    <w:rsid w:val="00156B6C"/>
    <w:pPr>
      <w:ind w:left="357" w:hanging="357"/>
    </w:pPr>
  </w:style>
  <w:style w:type="character" w:customStyle="1" w:styleId="ReplaceText">
    <w:name w:val="Replace Text"/>
    <w:rsid w:val="00156B6C"/>
    <w:rPr>
      <w:color w:val="FF00FF"/>
    </w:rPr>
  </w:style>
  <w:style w:type="paragraph" w:styleId="TOC1">
    <w:name w:val="toc 1"/>
    <w:next w:val="Normal"/>
    <w:uiPriority w:val="39"/>
    <w:rsid w:val="00156B6C"/>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156B6C"/>
    <w:pPr>
      <w:numPr>
        <w:numId w:val="5"/>
      </w:numPr>
    </w:pPr>
  </w:style>
  <w:style w:type="paragraph" w:styleId="Index1">
    <w:name w:val="index 1"/>
    <w:basedOn w:val="Normal"/>
    <w:next w:val="Normal"/>
    <w:semiHidden/>
    <w:rsid w:val="00156B6C"/>
    <w:pPr>
      <w:tabs>
        <w:tab w:val="left" w:pos="1701"/>
        <w:tab w:val="left" w:pos="3402"/>
        <w:tab w:val="left" w:pos="5103"/>
      </w:tabs>
      <w:spacing w:before="0"/>
      <w:ind w:left="1701" w:hanging="1701"/>
    </w:pPr>
  </w:style>
  <w:style w:type="paragraph" w:styleId="TOAHeading">
    <w:name w:val="toa heading"/>
    <w:basedOn w:val="Normal"/>
    <w:next w:val="Normal"/>
    <w:semiHidden/>
    <w:rsid w:val="00156B6C"/>
    <w:pPr>
      <w:spacing w:before="120"/>
    </w:pPr>
    <w:rPr>
      <w:rFonts w:ascii="Arial" w:hAnsi="Arial" w:cs="Arial"/>
      <w:b/>
      <w:bCs/>
    </w:rPr>
  </w:style>
  <w:style w:type="character" w:customStyle="1" w:styleId="Reference">
    <w:name w:val="Reference"/>
    <w:rsid w:val="00156B6C"/>
    <w:rPr>
      <w:color w:val="0000FF"/>
    </w:rPr>
  </w:style>
  <w:style w:type="paragraph" w:customStyle="1" w:styleId="TblTextbulletedlist">
    <w:name w:val="Tbl Text bulleted list"/>
    <w:basedOn w:val="TblTextLeft"/>
    <w:rsid w:val="00156B6C"/>
    <w:pPr>
      <w:numPr>
        <w:numId w:val="9"/>
      </w:numPr>
      <w:tabs>
        <w:tab w:val="clear" w:pos="360"/>
        <w:tab w:val="left" w:pos="216"/>
      </w:tabs>
      <w:spacing w:before="0" w:after="0"/>
      <w:ind w:left="216" w:hanging="216"/>
    </w:pPr>
  </w:style>
  <w:style w:type="paragraph" w:styleId="TOC2">
    <w:name w:val="toc 2"/>
    <w:basedOn w:val="TOC1"/>
    <w:next w:val="Normal"/>
    <w:uiPriority w:val="39"/>
    <w:rsid w:val="00156B6C"/>
    <w:rPr>
      <w:b w:val="0"/>
    </w:rPr>
  </w:style>
  <w:style w:type="character" w:styleId="PageNumber">
    <w:name w:val="page number"/>
    <w:rsid w:val="00156B6C"/>
  </w:style>
  <w:style w:type="paragraph" w:styleId="ListBullet">
    <w:name w:val="List Bullet"/>
    <w:basedOn w:val="Normal"/>
    <w:rsid w:val="00156B6C"/>
    <w:pPr>
      <w:numPr>
        <w:numId w:val="6"/>
      </w:numPr>
    </w:pPr>
  </w:style>
  <w:style w:type="paragraph" w:styleId="TOC3">
    <w:name w:val="toc 3"/>
    <w:basedOn w:val="TOC1"/>
    <w:next w:val="Normal"/>
    <w:uiPriority w:val="39"/>
    <w:rsid w:val="00156B6C"/>
    <w:pPr>
      <w:spacing w:before="120"/>
    </w:pPr>
    <w:rPr>
      <w:b w:val="0"/>
      <w:caps w:val="0"/>
    </w:rPr>
  </w:style>
  <w:style w:type="paragraph" w:styleId="TOC4">
    <w:name w:val="toc 4"/>
    <w:basedOn w:val="TOC1"/>
    <w:next w:val="Normal"/>
    <w:uiPriority w:val="39"/>
    <w:rsid w:val="00156B6C"/>
    <w:pPr>
      <w:spacing w:before="40"/>
    </w:pPr>
    <w:rPr>
      <w:b w:val="0"/>
      <w:caps w:val="0"/>
      <w:szCs w:val="22"/>
    </w:rPr>
  </w:style>
  <w:style w:type="paragraph" w:styleId="TOC5">
    <w:name w:val="toc 5"/>
    <w:basedOn w:val="TOC1"/>
    <w:next w:val="Normal"/>
    <w:semiHidden/>
    <w:rsid w:val="00156B6C"/>
    <w:pPr>
      <w:spacing w:before="0"/>
    </w:pPr>
    <w:rPr>
      <w:b w:val="0"/>
      <w:caps w:val="0"/>
    </w:rPr>
  </w:style>
  <w:style w:type="paragraph" w:styleId="TOC6">
    <w:name w:val="toc 6"/>
    <w:basedOn w:val="TOC1"/>
    <w:next w:val="Normal"/>
    <w:semiHidden/>
    <w:rsid w:val="00156B6C"/>
    <w:pPr>
      <w:spacing w:before="0"/>
    </w:pPr>
    <w:rPr>
      <w:b w:val="0"/>
      <w:caps w:val="0"/>
    </w:rPr>
  </w:style>
  <w:style w:type="paragraph" w:styleId="TOC7">
    <w:name w:val="toc 7"/>
    <w:basedOn w:val="TOC6"/>
    <w:next w:val="Normal"/>
    <w:semiHidden/>
    <w:rsid w:val="00156B6C"/>
  </w:style>
  <w:style w:type="paragraph" w:styleId="TOC8">
    <w:name w:val="toc 8"/>
    <w:basedOn w:val="TOC6"/>
    <w:next w:val="Normal"/>
    <w:semiHidden/>
    <w:rsid w:val="00156B6C"/>
  </w:style>
  <w:style w:type="paragraph" w:styleId="TOC9">
    <w:name w:val="toc 9"/>
    <w:basedOn w:val="TOC6"/>
    <w:next w:val="Normal"/>
    <w:semiHidden/>
    <w:rsid w:val="00156B6C"/>
  </w:style>
  <w:style w:type="character" w:customStyle="1" w:styleId="TblFigFootnoteChar">
    <w:name w:val="Tbl Fig Footnote Char"/>
    <w:rsid w:val="00156B6C"/>
    <w:rPr>
      <w:rFonts w:ascii="Arial Narrow" w:eastAsia="MS Gothic" w:hAnsi="Arial Narrow"/>
      <w:sz w:val="18"/>
      <w:lang w:val="en-US" w:eastAsia="en-US" w:bidi="ar-SA"/>
    </w:rPr>
  </w:style>
  <w:style w:type="character" w:styleId="FollowedHyperlink">
    <w:name w:val="FollowedHyperlink"/>
    <w:rsid w:val="00156B6C"/>
    <w:rPr>
      <w:color w:val="800080"/>
      <w:u w:val="single"/>
    </w:rPr>
  </w:style>
  <w:style w:type="character" w:customStyle="1" w:styleId="BalloonTextChar">
    <w:name w:val="Balloon Text Char"/>
    <w:link w:val="BalloonText"/>
    <w:rsid w:val="0017171C"/>
    <w:rPr>
      <w:rFonts w:ascii="Tahoma" w:eastAsia="MS Mincho" w:hAnsi="Tahoma" w:cs="Tahoma"/>
      <w:color w:val="000000"/>
      <w:sz w:val="16"/>
      <w:szCs w:val="16"/>
      <w:lang w:val="en-US" w:eastAsia="en-US"/>
    </w:rPr>
  </w:style>
  <w:style w:type="character" w:customStyle="1" w:styleId="CaptionChar">
    <w:name w:val="Caption Char"/>
    <w:aliases w:val="wcp_Caption Char,Légende_Legend Char,Legend_Légende Char"/>
    <w:link w:val="Caption"/>
    <w:locked/>
    <w:rsid w:val="005009A9"/>
    <w:rPr>
      <w:rFonts w:ascii="Arial" w:eastAsia="MS Gothic" w:hAnsi="Arial" w:cs="Arial"/>
      <w:b/>
      <w:bCs/>
      <w:lang w:val="en-US" w:eastAsia="en-US"/>
    </w:rPr>
  </w:style>
  <w:style w:type="paragraph" w:customStyle="1" w:styleId="wcpTableContentSmall">
    <w:name w:val="wcp_TableContentSmall"/>
    <w:basedOn w:val="Normal"/>
    <w:link w:val="wcpTableContentSmallCar"/>
    <w:rsid w:val="005009A9"/>
    <w:pPr>
      <w:spacing w:before="40" w:after="40"/>
    </w:pPr>
    <w:rPr>
      <w:rFonts w:eastAsia="Times New Roman"/>
      <w:color w:val="auto"/>
      <w:sz w:val="18"/>
      <w:szCs w:val="20"/>
      <w:lang w:val="fr-FR"/>
    </w:rPr>
  </w:style>
  <w:style w:type="character" w:customStyle="1" w:styleId="wcpTableContentSmallCar">
    <w:name w:val="wcp_TableContentSmall Car"/>
    <w:link w:val="wcpTableContentSmall"/>
    <w:locked/>
    <w:rsid w:val="005009A9"/>
    <w:rPr>
      <w:sz w:val="18"/>
      <w:lang w:val="fr-FR" w:eastAsia="en-US"/>
    </w:rPr>
  </w:style>
  <w:style w:type="character" w:customStyle="1" w:styleId="FooterChar">
    <w:name w:val="Footer Char"/>
    <w:aliases w:val="wcp_Footer Char,Footer_Pied Page Char"/>
    <w:link w:val="Footer"/>
    <w:locked/>
    <w:rsid w:val="008C3A42"/>
    <w:rPr>
      <w:rFonts w:ascii="Arial" w:eastAsia="MS Gothic" w:hAnsi="Arial"/>
      <w:sz w:val="18"/>
      <w:lang w:val="en-US" w:eastAsia="en-US"/>
    </w:rPr>
  </w:style>
  <w:style w:type="character" w:styleId="CommentReference">
    <w:name w:val="annotation reference"/>
    <w:rsid w:val="008C3A42"/>
    <w:rPr>
      <w:sz w:val="16"/>
    </w:rPr>
  </w:style>
  <w:style w:type="paragraph" w:customStyle="1" w:styleId="wcpTableColHeaderSmall">
    <w:name w:val="wcp_TableColHeaderSmall"/>
    <w:basedOn w:val="Normal"/>
    <w:rsid w:val="008C3A42"/>
    <w:pPr>
      <w:keepNext/>
      <w:spacing w:before="120" w:after="120"/>
      <w:jc w:val="center"/>
    </w:pPr>
    <w:rPr>
      <w:rFonts w:eastAsia="Times New Roman"/>
      <w:b/>
      <w:color w:val="auto"/>
      <w:sz w:val="18"/>
      <w:szCs w:val="20"/>
      <w:lang w:val="fr-FR"/>
    </w:rPr>
  </w:style>
  <w:style w:type="paragraph" w:customStyle="1" w:styleId="wcpTableRowHeaderSmall">
    <w:name w:val="wcp_TableRowHeaderSmall"/>
    <w:basedOn w:val="Normal"/>
    <w:link w:val="wcpTableRowHeaderSmallCar"/>
    <w:rsid w:val="008C3A42"/>
    <w:pPr>
      <w:spacing w:before="40" w:after="40"/>
    </w:pPr>
    <w:rPr>
      <w:rFonts w:eastAsia="Times New Roman"/>
      <w:b/>
      <w:color w:val="auto"/>
      <w:sz w:val="18"/>
      <w:szCs w:val="20"/>
      <w:lang w:val="fr-FR"/>
    </w:rPr>
  </w:style>
  <w:style w:type="character" w:customStyle="1" w:styleId="wcpTableRowHeaderSmallCar">
    <w:name w:val="wcp_TableRowHeaderSmall Car"/>
    <w:link w:val="wcpTableRowHeaderSmall"/>
    <w:rsid w:val="008C3A42"/>
    <w:rPr>
      <w:b/>
      <w:sz w:val="18"/>
      <w:lang w:val="fr-FR" w:eastAsia="en-US"/>
    </w:rPr>
  </w:style>
  <w:style w:type="paragraph" w:customStyle="1" w:styleId="wcpTablenote">
    <w:name w:val="wcp_Tablenote"/>
    <w:basedOn w:val="FootnoteText"/>
    <w:link w:val="wcpTablenoteChar"/>
    <w:rsid w:val="00C7073E"/>
    <w:pPr>
      <w:spacing w:before="60"/>
      <w:ind w:left="850" w:hanging="850"/>
    </w:pPr>
    <w:rPr>
      <w:rFonts w:eastAsia="Times New Roman"/>
      <w:color w:val="auto"/>
      <w:sz w:val="20"/>
      <w:lang w:val="fr-FR"/>
    </w:rPr>
  </w:style>
  <w:style w:type="character" w:customStyle="1" w:styleId="wcpTablenoteChar">
    <w:name w:val="wcp_Tablenote Char"/>
    <w:link w:val="wcpTablenote"/>
    <w:locked/>
    <w:rsid w:val="00C7073E"/>
    <w:rPr>
      <w:lang w:val="fr-FR" w:eastAsia="en-US"/>
    </w:rPr>
  </w:style>
  <w:style w:type="table" w:styleId="TableGrid">
    <w:name w:val="Table Grid"/>
    <w:basedOn w:val="TableNormal"/>
    <w:uiPriority w:val="59"/>
    <w:rsid w:val="00C7073E"/>
    <w:pPr>
      <w:spacing w:before="120"/>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SubTitle">
    <w:name w:val="wcp_SubTitle"/>
    <w:basedOn w:val="Title"/>
    <w:next w:val="Normal"/>
    <w:link w:val="wcpSubTitleChar"/>
    <w:rsid w:val="00B800D3"/>
    <w:pPr>
      <w:spacing w:before="0"/>
    </w:pPr>
    <w:rPr>
      <w:sz w:val="30"/>
    </w:rPr>
  </w:style>
  <w:style w:type="character" w:customStyle="1" w:styleId="FootnoteTextChar">
    <w:name w:val="Footnote Text Char"/>
    <w:aliases w:val="wcp_Footnote Char,Footnote_Bas Page Char"/>
    <w:link w:val="FootnoteText"/>
    <w:rsid w:val="00B800D3"/>
    <w:rPr>
      <w:rFonts w:eastAsia="MS Mincho"/>
      <w:color w:val="000000"/>
      <w:sz w:val="22"/>
      <w:lang w:val="en-US" w:eastAsia="en-US"/>
    </w:rPr>
  </w:style>
  <w:style w:type="paragraph" w:styleId="CommentText">
    <w:name w:val="annotation text"/>
    <w:basedOn w:val="Normal"/>
    <w:link w:val="CommentTextChar"/>
    <w:rsid w:val="00B800D3"/>
    <w:rPr>
      <w:sz w:val="20"/>
      <w:lang w:val="en-AU"/>
    </w:rPr>
  </w:style>
  <w:style w:type="character" w:customStyle="1" w:styleId="CommentTextChar">
    <w:name w:val="Comment Text Char"/>
    <w:link w:val="CommentText"/>
    <w:rsid w:val="00B800D3"/>
    <w:rPr>
      <w:rFonts w:eastAsia="MS Mincho"/>
      <w:color w:val="000000"/>
      <w:szCs w:val="24"/>
      <w:lang w:eastAsia="en-US"/>
    </w:rPr>
  </w:style>
  <w:style w:type="character" w:customStyle="1" w:styleId="wcpSubTitleChar">
    <w:name w:val="wcp_SubTitle Char"/>
    <w:link w:val="wcpSubTitle"/>
    <w:rsid w:val="00B800D3"/>
    <w:rPr>
      <w:rFonts w:ascii="Arial" w:eastAsia="MS Gothic" w:hAnsi="Arial" w:cs="Arial"/>
      <w:b/>
      <w:bCs/>
      <w:caps/>
      <w:sz w:val="30"/>
      <w:szCs w:val="32"/>
      <w:lang w:val="en-US" w:eastAsia="en-US"/>
    </w:rPr>
  </w:style>
  <w:style w:type="paragraph" w:styleId="CommentSubject">
    <w:name w:val="annotation subject"/>
    <w:basedOn w:val="CommentText"/>
    <w:next w:val="CommentText"/>
    <w:link w:val="CommentSubjectChar"/>
    <w:rsid w:val="009745BE"/>
    <w:rPr>
      <w:b/>
      <w:bCs/>
      <w:szCs w:val="20"/>
      <w:lang w:val="en-US"/>
    </w:rPr>
  </w:style>
  <w:style w:type="character" w:customStyle="1" w:styleId="CommentSubjectChar">
    <w:name w:val="Comment Subject Char"/>
    <w:link w:val="CommentSubject"/>
    <w:rsid w:val="009745BE"/>
    <w:rPr>
      <w:rFonts w:eastAsia="MS Mincho"/>
      <w:b/>
      <w:bCs/>
      <w:color w:val="000000"/>
      <w:szCs w:val="24"/>
      <w:lang w:eastAsia="en-US"/>
    </w:rPr>
  </w:style>
  <w:style w:type="paragraph" w:styleId="BodyText">
    <w:name w:val="Body Text"/>
    <w:basedOn w:val="Normal"/>
    <w:link w:val="BodyTextChar"/>
    <w:uiPriority w:val="99"/>
    <w:unhideWhenUsed/>
    <w:rsid w:val="003C0F49"/>
    <w:pPr>
      <w:spacing w:before="120" w:after="60"/>
      <w:jc w:val="both"/>
    </w:pPr>
    <w:rPr>
      <w:rFonts w:eastAsia="Calibri"/>
      <w:color w:val="auto"/>
    </w:rPr>
  </w:style>
  <w:style w:type="character" w:customStyle="1" w:styleId="BodyTextChar">
    <w:name w:val="Body Text Char"/>
    <w:link w:val="BodyText"/>
    <w:uiPriority w:val="99"/>
    <w:rsid w:val="003C0F49"/>
    <w:rPr>
      <w:rFonts w:eastAsia="Calibri"/>
      <w:sz w:val="24"/>
      <w:szCs w:val="24"/>
    </w:rPr>
  </w:style>
  <w:style w:type="paragraph" w:customStyle="1" w:styleId="cliRTF8">
    <w:name w:val="cli_RTF8"/>
    <w:basedOn w:val="Normal"/>
    <w:rsid w:val="003C0F49"/>
    <w:pPr>
      <w:spacing w:before="0"/>
    </w:pPr>
    <w:rPr>
      <w:rFonts w:eastAsia="Calibri"/>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5356">
      <w:bodyDiv w:val="1"/>
      <w:marLeft w:val="0"/>
      <w:marRight w:val="0"/>
      <w:marTop w:val="0"/>
      <w:marBottom w:val="0"/>
      <w:divBdr>
        <w:top w:val="none" w:sz="0" w:space="0" w:color="auto"/>
        <w:left w:val="none" w:sz="0" w:space="0" w:color="auto"/>
        <w:bottom w:val="none" w:sz="0" w:space="0" w:color="auto"/>
        <w:right w:val="none" w:sz="0" w:space="0" w:color="auto"/>
      </w:divBdr>
    </w:div>
    <w:div w:id="17122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0D1F-6EE8-4AD7-979B-DC819566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3921</Words>
  <Characters>23167</Characters>
  <Application>Microsoft Office Word</Application>
  <DocSecurity>0</DocSecurity>
  <Lines>626</Lines>
  <Paragraphs>429</Paragraphs>
  <ScaleCrop>false</ScaleCrop>
  <HeadingPairs>
    <vt:vector size="2" baseType="variant">
      <vt:variant>
        <vt:lpstr>Title</vt:lpstr>
      </vt:variant>
      <vt:variant>
        <vt:i4>1</vt:i4>
      </vt:variant>
    </vt:vector>
  </HeadingPairs>
  <TitlesOfParts>
    <vt:vector size="1" baseType="lpstr">
      <vt:lpstr>Attachment: Product Information: Inactivated high-dose trivalent influenza vaccine</vt:lpstr>
    </vt:vector>
  </TitlesOfParts>
  <Company>sanofi-aventis</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Inactivated high-dose trivalent influenza vaccine</dc:title>
  <dc:subject>prescription medicines</dc:subject>
  <dc:creator>LACK, Janet</dc:creator>
  <cp:keywords>AusPARs</cp:keywords>
  <cp:lastModifiedBy>LACK, Janet</cp:lastModifiedBy>
  <cp:revision>2</cp:revision>
  <cp:lastPrinted>2016-12-08T01:45:00Z</cp:lastPrinted>
  <dcterms:created xsi:type="dcterms:W3CDTF">2018-08-20T05:55:00Z</dcterms:created>
  <dcterms:modified xsi:type="dcterms:W3CDTF">2018-08-20T05:55:00Z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 inactivated trivalent influenza vaccine (TIV)</vt:lpwstr>
  </property>
  <property fmtid="{D5CDD505-2E9C-101B-9397-08002B2CF9AE}" pid="4" name="Date">
    <vt:lpwstr>December-2017</vt:lpwstr>
  </property>
  <property fmtid="{D5CDD505-2E9C-101B-9397-08002B2CF9AE}" pid="5" name="Product Code">
    <vt:lpwstr>Fluzone High-Dose</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https">
    <vt:lpwstr>1</vt:lpwstr>
  </property>
</Properties>
</file>