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2"/>
      </w:tblGrid>
      <w:tr w:rsidR="008E7846" w:rsidRPr="00487162" w14:paraId="1A5FD08D" w14:textId="77777777" w:rsidTr="007A7E72">
        <w:trPr>
          <w:trHeight w:val="1690"/>
        </w:trPr>
        <w:tc>
          <w:tcPr>
            <w:tcW w:w="8542" w:type="dxa"/>
            <w:tcBorders>
              <w:top w:val="nil"/>
              <w:left w:val="nil"/>
              <w:bottom w:val="nil"/>
              <w:right w:val="nil"/>
            </w:tcBorders>
          </w:tcPr>
          <w:p w14:paraId="3F1954C6" w14:textId="073180F8" w:rsidR="008E7846" w:rsidRDefault="007A7E72" w:rsidP="007A7E72">
            <w:pPr>
              <w:rPr>
                <w:rFonts w:ascii="Arial" w:hAnsi="Arial" w:cs="Arial"/>
                <w:b/>
                <w:color w:val="002C47"/>
                <w:sz w:val="36"/>
                <w:szCs w:val="36"/>
              </w:rPr>
            </w:pPr>
            <w:bookmarkStart w:id="0" w:name="_GoBack"/>
            <w:bookmarkEnd w:id="0"/>
            <w:r>
              <w:rPr>
                <w:rFonts w:ascii="Arial" w:hAnsi="Arial" w:cs="Arial"/>
                <w:b/>
                <w:color w:val="002C47"/>
                <w:sz w:val="36"/>
                <w:szCs w:val="36"/>
              </w:rPr>
              <w:t>First round evaluation: 27 December 2015</w:t>
            </w:r>
          </w:p>
          <w:p w14:paraId="40E488C5" w14:textId="49D5FCA8" w:rsidR="007A7E72" w:rsidRPr="0017078F" w:rsidRDefault="007A7E72" w:rsidP="007A7E72">
            <w:pPr>
              <w:rPr>
                <w:rFonts w:ascii="Arial" w:hAnsi="Arial" w:cs="Arial"/>
                <w:b/>
                <w:color w:val="002C47"/>
                <w:sz w:val="36"/>
                <w:szCs w:val="36"/>
              </w:rPr>
            </w:pPr>
            <w:r>
              <w:rPr>
                <w:rFonts w:ascii="Arial" w:hAnsi="Arial" w:cs="Arial"/>
                <w:b/>
                <w:color w:val="002C47"/>
                <w:sz w:val="36"/>
                <w:szCs w:val="36"/>
              </w:rPr>
              <w:t>Second round evaluation: 17 April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1D665C32" w14:textId="77777777" w:rsidTr="00E07F15">
        <w:trPr>
          <w:trHeight w:val="1548"/>
        </w:trPr>
        <w:tc>
          <w:tcPr>
            <w:tcW w:w="9079" w:type="dxa"/>
          </w:tcPr>
          <w:p w14:paraId="68D062AC" w14:textId="77777777" w:rsidR="0032583B" w:rsidRPr="00A964D1" w:rsidRDefault="00E07F15" w:rsidP="00A964D1">
            <w:pPr>
              <w:pStyle w:val="Title"/>
              <w:rPr>
                <w:color w:val="FFFFFF" w:themeColor="background1"/>
              </w:rPr>
            </w:pPr>
            <w:r>
              <w:rPr>
                <w:color w:val="FFFFFF" w:themeColor="background1"/>
              </w:rPr>
              <w:t>AusPAR Attachment 2</w:t>
            </w:r>
          </w:p>
        </w:tc>
      </w:tr>
      <w:tr w:rsidR="00E07F15" w:rsidRPr="00A964D1" w14:paraId="3B67959F" w14:textId="77777777" w:rsidTr="00E07F15">
        <w:trPr>
          <w:trHeight w:val="868"/>
        </w:trPr>
        <w:tc>
          <w:tcPr>
            <w:tcW w:w="9079" w:type="dxa"/>
          </w:tcPr>
          <w:p w14:paraId="7AEB995E" w14:textId="4721F9DA" w:rsidR="00E07F15" w:rsidRPr="00A964D1" w:rsidRDefault="00E07F15" w:rsidP="00E07F15">
            <w:pPr>
              <w:pStyle w:val="Title"/>
              <w:rPr>
                <w:color w:val="FFFFFF" w:themeColor="background1"/>
              </w:rPr>
            </w:pPr>
            <w:r>
              <w:rPr>
                <w:color w:val="FFFFFF" w:themeColor="background1"/>
              </w:rPr>
              <w:t>Extract from the Clinical Evaluation Report</w:t>
            </w:r>
            <w:r w:rsidR="008414E1">
              <w:rPr>
                <w:color w:val="FFFFFF" w:themeColor="background1"/>
              </w:rPr>
              <w:t xml:space="preserve"> for I</w:t>
            </w:r>
            <w:r w:rsidR="00E52206">
              <w:rPr>
                <w:color w:val="FFFFFF" w:themeColor="background1"/>
              </w:rPr>
              <w:t>nactivated quadrivalent influenza vaccine (split virion)</w:t>
            </w:r>
          </w:p>
        </w:tc>
      </w:tr>
      <w:tr w:rsidR="00E07F15" w:rsidRPr="00B64760" w14:paraId="3220741E" w14:textId="77777777" w:rsidTr="00E07F15">
        <w:tc>
          <w:tcPr>
            <w:tcW w:w="9079" w:type="dxa"/>
          </w:tcPr>
          <w:p w14:paraId="0FE3D2F3" w14:textId="55644146" w:rsidR="00E07F15" w:rsidRPr="008E7846" w:rsidRDefault="00E52206" w:rsidP="00E07F15">
            <w:pPr>
              <w:pStyle w:val="Subtitle"/>
              <w:rPr>
                <w:color w:val="FFFFFF" w:themeColor="background1"/>
              </w:rPr>
            </w:pPr>
            <w:r>
              <w:rPr>
                <w:color w:val="FFFFFF" w:themeColor="background1"/>
              </w:rPr>
              <w:t>Proprietary Product Name: Afluria Quad</w:t>
            </w:r>
            <w:r w:rsidR="00E07F15" w:rsidRPr="008E7846">
              <w:rPr>
                <w:color w:val="FFFFFF" w:themeColor="background1"/>
              </w:rPr>
              <w:t xml:space="preserve"> </w:t>
            </w:r>
          </w:p>
        </w:tc>
      </w:tr>
      <w:tr w:rsidR="00E07F15" w:rsidRPr="00B64760" w14:paraId="5F40C05E" w14:textId="77777777" w:rsidTr="00E07F15">
        <w:trPr>
          <w:trHeight w:val="486"/>
        </w:trPr>
        <w:tc>
          <w:tcPr>
            <w:tcW w:w="9079" w:type="dxa"/>
          </w:tcPr>
          <w:p w14:paraId="22137373" w14:textId="3EE28C4D" w:rsidR="00E07F15" w:rsidRPr="008E7846" w:rsidRDefault="00E52206" w:rsidP="00E07F15">
            <w:pPr>
              <w:pStyle w:val="Subtitle"/>
              <w:rPr>
                <w:color w:val="FFFFFF" w:themeColor="background1"/>
              </w:rPr>
            </w:pPr>
            <w:r>
              <w:rPr>
                <w:color w:val="FFFFFF" w:themeColor="background1"/>
              </w:rPr>
              <w:t>Sponsor: Seqirus Pty Ltd</w:t>
            </w:r>
            <w:r w:rsidR="00E07F15" w:rsidRPr="008E7846">
              <w:rPr>
                <w:color w:val="FFFFFF" w:themeColor="background1"/>
              </w:rPr>
              <w:t xml:space="preserve"> </w:t>
            </w:r>
          </w:p>
        </w:tc>
      </w:tr>
    </w:tbl>
    <w:p w14:paraId="5220BBD3" w14:textId="77777777" w:rsidR="008E7846" w:rsidRDefault="008E7846" w:rsidP="008E7846">
      <w:pPr>
        <w:pStyle w:val="NonTOCHeading2"/>
      </w:pPr>
      <w:r>
        <w:br w:type="page"/>
      </w:r>
    </w:p>
    <w:p w14:paraId="4CD27A26" w14:textId="77777777" w:rsidR="008E7846" w:rsidRPr="001F6CBA" w:rsidRDefault="008E7846" w:rsidP="008E7846">
      <w:pPr>
        <w:pStyle w:val="NonTOCHeading2"/>
      </w:pPr>
      <w:r w:rsidRPr="001F6CBA">
        <w:lastRenderedPageBreak/>
        <w:t>About the Therapeutic Goods Administration (TGA)</w:t>
      </w:r>
    </w:p>
    <w:p w14:paraId="41A4DE3E" w14:textId="77777777" w:rsidR="008E7846" w:rsidRDefault="008E7846" w:rsidP="00C921FF">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6CEED394" w14:textId="77777777" w:rsidR="008E7846" w:rsidRDefault="00C811C0" w:rsidP="00C921FF">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2137B38D" w14:textId="77777777" w:rsidR="008E7846" w:rsidRDefault="008E7846" w:rsidP="00C921FF">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70EFF984" w14:textId="77777777" w:rsidR="008E7846" w:rsidRDefault="008E7846" w:rsidP="00C921FF">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4144403A" w14:textId="77777777" w:rsidR="008E7846" w:rsidRDefault="008E7846" w:rsidP="00C921FF">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14:paraId="7260D3E6"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07AE0ECD"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3B7A85D8" w14:textId="77777777" w:rsidR="003D0A3B" w:rsidRDefault="003D0A3B" w:rsidP="003D0A3B">
      <w:pPr>
        <w:pStyle w:val="ListBullet"/>
      </w:pPr>
      <w:r w:rsidRPr="003D0A3B">
        <w:t>The words [Information redacted], where they appear in this document, indicate that confidential information has been deleted.</w:t>
      </w:r>
    </w:p>
    <w:p w14:paraId="666D9239" w14:textId="77777777"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14:paraId="148F7DFC" w14:textId="77777777" w:rsidR="00924482" w:rsidRPr="00DF1D7F" w:rsidRDefault="00924482" w:rsidP="008414E1">
      <w:pPr>
        <w:pStyle w:val="LegalSubheading"/>
        <w:spacing w:before="4080"/>
      </w:pPr>
      <w:r w:rsidRPr="00DF1D7F">
        <w:t>Copyright</w:t>
      </w:r>
    </w:p>
    <w:p w14:paraId="5FE0E7E3" w14:textId="20806110" w:rsidR="00924482" w:rsidRDefault="00924482" w:rsidP="00924482">
      <w:pPr>
        <w:pStyle w:val="LegalCopy"/>
      </w:pPr>
      <w:r w:rsidRPr="00191B3B">
        <w:rPr>
          <w:rFonts w:cs="Arial"/>
          <w:lang w:val="en-GB"/>
        </w:rPr>
        <w:t>© Comm</w:t>
      </w:r>
      <w:r>
        <w:rPr>
          <w:rFonts w:cs="Arial"/>
          <w:lang w:val="en-GB"/>
        </w:rPr>
        <w:t>onwealth of Australia 201</w:t>
      </w:r>
      <w:r w:rsidR="00FD2DDF">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14:paraId="522CEA46"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0244E1B" w14:textId="77777777" w:rsidR="0089635C" w:rsidRPr="0089635C" w:rsidRDefault="0089635C" w:rsidP="0010788A">
          <w:pPr>
            <w:pStyle w:val="Contents"/>
          </w:pPr>
          <w:r w:rsidRPr="0010788A">
            <w:t>Contents</w:t>
          </w:r>
        </w:p>
        <w:p w14:paraId="20AFEFB3" w14:textId="77777777" w:rsidR="00F50C7E"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90579705" w:history="1">
            <w:r w:rsidR="00F50C7E" w:rsidRPr="003E5E97">
              <w:rPr>
                <w:rStyle w:val="Hyperlink"/>
                <w:noProof/>
              </w:rPr>
              <w:t>List of abbreviations</w:t>
            </w:r>
            <w:r w:rsidR="00F50C7E">
              <w:rPr>
                <w:noProof/>
                <w:webHidden/>
              </w:rPr>
              <w:tab/>
            </w:r>
            <w:r w:rsidR="00F50C7E">
              <w:rPr>
                <w:noProof/>
                <w:webHidden/>
              </w:rPr>
              <w:fldChar w:fldCharType="begin"/>
            </w:r>
            <w:r w:rsidR="00F50C7E">
              <w:rPr>
                <w:noProof/>
                <w:webHidden/>
              </w:rPr>
              <w:instrText xml:space="preserve"> PAGEREF _Toc490579705 \h </w:instrText>
            </w:r>
            <w:r w:rsidR="00F50C7E">
              <w:rPr>
                <w:noProof/>
                <w:webHidden/>
              </w:rPr>
            </w:r>
            <w:r w:rsidR="00F50C7E">
              <w:rPr>
                <w:noProof/>
                <w:webHidden/>
              </w:rPr>
              <w:fldChar w:fldCharType="separate"/>
            </w:r>
            <w:r w:rsidR="00F50C7E">
              <w:rPr>
                <w:noProof/>
                <w:webHidden/>
              </w:rPr>
              <w:t>5</w:t>
            </w:r>
            <w:r w:rsidR="00F50C7E">
              <w:rPr>
                <w:noProof/>
                <w:webHidden/>
              </w:rPr>
              <w:fldChar w:fldCharType="end"/>
            </w:r>
          </w:hyperlink>
        </w:p>
        <w:p w14:paraId="188B6B57" w14:textId="77777777" w:rsidR="00F50C7E" w:rsidRDefault="002932ED">
          <w:pPr>
            <w:pStyle w:val="TOC2"/>
            <w:tabs>
              <w:tab w:val="left" w:pos="1247"/>
            </w:tabs>
            <w:rPr>
              <w:rFonts w:asciiTheme="minorHAnsi" w:eastAsiaTheme="minorEastAsia" w:hAnsiTheme="minorHAnsi" w:cstheme="minorBidi"/>
              <w:b w:val="0"/>
              <w:noProof/>
              <w:sz w:val="22"/>
              <w:lang w:eastAsia="en-AU"/>
            </w:rPr>
          </w:pPr>
          <w:hyperlink w:anchor="_Toc490579706" w:history="1">
            <w:r w:rsidR="00F50C7E" w:rsidRPr="003E5E97">
              <w:rPr>
                <w:rStyle w:val="Hyperlink"/>
                <w:noProof/>
                <w:lang w:eastAsia="en-AU"/>
              </w:rPr>
              <w:t>1.</w:t>
            </w:r>
            <w:r w:rsidR="00F50C7E">
              <w:rPr>
                <w:rFonts w:asciiTheme="minorHAnsi" w:eastAsiaTheme="minorEastAsia" w:hAnsiTheme="minorHAnsi" w:cstheme="minorBidi"/>
                <w:b w:val="0"/>
                <w:noProof/>
                <w:sz w:val="22"/>
                <w:lang w:eastAsia="en-AU"/>
              </w:rPr>
              <w:tab/>
            </w:r>
            <w:r w:rsidR="00F50C7E" w:rsidRPr="003E5E97">
              <w:rPr>
                <w:rStyle w:val="Hyperlink"/>
                <w:noProof/>
                <w:lang w:eastAsia="en-AU"/>
              </w:rPr>
              <w:t>Introduction</w:t>
            </w:r>
            <w:r w:rsidR="00F50C7E">
              <w:rPr>
                <w:noProof/>
                <w:webHidden/>
              </w:rPr>
              <w:tab/>
            </w:r>
            <w:r w:rsidR="00F50C7E">
              <w:rPr>
                <w:noProof/>
                <w:webHidden/>
              </w:rPr>
              <w:fldChar w:fldCharType="begin"/>
            </w:r>
            <w:r w:rsidR="00F50C7E">
              <w:rPr>
                <w:noProof/>
                <w:webHidden/>
              </w:rPr>
              <w:instrText xml:space="preserve"> PAGEREF _Toc490579706 \h </w:instrText>
            </w:r>
            <w:r w:rsidR="00F50C7E">
              <w:rPr>
                <w:noProof/>
                <w:webHidden/>
              </w:rPr>
            </w:r>
            <w:r w:rsidR="00F50C7E">
              <w:rPr>
                <w:noProof/>
                <w:webHidden/>
              </w:rPr>
              <w:fldChar w:fldCharType="separate"/>
            </w:r>
            <w:r w:rsidR="00F50C7E">
              <w:rPr>
                <w:noProof/>
                <w:webHidden/>
              </w:rPr>
              <w:t>7</w:t>
            </w:r>
            <w:r w:rsidR="00F50C7E">
              <w:rPr>
                <w:noProof/>
                <w:webHidden/>
              </w:rPr>
              <w:fldChar w:fldCharType="end"/>
            </w:r>
          </w:hyperlink>
        </w:p>
        <w:p w14:paraId="37A19CC2" w14:textId="77777777" w:rsidR="00F50C7E" w:rsidRDefault="002932ED">
          <w:pPr>
            <w:pStyle w:val="TOC3"/>
            <w:tabs>
              <w:tab w:val="left" w:pos="1575"/>
            </w:tabs>
            <w:rPr>
              <w:rFonts w:asciiTheme="minorHAnsi" w:eastAsiaTheme="minorEastAsia" w:hAnsiTheme="minorHAnsi" w:cstheme="minorBidi"/>
              <w:noProof/>
              <w:lang w:eastAsia="en-AU"/>
            </w:rPr>
          </w:pPr>
          <w:hyperlink w:anchor="_Toc490579707" w:history="1">
            <w:r w:rsidR="00F50C7E" w:rsidRPr="003E5E97">
              <w:rPr>
                <w:rStyle w:val="Hyperlink"/>
                <w:noProof/>
              </w:rPr>
              <w:t>1.1.</w:t>
            </w:r>
            <w:r w:rsidR="00F50C7E">
              <w:rPr>
                <w:rFonts w:asciiTheme="minorHAnsi" w:eastAsiaTheme="minorEastAsia" w:hAnsiTheme="minorHAnsi" w:cstheme="minorBidi"/>
                <w:noProof/>
                <w:lang w:eastAsia="en-AU"/>
              </w:rPr>
              <w:tab/>
            </w:r>
            <w:r w:rsidR="00F50C7E" w:rsidRPr="003E5E97">
              <w:rPr>
                <w:rStyle w:val="Hyperlink"/>
                <w:noProof/>
              </w:rPr>
              <w:t>Drug class and therapeutic indication</w:t>
            </w:r>
            <w:r w:rsidR="00F50C7E">
              <w:rPr>
                <w:noProof/>
                <w:webHidden/>
              </w:rPr>
              <w:tab/>
            </w:r>
            <w:r w:rsidR="00F50C7E">
              <w:rPr>
                <w:noProof/>
                <w:webHidden/>
              </w:rPr>
              <w:fldChar w:fldCharType="begin"/>
            </w:r>
            <w:r w:rsidR="00F50C7E">
              <w:rPr>
                <w:noProof/>
                <w:webHidden/>
              </w:rPr>
              <w:instrText xml:space="preserve"> PAGEREF _Toc490579707 \h </w:instrText>
            </w:r>
            <w:r w:rsidR="00F50C7E">
              <w:rPr>
                <w:noProof/>
                <w:webHidden/>
              </w:rPr>
            </w:r>
            <w:r w:rsidR="00F50C7E">
              <w:rPr>
                <w:noProof/>
                <w:webHidden/>
              </w:rPr>
              <w:fldChar w:fldCharType="separate"/>
            </w:r>
            <w:r w:rsidR="00F50C7E">
              <w:rPr>
                <w:noProof/>
                <w:webHidden/>
              </w:rPr>
              <w:t>7</w:t>
            </w:r>
            <w:r w:rsidR="00F50C7E">
              <w:rPr>
                <w:noProof/>
                <w:webHidden/>
              </w:rPr>
              <w:fldChar w:fldCharType="end"/>
            </w:r>
          </w:hyperlink>
        </w:p>
        <w:p w14:paraId="4E078223" w14:textId="77777777" w:rsidR="00F50C7E" w:rsidRDefault="00F50C7E">
          <w:pPr>
            <w:pStyle w:val="TOC3"/>
            <w:tabs>
              <w:tab w:val="left" w:pos="1575"/>
            </w:tabs>
            <w:rPr>
              <w:rFonts w:asciiTheme="minorHAnsi" w:eastAsiaTheme="minorEastAsia" w:hAnsiTheme="minorHAnsi" w:cstheme="minorBidi"/>
              <w:noProof/>
              <w:lang w:eastAsia="en-AU"/>
            </w:rPr>
          </w:pPr>
          <w:hyperlink w:anchor="_Toc490579708" w:history="1">
            <w:r w:rsidRPr="003E5E97">
              <w:rPr>
                <w:rStyle w:val="Hyperlink"/>
                <w:noProof/>
              </w:rPr>
              <w:t>1.2.</w:t>
            </w:r>
            <w:r>
              <w:rPr>
                <w:rFonts w:asciiTheme="minorHAnsi" w:eastAsiaTheme="minorEastAsia" w:hAnsiTheme="minorHAnsi" w:cstheme="minorBidi"/>
                <w:noProof/>
                <w:lang w:eastAsia="en-AU"/>
              </w:rPr>
              <w:tab/>
            </w:r>
            <w:r w:rsidRPr="003E5E97">
              <w:rPr>
                <w:rStyle w:val="Hyperlink"/>
                <w:noProof/>
              </w:rPr>
              <w:t>Dosage, administration and proposed indications</w:t>
            </w:r>
            <w:r>
              <w:rPr>
                <w:noProof/>
                <w:webHidden/>
              </w:rPr>
              <w:tab/>
            </w:r>
            <w:r>
              <w:rPr>
                <w:noProof/>
                <w:webHidden/>
              </w:rPr>
              <w:fldChar w:fldCharType="begin"/>
            </w:r>
            <w:r>
              <w:rPr>
                <w:noProof/>
                <w:webHidden/>
              </w:rPr>
              <w:instrText xml:space="preserve"> PAGEREF _Toc490579708 \h </w:instrText>
            </w:r>
            <w:r>
              <w:rPr>
                <w:noProof/>
                <w:webHidden/>
              </w:rPr>
            </w:r>
            <w:r>
              <w:rPr>
                <w:noProof/>
                <w:webHidden/>
              </w:rPr>
              <w:fldChar w:fldCharType="separate"/>
            </w:r>
            <w:r>
              <w:rPr>
                <w:noProof/>
                <w:webHidden/>
              </w:rPr>
              <w:t>7</w:t>
            </w:r>
            <w:r>
              <w:rPr>
                <w:noProof/>
                <w:webHidden/>
              </w:rPr>
              <w:fldChar w:fldCharType="end"/>
            </w:r>
          </w:hyperlink>
        </w:p>
        <w:p w14:paraId="11185362" w14:textId="77777777" w:rsidR="00F50C7E" w:rsidRDefault="00F50C7E">
          <w:pPr>
            <w:pStyle w:val="TOC2"/>
            <w:tabs>
              <w:tab w:val="left" w:pos="1247"/>
            </w:tabs>
            <w:rPr>
              <w:rFonts w:asciiTheme="minorHAnsi" w:eastAsiaTheme="minorEastAsia" w:hAnsiTheme="minorHAnsi" w:cstheme="minorBidi"/>
              <w:b w:val="0"/>
              <w:noProof/>
              <w:sz w:val="22"/>
              <w:lang w:eastAsia="en-AU"/>
            </w:rPr>
          </w:pPr>
          <w:hyperlink w:anchor="_Toc490579709" w:history="1">
            <w:r w:rsidRPr="003E5E97">
              <w:rPr>
                <w:rStyle w:val="Hyperlink"/>
                <w:noProof/>
              </w:rPr>
              <w:t>2.</w:t>
            </w:r>
            <w:r>
              <w:rPr>
                <w:rFonts w:asciiTheme="minorHAnsi" w:eastAsiaTheme="minorEastAsia" w:hAnsiTheme="minorHAnsi" w:cstheme="minorBidi"/>
                <w:b w:val="0"/>
                <w:noProof/>
                <w:sz w:val="22"/>
                <w:lang w:eastAsia="en-AU"/>
              </w:rPr>
              <w:tab/>
            </w:r>
            <w:r w:rsidRPr="003E5E97">
              <w:rPr>
                <w:rStyle w:val="Hyperlink"/>
                <w:noProof/>
              </w:rPr>
              <w:t>Clinical rationale</w:t>
            </w:r>
            <w:r>
              <w:rPr>
                <w:noProof/>
                <w:webHidden/>
              </w:rPr>
              <w:tab/>
            </w:r>
            <w:r>
              <w:rPr>
                <w:noProof/>
                <w:webHidden/>
              </w:rPr>
              <w:fldChar w:fldCharType="begin"/>
            </w:r>
            <w:r>
              <w:rPr>
                <w:noProof/>
                <w:webHidden/>
              </w:rPr>
              <w:instrText xml:space="preserve"> PAGEREF _Toc490579709 \h </w:instrText>
            </w:r>
            <w:r>
              <w:rPr>
                <w:noProof/>
                <w:webHidden/>
              </w:rPr>
            </w:r>
            <w:r>
              <w:rPr>
                <w:noProof/>
                <w:webHidden/>
              </w:rPr>
              <w:fldChar w:fldCharType="separate"/>
            </w:r>
            <w:r>
              <w:rPr>
                <w:noProof/>
                <w:webHidden/>
              </w:rPr>
              <w:t>7</w:t>
            </w:r>
            <w:r>
              <w:rPr>
                <w:noProof/>
                <w:webHidden/>
              </w:rPr>
              <w:fldChar w:fldCharType="end"/>
            </w:r>
          </w:hyperlink>
        </w:p>
        <w:p w14:paraId="6D4381D5" w14:textId="77777777" w:rsidR="00F50C7E" w:rsidRDefault="002932ED">
          <w:pPr>
            <w:pStyle w:val="TOC3"/>
            <w:tabs>
              <w:tab w:val="left" w:pos="1575"/>
            </w:tabs>
            <w:rPr>
              <w:rFonts w:asciiTheme="minorHAnsi" w:eastAsiaTheme="minorEastAsia" w:hAnsiTheme="minorHAnsi" w:cstheme="minorBidi"/>
              <w:noProof/>
              <w:lang w:eastAsia="en-AU"/>
            </w:rPr>
          </w:pPr>
          <w:hyperlink w:anchor="_Toc490579710" w:history="1">
            <w:r w:rsidR="00F50C7E" w:rsidRPr="003E5E97">
              <w:rPr>
                <w:rStyle w:val="Hyperlink"/>
                <w:noProof/>
              </w:rPr>
              <w:t>2.1.</w:t>
            </w:r>
            <w:r w:rsidR="00F50C7E">
              <w:rPr>
                <w:rFonts w:asciiTheme="minorHAnsi" w:eastAsiaTheme="minorEastAsia" w:hAnsiTheme="minorHAnsi" w:cstheme="minorBidi"/>
                <w:noProof/>
                <w:lang w:eastAsia="en-AU"/>
              </w:rPr>
              <w:tab/>
            </w:r>
            <w:r w:rsidR="00F50C7E" w:rsidRPr="003E5E97">
              <w:rPr>
                <w:rStyle w:val="Hyperlink"/>
                <w:noProof/>
              </w:rPr>
              <w:t>Formulation development</w:t>
            </w:r>
            <w:r w:rsidR="00F50C7E">
              <w:rPr>
                <w:noProof/>
                <w:webHidden/>
              </w:rPr>
              <w:tab/>
            </w:r>
            <w:r w:rsidR="00F50C7E">
              <w:rPr>
                <w:noProof/>
                <w:webHidden/>
              </w:rPr>
              <w:fldChar w:fldCharType="begin"/>
            </w:r>
            <w:r w:rsidR="00F50C7E">
              <w:rPr>
                <w:noProof/>
                <w:webHidden/>
              </w:rPr>
              <w:instrText xml:space="preserve"> PAGEREF _Toc490579710 \h </w:instrText>
            </w:r>
            <w:r w:rsidR="00F50C7E">
              <w:rPr>
                <w:noProof/>
                <w:webHidden/>
              </w:rPr>
            </w:r>
            <w:r w:rsidR="00F50C7E">
              <w:rPr>
                <w:noProof/>
                <w:webHidden/>
              </w:rPr>
              <w:fldChar w:fldCharType="separate"/>
            </w:r>
            <w:r w:rsidR="00F50C7E">
              <w:rPr>
                <w:noProof/>
                <w:webHidden/>
              </w:rPr>
              <w:t>9</w:t>
            </w:r>
            <w:r w:rsidR="00F50C7E">
              <w:rPr>
                <w:noProof/>
                <w:webHidden/>
              </w:rPr>
              <w:fldChar w:fldCharType="end"/>
            </w:r>
          </w:hyperlink>
        </w:p>
        <w:p w14:paraId="51D8C12A" w14:textId="77777777" w:rsidR="00F50C7E" w:rsidRDefault="002932ED">
          <w:pPr>
            <w:pStyle w:val="TOC3"/>
            <w:tabs>
              <w:tab w:val="left" w:pos="1575"/>
            </w:tabs>
            <w:rPr>
              <w:rFonts w:asciiTheme="minorHAnsi" w:eastAsiaTheme="minorEastAsia" w:hAnsiTheme="minorHAnsi" w:cstheme="minorBidi"/>
              <w:noProof/>
              <w:lang w:eastAsia="en-AU"/>
            </w:rPr>
          </w:pPr>
          <w:hyperlink w:anchor="_Toc490579711" w:history="1">
            <w:r w:rsidR="00F50C7E" w:rsidRPr="003E5E97">
              <w:rPr>
                <w:rStyle w:val="Hyperlink"/>
                <w:noProof/>
              </w:rPr>
              <w:t>2.2.</w:t>
            </w:r>
            <w:r w:rsidR="00F50C7E">
              <w:rPr>
                <w:rFonts w:asciiTheme="minorHAnsi" w:eastAsiaTheme="minorEastAsia" w:hAnsiTheme="minorHAnsi" w:cstheme="minorBidi"/>
                <w:noProof/>
                <w:lang w:eastAsia="en-AU"/>
              </w:rPr>
              <w:tab/>
            </w:r>
            <w:r w:rsidR="00F50C7E" w:rsidRPr="003E5E97">
              <w:rPr>
                <w:rStyle w:val="Hyperlink"/>
                <w:noProof/>
              </w:rPr>
              <w:t>Guidance</w:t>
            </w:r>
            <w:r w:rsidR="00F50C7E">
              <w:rPr>
                <w:noProof/>
                <w:webHidden/>
              </w:rPr>
              <w:tab/>
            </w:r>
            <w:r w:rsidR="00F50C7E">
              <w:rPr>
                <w:noProof/>
                <w:webHidden/>
              </w:rPr>
              <w:fldChar w:fldCharType="begin"/>
            </w:r>
            <w:r w:rsidR="00F50C7E">
              <w:rPr>
                <w:noProof/>
                <w:webHidden/>
              </w:rPr>
              <w:instrText xml:space="preserve"> PAGEREF _Toc490579711 \h </w:instrText>
            </w:r>
            <w:r w:rsidR="00F50C7E">
              <w:rPr>
                <w:noProof/>
                <w:webHidden/>
              </w:rPr>
            </w:r>
            <w:r w:rsidR="00F50C7E">
              <w:rPr>
                <w:noProof/>
                <w:webHidden/>
              </w:rPr>
              <w:fldChar w:fldCharType="separate"/>
            </w:r>
            <w:r w:rsidR="00F50C7E">
              <w:rPr>
                <w:noProof/>
                <w:webHidden/>
              </w:rPr>
              <w:t>10</w:t>
            </w:r>
            <w:r w:rsidR="00F50C7E">
              <w:rPr>
                <w:noProof/>
                <w:webHidden/>
              </w:rPr>
              <w:fldChar w:fldCharType="end"/>
            </w:r>
          </w:hyperlink>
        </w:p>
        <w:p w14:paraId="03773A9C" w14:textId="77777777" w:rsidR="00F50C7E" w:rsidRDefault="002932ED">
          <w:pPr>
            <w:pStyle w:val="TOC2"/>
            <w:tabs>
              <w:tab w:val="left" w:pos="1247"/>
            </w:tabs>
            <w:rPr>
              <w:rFonts w:asciiTheme="minorHAnsi" w:eastAsiaTheme="minorEastAsia" w:hAnsiTheme="minorHAnsi" w:cstheme="minorBidi"/>
              <w:b w:val="0"/>
              <w:noProof/>
              <w:sz w:val="22"/>
              <w:lang w:eastAsia="en-AU"/>
            </w:rPr>
          </w:pPr>
          <w:hyperlink w:anchor="_Toc490579712" w:history="1">
            <w:r w:rsidR="00F50C7E" w:rsidRPr="003E5E97">
              <w:rPr>
                <w:rStyle w:val="Hyperlink"/>
                <w:noProof/>
                <w:lang w:eastAsia="en-AU"/>
              </w:rPr>
              <w:t>3.</w:t>
            </w:r>
            <w:r w:rsidR="00F50C7E">
              <w:rPr>
                <w:rFonts w:asciiTheme="minorHAnsi" w:eastAsiaTheme="minorEastAsia" w:hAnsiTheme="minorHAnsi" w:cstheme="minorBidi"/>
                <w:b w:val="0"/>
                <w:noProof/>
                <w:sz w:val="22"/>
                <w:lang w:eastAsia="en-AU"/>
              </w:rPr>
              <w:tab/>
            </w:r>
            <w:r w:rsidR="00F50C7E" w:rsidRPr="003E5E97">
              <w:rPr>
                <w:rStyle w:val="Hyperlink"/>
                <w:noProof/>
                <w:lang w:eastAsia="en-AU"/>
              </w:rPr>
              <w:t>Contents of the clinical dossier</w:t>
            </w:r>
            <w:r w:rsidR="00F50C7E">
              <w:rPr>
                <w:noProof/>
                <w:webHidden/>
              </w:rPr>
              <w:tab/>
            </w:r>
            <w:r w:rsidR="00F50C7E">
              <w:rPr>
                <w:noProof/>
                <w:webHidden/>
              </w:rPr>
              <w:fldChar w:fldCharType="begin"/>
            </w:r>
            <w:r w:rsidR="00F50C7E">
              <w:rPr>
                <w:noProof/>
                <w:webHidden/>
              </w:rPr>
              <w:instrText xml:space="preserve"> PAGEREF _Toc490579712 \h </w:instrText>
            </w:r>
            <w:r w:rsidR="00F50C7E">
              <w:rPr>
                <w:noProof/>
                <w:webHidden/>
              </w:rPr>
            </w:r>
            <w:r w:rsidR="00F50C7E">
              <w:rPr>
                <w:noProof/>
                <w:webHidden/>
              </w:rPr>
              <w:fldChar w:fldCharType="separate"/>
            </w:r>
            <w:r w:rsidR="00F50C7E">
              <w:rPr>
                <w:noProof/>
                <w:webHidden/>
              </w:rPr>
              <w:t>10</w:t>
            </w:r>
            <w:r w:rsidR="00F50C7E">
              <w:rPr>
                <w:noProof/>
                <w:webHidden/>
              </w:rPr>
              <w:fldChar w:fldCharType="end"/>
            </w:r>
          </w:hyperlink>
        </w:p>
        <w:p w14:paraId="101017B1" w14:textId="77777777" w:rsidR="00F50C7E" w:rsidRDefault="002932ED">
          <w:pPr>
            <w:pStyle w:val="TOC3"/>
            <w:tabs>
              <w:tab w:val="left" w:pos="1575"/>
            </w:tabs>
            <w:rPr>
              <w:rFonts w:asciiTheme="minorHAnsi" w:eastAsiaTheme="minorEastAsia" w:hAnsiTheme="minorHAnsi" w:cstheme="minorBidi"/>
              <w:noProof/>
              <w:lang w:eastAsia="en-AU"/>
            </w:rPr>
          </w:pPr>
          <w:hyperlink w:anchor="_Toc490579713" w:history="1">
            <w:r w:rsidR="00F50C7E" w:rsidRPr="003E5E97">
              <w:rPr>
                <w:rStyle w:val="Hyperlink"/>
                <w:noProof/>
              </w:rPr>
              <w:t>3.1.</w:t>
            </w:r>
            <w:r w:rsidR="00F50C7E">
              <w:rPr>
                <w:rFonts w:asciiTheme="minorHAnsi" w:eastAsiaTheme="minorEastAsia" w:hAnsiTheme="minorHAnsi" w:cstheme="minorBidi"/>
                <w:noProof/>
                <w:lang w:eastAsia="en-AU"/>
              </w:rPr>
              <w:tab/>
            </w:r>
            <w:r w:rsidR="00F50C7E" w:rsidRPr="003E5E97">
              <w:rPr>
                <w:rStyle w:val="Hyperlink"/>
                <w:noProof/>
              </w:rPr>
              <w:t>Scope of the clinical dossier</w:t>
            </w:r>
            <w:r w:rsidR="00F50C7E">
              <w:rPr>
                <w:noProof/>
                <w:webHidden/>
              </w:rPr>
              <w:tab/>
            </w:r>
            <w:r w:rsidR="00F50C7E">
              <w:rPr>
                <w:noProof/>
                <w:webHidden/>
              </w:rPr>
              <w:fldChar w:fldCharType="begin"/>
            </w:r>
            <w:r w:rsidR="00F50C7E">
              <w:rPr>
                <w:noProof/>
                <w:webHidden/>
              </w:rPr>
              <w:instrText xml:space="preserve"> PAGEREF _Toc490579713 \h </w:instrText>
            </w:r>
            <w:r w:rsidR="00F50C7E">
              <w:rPr>
                <w:noProof/>
                <w:webHidden/>
              </w:rPr>
            </w:r>
            <w:r w:rsidR="00F50C7E">
              <w:rPr>
                <w:noProof/>
                <w:webHidden/>
              </w:rPr>
              <w:fldChar w:fldCharType="separate"/>
            </w:r>
            <w:r w:rsidR="00F50C7E">
              <w:rPr>
                <w:noProof/>
                <w:webHidden/>
              </w:rPr>
              <w:t>10</w:t>
            </w:r>
            <w:r w:rsidR="00F50C7E">
              <w:rPr>
                <w:noProof/>
                <w:webHidden/>
              </w:rPr>
              <w:fldChar w:fldCharType="end"/>
            </w:r>
          </w:hyperlink>
        </w:p>
        <w:p w14:paraId="54698A6F" w14:textId="77777777" w:rsidR="00F50C7E" w:rsidRDefault="002932ED">
          <w:pPr>
            <w:pStyle w:val="TOC3"/>
            <w:tabs>
              <w:tab w:val="left" w:pos="1575"/>
            </w:tabs>
            <w:rPr>
              <w:rFonts w:asciiTheme="minorHAnsi" w:eastAsiaTheme="minorEastAsia" w:hAnsiTheme="minorHAnsi" w:cstheme="minorBidi"/>
              <w:noProof/>
              <w:lang w:eastAsia="en-AU"/>
            </w:rPr>
          </w:pPr>
          <w:hyperlink w:anchor="_Toc490579714" w:history="1">
            <w:r w:rsidR="00F50C7E" w:rsidRPr="003E5E97">
              <w:rPr>
                <w:rStyle w:val="Hyperlink"/>
                <w:noProof/>
              </w:rPr>
              <w:t>3.2.</w:t>
            </w:r>
            <w:r w:rsidR="00F50C7E">
              <w:rPr>
                <w:rFonts w:asciiTheme="minorHAnsi" w:eastAsiaTheme="minorEastAsia" w:hAnsiTheme="minorHAnsi" w:cstheme="minorBidi"/>
                <w:noProof/>
                <w:lang w:eastAsia="en-AU"/>
              </w:rPr>
              <w:tab/>
            </w:r>
            <w:r w:rsidR="00F50C7E" w:rsidRPr="003E5E97">
              <w:rPr>
                <w:rStyle w:val="Hyperlink"/>
                <w:noProof/>
              </w:rPr>
              <w:t>Paediatric data</w:t>
            </w:r>
            <w:r w:rsidR="00F50C7E">
              <w:rPr>
                <w:noProof/>
                <w:webHidden/>
              </w:rPr>
              <w:tab/>
            </w:r>
            <w:r w:rsidR="00F50C7E">
              <w:rPr>
                <w:noProof/>
                <w:webHidden/>
              </w:rPr>
              <w:fldChar w:fldCharType="begin"/>
            </w:r>
            <w:r w:rsidR="00F50C7E">
              <w:rPr>
                <w:noProof/>
                <w:webHidden/>
              </w:rPr>
              <w:instrText xml:space="preserve"> PAGEREF _Toc490579714 \h </w:instrText>
            </w:r>
            <w:r w:rsidR="00F50C7E">
              <w:rPr>
                <w:noProof/>
                <w:webHidden/>
              </w:rPr>
            </w:r>
            <w:r w:rsidR="00F50C7E">
              <w:rPr>
                <w:noProof/>
                <w:webHidden/>
              </w:rPr>
              <w:fldChar w:fldCharType="separate"/>
            </w:r>
            <w:r w:rsidR="00F50C7E">
              <w:rPr>
                <w:noProof/>
                <w:webHidden/>
              </w:rPr>
              <w:t>10</w:t>
            </w:r>
            <w:r w:rsidR="00F50C7E">
              <w:rPr>
                <w:noProof/>
                <w:webHidden/>
              </w:rPr>
              <w:fldChar w:fldCharType="end"/>
            </w:r>
          </w:hyperlink>
        </w:p>
        <w:p w14:paraId="6FF0B9CF" w14:textId="77777777" w:rsidR="00F50C7E" w:rsidRDefault="002932ED">
          <w:pPr>
            <w:pStyle w:val="TOC3"/>
            <w:tabs>
              <w:tab w:val="left" w:pos="1575"/>
            </w:tabs>
            <w:rPr>
              <w:rFonts w:asciiTheme="minorHAnsi" w:eastAsiaTheme="minorEastAsia" w:hAnsiTheme="minorHAnsi" w:cstheme="minorBidi"/>
              <w:noProof/>
              <w:lang w:eastAsia="en-AU"/>
            </w:rPr>
          </w:pPr>
          <w:hyperlink w:anchor="_Toc490579715" w:history="1">
            <w:r w:rsidR="00F50C7E" w:rsidRPr="003E5E97">
              <w:rPr>
                <w:rStyle w:val="Hyperlink"/>
                <w:noProof/>
              </w:rPr>
              <w:t>3.3.</w:t>
            </w:r>
            <w:r w:rsidR="00F50C7E">
              <w:rPr>
                <w:rFonts w:asciiTheme="minorHAnsi" w:eastAsiaTheme="minorEastAsia" w:hAnsiTheme="minorHAnsi" w:cstheme="minorBidi"/>
                <w:noProof/>
                <w:lang w:eastAsia="en-AU"/>
              </w:rPr>
              <w:tab/>
            </w:r>
            <w:r w:rsidR="00F50C7E" w:rsidRPr="003E5E97">
              <w:rPr>
                <w:rStyle w:val="Hyperlink"/>
                <w:noProof/>
              </w:rPr>
              <w:t>Good clinical practice</w:t>
            </w:r>
            <w:r w:rsidR="00F50C7E">
              <w:rPr>
                <w:noProof/>
                <w:webHidden/>
              </w:rPr>
              <w:tab/>
            </w:r>
            <w:r w:rsidR="00F50C7E">
              <w:rPr>
                <w:noProof/>
                <w:webHidden/>
              </w:rPr>
              <w:fldChar w:fldCharType="begin"/>
            </w:r>
            <w:r w:rsidR="00F50C7E">
              <w:rPr>
                <w:noProof/>
                <w:webHidden/>
              </w:rPr>
              <w:instrText xml:space="preserve"> PAGEREF _Toc490579715 \h </w:instrText>
            </w:r>
            <w:r w:rsidR="00F50C7E">
              <w:rPr>
                <w:noProof/>
                <w:webHidden/>
              </w:rPr>
            </w:r>
            <w:r w:rsidR="00F50C7E">
              <w:rPr>
                <w:noProof/>
                <w:webHidden/>
              </w:rPr>
              <w:fldChar w:fldCharType="separate"/>
            </w:r>
            <w:r w:rsidR="00F50C7E">
              <w:rPr>
                <w:noProof/>
                <w:webHidden/>
              </w:rPr>
              <w:t>11</w:t>
            </w:r>
            <w:r w:rsidR="00F50C7E">
              <w:rPr>
                <w:noProof/>
                <w:webHidden/>
              </w:rPr>
              <w:fldChar w:fldCharType="end"/>
            </w:r>
          </w:hyperlink>
        </w:p>
        <w:p w14:paraId="01153336" w14:textId="77777777" w:rsidR="00F50C7E" w:rsidRDefault="002932ED">
          <w:pPr>
            <w:pStyle w:val="TOC2"/>
            <w:tabs>
              <w:tab w:val="left" w:pos="1247"/>
            </w:tabs>
            <w:rPr>
              <w:rFonts w:asciiTheme="minorHAnsi" w:eastAsiaTheme="minorEastAsia" w:hAnsiTheme="minorHAnsi" w:cstheme="minorBidi"/>
              <w:b w:val="0"/>
              <w:noProof/>
              <w:sz w:val="22"/>
              <w:lang w:eastAsia="en-AU"/>
            </w:rPr>
          </w:pPr>
          <w:hyperlink w:anchor="_Toc490579716" w:history="1">
            <w:r w:rsidR="00F50C7E" w:rsidRPr="003E5E97">
              <w:rPr>
                <w:rStyle w:val="Hyperlink"/>
                <w:noProof/>
              </w:rPr>
              <w:t>4.</w:t>
            </w:r>
            <w:r w:rsidR="00F50C7E">
              <w:rPr>
                <w:rFonts w:asciiTheme="minorHAnsi" w:eastAsiaTheme="minorEastAsia" w:hAnsiTheme="minorHAnsi" w:cstheme="minorBidi"/>
                <w:b w:val="0"/>
                <w:noProof/>
                <w:sz w:val="22"/>
                <w:lang w:eastAsia="en-AU"/>
              </w:rPr>
              <w:tab/>
            </w:r>
            <w:r w:rsidR="00F50C7E" w:rsidRPr="003E5E97">
              <w:rPr>
                <w:rStyle w:val="Hyperlink"/>
                <w:noProof/>
              </w:rPr>
              <w:t>Pharmacokinetics</w:t>
            </w:r>
            <w:r w:rsidR="00F50C7E">
              <w:rPr>
                <w:noProof/>
                <w:webHidden/>
              </w:rPr>
              <w:tab/>
            </w:r>
            <w:r w:rsidR="00F50C7E">
              <w:rPr>
                <w:noProof/>
                <w:webHidden/>
              </w:rPr>
              <w:fldChar w:fldCharType="begin"/>
            </w:r>
            <w:r w:rsidR="00F50C7E">
              <w:rPr>
                <w:noProof/>
                <w:webHidden/>
              </w:rPr>
              <w:instrText xml:space="preserve"> PAGEREF _Toc490579716 \h </w:instrText>
            </w:r>
            <w:r w:rsidR="00F50C7E">
              <w:rPr>
                <w:noProof/>
                <w:webHidden/>
              </w:rPr>
            </w:r>
            <w:r w:rsidR="00F50C7E">
              <w:rPr>
                <w:noProof/>
                <w:webHidden/>
              </w:rPr>
              <w:fldChar w:fldCharType="separate"/>
            </w:r>
            <w:r w:rsidR="00F50C7E">
              <w:rPr>
                <w:noProof/>
                <w:webHidden/>
              </w:rPr>
              <w:t>11</w:t>
            </w:r>
            <w:r w:rsidR="00F50C7E">
              <w:rPr>
                <w:noProof/>
                <w:webHidden/>
              </w:rPr>
              <w:fldChar w:fldCharType="end"/>
            </w:r>
          </w:hyperlink>
        </w:p>
        <w:p w14:paraId="255A5F95" w14:textId="77777777" w:rsidR="00F50C7E" w:rsidRDefault="002932ED">
          <w:pPr>
            <w:pStyle w:val="TOC2"/>
            <w:tabs>
              <w:tab w:val="left" w:pos="1247"/>
            </w:tabs>
            <w:rPr>
              <w:rFonts w:asciiTheme="minorHAnsi" w:eastAsiaTheme="minorEastAsia" w:hAnsiTheme="minorHAnsi" w:cstheme="minorBidi"/>
              <w:b w:val="0"/>
              <w:noProof/>
              <w:sz w:val="22"/>
              <w:lang w:eastAsia="en-AU"/>
            </w:rPr>
          </w:pPr>
          <w:hyperlink w:anchor="_Toc490579717" w:history="1">
            <w:r w:rsidR="00F50C7E" w:rsidRPr="003E5E97">
              <w:rPr>
                <w:rStyle w:val="Hyperlink"/>
                <w:noProof/>
              </w:rPr>
              <w:t>5.</w:t>
            </w:r>
            <w:r w:rsidR="00F50C7E">
              <w:rPr>
                <w:rFonts w:asciiTheme="minorHAnsi" w:eastAsiaTheme="minorEastAsia" w:hAnsiTheme="minorHAnsi" w:cstheme="minorBidi"/>
                <w:b w:val="0"/>
                <w:noProof/>
                <w:sz w:val="22"/>
                <w:lang w:eastAsia="en-AU"/>
              </w:rPr>
              <w:tab/>
            </w:r>
            <w:r w:rsidR="00F50C7E" w:rsidRPr="003E5E97">
              <w:rPr>
                <w:rStyle w:val="Hyperlink"/>
                <w:noProof/>
              </w:rPr>
              <w:t>Immunogenicity</w:t>
            </w:r>
            <w:r w:rsidR="00F50C7E">
              <w:rPr>
                <w:noProof/>
                <w:webHidden/>
              </w:rPr>
              <w:tab/>
            </w:r>
            <w:r w:rsidR="00F50C7E">
              <w:rPr>
                <w:noProof/>
                <w:webHidden/>
              </w:rPr>
              <w:fldChar w:fldCharType="begin"/>
            </w:r>
            <w:r w:rsidR="00F50C7E">
              <w:rPr>
                <w:noProof/>
                <w:webHidden/>
              </w:rPr>
              <w:instrText xml:space="preserve"> PAGEREF _Toc490579717 \h </w:instrText>
            </w:r>
            <w:r w:rsidR="00F50C7E">
              <w:rPr>
                <w:noProof/>
                <w:webHidden/>
              </w:rPr>
            </w:r>
            <w:r w:rsidR="00F50C7E">
              <w:rPr>
                <w:noProof/>
                <w:webHidden/>
              </w:rPr>
              <w:fldChar w:fldCharType="separate"/>
            </w:r>
            <w:r w:rsidR="00F50C7E">
              <w:rPr>
                <w:noProof/>
                <w:webHidden/>
              </w:rPr>
              <w:t>12</w:t>
            </w:r>
            <w:r w:rsidR="00F50C7E">
              <w:rPr>
                <w:noProof/>
                <w:webHidden/>
              </w:rPr>
              <w:fldChar w:fldCharType="end"/>
            </w:r>
          </w:hyperlink>
        </w:p>
        <w:p w14:paraId="17119D1E" w14:textId="77777777" w:rsidR="00F50C7E" w:rsidRDefault="002932ED">
          <w:pPr>
            <w:pStyle w:val="TOC3"/>
            <w:tabs>
              <w:tab w:val="left" w:pos="1575"/>
            </w:tabs>
            <w:rPr>
              <w:rFonts w:asciiTheme="minorHAnsi" w:eastAsiaTheme="minorEastAsia" w:hAnsiTheme="minorHAnsi" w:cstheme="minorBidi"/>
              <w:noProof/>
              <w:lang w:eastAsia="en-AU"/>
            </w:rPr>
          </w:pPr>
          <w:hyperlink w:anchor="_Toc490579718" w:history="1">
            <w:r w:rsidR="00F50C7E" w:rsidRPr="003E5E97">
              <w:rPr>
                <w:rStyle w:val="Hyperlink"/>
                <w:noProof/>
              </w:rPr>
              <w:t>5.1.</w:t>
            </w:r>
            <w:r w:rsidR="00F50C7E">
              <w:rPr>
                <w:rFonts w:asciiTheme="minorHAnsi" w:eastAsiaTheme="minorEastAsia" w:hAnsiTheme="minorHAnsi" w:cstheme="minorBidi"/>
                <w:noProof/>
                <w:lang w:eastAsia="en-AU"/>
              </w:rPr>
              <w:tab/>
            </w:r>
            <w:r w:rsidR="00F50C7E" w:rsidRPr="003E5E97">
              <w:rPr>
                <w:rStyle w:val="Hyperlink"/>
                <w:noProof/>
              </w:rPr>
              <w:t>Studies providing immunogenicity data</w:t>
            </w:r>
            <w:r w:rsidR="00F50C7E">
              <w:rPr>
                <w:noProof/>
                <w:webHidden/>
              </w:rPr>
              <w:tab/>
            </w:r>
            <w:r w:rsidR="00F50C7E">
              <w:rPr>
                <w:noProof/>
                <w:webHidden/>
              </w:rPr>
              <w:fldChar w:fldCharType="begin"/>
            </w:r>
            <w:r w:rsidR="00F50C7E">
              <w:rPr>
                <w:noProof/>
                <w:webHidden/>
              </w:rPr>
              <w:instrText xml:space="preserve"> PAGEREF _Toc490579718 \h </w:instrText>
            </w:r>
            <w:r w:rsidR="00F50C7E">
              <w:rPr>
                <w:noProof/>
                <w:webHidden/>
              </w:rPr>
            </w:r>
            <w:r w:rsidR="00F50C7E">
              <w:rPr>
                <w:noProof/>
                <w:webHidden/>
              </w:rPr>
              <w:fldChar w:fldCharType="separate"/>
            </w:r>
            <w:r w:rsidR="00F50C7E">
              <w:rPr>
                <w:noProof/>
                <w:webHidden/>
              </w:rPr>
              <w:t>12</w:t>
            </w:r>
            <w:r w:rsidR="00F50C7E">
              <w:rPr>
                <w:noProof/>
                <w:webHidden/>
              </w:rPr>
              <w:fldChar w:fldCharType="end"/>
            </w:r>
          </w:hyperlink>
        </w:p>
        <w:p w14:paraId="19C5398B" w14:textId="77777777" w:rsidR="00F50C7E" w:rsidRDefault="002932ED">
          <w:pPr>
            <w:pStyle w:val="TOC2"/>
            <w:tabs>
              <w:tab w:val="left" w:pos="1247"/>
            </w:tabs>
            <w:rPr>
              <w:rFonts w:asciiTheme="minorHAnsi" w:eastAsiaTheme="minorEastAsia" w:hAnsiTheme="minorHAnsi" w:cstheme="minorBidi"/>
              <w:b w:val="0"/>
              <w:noProof/>
              <w:sz w:val="22"/>
              <w:lang w:eastAsia="en-AU"/>
            </w:rPr>
          </w:pPr>
          <w:hyperlink w:anchor="_Toc490579719" w:history="1">
            <w:r w:rsidR="00F50C7E" w:rsidRPr="003E5E97">
              <w:rPr>
                <w:rStyle w:val="Hyperlink"/>
                <w:noProof/>
              </w:rPr>
              <w:t>6.</w:t>
            </w:r>
            <w:r w:rsidR="00F50C7E">
              <w:rPr>
                <w:rFonts w:asciiTheme="minorHAnsi" w:eastAsiaTheme="minorEastAsia" w:hAnsiTheme="minorHAnsi" w:cstheme="minorBidi"/>
                <w:b w:val="0"/>
                <w:noProof/>
                <w:sz w:val="22"/>
                <w:lang w:eastAsia="en-AU"/>
              </w:rPr>
              <w:tab/>
            </w:r>
            <w:r w:rsidR="00F50C7E" w:rsidRPr="003E5E97">
              <w:rPr>
                <w:rStyle w:val="Hyperlink"/>
                <w:noProof/>
              </w:rPr>
              <w:t>Dosage selection for the pivotal studies</w:t>
            </w:r>
            <w:r w:rsidR="00F50C7E">
              <w:rPr>
                <w:noProof/>
                <w:webHidden/>
              </w:rPr>
              <w:tab/>
            </w:r>
            <w:r w:rsidR="00F50C7E">
              <w:rPr>
                <w:noProof/>
                <w:webHidden/>
              </w:rPr>
              <w:fldChar w:fldCharType="begin"/>
            </w:r>
            <w:r w:rsidR="00F50C7E">
              <w:rPr>
                <w:noProof/>
                <w:webHidden/>
              </w:rPr>
              <w:instrText xml:space="preserve"> PAGEREF _Toc490579719 \h </w:instrText>
            </w:r>
            <w:r w:rsidR="00F50C7E">
              <w:rPr>
                <w:noProof/>
                <w:webHidden/>
              </w:rPr>
            </w:r>
            <w:r w:rsidR="00F50C7E">
              <w:rPr>
                <w:noProof/>
                <w:webHidden/>
              </w:rPr>
              <w:fldChar w:fldCharType="separate"/>
            </w:r>
            <w:r w:rsidR="00F50C7E">
              <w:rPr>
                <w:noProof/>
                <w:webHidden/>
              </w:rPr>
              <w:t>12</w:t>
            </w:r>
            <w:r w:rsidR="00F50C7E">
              <w:rPr>
                <w:noProof/>
                <w:webHidden/>
              </w:rPr>
              <w:fldChar w:fldCharType="end"/>
            </w:r>
          </w:hyperlink>
        </w:p>
        <w:p w14:paraId="3E3D36B7" w14:textId="77777777" w:rsidR="00F50C7E" w:rsidRDefault="002932ED">
          <w:pPr>
            <w:pStyle w:val="TOC2"/>
            <w:tabs>
              <w:tab w:val="left" w:pos="1247"/>
            </w:tabs>
            <w:rPr>
              <w:rFonts w:asciiTheme="minorHAnsi" w:eastAsiaTheme="minorEastAsia" w:hAnsiTheme="minorHAnsi" w:cstheme="minorBidi"/>
              <w:b w:val="0"/>
              <w:noProof/>
              <w:sz w:val="22"/>
              <w:lang w:eastAsia="en-AU"/>
            </w:rPr>
          </w:pPr>
          <w:hyperlink w:anchor="_Toc490579720" w:history="1">
            <w:r w:rsidR="00F50C7E" w:rsidRPr="003E5E97">
              <w:rPr>
                <w:rStyle w:val="Hyperlink"/>
                <w:noProof/>
              </w:rPr>
              <w:t>7.</w:t>
            </w:r>
            <w:r w:rsidR="00F50C7E">
              <w:rPr>
                <w:rFonts w:asciiTheme="minorHAnsi" w:eastAsiaTheme="minorEastAsia" w:hAnsiTheme="minorHAnsi" w:cstheme="minorBidi"/>
                <w:b w:val="0"/>
                <w:noProof/>
                <w:sz w:val="22"/>
                <w:lang w:eastAsia="en-AU"/>
              </w:rPr>
              <w:tab/>
            </w:r>
            <w:r w:rsidR="00F50C7E" w:rsidRPr="003E5E97">
              <w:rPr>
                <w:rStyle w:val="Hyperlink"/>
                <w:noProof/>
              </w:rPr>
              <w:t>Clinical efficacy</w:t>
            </w:r>
            <w:r w:rsidR="00F50C7E">
              <w:rPr>
                <w:noProof/>
                <w:webHidden/>
              </w:rPr>
              <w:tab/>
            </w:r>
            <w:r w:rsidR="00F50C7E">
              <w:rPr>
                <w:noProof/>
                <w:webHidden/>
              </w:rPr>
              <w:fldChar w:fldCharType="begin"/>
            </w:r>
            <w:r w:rsidR="00F50C7E">
              <w:rPr>
                <w:noProof/>
                <w:webHidden/>
              </w:rPr>
              <w:instrText xml:space="preserve"> PAGEREF _Toc490579720 \h </w:instrText>
            </w:r>
            <w:r w:rsidR="00F50C7E">
              <w:rPr>
                <w:noProof/>
                <w:webHidden/>
              </w:rPr>
            </w:r>
            <w:r w:rsidR="00F50C7E">
              <w:rPr>
                <w:noProof/>
                <w:webHidden/>
              </w:rPr>
              <w:fldChar w:fldCharType="separate"/>
            </w:r>
            <w:r w:rsidR="00F50C7E">
              <w:rPr>
                <w:noProof/>
                <w:webHidden/>
              </w:rPr>
              <w:t>12</w:t>
            </w:r>
            <w:r w:rsidR="00F50C7E">
              <w:rPr>
                <w:noProof/>
                <w:webHidden/>
              </w:rPr>
              <w:fldChar w:fldCharType="end"/>
            </w:r>
          </w:hyperlink>
        </w:p>
        <w:p w14:paraId="4D68E8ED" w14:textId="77777777" w:rsidR="00F50C7E" w:rsidRDefault="002932ED">
          <w:pPr>
            <w:pStyle w:val="TOC3"/>
            <w:tabs>
              <w:tab w:val="left" w:pos="1575"/>
            </w:tabs>
            <w:rPr>
              <w:rFonts w:asciiTheme="minorHAnsi" w:eastAsiaTheme="minorEastAsia" w:hAnsiTheme="minorHAnsi" w:cstheme="minorBidi"/>
              <w:noProof/>
              <w:lang w:eastAsia="en-AU"/>
            </w:rPr>
          </w:pPr>
          <w:hyperlink w:anchor="_Toc490579721" w:history="1">
            <w:r w:rsidR="00F50C7E" w:rsidRPr="003E5E97">
              <w:rPr>
                <w:rStyle w:val="Hyperlink"/>
                <w:noProof/>
              </w:rPr>
              <w:t>7.1.</w:t>
            </w:r>
            <w:r w:rsidR="00F50C7E">
              <w:rPr>
                <w:rFonts w:asciiTheme="minorHAnsi" w:eastAsiaTheme="minorEastAsia" w:hAnsiTheme="minorHAnsi" w:cstheme="minorBidi"/>
                <w:noProof/>
                <w:lang w:eastAsia="en-AU"/>
              </w:rPr>
              <w:tab/>
            </w:r>
            <w:r w:rsidR="00F50C7E" w:rsidRPr="003E5E97">
              <w:rPr>
                <w:rStyle w:val="Hyperlink"/>
                <w:noProof/>
              </w:rPr>
              <w:t>Pivotal efficacy study</w:t>
            </w:r>
            <w:r w:rsidR="00F50C7E">
              <w:rPr>
                <w:noProof/>
                <w:webHidden/>
              </w:rPr>
              <w:tab/>
            </w:r>
            <w:r w:rsidR="00F50C7E">
              <w:rPr>
                <w:noProof/>
                <w:webHidden/>
              </w:rPr>
              <w:fldChar w:fldCharType="begin"/>
            </w:r>
            <w:r w:rsidR="00F50C7E">
              <w:rPr>
                <w:noProof/>
                <w:webHidden/>
              </w:rPr>
              <w:instrText xml:space="preserve"> PAGEREF _Toc490579721 \h </w:instrText>
            </w:r>
            <w:r w:rsidR="00F50C7E">
              <w:rPr>
                <w:noProof/>
                <w:webHidden/>
              </w:rPr>
            </w:r>
            <w:r w:rsidR="00F50C7E">
              <w:rPr>
                <w:noProof/>
                <w:webHidden/>
              </w:rPr>
              <w:fldChar w:fldCharType="separate"/>
            </w:r>
            <w:r w:rsidR="00F50C7E">
              <w:rPr>
                <w:noProof/>
                <w:webHidden/>
              </w:rPr>
              <w:t>12</w:t>
            </w:r>
            <w:r w:rsidR="00F50C7E">
              <w:rPr>
                <w:noProof/>
                <w:webHidden/>
              </w:rPr>
              <w:fldChar w:fldCharType="end"/>
            </w:r>
          </w:hyperlink>
        </w:p>
        <w:p w14:paraId="4CBCB78B" w14:textId="77777777" w:rsidR="00F50C7E" w:rsidRDefault="002932ED">
          <w:pPr>
            <w:pStyle w:val="TOC3"/>
            <w:tabs>
              <w:tab w:val="left" w:pos="1575"/>
            </w:tabs>
            <w:rPr>
              <w:rFonts w:asciiTheme="minorHAnsi" w:eastAsiaTheme="minorEastAsia" w:hAnsiTheme="minorHAnsi" w:cstheme="minorBidi"/>
              <w:noProof/>
              <w:lang w:eastAsia="en-AU"/>
            </w:rPr>
          </w:pPr>
          <w:hyperlink w:anchor="_Toc490579722" w:history="1">
            <w:r w:rsidR="00F50C7E" w:rsidRPr="003E5E97">
              <w:rPr>
                <w:rStyle w:val="Hyperlink"/>
                <w:noProof/>
              </w:rPr>
              <w:t>7.2.</w:t>
            </w:r>
            <w:r w:rsidR="00F50C7E">
              <w:rPr>
                <w:rFonts w:asciiTheme="minorHAnsi" w:eastAsiaTheme="minorEastAsia" w:hAnsiTheme="minorHAnsi" w:cstheme="minorBidi"/>
                <w:noProof/>
                <w:lang w:eastAsia="en-AU"/>
              </w:rPr>
              <w:tab/>
            </w:r>
            <w:r w:rsidR="00F50C7E" w:rsidRPr="003E5E97">
              <w:rPr>
                <w:rStyle w:val="Hyperlink"/>
                <w:noProof/>
              </w:rPr>
              <w:t>Other studies</w:t>
            </w:r>
            <w:r w:rsidR="00F50C7E">
              <w:rPr>
                <w:noProof/>
                <w:webHidden/>
              </w:rPr>
              <w:tab/>
            </w:r>
            <w:r w:rsidR="00F50C7E">
              <w:rPr>
                <w:noProof/>
                <w:webHidden/>
              </w:rPr>
              <w:fldChar w:fldCharType="begin"/>
            </w:r>
            <w:r w:rsidR="00F50C7E">
              <w:rPr>
                <w:noProof/>
                <w:webHidden/>
              </w:rPr>
              <w:instrText xml:space="preserve"> PAGEREF _Toc490579722 \h </w:instrText>
            </w:r>
            <w:r w:rsidR="00F50C7E">
              <w:rPr>
                <w:noProof/>
                <w:webHidden/>
              </w:rPr>
            </w:r>
            <w:r w:rsidR="00F50C7E">
              <w:rPr>
                <w:noProof/>
                <w:webHidden/>
              </w:rPr>
              <w:fldChar w:fldCharType="separate"/>
            </w:r>
            <w:r w:rsidR="00F50C7E">
              <w:rPr>
                <w:noProof/>
                <w:webHidden/>
              </w:rPr>
              <w:t>22</w:t>
            </w:r>
            <w:r w:rsidR="00F50C7E">
              <w:rPr>
                <w:noProof/>
                <w:webHidden/>
              </w:rPr>
              <w:fldChar w:fldCharType="end"/>
            </w:r>
          </w:hyperlink>
        </w:p>
        <w:p w14:paraId="7EDA3B77" w14:textId="77777777" w:rsidR="00F50C7E" w:rsidRDefault="002932ED">
          <w:pPr>
            <w:pStyle w:val="TOC3"/>
            <w:tabs>
              <w:tab w:val="left" w:pos="1575"/>
            </w:tabs>
            <w:rPr>
              <w:rFonts w:asciiTheme="minorHAnsi" w:eastAsiaTheme="minorEastAsia" w:hAnsiTheme="minorHAnsi" w:cstheme="minorBidi"/>
              <w:noProof/>
              <w:lang w:eastAsia="en-AU"/>
            </w:rPr>
          </w:pPr>
          <w:hyperlink w:anchor="_Toc490579723" w:history="1">
            <w:r w:rsidR="00F50C7E" w:rsidRPr="003E5E97">
              <w:rPr>
                <w:rStyle w:val="Hyperlink"/>
                <w:noProof/>
              </w:rPr>
              <w:t>7.3.</w:t>
            </w:r>
            <w:r w:rsidR="00F50C7E">
              <w:rPr>
                <w:rFonts w:asciiTheme="minorHAnsi" w:eastAsiaTheme="minorEastAsia" w:hAnsiTheme="minorHAnsi" w:cstheme="minorBidi"/>
                <w:noProof/>
                <w:lang w:eastAsia="en-AU"/>
              </w:rPr>
              <w:tab/>
            </w:r>
            <w:r w:rsidR="00F50C7E" w:rsidRPr="003E5E97">
              <w:rPr>
                <w:rStyle w:val="Hyperlink"/>
                <w:noProof/>
              </w:rPr>
              <w:t>Analyses performed across trials (pooled analyses and meta-analyses)</w:t>
            </w:r>
            <w:r w:rsidR="00F50C7E">
              <w:rPr>
                <w:noProof/>
                <w:webHidden/>
              </w:rPr>
              <w:tab/>
            </w:r>
            <w:r w:rsidR="00F50C7E">
              <w:rPr>
                <w:noProof/>
                <w:webHidden/>
              </w:rPr>
              <w:fldChar w:fldCharType="begin"/>
            </w:r>
            <w:r w:rsidR="00F50C7E">
              <w:rPr>
                <w:noProof/>
                <w:webHidden/>
              </w:rPr>
              <w:instrText xml:space="preserve"> PAGEREF _Toc490579723 \h </w:instrText>
            </w:r>
            <w:r w:rsidR="00F50C7E">
              <w:rPr>
                <w:noProof/>
                <w:webHidden/>
              </w:rPr>
            </w:r>
            <w:r w:rsidR="00F50C7E">
              <w:rPr>
                <w:noProof/>
                <w:webHidden/>
              </w:rPr>
              <w:fldChar w:fldCharType="separate"/>
            </w:r>
            <w:r w:rsidR="00F50C7E">
              <w:rPr>
                <w:noProof/>
                <w:webHidden/>
              </w:rPr>
              <w:t>29</w:t>
            </w:r>
            <w:r w:rsidR="00F50C7E">
              <w:rPr>
                <w:noProof/>
                <w:webHidden/>
              </w:rPr>
              <w:fldChar w:fldCharType="end"/>
            </w:r>
          </w:hyperlink>
        </w:p>
        <w:p w14:paraId="15283A9F" w14:textId="77777777" w:rsidR="00F50C7E" w:rsidRDefault="002932ED">
          <w:pPr>
            <w:pStyle w:val="TOC3"/>
            <w:tabs>
              <w:tab w:val="left" w:pos="1575"/>
            </w:tabs>
            <w:rPr>
              <w:rFonts w:asciiTheme="minorHAnsi" w:eastAsiaTheme="minorEastAsia" w:hAnsiTheme="minorHAnsi" w:cstheme="minorBidi"/>
              <w:noProof/>
              <w:lang w:eastAsia="en-AU"/>
            </w:rPr>
          </w:pPr>
          <w:hyperlink w:anchor="_Toc490579724" w:history="1">
            <w:r w:rsidR="00F50C7E" w:rsidRPr="003E5E97">
              <w:rPr>
                <w:rStyle w:val="Hyperlink"/>
                <w:noProof/>
              </w:rPr>
              <w:t>7.4.</w:t>
            </w:r>
            <w:r w:rsidR="00F50C7E">
              <w:rPr>
                <w:rFonts w:asciiTheme="minorHAnsi" w:eastAsiaTheme="minorEastAsia" w:hAnsiTheme="minorHAnsi" w:cstheme="minorBidi"/>
                <w:noProof/>
                <w:lang w:eastAsia="en-AU"/>
              </w:rPr>
              <w:tab/>
            </w:r>
            <w:r w:rsidR="00F50C7E" w:rsidRPr="003E5E97">
              <w:rPr>
                <w:rStyle w:val="Hyperlink"/>
                <w:noProof/>
              </w:rPr>
              <w:t>Evaluator’s conclusions on the clinical efficacy of the vaccine</w:t>
            </w:r>
            <w:r w:rsidR="00F50C7E">
              <w:rPr>
                <w:noProof/>
                <w:webHidden/>
              </w:rPr>
              <w:tab/>
            </w:r>
            <w:r w:rsidR="00F50C7E">
              <w:rPr>
                <w:noProof/>
                <w:webHidden/>
              </w:rPr>
              <w:fldChar w:fldCharType="begin"/>
            </w:r>
            <w:r w:rsidR="00F50C7E">
              <w:rPr>
                <w:noProof/>
                <w:webHidden/>
              </w:rPr>
              <w:instrText xml:space="preserve"> PAGEREF _Toc490579724 \h </w:instrText>
            </w:r>
            <w:r w:rsidR="00F50C7E">
              <w:rPr>
                <w:noProof/>
                <w:webHidden/>
              </w:rPr>
            </w:r>
            <w:r w:rsidR="00F50C7E">
              <w:rPr>
                <w:noProof/>
                <w:webHidden/>
              </w:rPr>
              <w:fldChar w:fldCharType="separate"/>
            </w:r>
            <w:r w:rsidR="00F50C7E">
              <w:rPr>
                <w:noProof/>
                <w:webHidden/>
              </w:rPr>
              <w:t>29</w:t>
            </w:r>
            <w:r w:rsidR="00F50C7E">
              <w:rPr>
                <w:noProof/>
                <w:webHidden/>
              </w:rPr>
              <w:fldChar w:fldCharType="end"/>
            </w:r>
          </w:hyperlink>
        </w:p>
        <w:p w14:paraId="435D98F0" w14:textId="77777777" w:rsidR="00F50C7E" w:rsidRDefault="002932ED">
          <w:pPr>
            <w:pStyle w:val="TOC2"/>
            <w:tabs>
              <w:tab w:val="left" w:pos="1247"/>
            </w:tabs>
            <w:rPr>
              <w:rFonts w:asciiTheme="minorHAnsi" w:eastAsiaTheme="minorEastAsia" w:hAnsiTheme="minorHAnsi" w:cstheme="minorBidi"/>
              <w:b w:val="0"/>
              <w:noProof/>
              <w:sz w:val="22"/>
              <w:lang w:eastAsia="en-AU"/>
            </w:rPr>
          </w:pPr>
          <w:hyperlink w:anchor="_Toc490579725" w:history="1">
            <w:r w:rsidR="00F50C7E" w:rsidRPr="003E5E97">
              <w:rPr>
                <w:rStyle w:val="Hyperlink"/>
                <w:noProof/>
              </w:rPr>
              <w:t>8.</w:t>
            </w:r>
            <w:r w:rsidR="00F50C7E">
              <w:rPr>
                <w:rFonts w:asciiTheme="minorHAnsi" w:eastAsiaTheme="minorEastAsia" w:hAnsiTheme="minorHAnsi" w:cstheme="minorBidi"/>
                <w:b w:val="0"/>
                <w:noProof/>
                <w:sz w:val="22"/>
                <w:lang w:eastAsia="en-AU"/>
              </w:rPr>
              <w:tab/>
            </w:r>
            <w:r w:rsidR="00F50C7E" w:rsidRPr="003E5E97">
              <w:rPr>
                <w:rStyle w:val="Hyperlink"/>
                <w:noProof/>
              </w:rPr>
              <w:t>Clinical safety</w:t>
            </w:r>
            <w:r w:rsidR="00F50C7E">
              <w:rPr>
                <w:noProof/>
                <w:webHidden/>
              </w:rPr>
              <w:tab/>
            </w:r>
            <w:r w:rsidR="00F50C7E">
              <w:rPr>
                <w:noProof/>
                <w:webHidden/>
              </w:rPr>
              <w:fldChar w:fldCharType="begin"/>
            </w:r>
            <w:r w:rsidR="00F50C7E">
              <w:rPr>
                <w:noProof/>
                <w:webHidden/>
              </w:rPr>
              <w:instrText xml:space="preserve"> PAGEREF _Toc490579725 \h </w:instrText>
            </w:r>
            <w:r w:rsidR="00F50C7E">
              <w:rPr>
                <w:noProof/>
                <w:webHidden/>
              </w:rPr>
            </w:r>
            <w:r w:rsidR="00F50C7E">
              <w:rPr>
                <w:noProof/>
                <w:webHidden/>
              </w:rPr>
              <w:fldChar w:fldCharType="separate"/>
            </w:r>
            <w:r w:rsidR="00F50C7E">
              <w:rPr>
                <w:noProof/>
                <w:webHidden/>
              </w:rPr>
              <w:t>30</w:t>
            </w:r>
            <w:r w:rsidR="00F50C7E">
              <w:rPr>
                <w:noProof/>
                <w:webHidden/>
              </w:rPr>
              <w:fldChar w:fldCharType="end"/>
            </w:r>
          </w:hyperlink>
        </w:p>
        <w:p w14:paraId="78C10B59" w14:textId="77777777" w:rsidR="00F50C7E" w:rsidRDefault="002932ED">
          <w:pPr>
            <w:pStyle w:val="TOC3"/>
            <w:tabs>
              <w:tab w:val="left" w:pos="1575"/>
            </w:tabs>
            <w:rPr>
              <w:rFonts w:asciiTheme="minorHAnsi" w:eastAsiaTheme="minorEastAsia" w:hAnsiTheme="minorHAnsi" w:cstheme="minorBidi"/>
              <w:noProof/>
              <w:lang w:eastAsia="en-AU"/>
            </w:rPr>
          </w:pPr>
          <w:hyperlink w:anchor="_Toc490579726" w:history="1">
            <w:r w:rsidR="00F50C7E" w:rsidRPr="003E5E97">
              <w:rPr>
                <w:rStyle w:val="Hyperlink"/>
                <w:noProof/>
              </w:rPr>
              <w:t>8.1.</w:t>
            </w:r>
            <w:r w:rsidR="00F50C7E">
              <w:rPr>
                <w:rFonts w:asciiTheme="minorHAnsi" w:eastAsiaTheme="minorEastAsia" w:hAnsiTheme="minorHAnsi" w:cstheme="minorBidi"/>
                <w:noProof/>
                <w:lang w:eastAsia="en-AU"/>
              </w:rPr>
              <w:tab/>
            </w:r>
            <w:r w:rsidR="00F50C7E" w:rsidRPr="003E5E97">
              <w:rPr>
                <w:rStyle w:val="Hyperlink"/>
                <w:noProof/>
              </w:rPr>
              <w:t>Studies providing evaluable safety data</w:t>
            </w:r>
            <w:r w:rsidR="00F50C7E">
              <w:rPr>
                <w:noProof/>
                <w:webHidden/>
              </w:rPr>
              <w:tab/>
            </w:r>
            <w:r w:rsidR="00F50C7E">
              <w:rPr>
                <w:noProof/>
                <w:webHidden/>
              </w:rPr>
              <w:fldChar w:fldCharType="begin"/>
            </w:r>
            <w:r w:rsidR="00F50C7E">
              <w:rPr>
                <w:noProof/>
                <w:webHidden/>
              </w:rPr>
              <w:instrText xml:space="preserve"> PAGEREF _Toc490579726 \h </w:instrText>
            </w:r>
            <w:r w:rsidR="00F50C7E">
              <w:rPr>
                <w:noProof/>
                <w:webHidden/>
              </w:rPr>
            </w:r>
            <w:r w:rsidR="00F50C7E">
              <w:rPr>
                <w:noProof/>
                <w:webHidden/>
              </w:rPr>
              <w:fldChar w:fldCharType="separate"/>
            </w:r>
            <w:r w:rsidR="00F50C7E">
              <w:rPr>
                <w:noProof/>
                <w:webHidden/>
              </w:rPr>
              <w:t>30</w:t>
            </w:r>
            <w:r w:rsidR="00F50C7E">
              <w:rPr>
                <w:noProof/>
                <w:webHidden/>
              </w:rPr>
              <w:fldChar w:fldCharType="end"/>
            </w:r>
          </w:hyperlink>
        </w:p>
        <w:p w14:paraId="20DD3F35" w14:textId="77777777" w:rsidR="00F50C7E" w:rsidRDefault="002932ED">
          <w:pPr>
            <w:pStyle w:val="TOC3"/>
            <w:tabs>
              <w:tab w:val="left" w:pos="1575"/>
            </w:tabs>
            <w:rPr>
              <w:rFonts w:asciiTheme="minorHAnsi" w:eastAsiaTheme="minorEastAsia" w:hAnsiTheme="minorHAnsi" w:cstheme="minorBidi"/>
              <w:noProof/>
              <w:lang w:eastAsia="en-AU"/>
            </w:rPr>
          </w:pPr>
          <w:hyperlink w:anchor="_Toc490579727" w:history="1">
            <w:r w:rsidR="00F50C7E" w:rsidRPr="003E5E97">
              <w:rPr>
                <w:rStyle w:val="Hyperlink"/>
                <w:noProof/>
              </w:rPr>
              <w:t>8.2.</w:t>
            </w:r>
            <w:r w:rsidR="00F50C7E">
              <w:rPr>
                <w:rFonts w:asciiTheme="minorHAnsi" w:eastAsiaTheme="minorEastAsia" w:hAnsiTheme="minorHAnsi" w:cstheme="minorBidi"/>
                <w:noProof/>
                <w:lang w:eastAsia="en-AU"/>
              </w:rPr>
              <w:tab/>
            </w:r>
            <w:r w:rsidR="00F50C7E" w:rsidRPr="003E5E97">
              <w:rPr>
                <w:rStyle w:val="Hyperlink"/>
                <w:noProof/>
              </w:rPr>
              <w:t>Pivotal studies that assessed safety as a primary outcome</w:t>
            </w:r>
            <w:r w:rsidR="00F50C7E">
              <w:rPr>
                <w:noProof/>
                <w:webHidden/>
              </w:rPr>
              <w:tab/>
            </w:r>
            <w:r w:rsidR="00F50C7E">
              <w:rPr>
                <w:noProof/>
                <w:webHidden/>
              </w:rPr>
              <w:fldChar w:fldCharType="begin"/>
            </w:r>
            <w:r w:rsidR="00F50C7E">
              <w:rPr>
                <w:noProof/>
                <w:webHidden/>
              </w:rPr>
              <w:instrText xml:space="preserve"> PAGEREF _Toc490579727 \h </w:instrText>
            </w:r>
            <w:r w:rsidR="00F50C7E">
              <w:rPr>
                <w:noProof/>
                <w:webHidden/>
              </w:rPr>
            </w:r>
            <w:r w:rsidR="00F50C7E">
              <w:rPr>
                <w:noProof/>
                <w:webHidden/>
              </w:rPr>
              <w:fldChar w:fldCharType="separate"/>
            </w:r>
            <w:r w:rsidR="00F50C7E">
              <w:rPr>
                <w:noProof/>
                <w:webHidden/>
              </w:rPr>
              <w:t>32</w:t>
            </w:r>
            <w:r w:rsidR="00F50C7E">
              <w:rPr>
                <w:noProof/>
                <w:webHidden/>
              </w:rPr>
              <w:fldChar w:fldCharType="end"/>
            </w:r>
          </w:hyperlink>
        </w:p>
        <w:p w14:paraId="62CEA10E" w14:textId="77777777" w:rsidR="00F50C7E" w:rsidRDefault="002932ED">
          <w:pPr>
            <w:pStyle w:val="TOC3"/>
            <w:tabs>
              <w:tab w:val="left" w:pos="1575"/>
            </w:tabs>
            <w:rPr>
              <w:rFonts w:asciiTheme="minorHAnsi" w:eastAsiaTheme="minorEastAsia" w:hAnsiTheme="minorHAnsi" w:cstheme="minorBidi"/>
              <w:noProof/>
              <w:lang w:eastAsia="en-AU"/>
            </w:rPr>
          </w:pPr>
          <w:hyperlink w:anchor="_Toc490579728" w:history="1">
            <w:r w:rsidR="00F50C7E" w:rsidRPr="003E5E97">
              <w:rPr>
                <w:rStyle w:val="Hyperlink"/>
                <w:noProof/>
              </w:rPr>
              <w:t>8.3.</w:t>
            </w:r>
            <w:r w:rsidR="00F50C7E">
              <w:rPr>
                <w:rFonts w:asciiTheme="minorHAnsi" w:eastAsiaTheme="minorEastAsia" w:hAnsiTheme="minorHAnsi" w:cstheme="minorBidi"/>
                <w:noProof/>
                <w:lang w:eastAsia="en-AU"/>
              </w:rPr>
              <w:tab/>
            </w:r>
            <w:r w:rsidR="00F50C7E" w:rsidRPr="003E5E97">
              <w:rPr>
                <w:rStyle w:val="Hyperlink"/>
                <w:noProof/>
              </w:rPr>
              <w:t>Patient exposure</w:t>
            </w:r>
            <w:r w:rsidR="00F50C7E">
              <w:rPr>
                <w:noProof/>
                <w:webHidden/>
              </w:rPr>
              <w:tab/>
            </w:r>
            <w:r w:rsidR="00F50C7E">
              <w:rPr>
                <w:noProof/>
                <w:webHidden/>
              </w:rPr>
              <w:fldChar w:fldCharType="begin"/>
            </w:r>
            <w:r w:rsidR="00F50C7E">
              <w:rPr>
                <w:noProof/>
                <w:webHidden/>
              </w:rPr>
              <w:instrText xml:space="preserve"> PAGEREF _Toc490579728 \h </w:instrText>
            </w:r>
            <w:r w:rsidR="00F50C7E">
              <w:rPr>
                <w:noProof/>
                <w:webHidden/>
              </w:rPr>
            </w:r>
            <w:r w:rsidR="00F50C7E">
              <w:rPr>
                <w:noProof/>
                <w:webHidden/>
              </w:rPr>
              <w:fldChar w:fldCharType="separate"/>
            </w:r>
            <w:r w:rsidR="00F50C7E">
              <w:rPr>
                <w:noProof/>
                <w:webHidden/>
              </w:rPr>
              <w:t>32</w:t>
            </w:r>
            <w:r w:rsidR="00F50C7E">
              <w:rPr>
                <w:noProof/>
                <w:webHidden/>
              </w:rPr>
              <w:fldChar w:fldCharType="end"/>
            </w:r>
          </w:hyperlink>
        </w:p>
        <w:p w14:paraId="2C0576E5" w14:textId="77777777" w:rsidR="00F50C7E" w:rsidRDefault="002932ED">
          <w:pPr>
            <w:pStyle w:val="TOC3"/>
            <w:tabs>
              <w:tab w:val="left" w:pos="1575"/>
            </w:tabs>
            <w:rPr>
              <w:rFonts w:asciiTheme="minorHAnsi" w:eastAsiaTheme="minorEastAsia" w:hAnsiTheme="minorHAnsi" w:cstheme="minorBidi"/>
              <w:noProof/>
              <w:lang w:eastAsia="en-AU"/>
            </w:rPr>
          </w:pPr>
          <w:hyperlink w:anchor="_Toc490579729" w:history="1">
            <w:r w:rsidR="00F50C7E" w:rsidRPr="003E5E97">
              <w:rPr>
                <w:rStyle w:val="Hyperlink"/>
                <w:noProof/>
              </w:rPr>
              <w:t>8.4.</w:t>
            </w:r>
            <w:r w:rsidR="00F50C7E">
              <w:rPr>
                <w:rFonts w:asciiTheme="minorHAnsi" w:eastAsiaTheme="minorEastAsia" w:hAnsiTheme="minorHAnsi" w:cstheme="minorBidi"/>
                <w:noProof/>
                <w:lang w:eastAsia="en-AU"/>
              </w:rPr>
              <w:tab/>
            </w:r>
            <w:r w:rsidR="00F50C7E" w:rsidRPr="003E5E97">
              <w:rPr>
                <w:rStyle w:val="Hyperlink"/>
                <w:noProof/>
              </w:rPr>
              <w:t>Adverse events</w:t>
            </w:r>
            <w:r w:rsidR="00F50C7E">
              <w:rPr>
                <w:noProof/>
                <w:webHidden/>
              </w:rPr>
              <w:tab/>
            </w:r>
            <w:r w:rsidR="00F50C7E">
              <w:rPr>
                <w:noProof/>
                <w:webHidden/>
              </w:rPr>
              <w:fldChar w:fldCharType="begin"/>
            </w:r>
            <w:r w:rsidR="00F50C7E">
              <w:rPr>
                <w:noProof/>
                <w:webHidden/>
              </w:rPr>
              <w:instrText xml:space="preserve"> PAGEREF _Toc490579729 \h </w:instrText>
            </w:r>
            <w:r w:rsidR="00F50C7E">
              <w:rPr>
                <w:noProof/>
                <w:webHidden/>
              </w:rPr>
            </w:r>
            <w:r w:rsidR="00F50C7E">
              <w:rPr>
                <w:noProof/>
                <w:webHidden/>
              </w:rPr>
              <w:fldChar w:fldCharType="separate"/>
            </w:r>
            <w:r w:rsidR="00F50C7E">
              <w:rPr>
                <w:noProof/>
                <w:webHidden/>
              </w:rPr>
              <w:t>32</w:t>
            </w:r>
            <w:r w:rsidR="00F50C7E">
              <w:rPr>
                <w:noProof/>
                <w:webHidden/>
              </w:rPr>
              <w:fldChar w:fldCharType="end"/>
            </w:r>
          </w:hyperlink>
        </w:p>
        <w:p w14:paraId="68AEFCBD" w14:textId="77777777" w:rsidR="00F50C7E" w:rsidRDefault="002932ED">
          <w:pPr>
            <w:pStyle w:val="TOC3"/>
            <w:tabs>
              <w:tab w:val="left" w:pos="1575"/>
            </w:tabs>
            <w:rPr>
              <w:rFonts w:asciiTheme="minorHAnsi" w:eastAsiaTheme="minorEastAsia" w:hAnsiTheme="minorHAnsi" w:cstheme="minorBidi"/>
              <w:noProof/>
              <w:lang w:eastAsia="en-AU"/>
            </w:rPr>
          </w:pPr>
          <w:hyperlink w:anchor="_Toc490579730" w:history="1">
            <w:r w:rsidR="00F50C7E" w:rsidRPr="003E5E97">
              <w:rPr>
                <w:rStyle w:val="Hyperlink"/>
                <w:noProof/>
              </w:rPr>
              <w:t>8.5.</w:t>
            </w:r>
            <w:r w:rsidR="00F50C7E">
              <w:rPr>
                <w:rFonts w:asciiTheme="minorHAnsi" w:eastAsiaTheme="minorEastAsia" w:hAnsiTheme="minorHAnsi" w:cstheme="minorBidi"/>
                <w:noProof/>
                <w:lang w:eastAsia="en-AU"/>
              </w:rPr>
              <w:tab/>
            </w:r>
            <w:r w:rsidR="00F50C7E" w:rsidRPr="003E5E97">
              <w:rPr>
                <w:rStyle w:val="Hyperlink"/>
                <w:noProof/>
              </w:rPr>
              <w:t>Laboratory tests</w:t>
            </w:r>
            <w:r w:rsidR="00F50C7E">
              <w:rPr>
                <w:noProof/>
                <w:webHidden/>
              </w:rPr>
              <w:tab/>
            </w:r>
            <w:r w:rsidR="00F50C7E">
              <w:rPr>
                <w:noProof/>
                <w:webHidden/>
              </w:rPr>
              <w:fldChar w:fldCharType="begin"/>
            </w:r>
            <w:r w:rsidR="00F50C7E">
              <w:rPr>
                <w:noProof/>
                <w:webHidden/>
              </w:rPr>
              <w:instrText xml:space="preserve"> PAGEREF _Toc490579730 \h </w:instrText>
            </w:r>
            <w:r w:rsidR="00F50C7E">
              <w:rPr>
                <w:noProof/>
                <w:webHidden/>
              </w:rPr>
            </w:r>
            <w:r w:rsidR="00F50C7E">
              <w:rPr>
                <w:noProof/>
                <w:webHidden/>
              </w:rPr>
              <w:fldChar w:fldCharType="separate"/>
            </w:r>
            <w:r w:rsidR="00F50C7E">
              <w:rPr>
                <w:noProof/>
                <w:webHidden/>
              </w:rPr>
              <w:t>35</w:t>
            </w:r>
            <w:r w:rsidR="00F50C7E">
              <w:rPr>
                <w:noProof/>
                <w:webHidden/>
              </w:rPr>
              <w:fldChar w:fldCharType="end"/>
            </w:r>
          </w:hyperlink>
        </w:p>
        <w:p w14:paraId="1C22DECA" w14:textId="77777777" w:rsidR="00F50C7E" w:rsidRDefault="002932ED">
          <w:pPr>
            <w:pStyle w:val="TOC3"/>
            <w:tabs>
              <w:tab w:val="left" w:pos="1575"/>
            </w:tabs>
            <w:rPr>
              <w:rFonts w:asciiTheme="minorHAnsi" w:eastAsiaTheme="minorEastAsia" w:hAnsiTheme="minorHAnsi" w:cstheme="minorBidi"/>
              <w:noProof/>
              <w:lang w:eastAsia="en-AU"/>
            </w:rPr>
          </w:pPr>
          <w:hyperlink w:anchor="_Toc490579731" w:history="1">
            <w:r w:rsidR="00F50C7E" w:rsidRPr="003E5E97">
              <w:rPr>
                <w:rStyle w:val="Hyperlink"/>
                <w:noProof/>
              </w:rPr>
              <w:t>8.6.</w:t>
            </w:r>
            <w:r w:rsidR="00F50C7E">
              <w:rPr>
                <w:rFonts w:asciiTheme="minorHAnsi" w:eastAsiaTheme="minorEastAsia" w:hAnsiTheme="minorHAnsi" w:cstheme="minorBidi"/>
                <w:noProof/>
                <w:lang w:eastAsia="en-AU"/>
              </w:rPr>
              <w:tab/>
            </w:r>
            <w:r w:rsidR="00F50C7E" w:rsidRPr="003E5E97">
              <w:rPr>
                <w:rStyle w:val="Hyperlink"/>
                <w:noProof/>
              </w:rPr>
              <w:t>Post-marketing experience</w:t>
            </w:r>
            <w:r w:rsidR="00F50C7E">
              <w:rPr>
                <w:noProof/>
                <w:webHidden/>
              </w:rPr>
              <w:tab/>
            </w:r>
            <w:r w:rsidR="00F50C7E">
              <w:rPr>
                <w:noProof/>
                <w:webHidden/>
              </w:rPr>
              <w:fldChar w:fldCharType="begin"/>
            </w:r>
            <w:r w:rsidR="00F50C7E">
              <w:rPr>
                <w:noProof/>
                <w:webHidden/>
              </w:rPr>
              <w:instrText xml:space="preserve"> PAGEREF _Toc490579731 \h </w:instrText>
            </w:r>
            <w:r w:rsidR="00F50C7E">
              <w:rPr>
                <w:noProof/>
                <w:webHidden/>
              </w:rPr>
            </w:r>
            <w:r w:rsidR="00F50C7E">
              <w:rPr>
                <w:noProof/>
                <w:webHidden/>
              </w:rPr>
              <w:fldChar w:fldCharType="separate"/>
            </w:r>
            <w:r w:rsidR="00F50C7E">
              <w:rPr>
                <w:noProof/>
                <w:webHidden/>
              </w:rPr>
              <w:t>36</w:t>
            </w:r>
            <w:r w:rsidR="00F50C7E">
              <w:rPr>
                <w:noProof/>
                <w:webHidden/>
              </w:rPr>
              <w:fldChar w:fldCharType="end"/>
            </w:r>
          </w:hyperlink>
        </w:p>
        <w:p w14:paraId="00C9B617" w14:textId="77777777" w:rsidR="00F50C7E" w:rsidRDefault="002932ED">
          <w:pPr>
            <w:pStyle w:val="TOC3"/>
            <w:tabs>
              <w:tab w:val="left" w:pos="1575"/>
            </w:tabs>
            <w:rPr>
              <w:rFonts w:asciiTheme="minorHAnsi" w:eastAsiaTheme="minorEastAsia" w:hAnsiTheme="minorHAnsi" w:cstheme="minorBidi"/>
              <w:noProof/>
              <w:lang w:eastAsia="en-AU"/>
            </w:rPr>
          </w:pPr>
          <w:hyperlink w:anchor="_Toc490579732" w:history="1">
            <w:r w:rsidR="00F50C7E" w:rsidRPr="003E5E97">
              <w:rPr>
                <w:rStyle w:val="Hyperlink"/>
                <w:noProof/>
              </w:rPr>
              <w:t>8.7.</w:t>
            </w:r>
            <w:r w:rsidR="00F50C7E">
              <w:rPr>
                <w:rFonts w:asciiTheme="minorHAnsi" w:eastAsiaTheme="minorEastAsia" w:hAnsiTheme="minorHAnsi" w:cstheme="minorBidi"/>
                <w:noProof/>
                <w:lang w:eastAsia="en-AU"/>
              </w:rPr>
              <w:tab/>
            </w:r>
            <w:r w:rsidR="00F50C7E" w:rsidRPr="003E5E97">
              <w:rPr>
                <w:rStyle w:val="Hyperlink"/>
                <w:noProof/>
              </w:rPr>
              <w:t>Safety issues with the potential for major regulatory impact</w:t>
            </w:r>
            <w:r w:rsidR="00F50C7E">
              <w:rPr>
                <w:noProof/>
                <w:webHidden/>
              </w:rPr>
              <w:tab/>
            </w:r>
            <w:r w:rsidR="00F50C7E">
              <w:rPr>
                <w:noProof/>
                <w:webHidden/>
              </w:rPr>
              <w:fldChar w:fldCharType="begin"/>
            </w:r>
            <w:r w:rsidR="00F50C7E">
              <w:rPr>
                <w:noProof/>
                <w:webHidden/>
              </w:rPr>
              <w:instrText xml:space="preserve"> PAGEREF _Toc490579732 \h </w:instrText>
            </w:r>
            <w:r w:rsidR="00F50C7E">
              <w:rPr>
                <w:noProof/>
                <w:webHidden/>
              </w:rPr>
            </w:r>
            <w:r w:rsidR="00F50C7E">
              <w:rPr>
                <w:noProof/>
                <w:webHidden/>
              </w:rPr>
              <w:fldChar w:fldCharType="separate"/>
            </w:r>
            <w:r w:rsidR="00F50C7E">
              <w:rPr>
                <w:noProof/>
                <w:webHidden/>
              </w:rPr>
              <w:t>36</w:t>
            </w:r>
            <w:r w:rsidR="00F50C7E">
              <w:rPr>
                <w:noProof/>
                <w:webHidden/>
              </w:rPr>
              <w:fldChar w:fldCharType="end"/>
            </w:r>
          </w:hyperlink>
        </w:p>
        <w:p w14:paraId="555B4780" w14:textId="77777777" w:rsidR="00F50C7E" w:rsidRDefault="002932ED">
          <w:pPr>
            <w:pStyle w:val="TOC3"/>
            <w:tabs>
              <w:tab w:val="left" w:pos="1575"/>
            </w:tabs>
            <w:rPr>
              <w:rFonts w:asciiTheme="minorHAnsi" w:eastAsiaTheme="minorEastAsia" w:hAnsiTheme="minorHAnsi" w:cstheme="minorBidi"/>
              <w:noProof/>
              <w:lang w:eastAsia="en-AU"/>
            </w:rPr>
          </w:pPr>
          <w:hyperlink w:anchor="_Toc490579733" w:history="1">
            <w:r w:rsidR="00F50C7E" w:rsidRPr="003E5E97">
              <w:rPr>
                <w:rStyle w:val="Hyperlink"/>
                <w:noProof/>
              </w:rPr>
              <w:t>8.8.</w:t>
            </w:r>
            <w:r w:rsidR="00F50C7E">
              <w:rPr>
                <w:rFonts w:asciiTheme="minorHAnsi" w:eastAsiaTheme="minorEastAsia" w:hAnsiTheme="minorHAnsi" w:cstheme="minorBidi"/>
                <w:noProof/>
                <w:lang w:eastAsia="en-AU"/>
              </w:rPr>
              <w:tab/>
            </w:r>
            <w:r w:rsidR="00F50C7E" w:rsidRPr="003E5E97">
              <w:rPr>
                <w:rStyle w:val="Hyperlink"/>
                <w:noProof/>
              </w:rPr>
              <w:t>Other safety issues</w:t>
            </w:r>
            <w:r w:rsidR="00F50C7E">
              <w:rPr>
                <w:noProof/>
                <w:webHidden/>
              </w:rPr>
              <w:tab/>
            </w:r>
            <w:r w:rsidR="00F50C7E">
              <w:rPr>
                <w:noProof/>
                <w:webHidden/>
              </w:rPr>
              <w:fldChar w:fldCharType="begin"/>
            </w:r>
            <w:r w:rsidR="00F50C7E">
              <w:rPr>
                <w:noProof/>
                <w:webHidden/>
              </w:rPr>
              <w:instrText xml:space="preserve"> PAGEREF _Toc490579733 \h </w:instrText>
            </w:r>
            <w:r w:rsidR="00F50C7E">
              <w:rPr>
                <w:noProof/>
                <w:webHidden/>
              </w:rPr>
            </w:r>
            <w:r w:rsidR="00F50C7E">
              <w:rPr>
                <w:noProof/>
                <w:webHidden/>
              </w:rPr>
              <w:fldChar w:fldCharType="separate"/>
            </w:r>
            <w:r w:rsidR="00F50C7E">
              <w:rPr>
                <w:noProof/>
                <w:webHidden/>
              </w:rPr>
              <w:t>36</w:t>
            </w:r>
            <w:r w:rsidR="00F50C7E">
              <w:rPr>
                <w:noProof/>
                <w:webHidden/>
              </w:rPr>
              <w:fldChar w:fldCharType="end"/>
            </w:r>
          </w:hyperlink>
        </w:p>
        <w:p w14:paraId="29D2EDB7" w14:textId="77777777" w:rsidR="00F50C7E" w:rsidRDefault="002932ED">
          <w:pPr>
            <w:pStyle w:val="TOC3"/>
            <w:tabs>
              <w:tab w:val="left" w:pos="1575"/>
            </w:tabs>
            <w:rPr>
              <w:rFonts w:asciiTheme="minorHAnsi" w:eastAsiaTheme="minorEastAsia" w:hAnsiTheme="minorHAnsi" w:cstheme="minorBidi"/>
              <w:noProof/>
              <w:lang w:eastAsia="en-AU"/>
            </w:rPr>
          </w:pPr>
          <w:hyperlink w:anchor="_Toc490579734" w:history="1">
            <w:r w:rsidR="00F50C7E" w:rsidRPr="003E5E97">
              <w:rPr>
                <w:rStyle w:val="Hyperlink"/>
                <w:noProof/>
              </w:rPr>
              <w:t>8.9.</w:t>
            </w:r>
            <w:r w:rsidR="00F50C7E">
              <w:rPr>
                <w:rFonts w:asciiTheme="minorHAnsi" w:eastAsiaTheme="minorEastAsia" w:hAnsiTheme="minorHAnsi" w:cstheme="minorBidi"/>
                <w:noProof/>
                <w:lang w:eastAsia="en-AU"/>
              </w:rPr>
              <w:tab/>
            </w:r>
            <w:r w:rsidR="00F50C7E" w:rsidRPr="003E5E97">
              <w:rPr>
                <w:rStyle w:val="Hyperlink"/>
                <w:noProof/>
              </w:rPr>
              <w:t>Evaluator’s overall conclusions on clinical safety</w:t>
            </w:r>
            <w:r w:rsidR="00F50C7E">
              <w:rPr>
                <w:noProof/>
                <w:webHidden/>
              </w:rPr>
              <w:tab/>
            </w:r>
            <w:r w:rsidR="00F50C7E">
              <w:rPr>
                <w:noProof/>
                <w:webHidden/>
              </w:rPr>
              <w:fldChar w:fldCharType="begin"/>
            </w:r>
            <w:r w:rsidR="00F50C7E">
              <w:rPr>
                <w:noProof/>
                <w:webHidden/>
              </w:rPr>
              <w:instrText xml:space="preserve"> PAGEREF _Toc490579734 \h </w:instrText>
            </w:r>
            <w:r w:rsidR="00F50C7E">
              <w:rPr>
                <w:noProof/>
                <w:webHidden/>
              </w:rPr>
            </w:r>
            <w:r w:rsidR="00F50C7E">
              <w:rPr>
                <w:noProof/>
                <w:webHidden/>
              </w:rPr>
              <w:fldChar w:fldCharType="separate"/>
            </w:r>
            <w:r w:rsidR="00F50C7E">
              <w:rPr>
                <w:noProof/>
                <w:webHidden/>
              </w:rPr>
              <w:t>36</w:t>
            </w:r>
            <w:r w:rsidR="00F50C7E">
              <w:rPr>
                <w:noProof/>
                <w:webHidden/>
              </w:rPr>
              <w:fldChar w:fldCharType="end"/>
            </w:r>
          </w:hyperlink>
        </w:p>
        <w:p w14:paraId="1BF66039" w14:textId="77777777" w:rsidR="00F50C7E" w:rsidRDefault="002932ED">
          <w:pPr>
            <w:pStyle w:val="TOC2"/>
            <w:tabs>
              <w:tab w:val="left" w:pos="1247"/>
            </w:tabs>
            <w:rPr>
              <w:rFonts w:asciiTheme="minorHAnsi" w:eastAsiaTheme="minorEastAsia" w:hAnsiTheme="minorHAnsi" w:cstheme="minorBidi"/>
              <w:b w:val="0"/>
              <w:noProof/>
              <w:sz w:val="22"/>
              <w:lang w:eastAsia="en-AU"/>
            </w:rPr>
          </w:pPr>
          <w:hyperlink w:anchor="_Toc490579735" w:history="1">
            <w:r w:rsidR="00F50C7E" w:rsidRPr="003E5E97">
              <w:rPr>
                <w:rStyle w:val="Hyperlink"/>
                <w:noProof/>
              </w:rPr>
              <w:t>9.</w:t>
            </w:r>
            <w:r w:rsidR="00F50C7E">
              <w:rPr>
                <w:rFonts w:asciiTheme="minorHAnsi" w:eastAsiaTheme="minorEastAsia" w:hAnsiTheme="minorHAnsi" w:cstheme="minorBidi"/>
                <w:b w:val="0"/>
                <w:noProof/>
                <w:sz w:val="22"/>
                <w:lang w:eastAsia="en-AU"/>
              </w:rPr>
              <w:tab/>
            </w:r>
            <w:r w:rsidR="00F50C7E" w:rsidRPr="003E5E97">
              <w:rPr>
                <w:rStyle w:val="Hyperlink"/>
                <w:noProof/>
              </w:rPr>
              <w:t>First round benefit-risk assessment</w:t>
            </w:r>
            <w:r w:rsidR="00F50C7E">
              <w:rPr>
                <w:noProof/>
                <w:webHidden/>
              </w:rPr>
              <w:tab/>
            </w:r>
            <w:r w:rsidR="00F50C7E">
              <w:rPr>
                <w:noProof/>
                <w:webHidden/>
              </w:rPr>
              <w:fldChar w:fldCharType="begin"/>
            </w:r>
            <w:r w:rsidR="00F50C7E">
              <w:rPr>
                <w:noProof/>
                <w:webHidden/>
              </w:rPr>
              <w:instrText xml:space="preserve"> PAGEREF _Toc490579735 \h </w:instrText>
            </w:r>
            <w:r w:rsidR="00F50C7E">
              <w:rPr>
                <w:noProof/>
                <w:webHidden/>
              </w:rPr>
            </w:r>
            <w:r w:rsidR="00F50C7E">
              <w:rPr>
                <w:noProof/>
                <w:webHidden/>
              </w:rPr>
              <w:fldChar w:fldCharType="separate"/>
            </w:r>
            <w:r w:rsidR="00F50C7E">
              <w:rPr>
                <w:noProof/>
                <w:webHidden/>
              </w:rPr>
              <w:t>37</w:t>
            </w:r>
            <w:r w:rsidR="00F50C7E">
              <w:rPr>
                <w:noProof/>
                <w:webHidden/>
              </w:rPr>
              <w:fldChar w:fldCharType="end"/>
            </w:r>
          </w:hyperlink>
        </w:p>
        <w:p w14:paraId="55D61CE8" w14:textId="77777777" w:rsidR="00F50C7E" w:rsidRDefault="002932ED">
          <w:pPr>
            <w:pStyle w:val="TOC3"/>
            <w:tabs>
              <w:tab w:val="left" w:pos="1575"/>
            </w:tabs>
            <w:rPr>
              <w:rFonts w:asciiTheme="minorHAnsi" w:eastAsiaTheme="minorEastAsia" w:hAnsiTheme="minorHAnsi" w:cstheme="minorBidi"/>
              <w:noProof/>
              <w:lang w:eastAsia="en-AU"/>
            </w:rPr>
          </w:pPr>
          <w:hyperlink w:anchor="_Toc490579736" w:history="1">
            <w:r w:rsidR="00F50C7E" w:rsidRPr="003E5E97">
              <w:rPr>
                <w:rStyle w:val="Hyperlink"/>
                <w:noProof/>
              </w:rPr>
              <w:t>9.1.</w:t>
            </w:r>
            <w:r w:rsidR="00F50C7E">
              <w:rPr>
                <w:rFonts w:asciiTheme="minorHAnsi" w:eastAsiaTheme="minorEastAsia" w:hAnsiTheme="minorHAnsi" w:cstheme="minorBidi"/>
                <w:noProof/>
                <w:lang w:eastAsia="en-AU"/>
              </w:rPr>
              <w:tab/>
            </w:r>
            <w:r w:rsidR="00F50C7E" w:rsidRPr="003E5E97">
              <w:rPr>
                <w:rStyle w:val="Hyperlink"/>
                <w:noProof/>
              </w:rPr>
              <w:t>First round assessment of benefits</w:t>
            </w:r>
            <w:r w:rsidR="00F50C7E">
              <w:rPr>
                <w:noProof/>
                <w:webHidden/>
              </w:rPr>
              <w:tab/>
            </w:r>
            <w:r w:rsidR="00F50C7E">
              <w:rPr>
                <w:noProof/>
                <w:webHidden/>
              </w:rPr>
              <w:fldChar w:fldCharType="begin"/>
            </w:r>
            <w:r w:rsidR="00F50C7E">
              <w:rPr>
                <w:noProof/>
                <w:webHidden/>
              </w:rPr>
              <w:instrText xml:space="preserve"> PAGEREF _Toc490579736 \h </w:instrText>
            </w:r>
            <w:r w:rsidR="00F50C7E">
              <w:rPr>
                <w:noProof/>
                <w:webHidden/>
              </w:rPr>
            </w:r>
            <w:r w:rsidR="00F50C7E">
              <w:rPr>
                <w:noProof/>
                <w:webHidden/>
              </w:rPr>
              <w:fldChar w:fldCharType="separate"/>
            </w:r>
            <w:r w:rsidR="00F50C7E">
              <w:rPr>
                <w:noProof/>
                <w:webHidden/>
              </w:rPr>
              <w:t>37</w:t>
            </w:r>
            <w:r w:rsidR="00F50C7E">
              <w:rPr>
                <w:noProof/>
                <w:webHidden/>
              </w:rPr>
              <w:fldChar w:fldCharType="end"/>
            </w:r>
          </w:hyperlink>
        </w:p>
        <w:p w14:paraId="121FE4F3" w14:textId="77777777" w:rsidR="00F50C7E" w:rsidRDefault="002932ED">
          <w:pPr>
            <w:pStyle w:val="TOC3"/>
            <w:tabs>
              <w:tab w:val="left" w:pos="1575"/>
            </w:tabs>
            <w:rPr>
              <w:rFonts w:asciiTheme="minorHAnsi" w:eastAsiaTheme="minorEastAsia" w:hAnsiTheme="minorHAnsi" w:cstheme="minorBidi"/>
              <w:noProof/>
              <w:lang w:eastAsia="en-AU"/>
            </w:rPr>
          </w:pPr>
          <w:hyperlink w:anchor="_Toc490579737" w:history="1">
            <w:r w:rsidR="00F50C7E" w:rsidRPr="003E5E97">
              <w:rPr>
                <w:rStyle w:val="Hyperlink"/>
                <w:noProof/>
              </w:rPr>
              <w:t>9.2.</w:t>
            </w:r>
            <w:r w:rsidR="00F50C7E">
              <w:rPr>
                <w:rFonts w:asciiTheme="minorHAnsi" w:eastAsiaTheme="minorEastAsia" w:hAnsiTheme="minorHAnsi" w:cstheme="minorBidi"/>
                <w:noProof/>
                <w:lang w:eastAsia="en-AU"/>
              </w:rPr>
              <w:tab/>
            </w:r>
            <w:r w:rsidR="00F50C7E" w:rsidRPr="003E5E97">
              <w:rPr>
                <w:rStyle w:val="Hyperlink"/>
                <w:noProof/>
              </w:rPr>
              <w:t>First round assessment of risks</w:t>
            </w:r>
            <w:r w:rsidR="00F50C7E">
              <w:rPr>
                <w:noProof/>
                <w:webHidden/>
              </w:rPr>
              <w:tab/>
            </w:r>
            <w:r w:rsidR="00F50C7E">
              <w:rPr>
                <w:noProof/>
                <w:webHidden/>
              </w:rPr>
              <w:fldChar w:fldCharType="begin"/>
            </w:r>
            <w:r w:rsidR="00F50C7E">
              <w:rPr>
                <w:noProof/>
                <w:webHidden/>
              </w:rPr>
              <w:instrText xml:space="preserve"> PAGEREF _Toc490579737 \h </w:instrText>
            </w:r>
            <w:r w:rsidR="00F50C7E">
              <w:rPr>
                <w:noProof/>
                <w:webHidden/>
              </w:rPr>
            </w:r>
            <w:r w:rsidR="00F50C7E">
              <w:rPr>
                <w:noProof/>
                <w:webHidden/>
              </w:rPr>
              <w:fldChar w:fldCharType="separate"/>
            </w:r>
            <w:r w:rsidR="00F50C7E">
              <w:rPr>
                <w:noProof/>
                <w:webHidden/>
              </w:rPr>
              <w:t>37</w:t>
            </w:r>
            <w:r w:rsidR="00F50C7E">
              <w:rPr>
                <w:noProof/>
                <w:webHidden/>
              </w:rPr>
              <w:fldChar w:fldCharType="end"/>
            </w:r>
          </w:hyperlink>
        </w:p>
        <w:p w14:paraId="6C9EEAA2" w14:textId="77777777" w:rsidR="00F50C7E" w:rsidRDefault="002932ED">
          <w:pPr>
            <w:pStyle w:val="TOC3"/>
            <w:tabs>
              <w:tab w:val="left" w:pos="1575"/>
            </w:tabs>
            <w:rPr>
              <w:rFonts w:asciiTheme="minorHAnsi" w:eastAsiaTheme="minorEastAsia" w:hAnsiTheme="minorHAnsi" w:cstheme="minorBidi"/>
              <w:noProof/>
              <w:lang w:eastAsia="en-AU"/>
            </w:rPr>
          </w:pPr>
          <w:hyperlink w:anchor="_Toc490579738" w:history="1">
            <w:r w:rsidR="00F50C7E" w:rsidRPr="003E5E97">
              <w:rPr>
                <w:rStyle w:val="Hyperlink"/>
                <w:noProof/>
              </w:rPr>
              <w:t>9.3.</w:t>
            </w:r>
            <w:r w:rsidR="00F50C7E">
              <w:rPr>
                <w:rFonts w:asciiTheme="minorHAnsi" w:eastAsiaTheme="minorEastAsia" w:hAnsiTheme="minorHAnsi" w:cstheme="minorBidi"/>
                <w:noProof/>
                <w:lang w:eastAsia="en-AU"/>
              </w:rPr>
              <w:tab/>
            </w:r>
            <w:r w:rsidR="00F50C7E" w:rsidRPr="003E5E97">
              <w:rPr>
                <w:rStyle w:val="Hyperlink"/>
                <w:noProof/>
              </w:rPr>
              <w:t>First round assessment of benefit-risk balance</w:t>
            </w:r>
            <w:r w:rsidR="00F50C7E">
              <w:rPr>
                <w:noProof/>
                <w:webHidden/>
              </w:rPr>
              <w:tab/>
            </w:r>
            <w:r w:rsidR="00F50C7E">
              <w:rPr>
                <w:noProof/>
                <w:webHidden/>
              </w:rPr>
              <w:fldChar w:fldCharType="begin"/>
            </w:r>
            <w:r w:rsidR="00F50C7E">
              <w:rPr>
                <w:noProof/>
                <w:webHidden/>
              </w:rPr>
              <w:instrText xml:space="preserve"> PAGEREF _Toc490579738 \h </w:instrText>
            </w:r>
            <w:r w:rsidR="00F50C7E">
              <w:rPr>
                <w:noProof/>
                <w:webHidden/>
              </w:rPr>
            </w:r>
            <w:r w:rsidR="00F50C7E">
              <w:rPr>
                <w:noProof/>
                <w:webHidden/>
              </w:rPr>
              <w:fldChar w:fldCharType="separate"/>
            </w:r>
            <w:r w:rsidR="00F50C7E">
              <w:rPr>
                <w:noProof/>
                <w:webHidden/>
              </w:rPr>
              <w:t>37</w:t>
            </w:r>
            <w:r w:rsidR="00F50C7E">
              <w:rPr>
                <w:noProof/>
                <w:webHidden/>
              </w:rPr>
              <w:fldChar w:fldCharType="end"/>
            </w:r>
          </w:hyperlink>
        </w:p>
        <w:p w14:paraId="279C3713" w14:textId="77777777" w:rsidR="00F50C7E" w:rsidRDefault="002932ED">
          <w:pPr>
            <w:pStyle w:val="TOC2"/>
            <w:tabs>
              <w:tab w:val="left" w:pos="1247"/>
            </w:tabs>
            <w:rPr>
              <w:rFonts w:asciiTheme="minorHAnsi" w:eastAsiaTheme="minorEastAsia" w:hAnsiTheme="minorHAnsi" w:cstheme="minorBidi"/>
              <w:b w:val="0"/>
              <w:noProof/>
              <w:sz w:val="22"/>
              <w:lang w:eastAsia="en-AU"/>
            </w:rPr>
          </w:pPr>
          <w:hyperlink w:anchor="_Toc490579739" w:history="1">
            <w:r w:rsidR="00F50C7E" w:rsidRPr="003E5E97">
              <w:rPr>
                <w:rStyle w:val="Hyperlink"/>
                <w:noProof/>
              </w:rPr>
              <w:t>10.</w:t>
            </w:r>
            <w:r w:rsidR="00F50C7E">
              <w:rPr>
                <w:rFonts w:asciiTheme="minorHAnsi" w:eastAsiaTheme="minorEastAsia" w:hAnsiTheme="minorHAnsi" w:cstheme="minorBidi"/>
                <w:b w:val="0"/>
                <w:noProof/>
                <w:sz w:val="22"/>
                <w:lang w:eastAsia="en-AU"/>
              </w:rPr>
              <w:tab/>
            </w:r>
            <w:r w:rsidR="00F50C7E" w:rsidRPr="003E5E97">
              <w:rPr>
                <w:rStyle w:val="Hyperlink"/>
                <w:noProof/>
              </w:rPr>
              <w:t>First round recommendation regarding authorisation</w:t>
            </w:r>
            <w:r w:rsidR="00F50C7E">
              <w:rPr>
                <w:noProof/>
                <w:webHidden/>
              </w:rPr>
              <w:tab/>
            </w:r>
            <w:r w:rsidR="00F50C7E">
              <w:rPr>
                <w:noProof/>
                <w:webHidden/>
              </w:rPr>
              <w:fldChar w:fldCharType="begin"/>
            </w:r>
            <w:r w:rsidR="00F50C7E">
              <w:rPr>
                <w:noProof/>
                <w:webHidden/>
              </w:rPr>
              <w:instrText xml:space="preserve"> PAGEREF _Toc490579739 \h </w:instrText>
            </w:r>
            <w:r w:rsidR="00F50C7E">
              <w:rPr>
                <w:noProof/>
                <w:webHidden/>
              </w:rPr>
            </w:r>
            <w:r w:rsidR="00F50C7E">
              <w:rPr>
                <w:noProof/>
                <w:webHidden/>
              </w:rPr>
              <w:fldChar w:fldCharType="separate"/>
            </w:r>
            <w:r w:rsidR="00F50C7E">
              <w:rPr>
                <w:noProof/>
                <w:webHidden/>
              </w:rPr>
              <w:t>37</w:t>
            </w:r>
            <w:r w:rsidR="00F50C7E">
              <w:rPr>
                <w:noProof/>
                <w:webHidden/>
              </w:rPr>
              <w:fldChar w:fldCharType="end"/>
            </w:r>
          </w:hyperlink>
        </w:p>
        <w:p w14:paraId="2EF98EDF" w14:textId="77777777" w:rsidR="00F50C7E" w:rsidRDefault="002932ED">
          <w:pPr>
            <w:pStyle w:val="TOC2"/>
            <w:tabs>
              <w:tab w:val="left" w:pos="1247"/>
            </w:tabs>
            <w:rPr>
              <w:rFonts w:asciiTheme="minorHAnsi" w:eastAsiaTheme="minorEastAsia" w:hAnsiTheme="minorHAnsi" w:cstheme="minorBidi"/>
              <w:b w:val="0"/>
              <w:noProof/>
              <w:sz w:val="22"/>
              <w:lang w:eastAsia="en-AU"/>
            </w:rPr>
          </w:pPr>
          <w:hyperlink w:anchor="_Toc490579740" w:history="1">
            <w:r w:rsidR="00F50C7E" w:rsidRPr="003E5E97">
              <w:rPr>
                <w:rStyle w:val="Hyperlink"/>
                <w:noProof/>
              </w:rPr>
              <w:t>11.</w:t>
            </w:r>
            <w:r w:rsidR="00F50C7E">
              <w:rPr>
                <w:rFonts w:asciiTheme="minorHAnsi" w:eastAsiaTheme="minorEastAsia" w:hAnsiTheme="minorHAnsi" w:cstheme="minorBidi"/>
                <w:b w:val="0"/>
                <w:noProof/>
                <w:sz w:val="22"/>
                <w:lang w:eastAsia="en-AU"/>
              </w:rPr>
              <w:tab/>
            </w:r>
            <w:r w:rsidR="00F50C7E" w:rsidRPr="003E5E97">
              <w:rPr>
                <w:rStyle w:val="Hyperlink"/>
                <w:noProof/>
              </w:rPr>
              <w:t>Clinical questions</w:t>
            </w:r>
            <w:r w:rsidR="00F50C7E">
              <w:rPr>
                <w:noProof/>
                <w:webHidden/>
              </w:rPr>
              <w:tab/>
            </w:r>
            <w:r w:rsidR="00F50C7E">
              <w:rPr>
                <w:noProof/>
                <w:webHidden/>
              </w:rPr>
              <w:fldChar w:fldCharType="begin"/>
            </w:r>
            <w:r w:rsidR="00F50C7E">
              <w:rPr>
                <w:noProof/>
                <w:webHidden/>
              </w:rPr>
              <w:instrText xml:space="preserve"> PAGEREF _Toc490579740 \h </w:instrText>
            </w:r>
            <w:r w:rsidR="00F50C7E">
              <w:rPr>
                <w:noProof/>
                <w:webHidden/>
              </w:rPr>
            </w:r>
            <w:r w:rsidR="00F50C7E">
              <w:rPr>
                <w:noProof/>
                <w:webHidden/>
              </w:rPr>
              <w:fldChar w:fldCharType="separate"/>
            </w:r>
            <w:r w:rsidR="00F50C7E">
              <w:rPr>
                <w:noProof/>
                <w:webHidden/>
              </w:rPr>
              <w:t>38</w:t>
            </w:r>
            <w:r w:rsidR="00F50C7E">
              <w:rPr>
                <w:noProof/>
                <w:webHidden/>
              </w:rPr>
              <w:fldChar w:fldCharType="end"/>
            </w:r>
          </w:hyperlink>
        </w:p>
        <w:p w14:paraId="36EAD8FA" w14:textId="77777777" w:rsidR="00F50C7E" w:rsidRDefault="002932ED">
          <w:pPr>
            <w:pStyle w:val="TOC3"/>
            <w:tabs>
              <w:tab w:val="left" w:pos="1697"/>
            </w:tabs>
            <w:rPr>
              <w:rFonts w:asciiTheme="minorHAnsi" w:eastAsiaTheme="minorEastAsia" w:hAnsiTheme="minorHAnsi" w:cstheme="minorBidi"/>
              <w:noProof/>
              <w:lang w:eastAsia="en-AU"/>
            </w:rPr>
          </w:pPr>
          <w:hyperlink w:anchor="_Toc490579741" w:history="1">
            <w:r w:rsidR="00F50C7E" w:rsidRPr="003E5E97">
              <w:rPr>
                <w:rStyle w:val="Hyperlink"/>
                <w:noProof/>
              </w:rPr>
              <w:t>11.1.</w:t>
            </w:r>
            <w:r w:rsidR="00F50C7E">
              <w:rPr>
                <w:rFonts w:asciiTheme="minorHAnsi" w:eastAsiaTheme="minorEastAsia" w:hAnsiTheme="minorHAnsi" w:cstheme="minorBidi"/>
                <w:noProof/>
                <w:lang w:eastAsia="en-AU"/>
              </w:rPr>
              <w:tab/>
            </w:r>
            <w:r w:rsidR="00F50C7E" w:rsidRPr="003E5E97">
              <w:rPr>
                <w:rStyle w:val="Hyperlink"/>
                <w:noProof/>
              </w:rPr>
              <w:t>Additional expert input</w:t>
            </w:r>
            <w:r w:rsidR="00F50C7E">
              <w:rPr>
                <w:noProof/>
                <w:webHidden/>
              </w:rPr>
              <w:tab/>
            </w:r>
            <w:r w:rsidR="00F50C7E">
              <w:rPr>
                <w:noProof/>
                <w:webHidden/>
              </w:rPr>
              <w:fldChar w:fldCharType="begin"/>
            </w:r>
            <w:r w:rsidR="00F50C7E">
              <w:rPr>
                <w:noProof/>
                <w:webHidden/>
              </w:rPr>
              <w:instrText xml:space="preserve"> PAGEREF _Toc490579741 \h </w:instrText>
            </w:r>
            <w:r w:rsidR="00F50C7E">
              <w:rPr>
                <w:noProof/>
                <w:webHidden/>
              </w:rPr>
            </w:r>
            <w:r w:rsidR="00F50C7E">
              <w:rPr>
                <w:noProof/>
                <w:webHidden/>
              </w:rPr>
              <w:fldChar w:fldCharType="separate"/>
            </w:r>
            <w:r w:rsidR="00F50C7E">
              <w:rPr>
                <w:noProof/>
                <w:webHidden/>
              </w:rPr>
              <w:t>38</w:t>
            </w:r>
            <w:r w:rsidR="00F50C7E">
              <w:rPr>
                <w:noProof/>
                <w:webHidden/>
              </w:rPr>
              <w:fldChar w:fldCharType="end"/>
            </w:r>
          </w:hyperlink>
        </w:p>
        <w:p w14:paraId="6A92D219" w14:textId="77777777" w:rsidR="00F50C7E" w:rsidRDefault="002932ED">
          <w:pPr>
            <w:pStyle w:val="TOC3"/>
            <w:tabs>
              <w:tab w:val="left" w:pos="1697"/>
            </w:tabs>
            <w:rPr>
              <w:rFonts w:asciiTheme="minorHAnsi" w:eastAsiaTheme="minorEastAsia" w:hAnsiTheme="minorHAnsi" w:cstheme="minorBidi"/>
              <w:noProof/>
              <w:lang w:eastAsia="en-AU"/>
            </w:rPr>
          </w:pPr>
          <w:hyperlink w:anchor="_Toc490579742" w:history="1">
            <w:r w:rsidR="00F50C7E" w:rsidRPr="003E5E97">
              <w:rPr>
                <w:rStyle w:val="Hyperlink"/>
                <w:noProof/>
              </w:rPr>
              <w:t>11.2.</w:t>
            </w:r>
            <w:r w:rsidR="00F50C7E">
              <w:rPr>
                <w:rFonts w:asciiTheme="minorHAnsi" w:eastAsiaTheme="minorEastAsia" w:hAnsiTheme="minorHAnsi" w:cstheme="minorBidi"/>
                <w:noProof/>
                <w:lang w:eastAsia="en-AU"/>
              </w:rPr>
              <w:tab/>
            </w:r>
            <w:r w:rsidR="00F50C7E" w:rsidRPr="003E5E97">
              <w:rPr>
                <w:rStyle w:val="Hyperlink"/>
                <w:noProof/>
              </w:rPr>
              <w:t>Clinical questions</w:t>
            </w:r>
            <w:r w:rsidR="00F50C7E">
              <w:rPr>
                <w:noProof/>
                <w:webHidden/>
              </w:rPr>
              <w:tab/>
            </w:r>
            <w:r w:rsidR="00F50C7E">
              <w:rPr>
                <w:noProof/>
                <w:webHidden/>
              </w:rPr>
              <w:fldChar w:fldCharType="begin"/>
            </w:r>
            <w:r w:rsidR="00F50C7E">
              <w:rPr>
                <w:noProof/>
                <w:webHidden/>
              </w:rPr>
              <w:instrText xml:space="preserve"> PAGEREF _Toc490579742 \h </w:instrText>
            </w:r>
            <w:r w:rsidR="00F50C7E">
              <w:rPr>
                <w:noProof/>
                <w:webHidden/>
              </w:rPr>
            </w:r>
            <w:r w:rsidR="00F50C7E">
              <w:rPr>
                <w:noProof/>
                <w:webHidden/>
              </w:rPr>
              <w:fldChar w:fldCharType="separate"/>
            </w:r>
            <w:r w:rsidR="00F50C7E">
              <w:rPr>
                <w:noProof/>
                <w:webHidden/>
              </w:rPr>
              <w:t>38</w:t>
            </w:r>
            <w:r w:rsidR="00F50C7E">
              <w:rPr>
                <w:noProof/>
                <w:webHidden/>
              </w:rPr>
              <w:fldChar w:fldCharType="end"/>
            </w:r>
          </w:hyperlink>
        </w:p>
        <w:p w14:paraId="1D92FCC6" w14:textId="77777777" w:rsidR="00F50C7E" w:rsidRDefault="002932ED">
          <w:pPr>
            <w:pStyle w:val="TOC2"/>
            <w:tabs>
              <w:tab w:val="left" w:pos="1247"/>
            </w:tabs>
            <w:rPr>
              <w:rFonts w:asciiTheme="minorHAnsi" w:eastAsiaTheme="minorEastAsia" w:hAnsiTheme="minorHAnsi" w:cstheme="minorBidi"/>
              <w:b w:val="0"/>
              <w:noProof/>
              <w:sz w:val="22"/>
              <w:lang w:eastAsia="en-AU"/>
            </w:rPr>
          </w:pPr>
          <w:hyperlink w:anchor="_Toc490579743" w:history="1">
            <w:r w:rsidR="00F50C7E" w:rsidRPr="003E5E97">
              <w:rPr>
                <w:rStyle w:val="Hyperlink"/>
                <w:noProof/>
              </w:rPr>
              <w:t>12.</w:t>
            </w:r>
            <w:r w:rsidR="00F50C7E">
              <w:rPr>
                <w:rFonts w:asciiTheme="minorHAnsi" w:eastAsiaTheme="minorEastAsia" w:hAnsiTheme="minorHAnsi" w:cstheme="minorBidi"/>
                <w:b w:val="0"/>
                <w:noProof/>
                <w:sz w:val="22"/>
                <w:lang w:eastAsia="en-AU"/>
              </w:rPr>
              <w:tab/>
            </w:r>
            <w:r w:rsidR="00F50C7E" w:rsidRPr="003E5E97">
              <w:rPr>
                <w:rStyle w:val="Hyperlink"/>
                <w:noProof/>
              </w:rPr>
              <w:t>Second round evaluation of clinical data submitted in response to questions</w:t>
            </w:r>
            <w:r w:rsidR="00F50C7E">
              <w:rPr>
                <w:noProof/>
                <w:webHidden/>
              </w:rPr>
              <w:tab/>
            </w:r>
            <w:r w:rsidR="00F50C7E">
              <w:rPr>
                <w:noProof/>
                <w:webHidden/>
              </w:rPr>
              <w:fldChar w:fldCharType="begin"/>
            </w:r>
            <w:r w:rsidR="00F50C7E">
              <w:rPr>
                <w:noProof/>
                <w:webHidden/>
              </w:rPr>
              <w:instrText xml:space="preserve"> PAGEREF _Toc490579743 \h </w:instrText>
            </w:r>
            <w:r w:rsidR="00F50C7E">
              <w:rPr>
                <w:noProof/>
                <w:webHidden/>
              </w:rPr>
            </w:r>
            <w:r w:rsidR="00F50C7E">
              <w:rPr>
                <w:noProof/>
                <w:webHidden/>
              </w:rPr>
              <w:fldChar w:fldCharType="separate"/>
            </w:r>
            <w:r w:rsidR="00F50C7E">
              <w:rPr>
                <w:noProof/>
                <w:webHidden/>
              </w:rPr>
              <w:t>38</w:t>
            </w:r>
            <w:r w:rsidR="00F50C7E">
              <w:rPr>
                <w:noProof/>
                <w:webHidden/>
              </w:rPr>
              <w:fldChar w:fldCharType="end"/>
            </w:r>
          </w:hyperlink>
        </w:p>
        <w:p w14:paraId="2AF7FCCA" w14:textId="77777777" w:rsidR="00F50C7E" w:rsidRDefault="002932ED">
          <w:pPr>
            <w:pStyle w:val="TOC3"/>
            <w:tabs>
              <w:tab w:val="left" w:pos="1697"/>
            </w:tabs>
            <w:rPr>
              <w:rFonts w:asciiTheme="minorHAnsi" w:eastAsiaTheme="minorEastAsia" w:hAnsiTheme="minorHAnsi" w:cstheme="minorBidi"/>
              <w:noProof/>
              <w:lang w:eastAsia="en-AU"/>
            </w:rPr>
          </w:pPr>
          <w:hyperlink w:anchor="_Toc490579744" w:history="1">
            <w:r w:rsidR="00F50C7E" w:rsidRPr="003E5E97">
              <w:rPr>
                <w:rStyle w:val="Hyperlink"/>
                <w:noProof/>
              </w:rPr>
              <w:t>12.1.</w:t>
            </w:r>
            <w:r w:rsidR="00F50C7E">
              <w:rPr>
                <w:rFonts w:asciiTheme="minorHAnsi" w:eastAsiaTheme="minorEastAsia" w:hAnsiTheme="minorHAnsi" w:cstheme="minorBidi"/>
                <w:noProof/>
                <w:lang w:eastAsia="en-AU"/>
              </w:rPr>
              <w:tab/>
            </w:r>
            <w:r w:rsidR="00F50C7E" w:rsidRPr="003E5E97">
              <w:rPr>
                <w:rStyle w:val="Hyperlink"/>
                <w:noProof/>
              </w:rPr>
              <w:t>Efficacy</w:t>
            </w:r>
            <w:r w:rsidR="00F50C7E">
              <w:rPr>
                <w:noProof/>
                <w:webHidden/>
              </w:rPr>
              <w:tab/>
            </w:r>
            <w:r w:rsidR="00F50C7E">
              <w:rPr>
                <w:noProof/>
                <w:webHidden/>
              </w:rPr>
              <w:fldChar w:fldCharType="begin"/>
            </w:r>
            <w:r w:rsidR="00F50C7E">
              <w:rPr>
                <w:noProof/>
                <w:webHidden/>
              </w:rPr>
              <w:instrText xml:space="preserve"> PAGEREF _Toc490579744 \h </w:instrText>
            </w:r>
            <w:r w:rsidR="00F50C7E">
              <w:rPr>
                <w:noProof/>
                <w:webHidden/>
              </w:rPr>
            </w:r>
            <w:r w:rsidR="00F50C7E">
              <w:rPr>
                <w:noProof/>
                <w:webHidden/>
              </w:rPr>
              <w:fldChar w:fldCharType="separate"/>
            </w:r>
            <w:r w:rsidR="00F50C7E">
              <w:rPr>
                <w:noProof/>
                <w:webHidden/>
              </w:rPr>
              <w:t>38</w:t>
            </w:r>
            <w:r w:rsidR="00F50C7E">
              <w:rPr>
                <w:noProof/>
                <w:webHidden/>
              </w:rPr>
              <w:fldChar w:fldCharType="end"/>
            </w:r>
          </w:hyperlink>
        </w:p>
        <w:p w14:paraId="06A9A874" w14:textId="77777777" w:rsidR="00F50C7E" w:rsidRDefault="002932ED">
          <w:pPr>
            <w:pStyle w:val="TOC2"/>
            <w:tabs>
              <w:tab w:val="left" w:pos="1247"/>
            </w:tabs>
            <w:rPr>
              <w:rFonts w:asciiTheme="minorHAnsi" w:eastAsiaTheme="minorEastAsia" w:hAnsiTheme="minorHAnsi" w:cstheme="minorBidi"/>
              <w:b w:val="0"/>
              <w:noProof/>
              <w:sz w:val="22"/>
              <w:lang w:eastAsia="en-AU"/>
            </w:rPr>
          </w:pPr>
          <w:hyperlink w:anchor="_Toc490579745" w:history="1">
            <w:r w:rsidR="00F50C7E" w:rsidRPr="003E5E97">
              <w:rPr>
                <w:rStyle w:val="Hyperlink"/>
                <w:noProof/>
              </w:rPr>
              <w:t>13.</w:t>
            </w:r>
            <w:r w:rsidR="00F50C7E">
              <w:rPr>
                <w:rFonts w:asciiTheme="minorHAnsi" w:eastAsiaTheme="minorEastAsia" w:hAnsiTheme="minorHAnsi" w:cstheme="minorBidi"/>
                <w:b w:val="0"/>
                <w:noProof/>
                <w:sz w:val="22"/>
                <w:lang w:eastAsia="en-AU"/>
              </w:rPr>
              <w:tab/>
            </w:r>
            <w:r w:rsidR="00F50C7E" w:rsidRPr="003E5E97">
              <w:rPr>
                <w:rStyle w:val="Hyperlink"/>
                <w:noProof/>
              </w:rPr>
              <w:t>Second round benefit-risk assessment</w:t>
            </w:r>
            <w:r w:rsidR="00F50C7E">
              <w:rPr>
                <w:noProof/>
                <w:webHidden/>
              </w:rPr>
              <w:tab/>
            </w:r>
            <w:r w:rsidR="00F50C7E">
              <w:rPr>
                <w:noProof/>
                <w:webHidden/>
              </w:rPr>
              <w:fldChar w:fldCharType="begin"/>
            </w:r>
            <w:r w:rsidR="00F50C7E">
              <w:rPr>
                <w:noProof/>
                <w:webHidden/>
              </w:rPr>
              <w:instrText xml:space="preserve"> PAGEREF _Toc490579745 \h </w:instrText>
            </w:r>
            <w:r w:rsidR="00F50C7E">
              <w:rPr>
                <w:noProof/>
                <w:webHidden/>
              </w:rPr>
            </w:r>
            <w:r w:rsidR="00F50C7E">
              <w:rPr>
                <w:noProof/>
                <w:webHidden/>
              </w:rPr>
              <w:fldChar w:fldCharType="separate"/>
            </w:r>
            <w:r w:rsidR="00F50C7E">
              <w:rPr>
                <w:noProof/>
                <w:webHidden/>
              </w:rPr>
              <w:t>40</w:t>
            </w:r>
            <w:r w:rsidR="00F50C7E">
              <w:rPr>
                <w:noProof/>
                <w:webHidden/>
              </w:rPr>
              <w:fldChar w:fldCharType="end"/>
            </w:r>
          </w:hyperlink>
        </w:p>
        <w:p w14:paraId="35B0202A" w14:textId="77777777" w:rsidR="00F50C7E" w:rsidRDefault="002932ED">
          <w:pPr>
            <w:pStyle w:val="TOC3"/>
            <w:tabs>
              <w:tab w:val="left" w:pos="1697"/>
            </w:tabs>
            <w:rPr>
              <w:rFonts w:asciiTheme="minorHAnsi" w:eastAsiaTheme="minorEastAsia" w:hAnsiTheme="minorHAnsi" w:cstheme="minorBidi"/>
              <w:noProof/>
              <w:lang w:eastAsia="en-AU"/>
            </w:rPr>
          </w:pPr>
          <w:hyperlink w:anchor="_Toc490579746" w:history="1">
            <w:r w:rsidR="00F50C7E" w:rsidRPr="003E5E97">
              <w:rPr>
                <w:rStyle w:val="Hyperlink"/>
                <w:noProof/>
              </w:rPr>
              <w:t>13.1.</w:t>
            </w:r>
            <w:r w:rsidR="00F50C7E">
              <w:rPr>
                <w:rFonts w:asciiTheme="minorHAnsi" w:eastAsiaTheme="minorEastAsia" w:hAnsiTheme="minorHAnsi" w:cstheme="minorBidi"/>
                <w:noProof/>
                <w:lang w:eastAsia="en-AU"/>
              </w:rPr>
              <w:tab/>
            </w:r>
            <w:r w:rsidR="00F50C7E" w:rsidRPr="003E5E97">
              <w:rPr>
                <w:rStyle w:val="Hyperlink"/>
                <w:noProof/>
              </w:rPr>
              <w:t>Second round assessment of benefits</w:t>
            </w:r>
            <w:r w:rsidR="00F50C7E">
              <w:rPr>
                <w:noProof/>
                <w:webHidden/>
              </w:rPr>
              <w:tab/>
            </w:r>
            <w:r w:rsidR="00F50C7E">
              <w:rPr>
                <w:noProof/>
                <w:webHidden/>
              </w:rPr>
              <w:fldChar w:fldCharType="begin"/>
            </w:r>
            <w:r w:rsidR="00F50C7E">
              <w:rPr>
                <w:noProof/>
                <w:webHidden/>
              </w:rPr>
              <w:instrText xml:space="preserve"> PAGEREF _Toc490579746 \h </w:instrText>
            </w:r>
            <w:r w:rsidR="00F50C7E">
              <w:rPr>
                <w:noProof/>
                <w:webHidden/>
              </w:rPr>
            </w:r>
            <w:r w:rsidR="00F50C7E">
              <w:rPr>
                <w:noProof/>
                <w:webHidden/>
              </w:rPr>
              <w:fldChar w:fldCharType="separate"/>
            </w:r>
            <w:r w:rsidR="00F50C7E">
              <w:rPr>
                <w:noProof/>
                <w:webHidden/>
              </w:rPr>
              <w:t>40</w:t>
            </w:r>
            <w:r w:rsidR="00F50C7E">
              <w:rPr>
                <w:noProof/>
                <w:webHidden/>
              </w:rPr>
              <w:fldChar w:fldCharType="end"/>
            </w:r>
          </w:hyperlink>
        </w:p>
        <w:p w14:paraId="40CEC3AC" w14:textId="77777777" w:rsidR="00F50C7E" w:rsidRDefault="002932ED">
          <w:pPr>
            <w:pStyle w:val="TOC3"/>
            <w:tabs>
              <w:tab w:val="left" w:pos="1697"/>
            </w:tabs>
            <w:rPr>
              <w:rFonts w:asciiTheme="minorHAnsi" w:eastAsiaTheme="minorEastAsia" w:hAnsiTheme="minorHAnsi" w:cstheme="minorBidi"/>
              <w:noProof/>
              <w:lang w:eastAsia="en-AU"/>
            </w:rPr>
          </w:pPr>
          <w:hyperlink w:anchor="_Toc490579747" w:history="1">
            <w:r w:rsidR="00F50C7E" w:rsidRPr="003E5E97">
              <w:rPr>
                <w:rStyle w:val="Hyperlink"/>
                <w:noProof/>
              </w:rPr>
              <w:t>13.2.</w:t>
            </w:r>
            <w:r w:rsidR="00F50C7E">
              <w:rPr>
                <w:rFonts w:asciiTheme="minorHAnsi" w:eastAsiaTheme="minorEastAsia" w:hAnsiTheme="minorHAnsi" w:cstheme="minorBidi"/>
                <w:noProof/>
                <w:lang w:eastAsia="en-AU"/>
              </w:rPr>
              <w:tab/>
            </w:r>
            <w:r w:rsidR="00F50C7E" w:rsidRPr="003E5E97">
              <w:rPr>
                <w:rStyle w:val="Hyperlink"/>
                <w:noProof/>
              </w:rPr>
              <w:t>Second round assessment of risks</w:t>
            </w:r>
            <w:r w:rsidR="00F50C7E">
              <w:rPr>
                <w:noProof/>
                <w:webHidden/>
              </w:rPr>
              <w:tab/>
            </w:r>
            <w:r w:rsidR="00F50C7E">
              <w:rPr>
                <w:noProof/>
                <w:webHidden/>
              </w:rPr>
              <w:fldChar w:fldCharType="begin"/>
            </w:r>
            <w:r w:rsidR="00F50C7E">
              <w:rPr>
                <w:noProof/>
                <w:webHidden/>
              </w:rPr>
              <w:instrText xml:space="preserve"> PAGEREF _Toc490579747 \h </w:instrText>
            </w:r>
            <w:r w:rsidR="00F50C7E">
              <w:rPr>
                <w:noProof/>
                <w:webHidden/>
              </w:rPr>
            </w:r>
            <w:r w:rsidR="00F50C7E">
              <w:rPr>
                <w:noProof/>
                <w:webHidden/>
              </w:rPr>
              <w:fldChar w:fldCharType="separate"/>
            </w:r>
            <w:r w:rsidR="00F50C7E">
              <w:rPr>
                <w:noProof/>
                <w:webHidden/>
              </w:rPr>
              <w:t>40</w:t>
            </w:r>
            <w:r w:rsidR="00F50C7E">
              <w:rPr>
                <w:noProof/>
                <w:webHidden/>
              </w:rPr>
              <w:fldChar w:fldCharType="end"/>
            </w:r>
          </w:hyperlink>
        </w:p>
        <w:p w14:paraId="57358436" w14:textId="77777777" w:rsidR="00F50C7E" w:rsidRDefault="002932ED">
          <w:pPr>
            <w:pStyle w:val="TOC3"/>
            <w:tabs>
              <w:tab w:val="left" w:pos="1697"/>
            </w:tabs>
            <w:rPr>
              <w:rFonts w:asciiTheme="minorHAnsi" w:eastAsiaTheme="minorEastAsia" w:hAnsiTheme="minorHAnsi" w:cstheme="minorBidi"/>
              <w:noProof/>
              <w:lang w:eastAsia="en-AU"/>
            </w:rPr>
          </w:pPr>
          <w:hyperlink w:anchor="_Toc490579748" w:history="1">
            <w:r w:rsidR="00F50C7E" w:rsidRPr="003E5E97">
              <w:rPr>
                <w:rStyle w:val="Hyperlink"/>
                <w:noProof/>
              </w:rPr>
              <w:t>13.3.</w:t>
            </w:r>
            <w:r w:rsidR="00F50C7E">
              <w:rPr>
                <w:rFonts w:asciiTheme="minorHAnsi" w:eastAsiaTheme="minorEastAsia" w:hAnsiTheme="minorHAnsi" w:cstheme="minorBidi"/>
                <w:noProof/>
                <w:lang w:eastAsia="en-AU"/>
              </w:rPr>
              <w:tab/>
            </w:r>
            <w:r w:rsidR="00F50C7E" w:rsidRPr="003E5E97">
              <w:rPr>
                <w:rStyle w:val="Hyperlink"/>
                <w:noProof/>
              </w:rPr>
              <w:t>Second round assessment of benefit-risk balance</w:t>
            </w:r>
            <w:r w:rsidR="00F50C7E">
              <w:rPr>
                <w:noProof/>
                <w:webHidden/>
              </w:rPr>
              <w:tab/>
            </w:r>
            <w:r w:rsidR="00F50C7E">
              <w:rPr>
                <w:noProof/>
                <w:webHidden/>
              </w:rPr>
              <w:fldChar w:fldCharType="begin"/>
            </w:r>
            <w:r w:rsidR="00F50C7E">
              <w:rPr>
                <w:noProof/>
                <w:webHidden/>
              </w:rPr>
              <w:instrText xml:space="preserve"> PAGEREF _Toc490579748 \h </w:instrText>
            </w:r>
            <w:r w:rsidR="00F50C7E">
              <w:rPr>
                <w:noProof/>
                <w:webHidden/>
              </w:rPr>
            </w:r>
            <w:r w:rsidR="00F50C7E">
              <w:rPr>
                <w:noProof/>
                <w:webHidden/>
              </w:rPr>
              <w:fldChar w:fldCharType="separate"/>
            </w:r>
            <w:r w:rsidR="00F50C7E">
              <w:rPr>
                <w:noProof/>
                <w:webHidden/>
              </w:rPr>
              <w:t>40</w:t>
            </w:r>
            <w:r w:rsidR="00F50C7E">
              <w:rPr>
                <w:noProof/>
                <w:webHidden/>
              </w:rPr>
              <w:fldChar w:fldCharType="end"/>
            </w:r>
          </w:hyperlink>
        </w:p>
        <w:p w14:paraId="3B1DE695" w14:textId="77777777" w:rsidR="00F50C7E" w:rsidRDefault="002932ED">
          <w:pPr>
            <w:pStyle w:val="TOC2"/>
            <w:tabs>
              <w:tab w:val="left" w:pos="1247"/>
            </w:tabs>
            <w:rPr>
              <w:rFonts w:asciiTheme="minorHAnsi" w:eastAsiaTheme="minorEastAsia" w:hAnsiTheme="minorHAnsi" w:cstheme="minorBidi"/>
              <w:b w:val="0"/>
              <w:noProof/>
              <w:sz w:val="22"/>
              <w:lang w:eastAsia="en-AU"/>
            </w:rPr>
          </w:pPr>
          <w:hyperlink w:anchor="_Toc490579749" w:history="1">
            <w:r w:rsidR="00F50C7E" w:rsidRPr="003E5E97">
              <w:rPr>
                <w:rStyle w:val="Hyperlink"/>
                <w:noProof/>
              </w:rPr>
              <w:t>14.</w:t>
            </w:r>
            <w:r w:rsidR="00F50C7E">
              <w:rPr>
                <w:rFonts w:asciiTheme="minorHAnsi" w:eastAsiaTheme="minorEastAsia" w:hAnsiTheme="minorHAnsi" w:cstheme="minorBidi"/>
                <w:b w:val="0"/>
                <w:noProof/>
                <w:sz w:val="22"/>
                <w:lang w:eastAsia="en-AU"/>
              </w:rPr>
              <w:tab/>
            </w:r>
            <w:r w:rsidR="00F50C7E" w:rsidRPr="003E5E97">
              <w:rPr>
                <w:rStyle w:val="Hyperlink"/>
                <w:noProof/>
              </w:rPr>
              <w:t>Second round recommendation regarding authorisation</w:t>
            </w:r>
            <w:r w:rsidR="00F50C7E">
              <w:rPr>
                <w:noProof/>
                <w:webHidden/>
              </w:rPr>
              <w:tab/>
            </w:r>
            <w:r w:rsidR="00F50C7E">
              <w:rPr>
                <w:noProof/>
                <w:webHidden/>
              </w:rPr>
              <w:fldChar w:fldCharType="begin"/>
            </w:r>
            <w:r w:rsidR="00F50C7E">
              <w:rPr>
                <w:noProof/>
                <w:webHidden/>
              </w:rPr>
              <w:instrText xml:space="preserve"> PAGEREF _Toc490579749 \h </w:instrText>
            </w:r>
            <w:r w:rsidR="00F50C7E">
              <w:rPr>
                <w:noProof/>
                <w:webHidden/>
              </w:rPr>
            </w:r>
            <w:r w:rsidR="00F50C7E">
              <w:rPr>
                <w:noProof/>
                <w:webHidden/>
              </w:rPr>
              <w:fldChar w:fldCharType="separate"/>
            </w:r>
            <w:r w:rsidR="00F50C7E">
              <w:rPr>
                <w:noProof/>
                <w:webHidden/>
              </w:rPr>
              <w:t>40</w:t>
            </w:r>
            <w:r w:rsidR="00F50C7E">
              <w:rPr>
                <w:noProof/>
                <w:webHidden/>
              </w:rPr>
              <w:fldChar w:fldCharType="end"/>
            </w:r>
          </w:hyperlink>
        </w:p>
        <w:p w14:paraId="0523A93D" w14:textId="77777777" w:rsidR="00F50C7E" w:rsidRDefault="002932ED">
          <w:pPr>
            <w:pStyle w:val="TOC2"/>
            <w:tabs>
              <w:tab w:val="left" w:pos="1247"/>
            </w:tabs>
            <w:rPr>
              <w:rFonts w:asciiTheme="minorHAnsi" w:eastAsiaTheme="minorEastAsia" w:hAnsiTheme="minorHAnsi" w:cstheme="minorBidi"/>
              <w:b w:val="0"/>
              <w:noProof/>
              <w:sz w:val="22"/>
              <w:lang w:eastAsia="en-AU"/>
            </w:rPr>
          </w:pPr>
          <w:hyperlink w:anchor="_Toc490579750" w:history="1">
            <w:r w:rsidR="00F50C7E" w:rsidRPr="003E5E97">
              <w:rPr>
                <w:rStyle w:val="Hyperlink"/>
                <w:noProof/>
              </w:rPr>
              <w:t>15.</w:t>
            </w:r>
            <w:r w:rsidR="00F50C7E">
              <w:rPr>
                <w:rFonts w:asciiTheme="minorHAnsi" w:eastAsiaTheme="minorEastAsia" w:hAnsiTheme="minorHAnsi" w:cstheme="minorBidi"/>
                <w:b w:val="0"/>
                <w:noProof/>
                <w:sz w:val="22"/>
                <w:lang w:eastAsia="en-AU"/>
              </w:rPr>
              <w:tab/>
            </w:r>
            <w:r w:rsidR="00F50C7E" w:rsidRPr="003E5E97">
              <w:rPr>
                <w:rStyle w:val="Hyperlink"/>
                <w:noProof/>
              </w:rPr>
              <w:t>References</w:t>
            </w:r>
            <w:r w:rsidR="00F50C7E">
              <w:rPr>
                <w:noProof/>
                <w:webHidden/>
              </w:rPr>
              <w:tab/>
            </w:r>
            <w:r w:rsidR="00F50C7E">
              <w:rPr>
                <w:noProof/>
                <w:webHidden/>
              </w:rPr>
              <w:fldChar w:fldCharType="begin"/>
            </w:r>
            <w:r w:rsidR="00F50C7E">
              <w:rPr>
                <w:noProof/>
                <w:webHidden/>
              </w:rPr>
              <w:instrText xml:space="preserve"> PAGEREF _Toc490579750 \h </w:instrText>
            </w:r>
            <w:r w:rsidR="00F50C7E">
              <w:rPr>
                <w:noProof/>
                <w:webHidden/>
              </w:rPr>
            </w:r>
            <w:r w:rsidR="00F50C7E">
              <w:rPr>
                <w:noProof/>
                <w:webHidden/>
              </w:rPr>
              <w:fldChar w:fldCharType="separate"/>
            </w:r>
            <w:r w:rsidR="00F50C7E">
              <w:rPr>
                <w:noProof/>
                <w:webHidden/>
              </w:rPr>
              <w:t>40</w:t>
            </w:r>
            <w:r w:rsidR="00F50C7E">
              <w:rPr>
                <w:noProof/>
                <w:webHidden/>
              </w:rPr>
              <w:fldChar w:fldCharType="end"/>
            </w:r>
          </w:hyperlink>
        </w:p>
        <w:p w14:paraId="2CDB1310" w14:textId="77777777" w:rsidR="003A7F6C" w:rsidRPr="00B811C6" w:rsidRDefault="004F4AF5" w:rsidP="00B811C6">
          <w:pPr>
            <w:pStyle w:val="TOC2"/>
          </w:pPr>
          <w:r>
            <w:fldChar w:fldCharType="end"/>
          </w:r>
        </w:p>
      </w:sdtContent>
    </w:sdt>
    <w:bookmarkStart w:id="3" w:name="_Toc314842482" w:displacedByCustomXml="prev"/>
    <w:p w14:paraId="55240D69" w14:textId="77777777" w:rsidR="00E52206" w:rsidRDefault="00E52206">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14:paraId="6B771784" w14:textId="0D8F7FBC" w:rsidR="00586F98" w:rsidRDefault="00586F98" w:rsidP="00586F98">
      <w:pPr>
        <w:pStyle w:val="Heading2"/>
        <w:numPr>
          <w:ilvl w:val="0"/>
          <w:numId w:val="0"/>
        </w:numPr>
      </w:pPr>
      <w:bookmarkStart w:id="7" w:name="_Toc490579705"/>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998"/>
        <w:gridCol w:w="6803"/>
      </w:tblGrid>
      <w:tr w:rsidR="00586F98" w:rsidRPr="00FD2DDF" w14:paraId="1B212BE8" w14:textId="77777777" w:rsidTr="00E522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98" w:type="dxa"/>
          </w:tcPr>
          <w:p w14:paraId="52CE0076" w14:textId="77777777" w:rsidR="00586F98" w:rsidRPr="00FD2DDF" w:rsidRDefault="00586F98" w:rsidP="00FD2DDF">
            <w:pPr>
              <w:rPr>
                <w:szCs w:val="22"/>
              </w:rPr>
            </w:pPr>
            <w:r w:rsidRPr="00FD2DDF">
              <w:rPr>
                <w:szCs w:val="22"/>
              </w:rPr>
              <w:t>Abbreviation</w:t>
            </w:r>
          </w:p>
        </w:tc>
        <w:tc>
          <w:tcPr>
            <w:tcW w:w="6803" w:type="dxa"/>
          </w:tcPr>
          <w:p w14:paraId="43F4A315" w14:textId="77777777" w:rsidR="00586F98" w:rsidRPr="00FD2DDF" w:rsidRDefault="00586F98" w:rsidP="00FD2DDF">
            <w:pPr>
              <w:cnfStyle w:val="100000000000" w:firstRow="1" w:lastRow="0" w:firstColumn="0" w:lastColumn="0" w:oddVBand="0" w:evenVBand="0" w:oddHBand="0" w:evenHBand="0" w:firstRowFirstColumn="0" w:firstRowLastColumn="0" w:lastRowFirstColumn="0" w:lastRowLastColumn="0"/>
              <w:rPr>
                <w:szCs w:val="22"/>
              </w:rPr>
            </w:pPr>
            <w:r w:rsidRPr="00FD2DDF">
              <w:rPr>
                <w:szCs w:val="22"/>
              </w:rPr>
              <w:t>Meaning</w:t>
            </w:r>
          </w:p>
        </w:tc>
      </w:tr>
      <w:tr w:rsidR="00D27983" w:rsidRPr="00FD2DDF" w14:paraId="0457C88A" w14:textId="77777777" w:rsidTr="00E52206">
        <w:trPr>
          <w:trHeight w:val="466"/>
        </w:trPr>
        <w:tc>
          <w:tcPr>
            <w:cnfStyle w:val="001000000000" w:firstRow="0" w:lastRow="0" w:firstColumn="1" w:lastColumn="0" w:oddVBand="0" w:evenVBand="0" w:oddHBand="0" w:evenHBand="0" w:firstRowFirstColumn="0" w:firstRowLastColumn="0" w:lastRowFirstColumn="0" w:lastRowLastColumn="0"/>
            <w:tcW w:w="1998" w:type="dxa"/>
          </w:tcPr>
          <w:p w14:paraId="41062D6F" w14:textId="79458AA9" w:rsidR="00D27983" w:rsidRPr="00FD2DDF" w:rsidRDefault="00D27983" w:rsidP="00FD2DDF">
            <w:pPr>
              <w:rPr>
                <w:szCs w:val="22"/>
              </w:rPr>
            </w:pPr>
            <w:r w:rsidRPr="00FD2DDF">
              <w:rPr>
                <w:rFonts w:cs="Calibri"/>
                <w:color w:val="000000"/>
                <w:szCs w:val="22"/>
              </w:rPr>
              <w:t>AE</w:t>
            </w:r>
          </w:p>
        </w:tc>
        <w:tc>
          <w:tcPr>
            <w:tcW w:w="6803" w:type="dxa"/>
          </w:tcPr>
          <w:p w14:paraId="2509CF05" w14:textId="5FEFA4CF" w:rsidR="00D27983" w:rsidRPr="00FD2DDF" w:rsidRDefault="00E52206" w:rsidP="00FD2DDF">
            <w:pPr>
              <w:cnfStyle w:val="000000000000" w:firstRow="0" w:lastRow="0" w:firstColumn="0" w:lastColumn="0" w:oddVBand="0" w:evenVBand="0" w:oddHBand="0" w:evenHBand="0" w:firstRowFirstColumn="0" w:firstRowLastColumn="0" w:lastRowFirstColumn="0" w:lastRowLastColumn="0"/>
              <w:rPr>
                <w:szCs w:val="22"/>
              </w:rPr>
            </w:pPr>
            <w:r w:rsidRPr="00FD2DDF">
              <w:rPr>
                <w:rFonts w:cs="Calibri"/>
                <w:color w:val="000000"/>
                <w:szCs w:val="22"/>
              </w:rPr>
              <w:t>A</w:t>
            </w:r>
            <w:r w:rsidR="00D27983" w:rsidRPr="00FD2DDF">
              <w:rPr>
                <w:rFonts w:cs="Calibri"/>
                <w:color w:val="000000"/>
                <w:szCs w:val="22"/>
              </w:rPr>
              <w:t>dverse event</w:t>
            </w:r>
          </w:p>
        </w:tc>
      </w:tr>
      <w:tr w:rsidR="00D27983" w:rsidRPr="00FD2DDF" w14:paraId="2F83377C" w14:textId="77777777" w:rsidTr="00E52206">
        <w:trPr>
          <w:trHeight w:val="466"/>
        </w:trPr>
        <w:tc>
          <w:tcPr>
            <w:cnfStyle w:val="001000000000" w:firstRow="0" w:lastRow="0" w:firstColumn="1" w:lastColumn="0" w:oddVBand="0" w:evenVBand="0" w:oddHBand="0" w:evenHBand="0" w:firstRowFirstColumn="0" w:firstRowLastColumn="0" w:lastRowFirstColumn="0" w:lastRowLastColumn="0"/>
            <w:tcW w:w="1998" w:type="dxa"/>
          </w:tcPr>
          <w:p w14:paraId="6167A415" w14:textId="2E716CCE" w:rsidR="00D27983" w:rsidRPr="00FD2DDF" w:rsidRDefault="00D27983" w:rsidP="00FD2DDF">
            <w:pPr>
              <w:rPr>
                <w:rFonts w:cs="Calibri"/>
                <w:color w:val="000000"/>
                <w:szCs w:val="22"/>
              </w:rPr>
            </w:pPr>
            <w:r w:rsidRPr="00FD2DDF">
              <w:rPr>
                <w:szCs w:val="22"/>
              </w:rPr>
              <w:t>AESI</w:t>
            </w:r>
          </w:p>
        </w:tc>
        <w:tc>
          <w:tcPr>
            <w:tcW w:w="6803" w:type="dxa"/>
          </w:tcPr>
          <w:p w14:paraId="600EB6AF" w14:textId="3CF8C384" w:rsidR="00D27983" w:rsidRPr="00FD2DDF" w:rsidRDefault="00E52206" w:rsidP="00FD2DDF">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FD2DDF">
              <w:rPr>
                <w:szCs w:val="22"/>
              </w:rPr>
              <w:t>Adverse event</w:t>
            </w:r>
            <w:r w:rsidR="00D27983" w:rsidRPr="00FD2DDF">
              <w:rPr>
                <w:szCs w:val="22"/>
              </w:rPr>
              <w:t xml:space="preserve"> of special interest </w:t>
            </w:r>
          </w:p>
        </w:tc>
      </w:tr>
      <w:tr w:rsidR="00D27983" w:rsidRPr="00FD2DDF" w14:paraId="2AE8A7E0" w14:textId="77777777" w:rsidTr="00E52206">
        <w:trPr>
          <w:trHeight w:val="466"/>
        </w:trPr>
        <w:tc>
          <w:tcPr>
            <w:cnfStyle w:val="001000000000" w:firstRow="0" w:lastRow="0" w:firstColumn="1" w:lastColumn="0" w:oddVBand="0" w:evenVBand="0" w:oddHBand="0" w:evenHBand="0" w:firstRowFirstColumn="0" w:firstRowLastColumn="0" w:lastRowFirstColumn="0" w:lastRowLastColumn="0"/>
            <w:tcW w:w="1998" w:type="dxa"/>
          </w:tcPr>
          <w:p w14:paraId="1A81B790" w14:textId="3A7CFDCA" w:rsidR="00D27983" w:rsidRPr="00FD2DDF" w:rsidRDefault="00D27983" w:rsidP="00FD2DDF">
            <w:pPr>
              <w:rPr>
                <w:szCs w:val="22"/>
              </w:rPr>
            </w:pPr>
            <w:r w:rsidRPr="00FD2DDF">
              <w:rPr>
                <w:rFonts w:cs="ArialNarrow"/>
                <w:szCs w:val="22"/>
              </w:rPr>
              <w:t xml:space="preserve">CDC </w:t>
            </w:r>
          </w:p>
        </w:tc>
        <w:tc>
          <w:tcPr>
            <w:tcW w:w="6803" w:type="dxa"/>
          </w:tcPr>
          <w:p w14:paraId="7D6BC81B" w14:textId="6820F7CF" w:rsidR="00D27983" w:rsidRPr="00FD2DDF" w:rsidRDefault="00D27983" w:rsidP="00FD2DDF">
            <w:pPr>
              <w:cnfStyle w:val="000000000000" w:firstRow="0" w:lastRow="0" w:firstColumn="0" w:lastColumn="0" w:oddVBand="0" w:evenVBand="0" w:oddHBand="0" w:evenHBand="0" w:firstRowFirstColumn="0" w:firstRowLastColumn="0" w:lastRowFirstColumn="0" w:lastRowLastColumn="0"/>
              <w:rPr>
                <w:szCs w:val="22"/>
              </w:rPr>
            </w:pPr>
            <w:r w:rsidRPr="00FD2DDF">
              <w:rPr>
                <w:rFonts w:cs="ArialNarrow"/>
                <w:szCs w:val="22"/>
              </w:rPr>
              <w:t>Centers of Disease Control and Prevention</w:t>
            </w:r>
          </w:p>
        </w:tc>
      </w:tr>
      <w:tr w:rsidR="00D27983" w:rsidRPr="00FD2DDF" w14:paraId="263D3144" w14:textId="77777777" w:rsidTr="005C347B">
        <w:trPr>
          <w:trHeight w:val="457"/>
        </w:trPr>
        <w:tc>
          <w:tcPr>
            <w:cnfStyle w:val="001000000000" w:firstRow="0" w:lastRow="0" w:firstColumn="1" w:lastColumn="0" w:oddVBand="0" w:evenVBand="0" w:oddHBand="0" w:evenHBand="0" w:firstRowFirstColumn="0" w:firstRowLastColumn="0" w:lastRowFirstColumn="0" w:lastRowLastColumn="0"/>
            <w:tcW w:w="1998" w:type="dxa"/>
          </w:tcPr>
          <w:p w14:paraId="4DF1504F" w14:textId="1497C3FD" w:rsidR="00D27983" w:rsidRPr="00FD2DDF" w:rsidRDefault="00D27983" w:rsidP="00FD2DDF">
            <w:pPr>
              <w:rPr>
                <w:rFonts w:cs="ArialNarrow"/>
                <w:szCs w:val="22"/>
              </w:rPr>
            </w:pPr>
            <w:r w:rsidRPr="00FD2DDF">
              <w:rPr>
                <w:rFonts w:cs="ArialNarrow"/>
                <w:szCs w:val="22"/>
              </w:rPr>
              <w:t>CHMP (CPMP)</w:t>
            </w:r>
          </w:p>
        </w:tc>
        <w:tc>
          <w:tcPr>
            <w:tcW w:w="6803" w:type="dxa"/>
          </w:tcPr>
          <w:p w14:paraId="3DA2B66C" w14:textId="1D4682ED" w:rsidR="00D27983" w:rsidRPr="00FD2DDF" w:rsidRDefault="00D27983" w:rsidP="00FD2DDF">
            <w:pPr>
              <w:cnfStyle w:val="000000000000" w:firstRow="0" w:lastRow="0" w:firstColumn="0" w:lastColumn="0" w:oddVBand="0" w:evenVBand="0" w:oddHBand="0" w:evenHBand="0" w:firstRowFirstColumn="0" w:firstRowLastColumn="0" w:lastRowFirstColumn="0" w:lastRowLastColumn="0"/>
              <w:rPr>
                <w:rFonts w:cs="ArialNarrow"/>
                <w:szCs w:val="22"/>
              </w:rPr>
            </w:pPr>
            <w:r w:rsidRPr="00FD2DDF">
              <w:rPr>
                <w:rFonts w:cs="ArialNarrow"/>
                <w:szCs w:val="22"/>
              </w:rPr>
              <w:t>Committee for Medicinal Products for Human Use</w:t>
            </w:r>
          </w:p>
        </w:tc>
      </w:tr>
      <w:tr w:rsidR="00D27983" w:rsidRPr="00FD2DDF" w14:paraId="50D71C81" w14:textId="77777777" w:rsidTr="00E52206">
        <w:trPr>
          <w:trHeight w:val="466"/>
        </w:trPr>
        <w:tc>
          <w:tcPr>
            <w:cnfStyle w:val="001000000000" w:firstRow="0" w:lastRow="0" w:firstColumn="1" w:lastColumn="0" w:oddVBand="0" w:evenVBand="0" w:oddHBand="0" w:evenHBand="0" w:firstRowFirstColumn="0" w:firstRowLastColumn="0" w:lastRowFirstColumn="0" w:lastRowLastColumn="0"/>
            <w:tcW w:w="1998" w:type="dxa"/>
          </w:tcPr>
          <w:p w14:paraId="04E8A0E0" w14:textId="676D73E0" w:rsidR="00D27983" w:rsidRPr="00FD2DDF" w:rsidRDefault="00D27983" w:rsidP="00FD2DDF">
            <w:pPr>
              <w:rPr>
                <w:rFonts w:cs="ArialNarrow"/>
                <w:szCs w:val="22"/>
              </w:rPr>
            </w:pPr>
            <w:r w:rsidRPr="00FD2DDF">
              <w:rPr>
                <w:rFonts w:cs="ArialNarrow"/>
                <w:szCs w:val="22"/>
              </w:rPr>
              <w:t xml:space="preserve">CI </w:t>
            </w:r>
          </w:p>
        </w:tc>
        <w:tc>
          <w:tcPr>
            <w:tcW w:w="6803" w:type="dxa"/>
          </w:tcPr>
          <w:p w14:paraId="6B705E1B" w14:textId="6D03519B" w:rsidR="00D27983" w:rsidRPr="00FD2DDF" w:rsidRDefault="00D27983" w:rsidP="00FD2DDF">
            <w:pPr>
              <w:cnfStyle w:val="000000000000" w:firstRow="0" w:lastRow="0" w:firstColumn="0" w:lastColumn="0" w:oddVBand="0" w:evenVBand="0" w:oddHBand="0" w:evenHBand="0" w:firstRowFirstColumn="0" w:firstRowLastColumn="0" w:lastRowFirstColumn="0" w:lastRowLastColumn="0"/>
              <w:rPr>
                <w:rFonts w:cs="ArialNarrow"/>
                <w:szCs w:val="22"/>
              </w:rPr>
            </w:pPr>
            <w:r w:rsidRPr="00FD2DDF">
              <w:rPr>
                <w:rFonts w:cs="ArialNarrow"/>
                <w:szCs w:val="22"/>
              </w:rPr>
              <w:t>Confidence Interval</w:t>
            </w:r>
          </w:p>
        </w:tc>
      </w:tr>
      <w:tr w:rsidR="00D27983" w:rsidRPr="00FD2DDF" w14:paraId="3D3FA7ED" w14:textId="77777777" w:rsidTr="00E52206">
        <w:trPr>
          <w:trHeight w:val="466"/>
        </w:trPr>
        <w:tc>
          <w:tcPr>
            <w:cnfStyle w:val="001000000000" w:firstRow="0" w:lastRow="0" w:firstColumn="1" w:lastColumn="0" w:oddVBand="0" w:evenVBand="0" w:oddHBand="0" w:evenHBand="0" w:firstRowFirstColumn="0" w:firstRowLastColumn="0" w:lastRowFirstColumn="0" w:lastRowLastColumn="0"/>
            <w:tcW w:w="1998" w:type="dxa"/>
          </w:tcPr>
          <w:p w14:paraId="53B75381" w14:textId="4E19F7B4" w:rsidR="00D27983" w:rsidRPr="00FD2DDF" w:rsidRDefault="00D27983" w:rsidP="00FD2DDF">
            <w:pPr>
              <w:rPr>
                <w:rFonts w:cs="ArialNarrow"/>
                <w:szCs w:val="22"/>
              </w:rPr>
            </w:pPr>
            <w:r w:rsidRPr="00FD2DDF">
              <w:rPr>
                <w:rFonts w:cs="ArialNarrow"/>
                <w:szCs w:val="22"/>
              </w:rPr>
              <w:t>eCRF</w:t>
            </w:r>
          </w:p>
        </w:tc>
        <w:tc>
          <w:tcPr>
            <w:tcW w:w="6803" w:type="dxa"/>
          </w:tcPr>
          <w:p w14:paraId="3B0B581A" w14:textId="55408E9A" w:rsidR="00D27983" w:rsidRPr="00FD2DDF" w:rsidRDefault="00D27983" w:rsidP="00FD2DDF">
            <w:pPr>
              <w:cnfStyle w:val="000000000000" w:firstRow="0" w:lastRow="0" w:firstColumn="0" w:lastColumn="0" w:oddVBand="0" w:evenVBand="0" w:oddHBand="0" w:evenHBand="0" w:firstRowFirstColumn="0" w:firstRowLastColumn="0" w:lastRowFirstColumn="0" w:lastRowLastColumn="0"/>
              <w:rPr>
                <w:rFonts w:cs="ArialNarrow"/>
                <w:szCs w:val="22"/>
              </w:rPr>
            </w:pPr>
            <w:r w:rsidRPr="00FD2DDF">
              <w:rPr>
                <w:rFonts w:cs="ArialNarrow"/>
                <w:szCs w:val="22"/>
              </w:rPr>
              <w:t>electronic Case Report Form</w:t>
            </w:r>
          </w:p>
        </w:tc>
      </w:tr>
      <w:tr w:rsidR="00D27983" w:rsidRPr="00FD2DDF" w14:paraId="43AC4428" w14:textId="77777777" w:rsidTr="00E52206">
        <w:trPr>
          <w:trHeight w:val="466"/>
        </w:trPr>
        <w:tc>
          <w:tcPr>
            <w:cnfStyle w:val="001000000000" w:firstRow="0" w:lastRow="0" w:firstColumn="1" w:lastColumn="0" w:oddVBand="0" w:evenVBand="0" w:oddHBand="0" w:evenHBand="0" w:firstRowFirstColumn="0" w:firstRowLastColumn="0" w:lastRowFirstColumn="0" w:lastRowLastColumn="0"/>
            <w:tcW w:w="1998" w:type="dxa"/>
          </w:tcPr>
          <w:p w14:paraId="7EACABC3" w14:textId="42BF9CC8" w:rsidR="00D27983" w:rsidRPr="00FD2DDF" w:rsidRDefault="00D27983" w:rsidP="00FD2DDF">
            <w:pPr>
              <w:rPr>
                <w:rFonts w:cs="ArialNarrow"/>
                <w:szCs w:val="22"/>
              </w:rPr>
            </w:pPr>
            <w:r w:rsidRPr="00FD2DDF">
              <w:rPr>
                <w:rFonts w:cs="ArialNarrow"/>
                <w:szCs w:val="22"/>
              </w:rPr>
              <w:t>EU</w:t>
            </w:r>
          </w:p>
        </w:tc>
        <w:tc>
          <w:tcPr>
            <w:tcW w:w="6803" w:type="dxa"/>
          </w:tcPr>
          <w:p w14:paraId="41465EB6" w14:textId="4BEE6DDC" w:rsidR="00D27983" w:rsidRPr="00FD2DDF" w:rsidRDefault="00D27983" w:rsidP="00FD2DDF">
            <w:pPr>
              <w:cnfStyle w:val="000000000000" w:firstRow="0" w:lastRow="0" w:firstColumn="0" w:lastColumn="0" w:oddVBand="0" w:evenVBand="0" w:oddHBand="0" w:evenHBand="0" w:firstRowFirstColumn="0" w:firstRowLastColumn="0" w:lastRowFirstColumn="0" w:lastRowLastColumn="0"/>
              <w:rPr>
                <w:rFonts w:cs="ArialNarrow"/>
                <w:szCs w:val="22"/>
              </w:rPr>
            </w:pPr>
            <w:r w:rsidRPr="00FD2DDF">
              <w:rPr>
                <w:rFonts w:cs="ArialNarrow"/>
                <w:szCs w:val="22"/>
              </w:rPr>
              <w:t>European Union</w:t>
            </w:r>
          </w:p>
        </w:tc>
      </w:tr>
      <w:tr w:rsidR="00D27983" w:rsidRPr="00FD2DDF" w14:paraId="3EB04F6D" w14:textId="77777777" w:rsidTr="00E52206">
        <w:trPr>
          <w:trHeight w:val="466"/>
        </w:trPr>
        <w:tc>
          <w:tcPr>
            <w:cnfStyle w:val="001000000000" w:firstRow="0" w:lastRow="0" w:firstColumn="1" w:lastColumn="0" w:oddVBand="0" w:evenVBand="0" w:oddHBand="0" w:evenHBand="0" w:firstRowFirstColumn="0" w:firstRowLastColumn="0" w:lastRowFirstColumn="0" w:lastRowLastColumn="0"/>
            <w:tcW w:w="1998" w:type="dxa"/>
          </w:tcPr>
          <w:p w14:paraId="7F285F10" w14:textId="0CE3D03C" w:rsidR="00D27983" w:rsidRPr="00FD2DDF" w:rsidRDefault="00D27983" w:rsidP="00FD2DDF">
            <w:pPr>
              <w:rPr>
                <w:rFonts w:cs="ArialNarrow"/>
                <w:szCs w:val="22"/>
              </w:rPr>
            </w:pPr>
            <w:r w:rsidRPr="00FD2DDF">
              <w:rPr>
                <w:rFonts w:cs="ArialNarrow"/>
                <w:szCs w:val="22"/>
              </w:rPr>
              <w:t>FDA</w:t>
            </w:r>
          </w:p>
        </w:tc>
        <w:tc>
          <w:tcPr>
            <w:tcW w:w="6803" w:type="dxa"/>
          </w:tcPr>
          <w:p w14:paraId="4AD3E977" w14:textId="1AB833CA" w:rsidR="00D27983" w:rsidRPr="00FD2DDF" w:rsidRDefault="00D27983" w:rsidP="00FD2DDF">
            <w:pPr>
              <w:cnfStyle w:val="000000000000" w:firstRow="0" w:lastRow="0" w:firstColumn="0" w:lastColumn="0" w:oddVBand="0" w:evenVBand="0" w:oddHBand="0" w:evenHBand="0" w:firstRowFirstColumn="0" w:firstRowLastColumn="0" w:lastRowFirstColumn="0" w:lastRowLastColumn="0"/>
              <w:rPr>
                <w:rFonts w:cs="ArialNarrow"/>
                <w:szCs w:val="22"/>
              </w:rPr>
            </w:pPr>
            <w:r w:rsidRPr="00FD2DDF">
              <w:rPr>
                <w:rFonts w:cs="ArialNarrow"/>
                <w:szCs w:val="22"/>
              </w:rPr>
              <w:t>Food and Drug Administration</w:t>
            </w:r>
          </w:p>
        </w:tc>
      </w:tr>
      <w:tr w:rsidR="00D27983" w:rsidRPr="00FD2DDF" w14:paraId="258CBFA7" w14:textId="77777777" w:rsidTr="00E52206">
        <w:trPr>
          <w:trHeight w:val="466"/>
        </w:trPr>
        <w:tc>
          <w:tcPr>
            <w:cnfStyle w:val="001000000000" w:firstRow="0" w:lastRow="0" w:firstColumn="1" w:lastColumn="0" w:oddVBand="0" w:evenVBand="0" w:oddHBand="0" w:evenHBand="0" w:firstRowFirstColumn="0" w:firstRowLastColumn="0" w:lastRowFirstColumn="0" w:lastRowLastColumn="0"/>
            <w:tcW w:w="1998" w:type="dxa"/>
          </w:tcPr>
          <w:p w14:paraId="11CECD79" w14:textId="23A12C48" w:rsidR="00D27983" w:rsidRPr="00FD2DDF" w:rsidRDefault="00D27983" w:rsidP="00FD2DDF">
            <w:pPr>
              <w:rPr>
                <w:rFonts w:cs="ArialNarrow"/>
                <w:szCs w:val="22"/>
              </w:rPr>
            </w:pPr>
            <w:r w:rsidRPr="00FD2DDF">
              <w:rPr>
                <w:rFonts w:cs="ArialNarrow"/>
                <w:szCs w:val="22"/>
              </w:rPr>
              <w:t>GBS</w:t>
            </w:r>
          </w:p>
        </w:tc>
        <w:tc>
          <w:tcPr>
            <w:tcW w:w="6803" w:type="dxa"/>
          </w:tcPr>
          <w:p w14:paraId="45AD546D" w14:textId="792C8BFC" w:rsidR="00D27983" w:rsidRPr="00FD2DDF" w:rsidRDefault="00D27983" w:rsidP="00FD2DDF">
            <w:pPr>
              <w:cnfStyle w:val="000000000000" w:firstRow="0" w:lastRow="0" w:firstColumn="0" w:lastColumn="0" w:oddVBand="0" w:evenVBand="0" w:oddHBand="0" w:evenHBand="0" w:firstRowFirstColumn="0" w:firstRowLastColumn="0" w:lastRowFirstColumn="0" w:lastRowLastColumn="0"/>
              <w:rPr>
                <w:rFonts w:cs="ArialNarrow"/>
                <w:szCs w:val="22"/>
              </w:rPr>
            </w:pPr>
            <w:r w:rsidRPr="00FD2DDF">
              <w:rPr>
                <w:rFonts w:cs="ArialNarrow"/>
                <w:szCs w:val="22"/>
              </w:rPr>
              <w:t>Guillain Barré syndrome</w:t>
            </w:r>
          </w:p>
        </w:tc>
      </w:tr>
      <w:tr w:rsidR="00D27983" w:rsidRPr="00FD2DDF" w14:paraId="5021E056" w14:textId="77777777" w:rsidTr="00E52206">
        <w:trPr>
          <w:trHeight w:val="466"/>
        </w:trPr>
        <w:tc>
          <w:tcPr>
            <w:cnfStyle w:val="001000000000" w:firstRow="0" w:lastRow="0" w:firstColumn="1" w:lastColumn="0" w:oddVBand="0" w:evenVBand="0" w:oddHBand="0" w:evenHBand="0" w:firstRowFirstColumn="0" w:firstRowLastColumn="0" w:lastRowFirstColumn="0" w:lastRowLastColumn="0"/>
            <w:tcW w:w="1998" w:type="dxa"/>
          </w:tcPr>
          <w:p w14:paraId="73A3CD4F" w14:textId="3EA82639" w:rsidR="00D27983" w:rsidRPr="00FD2DDF" w:rsidRDefault="00D27983" w:rsidP="00FD2DDF">
            <w:pPr>
              <w:rPr>
                <w:rFonts w:cs="ArialNarrow"/>
                <w:szCs w:val="22"/>
              </w:rPr>
            </w:pPr>
            <w:r w:rsidRPr="00FD2DDF">
              <w:rPr>
                <w:rFonts w:cs="ArialNarrow"/>
                <w:szCs w:val="22"/>
              </w:rPr>
              <w:t>GCP</w:t>
            </w:r>
          </w:p>
        </w:tc>
        <w:tc>
          <w:tcPr>
            <w:tcW w:w="6803" w:type="dxa"/>
          </w:tcPr>
          <w:p w14:paraId="6E08513F" w14:textId="53CF3086" w:rsidR="00D27983" w:rsidRPr="00FD2DDF" w:rsidRDefault="00D27983" w:rsidP="00FD2DDF">
            <w:pPr>
              <w:cnfStyle w:val="000000000000" w:firstRow="0" w:lastRow="0" w:firstColumn="0" w:lastColumn="0" w:oddVBand="0" w:evenVBand="0" w:oddHBand="0" w:evenHBand="0" w:firstRowFirstColumn="0" w:firstRowLastColumn="0" w:lastRowFirstColumn="0" w:lastRowLastColumn="0"/>
              <w:rPr>
                <w:rFonts w:cs="ArialNarrow"/>
                <w:szCs w:val="22"/>
              </w:rPr>
            </w:pPr>
            <w:r w:rsidRPr="00FD2DDF">
              <w:rPr>
                <w:rFonts w:cs="ArialNarrow"/>
                <w:szCs w:val="22"/>
              </w:rPr>
              <w:t>Good Clinical Practice</w:t>
            </w:r>
          </w:p>
        </w:tc>
      </w:tr>
      <w:tr w:rsidR="00D27983" w:rsidRPr="00FD2DDF" w14:paraId="61AE6202" w14:textId="77777777" w:rsidTr="00E52206">
        <w:trPr>
          <w:trHeight w:val="466"/>
        </w:trPr>
        <w:tc>
          <w:tcPr>
            <w:cnfStyle w:val="001000000000" w:firstRow="0" w:lastRow="0" w:firstColumn="1" w:lastColumn="0" w:oddVBand="0" w:evenVBand="0" w:oddHBand="0" w:evenHBand="0" w:firstRowFirstColumn="0" w:firstRowLastColumn="0" w:lastRowFirstColumn="0" w:lastRowLastColumn="0"/>
            <w:tcW w:w="1998" w:type="dxa"/>
          </w:tcPr>
          <w:p w14:paraId="390E22DC" w14:textId="5C0B1D30" w:rsidR="00D27983" w:rsidRPr="00FD2DDF" w:rsidRDefault="00D27983" w:rsidP="00FD2DDF">
            <w:pPr>
              <w:rPr>
                <w:rFonts w:cs="ArialNarrow"/>
                <w:szCs w:val="22"/>
              </w:rPr>
            </w:pPr>
            <w:r w:rsidRPr="00FD2DDF">
              <w:rPr>
                <w:rFonts w:cs="ArialNarrow"/>
                <w:szCs w:val="22"/>
              </w:rPr>
              <w:t>GMT</w:t>
            </w:r>
          </w:p>
        </w:tc>
        <w:tc>
          <w:tcPr>
            <w:tcW w:w="6803" w:type="dxa"/>
          </w:tcPr>
          <w:p w14:paraId="6E5C301B" w14:textId="316BB47F" w:rsidR="00D27983" w:rsidRPr="00FD2DDF" w:rsidRDefault="00D27983" w:rsidP="00FD2DDF">
            <w:pPr>
              <w:cnfStyle w:val="000000000000" w:firstRow="0" w:lastRow="0" w:firstColumn="0" w:lastColumn="0" w:oddVBand="0" w:evenVBand="0" w:oddHBand="0" w:evenHBand="0" w:firstRowFirstColumn="0" w:firstRowLastColumn="0" w:lastRowFirstColumn="0" w:lastRowLastColumn="0"/>
              <w:rPr>
                <w:rFonts w:cs="ArialNarrow"/>
                <w:szCs w:val="22"/>
              </w:rPr>
            </w:pPr>
            <w:r w:rsidRPr="00FD2DDF">
              <w:rPr>
                <w:rFonts w:cs="ArialNarrow"/>
                <w:szCs w:val="22"/>
              </w:rPr>
              <w:t>Geometric Mean Titre</w:t>
            </w:r>
          </w:p>
        </w:tc>
      </w:tr>
      <w:tr w:rsidR="00D27983" w:rsidRPr="00FD2DDF" w14:paraId="729A4B2A" w14:textId="77777777" w:rsidTr="00E52206">
        <w:trPr>
          <w:trHeight w:val="493"/>
        </w:trPr>
        <w:tc>
          <w:tcPr>
            <w:cnfStyle w:val="001000000000" w:firstRow="0" w:lastRow="0" w:firstColumn="1" w:lastColumn="0" w:oddVBand="0" w:evenVBand="0" w:oddHBand="0" w:evenHBand="0" w:firstRowFirstColumn="0" w:firstRowLastColumn="0" w:lastRowFirstColumn="0" w:lastRowLastColumn="0"/>
            <w:tcW w:w="1998" w:type="dxa"/>
          </w:tcPr>
          <w:p w14:paraId="35F3FAFA" w14:textId="24427BED" w:rsidR="00D27983" w:rsidRPr="00FD2DDF" w:rsidRDefault="00D27983" w:rsidP="00FD2DDF">
            <w:pPr>
              <w:rPr>
                <w:rFonts w:cs="ArialNarrow"/>
                <w:szCs w:val="22"/>
              </w:rPr>
            </w:pPr>
            <w:r w:rsidRPr="00FD2DDF">
              <w:rPr>
                <w:rFonts w:cs="ArialNarrow"/>
                <w:szCs w:val="22"/>
              </w:rPr>
              <w:t>HA</w:t>
            </w:r>
          </w:p>
        </w:tc>
        <w:tc>
          <w:tcPr>
            <w:tcW w:w="6803" w:type="dxa"/>
          </w:tcPr>
          <w:p w14:paraId="6BF0091B" w14:textId="2598FBB5" w:rsidR="00D27983" w:rsidRPr="00FD2DDF" w:rsidRDefault="00D27983" w:rsidP="00FD2DDF">
            <w:pPr>
              <w:cnfStyle w:val="000000000000" w:firstRow="0" w:lastRow="0" w:firstColumn="0" w:lastColumn="0" w:oddVBand="0" w:evenVBand="0" w:oddHBand="0" w:evenHBand="0" w:firstRowFirstColumn="0" w:firstRowLastColumn="0" w:lastRowFirstColumn="0" w:lastRowLastColumn="0"/>
              <w:rPr>
                <w:rFonts w:cs="ArialNarrow"/>
                <w:szCs w:val="22"/>
              </w:rPr>
            </w:pPr>
            <w:r w:rsidRPr="00FD2DDF">
              <w:rPr>
                <w:rFonts w:cs="ArialNarrow"/>
                <w:szCs w:val="22"/>
              </w:rPr>
              <w:t>Haemagglutinin</w:t>
            </w:r>
          </w:p>
        </w:tc>
      </w:tr>
      <w:tr w:rsidR="00D27983" w:rsidRPr="00FD2DDF" w14:paraId="2F137C9A" w14:textId="77777777" w:rsidTr="00E52206">
        <w:trPr>
          <w:trHeight w:val="466"/>
        </w:trPr>
        <w:tc>
          <w:tcPr>
            <w:cnfStyle w:val="001000000000" w:firstRow="0" w:lastRow="0" w:firstColumn="1" w:lastColumn="0" w:oddVBand="0" w:evenVBand="0" w:oddHBand="0" w:evenHBand="0" w:firstRowFirstColumn="0" w:firstRowLastColumn="0" w:lastRowFirstColumn="0" w:lastRowLastColumn="0"/>
            <w:tcW w:w="1998" w:type="dxa"/>
          </w:tcPr>
          <w:p w14:paraId="1785EDBB" w14:textId="199FF85D" w:rsidR="00D27983" w:rsidRPr="00FD2DDF" w:rsidRDefault="00D27983" w:rsidP="00FD2DDF">
            <w:pPr>
              <w:rPr>
                <w:rFonts w:cs="ArialNarrow"/>
                <w:szCs w:val="22"/>
              </w:rPr>
            </w:pPr>
            <w:r w:rsidRPr="00FD2DDF">
              <w:rPr>
                <w:rFonts w:cs="ArialNarrow"/>
                <w:szCs w:val="22"/>
              </w:rPr>
              <w:t>HAI</w:t>
            </w:r>
          </w:p>
        </w:tc>
        <w:tc>
          <w:tcPr>
            <w:tcW w:w="6803" w:type="dxa"/>
          </w:tcPr>
          <w:p w14:paraId="07FDCFA4" w14:textId="2907C826" w:rsidR="00D27983" w:rsidRPr="00FD2DDF" w:rsidRDefault="00D27983" w:rsidP="00FD2DDF">
            <w:pPr>
              <w:cnfStyle w:val="000000000000" w:firstRow="0" w:lastRow="0" w:firstColumn="0" w:lastColumn="0" w:oddVBand="0" w:evenVBand="0" w:oddHBand="0" w:evenHBand="0" w:firstRowFirstColumn="0" w:firstRowLastColumn="0" w:lastRowFirstColumn="0" w:lastRowLastColumn="0"/>
              <w:rPr>
                <w:rFonts w:cs="ArialNarrow"/>
                <w:szCs w:val="22"/>
              </w:rPr>
            </w:pPr>
            <w:r w:rsidRPr="00FD2DDF">
              <w:rPr>
                <w:rFonts w:cs="ArialNarrow"/>
                <w:szCs w:val="22"/>
              </w:rPr>
              <w:t>Haemagglutination Inhibition</w:t>
            </w:r>
          </w:p>
        </w:tc>
      </w:tr>
      <w:tr w:rsidR="00D27983" w:rsidRPr="00FD2DDF" w14:paraId="764879F0" w14:textId="77777777" w:rsidTr="00E52206">
        <w:trPr>
          <w:trHeight w:val="466"/>
        </w:trPr>
        <w:tc>
          <w:tcPr>
            <w:cnfStyle w:val="001000000000" w:firstRow="0" w:lastRow="0" w:firstColumn="1" w:lastColumn="0" w:oddVBand="0" w:evenVBand="0" w:oddHBand="0" w:evenHBand="0" w:firstRowFirstColumn="0" w:firstRowLastColumn="0" w:lastRowFirstColumn="0" w:lastRowLastColumn="0"/>
            <w:tcW w:w="1998" w:type="dxa"/>
          </w:tcPr>
          <w:p w14:paraId="611F1EC8" w14:textId="557ADC5B" w:rsidR="00D27983" w:rsidRPr="00FD2DDF" w:rsidRDefault="00D27983" w:rsidP="00FD2DDF">
            <w:pPr>
              <w:rPr>
                <w:rFonts w:cs="ArialNarrow"/>
                <w:szCs w:val="22"/>
              </w:rPr>
            </w:pPr>
            <w:r w:rsidRPr="00FD2DDF">
              <w:rPr>
                <w:rFonts w:cs="ArialNarrow"/>
                <w:szCs w:val="22"/>
              </w:rPr>
              <w:t>ICH</w:t>
            </w:r>
          </w:p>
        </w:tc>
        <w:tc>
          <w:tcPr>
            <w:tcW w:w="6803" w:type="dxa"/>
          </w:tcPr>
          <w:p w14:paraId="01ECD8DE" w14:textId="65647CAD" w:rsidR="00D27983" w:rsidRPr="00FD2DDF" w:rsidRDefault="00D27983" w:rsidP="00FD2DDF">
            <w:pPr>
              <w:cnfStyle w:val="000000000000" w:firstRow="0" w:lastRow="0" w:firstColumn="0" w:lastColumn="0" w:oddVBand="0" w:evenVBand="0" w:oddHBand="0" w:evenHBand="0" w:firstRowFirstColumn="0" w:firstRowLastColumn="0" w:lastRowFirstColumn="0" w:lastRowLastColumn="0"/>
              <w:rPr>
                <w:rFonts w:cs="ArialNarrow"/>
                <w:szCs w:val="22"/>
              </w:rPr>
            </w:pPr>
            <w:r w:rsidRPr="00FD2DDF">
              <w:rPr>
                <w:rFonts w:cs="ArialNarrow"/>
                <w:szCs w:val="22"/>
              </w:rPr>
              <w:t>International Conference on Harmonization</w:t>
            </w:r>
          </w:p>
        </w:tc>
      </w:tr>
      <w:tr w:rsidR="00D27983" w:rsidRPr="00FD2DDF" w14:paraId="5422F93C" w14:textId="77777777" w:rsidTr="00E52206">
        <w:trPr>
          <w:trHeight w:val="466"/>
        </w:trPr>
        <w:tc>
          <w:tcPr>
            <w:cnfStyle w:val="001000000000" w:firstRow="0" w:lastRow="0" w:firstColumn="1" w:lastColumn="0" w:oddVBand="0" w:evenVBand="0" w:oddHBand="0" w:evenHBand="0" w:firstRowFirstColumn="0" w:firstRowLastColumn="0" w:lastRowFirstColumn="0" w:lastRowLastColumn="0"/>
            <w:tcW w:w="1998" w:type="dxa"/>
          </w:tcPr>
          <w:p w14:paraId="675BAD9F" w14:textId="5CC04F7B" w:rsidR="00D27983" w:rsidRPr="00FD2DDF" w:rsidRDefault="00D27983" w:rsidP="00FD2DDF">
            <w:pPr>
              <w:rPr>
                <w:rFonts w:cs="ArialNarrow"/>
                <w:szCs w:val="22"/>
              </w:rPr>
            </w:pPr>
            <w:r w:rsidRPr="00FD2DDF">
              <w:rPr>
                <w:rFonts w:cs="ArialNarrow"/>
                <w:szCs w:val="22"/>
              </w:rPr>
              <w:t xml:space="preserve">ILI </w:t>
            </w:r>
          </w:p>
        </w:tc>
        <w:tc>
          <w:tcPr>
            <w:tcW w:w="6803" w:type="dxa"/>
          </w:tcPr>
          <w:p w14:paraId="432095E3" w14:textId="58B615F9" w:rsidR="00D27983" w:rsidRPr="00FD2DDF" w:rsidRDefault="00D27983" w:rsidP="00FD2DDF">
            <w:pPr>
              <w:cnfStyle w:val="000000000000" w:firstRow="0" w:lastRow="0" w:firstColumn="0" w:lastColumn="0" w:oddVBand="0" w:evenVBand="0" w:oddHBand="0" w:evenHBand="0" w:firstRowFirstColumn="0" w:firstRowLastColumn="0" w:lastRowFirstColumn="0" w:lastRowLastColumn="0"/>
              <w:rPr>
                <w:rFonts w:cs="ArialNarrow"/>
                <w:szCs w:val="22"/>
              </w:rPr>
            </w:pPr>
            <w:r w:rsidRPr="00FD2DDF">
              <w:rPr>
                <w:rFonts w:cs="ArialNarrow"/>
                <w:szCs w:val="22"/>
              </w:rPr>
              <w:t>Influenza like Infection</w:t>
            </w:r>
          </w:p>
        </w:tc>
      </w:tr>
      <w:tr w:rsidR="00D27983" w:rsidRPr="00FD2DDF" w14:paraId="72A27A08" w14:textId="77777777" w:rsidTr="00E52206">
        <w:trPr>
          <w:trHeight w:val="466"/>
        </w:trPr>
        <w:tc>
          <w:tcPr>
            <w:cnfStyle w:val="001000000000" w:firstRow="0" w:lastRow="0" w:firstColumn="1" w:lastColumn="0" w:oddVBand="0" w:evenVBand="0" w:oddHBand="0" w:evenHBand="0" w:firstRowFirstColumn="0" w:firstRowLastColumn="0" w:lastRowFirstColumn="0" w:lastRowLastColumn="0"/>
            <w:tcW w:w="1998" w:type="dxa"/>
          </w:tcPr>
          <w:p w14:paraId="61E86CCB" w14:textId="5E306EDA" w:rsidR="00D27983" w:rsidRPr="00FD2DDF" w:rsidRDefault="00D27983" w:rsidP="00FD2DDF">
            <w:pPr>
              <w:rPr>
                <w:rFonts w:cs="ArialNarrow"/>
                <w:szCs w:val="22"/>
              </w:rPr>
            </w:pPr>
            <w:r w:rsidRPr="00FD2DDF">
              <w:rPr>
                <w:rFonts w:cs="ArialNarrow"/>
                <w:szCs w:val="22"/>
              </w:rPr>
              <w:t xml:space="preserve">IM </w:t>
            </w:r>
          </w:p>
        </w:tc>
        <w:tc>
          <w:tcPr>
            <w:tcW w:w="6803" w:type="dxa"/>
          </w:tcPr>
          <w:p w14:paraId="2CA28A5A" w14:textId="03199B68" w:rsidR="00D27983" w:rsidRPr="00FD2DDF" w:rsidRDefault="00D27983" w:rsidP="00FD2DDF">
            <w:pPr>
              <w:cnfStyle w:val="000000000000" w:firstRow="0" w:lastRow="0" w:firstColumn="0" w:lastColumn="0" w:oddVBand="0" w:evenVBand="0" w:oddHBand="0" w:evenHBand="0" w:firstRowFirstColumn="0" w:firstRowLastColumn="0" w:lastRowFirstColumn="0" w:lastRowLastColumn="0"/>
              <w:rPr>
                <w:rFonts w:cs="ArialNarrow"/>
                <w:szCs w:val="22"/>
              </w:rPr>
            </w:pPr>
            <w:r w:rsidRPr="00FD2DDF">
              <w:rPr>
                <w:rFonts w:cs="ArialNarrow"/>
                <w:szCs w:val="22"/>
              </w:rPr>
              <w:t>Intramuscular</w:t>
            </w:r>
          </w:p>
        </w:tc>
      </w:tr>
      <w:tr w:rsidR="00D27983" w:rsidRPr="00FD2DDF" w14:paraId="38A4EB1A" w14:textId="77777777" w:rsidTr="00E52206">
        <w:trPr>
          <w:trHeight w:val="466"/>
        </w:trPr>
        <w:tc>
          <w:tcPr>
            <w:cnfStyle w:val="001000000000" w:firstRow="0" w:lastRow="0" w:firstColumn="1" w:lastColumn="0" w:oddVBand="0" w:evenVBand="0" w:oddHBand="0" w:evenHBand="0" w:firstRowFirstColumn="0" w:firstRowLastColumn="0" w:lastRowFirstColumn="0" w:lastRowLastColumn="0"/>
            <w:tcW w:w="1998" w:type="dxa"/>
          </w:tcPr>
          <w:p w14:paraId="32FE195E" w14:textId="29DC1046" w:rsidR="00D27983" w:rsidRPr="00FD2DDF" w:rsidRDefault="00D27983" w:rsidP="00FD2DDF">
            <w:pPr>
              <w:rPr>
                <w:rFonts w:cs="ArialNarrow"/>
                <w:szCs w:val="22"/>
              </w:rPr>
            </w:pPr>
            <w:r w:rsidRPr="00FD2DDF">
              <w:rPr>
                <w:rFonts w:cs="ArialNarrow"/>
                <w:szCs w:val="22"/>
              </w:rPr>
              <w:t>IVV</w:t>
            </w:r>
          </w:p>
        </w:tc>
        <w:tc>
          <w:tcPr>
            <w:tcW w:w="6803" w:type="dxa"/>
          </w:tcPr>
          <w:p w14:paraId="591FEBC6" w14:textId="0A24C33A" w:rsidR="00D27983" w:rsidRPr="00FD2DDF" w:rsidRDefault="003073A8" w:rsidP="00FD2DDF">
            <w:pPr>
              <w:cnfStyle w:val="000000000000" w:firstRow="0" w:lastRow="0" w:firstColumn="0" w:lastColumn="0" w:oddVBand="0" w:evenVBand="0" w:oddHBand="0" w:evenHBand="0" w:firstRowFirstColumn="0" w:firstRowLastColumn="0" w:lastRowFirstColumn="0" w:lastRowLastColumn="0"/>
              <w:rPr>
                <w:rFonts w:cs="ArialNarrow"/>
                <w:szCs w:val="22"/>
              </w:rPr>
            </w:pPr>
            <w:r w:rsidRPr="00FD2DDF">
              <w:rPr>
                <w:rFonts w:cs="ArialNarrow"/>
                <w:szCs w:val="22"/>
              </w:rPr>
              <w:t xml:space="preserve">Influenza </w:t>
            </w:r>
            <w:r w:rsidR="00D27983" w:rsidRPr="00FD2DDF">
              <w:rPr>
                <w:rFonts w:cs="ArialNarrow"/>
                <w:szCs w:val="22"/>
              </w:rPr>
              <w:t>virus vaccine</w:t>
            </w:r>
          </w:p>
        </w:tc>
      </w:tr>
      <w:tr w:rsidR="00D27983" w:rsidRPr="00FD2DDF" w14:paraId="214A90E6" w14:textId="77777777" w:rsidTr="00E52206">
        <w:trPr>
          <w:trHeight w:val="466"/>
        </w:trPr>
        <w:tc>
          <w:tcPr>
            <w:cnfStyle w:val="001000000000" w:firstRow="0" w:lastRow="0" w:firstColumn="1" w:lastColumn="0" w:oddVBand="0" w:evenVBand="0" w:oddHBand="0" w:evenHBand="0" w:firstRowFirstColumn="0" w:firstRowLastColumn="0" w:lastRowFirstColumn="0" w:lastRowLastColumn="0"/>
            <w:tcW w:w="1998" w:type="dxa"/>
          </w:tcPr>
          <w:p w14:paraId="4B60D509" w14:textId="44A58E83" w:rsidR="00D27983" w:rsidRPr="00FD2DDF" w:rsidRDefault="00D27983" w:rsidP="00FD2DDF">
            <w:pPr>
              <w:rPr>
                <w:rFonts w:cs="ArialNarrow"/>
                <w:szCs w:val="22"/>
              </w:rPr>
            </w:pPr>
            <w:r w:rsidRPr="00FD2DDF">
              <w:rPr>
                <w:rFonts w:cs="ArialNarrow"/>
                <w:szCs w:val="22"/>
              </w:rPr>
              <w:t xml:space="preserve">MAA </w:t>
            </w:r>
          </w:p>
        </w:tc>
        <w:tc>
          <w:tcPr>
            <w:tcW w:w="6803" w:type="dxa"/>
          </w:tcPr>
          <w:p w14:paraId="5CD98EDD" w14:textId="1E5911F5" w:rsidR="00D27983" w:rsidRPr="00FD2DDF" w:rsidRDefault="00D27983" w:rsidP="00FD2DDF">
            <w:pPr>
              <w:cnfStyle w:val="000000000000" w:firstRow="0" w:lastRow="0" w:firstColumn="0" w:lastColumn="0" w:oddVBand="0" w:evenVBand="0" w:oddHBand="0" w:evenHBand="0" w:firstRowFirstColumn="0" w:firstRowLastColumn="0" w:lastRowFirstColumn="0" w:lastRowLastColumn="0"/>
              <w:rPr>
                <w:rFonts w:cs="ArialNarrow"/>
                <w:szCs w:val="22"/>
              </w:rPr>
            </w:pPr>
            <w:r w:rsidRPr="00FD2DDF">
              <w:rPr>
                <w:rFonts w:cs="ArialNarrow"/>
                <w:szCs w:val="22"/>
              </w:rPr>
              <w:t>Marketing Authorization Application</w:t>
            </w:r>
          </w:p>
        </w:tc>
      </w:tr>
      <w:tr w:rsidR="00D27983" w:rsidRPr="00FD2DDF" w14:paraId="202DB430" w14:textId="77777777" w:rsidTr="00E52206">
        <w:trPr>
          <w:trHeight w:val="466"/>
        </w:trPr>
        <w:tc>
          <w:tcPr>
            <w:cnfStyle w:val="001000000000" w:firstRow="0" w:lastRow="0" w:firstColumn="1" w:lastColumn="0" w:oddVBand="0" w:evenVBand="0" w:oddHBand="0" w:evenHBand="0" w:firstRowFirstColumn="0" w:firstRowLastColumn="0" w:lastRowFirstColumn="0" w:lastRowLastColumn="0"/>
            <w:tcW w:w="1998" w:type="dxa"/>
          </w:tcPr>
          <w:p w14:paraId="2048B42C" w14:textId="14665D12" w:rsidR="00D27983" w:rsidRPr="00FD2DDF" w:rsidRDefault="00D27983" w:rsidP="00FD2DDF">
            <w:pPr>
              <w:rPr>
                <w:rFonts w:cs="ArialNarrow"/>
                <w:szCs w:val="22"/>
              </w:rPr>
            </w:pPr>
            <w:r w:rsidRPr="00FD2DDF">
              <w:rPr>
                <w:rFonts w:cs="ArialNarrow"/>
                <w:szCs w:val="22"/>
              </w:rPr>
              <w:t xml:space="preserve">MEDRA </w:t>
            </w:r>
          </w:p>
        </w:tc>
        <w:tc>
          <w:tcPr>
            <w:tcW w:w="6803" w:type="dxa"/>
          </w:tcPr>
          <w:p w14:paraId="2034AF16" w14:textId="360D47E4" w:rsidR="00D27983" w:rsidRPr="00FD2DDF" w:rsidRDefault="00D27983" w:rsidP="00FD2DDF">
            <w:pPr>
              <w:cnfStyle w:val="000000000000" w:firstRow="0" w:lastRow="0" w:firstColumn="0" w:lastColumn="0" w:oddVBand="0" w:evenVBand="0" w:oddHBand="0" w:evenHBand="0" w:firstRowFirstColumn="0" w:firstRowLastColumn="0" w:lastRowFirstColumn="0" w:lastRowLastColumn="0"/>
              <w:rPr>
                <w:rFonts w:cs="ArialNarrow"/>
                <w:szCs w:val="22"/>
              </w:rPr>
            </w:pPr>
            <w:r w:rsidRPr="00FD2DDF">
              <w:rPr>
                <w:rFonts w:cs="ArialNarrow"/>
                <w:szCs w:val="22"/>
              </w:rPr>
              <w:t>Medical Dictionary for Regulatory Activities</w:t>
            </w:r>
          </w:p>
        </w:tc>
      </w:tr>
      <w:tr w:rsidR="00D27983" w:rsidRPr="00FD2DDF" w14:paraId="78E19AB0" w14:textId="77777777" w:rsidTr="00E52206">
        <w:trPr>
          <w:trHeight w:val="466"/>
        </w:trPr>
        <w:tc>
          <w:tcPr>
            <w:cnfStyle w:val="001000000000" w:firstRow="0" w:lastRow="0" w:firstColumn="1" w:lastColumn="0" w:oddVBand="0" w:evenVBand="0" w:oddHBand="0" w:evenHBand="0" w:firstRowFirstColumn="0" w:firstRowLastColumn="0" w:lastRowFirstColumn="0" w:lastRowLastColumn="0"/>
            <w:tcW w:w="1998" w:type="dxa"/>
          </w:tcPr>
          <w:p w14:paraId="654D12EA" w14:textId="6DC888A3" w:rsidR="00D27983" w:rsidRPr="00FD2DDF" w:rsidRDefault="00D27983" w:rsidP="00FD2DDF">
            <w:pPr>
              <w:rPr>
                <w:rFonts w:cs="ArialNarrow"/>
                <w:szCs w:val="22"/>
              </w:rPr>
            </w:pPr>
            <w:r w:rsidRPr="00FD2DDF">
              <w:rPr>
                <w:rFonts w:cs="ArialNarrow"/>
                <w:szCs w:val="22"/>
              </w:rPr>
              <w:t>mL</w:t>
            </w:r>
          </w:p>
        </w:tc>
        <w:tc>
          <w:tcPr>
            <w:tcW w:w="6803" w:type="dxa"/>
          </w:tcPr>
          <w:p w14:paraId="58DB8747" w14:textId="6A9F3EE9" w:rsidR="00D27983" w:rsidRPr="00FD2DDF" w:rsidRDefault="00BD05DB" w:rsidP="00FD2DDF">
            <w:pPr>
              <w:cnfStyle w:val="000000000000" w:firstRow="0" w:lastRow="0" w:firstColumn="0" w:lastColumn="0" w:oddVBand="0" w:evenVBand="0" w:oddHBand="0" w:evenHBand="0" w:firstRowFirstColumn="0" w:firstRowLastColumn="0" w:lastRowFirstColumn="0" w:lastRowLastColumn="0"/>
              <w:rPr>
                <w:rFonts w:cs="ArialNarrow"/>
                <w:szCs w:val="22"/>
              </w:rPr>
            </w:pPr>
            <w:r w:rsidRPr="00FD2DDF">
              <w:rPr>
                <w:rFonts w:cs="ArialNarrow"/>
                <w:szCs w:val="22"/>
              </w:rPr>
              <w:t>Millilitres</w:t>
            </w:r>
          </w:p>
        </w:tc>
      </w:tr>
      <w:tr w:rsidR="00D27983" w:rsidRPr="00FD2DDF" w14:paraId="0BBAC0DA" w14:textId="77777777" w:rsidTr="00E52206">
        <w:trPr>
          <w:trHeight w:val="466"/>
        </w:trPr>
        <w:tc>
          <w:tcPr>
            <w:cnfStyle w:val="001000000000" w:firstRow="0" w:lastRow="0" w:firstColumn="1" w:lastColumn="0" w:oddVBand="0" w:evenVBand="0" w:oddHBand="0" w:evenHBand="0" w:firstRowFirstColumn="0" w:firstRowLastColumn="0" w:lastRowFirstColumn="0" w:lastRowLastColumn="0"/>
            <w:tcW w:w="1998" w:type="dxa"/>
          </w:tcPr>
          <w:p w14:paraId="7B57D852" w14:textId="16852DA9" w:rsidR="00D27983" w:rsidRPr="00FD2DDF" w:rsidRDefault="00D27983" w:rsidP="00FD2DDF">
            <w:pPr>
              <w:rPr>
                <w:rFonts w:cs="ArialNarrow"/>
                <w:szCs w:val="22"/>
              </w:rPr>
            </w:pPr>
            <w:r w:rsidRPr="00FD2DDF">
              <w:rPr>
                <w:rFonts w:cs="ArialNarrow"/>
                <w:szCs w:val="22"/>
              </w:rPr>
              <w:t>NA</w:t>
            </w:r>
          </w:p>
        </w:tc>
        <w:tc>
          <w:tcPr>
            <w:tcW w:w="6803" w:type="dxa"/>
          </w:tcPr>
          <w:p w14:paraId="7412AE6F" w14:textId="221946C4" w:rsidR="00D27983" w:rsidRPr="00FD2DDF" w:rsidRDefault="00BD05DB" w:rsidP="00FD2DDF">
            <w:pPr>
              <w:cnfStyle w:val="000000000000" w:firstRow="0" w:lastRow="0" w:firstColumn="0" w:lastColumn="0" w:oddVBand="0" w:evenVBand="0" w:oddHBand="0" w:evenHBand="0" w:firstRowFirstColumn="0" w:firstRowLastColumn="0" w:lastRowFirstColumn="0" w:lastRowLastColumn="0"/>
              <w:rPr>
                <w:rFonts w:cs="ArialNarrow"/>
                <w:szCs w:val="22"/>
              </w:rPr>
            </w:pPr>
            <w:r w:rsidRPr="00FD2DDF">
              <w:rPr>
                <w:szCs w:val="22"/>
              </w:rPr>
              <w:t>N</w:t>
            </w:r>
            <w:r w:rsidR="00D27983" w:rsidRPr="00FD2DDF">
              <w:rPr>
                <w:szCs w:val="22"/>
              </w:rPr>
              <w:t>euraminidase</w:t>
            </w:r>
          </w:p>
        </w:tc>
      </w:tr>
      <w:tr w:rsidR="00D27983" w:rsidRPr="00FD2DDF" w14:paraId="2F50E5EF" w14:textId="77777777" w:rsidTr="00E52206">
        <w:trPr>
          <w:trHeight w:val="466"/>
        </w:trPr>
        <w:tc>
          <w:tcPr>
            <w:cnfStyle w:val="001000000000" w:firstRow="0" w:lastRow="0" w:firstColumn="1" w:lastColumn="0" w:oddVBand="0" w:evenVBand="0" w:oddHBand="0" w:evenHBand="0" w:firstRowFirstColumn="0" w:firstRowLastColumn="0" w:lastRowFirstColumn="0" w:lastRowLastColumn="0"/>
            <w:tcW w:w="1998" w:type="dxa"/>
          </w:tcPr>
          <w:p w14:paraId="0B81CEEC" w14:textId="4D91DE23" w:rsidR="00D27983" w:rsidRPr="00FD2DDF" w:rsidRDefault="00D27983" w:rsidP="00FD2DDF">
            <w:pPr>
              <w:rPr>
                <w:rFonts w:cs="ArialNarrow"/>
                <w:szCs w:val="22"/>
              </w:rPr>
            </w:pPr>
            <w:r w:rsidRPr="00FD2DDF">
              <w:rPr>
                <w:rFonts w:cs="ArialNarrow"/>
                <w:szCs w:val="22"/>
              </w:rPr>
              <w:t>NH</w:t>
            </w:r>
          </w:p>
        </w:tc>
        <w:tc>
          <w:tcPr>
            <w:tcW w:w="6803" w:type="dxa"/>
          </w:tcPr>
          <w:p w14:paraId="0DEBEF88" w14:textId="7003B629" w:rsidR="00D27983" w:rsidRPr="00FD2DDF" w:rsidRDefault="00D27983" w:rsidP="00FD2DDF">
            <w:pPr>
              <w:cnfStyle w:val="000000000000" w:firstRow="0" w:lastRow="0" w:firstColumn="0" w:lastColumn="0" w:oddVBand="0" w:evenVBand="0" w:oddHBand="0" w:evenHBand="0" w:firstRowFirstColumn="0" w:firstRowLastColumn="0" w:lastRowFirstColumn="0" w:lastRowLastColumn="0"/>
              <w:rPr>
                <w:szCs w:val="22"/>
              </w:rPr>
            </w:pPr>
            <w:r w:rsidRPr="00FD2DDF">
              <w:rPr>
                <w:rFonts w:cs="ArialNarrow"/>
                <w:szCs w:val="22"/>
              </w:rPr>
              <w:t>Northern Hemisphere</w:t>
            </w:r>
          </w:p>
        </w:tc>
      </w:tr>
      <w:tr w:rsidR="00D27983" w:rsidRPr="00FD2DDF" w14:paraId="3D23015A" w14:textId="77777777" w:rsidTr="00E52206">
        <w:trPr>
          <w:trHeight w:val="466"/>
        </w:trPr>
        <w:tc>
          <w:tcPr>
            <w:cnfStyle w:val="001000000000" w:firstRow="0" w:lastRow="0" w:firstColumn="1" w:lastColumn="0" w:oddVBand="0" w:evenVBand="0" w:oddHBand="0" w:evenHBand="0" w:firstRowFirstColumn="0" w:firstRowLastColumn="0" w:lastRowFirstColumn="0" w:lastRowLastColumn="0"/>
            <w:tcW w:w="1998" w:type="dxa"/>
          </w:tcPr>
          <w:p w14:paraId="38CB8D68" w14:textId="02F7A18E" w:rsidR="00D27983" w:rsidRPr="00FD2DDF" w:rsidRDefault="00D27983" w:rsidP="00FD2DDF">
            <w:pPr>
              <w:rPr>
                <w:rFonts w:cs="ArialNarrow"/>
                <w:szCs w:val="22"/>
              </w:rPr>
            </w:pPr>
            <w:r w:rsidRPr="00FD2DDF">
              <w:rPr>
                <w:rFonts w:cs="ArialNarrow"/>
                <w:szCs w:val="22"/>
              </w:rPr>
              <w:t>NOCI</w:t>
            </w:r>
          </w:p>
        </w:tc>
        <w:tc>
          <w:tcPr>
            <w:tcW w:w="6803" w:type="dxa"/>
          </w:tcPr>
          <w:p w14:paraId="73FC9D14" w14:textId="3F6237CD" w:rsidR="00D27983" w:rsidRPr="00FD2DDF" w:rsidRDefault="003073A8" w:rsidP="00FD2DDF">
            <w:pPr>
              <w:cnfStyle w:val="000000000000" w:firstRow="0" w:lastRow="0" w:firstColumn="0" w:lastColumn="0" w:oddVBand="0" w:evenVBand="0" w:oddHBand="0" w:evenHBand="0" w:firstRowFirstColumn="0" w:firstRowLastColumn="0" w:lastRowFirstColumn="0" w:lastRowLastColumn="0"/>
              <w:rPr>
                <w:rFonts w:cs="ArialNarrow"/>
                <w:szCs w:val="22"/>
              </w:rPr>
            </w:pPr>
            <w:r w:rsidRPr="00FD2DDF">
              <w:rPr>
                <w:rFonts w:cs="ArialNarrow"/>
                <w:szCs w:val="22"/>
              </w:rPr>
              <w:t>N</w:t>
            </w:r>
            <w:r w:rsidR="00D27983" w:rsidRPr="00FD2DDF">
              <w:rPr>
                <w:rFonts w:cs="ArialNarrow"/>
                <w:szCs w:val="22"/>
              </w:rPr>
              <w:t>ew onset of chronic illness</w:t>
            </w:r>
          </w:p>
        </w:tc>
      </w:tr>
      <w:tr w:rsidR="00D27983" w:rsidRPr="00FD2DDF" w14:paraId="3B1FE9CE" w14:textId="77777777" w:rsidTr="00E52206">
        <w:trPr>
          <w:trHeight w:val="466"/>
        </w:trPr>
        <w:tc>
          <w:tcPr>
            <w:cnfStyle w:val="001000000000" w:firstRow="0" w:lastRow="0" w:firstColumn="1" w:lastColumn="0" w:oddVBand="0" w:evenVBand="0" w:oddHBand="0" w:evenHBand="0" w:firstRowFirstColumn="0" w:firstRowLastColumn="0" w:lastRowFirstColumn="0" w:lastRowLastColumn="0"/>
            <w:tcW w:w="1998" w:type="dxa"/>
          </w:tcPr>
          <w:p w14:paraId="10129049" w14:textId="52595761" w:rsidR="00D27983" w:rsidRPr="00FD2DDF" w:rsidRDefault="00D27983" w:rsidP="00FD2DDF">
            <w:pPr>
              <w:rPr>
                <w:rFonts w:cs="ArialNarrow"/>
                <w:szCs w:val="22"/>
              </w:rPr>
            </w:pPr>
            <w:r w:rsidRPr="00FD2DDF">
              <w:rPr>
                <w:rFonts w:cs="ArialNarrow"/>
                <w:szCs w:val="22"/>
              </w:rPr>
              <w:t xml:space="preserve">PI </w:t>
            </w:r>
          </w:p>
        </w:tc>
        <w:tc>
          <w:tcPr>
            <w:tcW w:w="6803" w:type="dxa"/>
          </w:tcPr>
          <w:p w14:paraId="333609BA" w14:textId="487A1262" w:rsidR="00D27983" w:rsidRPr="00FD2DDF" w:rsidRDefault="00D27983" w:rsidP="00FD2DDF">
            <w:pPr>
              <w:cnfStyle w:val="000000000000" w:firstRow="0" w:lastRow="0" w:firstColumn="0" w:lastColumn="0" w:oddVBand="0" w:evenVBand="0" w:oddHBand="0" w:evenHBand="0" w:firstRowFirstColumn="0" w:firstRowLastColumn="0" w:lastRowFirstColumn="0" w:lastRowLastColumn="0"/>
              <w:rPr>
                <w:rFonts w:cs="ArialNarrow"/>
                <w:szCs w:val="22"/>
              </w:rPr>
            </w:pPr>
            <w:r w:rsidRPr="00FD2DDF">
              <w:rPr>
                <w:rFonts w:cs="ArialNarrow"/>
                <w:szCs w:val="22"/>
              </w:rPr>
              <w:t>Prescribing Information</w:t>
            </w:r>
          </w:p>
        </w:tc>
      </w:tr>
      <w:tr w:rsidR="00D27983" w:rsidRPr="00FD2DDF" w14:paraId="76BE9109" w14:textId="77777777" w:rsidTr="00E52206">
        <w:trPr>
          <w:trHeight w:val="466"/>
        </w:trPr>
        <w:tc>
          <w:tcPr>
            <w:cnfStyle w:val="001000000000" w:firstRow="0" w:lastRow="0" w:firstColumn="1" w:lastColumn="0" w:oddVBand="0" w:evenVBand="0" w:oddHBand="0" w:evenHBand="0" w:firstRowFirstColumn="0" w:firstRowLastColumn="0" w:lastRowFirstColumn="0" w:lastRowLastColumn="0"/>
            <w:tcW w:w="1998" w:type="dxa"/>
          </w:tcPr>
          <w:p w14:paraId="6753B8F0" w14:textId="07CEEBF3" w:rsidR="00D27983" w:rsidRPr="00FD2DDF" w:rsidRDefault="00D27983" w:rsidP="00FD2DDF">
            <w:pPr>
              <w:rPr>
                <w:rFonts w:cs="ArialNarrow"/>
                <w:szCs w:val="22"/>
              </w:rPr>
            </w:pPr>
            <w:r w:rsidRPr="00FD2DDF">
              <w:rPr>
                <w:rFonts w:cs="Calibri"/>
                <w:szCs w:val="22"/>
              </w:rPr>
              <w:lastRenderedPageBreak/>
              <w:t>QIV</w:t>
            </w:r>
          </w:p>
        </w:tc>
        <w:tc>
          <w:tcPr>
            <w:tcW w:w="6803" w:type="dxa"/>
          </w:tcPr>
          <w:p w14:paraId="11EAC61A" w14:textId="3F9EFB43" w:rsidR="00D27983" w:rsidRPr="00FD2DDF" w:rsidRDefault="00D27983" w:rsidP="00FD2DDF">
            <w:pPr>
              <w:cnfStyle w:val="000000000000" w:firstRow="0" w:lastRow="0" w:firstColumn="0" w:lastColumn="0" w:oddVBand="0" w:evenVBand="0" w:oddHBand="0" w:evenHBand="0" w:firstRowFirstColumn="0" w:firstRowLastColumn="0" w:lastRowFirstColumn="0" w:lastRowLastColumn="0"/>
              <w:rPr>
                <w:rFonts w:cs="ArialNarrow"/>
                <w:szCs w:val="22"/>
              </w:rPr>
            </w:pPr>
            <w:r w:rsidRPr="00FD2DDF">
              <w:rPr>
                <w:szCs w:val="22"/>
              </w:rPr>
              <w:t>Quadrivalent Influenza Vaccine</w:t>
            </w:r>
          </w:p>
        </w:tc>
      </w:tr>
      <w:tr w:rsidR="00D27983" w:rsidRPr="00FD2DDF" w14:paraId="0650FE97" w14:textId="77777777" w:rsidTr="00E52206">
        <w:trPr>
          <w:trHeight w:val="466"/>
        </w:trPr>
        <w:tc>
          <w:tcPr>
            <w:cnfStyle w:val="001000000000" w:firstRow="0" w:lastRow="0" w:firstColumn="1" w:lastColumn="0" w:oddVBand="0" w:evenVBand="0" w:oddHBand="0" w:evenHBand="0" w:firstRowFirstColumn="0" w:firstRowLastColumn="0" w:lastRowFirstColumn="0" w:lastRowLastColumn="0"/>
            <w:tcW w:w="1998" w:type="dxa"/>
          </w:tcPr>
          <w:p w14:paraId="0875C611" w14:textId="6C43AA24" w:rsidR="00D27983" w:rsidRPr="00FD2DDF" w:rsidRDefault="00D27983" w:rsidP="00FD2DDF">
            <w:pPr>
              <w:rPr>
                <w:rFonts w:cs="Calibri"/>
                <w:szCs w:val="22"/>
              </w:rPr>
            </w:pPr>
            <w:r w:rsidRPr="00FD2DDF">
              <w:rPr>
                <w:rFonts w:cs="ArialNarrow"/>
                <w:szCs w:val="22"/>
              </w:rPr>
              <w:t>RMP</w:t>
            </w:r>
          </w:p>
        </w:tc>
        <w:tc>
          <w:tcPr>
            <w:tcW w:w="6803" w:type="dxa"/>
          </w:tcPr>
          <w:p w14:paraId="293C3885" w14:textId="7AE30542" w:rsidR="00D27983" w:rsidRPr="00FD2DDF" w:rsidRDefault="00D27983" w:rsidP="00FD2DDF">
            <w:pPr>
              <w:cnfStyle w:val="000000000000" w:firstRow="0" w:lastRow="0" w:firstColumn="0" w:lastColumn="0" w:oddVBand="0" w:evenVBand="0" w:oddHBand="0" w:evenHBand="0" w:firstRowFirstColumn="0" w:firstRowLastColumn="0" w:lastRowFirstColumn="0" w:lastRowLastColumn="0"/>
              <w:rPr>
                <w:szCs w:val="22"/>
              </w:rPr>
            </w:pPr>
            <w:r w:rsidRPr="00FD2DDF">
              <w:rPr>
                <w:rFonts w:cs="ArialNarrow"/>
                <w:szCs w:val="22"/>
              </w:rPr>
              <w:t>Risk Management Plan</w:t>
            </w:r>
          </w:p>
        </w:tc>
      </w:tr>
      <w:tr w:rsidR="00D27983" w:rsidRPr="00FD2DDF" w14:paraId="00491C9A" w14:textId="77777777" w:rsidTr="00E52206">
        <w:trPr>
          <w:trHeight w:val="466"/>
        </w:trPr>
        <w:tc>
          <w:tcPr>
            <w:cnfStyle w:val="001000000000" w:firstRow="0" w:lastRow="0" w:firstColumn="1" w:lastColumn="0" w:oddVBand="0" w:evenVBand="0" w:oddHBand="0" w:evenHBand="0" w:firstRowFirstColumn="0" w:firstRowLastColumn="0" w:lastRowFirstColumn="0" w:lastRowLastColumn="0"/>
            <w:tcW w:w="1998" w:type="dxa"/>
          </w:tcPr>
          <w:p w14:paraId="08984DCA" w14:textId="0FDB02A2" w:rsidR="00D27983" w:rsidRPr="00FD2DDF" w:rsidRDefault="00D27983" w:rsidP="00FD2DDF">
            <w:pPr>
              <w:rPr>
                <w:rFonts w:cs="ArialNarrow"/>
                <w:szCs w:val="22"/>
              </w:rPr>
            </w:pPr>
            <w:r w:rsidRPr="00FD2DDF">
              <w:rPr>
                <w:rFonts w:cs="ArialNarrow"/>
                <w:szCs w:val="22"/>
              </w:rPr>
              <w:t xml:space="preserve">SAE </w:t>
            </w:r>
          </w:p>
        </w:tc>
        <w:tc>
          <w:tcPr>
            <w:tcW w:w="6803" w:type="dxa"/>
          </w:tcPr>
          <w:p w14:paraId="55ED00EB" w14:textId="6000CDA7" w:rsidR="00D27983" w:rsidRPr="00FD2DDF" w:rsidRDefault="00D27983" w:rsidP="00FD2DDF">
            <w:pPr>
              <w:cnfStyle w:val="000000000000" w:firstRow="0" w:lastRow="0" w:firstColumn="0" w:lastColumn="0" w:oddVBand="0" w:evenVBand="0" w:oddHBand="0" w:evenHBand="0" w:firstRowFirstColumn="0" w:firstRowLastColumn="0" w:lastRowFirstColumn="0" w:lastRowLastColumn="0"/>
              <w:rPr>
                <w:rFonts w:cs="ArialNarrow"/>
                <w:szCs w:val="22"/>
              </w:rPr>
            </w:pPr>
            <w:r w:rsidRPr="00FD2DDF">
              <w:rPr>
                <w:rFonts w:cs="ArialNarrow"/>
                <w:szCs w:val="22"/>
              </w:rPr>
              <w:t>Serious Adverse Event</w:t>
            </w:r>
          </w:p>
        </w:tc>
      </w:tr>
      <w:tr w:rsidR="00D27983" w:rsidRPr="00FD2DDF" w14:paraId="16595235" w14:textId="77777777" w:rsidTr="00E52206">
        <w:trPr>
          <w:trHeight w:val="466"/>
        </w:trPr>
        <w:tc>
          <w:tcPr>
            <w:cnfStyle w:val="001000000000" w:firstRow="0" w:lastRow="0" w:firstColumn="1" w:lastColumn="0" w:oddVBand="0" w:evenVBand="0" w:oddHBand="0" w:evenHBand="0" w:firstRowFirstColumn="0" w:firstRowLastColumn="0" w:lastRowFirstColumn="0" w:lastRowLastColumn="0"/>
            <w:tcW w:w="1998" w:type="dxa"/>
          </w:tcPr>
          <w:p w14:paraId="484ECE47" w14:textId="7BB36BCE" w:rsidR="00D27983" w:rsidRPr="00FD2DDF" w:rsidRDefault="00D27983" w:rsidP="00FD2DDF">
            <w:pPr>
              <w:rPr>
                <w:rFonts w:cs="ArialNarrow"/>
                <w:szCs w:val="22"/>
              </w:rPr>
            </w:pPr>
            <w:r w:rsidRPr="00FD2DDF">
              <w:rPr>
                <w:rFonts w:cs="ArialNarrow"/>
                <w:szCs w:val="22"/>
              </w:rPr>
              <w:t xml:space="preserve">SCR </w:t>
            </w:r>
          </w:p>
        </w:tc>
        <w:tc>
          <w:tcPr>
            <w:tcW w:w="6803" w:type="dxa"/>
          </w:tcPr>
          <w:p w14:paraId="124C5B5A" w14:textId="2D3BB2A7" w:rsidR="00D27983" w:rsidRPr="00FD2DDF" w:rsidRDefault="00D27983" w:rsidP="00FD2DDF">
            <w:pPr>
              <w:cnfStyle w:val="000000000000" w:firstRow="0" w:lastRow="0" w:firstColumn="0" w:lastColumn="0" w:oddVBand="0" w:evenVBand="0" w:oddHBand="0" w:evenHBand="0" w:firstRowFirstColumn="0" w:firstRowLastColumn="0" w:lastRowFirstColumn="0" w:lastRowLastColumn="0"/>
              <w:rPr>
                <w:rFonts w:cs="ArialNarrow"/>
                <w:szCs w:val="22"/>
              </w:rPr>
            </w:pPr>
            <w:r w:rsidRPr="00FD2DDF">
              <w:rPr>
                <w:rFonts w:cs="ArialNarrow"/>
                <w:szCs w:val="22"/>
              </w:rPr>
              <w:t>Seroconversion Rate</w:t>
            </w:r>
          </w:p>
        </w:tc>
      </w:tr>
      <w:tr w:rsidR="00D27983" w:rsidRPr="00FD2DDF" w14:paraId="5BF239CC" w14:textId="77777777" w:rsidTr="00E52206">
        <w:trPr>
          <w:trHeight w:val="466"/>
        </w:trPr>
        <w:tc>
          <w:tcPr>
            <w:cnfStyle w:val="001000000000" w:firstRow="0" w:lastRow="0" w:firstColumn="1" w:lastColumn="0" w:oddVBand="0" w:evenVBand="0" w:oddHBand="0" w:evenHBand="0" w:firstRowFirstColumn="0" w:firstRowLastColumn="0" w:lastRowFirstColumn="0" w:lastRowLastColumn="0"/>
            <w:tcW w:w="1998" w:type="dxa"/>
          </w:tcPr>
          <w:p w14:paraId="78048CDD" w14:textId="76A02C69" w:rsidR="00D27983" w:rsidRPr="00FD2DDF" w:rsidRDefault="00D27983" w:rsidP="00FD2DDF">
            <w:pPr>
              <w:rPr>
                <w:rFonts w:cs="ArialNarrow"/>
                <w:szCs w:val="22"/>
              </w:rPr>
            </w:pPr>
            <w:r w:rsidRPr="00FD2DDF">
              <w:rPr>
                <w:rFonts w:cs="ArialNarrow"/>
                <w:szCs w:val="22"/>
              </w:rPr>
              <w:t xml:space="preserve">SCF </w:t>
            </w:r>
          </w:p>
        </w:tc>
        <w:tc>
          <w:tcPr>
            <w:tcW w:w="6803" w:type="dxa"/>
          </w:tcPr>
          <w:p w14:paraId="619CEB0D" w14:textId="79D4A829" w:rsidR="00D27983" w:rsidRPr="00FD2DDF" w:rsidRDefault="00D27983" w:rsidP="00FD2DDF">
            <w:pPr>
              <w:cnfStyle w:val="000000000000" w:firstRow="0" w:lastRow="0" w:firstColumn="0" w:lastColumn="0" w:oddVBand="0" w:evenVBand="0" w:oddHBand="0" w:evenHBand="0" w:firstRowFirstColumn="0" w:firstRowLastColumn="0" w:lastRowFirstColumn="0" w:lastRowLastColumn="0"/>
              <w:rPr>
                <w:rFonts w:cs="ArialNarrow"/>
                <w:szCs w:val="22"/>
              </w:rPr>
            </w:pPr>
            <w:r w:rsidRPr="00FD2DDF">
              <w:rPr>
                <w:rFonts w:cs="ArialNarrow"/>
                <w:szCs w:val="22"/>
              </w:rPr>
              <w:t>Seroconversion Factor</w:t>
            </w:r>
          </w:p>
        </w:tc>
      </w:tr>
      <w:tr w:rsidR="00D27983" w:rsidRPr="00FD2DDF" w14:paraId="26151913" w14:textId="77777777" w:rsidTr="00E52206">
        <w:trPr>
          <w:trHeight w:val="466"/>
        </w:trPr>
        <w:tc>
          <w:tcPr>
            <w:cnfStyle w:val="001000000000" w:firstRow="0" w:lastRow="0" w:firstColumn="1" w:lastColumn="0" w:oddVBand="0" w:evenVBand="0" w:oddHBand="0" w:evenHBand="0" w:firstRowFirstColumn="0" w:firstRowLastColumn="0" w:lastRowFirstColumn="0" w:lastRowLastColumn="0"/>
            <w:tcW w:w="1998" w:type="dxa"/>
          </w:tcPr>
          <w:p w14:paraId="2A9AFB61" w14:textId="126FA20E" w:rsidR="00D27983" w:rsidRPr="00FD2DDF" w:rsidRDefault="00D27983" w:rsidP="00FD2DDF">
            <w:pPr>
              <w:rPr>
                <w:rFonts w:cs="ArialNarrow"/>
                <w:szCs w:val="22"/>
              </w:rPr>
            </w:pPr>
            <w:r w:rsidRPr="00FD2DDF">
              <w:rPr>
                <w:rFonts w:cs="ArialNarrow"/>
                <w:szCs w:val="22"/>
              </w:rPr>
              <w:t>SH</w:t>
            </w:r>
          </w:p>
        </w:tc>
        <w:tc>
          <w:tcPr>
            <w:tcW w:w="6803" w:type="dxa"/>
          </w:tcPr>
          <w:p w14:paraId="16AA809F" w14:textId="5FA8B6BF" w:rsidR="00D27983" w:rsidRPr="00FD2DDF" w:rsidRDefault="00D27983" w:rsidP="00FD2DDF">
            <w:pPr>
              <w:cnfStyle w:val="000000000000" w:firstRow="0" w:lastRow="0" w:firstColumn="0" w:lastColumn="0" w:oddVBand="0" w:evenVBand="0" w:oddHBand="0" w:evenHBand="0" w:firstRowFirstColumn="0" w:firstRowLastColumn="0" w:lastRowFirstColumn="0" w:lastRowLastColumn="0"/>
              <w:rPr>
                <w:rFonts w:cs="ArialNarrow"/>
                <w:szCs w:val="22"/>
              </w:rPr>
            </w:pPr>
            <w:r w:rsidRPr="00FD2DDF">
              <w:rPr>
                <w:rFonts w:cs="ArialNarrow"/>
                <w:szCs w:val="22"/>
              </w:rPr>
              <w:t>Southern Hemisphere</w:t>
            </w:r>
          </w:p>
        </w:tc>
      </w:tr>
      <w:tr w:rsidR="00D27983" w:rsidRPr="00FD2DDF" w14:paraId="22F85C1C" w14:textId="77777777" w:rsidTr="00E52206">
        <w:trPr>
          <w:trHeight w:val="466"/>
        </w:trPr>
        <w:tc>
          <w:tcPr>
            <w:cnfStyle w:val="001000000000" w:firstRow="0" w:lastRow="0" w:firstColumn="1" w:lastColumn="0" w:oddVBand="0" w:evenVBand="0" w:oddHBand="0" w:evenHBand="0" w:firstRowFirstColumn="0" w:firstRowLastColumn="0" w:lastRowFirstColumn="0" w:lastRowLastColumn="0"/>
            <w:tcW w:w="1998" w:type="dxa"/>
          </w:tcPr>
          <w:p w14:paraId="47ACA836" w14:textId="2CF26DAC" w:rsidR="00D27983" w:rsidRPr="00FD2DDF" w:rsidRDefault="00D27983" w:rsidP="00FD2DDF">
            <w:pPr>
              <w:rPr>
                <w:rFonts w:cs="ArialNarrow"/>
                <w:szCs w:val="22"/>
              </w:rPr>
            </w:pPr>
            <w:r w:rsidRPr="00FD2DDF">
              <w:rPr>
                <w:rFonts w:cs="ArialNarrow"/>
                <w:szCs w:val="22"/>
              </w:rPr>
              <w:t xml:space="preserve">SOC </w:t>
            </w:r>
          </w:p>
        </w:tc>
        <w:tc>
          <w:tcPr>
            <w:tcW w:w="6803" w:type="dxa"/>
          </w:tcPr>
          <w:p w14:paraId="45BDF1F7" w14:textId="6B662E9B" w:rsidR="00D27983" w:rsidRPr="00FD2DDF" w:rsidRDefault="00D27983" w:rsidP="00FD2DDF">
            <w:pPr>
              <w:cnfStyle w:val="000000000000" w:firstRow="0" w:lastRow="0" w:firstColumn="0" w:lastColumn="0" w:oddVBand="0" w:evenVBand="0" w:oddHBand="0" w:evenHBand="0" w:firstRowFirstColumn="0" w:firstRowLastColumn="0" w:lastRowFirstColumn="0" w:lastRowLastColumn="0"/>
              <w:rPr>
                <w:rFonts w:cs="ArialNarrow"/>
                <w:szCs w:val="22"/>
              </w:rPr>
            </w:pPr>
            <w:r w:rsidRPr="00FD2DDF">
              <w:rPr>
                <w:rFonts w:cs="ArialNarrow"/>
                <w:szCs w:val="22"/>
              </w:rPr>
              <w:t>System Organ Class</w:t>
            </w:r>
          </w:p>
        </w:tc>
      </w:tr>
      <w:tr w:rsidR="00D27983" w:rsidRPr="00FD2DDF" w14:paraId="78B4AB2A" w14:textId="77777777" w:rsidTr="00E52206">
        <w:trPr>
          <w:trHeight w:val="466"/>
        </w:trPr>
        <w:tc>
          <w:tcPr>
            <w:cnfStyle w:val="001000000000" w:firstRow="0" w:lastRow="0" w:firstColumn="1" w:lastColumn="0" w:oddVBand="0" w:evenVBand="0" w:oddHBand="0" w:evenHBand="0" w:firstRowFirstColumn="0" w:firstRowLastColumn="0" w:lastRowFirstColumn="0" w:lastRowLastColumn="0"/>
            <w:tcW w:w="1998" w:type="dxa"/>
          </w:tcPr>
          <w:p w14:paraId="17C04519" w14:textId="4617666A" w:rsidR="00D27983" w:rsidRPr="00FD2DDF" w:rsidRDefault="00D27983" w:rsidP="00FD2DDF">
            <w:pPr>
              <w:rPr>
                <w:rFonts w:cs="ArialNarrow"/>
                <w:szCs w:val="22"/>
              </w:rPr>
            </w:pPr>
            <w:r w:rsidRPr="00FD2DDF">
              <w:rPr>
                <w:rFonts w:cs="ArialNarrow"/>
                <w:szCs w:val="22"/>
              </w:rPr>
              <w:t>SPR</w:t>
            </w:r>
          </w:p>
        </w:tc>
        <w:tc>
          <w:tcPr>
            <w:tcW w:w="6803" w:type="dxa"/>
          </w:tcPr>
          <w:p w14:paraId="46279CBC" w14:textId="0AC0C99A" w:rsidR="00D27983" w:rsidRPr="00FD2DDF" w:rsidRDefault="00D27983" w:rsidP="00FD2DDF">
            <w:pPr>
              <w:cnfStyle w:val="000000000000" w:firstRow="0" w:lastRow="0" w:firstColumn="0" w:lastColumn="0" w:oddVBand="0" w:evenVBand="0" w:oddHBand="0" w:evenHBand="0" w:firstRowFirstColumn="0" w:firstRowLastColumn="0" w:lastRowFirstColumn="0" w:lastRowLastColumn="0"/>
              <w:rPr>
                <w:rFonts w:cs="ArialNarrow"/>
                <w:szCs w:val="22"/>
              </w:rPr>
            </w:pPr>
            <w:r w:rsidRPr="00FD2DDF">
              <w:rPr>
                <w:rFonts w:cs="ArialNarrow"/>
                <w:szCs w:val="22"/>
              </w:rPr>
              <w:t>Seroprotection Rate</w:t>
            </w:r>
          </w:p>
        </w:tc>
      </w:tr>
      <w:tr w:rsidR="00D27983" w:rsidRPr="00FD2DDF" w14:paraId="33F01F57" w14:textId="77777777" w:rsidTr="00E52206">
        <w:trPr>
          <w:trHeight w:val="466"/>
        </w:trPr>
        <w:tc>
          <w:tcPr>
            <w:cnfStyle w:val="001000000000" w:firstRow="0" w:lastRow="0" w:firstColumn="1" w:lastColumn="0" w:oddVBand="0" w:evenVBand="0" w:oddHBand="0" w:evenHBand="0" w:firstRowFirstColumn="0" w:firstRowLastColumn="0" w:lastRowFirstColumn="0" w:lastRowLastColumn="0"/>
            <w:tcW w:w="1998" w:type="dxa"/>
          </w:tcPr>
          <w:p w14:paraId="7C66954F" w14:textId="1DEF11B1" w:rsidR="00D27983" w:rsidRPr="00FD2DDF" w:rsidRDefault="00D27983" w:rsidP="00FD2DDF">
            <w:pPr>
              <w:rPr>
                <w:rFonts w:cs="ArialNarrow"/>
                <w:szCs w:val="22"/>
              </w:rPr>
            </w:pPr>
            <w:r w:rsidRPr="00FD2DDF">
              <w:rPr>
                <w:rFonts w:cs="ArialNarrow"/>
                <w:szCs w:val="22"/>
              </w:rPr>
              <w:t>TGA</w:t>
            </w:r>
          </w:p>
        </w:tc>
        <w:tc>
          <w:tcPr>
            <w:tcW w:w="6803" w:type="dxa"/>
          </w:tcPr>
          <w:p w14:paraId="067AE6AD" w14:textId="778678E8" w:rsidR="00D27983" w:rsidRPr="00FD2DDF" w:rsidRDefault="00D27983" w:rsidP="00FD2DDF">
            <w:pPr>
              <w:cnfStyle w:val="000000000000" w:firstRow="0" w:lastRow="0" w:firstColumn="0" w:lastColumn="0" w:oddVBand="0" w:evenVBand="0" w:oddHBand="0" w:evenHBand="0" w:firstRowFirstColumn="0" w:firstRowLastColumn="0" w:lastRowFirstColumn="0" w:lastRowLastColumn="0"/>
              <w:rPr>
                <w:rFonts w:cs="ArialNarrow"/>
                <w:szCs w:val="22"/>
              </w:rPr>
            </w:pPr>
            <w:r w:rsidRPr="00FD2DDF">
              <w:rPr>
                <w:rFonts w:cs="ArialNarrow"/>
                <w:szCs w:val="22"/>
              </w:rPr>
              <w:t>Therapeutic Goods Administration</w:t>
            </w:r>
          </w:p>
        </w:tc>
      </w:tr>
      <w:tr w:rsidR="00D27983" w:rsidRPr="00FD2DDF" w14:paraId="7976E87B" w14:textId="77777777" w:rsidTr="00E52206">
        <w:trPr>
          <w:trHeight w:val="466"/>
        </w:trPr>
        <w:tc>
          <w:tcPr>
            <w:cnfStyle w:val="001000000000" w:firstRow="0" w:lastRow="0" w:firstColumn="1" w:lastColumn="0" w:oddVBand="0" w:evenVBand="0" w:oddHBand="0" w:evenHBand="0" w:firstRowFirstColumn="0" w:firstRowLastColumn="0" w:lastRowFirstColumn="0" w:lastRowLastColumn="0"/>
            <w:tcW w:w="1998" w:type="dxa"/>
          </w:tcPr>
          <w:p w14:paraId="544186A1" w14:textId="61C1B755" w:rsidR="00D27983" w:rsidRPr="00FD2DDF" w:rsidRDefault="00D27983" w:rsidP="00FD2DDF">
            <w:pPr>
              <w:rPr>
                <w:rFonts w:cs="ArialNarrow"/>
                <w:szCs w:val="22"/>
              </w:rPr>
            </w:pPr>
            <w:r w:rsidRPr="00FD2DDF">
              <w:rPr>
                <w:rFonts w:cs="ArialNarrow"/>
                <w:szCs w:val="22"/>
              </w:rPr>
              <w:t>TIV</w:t>
            </w:r>
          </w:p>
        </w:tc>
        <w:tc>
          <w:tcPr>
            <w:tcW w:w="6803" w:type="dxa"/>
          </w:tcPr>
          <w:p w14:paraId="70D6BF54" w14:textId="71922F8B" w:rsidR="00D27983" w:rsidRPr="00FD2DDF" w:rsidRDefault="00D27983" w:rsidP="00FD2DDF">
            <w:pPr>
              <w:cnfStyle w:val="000000000000" w:firstRow="0" w:lastRow="0" w:firstColumn="0" w:lastColumn="0" w:oddVBand="0" w:evenVBand="0" w:oddHBand="0" w:evenHBand="0" w:firstRowFirstColumn="0" w:firstRowLastColumn="0" w:lastRowFirstColumn="0" w:lastRowLastColumn="0"/>
              <w:rPr>
                <w:rFonts w:cs="ArialNarrow"/>
                <w:szCs w:val="22"/>
              </w:rPr>
            </w:pPr>
            <w:r w:rsidRPr="00FD2DDF">
              <w:rPr>
                <w:rFonts w:cs="ArialNarrow"/>
                <w:szCs w:val="22"/>
              </w:rPr>
              <w:t>Trivalent Influenza Vaccine</w:t>
            </w:r>
          </w:p>
        </w:tc>
      </w:tr>
      <w:tr w:rsidR="00D27983" w:rsidRPr="00FD2DDF" w14:paraId="2F2DD7FD" w14:textId="77777777" w:rsidTr="00E52206">
        <w:trPr>
          <w:trHeight w:val="466"/>
        </w:trPr>
        <w:tc>
          <w:tcPr>
            <w:cnfStyle w:val="001000000000" w:firstRow="0" w:lastRow="0" w:firstColumn="1" w:lastColumn="0" w:oddVBand="0" w:evenVBand="0" w:oddHBand="0" w:evenHBand="0" w:firstRowFirstColumn="0" w:firstRowLastColumn="0" w:lastRowFirstColumn="0" w:lastRowLastColumn="0"/>
            <w:tcW w:w="1998" w:type="dxa"/>
          </w:tcPr>
          <w:p w14:paraId="21014F71" w14:textId="0CC3DC81" w:rsidR="00D27983" w:rsidRPr="00FD2DDF" w:rsidRDefault="00D27983" w:rsidP="00FD2DDF">
            <w:pPr>
              <w:rPr>
                <w:rFonts w:cs="ArialNarrow"/>
                <w:szCs w:val="22"/>
              </w:rPr>
            </w:pPr>
            <w:r w:rsidRPr="00FD2DDF">
              <w:rPr>
                <w:rFonts w:cs="ArialNarrow"/>
                <w:szCs w:val="22"/>
              </w:rPr>
              <w:t>US</w:t>
            </w:r>
          </w:p>
        </w:tc>
        <w:tc>
          <w:tcPr>
            <w:tcW w:w="6803" w:type="dxa"/>
          </w:tcPr>
          <w:p w14:paraId="4A51621D" w14:textId="50EF014D" w:rsidR="00D27983" w:rsidRPr="00FD2DDF" w:rsidRDefault="00D27983" w:rsidP="00FD2DDF">
            <w:pPr>
              <w:cnfStyle w:val="000000000000" w:firstRow="0" w:lastRow="0" w:firstColumn="0" w:lastColumn="0" w:oddVBand="0" w:evenVBand="0" w:oddHBand="0" w:evenHBand="0" w:firstRowFirstColumn="0" w:firstRowLastColumn="0" w:lastRowFirstColumn="0" w:lastRowLastColumn="0"/>
              <w:rPr>
                <w:rFonts w:cs="ArialNarrow"/>
                <w:szCs w:val="22"/>
              </w:rPr>
            </w:pPr>
            <w:r w:rsidRPr="00FD2DDF">
              <w:rPr>
                <w:rFonts w:cs="ArialNarrow"/>
                <w:szCs w:val="22"/>
              </w:rPr>
              <w:t>United States</w:t>
            </w:r>
          </w:p>
        </w:tc>
      </w:tr>
      <w:tr w:rsidR="00D27983" w:rsidRPr="00FD2DDF" w14:paraId="39CE1825" w14:textId="77777777" w:rsidTr="00E52206">
        <w:trPr>
          <w:trHeight w:val="466"/>
        </w:trPr>
        <w:tc>
          <w:tcPr>
            <w:cnfStyle w:val="001000000000" w:firstRow="0" w:lastRow="0" w:firstColumn="1" w:lastColumn="0" w:oddVBand="0" w:evenVBand="0" w:oddHBand="0" w:evenHBand="0" w:firstRowFirstColumn="0" w:firstRowLastColumn="0" w:lastRowFirstColumn="0" w:lastRowLastColumn="0"/>
            <w:tcW w:w="1998" w:type="dxa"/>
          </w:tcPr>
          <w:p w14:paraId="4C032C87" w14:textId="32810FDF" w:rsidR="00D27983" w:rsidRPr="00FD2DDF" w:rsidRDefault="00D27983" w:rsidP="00FD2DDF">
            <w:pPr>
              <w:rPr>
                <w:rFonts w:cs="ArialNarrow"/>
                <w:szCs w:val="22"/>
              </w:rPr>
            </w:pPr>
            <w:r w:rsidRPr="00FD2DDF">
              <w:rPr>
                <w:rFonts w:cs="ArialNarrow"/>
                <w:szCs w:val="22"/>
              </w:rPr>
              <w:t>VE</w:t>
            </w:r>
          </w:p>
        </w:tc>
        <w:tc>
          <w:tcPr>
            <w:tcW w:w="6803" w:type="dxa"/>
          </w:tcPr>
          <w:p w14:paraId="30D0154E" w14:textId="1036D44C" w:rsidR="00D27983" w:rsidRPr="00FD2DDF" w:rsidRDefault="00D27983" w:rsidP="00FD2DDF">
            <w:pPr>
              <w:cnfStyle w:val="000000000000" w:firstRow="0" w:lastRow="0" w:firstColumn="0" w:lastColumn="0" w:oddVBand="0" w:evenVBand="0" w:oddHBand="0" w:evenHBand="0" w:firstRowFirstColumn="0" w:firstRowLastColumn="0" w:lastRowFirstColumn="0" w:lastRowLastColumn="0"/>
              <w:rPr>
                <w:rFonts w:cs="ArialNarrow"/>
                <w:szCs w:val="22"/>
              </w:rPr>
            </w:pPr>
            <w:r w:rsidRPr="00FD2DDF">
              <w:rPr>
                <w:rFonts w:cs="ArialNarrow"/>
                <w:szCs w:val="22"/>
              </w:rPr>
              <w:t xml:space="preserve">Vaccine </w:t>
            </w:r>
            <w:r w:rsidR="003073A8" w:rsidRPr="00FD2DDF">
              <w:rPr>
                <w:rFonts w:cs="ArialNarrow"/>
                <w:szCs w:val="22"/>
              </w:rPr>
              <w:t>Efficacy</w:t>
            </w:r>
          </w:p>
        </w:tc>
      </w:tr>
      <w:tr w:rsidR="00D27983" w:rsidRPr="00FD2DDF" w14:paraId="77657284" w14:textId="77777777" w:rsidTr="00E52206">
        <w:trPr>
          <w:trHeight w:val="466"/>
        </w:trPr>
        <w:tc>
          <w:tcPr>
            <w:cnfStyle w:val="001000000000" w:firstRow="0" w:lastRow="0" w:firstColumn="1" w:lastColumn="0" w:oddVBand="0" w:evenVBand="0" w:oddHBand="0" w:evenHBand="0" w:firstRowFirstColumn="0" w:firstRowLastColumn="0" w:lastRowFirstColumn="0" w:lastRowLastColumn="0"/>
            <w:tcW w:w="1998" w:type="dxa"/>
          </w:tcPr>
          <w:p w14:paraId="390E9781" w14:textId="09E7335C" w:rsidR="00D27983" w:rsidRPr="00FD2DDF" w:rsidRDefault="00D27983" w:rsidP="00FD2DDF">
            <w:pPr>
              <w:rPr>
                <w:rFonts w:cs="ArialNarrow"/>
                <w:szCs w:val="22"/>
              </w:rPr>
            </w:pPr>
            <w:r w:rsidRPr="00FD2DDF">
              <w:rPr>
                <w:rFonts w:cs="ArialNarrow"/>
                <w:szCs w:val="22"/>
              </w:rPr>
              <w:t>WHO</w:t>
            </w:r>
          </w:p>
        </w:tc>
        <w:tc>
          <w:tcPr>
            <w:tcW w:w="6803" w:type="dxa"/>
          </w:tcPr>
          <w:p w14:paraId="7FD70846" w14:textId="041AA707" w:rsidR="00D27983" w:rsidRPr="00FD2DDF" w:rsidRDefault="00D27983" w:rsidP="00FD2DDF">
            <w:pPr>
              <w:cnfStyle w:val="000000000000" w:firstRow="0" w:lastRow="0" w:firstColumn="0" w:lastColumn="0" w:oddVBand="0" w:evenVBand="0" w:oddHBand="0" w:evenHBand="0" w:firstRowFirstColumn="0" w:firstRowLastColumn="0" w:lastRowFirstColumn="0" w:lastRowLastColumn="0"/>
              <w:rPr>
                <w:rFonts w:cs="ArialNarrow"/>
                <w:szCs w:val="22"/>
              </w:rPr>
            </w:pPr>
            <w:r w:rsidRPr="00FD2DDF">
              <w:rPr>
                <w:rFonts w:cs="ArialNarrow"/>
                <w:szCs w:val="22"/>
              </w:rPr>
              <w:t xml:space="preserve">World Health </w:t>
            </w:r>
            <w:r w:rsidR="00F967E7" w:rsidRPr="00FD2DDF">
              <w:rPr>
                <w:rFonts w:cs="ArialNarrow"/>
                <w:szCs w:val="22"/>
              </w:rPr>
              <w:t>Organization</w:t>
            </w:r>
          </w:p>
        </w:tc>
      </w:tr>
    </w:tbl>
    <w:p w14:paraId="6FD66F17" w14:textId="77777777" w:rsidR="0094614A" w:rsidRDefault="0094614A" w:rsidP="0043797D">
      <w:pPr>
        <w:pStyle w:val="Heading2"/>
        <w:pageBreakBefore/>
        <w:rPr>
          <w:lang w:eastAsia="en-AU"/>
        </w:rPr>
      </w:pPr>
      <w:bookmarkStart w:id="8" w:name="_Toc490579706"/>
      <w:bookmarkStart w:id="9" w:name="_Toc351718900"/>
      <w:bookmarkStart w:id="10" w:name="_Toc355338635"/>
      <w:r>
        <w:rPr>
          <w:lang w:eastAsia="en-AU"/>
        </w:rPr>
        <w:lastRenderedPageBreak/>
        <w:t>Introduction</w:t>
      </w:r>
      <w:bookmarkEnd w:id="8"/>
    </w:p>
    <w:p w14:paraId="31C62C37" w14:textId="7B7E939A" w:rsidR="00F911F6" w:rsidRPr="008414E1" w:rsidRDefault="008414E1" w:rsidP="008414E1">
      <w:pPr>
        <w:pStyle w:val="Comment"/>
        <w:ind w:left="0" w:firstLine="0"/>
      </w:pPr>
      <w:r>
        <w:t>T</w:t>
      </w:r>
      <w:r w:rsidR="004F3F79" w:rsidRPr="008414E1">
        <w:t>he original</w:t>
      </w:r>
      <w:r w:rsidR="00C655E7" w:rsidRPr="008414E1">
        <w:t xml:space="preserve"> proposed tradename for this vaccine was Fluvax Quad, submitted by the sponsor bioCSL Pty Ltd. During </w:t>
      </w:r>
      <w:r w:rsidR="004F3F79" w:rsidRPr="008414E1">
        <w:t>this submission, after undergoing clinical evaluation but before subsequent approval by the TGA, the tradename changed to Afluria Quad and the sponsor name changed to Seqirus Pty Ltd., however both the product evaluated and being described here and the sponsor remain the same despite the name changes. For further details of name changes, please refer to the AusPAR that accompanies this document.</w:t>
      </w:r>
    </w:p>
    <w:p w14:paraId="4EC86E2F" w14:textId="167733F7" w:rsidR="008E6C91" w:rsidRPr="008E6C91" w:rsidRDefault="008E6C91" w:rsidP="008E6C91">
      <w:pPr>
        <w:rPr>
          <w:lang w:eastAsia="en-AU"/>
        </w:rPr>
      </w:pPr>
      <w:r w:rsidRPr="008414E1">
        <w:rPr>
          <w:lang w:eastAsia="en-AU"/>
        </w:rPr>
        <w:t xml:space="preserve">This </w:t>
      </w:r>
      <w:r w:rsidR="008414E1">
        <w:rPr>
          <w:lang w:eastAsia="en-AU"/>
        </w:rPr>
        <w:t xml:space="preserve">is a clinical evaluation of </w:t>
      </w:r>
      <w:r w:rsidRPr="008414E1">
        <w:rPr>
          <w:lang w:eastAsia="en-AU"/>
        </w:rPr>
        <w:t>a</w:t>
      </w:r>
      <w:r w:rsidR="00674003" w:rsidRPr="008414E1">
        <w:rPr>
          <w:lang w:eastAsia="en-AU"/>
        </w:rPr>
        <w:t>n</w:t>
      </w:r>
      <w:r w:rsidRPr="008414E1">
        <w:rPr>
          <w:lang w:eastAsia="en-AU"/>
        </w:rPr>
        <w:t xml:space="preserve"> application </w:t>
      </w:r>
      <w:r w:rsidR="00674003" w:rsidRPr="008414E1">
        <w:rPr>
          <w:lang w:eastAsia="en-AU"/>
        </w:rPr>
        <w:t xml:space="preserve">by the sponsor to register the </w:t>
      </w:r>
      <w:r w:rsidRPr="008414E1">
        <w:rPr>
          <w:lang w:eastAsia="en-AU"/>
        </w:rPr>
        <w:t>Quadrivalent Influenza Vaccine (QIV; trade</w:t>
      </w:r>
      <w:r w:rsidRPr="008E6C91">
        <w:rPr>
          <w:lang w:eastAsia="en-AU"/>
        </w:rPr>
        <w:t xml:space="preserve"> name: </w:t>
      </w:r>
      <w:r w:rsidR="003073A8">
        <w:rPr>
          <w:lang w:eastAsia="en-AU"/>
        </w:rPr>
        <w:t xml:space="preserve">Afluria </w:t>
      </w:r>
      <w:r w:rsidR="00674003">
        <w:rPr>
          <w:lang w:eastAsia="en-AU"/>
        </w:rPr>
        <w:t>Quad) belonging</w:t>
      </w:r>
      <w:r w:rsidRPr="008E6C91">
        <w:rPr>
          <w:lang w:eastAsia="en-AU"/>
        </w:rPr>
        <w:t xml:space="preserve"> to the pharmacotherapeutic group of viral vaccines (influenza vaccines). The Anatomical Therapeutic Chemical (ATC) code is J07BB02. QIV is an inactivated vaccine for prophylaxis against influenza. It is supplied as a single dose, 0.5 mL pre-filled syringe containing a sterile, aqueous suspension for injection. Haemagglutinin</w:t>
      </w:r>
      <w:r w:rsidR="00696781">
        <w:rPr>
          <w:lang w:eastAsia="en-AU"/>
        </w:rPr>
        <w:t xml:space="preserve"> (HA)</w:t>
      </w:r>
      <w:r w:rsidRPr="008E6C91">
        <w:rPr>
          <w:lang w:eastAsia="en-AU"/>
        </w:rPr>
        <w:t xml:space="preserve"> and neuraminidase antigens present in the vaccine induce a protective antibody response in </w:t>
      </w:r>
      <w:r w:rsidR="004A18E6">
        <w:rPr>
          <w:lang w:eastAsia="en-AU"/>
        </w:rPr>
        <w:t xml:space="preserve">vaccinated individuals within 2 to </w:t>
      </w:r>
      <w:r w:rsidRPr="008E6C91">
        <w:rPr>
          <w:lang w:eastAsia="en-AU"/>
        </w:rPr>
        <w:t>3 weeks after immunisation. The suspension includes four inactivated, split influenza virus strains; two type A strain subtypes and two type B strains from separate lineages as recommended by the Australian</w:t>
      </w:r>
      <w:r w:rsidR="008048BB">
        <w:rPr>
          <w:lang w:eastAsia="en-AU"/>
        </w:rPr>
        <w:t xml:space="preserve"> </w:t>
      </w:r>
      <w:r w:rsidRPr="008E6C91">
        <w:rPr>
          <w:lang w:eastAsia="en-AU"/>
        </w:rPr>
        <w:t>Influenza Vaccine Committee for that season.</w:t>
      </w:r>
    </w:p>
    <w:p w14:paraId="7A37CDF3" w14:textId="77777777" w:rsidR="008E6C91" w:rsidRPr="008E6C91" w:rsidRDefault="008E6C91" w:rsidP="008048BB">
      <w:pPr>
        <w:pStyle w:val="Heading3"/>
        <w:rPr>
          <w:rFonts w:eastAsia="Cambria"/>
        </w:rPr>
      </w:pPr>
      <w:bookmarkStart w:id="11" w:name="_Toc272414596"/>
      <w:bookmarkStart w:id="12" w:name="_Toc290846218"/>
      <w:bookmarkStart w:id="13" w:name="_Toc448702478"/>
      <w:bookmarkStart w:id="14" w:name="_Toc490579707"/>
      <w:r w:rsidRPr="008E6C91">
        <w:rPr>
          <w:rFonts w:eastAsia="Cambria"/>
        </w:rPr>
        <w:t>Drug class and therapeutic indication</w:t>
      </w:r>
      <w:bookmarkEnd w:id="11"/>
      <w:bookmarkEnd w:id="12"/>
      <w:bookmarkEnd w:id="13"/>
      <w:bookmarkEnd w:id="14"/>
    </w:p>
    <w:p w14:paraId="49E4CB0E" w14:textId="7FCDFDF5" w:rsidR="008E6C91" w:rsidRPr="008E6C91" w:rsidRDefault="008E6C91" w:rsidP="008E6C91">
      <w:pPr>
        <w:rPr>
          <w:lang w:eastAsia="en-AU"/>
        </w:rPr>
      </w:pPr>
      <w:r w:rsidRPr="008E6C91">
        <w:rPr>
          <w:lang w:eastAsia="en-AU"/>
        </w:rPr>
        <w:t xml:space="preserve">This is an inactivated quadrivalent influenza vaccine containing influenza haemagglutinin antigens: </w:t>
      </w:r>
      <w:r w:rsidRPr="004A18E6">
        <w:rPr>
          <w:lang w:eastAsia="en-AU"/>
        </w:rPr>
        <w:t>A</w:t>
      </w:r>
      <w:r w:rsidRPr="008E6C91">
        <w:rPr>
          <w:lang w:eastAsia="en-AU"/>
        </w:rPr>
        <w:t xml:space="preserve">/California/7/2009 (H1N1) pdm09-like virus; </w:t>
      </w:r>
      <w:r w:rsidRPr="004A18E6">
        <w:rPr>
          <w:lang w:eastAsia="en-AU"/>
        </w:rPr>
        <w:t>A</w:t>
      </w:r>
      <w:r w:rsidRPr="008E6C91">
        <w:rPr>
          <w:lang w:eastAsia="en-AU"/>
        </w:rPr>
        <w:t xml:space="preserve">/Texas/50/2012 (H3N2)-like virus; </w:t>
      </w:r>
      <w:r w:rsidRPr="004A18E6">
        <w:rPr>
          <w:lang w:eastAsia="en-AU"/>
        </w:rPr>
        <w:t>B</w:t>
      </w:r>
      <w:r w:rsidRPr="008E6C91">
        <w:rPr>
          <w:lang w:eastAsia="en-AU"/>
        </w:rPr>
        <w:t xml:space="preserve">/Massachusetts/2/2012-like virus (B/Yamagata lineage); </w:t>
      </w:r>
      <w:r w:rsidR="004A18E6">
        <w:rPr>
          <w:lang w:eastAsia="en-AU"/>
        </w:rPr>
        <w:t xml:space="preserve">and </w:t>
      </w:r>
      <w:r w:rsidRPr="004A18E6">
        <w:rPr>
          <w:lang w:eastAsia="en-AU"/>
        </w:rPr>
        <w:t>B</w:t>
      </w:r>
      <w:r w:rsidRPr="008E6C91">
        <w:rPr>
          <w:lang w:eastAsia="en-AU"/>
        </w:rPr>
        <w:t xml:space="preserve">/Brisbane/60/2008-like virus (B/Victoria lineage). </w:t>
      </w:r>
      <w:r w:rsidR="003073A8">
        <w:rPr>
          <w:lang w:eastAsia="en-AU"/>
        </w:rPr>
        <w:t>Seqirus</w:t>
      </w:r>
      <w:r w:rsidR="003073A8" w:rsidRPr="008E6C91">
        <w:rPr>
          <w:lang w:eastAsia="en-AU"/>
        </w:rPr>
        <w:t xml:space="preserve"> </w:t>
      </w:r>
      <w:r w:rsidRPr="008E6C91">
        <w:rPr>
          <w:lang w:eastAsia="en-AU"/>
        </w:rPr>
        <w:t xml:space="preserve">QIV is an inactivated, split-virion influenza virus vaccine formulated to contain 60 </w:t>
      </w:r>
      <w:r w:rsidR="00696781">
        <w:rPr>
          <w:lang w:eastAsia="en-AU"/>
        </w:rPr>
        <w:t>µg</w:t>
      </w:r>
      <w:r w:rsidRPr="008E6C91">
        <w:rPr>
          <w:lang w:eastAsia="en-AU"/>
        </w:rPr>
        <w:t xml:space="preserve"> HA per 0.5 mL dose in the recommended ratio of 15 </w:t>
      </w:r>
      <w:r w:rsidR="00696781">
        <w:rPr>
          <w:lang w:eastAsia="en-AU"/>
        </w:rPr>
        <w:t>µg</w:t>
      </w:r>
      <w:r w:rsidRPr="008E6C91">
        <w:rPr>
          <w:lang w:eastAsia="en-AU"/>
        </w:rPr>
        <w:t xml:space="preserve"> HA for each</w:t>
      </w:r>
      <w:r w:rsidR="008048BB">
        <w:rPr>
          <w:lang w:eastAsia="en-AU"/>
        </w:rPr>
        <w:t xml:space="preserve"> </w:t>
      </w:r>
      <w:r w:rsidRPr="008E6C91">
        <w:rPr>
          <w:lang w:eastAsia="en-AU"/>
        </w:rPr>
        <w:t>influenza virus strain: Type A (H1N1)-like virus; Type A (H3N2)-like virus; Type B (Victoria</w:t>
      </w:r>
      <w:r w:rsidR="008048BB">
        <w:rPr>
          <w:lang w:eastAsia="en-AU"/>
        </w:rPr>
        <w:t xml:space="preserve"> </w:t>
      </w:r>
      <w:r w:rsidRPr="008E6C91">
        <w:rPr>
          <w:lang w:eastAsia="en-AU"/>
        </w:rPr>
        <w:t xml:space="preserve">lineage) and Type B (Yamagata lineage). The </w:t>
      </w:r>
      <w:r w:rsidR="004A18E6">
        <w:rPr>
          <w:lang w:eastAsia="en-AU"/>
        </w:rPr>
        <w:t xml:space="preserve">sponsor’s </w:t>
      </w:r>
      <w:r w:rsidRPr="008E6C91">
        <w:rPr>
          <w:lang w:eastAsia="en-AU"/>
        </w:rPr>
        <w:t>QIV formulation is consistent with</w:t>
      </w:r>
      <w:r w:rsidR="004A18E6">
        <w:rPr>
          <w:lang w:eastAsia="en-AU"/>
        </w:rPr>
        <w:t xml:space="preserve"> the currently licensed Afluria</w:t>
      </w:r>
      <w:r w:rsidRPr="008E6C91">
        <w:rPr>
          <w:lang w:eastAsia="en-AU"/>
        </w:rPr>
        <w:t xml:space="preserve"> trivalent influenza virus vaccine (</w:t>
      </w:r>
      <w:r w:rsidR="003073A8">
        <w:rPr>
          <w:lang w:eastAsia="en-AU"/>
        </w:rPr>
        <w:t>Seqirus</w:t>
      </w:r>
      <w:r w:rsidR="003073A8" w:rsidRPr="008E6C91">
        <w:rPr>
          <w:lang w:eastAsia="en-AU"/>
        </w:rPr>
        <w:t xml:space="preserve"> </w:t>
      </w:r>
      <w:r w:rsidRPr="008E6C91">
        <w:rPr>
          <w:lang w:eastAsia="en-AU"/>
        </w:rPr>
        <w:t>TIV), with the exception of the alternate lineage influenza B strain which increases the total HA content fro</w:t>
      </w:r>
      <w:r w:rsidR="004A18E6">
        <w:rPr>
          <w:lang w:eastAsia="en-AU"/>
        </w:rPr>
        <w:t xml:space="preserve">m 45 to 60 </w:t>
      </w:r>
      <w:r w:rsidR="00696781">
        <w:rPr>
          <w:lang w:eastAsia="en-AU"/>
        </w:rPr>
        <w:t>µg</w:t>
      </w:r>
      <w:r w:rsidR="004A18E6">
        <w:rPr>
          <w:lang w:eastAsia="en-AU"/>
        </w:rPr>
        <w:t xml:space="preserve"> per 0.5 mL dose.</w:t>
      </w:r>
    </w:p>
    <w:p w14:paraId="694EA197" w14:textId="1C949C8A" w:rsidR="008E6C91" w:rsidRPr="008E6C91" w:rsidRDefault="008E6C91" w:rsidP="008048BB">
      <w:pPr>
        <w:pStyle w:val="Heading3"/>
        <w:rPr>
          <w:rFonts w:eastAsia="Cambria"/>
        </w:rPr>
      </w:pPr>
      <w:bookmarkStart w:id="15" w:name="_Toc272414598"/>
      <w:bookmarkStart w:id="16" w:name="_Toc290846220"/>
      <w:bookmarkStart w:id="17" w:name="_Toc448702479"/>
      <w:bookmarkStart w:id="18" w:name="_Toc490579708"/>
      <w:r w:rsidRPr="008E6C91">
        <w:rPr>
          <w:rFonts w:eastAsia="Cambria"/>
        </w:rPr>
        <w:t>Dosage</w:t>
      </w:r>
      <w:r w:rsidR="0016670C">
        <w:rPr>
          <w:rFonts w:eastAsia="Cambria"/>
        </w:rPr>
        <w:t xml:space="preserve">, </w:t>
      </w:r>
      <w:r w:rsidRPr="008E6C91">
        <w:rPr>
          <w:rFonts w:eastAsia="Cambria"/>
        </w:rPr>
        <w:t>administration</w:t>
      </w:r>
      <w:bookmarkEnd w:id="15"/>
      <w:bookmarkEnd w:id="16"/>
      <w:bookmarkEnd w:id="17"/>
      <w:r w:rsidR="00F967E7">
        <w:rPr>
          <w:rFonts w:eastAsia="Cambria"/>
        </w:rPr>
        <w:t xml:space="preserve"> and </w:t>
      </w:r>
      <w:r w:rsidR="0016670C">
        <w:rPr>
          <w:rFonts w:eastAsia="Cambria"/>
        </w:rPr>
        <w:t>p</w:t>
      </w:r>
      <w:r w:rsidR="00F967E7">
        <w:rPr>
          <w:rFonts w:eastAsia="Cambria"/>
        </w:rPr>
        <w:t>roposed indications</w:t>
      </w:r>
      <w:bookmarkEnd w:id="18"/>
    </w:p>
    <w:p w14:paraId="0899FEF7" w14:textId="75DE32D7" w:rsidR="008E6C91" w:rsidRPr="008E6C91" w:rsidRDefault="004A18E6" w:rsidP="008E6C91">
      <w:pPr>
        <w:rPr>
          <w:lang w:eastAsia="en-AU"/>
        </w:rPr>
      </w:pPr>
      <w:r>
        <w:rPr>
          <w:lang w:eastAsia="en-AU"/>
        </w:rPr>
        <w:t>This a</w:t>
      </w:r>
      <w:r w:rsidR="008E6C91" w:rsidRPr="008E6C91">
        <w:rPr>
          <w:lang w:eastAsia="en-AU"/>
        </w:rPr>
        <w:t xml:space="preserve">pplication seeks to gain approval for this quadrivalent inactivated influenza vaccine administered as a single 0.5mL dose annually intramuscularly (IM), </w:t>
      </w:r>
      <w:r w:rsidR="003073A8">
        <w:rPr>
          <w:lang w:eastAsia="en-AU"/>
        </w:rPr>
        <w:t xml:space="preserve">Afluria </w:t>
      </w:r>
      <w:r w:rsidR="008E6C91" w:rsidRPr="008E6C91">
        <w:rPr>
          <w:lang w:eastAsia="en-AU"/>
        </w:rPr>
        <w:t xml:space="preserve">Quad, for the prevention of influenza caused by Influenza Virus, Types A and B in persons aged </w:t>
      </w:r>
      <w:r w:rsidR="00E936A1">
        <w:rPr>
          <w:lang w:eastAsia="en-AU"/>
        </w:rPr>
        <w:t xml:space="preserve">≥ </w:t>
      </w:r>
      <w:r w:rsidR="00A5283F">
        <w:rPr>
          <w:lang w:eastAsia="en-AU"/>
        </w:rPr>
        <w:t>18 </w:t>
      </w:r>
      <w:r w:rsidR="008E6C91" w:rsidRPr="008E6C91">
        <w:rPr>
          <w:lang w:eastAsia="en-AU"/>
        </w:rPr>
        <w:t>y</w:t>
      </w:r>
      <w:r w:rsidR="00A5283F">
        <w:rPr>
          <w:lang w:eastAsia="en-AU"/>
        </w:rPr>
        <w:t>ea</w:t>
      </w:r>
      <w:r w:rsidR="008E6C91" w:rsidRPr="008E6C91">
        <w:rPr>
          <w:lang w:eastAsia="en-AU"/>
        </w:rPr>
        <w:t>rs.</w:t>
      </w:r>
    </w:p>
    <w:p w14:paraId="0A5285C0" w14:textId="77777777" w:rsidR="00586F98" w:rsidRDefault="00586F98" w:rsidP="006B4C50">
      <w:pPr>
        <w:pStyle w:val="Heading2"/>
      </w:pPr>
      <w:bookmarkStart w:id="19" w:name="_Toc490579709"/>
      <w:r w:rsidRPr="0094614A">
        <w:t>Clinical rationale</w:t>
      </w:r>
      <w:bookmarkEnd w:id="19"/>
    </w:p>
    <w:p w14:paraId="1AE1BFD0" w14:textId="48D42E94" w:rsidR="008048BB" w:rsidRPr="008048BB" w:rsidRDefault="00696781" w:rsidP="008048BB">
      <w:pPr>
        <w:rPr>
          <w:lang w:eastAsia="ja-JP"/>
        </w:rPr>
      </w:pPr>
      <w:r>
        <w:rPr>
          <w:lang w:eastAsia="ja-JP"/>
        </w:rPr>
        <w:t xml:space="preserve">Influenza, </w:t>
      </w:r>
      <w:r w:rsidR="008048BB" w:rsidRPr="008048BB">
        <w:rPr>
          <w:lang w:eastAsia="ja-JP"/>
        </w:rPr>
        <w:t>a respiratory orthomyxovirus, is a seasonal infectious disease that occurs in epidemics throughout the northern and southern hemisphere winter months, and leads to considerable morbidity and mortality globally in all age groups. In general, influenza is resolved within two to seven days, although symptoms of cough and malaise may be prolonged. However, for some population groups, notably the elderly and those with chronic diseases (</w:t>
      </w:r>
      <w:r w:rsidR="004A18E6">
        <w:rPr>
          <w:lang w:eastAsia="ja-JP"/>
        </w:rPr>
        <w:t>for example</w:t>
      </w:r>
      <w:r w:rsidR="008048BB" w:rsidRPr="008048BB">
        <w:rPr>
          <w:lang w:eastAsia="ja-JP"/>
        </w:rPr>
        <w:t xml:space="preserve"> pulmonary or circulatory disorders, metabolic disorders such as diabetes mellitus, renal dysfunction, or immunosuppression), influenza can exacerbate underlying medical </w:t>
      </w:r>
      <w:r w:rsidR="008048BB" w:rsidRPr="008048BB">
        <w:rPr>
          <w:lang w:eastAsia="ja-JP"/>
        </w:rPr>
        <w:lastRenderedPageBreak/>
        <w:t>conditions and/or lead to secondary viral or bacterial pneumonia.</w:t>
      </w:r>
      <w:bookmarkStart w:id="20" w:name="_Ref480322060"/>
      <w:r w:rsidR="004A18E6">
        <w:rPr>
          <w:rStyle w:val="FootnoteReference"/>
          <w:lang w:eastAsia="ja-JP"/>
        </w:rPr>
        <w:footnoteReference w:id="1"/>
      </w:r>
      <w:bookmarkEnd w:id="20"/>
      <w:r w:rsidR="004A18E6">
        <w:rPr>
          <w:vertAlign w:val="superscript"/>
          <w:lang w:eastAsia="ja-JP"/>
        </w:rPr>
        <w:t>,</w:t>
      </w:r>
      <w:r w:rsidR="004A18E6">
        <w:rPr>
          <w:rStyle w:val="FootnoteReference"/>
          <w:lang w:eastAsia="ja-JP"/>
        </w:rPr>
        <w:footnoteReference w:id="2"/>
      </w:r>
      <w:r w:rsidR="008048BB" w:rsidRPr="008048BB">
        <w:rPr>
          <w:lang w:eastAsia="ja-JP"/>
        </w:rPr>
        <w:t xml:space="preserve"> During influenza epidemics, there is an increased mortality risk among older adults (age &gt; 65 y</w:t>
      </w:r>
      <w:r w:rsidR="00A12904">
        <w:rPr>
          <w:lang w:eastAsia="ja-JP"/>
        </w:rPr>
        <w:t>ea</w:t>
      </w:r>
      <w:r w:rsidR="008048BB" w:rsidRPr="008048BB">
        <w:rPr>
          <w:lang w:eastAsia="ja-JP"/>
        </w:rPr>
        <w:t>rs), people with chronic diseases, and very young children (age 0 to 12 months), as well as an increase in morbidity and hospitalization because of influenza-associated complications</w:t>
      </w:r>
      <w:r w:rsidR="003117F6">
        <w:rPr>
          <w:lang w:eastAsia="ja-JP"/>
        </w:rPr>
        <w:t>.</w:t>
      </w:r>
      <w:r w:rsidR="003117F6" w:rsidRPr="003117F6">
        <w:rPr>
          <w:vertAlign w:val="superscript"/>
          <w:lang w:eastAsia="ja-JP"/>
        </w:rPr>
        <w:fldChar w:fldCharType="begin"/>
      </w:r>
      <w:r w:rsidR="003117F6" w:rsidRPr="003117F6">
        <w:rPr>
          <w:vertAlign w:val="superscript"/>
          <w:lang w:eastAsia="ja-JP"/>
        </w:rPr>
        <w:instrText xml:space="preserve"> NOTEREF _Ref480322060 \h </w:instrText>
      </w:r>
      <w:r w:rsidR="003117F6">
        <w:rPr>
          <w:vertAlign w:val="superscript"/>
          <w:lang w:eastAsia="ja-JP"/>
        </w:rPr>
        <w:instrText xml:space="preserve"> \* MERGEFORMAT </w:instrText>
      </w:r>
      <w:r w:rsidR="003117F6" w:rsidRPr="003117F6">
        <w:rPr>
          <w:vertAlign w:val="superscript"/>
          <w:lang w:eastAsia="ja-JP"/>
        </w:rPr>
      </w:r>
      <w:r w:rsidR="003117F6" w:rsidRPr="003117F6">
        <w:rPr>
          <w:vertAlign w:val="superscript"/>
          <w:lang w:eastAsia="ja-JP"/>
        </w:rPr>
        <w:fldChar w:fldCharType="separate"/>
      </w:r>
      <w:r w:rsidR="00BB66A0">
        <w:rPr>
          <w:vertAlign w:val="superscript"/>
          <w:lang w:eastAsia="ja-JP"/>
        </w:rPr>
        <w:t>1</w:t>
      </w:r>
      <w:r w:rsidR="003117F6" w:rsidRPr="003117F6">
        <w:rPr>
          <w:vertAlign w:val="superscript"/>
          <w:lang w:eastAsia="ja-JP"/>
        </w:rPr>
        <w:fldChar w:fldCharType="end"/>
      </w:r>
      <w:r w:rsidR="003117F6">
        <w:rPr>
          <w:vertAlign w:val="superscript"/>
          <w:lang w:eastAsia="ja-JP"/>
        </w:rPr>
        <w:t>,</w:t>
      </w:r>
      <w:r w:rsidR="00DA5B4F">
        <w:rPr>
          <w:rStyle w:val="FootnoteReference"/>
          <w:lang w:eastAsia="ja-JP"/>
        </w:rPr>
        <w:footnoteReference w:id="3"/>
      </w:r>
    </w:p>
    <w:p w14:paraId="618856B7" w14:textId="53ADB324" w:rsidR="008048BB" w:rsidRPr="008048BB" w:rsidRDefault="008048BB" w:rsidP="008048BB">
      <w:pPr>
        <w:rPr>
          <w:lang w:eastAsia="ja-JP"/>
        </w:rPr>
      </w:pPr>
      <w:r w:rsidRPr="008048BB">
        <w:rPr>
          <w:lang w:eastAsia="ja-JP"/>
        </w:rPr>
        <w:t xml:space="preserve">Influenza A and B cause most human disease. Influenza A viruses are divided into subtypes based on two viral external proteins, the </w:t>
      </w:r>
      <w:r w:rsidR="00B531FC">
        <w:rPr>
          <w:lang w:eastAsia="ja-JP"/>
        </w:rPr>
        <w:t>HA</w:t>
      </w:r>
      <w:r>
        <w:rPr>
          <w:lang w:eastAsia="ja-JP"/>
        </w:rPr>
        <w:t xml:space="preserve"> and the neuraminidase (NA).</w:t>
      </w:r>
    </w:p>
    <w:p w14:paraId="4673A79C" w14:textId="77777777" w:rsidR="008048BB" w:rsidRPr="008048BB" w:rsidRDefault="008048BB" w:rsidP="008048BB">
      <w:pPr>
        <w:rPr>
          <w:lang w:eastAsia="ja-JP"/>
        </w:rPr>
      </w:pPr>
      <w:r w:rsidRPr="008048BB">
        <w:rPr>
          <w:lang w:eastAsia="ja-JP"/>
        </w:rPr>
        <w:t>Of the influenza type A virus subtypes, the A/H3N2 and A/H1N1 subtypes are clinically the most important. Influenza type B viruses show extensive variation in antigenicity. Influenza B viruses are separated into two distinct genetic lineages, Yamagata and Victoria. In terms of infection, influenza type A viruses have been isolated from several non-human species, including birds, horses, and swine, whereas influenza type B viruses almost exclusively affect humans.</w:t>
      </w:r>
    </w:p>
    <w:p w14:paraId="5DF1F28C" w14:textId="215E527C" w:rsidR="008048BB" w:rsidRPr="008048BB" w:rsidRDefault="008048BB" w:rsidP="008048BB">
      <w:pPr>
        <w:rPr>
          <w:lang w:eastAsia="ja-JP"/>
        </w:rPr>
      </w:pPr>
      <w:r w:rsidRPr="008048BB">
        <w:rPr>
          <w:lang w:eastAsia="ja-JP"/>
        </w:rPr>
        <w:t>The influenza A or B surface glycoprotein HA is the key antigen involved in attachment of the</w:t>
      </w:r>
      <w:r>
        <w:rPr>
          <w:lang w:eastAsia="ja-JP"/>
        </w:rPr>
        <w:t xml:space="preserve"> </w:t>
      </w:r>
      <w:r w:rsidRPr="008048BB">
        <w:rPr>
          <w:lang w:eastAsia="ja-JP"/>
        </w:rPr>
        <w:t>virus to receptors on respiratory epithelial cells, whereas the NA glycoprotein is involved in</w:t>
      </w:r>
      <w:r>
        <w:rPr>
          <w:lang w:eastAsia="ja-JP"/>
        </w:rPr>
        <w:t xml:space="preserve"> </w:t>
      </w:r>
      <w:r w:rsidRPr="008048BB">
        <w:rPr>
          <w:lang w:eastAsia="ja-JP"/>
        </w:rPr>
        <w:t>release of the virus from the cell surface. During infection, the virus stimulates production of</w:t>
      </w:r>
      <w:r>
        <w:rPr>
          <w:lang w:eastAsia="ja-JP"/>
        </w:rPr>
        <w:t xml:space="preserve"> </w:t>
      </w:r>
      <w:r w:rsidRPr="008048BB">
        <w:rPr>
          <w:lang w:eastAsia="ja-JP"/>
        </w:rPr>
        <w:t>antibodies in the serum (immunoglobulin G) and nasal secretions (immunoglobulin A) to these</w:t>
      </w:r>
      <w:r>
        <w:rPr>
          <w:lang w:eastAsia="ja-JP"/>
        </w:rPr>
        <w:t xml:space="preserve"> </w:t>
      </w:r>
      <w:r w:rsidRPr="008048BB">
        <w:rPr>
          <w:lang w:eastAsia="ja-JP"/>
        </w:rPr>
        <w:t>surface glycoproteins. High levels of virus type-specific antibodies are associated with protection</w:t>
      </w:r>
      <w:r>
        <w:rPr>
          <w:lang w:eastAsia="ja-JP"/>
        </w:rPr>
        <w:t xml:space="preserve"> </w:t>
      </w:r>
      <w:r w:rsidRPr="008048BB">
        <w:rPr>
          <w:lang w:eastAsia="ja-JP"/>
        </w:rPr>
        <w:t xml:space="preserve">from disease due to infections with homologous and closely related influenza virus </w:t>
      </w:r>
      <w:r w:rsidR="00303558">
        <w:rPr>
          <w:lang w:eastAsia="ja-JP"/>
        </w:rPr>
        <w:t>s</w:t>
      </w:r>
      <w:r w:rsidRPr="008048BB">
        <w:rPr>
          <w:lang w:eastAsia="ja-JP"/>
        </w:rPr>
        <w:t>trains.</w:t>
      </w:r>
      <w:r w:rsidR="00DA5B4F" w:rsidRPr="00DA5B4F">
        <w:rPr>
          <w:vertAlign w:val="superscript"/>
          <w:lang w:eastAsia="ja-JP"/>
        </w:rPr>
        <w:fldChar w:fldCharType="begin"/>
      </w:r>
      <w:r w:rsidR="00DA5B4F" w:rsidRPr="00DA5B4F">
        <w:rPr>
          <w:vertAlign w:val="superscript"/>
          <w:lang w:eastAsia="ja-JP"/>
        </w:rPr>
        <w:instrText xml:space="preserve"> NOTEREF _Ref480322060 \h </w:instrText>
      </w:r>
      <w:r w:rsidR="00DA5B4F">
        <w:rPr>
          <w:vertAlign w:val="superscript"/>
          <w:lang w:eastAsia="ja-JP"/>
        </w:rPr>
        <w:instrText xml:space="preserve"> \* MERGEFORMAT </w:instrText>
      </w:r>
      <w:r w:rsidR="00DA5B4F" w:rsidRPr="00DA5B4F">
        <w:rPr>
          <w:vertAlign w:val="superscript"/>
          <w:lang w:eastAsia="ja-JP"/>
        </w:rPr>
      </w:r>
      <w:r w:rsidR="00DA5B4F" w:rsidRPr="00DA5B4F">
        <w:rPr>
          <w:vertAlign w:val="superscript"/>
          <w:lang w:eastAsia="ja-JP"/>
        </w:rPr>
        <w:fldChar w:fldCharType="separate"/>
      </w:r>
      <w:r w:rsidR="00BB66A0">
        <w:rPr>
          <w:vertAlign w:val="superscript"/>
          <w:lang w:eastAsia="ja-JP"/>
        </w:rPr>
        <w:t>1</w:t>
      </w:r>
      <w:r w:rsidR="00DA5B4F" w:rsidRPr="00DA5B4F">
        <w:rPr>
          <w:vertAlign w:val="superscript"/>
          <w:lang w:eastAsia="ja-JP"/>
        </w:rPr>
        <w:fldChar w:fldCharType="end"/>
      </w:r>
      <w:r w:rsidR="00DA5B4F" w:rsidRPr="00DA5B4F">
        <w:rPr>
          <w:vertAlign w:val="superscript"/>
          <w:lang w:eastAsia="ja-JP"/>
        </w:rPr>
        <w:t>,</w:t>
      </w:r>
      <w:bookmarkStart w:id="21" w:name="_Ref480323116"/>
      <w:r w:rsidR="00DA5B4F">
        <w:rPr>
          <w:rStyle w:val="FootnoteReference"/>
          <w:lang w:eastAsia="ja-JP"/>
        </w:rPr>
        <w:footnoteReference w:id="4"/>
      </w:r>
      <w:bookmarkEnd w:id="21"/>
      <w:r w:rsidRPr="008048BB">
        <w:rPr>
          <w:lang w:eastAsia="ja-JP"/>
        </w:rPr>
        <w:t xml:space="preserve"> Novel influenza strains arise from antigenic drift due to point mutation and recombination events that occur during viral replication. These events result in the emergence of new strains of the influenza virus capable of causing epidemics, as pre-existing antibodies resulting from previous virus exposure or vaccination are generally not cross-protective.</w:t>
      </w:r>
      <w:r w:rsidR="00DA5B4F" w:rsidRPr="00DA5B4F">
        <w:rPr>
          <w:vertAlign w:val="superscript"/>
          <w:lang w:eastAsia="ja-JP"/>
        </w:rPr>
        <w:fldChar w:fldCharType="begin"/>
      </w:r>
      <w:r w:rsidR="00DA5B4F" w:rsidRPr="00DA5B4F">
        <w:rPr>
          <w:vertAlign w:val="superscript"/>
          <w:lang w:eastAsia="ja-JP"/>
        </w:rPr>
        <w:instrText xml:space="preserve"> NOTEREF _Ref480323116 \h </w:instrText>
      </w:r>
      <w:r w:rsidR="00DA5B4F">
        <w:rPr>
          <w:vertAlign w:val="superscript"/>
          <w:lang w:eastAsia="ja-JP"/>
        </w:rPr>
        <w:instrText xml:space="preserve"> \* MERGEFORMAT </w:instrText>
      </w:r>
      <w:r w:rsidR="00DA5B4F" w:rsidRPr="00DA5B4F">
        <w:rPr>
          <w:vertAlign w:val="superscript"/>
          <w:lang w:eastAsia="ja-JP"/>
        </w:rPr>
      </w:r>
      <w:r w:rsidR="00DA5B4F" w:rsidRPr="00DA5B4F">
        <w:rPr>
          <w:vertAlign w:val="superscript"/>
          <w:lang w:eastAsia="ja-JP"/>
        </w:rPr>
        <w:fldChar w:fldCharType="separate"/>
      </w:r>
      <w:r w:rsidR="00BB66A0">
        <w:rPr>
          <w:vertAlign w:val="superscript"/>
          <w:lang w:eastAsia="ja-JP"/>
        </w:rPr>
        <w:t>4</w:t>
      </w:r>
      <w:r w:rsidR="00DA5B4F" w:rsidRPr="00DA5B4F">
        <w:rPr>
          <w:vertAlign w:val="superscript"/>
          <w:lang w:eastAsia="ja-JP"/>
        </w:rPr>
        <w:fldChar w:fldCharType="end"/>
      </w:r>
      <w:r w:rsidRPr="008048BB">
        <w:rPr>
          <w:lang w:eastAsia="ja-JP"/>
        </w:rPr>
        <w:t xml:space="preserve"> Influenza type A is capable of major antigenic shifts when a novel HA emerges from re-assortment with an animal influenza virus. Influenza B undergoes less rapid antigenic drift </w:t>
      </w:r>
      <w:r w:rsidR="00887F51">
        <w:rPr>
          <w:lang w:eastAsia="ja-JP"/>
        </w:rPr>
        <w:t>that is,</w:t>
      </w:r>
      <w:r w:rsidRPr="008048BB">
        <w:rPr>
          <w:lang w:eastAsia="ja-JP"/>
        </w:rPr>
        <w:t xml:space="preserve"> </w:t>
      </w:r>
      <w:r w:rsidR="00887F51">
        <w:rPr>
          <w:lang w:eastAsia="ja-JP"/>
        </w:rPr>
        <w:t xml:space="preserve">is </w:t>
      </w:r>
      <w:r w:rsidRPr="008048BB">
        <w:rPr>
          <w:lang w:eastAsia="ja-JP"/>
        </w:rPr>
        <w:t>generally more stable, than influenza A. When a new subtype of influenza virus emerges, all individuals are susceptible to infection except those who have lived through earlier epidemics with a related virus subtype. Infection produces immunity to the specific virus; however, the length and extent of immunity is dependent on the degree of antigenic shift, the number of previous infections, and the immune s</w:t>
      </w:r>
      <w:r w:rsidR="00B52AB2">
        <w:rPr>
          <w:lang w:eastAsia="ja-JP"/>
        </w:rPr>
        <w:t>tatus of the individual</w:t>
      </w:r>
      <w:r w:rsidRPr="008048BB">
        <w:rPr>
          <w:lang w:eastAsia="ja-JP"/>
        </w:rPr>
        <w:t>.</w:t>
      </w:r>
      <w:r w:rsidR="00B52AB2">
        <w:rPr>
          <w:rStyle w:val="FootnoteReference"/>
          <w:lang w:eastAsia="ja-JP"/>
        </w:rPr>
        <w:footnoteReference w:id="5"/>
      </w:r>
    </w:p>
    <w:p w14:paraId="25F2CDC3" w14:textId="1025291C" w:rsidR="008048BB" w:rsidRPr="008048BB" w:rsidRDefault="008048BB" w:rsidP="008048BB">
      <w:pPr>
        <w:rPr>
          <w:lang w:eastAsia="ja-JP"/>
        </w:rPr>
      </w:pPr>
      <w:r w:rsidRPr="008048BB">
        <w:rPr>
          <w:lang w:eastAsia="ja-JP"/>
        </w:rPr>
        <w:t>Influenza epidemics have been associated with the circulation of type A/H3N2, type A/H1N1,</w:t>
      </w:r>
      <w:r>
        <w:rPr>
          <w:lang w:eastAsia="ja-JP"/>
        </w:rPr>
        <w:t xml:space="preserve"> </w:t>
      </w:r>
      <w:r w:rsidRPr="008048BB">
        <w:rPr>
          <w:lang w:eastAsia="ja-JP"/>
        </w:rPr>
        <w:t>and type B viruses, either individually or together. Two genetically distinct lineages of influenza</w:t>
      </w:r>
      <w:r>
        <w:rPr>
          <w:lang w:eastAsia="ja-JP"/>
        </w:rPr>
        <w:t xml:space="preserve"> </w:t>
      </w:r>
      <w:r w:rsidRPr="008048BB">
        <w:rPr>
          <w:lang w:eastAsia="ja-JP"/>
        </w:rPr>
        <w:t>B viruses have co-circulated sin</w:t>
      </w:r>
      <w:r w:rsidR="00A12904">
        <w:rPr>
          <w:lang w:eastAsia="ja-JP"/>
        </w:rPr>
        <w:t>ce 1985</w:t>
      </w:r>
      <w:r w:rsidRPr="008048BB">
        <w:rPr>
          <w:lang w:eastAsia="ja-JP"/>
        </w:rPr>
        <w:t>.</w:t>
      </w:r>
      <w:r w:rsidR="00A12904">
        <w:rPr>
          <w:rStyle w:val="FootnoteReference"/>
          <w:lang w:eastAsia="ja-JP"/>
        </w:rPr>
        <w:footnoteReference w:id="6"/>
      </w:r>
      <w:r w:rsidRPr="008048BB">
        <w:rPr>
          <w:lang w:eastAsia="ja-JP"/>
        </w:rPr>
        <w:t xml:space="preserve"> The burden of infection is largely on</w:t>
      </w:r>
      <w:r>
        <w:rPr>
          <w:lang w:eastAsia="ja-JP"/>
        </w:rPr>
        <w:t xml:space="preserve"> </w:t>
      </w:r>
      <w:r w:rsidRPr="008048BB">
        <w:rPr>
          <w:lang w:eastAsia="ja-JP"/>
        </w:rPr>
        <w:t>school age children, young adults, and the elderly.</w:t>
      </w:r>
      <w:bookmarkStart w:id="22" w:name="_Ref480384109"/>
      <w:r w:rsidR="00A12904">
        <w:rPr>
          <w:rStyle w:val="FootnoteReference"/>
          <w:lang w:eastAsia="ja-JP"/>
        </w:rPr>
        <w:footnoteReference w:id="7"/>
      </w:r>
      <w:bookmarkEnd w:id="22"/>
      <w:r w:rsidRPr="008048BB">
        <w:rPr>
          <w:lang w:eastAsia="ja-JP"/>
        </w:rPr>
        <w:t xml:space="preserve"> In the US, B viruses</w:t>
      </w:r>
      <w:r>
        <w:rPr>
          <w:lang w:eastAsia="ja-JP"/>
        </w:rPr>
        <w:t xml:space="preserve"> </w:t>
      </w:r>
      <w:r w:rsidRPr="008048BB">
        <w:rPr>
          <w:lang w:eastAsia="ja-JP"/>
        </w:rPr>
        <w:t>account for 24% of positive specimens and 34% of reported paediatric influenza deaths.</w:t>
      </w:r>
      <w:r w:rsidR="000A4876">
        <w:rPr>
          <w:rStyle w:val="FootnoteReference"/>
          <w:lang w:eastAsia="ja-JP"/>
        </w:rPr>
        <w:footnoteReference w:id="8"/>
      </w:r>
    </w:p>
    <w:p w14:paraId="6ECC70B4" w14:textId="246566F4" w:rsidR="008048BB" w:rsidRPr="008048BB" w:rsidRDefault="008048BB" w:rsidP="008048BB">
      <w:pPr>
        <w:rPr>
          <w:b/>
          <w:lang w:eastAsia="ja-JP"/>
        </w:rPr>
      </w:pPr>
      <w:r w:rsidRPr="00B52AB2">
        <w:rPr>
          <w:i/>
          <w:lang w:eastAsia="ja-JP"/>
        </w:rPr>
        <w:t>Prevention:</w:t>
      </w:r>
      <w:r w:rsidRPr="008048BB">
        <w:rPr>
          <w:b/>
          <w:lang w:eastAsia="ja-JP"/>
        </w:rPr>
        <w:t xml:space="preserve"> </w:t>
      </w:r>
      <w:r w:rsidRPr="008048BB">
        <w:rPr>
          <w:lang w:eastAsia="ja-JP"/>
        </w:rPr>
        <w:t xml:space="preserve">Prevention of influenza illness is achieved by annual prophylactic immunisation. The US Centers for Disease Control and Prevention (CDC), in response to the A/H1N1 pandemic in 2009 that disproportionately affected healthy young people, revised their recommendations </w:t>
      </w:r>
      <w:r w:rsidRPr="008048BB">
        <w:rPr>
          <w:lang w:eastAsia="ja-JP"/>
        </w:rPr>
        <w:lastRenderedPageBreak/>
        <w:t xml:space="preserve">in 2010, calling for annual immunisation of the entire US population. Previously, only those at increased risk for influenza, including the very young, elderly, chronically ill, and health care workers were advised to be vaccinated annually. In Australia, annual influenza vaccination is currently recommended for any person </w:t>
      </w:r>
      <w:r w:rsidR="00E936A1">
        <w:rPr>
          <w:lang w:eastAsia="ja-JP"/>
        </w:rPr>
        <w:t xml:space="preserve">≥ </w:t>
      </w:r>
      <w:r w:rsidRPr="008048BB">
        <w:rPr>
          <w:lang w:eastAsia="ja-JP"/>
        </w:rPr>
        <w:t>6 months of age who wishes to reduce the likelihood of becoming ill with influenza. Annual influenza vaccination is strongly recommended for individuals at increased risk of influenza complications including those with co-morbidities including being immun</w:t>
      </w:r>
      <w:r w:rsidR="00140AEE">
        <w:rPr>
          <w:lang w:eastAsia="ja-JP"/>
        </w:rPr>
        <w:t>o</w:t>
      </w:r>
      <w:r w:rsidRPr="008048BB">
        <w:rPr>
          <w:lang w:eastAsia="ja-JP"/>
        </w:rPr>
        <w:t>c</w:t>
      </w:r>
      <w:r w:rsidR="00B52AB2">
        <w:rPr>
          <w:lang w:eastAsia="ja-JP"/>
        </w:rPr>
        <w:t>ompromised for whatever reason.</w:t>
      </w:r>
    </w:p>
    <w:p w14:paraId="340C9271" w14:textId="786AFA37" w:rsidR="008048BB" w:rsidRDefault="00B52AB2" w:rsidP="008048BB">
      <w:pPr>
        <w:rPr>
          <w:lang w:eastAsia="ja-JP"/>
        </w:rPr>
      </w:pPr>
      <w:r w:rsidRPr="0079355C">
        <w:rPr>
          <w:i/>
          <w:lang w:eastAsia="ja-JP"/>
        </w:rPr>
        <w:t xml:space="preserve">Rationale for </w:t>
      </w:r>
      <w:r w:rsidR="0079355C" w:rsidRPr="0079355C">
        <w:rPr>
          <w:i/>
          <w:lang w:eastAsia="ja-JP"/>
        </w:rPr>
        <w:t>q</w:t>
      </w:r>
      <w:r w:rsidR="008048BB" w:rsidRPr="0079355C">
        <w:rPr>
          <w:i/>
          <w:lang w:eastAsia="ja-JP"/>
        </w:rPr>
        <w:t>uadrivalent v</w:t>
      </w:r>
      <w:r w:rsidR="0079355C" w:rsidRPr="0079355C">
        <w:rPr>
          <w:i/>
          <w:lang w:eastAsia="ja-JP"/>
        </w:rPr>
        <w:t>ersus</w:t>
      </w:r>
      <w:r w:rsidR="008048BB" w:rsidRPr="0079355C">
        <w:rPr>
          <w:i/>
          <w:lang w:eastAsia="ja-JP"/>
        </w:rPr>
        <w:t xml:space="preserve"> trivalent vaccines</w:t>
      </w:r>
      <w:r w:rsidR="008048BB" w:rsidRPr="008048BB">
        <w:rPr>
          <w:lang w:eastAsia="ja-JP"/>
        </w:rPr>
        <w:t xml:space="preserve">: Influenza vaccines have historically been trivalent, including variants of A/H3N2, A/H1N1, and </w:t>
      </w:r>
      <w:r w:rsidR="008048BB" w:rsidRPr="00B52AB2">
        <w:rPr>
          <w:lang w:eastAsia="ja-JP"/>
        </w:rPr>
        <w:t>one</w:t>
      </w:r>
      <w:r w:rsidR="008048BB" w:rsidRPr="008048BB">
        <w:rPr>
          <w:lang w:eastAsia="ja-JP"/>
        </w:rPr>
        <w:t xml:space="preserve"> B-strain lineage. HA and, to some extent, NA antigens present in influenza vaccines induce a protective antibody response in vaccinated individuals. Mismatches between the B strain in the vaccine and the circulating strain occur in approximately 5 out of every 10 influenza seasons.</w:t>
      </w:r>
      <w:r w:rsidR="00A5283F" w:rsidRPr="00A5283F">
        <w:rPr>
          <w:vertAlign w:val="superscript"/>
          <w:lang w:eastAsia="ja-JP"/>
        </w:rPr>
        <w:fldChar w:fldCharType="begin"/>
      </w:r>
      <w:r w:rsidR="00A5283F" w:rsidRPr="00A5283F">
        <w:rPr>
          <w:vertAlign w:val="superscript"/>
          <w:lang w:eastAsia="ja-JP"/>
        </w:rPr>
        <w:instrText xml:space="preserve"> NOTEREF _Ref480384109 \h </w:instrText>
      </w:r>
      <w:r w:rsidR="00A5283F">
        <w:rPr>
          <w:vertAlign w:val="superscript"/>
          <w:lang w:eastAsia="ja-JP"/>
        </w:rPr>
        <w:instrText xml:space="preserve"> \* MERGEFORMAT </w:instrText>
      </w:r>
      <w:r w:rsidR="00A5283F" w:rsidRPr="00A5283F">
        <w:rPr>
          <w:vertAlign w:val="superscript"/>
          <w:lang w:eastAsia="ja-JP"/>
        </w:rPr>
      </w:r>
      <w:r w:rsidR="00A5283F" w:rsidRPr="00A5283F">
        <w:rPr>
          <w:vertAlign w:val="superscript"/>
          <w:lang w:eastAsia="ja-JP"/>
        </w:rPr>
        <w:fldChar w:fldCharType="separate"/>
      </w:r>
      <w:r w:rsidR="00BB66A0">
        <w:rPr>
          <w:vertAlign w:val="superscript"/>
          <w:lang w:eastAsia="ja-JP"/>
        </w:rPr>
        <w:t>7</w:t>
      </w:r>
      <w:r w:rsidR="00A5283F" w:rsidRPr="00A5283F">
        <w:rPr>
          <w:vertAlign w:val="superscript"/>
          <w:lang w:eastAsia="ja-JP"/>
        </w:rPr>
        <w:fldChar w:fldCharType="end"/>
      </w:r>
      <w:r w:rsidR="008048BB" w:rsidRPr="008048BB">
        <w:rPr>
          <w:lang w:eastAsia="ja-JP"/>
        </w:rPr>
        <w:t xml:space="preserve"> </w:t>
      </w:r>
      <w:r w:rsidR="000B504C">
        <w:rPr>
          <w:lang w:eastAsia="ja-JP"/>
        </w:rPr>
        <w:t>The CDC has</w:t>
      </w:r>
      <w:r w:rsidR="008048BB" w:rsidRPr="008048BB">
        <w:rPr>
          <w:lang w:eastAsia="ja-JP"/>
        </w:rPr>
        <w:t xml:space="preserve"> estimated that in a season where there is a B strain mismatch, availability of QIV could have reduced annu</w:t>
      </w:r>
      <w:r w:rsidR="00A5283F">
        <w:rPr>
          <w:lang w:eastAsia="ja-JP"/>
        </w:rPr>
        <w:t xml:space="preserve">al influenza cases (range: 2200 to 970,000), hospitalisations (range: 14 to 8200), and deaths (range: 1 to </w:t>
      </w:r>
      <w:r w:rsidR="000B504C">
        <w:rPr>
          <w:lang w:eastAsia="ja-JP"/>
        </w:rPr>
        <w:t>485) in the US</w:t>
      </w:r>
      <w:r w:rsidR="008048BB" w:rsidRPr="008048BB">
        <w:rPr>
          <w:lang w:eastAsia="ja-JP"/>
        </w:rPr>
        <w:t>.</w:t>
      </w:r>
      <w:r w:rsidR="00A5283F">
        <w:rPr>
          <w:rStyle w:val="FootnoteReference"/>
          <w:lang w:eastAsia="ja-JP"/>
        </w:rPr>
        <w:footnoteReference w:id="9"/>
      </w:r>
      <w:r w:rsidR="008048BB" w:rsidRPr="008048BB">
        <w:rPr>
          <w:lang w:eastAsia="ja-JP"/>
        </w:rPr>
        <w:t xml:space="preserve"> Quadrivalent influenza virus vaccines, inclusive of representative strains from both type B lineages, are being developed to reduce the potential public health burden of type B influenza morbidity and mortality in y</w:t>
      </w:r>
      <w:r w:rsidR="00A5283F">
        <w:rPr>
          <w:lang w:eastAsia="ja-JP"/>
        </w:rPr>
        <w:t>ea</w:t>
      </w:r>
      <w:r w:rsidR="008048BB" w:rsidRPr="008048BB">
        <w:rPr>
          <w:lang w:eastAsia="ja-JP"/>
        </w:rPr>
        <w:t>rs where significant B strain mismatch may occur with TIVs.</w:t>
      </w:r>
    </w:p>
    <w:p w14:paraId="615AC600" w14:textId="77777777" w:rsidR="008048BB" w:rsidRPr="008048BB" w:rsidRDefault="008048BB" w:rsidP="008048BB">
      <w:pPr>
        <w:pStyle w:val="Heading3"/>
        <w:rPr>
          <w:rFonts w:eastAsia="Cambria"/>
        </w:rPr>
      </w:pPr>
      <w:bookmarkStart w:id="23" w:name="_Toc272414603"/>
      <w:bookmarkStart w:id="24" w:name="_Toc290846225"/>
      <w:bookmarkStart w:id="25" w:name="_Toc448702484"/>
      <w:bookmarkStart w:id="26" w:name="_Toc490579710"/>
      <w:r w:rsidRPr="008048BB">
        <w:rPr>
          <w:rFonts w:eastAsia="Cambria"/>
        </w:rPr>
        <w:t>Formulation development</w:t>
      </w:r>
      <w:bookmarkEnd w:id="23"/>
      <w:bookmarkEnd w:id="24"/>
      <w:bookmarkEnd w:id="25"/>
      <w:bookmarkEnd w:id="26"/>
    </w:p>
    <w:p w14:paraId="726ADCBE" w14:textId="76114386" w:rsidR="008048BB" w:rsidRPr="008048BB" w:rsidRDefault="008048BB" w:rsidP="008048BB">
      <w:pPr>
        <w:rPr>
          <w:lang w:eastAsia="ja-JP"/>
        </w:rPr>
      </w:pPr>
      <w:r w:rsidRPr="008048BB">
        <w:rPr>
          <w:lang w:eastAsia="ja-JP"/>
        </w:rPr>
        <w:t>The chemistry, manufacture, and control of QIV is the same as that des</w:t>
      </w:r>
      <w:r w:rsidR="00A5283F">
        <w:rPr>
          <w:lang w:eastAsia="ja-JP"/>
        </w:rPr>
        <w:t xml:space="preserve">cribed for </w:t>
      </w:r>
      <w:r w:rsidR="003073A8">
        <w:rPr>
          <w:lang w:eastAsia="ja-JP"/>
        </w:rPr>
        <w:t xml:space="preserve">Seqirus’ </w:t>
      </w:r>
      <w:r w:rsidR="00A5283F">
        <w:rPr>
          <w:lang w:eastAsia="ja-JP"/>
        </w:rPr>
        <w:t>TIV (Fluvax</w:t>
      </w:r>
      <w:r w:rsidRPr="008048BB">
        <w:rPr>
          <w:lang w:eastAsia="ja-JP"/>
        </w:rPr>
        <w:t xml:space="preserve"> AUST </w:t>
      </w:r>
      <w:r w:rsidR="00A5283F">
        <w:rPr>
          <w:lang w:eastAsia="ja-JP"/>
        </w:rPr>
        <w:t>A</w:t>
      </w:r>
      <w:r w:rsidRPr="008048BB">
        <w:rPr>
          <w:lang w:eastAsia="ja-JP"/>
        </w:rPr>
        <w:t>R</w:t>
      </w:r>
      <w:r w:rsidR="00A5283F">
        <w:rPr>
          <w:lang w:eastAsia="ja-JP"/>
        </w:rPr>
        <w:t>TG:</w:t>
      </w:r>
      <w:r w:rsidRPr="008048BB">
        <w:rPr>
          <w:lang w:eastAsia="ja-JP"/>
        </w:rPr>
        <w:t xml:space="preserve"> 91583, 117397, and 145707), with the exception that the vaccine contains a fourth influenza strain in the formulation, which will increa</w:t>
      </w:r>
      <w:r w:rsidR="00A5283F">
        <w:rPr>
          <w:lang w:eastAsia="ja-JP"/>
        </w:rPr>
        <w:t>se the HA content from 45 to 60 </w:t>
      </w:r>
      <w:r w:rsidR="00696781">
        <w:rPr>
          <w:lang w:eastAsia="ja-JP"/>
        </w:rPr>
        <w:t>µg</w:t>
      </w:r>
      <w:r w:rsidRPr="008048BB">
        <w:rPr>
          <w:lang w:eastAsia="ja-JP"/>
        </w:rPr>
        <w:t xml:space="preserve"> HA per 0.5 mL. QIV is a sterile, aqueous suspension of inactivated and split influenza virus types A and B. The virus is purified, inactivated and disrupted to ensure the HA and NA remain immunogenic. It is prepared from the allantoic fluid of influenza virus-infected embryonated chicken eggs. The vaccine is supplied as a thiomersal-free 0.5 mL single-dose pre-filled syringe</w:t>
      </w:r>
      <w:r w:rsidR="00A5283F">
        <w:rPr>
          <w:lang w:eastAsia="ja-JP"/>
        </w:rPr>
        <w:t>.</w:t>
      </w:r>
      <w:r w:rsidRPr="008048BB">
        <w:rPr>
          <w:lang w:eastAsia="ja-JP"/>
        </w:rPr>
        <w:t xml:space="preserve"> The vaccine is indicated for the prevention of infl</w:t>
      </w:r>
      <w:r w:rsidR="00EB4C23">
        <w:rPr>
          <w:lang w:eastAsia="ja-JP"/>
        </w:rPr>
        <w:t>uenza caused by influenza virus, t</w:t>
      </w:r>
      <w:r w:rsidRPr="008048BB">
        <w:rPr>
          <w:lang w:eastAsia="ja-JP"/>
        </w:rPr>
        <w:t xml:space="preserve">ypes A and B contained in the vaccine. The vaccine is indicated for use in persons aged </w:t>
      </w:r>
      <w:r w:rsidR="00E936A1">
        <w:rPr>
          <w:lang w:eastAsia="ja-JP"/>
        </w:rPr>
        <w:t xml:space="preserve">≥ </w:t>
      </w:r>
      <w:r w:rsidR="00A5283F">
        <w:rPr>
          <w:lang w:eastAsia="ja-JP"/>
        </w:rPr>
        <w:t>18 </w:t>
      </w:r>
      <w:r w:rsidRPr="008048BB">
        <w:rPr>
          <w:lang w:eastAsia="ja-JP"/>
        </w:rPr>
        <w:t>y</w:t>
      </w:r>
      <w:r w:rsidR="00A5283F">
        <w:rPr>
          <w:lang w:eastAsia="ja-JP"/>
        </w:rPr>
        <w:t>ea</w:t>
      </w:r>
      <w:r w:rsidRPr="008048BB">
        <w:rPr>
          <w:lang w:eastAsia="ja-JP"/>
        </w:rPr>
        <w:t>rs. The vaccine supplied will be formulated from the four strains recommended by the Australian Influenza Vaccine Committee for that season.</w:t>
      </w:r>
    </w:p>
    <w:p w14:paraId="7C5B9740" w14:textId="48F8F8E7" w:rsidR="008048BB" w:rsidRPr="008048BB" w:rsidRDefault="008048BB" w:rsidP="008048BB">
      <w:pPr>
        <w:rPr>
          <w:lang w:eastAsia="ja-JP"/>
        </w:rPr>
      </w:pPr>
      <w:r w:rsidRPr="008048BB">
        <w:rPr>
          <w:lang w:eastAsia="ja-JP"/>
        </w:rPr>
        <w:t>The vaccine meets t</w:t>
      </w:r>
      <w:r w:rsidR="00A5283F">
        <w:rPr>
          <w:lang w:eastAsia="ja-JP"/>
        </w:rPr>
        <w:t>he requirements for the harmonis</w:t>
      </w:r>
      <w:r w:rsidRPr="008048BB">
        <w:rPr>
          <w:lang w:eastAsia="ja-JP"/>
        </w:rPr>
        <w:t>ed British Pharmacopoeia Volume IV</w:t>
      </w:r>
      <w:r w:rsidR="005F221A">
        <w:rPr>
          <w:lang w:eastAsia="ja-JP"/>
        </w:rPr>
        <w:t xml:space="preserve"> </w:t>
      </w:r>
      <w:r w:rsidRPr="008048BB">
        <w:rPr>
          <w:lang w:eastAsia="ja-JP"/>
        </w:rPr>
        <w:t xml:space="preserve">Immunological Products – Vaccines </w:t>
      </w:r>
      <w:r w:rsidRPr="008048BB">
        <w:rPr>
          <w:i/>
          <w:iCs/>
          <w:lang w:eastAsia="ja-JP"/>
        </w:rPr>
        <w:t xml:space="preserve">Inactivated Influenza Vaccine (Split Virion) </w:t>
      </w:r>
      <w:r w:rsidRPr="008048BB">
        <w:rPr>
          <w:lang w:eastAsia="ja-JP"/>
        </w:rPr>
        <w:t xml:space="preserve">and European Pharmacopoeia Monograph 0158 </w:t>
      </w:r>
      <w:r w:rsidRPr="008048BB">
        <w:rPr>
          <w:i/>
          <w:iCs/>
          <w:lang w:eastAsia="ja-JP"/>
        </w:rPr>
        <w:t>Influenza Vaccine (Split Virion, Inactivated).</w:t>
      </w:r>
      <w:r w:rsidRPr="008048BB">
        <w:rPr>
          <w:lang w:eastAsia="ja-JP"/>
        </w:rPr>
        <w:t xml:space="preserve"> The </w:t>
      </w:r>
      <w:r w:rsidR="003073A8">
        <w:rPr>
          <w:lang w:eastAsia="ja-JP"/>
        </w:rPr>
        <w:t>Seqirus</w:t>
      </w:r>
      <w:r w:rsidR="003073A8" w:rsidRPr="008048BB">
        <w:rPr>
          <w:lang w:eastAsia="ja-JP"/>
        </w:rPr>
        <w:t xml:space="preserve"> </w:t>
      </w:r>
      <w:r w:rsidRPr="008048BB">
        <w:rPr>
          <w:lang w:eastAsia="ja-JP"/>
        </w:rPr>
        <w:t xml:space="preserve">QIV formulation is based on </w:t>
      </w:r>
      <w:r w:rsidR="003073A8">
        <w:rPr>
          <w:lang w:eastAsia="ja-JP"/>
        </w:rPr>
        <w:t>Seqirus</w:t>
      </w:r>
      <w:r w:rsidR="003073A8" w:rsidRPr="008048BB">
        <w:rPr>
          <w:lang w:eastAsia="ja-JP"/>
        </w:rPr>
        <w:t xml:space="preserve"> </w:t>
      </w:r>
      <w:r w:rsidRPr="008048BB">
        <w:rPr>
          <w:lang w:eastAsia="ja-JP"/>
        </w:rPr>
        <w:t xml:space="preserve">TIV, with the exception of the additional B strain, and expected to have a similar safety profile to that established for </w:t>
      </w:r>
      <w:r w:rsidR="003073A8">
        <w:rPr>
          <w:lang w:eastAsia="ja-JP"/>
        </w:rPr>
        <w:t>Seqirus</w:t>
      </w:r>
      <w:r w:rsidR="003073A8" w:rsidRPr="008048BB">
        <w:rPr>
          <w:lang w:eastAsia="ja-JP"/>
        </w:rPr>
        <w:t xml:space="preserve"> </w:t>
      </w:r>
      <w:r w:rsidRPr="008048BB">
        <w:rPr>
          <w:lang w:eastAsia="ja-JP"/>
        </w:rPr>
        <w:t>TIV.</w:t>
      </w:r>
    </w:p>
    <w:p w14:paraId="21A5F579" w14:textId="77777777" w:rsidR="005F221A" w:rsidRDefault="008048BB" w:rsidP="005F221A">
      <w:pPr>
        <w:pStyle w:val="Heading6"/>
        <w:rPr>
          <w:lang w:eastAsia="ja-JP"/>
        </w:rPr>
      </w:pPr>
      <w:r w:rsidRPr="008048BB">
        <w:rPr>
          <w:lang w:eastAsia="ja-JP"/>
        </w:rPr>
        <w:t>Pre-clinical development</w:t>
      </w:r>
    </w:p>
    <w:p w14:paraId="60C6633D" w14:textId="68A01C2A" w:rsidR="008048BB" w:rsidRPr="008048BB" w:rsidRDefault="003073A8" w:rsidP="008048BB">
      <w:pPr>
        <w:rPr>
          <w:lang w:eastAsia="ja-JP"/>
        </w:rPr>
      </w:pPr>
      <w:r>
        <w:rPr>
          <w:lang w:eastAsia="ja-JP"/>
        </w:rPr>
        <w:t>Seqirus</w:t>
      </w:r>
      <w:r w:rsidRPr="008048BB">
        <w:rPr>
          <w:lang w:eastAsia="ja-JP"/>
        </w:rPr>
        <w:t xml:space="preserve"> </w:t>
      </w:r>
      <w:r w:rsidR="008048BB" w:rsidRPr="008048BB">
        <w:rPr>
          <w:lang w:eastAsia="ja-JP"/>
        </w:rPr>
        <w:t xml:space="preserve">conducted one formal nonclinical toxicology study for </w:t>
      </w:r>
      <w:r w:rsidR="00210789">
        <w:rPr>
          <w:lang w:eastAsia="ja-JP"/>
        </w:rPr>
        <w:t xml:space="preserve">the </w:t>
      </w:r>
      <w:r w:rsidR="008048BB" w:rsidRPr="008048BB">
        <w:rPr>
          <w:lang w:eastAsia="ja-JP"/>
        </w:rPr>
        <w:t>TIV; an emb</w:t>
      </w:r>
      <w:r w:rsidR="002D3010">
        <w:rPr>
          <w:lang w:eastAsia="ja-JP"/>
        </w:rPr>
        <w:t>ryof</w:t>
      </w:r>
      <w:r w:rsidR="008048BB" w:rsidRPr="008048BB">
        <w:rPr>
          <w:lang w:eastAsia="ja-JP"/>
        </w:rPr>
        <w:t>etal developmental toxicity study in rats with post-natal evaluation. This was an extensive pivotal GLP-compliant study covering the ICH Harmonised Tripartate Guideline (November 2000) stages A</w:t>
      </w:r>
      <w:r w:rsidR="00EF1C92">
        <w:rPr>
          <w:lang w:eastAsia="ja-JP"/>
        </w:rPr>
        <w:t xml:space="preserve"> to </w:t>
      </w:r>
      <w:r w:rsidR="008048BB" w:rsidRPr="008048BB">
        <w:rPr>
          <w:lang w:eastAsia="ja-JP"/>
        </w:rPr>
        <w:t>E of the reproductive process. The reprodu</w:t>
      </w:r>
      <w:r w:rsidR="00EF1C92">
        <w:rPr>
          <w:lang w:eastAsia="ja-JP"/>
        </w:rPr>
        <w:t>ctive Toxicity Study of Afluria</w:t>
      </w:r>
      <w:r w:rsidR="008048BB" w:rsidRPr="008048BB">
        <w:rPr>
          <w:lang w:eastAsia="ja-JP"/>
        </w:rPr>
        <w:t xml:space="preserve"> TIV (</w:t>
      </w:r>
      <w:r>
        <w:rPr>
          <w:lang w:eastAsia="ja-JP"/>
        </w:rPr>
        <w:t>Seqirus</w:t>
      </w:r>
      <w:r w:rsidRPr="008048BB">
        <w:rPr>
          <w:lang w:eastAsia="ja-JP"/>
        </w:rPr>
        <w:t xml:space="preserve"> </w:t>
      </w:r>
      <w:r w:rsidR="008048BB" w:rsidRPr="008048BB">
        <w:rPr>
          <w:lang w:eastAsia="ja-JP"/>
        </w:rPr>
        <w:t xml:space="preserve">TIV) in female rats did not demonstrate any adverse effects on mating, fertility, embryo-foetal development and vaccine-related teratogenic effects. Each dose of </w:t>
      </w:r>
      <w:r>
        <w:rPr>
          <w:lang w:eastAsia="ja-JP"/>
        </w:rPr>
        <w:t>Seqirus</w:t>
      </w:r>
      <w:r w:rsidRPr="008048BB">
        <w:rPr>
          <w:lang w:eastAsia="ja-JP"/>
        </w:rPr>
        <w:t xml:space="preserve"> </w:t>
      </w:r>
      <w:r w:rsidR="008048BB" w:rsidRPr="008048BB">
        <w:rPr>
          <w:lang w:eastAsia="ja-JP"/>
        </w:rPr>
        <w:t xml:space="preserve">TIV contained 45 </w:t>
      </w:r>
      <w:r w:rsidR="00696781">
        <w:rPr>
          <w:lang w:eastAsia="ja-JP"/>
        </w:rPr>
        <w:t>µg</w:t>
      </w:r>
      <w:r w:rsidR="008048BB" w:rsidRPr="008048BB">
        <w:rPr>
          <w:lang w:eastAsia="ja-JP"/>
        </w:rPr>
        <w:t xml:space="preserve"> of HA</w:t>
      </w:r>
      <w:r w:rsidR="00EF1C92">
        <w:rPr>
          <w:lang w:eastAsia="ja-JP"/>
        </w:rPr>
        <w:t xml:space="preserve">, resulting in each dose being approximately </w:t>
      </w:r>
      <w:r w:rsidR="008048BB" w:rsidRPr="008048BB">
        <w:rPr>
          <w:lang w:eastAsia="ja-JP"/>
        </w:rPr>
        <w:t xml:space="preserve">265 times the human dose on </w:t>
      </w:r>
      <w:r w:rsidR="00C512A4" w:rsidRPr="008048BB">
        <w:rPr>
          <w:lang w:eastAsia="ja-JP"/>
        </w:rPr>
        <w:t>an</w:t>
      </w:r>
      <w:r w:rsidR="008048BB" w:rsidRPr="008048BB">
        <w:rPr>
          <w:lang w:eastAsia="ja-JP"/>
        </w:rPr>
        <w:t xml:space="preserve"> mg/kg of bodywe</w:t>
      </w:r>
      <w:r w:rsidR="00EF1C92">
        <w:rPr>
          <w:lang w:eastAsia="ja-JP"/>
        </w:rPr>
        <w:t xml:space="preserve">ight basis; equating to a dose approximately </w:t>
      </w:r>
      <w:r w:rsidR="008048BB" w:rsidRPr="008048BB">
        <w:rPr>
          <w:lang w:eastAsia="ja-JP"/>
        </w:rPr>
        <w:t xml:space="preserve">200 times the human mg/kg dose for QIV, taking into consideration the additional HA content from the fourth influenza </w:t>
      </w:r>
      <w:r w:rsidR="008048BB" w:rsidRPr="008048BB">
        <w:rPr>
          <w:lang w:eastAsia="ja-JP"/>
        </w:rPr>
        <w:lastRenderedPageBreak/>
        <w:t xml:space="preserve">strain. As </w:t>
      </w:r>
      <w:r w:rsidR="009273DD" w:rsidRPr="009273DD">
        <w:rPr>
          <w:lang w:eastAsia="ja-JP"/>
        </w:rPr>
        <w:t>Seqirus</w:t>
      </w:r>
      <w:r w:rsidR="008048BB" w:rsidRPr="008048BB">
        <w:rPr>
          <w:lang w:eastAsia="ja-JP"/>
        </w:rPr>
        <w:t xml:space="preserve"> QIV formulation is based on </w:t>
      </w:r>
      <w:r w:rsidR="009273DD" w:rsidRPr="009273DD">
        <w:rPr>
          <w:lang w:eastAsia="ja-JP"/>
        </w:rPr>
        <w:t>Seqirus</w:t>
      </w:r>
      <w:r w:rsidR="008048BB" w:rsidRPr="008048BB">
        <w:rPr>
          <w:lang w:eastAsia="ja-JP"/>
        </w:rPr>
        <w:t xml:space="preserve"> TIV, with the exception of the additional B strain, it is expected to have a similar safety profile to that established for </w:t>
      </w:r>
      <w:r w:rsidR="009273DD" w:rsidRPr="009273DD">
        <w:rPr>
          <w:lang w:eastAsia="ja-JP"/>
        </w:rPr>
        <w:t>Seqirus</w:t>
      </w:r>
      <w:r w:rsidR="009273DD" w:rsidRPr="009273DD" w:rsidDel="009273DD">
        <w:rPr>
          <w:lang w:eastAsia="ja-JP"/>
        </w:rPr>
        <w:t xml:space="preserve"> </w:t>
      </w:r>
      <w:r w:rsidR="008048BB" w:rsidRPr="008048BB">
        <w:rPr>
          <w:lang w:eastAsia="ja-JP"/>
        </w:rPr>
        <w:t>TIV.</w:t>
      </w:r>
    </w:p>
    <w:p w14:paraId="6B907EB4" w14:textId="74842953" w:rsidR="008048BB" w:rsidRDefault="008048BB" w:rsidP="008048BB">
      <w:pPr>
        <w:rPr>
          <w:lang w:eastAsia="ja-JP"/>
        </w:rPr>
      </w:pPr>
      <w:r w:rsidRPr="008048BB">
        <w:rPr>
          <w:lang w:eastAsia="ja-JP"/>
        </w:rPr>
        <w:t>Development of a QIV, including B strains of both lineages, is expected to improve vaccine</w:t>
      </w:r>
      <w:r w:rsidR="00EB4C23">
        <w:rPr>
          <w:lang w:eastAsia="ja-JP"/>
        </w:rPr>
        <w:t xml:space="preserve"> </w:t>
      </w:r>
      <w:r w:rsidRPr="008048BB">
        <w:rPr>
          <w:lang w:eastAsia="ja-JP"/>
        </w:rPr>
        <w:t>protection in target populations. Vaccine strain composition is based on the seasonal</w:t>
      </w:r>
      <w:r w:rsidR="0019579F">
        <w:rPr>
          <w:lang w:eastAsia="ja-JP"/>
        </w:rPr>
        <w:t xml:space="preserve"> </w:t>
      </w:r>
      <w:r w:rsidRPr="008048BB">
        <w:rPr>
          <w:lang w:eastAsia="ja-JP"/>
        </w:rPr>
        <w:t xml:space="preserve">recommendations of the World Health Organization (WHO). TIVs contain antigens from the B-strain lineage predicted to be most prevalent. Such vaccines provide limited immunity against B strains of the lineage not included in the vaccine. A further problem with TIVs is that the predominant circulating B-strain lineage has been </w:t>
      </w:r>
      <w:r w:rsidRPr="00EB4C23">
        <w:rPr>
          <w:lang w:eastAsia="ja-JP"/>
        </w:rPr>
        <w:t>unpredictable; between 2001 and 2011</w:t>
      </w:r>
      <w:r w:rsidRPr="008048BB">
        <w:rPr>
          <w:lang w:eastAsia="ja-JP"/>
        </w:rPr>
        <w:t>, B-strain lineage predictions for inclusion in vaccines were no better than chance alone (Ambrose). There is a long history of clinical and post</w:t>
      </w:r>
      <w:r w:rsidR="00164830">
        <w:rPr>
          <w:lang w:eastAsia="ja-JP"/>
        </w:rPr>
        <w:t>-</w:t>
      </w:r>
      <w:r w:rsidRPr="008048BB">
        <w:rPr>
          <w:lang w:eastAsia="ja-JP"/>
        </w:rPr>
        <w:t xml:space="preserve">marketing use of </w:t>
      </w:r>
      <w:r w:rsidR="003073A8">
        <w:rPr>
          <w:lang w:eastAsia="ja-JP"/>
        </w:rPr>
        <w:t>Seqirus</w:t>
      </w:r>
      <w:r w:rsidR="003073A8" w:rsidRPr="008048BB">
        <w:rPr>
          <w:lang w:eastAsia="ja-JP"/>
        </w:rPr>
        <w:t xml:space="preserve"> </w:t>
      </w:r>
      <w:r w:rsidRPr="008048BB">
        <w:rPr>
          <w:lang w:eastAsia="ja-JP"/>
        </w:rPr>
        <w:t xml:space="preserve">TIV. The safety of </w:t>
      </w:r>
      <w:r w:rsidR="009273DD" w:rsidRPr="009273DD">
        <w:rPr>
          <w:lang w:eastAsia="ja-JP"/>
        </w:rPr>
        <w:t>Seqirus</w:t>
      </w:r>
      <w:r w:rsidRPr="008048BB">
        <w:rPr>
          <w:lang w:eastAsia="ja-JP"/>
        </w:rPr>
        <w:t xml:space="preserve"> TIV is supported by post</w:t>
      </w:r>
      <w:r w:rsidR="00164830">
        <w:rPr>
          <w:lang w:eastAsia="ja-JP"/>
        </w:rPr>
        <w:t>-market</w:t>
      </w:r>
      <w:r w:rsidRPr="008048BB">
        <w:rPr>
          <w:lang w:eastAsia="ja-JP"/>
        </w:rPr>
        <w:t xml:space="preserve">ing surveillance data from more than 168 million doses and from clinical study data. The efficacy of </w:t>
      </w:r>
      <w:r w:rsidR="00C512A4" w:rsidRPr="009273DD">
        <w:rPr>
          <w:lang w:eastAsia="ja-JP"/>
        </w:rPr>
        <w:t>Seqirus</w:t>
      </w:r>
      <w:r w:rsidR="00C512A4" w:rsidRPr="009273DD" w:rsidDel="009273DD">
        <w:rPr>
          <w:lang w:eastAsia="ja-JP"/>
        </w:rPr>
        <w:t xml:space="preserve"> </w:t>
      </w:r>
      <w:r w:rsidR="00C512A4" w:rsidRPr="008048BB">
        <w:rPr>
          <w:lang w:eastAsia="ja-JP"/>
        </w:rPr>
        <w:t>TIV</w:t>
      </w:r>
      <w:r w:rsidRPr="008048BB">
        <w:rPr>
          <w:lang w:eastAsia="ja-JP"/>
        </w:rPr>
        <w:t xml:space="preserve"> is supported by data from a large clinical study examining the efficacy of </w:t>
      </w:r>
      <w:r w:rsidR="003073A8">
        <w:rPr>
          <w:lang w:eastAsia="ja-JP"/>
        </w:rPr>
        <w:t>Seqirus</w:t>
      </w:r>
      <w:r w:rsidR="003073A8" w:rsidRPr="008048BB">
        <w:rPr>
          <w:lang w:eastAsia="ja-JP"/>
        </w:rPr>
        <w:t xml:space="preserve"> </w:t>
      </w:r>
      <w:r w:rsidRPr="008048BB">
        <w:rPr>
          <w:lang w:eastAsia="ja-JP"/>
        </w:rPr>
        <w:t>TIV against laboratory-confirmed influenza in adults, and from studies examining immunogenicity after vaccination in children, adults and older adults.</w:t>
      </w:r>
    </w:p>
    <w:p w14:paraId="06E20C64" w14:textId="43E398DA" w:rsidR="008048BB" w:rsidRPr="008048BB" w:rsidRDefault="008F4627" w:rsidP="008F4627">
      <w:pPr>
        <w:pStyle w:val="Heading3"/>
      </w:pPr>
      <w:bookmarkStart w:id="27" w:name="_Toc490579711"/>
      <w:r>
        <w:t>Guidance</w:t>
      </w:r>
      <w:bookmarkEnd w:id="27"/>
    </w:p>
    <w:p w14:paraId="21889DEF" w14:textId="4579B7BD" w:rsidR="008048BB" w:rsidRPr="008048BB" w:rsidRDefault="008048BB" w:rsidP="00377078">
      <w:pPr>
        <w:rPr>
          <w:lang w:eastAsia="ja-JP"/>
        </w:rPr>
      </w:pPr>
      <w:r w:rsidRPr="008048BB">
        <w:rPr>
          <w:lang w:eastAsia="ja-JP"/>
        </w:rPr>
        <w:t xml:space="preserve">The QIV clinical development plan was discussed at two meetings with TGA held on </w:t>
      </w:r>
      <w:r w:rsidRPr="00274582">
        <w:rPr>
          <w:bCs/>
          <w:lang w:eastAsia="ja-JP"/>
        </w:rPr>
        <w:t>9</w:t>
      </w:r>
      <w:r w:rsidRPr="007151F1">
        <w:rPr>
          <w:bCs/>
          <w:lang w:eastAsia="ja-JP"/>
        </w:rPr>
        <w:t xml:space="preserve"> May 2013 </w:t>
      </w:r>
      <w:r w:rsidRPr="007151F1">
        <w:rPr>
          <w:lang w:eastAsia="ja-JP"/>
        </w:rPr>
        <w:t xml:space="preserve">and </w:t>
      </w:r>
      <w:r w:rsidRPr="007151F1">
        <w:rPr>
          <w:bCs/>
          <w:lang w:eastAsia="ja-JP"/>
        </w:rPr>
        <w:t>27 May 2015</w:t>
      </w:r>
      <w:r w:rsidRPr="008048BB">
        <w:rPr>
          <w:lang w:eastAsia="ja-JP"/>
        </w:rPr>
        <w:t>. The plan was developed to be generally consistent with the TGA adopted European guid</w:t>
      </w:r>
      <w:r w:rsidR="00181328">
        <w:rPr>
          <w:lang w:eastAsia="ja-JP"/>
        </w:rPr>
        <w:t xml:space="preserve">elines: </w:t>
      </w:r>
      <w:r w:rsidRPr="008048BB">
        <w:rPr>
          <w:i/>
          <w:iCs/>
          <w:lang w:eastAsia="ja-JP"/>
        </w:rPr>
        <w:t>CPMP/BWP/214/96 Harmonisation of</w:t>
      </w:r>
      <w:r w:rsidRPr="008048BB">
        <w:rPr>
          <w:lang w:eastAsia="ja-JP"/>
        </w:rPr>
        <w:t xml:space="preserve"> </w:t>
      </w:r>
      <w:r w:rsidRPr="008048BB">
        <w:rPr>
          <w:i/>
          <w:iCs/>
          <w:lang w:eastAsia="ja-JP"/>
        </w:rPr>
        <w:t xml:space="preserve">Requirements for Influenza Vaccines </w:t>
      </w:r>
      <w:r w:rsidRPr="008048BB">
        <w:rPr>
          <w:lang w:eastAsia="ja-JP"/>
        </w:rPr>
        <w:t xml:space="preserve">and the </w:t>
      </w:r>
      <w:r w:rsidRPr="008048BB">
        <w:rPr>
          <w:i/>
          <w:iCs/>
          <w:lang w:eastAsia="ja-JP"/>
        </w:rPr>
        <w:t>EMEA/CHMP/VWP/164653/2005 Guideline</w:t>
      </w:r>
      <w:r w:rsidRPr="008048BB">
        <w:rPr>
          <w:lang w:eastAsia="ja-JP"/>
        </w:rPr>
        <w:t xml:space="preserve"> </w:t>
      </w:r>
      <w:r w:rsidRPr="008048BB">
        <w:rPr>
          <w:i/>
          <w:iCs/>
          <w:lang w:eastAsia="ja-JP"/>
        </w:rPr>
        <w:t>on Clinical Evaluation of New Vaccines</w:t>
      </w:r>
      <w:r w:rsidRPr="008048BB">
        <w:rPr>
          <w:lang w:eastAsia="ja-JP"/>
        </w:rPr>
        <w:t>. In addition, the clinical development plan has been informed by the draft guidance of the European Medicine’s Agen</w:t>
      </w:r>
      <w:r w:rsidR="00181328">
        <w:rPr>
          <w:lang w:eastAsia="ja-JP"/>
        </w:rPr>
        <w:t>cy:</w:t>
      </w:r>
      <w:r w:rsidRPr="008048BB">
        <w:rPr>
          <w:lang w:eastAsia="ja-JP"/>
        </w:rPr>
        <w:t xml:space="preserve"> </w:t>
      </w:r>
      <w:r w:rsidRPr="008048BB">
        <w:rPr>
          <w:i/>
          <w:iCs/>
          <w:lang w:eastAsia="ja-JP"/>
        </w:rPr>
        <w:t>EMA/CHMP/VWP/457259/2014 Committee for Medicinal Products for Human Use</w:t>
      </w:r>
      <w:r w:rsidR="00181328">
        <w:rPr>
          <w:i/>
          <w:iCs/>
          <w:lang w:eastAsia="ja-JP"/>
        </w:rPr>
        <w:t xml:space="preserve"> </w:t>
      </w:r>
      <w:r w:rsidRPr="008048BB">
        <w:rPr>
          <w:i/>
          <w:iCs/>
          <w:lang w:eastAsia="ja-JP"/>
        </w:rPr>
        <w:t>Gu</w:t>
      </w:r>
      <w:r w:rsidR="00A456D9">
        <w:rPr>
          <w:i/>
          <w:iCs/>
          <w:lang w:eastAsia="ja-JP"/>
        </w:rPr>
        <w:t xml:space="preserve">ideline on influenza vaccines: </w:t>
      </w:r>
      <w:r w:rsidRPr="008048BB">
        <w:rPr>
          <w:i/>
          <w:iCs/>
          <w:lang w:eastAsia="ja-JP"/>
        </w:rPr>
        <w:t>Non-clinical and clinical module (25 July 2014)</w:t>
      </w:r>
      <w:r w:rsidRPr="008048BB">
        <w:rPr>
          <w:lang w:eastAsia="ja-JP"/>
        </w:rPr>
        <w:t>,</w:t>
      </w:r>
      <w:r w:rsidR="00181328">
        <w:rPr>
          <w:lang w:eastAsia="ja-JP"/>
        </w:rPr>
        <w:t xml:space="preserve"> </w:t>
      </w:r>
      <w:r w:rsidRPr="008048BB">
        <w:rPr>
          <w:lang w:eastAsia="ja-JP"/>
        </w:rPr>
        <w:t xml:space="preserve">although not yet effective in </w:t>
      </w:r>
      <w:r w:rsidR="00181328">
        <w:rPr>
          <w:lang w:eastAsia="ja-JP"/>
        </w:rPr>
        <w:t>Europe, nor adopted by the TGA.</w:t>
      </w:r>
      <w:r w:rsidR="007A7E72">
        <w:rPr>
          <w:rStyle w:val="FootnoteReference"/>
          <w:lang w:eastAsia="ja-JP"/>
        </w:rPr>
        <w:footnoteReference w:id="10"/>
      </w:r>
    </w:p>
    <w:p w14:paraId="111FA79A" w14:textId="0B261C1E" w:rsidR="00586F98" w:rsidRDefault="00586F98" w:rsidP="00586F98">
      <w:pPr>
        <w:pStyle w:val="Heading2"/>
        <w:rPr>
          <w:lang w:eastAsia="en-AU"/>
        </w:rPr>
      </w:pPr>
      <w:bookmarkStart w:id="28" w:name="_Toc490579712"/>
      <w:r>
        <w:rPr>
          <w:lang w:eastAsia="en-AU"/>
        </w:rPr>
        <w:t>Contents of the clinical dossier</w:t>
      </w:r>
      <w:bookmarkEnd w:id="9"/>
      <w:bookmarkEnd w:id="10"/>
      <w:bookmarkEnd w:id="28"/>
    </w:p>
    <w:p w14:paraId="066D8741" w14:textId="77777777" w:rsidR="00586F98" w:rsidRDefault="00586F98" w:rsidP="00586F98">
      <w:pPr>
        <w:pStyle w:val="Heading3"/>
      </w:pPr>
      <w:bookmarkStart w:id="29" w:name="_Toc490579713"/>
      <w:r>
        <w:t>Scope of the clinical dossier</w:t>
      </w:r>
      <w:bookmarkEnd w:id="29"/>
    </w:p>
    <w:p w14:paraId="32EA86F4" w14:textId="77777777" w:rsidR="00223B83" w:rsidRDefault="00223B83" w:rsidP="00223B83">
      <w:pPr>
        <w:rPr>
          <w:lang w:eastAsia="ja-JP"/>
        </w:rPr>
      </w:pPr>
      <w:r w:rsidRPr="00223B83">
        <w:rPr>
          <w:lang w:eastAsia="ja-JP"/>
        </w:rPr>
        <w:t>The submission contained the following clinical information:</w:t>
      </w:r>
    </w:p>
    <w:p w14:paraId="04EF0143" w14:textId="4B98A89A" w:rsidR="00AF29FC" w:rsidRPr="00AF29FC" w:rsidRDefault="00EB4C23" w:rsidP="009273DD">
      <w:pPr>
        <w:pStyle w:val="ListBullet"/>
      </w:pPr>
      <w:r w:rsidRPr="00AF29FC">
        <w:t xml:space="preserve">A pivotal Phase III randomised, multicentre, double blinded study </w:t>
      </w:r>
      <w:r w:rsidR="00AF29FC">
        <w:t>(</w:t>
      </w:r>
      <w:r w:rsidR="00AF29FC" w:rsidRPr="00AF29FC">
        <w:t>Study CSLCT-QIV-13</w:t>
      </w:r>
      <w:r w:rsidR="00AF29FC">
        <w:t xml:space="preserve">-01) </w:t>
      </w:r>
      <w:r w:rsidRPr="00AF29FC">
        <w:t>to evaluate the immunogen</w:t>
      </w:r>
      <w:r w:rsidR="00E81363">
        <w:t>i</w:t>
      </w:r>
      <w:r w:rsidRPr="00AF29FC">
        <w:t xml:space="preserve">city and safety of </w:t>
      </w:r>
      <w:r w:rsidR="009273DD" w:rsidRPr="009273DD">
        <w:t>Seqirus</w:t>
      </w:r>
      <w:r w:rsidRPr="00AF29FC">
        <w:t xml:space="preserve"> QIV in comparison wi</w:t>
      </w:r>
      <w:r w:rsidR="00AF29FC" w:rsidRPr="00AF29FC">
        <w:t xml:space="preserve">th 2014 to </w:t>
      </w:r>
      <w:r w:rsidRPr="00AF29FC">
        <w:t xml:space="preserve">2015 Northern Hemisphere </w:t>
      </w:r>
      <w:r w:rsidR="009273DD" w:rsidRPr="009273DD">
        <w:t>Seqirus</w:t>
      </w:r>
      <w:r w:rsidRPr="00AF29FC">
        <w:t xml:space="preserve"> TIV (TIV-1) formulation and a TIV containing the alternate B-strain (TIV-2) in adults </w:t>
      </w:r>
      <w:r w:rsidR="00E936A1">
        <w:t xml:space="preserve">≥ </w:t>
      </w:r>
      <w:r w:rsidRPr="00AF29FC">
        <w:t>18 y</w:t>
      </w:r>
      <w:r w:rsidR="00AF29FC">
        <w:t>ea</w:t>
      </w:r>
      <w:r w:rsidRPr="00AF29FC">
        <w:t>rs of age</w:t>
      </w:r>
      <w:r w:rsidR="00AF29FC" w:rsidRPr="00AF29FC">
        <w:t>;</w:t>
      </w:r>
    </w:p>
    <w:p w14:paraId="53112B71" w14:textId="04E44AF6" w:rsidR="00EB4C23" w:rsidRPr="00223B83" w:rsidRDefault="00AF29FC" w:rsidP="00377078">
      <w:pPr>
        <w:pStyle w:val="ListBullet"/>
        <w:rPr>
          <w:lang w:eastAsia="ja-JP"/>
        </w:rPr>
      </w:pPr>
      <w:r>
        <w:rPr>
          <w:lang w:eastAsia="ja-JP"/>
        </w:rPr>
        <w:t>S</w:t>
      </w:r>
      <w:r w:rsidR="00EB4C23">
        <w:rPr>
          <w:lang w:eastAsia="ja-JP"/>
        </w:rPr>
        <w:t xml:space="preserve">upportive studies of the </w:t>
      </w:r>
      <w:r w:rsidR="00EB4C23" w:rsidRPr="00223B83">
        <w:rPr>
          <w:lang w:eastAsia="ja-JP"/>
        </w:rPr>
        <w:t>trivalent influenza vaccine demonstrating clinical lot-to-lot consistency (</w:t>
      </w:r>
      <w:r>
        <w:rPr>
          <w:lang w:eastAsia="ja-JP"/>
        </w:rPr>
        <w:t xml:space="preserve">Study </w:t>
      </w:r>
      <w:r w:rsidR="00EB4C23" w:rsidRPr="00AF29FC">
        <w:rPr>
          <w:lang w:eastAsia="ja-JP"/>
        </w:rPr>
        <w:t>CSLCT-FLU-05-09</w:t>
      </w:r>
      <w:r w:rsidR="00EB4C23" w:rsidRPr="00223B83">
        <w:rPr>
          <w:lang w:eastAsia="ja-JP"/>
        </w:rPr>
        <w:t>) and efficacy (</w:t>
      </w:r>
      <w:r w:rsidRPr="00AF29FC">
        <w:t xml:space="preserve">Study </w:t>
      </w:r>
      <w:r w:rsidR="00EB4C23" w:rsidRPr="00AF29FC">
        <w:t>CSLCT-USF-06-28</w:t>
      </w:r>
      <w:r>
        <w:rPr>
          <w:lang w:eastAsia="ja-JP"/>
        </w:rPr>
        <w:t>)</w:t>
      </w:r>
      <w:r w:rsidR="00EB4C23" w:rsidRPr="00223B83">
        <w:rPr>
          <w:bCs/>
          <w:lang w:eastAsia="ja-JP"/>
        </w:rPr>
        <w:t xml:space="preserve">. </w:t>
      </w:r>
      <w:r w:rsidR="00EB4C23" w:rsidRPr="00223B83">
        <w:rPr>
          <w:lang w:eastAsia="ja-JP"/>
        </w:rPr>
        <w:t xml:space="preserve">Literature references. Supporting data for the </w:t>
      </w:r>
      <w:r w:rsidR="00EB4C23" w:rsidRPr="00223B83">
        <w:rPr>
          <w:bCs/>
          <w:lang w:eastAsia="ja-JP"/>
        </w:rPr>
        <w:t>Validation of the HAI Test for Titrating Influenza A and B Specific Antibodies for the two A influenza strains and 2 B strains included in this QIV.</w:t>
      </w:r>
    </w:p>
    <w:p w14:paraId="6B97F014" w14:textId="07A892E2" w:rsidR="00223B83" w:rsidRPr="00223B83" w:rsidRDefault="00AF29FC" w:rsidP="00377078">
      <w:pPr>
        <w:pStyle w:val="ListBullet"/>
        <w:rPr>
          <w:lang w:eastAsia="ja-JP"/>
        </w:rPr>
      </w:pPr>
      <w:r>
        <w:rPr>
          <w:lang w:eastAsia="ja-JP"/>
        </w:rPr>
        <w:t xml:space="preserve">A </w:t>
      </w:r>
      <w:r w:rsidR="00223B83" w:rsidRPr="00223B83">
        <w:rPr>
          <w:lang w:eastAsia="ja-JP"/>
        </w:rPr>
        <w:t>Clinical Overview, Summary of Clinical Effic</w:t>
      </w:r>
      <w:r>
        <w:rPr>
          <w:lang w:eastAsia="ja-JP"/>
        </w:rPr>
        <w:t>acy, Summary of Clinical Safety.</w:t>
      </w:r>
    </w:p>
    <w:p w14:paraId="7FEA765F" w14:textId="19D0AE33" w:rsidR="00223B83" w:rsidRDefault="00586F98" w:rsidP="00586F98">
      <w:pPr>
        <w:pStyle w:val="Heading3"/>
      </w:pPr>
      <w:bookmarkStart w:id="30" w:name="_Toc490579714"/>
      <w:r>
        <w:t>Paediatric data</w:t>
      </w:r>
      <w:bookmarkEnd w:id="30"/>
    </w:p>
    <w:p w14:paraId="569CE740" w14:textId="2D90025D" w:rsidR="009620C5" w:rsidRPr="00E3655F" w:rsidRDefault="009620C5" w:rsidP="009620C5">
      <w:pPr>
        <w:rPr>
          <w:lang w:val="en-GB" w:eastAsia="ja-JP"/>
        </w:rPr>
      </w:pPr>
      <w:r w:rsidRPr="009620C5">
        <w:rPr>
          <w:lang w:val="en-GB" w:eastAsia="ja-JP"/>
        </w:rPr>
        <w:t>The submission does not include paediatric efficacy/safety data, although paediatric studies are ongoing and/or planned</w:t>
      </w:r>
      <w:r>
        <w:rPr>
          <w:lang w:val="en-GB" w:eastAsia="ja-JP"/>
        </w:rPr>
        <w:t>, for instance:</w:t>
      </w:r>
      <w:r w:rsidRPr="009620C5">
        <w:rPr>
          <w:lang w:val="en-GB" w:eastAsia="ja-JP"/>
        </w:rPr>
        <w:t xml:space="preserve"> </w:t>
      </w:r>
      <w:r>
        <w:rPr>
          <w:lang w:val="en-GB" w:eastAsia="ja-JP"/>
        </w:rPr>
        <w:t>Study</w:t>
      </w:r>
      <w:r w:rsidRPr="009620C5">
        <w:rPr>
          <w:lang w:val="en-GB" w:eastAsia="ja-JP"/>
        </w:rPr>
        <w:t xml:space="preserve"> </w:t>
      </w:r>
      <w:r w:rsidRPr="009620C5">
        <w:rPr>
          <w:bCs/>
          <w:lang w:val="en-GB" w:eastAsia="ja-JP"/>
        </w:rPr>
        <w:t>CSLCT-QIV-13-02</w:t>
      </w:r>
      <w:r w:rsidR="00E3655F">
        <w:rPr>
          <w:lang w:val="en-GB" w:eastAsia="ja-JP"/>
        </w:rPr>
        <w:t>. This is a</w:t>
      </w:r>
      <w:r>
        <w:rPr>
          <w:lang w:val="en-GB" w:eastAsia="ja-JP"/>
        </w:rPr>
        <w:t xml:space="preserve"> Phase III</w:t>
      </w:r>
      <w:r w:rsidRPr="009620C5">
        <w:rPr>
          <w:lang w:val="en-GB" w:eastAsia="ja-JP"/>
        </w:rPr>
        <w:t xml:space="preserve">, randomised, multicentre, observer-blinded study to evaluate the immunogenicity and safety of </w:t>
      </w:r>
      <w:r w:rsidR="009273DD" w:rsidRPr="009273DD">
        <w:rPr>
          <w:lang w:val="en-GB" w:eastAsia="ja-JP"/>
        </w:rPr>
        <w:t>Seqirus</w:t>
      </w:r>
      <w:r w:rsidR="009273DD" w:rsidRPr="009273DD" w:rsidDel="009273DD">
        <w:rPr>
          <w:lang w:val="en-GB" w:eastAsia="ja-JP"/>
        </w:rPr>
        <w:t xml:space="preserve"> </w:t>
      </w:r>
      <w:r w:rsidRPr="009620C5">
        <w:rPr>
          <w:lang w:val="en-GB" w:eastAsia="ja-JP"/>
        </w:rPr>
        <w:t xml:space="preserve">QIV </w:t>
      </w:r>
      <w:r w:rsidRPr="009620C5">
        <w:rPr>
          <w:lang w:val="en-GB" w:eastAsia="ja-JP"/>
        </w:rPr>
        <w:lastRenderedPageBreak/>
        <w:t>v</w:t>
      </w:r>
      <w:r>
        <w:rPr>
          <w:lang w:val="en-GB" w:eastAsia="ja-JP"/>
        </w:rPr>
        <w:t>ersus</w:t>
      </w:r>
      <w:r w:rsidRPr="009620C5">
        <w:rPr>
          <w:lang w:val="en-GB" w:eastAsia="ja-JP"/>
        </w:rPr>
        <w:t xml:space="preserve"> a US li</w:t>
      </w:r>
      <w:r>
        <w:rPr>
          <w:lang w:val="en-GB" w:eastAsia="ja-JP"/>
        </w:rPr>
        <w:t>censed Northern Hemisphere 2015 to 2016 QIV c</w:t>
      </w:r>
      <w:r w:rsidRPr="009620C5">
        <w:rPr>
          <w:lang w:val="en-GB" w:eastAsia="ja-JP"/>
        </w:rPr>
        <w:t>omparator in male and female children 5 to &lt; 18 y</w:t>
      </w:r>
      <w:r>
        <w:rPr>
          <w:lang w:val="en-GB" w:eastAsia="ja-JP"/>
        </w:rPr>
        <w:t>ea</w:t>
      </w:r>
      <w:r w:rsidRPr="009620C5">
        <w:rPr>
          <w:lang w:val="en-GB" w:eastAsia="ja-JP"/>
        </w:rPr>
        <w:t xml:space="preserve">rs of age. Subjects </w:t>
      </w:r>
      <w:r w:rsidR="009273DD">
        <w:rPr>
          <w:lang w:val="en-GB" w:eastAsia="ja-JP"/>
        </w:rPr>
        <w:t>were</w:t>
      </w:r>
      <w:r w:rsidRPr="009620C5">
        <w:rPr>
          <w:lang w:val="en-GB" w:eastAsia="ja-JP"/>
        </w:rPr>
        <w:t xml:space="preserve"> randomised to either treatment group in a 3:1 ratio (</w:t>
      </w:r>
      <w:r w:rsidR="009273DD" w:rsidRPr="009273DD">
        <w:rPr>
          <w:lang w:val="en-GB" w:eastAsia="ja-JP"/>
        </w:rPr>
        <w:t>Seqirus</w:t>
      </w:r>
      <w:r w:rsidRPr="009620C5">
        <w:rPr>
          <w:lang w:val="en-GB" w:eastAsia="ja-JP"/>
        </w:rPr>
        <w:t xml:space="preserve"> QIV: </w:t>
      </w:r>
      <w:r>
        <w:rPr>
          <w:lang w:val="en-GB" w:eastAsia="ja-JP"/>
        </w:rPr>
        <w:t>c</w:t>
      </w:r>
      <w:r w:rsidRPr="009620C5">
        <w:rPr>
          <w:lang w:val="en-GB" w:eastAsia="ja-JP"/>
        </w:rPr>
        <w:t xml:space="preserve">omparator QIV). The randomisation </w:t>
      </w:r>
      <w:r w:rsidR="009273DD">
        <w:rPr>
          <w:lang w:val="en-GB" w:eastAsia="ja-JP"/>
        </w:rPr>
        <w:t xml:space="preserve">was </w:t>
      </w:r>
      <w:r w:rsidRPr="009620C5">
        <w:rPr>
          <w:lang w:val="en-GB" w:eastAsia="ja-JP"/>
        </w:rPr>
        <w:t xml:space="preserve">stratified </w:t>
      </w:r>
      <w:r>
        <w:rPr>
          <w:lang w:val="en-GB" w:eastAsia="ja-JP"/>
        </w:rPr>
        <w:t>by age into two study cohorts (c</w:t>
      </w:r>
      <w:r w:rsidRPr="009620C5">
        <w:rPr>
          <w:lang w:val="en-GB" w:eastAsia="ja-JP"/>
        </w:rPr>
        <w:t xml:space="preserve">ohort A: 5 </w:t>
      </w:r>
      <w:r>
        <w:rPr>
          <w:lang w:val="en-GB" w:eastAsia="ja-JP"/>
        </w:rPr>
        <w:t xml:space="preserve">to </w:t>
      </w:r>
      <w:r w:rsidRPr="009620C5">
        <w:rPr>
          <w:lang w:val="en-GB" w:eastAsia="ja-JP"/>
        </w:rPr>
        <w:t>&lt;</w:t>
      </w:r>
      <w:r>
        <w:rPr>
          <w:lang w:val="en-GB" w:eastAsia="ja-JP"/>
        </w:rPr>
        <w:t xml:space="preserve"> 9 yrs of age, and c</w:t>
      </w:r>
      <w:r w:rsidRPr="009620C5">
        <w:rPr>
          <w:lang w:val="en-GB" w:eastAsia="ja-JP"/>
        </w:rPr>
        <w:t xml:space="preserve">ohort B: 9 to &lt;18 yrs of age) </w:t>
      </w:r>
      <w:r w:rsidR="00E3655F">
        <w:rPr>
          <w:lang w:val="en-GB" w:eastAsia="ja-JP"/>
        </w:rPr>
        <w:t>with a sample size of approximately n = 2222</w:t>
      </w:r>
      <w:r w:rsidRPr="009620C5">
        <w:rPr>
          <w:lang w:val="en-GB" w:eastAsia="ja-JP"/>
        </w:rPr>
        <w:t xml:space="preserve">. </w:t>
      </w:r>
      <w:r w:rsidR="00E3655F">
        <w:rPr>
          <w:lang w:val="en-GB" w:eastAsia="ja-JP"/>
        </w:rPr>
        <w:t>T</w:t>
      </w:r>
      <w:r w:rsidRPr="009620C5">
        <w:rPr>
          <w:lang w:val="en-GB" w:eastAsia="ja-JP"/>
        </w:rPr>
        <w:t xml:space="preserve">he study does not go </w:t>
      </w:r>
      <w:r w:rsidR="00E3655F">
        <w:rPr>
          <w:lang w:val="en-GB" w:eastAsia="ja-JP"/>
        </w:rPr>
        <w:t>b</w:t>
      </w:r>
      <w:r w:rsidRPr="009620C5">
        <w:rPr>
          <w:lang w:val="en-GB" w:eastAsia="ja-JP"/>
        </w:rPr>
        <w:t>elo</w:t>
      </w:r>
      <w:r w:rsidR="00E3655F">
        <w:rPr>
          <w:lang w:val="en-GB" w:eastAsia="ja-JP"/>
        </w:rPr>
        <w:t>w</w:t>
      </w:r>
      <w:r w:rsidRPr="009620C5">
        <w:rPr>
          <w:lang w:val="en-GB" w:eastAsia="ja-JP"/>
        </w:rPr>
        <w:t xml:space="preserve"> 5 y</w:t>
      </w:r>
      <w:r w:rsidR="00E3655F">
        <w:rPr>
          <w:lang w:val="en-GB" w:eastAsia="ja-JP"/>
        </w:rPr>
        <w:t>ea</w:t>
      </w:r>
      <w:r w:rsidRPr="009620C5">
        <w:rPr>
          <w:lang w:val="en-GB" w:eastAsia="ja-JP"/>
        </w:rPr>
        <w:t>rs of age to align with the currently registered paediatric age indication for TIV. The TIV age indication from 6 months to &lt;5 y</w:t>
      </w:r>
      <w:r w:rsidR="00E3655F">
        <w:rPr>
          <w:lang w:val="en-GB" w:eastAsia="ja-JP"/>
        </w:rPr>
        <w:t>ea</w:t>
      </w:r>
      <w:r w:rsidRPr="009620C5">
        <w:rPr>
          <w:lang w:val="en-GB" w:eastAsia="ja-JP"/>
        </w:rPr>
        <w:t xml:space="preserve">rs was rescinded in Australia in the Southern Hemisphere 2010 influenza season following spontaneous post-marketing reports of febrile reactions, including febrile seizures in Australia and New Zealand in 2010. </w:t>
      </w:r>
      <w:r w:rsidR="00E3655F">
        <w:rPr>
          <w:lang w:val="en-GB" w:eastAsia="ja-JP"/>
        </w:rPr>
        <w:t xml:space="preserve">Study </w:t>
      </w:r>
      <w:r w:rsidRPr="00E3655F">
        <w:rPr>
          <w:bCs/>
          <w:lang w:val="en-GB" w:eastAsia="ja-JP"/>
        </w:rPr>
        <w:t>CSLCT-QIV-15-03</w:t>
      </w:r>
      <w:r w:rsidR="00E3655F">
        <w:rPr>
          <w:lang w:val="en-GB" w:eastAsia="ja-JP"/>
        </w:rPr>
        <w:t xml:space="preserve"> is a Phase III</w:t>
      </w:r>
      <w:r w:rsidRPr="009620C5">
        <w:rPr>
          <w:lang w:val="en-GB" w:eastAsia="ja-JP"/>
        </w:rPr>
        <w:t xml:space="preserve">, randomised, multicentre, observer blinded study to evaluate the immunogenicity and safety of </w:t>
      </w:r>
      <w:r w:rsidR="00C564A6">
        <w:rPr>
          <w:lang w:val="en-GB" w:eastAsia="ja-JP"/>
        </w:rPr>
        <w:t>Seqirus</w:t>
      </w:r>
      <w:r w:rsidR="00C564A6" w:rsidRPr="009620C5">
        <w:rPr>
          <w:lang w:val="en-GB" w:eastAsia="ja-JP"/>
        </w:rPr>
        <w:t xml:space="preserve"> </w:t>
      </w:r>
      <w:r w:rsidRPr="009620C5">
        <w:rPr>
          <w:lang w:val="en-GB" w:eastAsia="ja-JP"/>
        </w:rPr>
        <w:t>QIV v</w:t>
      </w:r>
      <w:r w:rsidR="00E3655F">
        <w:rPr>
          <w:lang w:val="en-GB" w:eastAsia="ja-JP"/>
        </w:rPr>
        <w:t>ersus</w:t>
      </w:r>
      <w:r w:rsidRPr="009620C5">
        <w:rPr>
          <w:lang w:val="en-GB" w:eastAsia="ja-JP"/>
        </w:rPr>
        <w:t xml:space="preserve"> a US licensed N</w:t>
      </w:r>
      <w:r w:rsidR="00E3655F">
        <w:rPr>
          <w:lang w:val="en-GB" w:eastAsia="ja-JP"/>
        </w:rPr>
        <w:t xml:space="preserve">orthern </w:t>
      </w:r>
      <w:r w:rsidRPr="009620C5">
        <w:rPr>
          <w:lang w:val="en-GB" w:eastAsia="ja-JP"/>
        </w:rPr>
        <w:t>H</w:t>
      </w:r>
      <w:r w:rsidR="00E3655F">
        <w:rPr>
          <w:lang w:val="en-GB" w:eastAsia="ja-JP"/>
        </w:rPr>
        <w:t>emisphere 2016 to 2017 QIV c</w:t>
      </w:r>
      <w:r w:rsidRPr="009620C5">
        <w:rPr>
          <w:lang w:val="en-GB" w:eastAsia="ja-JP"/>
        </w:rPr>
        <w:t>omparator in children 6 months to &lt;</w:t>
      </w:r>
      <w:r w:rsidR="00E3655F">
        <w:rPr>
          <w:lang w:val="en-GB" w:eastAsia="ja-JP"/>
        </w:rPr>
        <w:t xml:space="preserve"> </w:t>
      </w:r>
      <w:r w:rsidRPr="009620C5">
        <w:rPr>
          <w:lang w:val="en-GB" w:eastAsia="ja-JP"/>
        </w:rPr>
        <w:t>5 y</w:t>
      </w:r>
      <w:r w:rsidR="00E3655F">
        <w:rPr>
          <w:lang w:val="en-GB" w:eastAsia="ja-JP"/>
        </w:rPr>
        <w:t>ea</w:t>
      </w:r>
      <w:r w:rsidRPr="009620C5">
        <w:rPr>
          <w:lang w:val="en-GB" w:eastAsia="ja-JP"/>
        </w:rPr>
        <w:t>rs of age. Th</w:t>
      </w:r>
      <w:r w:rsidR="00EA654A">
        <w:rPr>
          <w:lang w:val="en-GB" w:eastAsia="ja-JP"/>
        </w:rPr>
        <w:t xml:space="preserve">is </w:t>
      </w:r>
      <w:r w:rsidR="002D12AD">
        <w:rPr>
          <w:lang w:val="en-GB" w:eastAsia="ja-JP"/>
        </w:rPr>
        <w:t>was to</w:t>
      </w:r>
      <w:r w:rsidRPr="009620C5">
        <w:rPr>
          <w:lang w:val="en-GB" w:eastAsia="ja-JP"/>
        </w:rPr>
        <w:t xml:space="preserve"> be conducted in the N</w:t>
      </w:r>
      <w:r w:rsidR="00E3655F">
        <w:rPr>
          <w:lang w:val="en-GB" w:eastAsia="ja-JP"/>
        </w:rPr>
        <w:t xml:space="preserve">orthern </w:t>
      </w:r>
      <w:r w:rsidRPr="009620C5">
        <w:rPr>
          <w:lang w:val="en-GB" w:eastAsia="ja-JP"/>
        </w:rPr>
        <w:t>H</w:t>
      </w:r>
      <w:r w:rsidR="00E3655F">
        <w:rPr>
          <w:lang w:val="en-GB" w:eastAsia="ja-JP"/>
        </w:rPr>
        <w:t>emisphere in influenza season 2016/</w:t>
      </w:r>
      <w:r w:rsidRPr="009620C5">
        <w:rPr>
          <w:lang w:val="en-GB" w:eastAsia="ja-JP"/>
        </w:rPr>
        <w:t xml:space="preserve">2017 if data from </w:t>
      </w:r>
      <w:r w:rsidR="00E3655F">
        <w:rPr>
          <w:lang w:val="en-GB" w:eastAsia="ja-JP"/>
        </w:rPr>
        <w:t>Study </w:t>
      </w:r>
      <w:r w:rsidRPr="00E3655F">
        <w:rPr>
          <w:bCs/>
          <w:lang w:val="en-GB" w:eastAsia="ja-JP"/>
        </w:rPr>
        <w:t xml:space="preserve">CSLCT-QIV-13-02 </w:t>
      </w:r>
      <w:r w:rsidRPr="009620C5">
        <w:rPr>
          <w:lang w:val="en-GB" w:eastAsia="ja-JP"/>
        </w:rPr>
        <w:t xml:space="preserve">are supportive of proceeding to this younger age group. If </w:t>
      </w:r>
      <w:r w:rsidR="00E3655F">
        <w:rPr>
          <w:lang w:val="en-GB" w:eastAsia="ja-JP"/>
        </w:rPr>
        <w:t xml:space="preserve">Study </w:t>
      </w:r>
      <w:r w:rsidRPr="00E3655F">
        <w:rPr>
          <w:bCs/>
          <w:lang w:val="en-GB" w:eastAsia="ja-JP"/>
        </w:rPr>
        <w:t>CSLCT-QIV-15-03</w:t>
      </w:r>
      <w:r w:rsidRPr="009620C5">
        <w:rPr>
          <w:b/>
          <w:bCs/>
          <w:lang w:val="en-GB" w:eastAsia="ja-JP"/>
        </w:rPr>
        <w:t xml:space="preserve"> </w:t>
      </w:r>
      <w:r w:rsidRPr="009620C5">
        <w:rPr>
          <w:lang w:val="en-GB" w:eastAsia="ja-JP"/>
        </w:rPr>
        <w:t xml:space="preserve">is conducted, results from this study will potentially support a paediatric indication </w:t>
      </w:r>
      <w:r w:rsidR="00E936A1">
        <w:rPr>
          <w:lang w:val="en-GB" w:eastAsia="ja-JP"/>
        </w:rPr>
        <w:t>≥</w:t>
      </w:r>
      <w:r w:rsidR="002D12AD">
        <w:rPr>
          <w:lang w:val="en-GB" w:eastAsia="ja-JP"/>
        </w:rPr>
        <w:t xml:space="preserve"> </w:t>
      </w:r>
      <w:r w:rsidR="009273DD">
        <w:rPr>
          <w:lang w:val="en-GB" w:eastAsia="ja-JP"/>
        </w:rPr>
        <w:t xml:space="preserve">6 </w:t>
      </w:r>
      <w:r w:rsidRPr="009620C5">
        <w:rPr>
          <w:lang w:val="en-GB" w:eastAsia="ja-JP"/>
        </w:rPr>
        <w:t>months to &lt; 5 y</w:t>
      </w:r>
      <w:r w:rsidR="00E3655F">
        <w:rPr>
          <w:lang w:val="en-GB" w:eastAsia="ja-JP"/>
        </w:rPr>
        <w:t>ea</w:t>
      </w:r>
      <w:r w:rsidRPr="009620C5">
        <w:rPr>
          <w:lang w:val="en-GB" w:eastAsia="ja-JP"/>
        </w:rPr>
        <w:t>rs of age. The study design w</w:t>
      </w:r>
      <w:r w:rsidR="002D12AD">
        <w:rPr>
          <w:lang w:val="en-GB" w:eastAsia="ja-JP"/>
        </w:rPr>
        <w:t>as to</w:t>
      </w:r>
      <w:r w:rsidRPr="009620C5">
        <w:rPr>
          <w:lang w:val="en-GB" w:eastAsia="ja-JP"/>
        </w:rPr>
        <w:t xml:space="preserve"> be finalised subsequent to review of study conduct and results from </w:t>
      </w:r>
      <w:r w:rsidR="00E3655F">
        <w:rPr>
          <w:lang w:val="en-GB" w:eastAsia="ja-JP"/>
        </w:rPr>
        <w:t xml:space="preserve">Study </w:t>
      </w:r>
      <w:r w:rsidRPr="00E3655F">
        <w:rPr>
          <w:bCs/>
          <w:lang w:val="en-GB" w:eastAsia="ja-JP"/>
        </w:rPr>
        <w:t>CSLCT-QIV-13-02</w:t>
      </w:r>
      <w:r w:rsidRPr="00E3655F">
        <w:rPr>
          <w:lang w:val="en-GB" w:eastAsia="ja-JP"/>
        </w:rPr>
        <w:t>.</w:t>
      </w:r>
    </w:p>
    <w:p w14:paraId="10241BED" w14:textId="5D09E698" w:rsidR="00586F98" w:rsidRDefault="00586F98" w:rsidP="00586F98">
      <w:pPr>
        <w:pStyle w:val="Heading3"/>
      </w:pPr>
      <w:bookmarkStart w:id="31" w:name="_Toc490579715"/>
      <w:r>
        <w:t>Good clinical practice</w:t>
      </w:r>
      <w:bookmarkEnd w:id="31"/>
    </w:p>
    <w:p w14:paraId="544FFD82" w14:textId="4344A8B1" w:rsidR="00223B83" w:rsidRPr="00223B83" w:rsidRDefault="00223B83" w:rsidP="00223B83">
      <w:pPr>
        <w:rPr>
          <w:lang w:eastAsia="ja-JP"/>
        </w:rPr>
      </w:pPr>
      <w:r w:rsidRPr="00223B83">
        <w:rPr>
          <w:lang w:eastAsia="ja-JP"/>
        </w:rPr>
        <w:t xml:space="preserve">The clinical studies in this application complied with CPMP/ICH/135/95 an internationally accepted standard for the design, conduct, recording and reporting of </w:t>
      </w:r>
      <w:r w:rsidRPr="00223B83">
        <w:rPr>
          <w:bCs/>
          <w:lang w:eastAsia="ja-JP"/>
        </w:rPr>
        <w:t>clinical</w:t>
      </w:r>
      <w:r w:rsidRPr="00223B83">
        <w:rPr>
          <w:lang w:eastAsia="ja-JP"/>
        </w:rPr>
        <w:t xml:space="preserve"> trials</w:t>
      </w:r>
      <w:r w:rsidR="00DC4FF0">
        <w:rPr>
          <w:lang w:eastAsia="ja-JP"/>
        </w:rPr>
        <w:t>.</w:t>
      </w:r>
      <w:r w:rsidR="002913CF">
        <w:rPr>
          <w:rStyle w:val="FootnoteReference"/>
          <w:lang w:eastAsia="ja-JP"/>
        </w:rPr>
        <w:footnoteReference w:id="11"/>
      </w:r>
      <w:r w:rsidRPr="00223B83">
        <w:rPr>
          <w:lang w:eastAsia="ja-JP"/>
        </w:rPr>
        <w:t xml:space="preserve"> Ethical and scientific standards of the clinical studies complied with guidance documents of the International Conference on Harmonisation (ICH), the US FDA, and the Therapeutic Goods Administration (TGA) of Australia. The designs of the studies in this submission are consistent with recommendations from the US FDA Guidance for Industry: Clinical Data Needed to Support the Licensure of Seasonal Inactivated Influenza Vaccines, May 2007 (CBER 2007). Furthermore, the designs of the adult QIV study and/or the presentation of results in this submission are also ge</w:t>
      </w:r>
      <w:r w:rsidR="00164830">
        <w:rPr>
          <w:lang w:eastAsia="ja-JP"/>
        </w:rPr>
        <w:t>nerally consistent with the EU ‘</w:t>
      </w:r>
      <w:r w:rsidRPr="00223B83">
        <w:rPr>
          <w:lang w:eastAsia="ja-JP"/>
        </w:rPr>
        <w:t>Guideline on Clin</w:t>
      </w:r>
      <w:r w:rsidR="00164830">
        <w:rPr>
          <w:lang w:eastAsia="ja-JP"/>
        </w:rPr>
        <w:t>ical Evaluation of New Vaccines’</w:t>
      </w:r>
      <w:r w:rsidRPr="00223B83">
        <w:rPr>
          <w:lang w:eastAsia="ja-JP"/>
        </w:rPr>
        <w:t xml:space="preserve"> (EMEA/CHMP/VWP</w:t>
      </w:r>
      <w:r w:rsidR="002913CF">
        <w:rPr>
          <w:lang w:eastAsia="ja-JP"/>
        </w:rPr>
        <w:t>/164653/2005; CHMP, 2006), and ‘</w:t>
      </w:r>
      <w:r w:rsidRPr="00223B83">
        <w:rPr>
          <w:lang w:eastAsia="ja-JP"/>
        </w:rPr>
        <w:t>Note for Guidance on Harmonisation of Requirements for Influenza Vacc</w:t>
      </w:r>
      <w:r w:rsidR="002913CF">
        <w:rPr>
          <w:lang w:eastAsia="ja-JP"/>
        </w:rPr>
        <w:t>ines’</w:t>
      </w:r>
      <w:r w:rsidRPr="00223B83">
        <w:rPr>
          <w:lang w:eastAsia="ja-JP"/>
        </w:rPr>
        <w:t xml:space="preserve"> (CPMP/BWP/214/96; CPMP, 1997). Additionally, the adult QIV study and plans for future paediatric QIV studies are informed by the CHMP/VWP/457259/2014 Guideline on influenza vaccines Non-clinical and clinical module (Draft), which accepts demonstration of non-inferior immunogenicity as a basis for marketing authorisation applications (MAA) in adults including the elderly.</w:t>
      </w:r>
    </w:p>
    <w:p w14:paraId="44E93086" w14:textId="5FE04622" w:rsidR="00223B83" w:rsidRPr="0094614A" w:rsidRDefault="00223B83" w:rsidP="00586F98">
      <w:pPr>
        <w:rPr>
          <w:lang w:eastAsia="ja-JP"/>
        </w:rPr>
      </w:pPr>
      <w:r w:rsidRPr="00223B83">
        <w:rPr>
          <w:lang w:eastAsia="ja-JP"/>
        </w:rPr>
        <w:t>Approvals to undertake the clinical studies were obtained from appropriately constituted institutional ethics committees/independent research boards, in accordance with the relevant national guidelines and regulations applicable.</w:t>
      </w:r>
    </w:p>
    <w:p w14:paraId="7A56F4AC" w14:textId="77777777" w:rsidR="00FD2DDF" w:rsidRDefault="00586F98" w:rsidP="00586F98">
      <w:pPr>
        <w:pStyle w:val="Heading2"/>
      </w:pPr>
      <w:bookmarkStart w:id="32" w:name="_Toc355338639"/>
      <w:bookmarkStart w:id="33" w:name="_Toc490579716"/>
      <w:r>
        <w:t>Pharmacokinetics</w:t>
      </w:r>
      <w:bookmarkEnd w:id="32"/>
      <w:bookmarkEnd w:id="33"/>
    </w:p>
    <w:p w14:paraId="42DA5F6A" w14:textId="4AC4C8C4" w:rsidR="00B03645" w:rsidRDefault="00B03645" w:rsidP="00586F98">
      <w:r w:rsidRPr="00B03645">
        <w:t>This is not applicable to this application, no pharmac</w:t>
      </w:r>
      <w:r w:rsidR="002913CF">
        <w:t>okinetic (PK) data is provided. T</w:t>
      </w:r>
      <w:r w:rsidRPr="00B03645">
        <w:t>he rationale is that PK studies are usu</w:t>
      </w:r>
      <w:r w:rsidR="002913CF">
        <w:t>ally not required for vaccines.</w:t>
      </w:r>
    </w:p>
    <w:p w14:paraId="509F58C5" w14:textId="7E03C6FC" w:rsidR="00C22678" w:rsidRDefault="007576D6" w:rsidP="00C22678">
      <w:pPr>
        <w:pStyle w:val="Heading2"/>
      </w:pPr>
      <w:bookmarkStart w:id="34" w:name="_Toc490579717"/>
      <w:r>
        <w:lastRenderedPageBreak/>
        <w:t>Immunogenicity</w:t>
      </w:r>
      <w:bookmarkEnd w:id="34"/>
    </w:p>
    <w:p w14:paraId="0C1D5157" w14:textId="78B11014" w:rsidR="00B03645" w:rsidRPr="00B03645" w:rsidRDefault="00B03645" w:rsidP="00B03645">
      <w:pPr>
        <w:pStyle w:val="Heading3"/>
        <w:rPr>
          <w:rFonts w:eastAsia="Cambria"/>
        </w:rPr>
      </w:pPr>
      <w:bookmarkStart w:id="35" w:name="_Toc272414637"/>
      <w:bookmarkStart w:id="36" w:name="_Toc290846260"/>
      <w:bookmarkStart w:id="37" w:name="_Toc448702498"/>
      <w:bookmarkStart w:id="38" w:name="_Toc490579718"/>
      <w:r w:rsidRPr="00B03645">
        <w:rPr>
          <w:rFonts w:eastAsia="Cambria"/>
        </w:rPr>
        <w:t xml:space="preserve">Studies providing </w:t>
      </w:r>
      <w:r w:rsidR="007576D6">
        <w:rPr>
          <w:rFonts w:eastAsia="Cambria"/>
        </w:rPr>
        <w:t>immunogenicity</w:t>
      </w:r>
      <w:r w:rsidRPr="00B03645">
        <w:rPr>
          <w:rFonts w:eastAsia="Cambria"/>
        </w:rPr>
        <w:t xml:space="preserve"> data</w:t>
      </w:r>
      <w:bookmarkEnd w:id="35"/>
      <w:bookmarkEnd w:id="36"/>
      <w:bookmarkEnd w:id="37"/>
      <w:bookmarkEnd w:id="38"/>
    </w:p>
    <w:p w14:paraId="5BC62CED" w14:textId="45462D97" w:rsidR="00B03645" w:rsidRPr="00586F98" w:rsidRDefault="00B03645" w:rsidP="00C22678">
      <w:pPr>
        <w:rPr>
          <w:lang w:eastAsia="ja-JP"/>
        </w:rPr>
      </w:pPr>
      <w:r w:rsidRPr="00B03645">
        <w:rPr>
          <w:lang w:eastAsia="ja-JP"/>
        </w:rPr>
        <w:t xml:space="preserve">Efficacy and safety data arising from these three studies is summarised in </w:t>
      </w:r>
      <w:r w:rsidR="002913CF">
        <w:rPr>
          <w:lang w:eastAsia="ja-JP"/>
        </w:rPr>
        <w:t>Section 7 and</w:t>
      </w:r>
      <w:r w:rsidR="00DC2D60">
        <w:rPr>
          <w:lang w:eastAsia="ja-JP"/>
        </w:rPr>
        <w:t xml:space="preserve"> Section </w:t>
      </w:r>
      <w:r w:rsidR="002913CF">
        <w:rPr>
          <w:lang w:eastAsia="ja-JP"/>
        </w:rPr>
        <w:t>8</w:t>
      </w:r>
      <w:r w:rsidRPr="00B03645">
        <w:rPr>
          <w:b/>
          <w:lang w:eastAsia="ja-JP"/>
        </w:rPr>
        <w:t xml:space="preserve"> </w:t>
      </w:r>
      <w:r w:rsidRPr="00B03645">
        <w:rPr>
          <w:lang w:eastAsia="ja-JP"/>
        </w:rPr>
        <w:t xml:space="preserve">respectively of this </w:t>
      </w:r>
      <w:r w:rsidR="007576D6">
        <w:rPr>
          <w:lang w:eastAsia="ja-JP"/>
        </w:rPr>
        <w:t>document</w:t>
      </w:r>
      <w:r w:rsidRPr="00B03645">
        <w:rPr>
          <w:lang w:eastAsia="ja-JP"/>
        </w:rPr>
        <w:t>. Only one study provides immunogenicity data for the QIV.</w:t>
      </w:r>
    </w:p>
    <w:p w14:paraId="5E9BD035" w14:textId="465BBE81" w:rsidR="00C22678" w:rsidRDefault="00C22678" w:rsidP="00C22678">
      <w:pPr>
        <w:pStyle w:val="Heading2"/>
      </w:pPr>
      <w:bookmarkStart w:id="39" w:name="_Toc490579719"/>
      <w:r>
        <w:t>Dosage selection for the pivotal studies</w:t>
      </w:r>
      <w:bookmarkEnd w:id="39"/>
    </w:p>
    <w:p w14:paraId="1A8F5DB8" w14:textId="176F99BC" w:rsidR="00B03645" w:rsidRPr="00586F98" w:rsidRDefault="00B03645" w:rsidP="00C22678">
      <w:pPr>
        <w:rPr>
          <w:lang w:eastAsia="ja-JP"/>
        </w:rPr>
      </w:pPr>
      <w:r w:rsidRPr="00B03645">
        <w:rPr>
          <w:lang w:eastAsia="ja-JP"/>
        </w:rPr>
        <w:t>The dosage selection for the addition</w:t>
      </w:r>
      <w:r w:rsidR="00140AEE">
        <w:rPr>
          <w:lang w:eastAsia="ja-JP"/>
        </w:rPr>
        <w:t>al</w:t>
      </w:r>
      <w:r w:rsidRPr="00B03645">
        <w:rPr>
          <w:lang w:eastAsia="ja-JP"/>
        </w:rPr>
        <w:t xml:space="preserve"> B strain immunogen in the QIV was based upon the standard used in the T</w:t>
      </w:r>
      <w:r w:rsidR="002913CF">
        <w:rPr>
          <w:lang w:eastAsia="ja-JP"/>
        </w:rPr>
        <w:t>IV</w:t>
      </w:r>
      <w:r w:rsidR="00EA654A">
        <w:rPr>
          <w:lang w:eastAsia="ja-JP"/>
        </w:rPr>
        <w:t xml:space="preserve">; </w:t>
      </w:r>
      <w:r w:rsidR="002913CF">
        <w:rPr>
          <w:lang w:eastAsia="ja-JP"/>
        </w:rPr>
        <w:t>that is</w:t>
      </w:r>
      <w:r>
        <w:rPr>
          <w:lang w:eastAsia="ja-JP"/>
        </w:rPr>
        <w:t xml:space="preserve"> 15</w:t>
      </w:r>
      <w:r w:rsidR="002913CF">
        <w:rPr>
          <w:lang w:eastAsia="ja-JP"/>
        </w:rPr>
        <w:t xml:space="preserve"> </w:t>
      </w:r>
      <w:r w:rsidR="00696781">
        <w:rPr>
          <w:lang w:eastAsia="ja-JP"/>
        </w:rPr>
        <w:t>µg</w:t>
      </w:r>
      <w:r>
        <w:rPr>
          <w:lang w:eastAsia="ja-JP"/>
        </w:rPr>
        <w:t xml:space="preserve"> of HA per strain.</w:t>
      </w:r>
    </w:p>
    <w:p w14:paraId="092C44E5" w14:textId="2EB9EA84" w:rsidR="00C22678" w:rsidRDefault="00C22678" w:rsidP="00C22678">
      <w:pPr>
        <w:pStyle w:val="Heading2"/>
      </w:pPr>
      <w:bookmarkStart w:id="40" w:name="_Toc490579720"/>
      <w:r>
        <w:t>Clinical efficacy</w:t>
      </w:r>
      <w:bookmarkEnd w:id="40"/>
    </w:p>
    <w:p w14:paraId="025BBA2B" w14:textId="05939702" w:rsidR="00B03645" w:rsidRPr="00B03645" w:rsidRDefault="00B03645" w:rsidP="00B03645">
      <w:pPr>
        <w:rPr>
          <w:lang w:eastAsia="ja-JP"/>
        </w:rPr>
      </w:pPr>
      <w:r w:rsidRPr="00B03645">
        <w:rPr>
          <w:lang w:eastAsia="ja-JP"/>
        </w:rPr>
        <w:t>The pivotal study</w:t>
      </w:r>
      <w:r w:rsidR="00E81363">
        <w:rPr>
          <w:lang w:eastAsia="ja-JP"/>
        </w:rPr>
        <w:t>, Study</w:t>
      </w:r>
      <w:r w:rsidRPr="00B03645">
        <w:rPr>
          <w:lang w:eastAsia="ja-JP"/>
        </w:rPr>
        <w:t xml:space="preserve"> CSLCT-QIV-13-</w:t>
      </w:r>
      <w:r w:rsidR="00C512A4">
        <w:rPr>
          <w:lang w:eastAsia="ja-JP"/>
        </w:rPr>
        <w:t xml:space="preserve">01 is not a ‘clinical efficacy’ </w:t>
      </w:r>
      <w:r w:rsidRPr="00B03645">
        <w:rPr>
          <w:lang w:eastAsia="ja-JP"/>
        </w:rPr>
        <w:t>study</w:t>
      </w:r>
      <w:r w:rsidR="00C512A4">
        <w:rPr>
          <w:lang w:eastAsia="ja-JP"/>
        </w:rPr>
        <w:t xml:space="preserve"> but</w:t>
      </w:r>
      <w:r w:rsidRPr="00B03645">
        <w:rPr>
          <w:lang w:eastAsia="ja-JP"/>
        </w:rPr>
        <w:t xml:space="preserve"> instead the immunogenicity data derived is used as a </w:t>
      </w:r>
      <w:r w:rsidRPr="0036510E">
        <w:rPr>
          <w:lang w:eastAsia="ja-JP"/>
        </w:rPr>
        <w:t>surrogate</w:t>
      </w:r>
      <w:r w:rsidRPr="00B03645">
        <w:rPr>
          <w:lang w:eastAsia="ja-JP"/>
        </w:rPr>
        <w:t xml:space="preserve"> for clinical efficacy. This is a standard approach in influenza vaccine studies. In addition, the studies </w:t>
      </w:r>
      <w:r w:rsidRPr="00170AC6">
        <w:t>described in Section 7.</w:t>
      </w:r>
      <w:r w:rsidR="009D420A">
        <w:t>2</w:t>
      </w:r>
      <w:r w:rsidR="00170AC6">
        <w:t xml:space="preserve"> </w:t>
      </w:r>
      <w:r w:rsidRPr="00B03645">
        <w:rPr>
          <w:lang w:eastAsia="ja-JP"/>
        </w:rPr>
        <w:t xml:space="preserve">are </w:t>
      </w:r>
      <w:r w:rsidR="00C564A6">
        <w:rPr>
          <w:lang w:eastAsia="ja-JP"/>
        </w:rPr>
        <w:t xml:space="preserve">prior </w:t>
      </w:r>
      <w:r w:rsidRPr="00B03645">
        <w:rPr>
          <w:lang w:eastAsia="ja-JP"/>
        </w:rPr>
        <w:t>studies alrea</w:t>
      </w:r>
      <w:r w:rsidR="0036510E">
        <w:rPr>
          <w:lang w:eastAsia="ja-JP"/>
        </w:rPr>
        <w:t xml:space="preserve">dy reviewed by the TGA </w:t>
      </w:r>
      <w:r w:rsidR="00C564A6">
        <w:rPr>
          <w:lang w:eastAsia="ja-JP"/>
        </w:rPr>
        <w:t xml:space="preserve">which </w:t>
      </w:r>
      <w:r w:rsidRPr="00B03645">
        <w:rPr>
          <w:lang w:eastAsia="ja-JP"/>
        </w:rPr>
        <w:t>demonstrate clinical lot-to-lot consistency and efficacy</w:t>
      </w:r>
      <w:r w:rsidR="00C564A6">
        <w:rPr>
          <w:lang w:eastAsia="ja-JP"/>
        </w:rPr>
        <w:t xml:space="preserve"> of Seqirus TIV</w:t>
      </w:r>
      <w:r w:rsidRPr="00B03645">
        <w:rPr>
          <w:lang w:eastAsia="ja-JP"/>
        </w:rPr>
        <w:t xml:space="preserve"> </w:t>
      </w:r>
      <w:r w:rsidR="00C564A6">
        <w:rPr>
          <w:lang w:eastAsia="ja-JP"/>
        </w:rPr>
        <w:t>and the immunogenicity study</w:t>
      </w:r>
      <w:r w:rsidRPr="00B03645">
        <w:rPr>
          <w:lang w:eastAsia="ja-JP"/>
        </w:rPr>
        <w:t xml:space="preserve"> comparing QIV to </w:t>
      </w:r>
      <w:r w:rsidR="00C564A6">
        <w:rPr>
          <w:lang w:eastAsia="ja-JP"/>
        </w:rPr>
        <w:t>two</w:t>
      </w:r>
      <w:r w:rsidRPr="00B03645">
        <w:rPr>
          <w:lang w:eastAsia="ja-JP"/>
        </w:rPr>
        <w:t xml:space="preserve"> TIV</w:t>
      </w:r>
      <w:r w:rsidR="00C564A6">
        <w:rPr>
          <w:lang w:eastAsia="ja-JP"/>
        </w:rPr>
        <w:t xml:space="preserve"> comparator</w:t>
      </w:r>
      <w:r w:rsidRPr="00B03645">
        <w:rPr>
          <w:lang w:eastAsia="ja-JP"/>
        </w:rPr>
        <w:t>s. An abridged review of both is provided below as relevant only to this application.</w:t>
      </w:r>
    </w:p>
    <w:p w14:paraId="23440FF4" w14:textId="49323D03" w:rsidR="00B03645" w:rsidRPr="0036510E" w:rsidRDefault="00B03645" w:rsidP="00B03645">
      <w:pPr>
        <w:rPr>
          <w:lang w:eastAsia="ja-JP"/>
        </w:rPr>
      </w:pPr>
      <w:r w:rsidRPr="00B03645">
        <w:rPr>
          <w:lang w:eastAsia="ja-JP"/>
        </w:rPr>
        <w:t>Standard definitions of ‘immunogenicity’ of the vaccine in infl</w:t>
      </w:r>
      <w:r w:rsidR="0036510E">
        <w:rPr>
          <w:lang w:eastAsia="ja-JP"/>
        </w:rPr>
        <w:t xml:space="preserve">uenza vaccine studies were used and </w:t>
      </w:r>
      <w:r w:rsidR="0036510E">
        <w:rPr>
          <w:iCs/>
          <w:lang w:eastAsia="ja-JP"/>
        </w:rPr>
        <w:t>a</w:t>
      </w:r>
      <w:r w:rsidRPr="00B03645">
        <w:rPr>
          <w:iCs/>
          <w:lang w:eastAsia="ja-JP"/>
        </w:rPr>
        <w:t>nti-HA antibody titres were measured</w:t>
      </w:r>
      <w:r w:rsidR="0036510E">
        <w:rPr>
          <w:iCs/>
          <w:lang w:eastAsia="ja-JP"/>
        </w:rPr>
        <w:t xml:space="preserve"> against the 4 vaccine strains:</w:t>
      </w:r>
    </w:p>
    <w:p w14:paraId="0524CA01" w14:textId="0F427A2C" w:rsidR="00B03645" w:rsidRPr="00B03645" w:rsidRDefault="00B03645" w:rsidP="0036510E">
      <w:pPr>
        <w:pStyle w:val="ListBullet"/>
        <w:rPr>
          <w:lang w:eastAsia="ja-JP"/>
        </w:rPr>
      </w:pPr>
      <w:r w:rsidRPr="00B03645">
        <w:rPr>
          <w:lang w:eastAsia="ja-JP"/>
        </w:rPr>
        <w:t>Subjects with titres below the detection limit (1:1</w:t>
      </w:r>
      <w:r w:rsidR="0036510E">
        <w:rPr>
          <w:lang w:eastAsia="ja-JP"/>
        </w:rPr>
        <w:t>0) are considered seronegative;</w:t>
      </w:r>
    </w:p>
    <w:p w14:paraId="6F662AFA" w14:textId="59F689F3" w:rsidR="00B03645" w:rsidRPr="00B03645" w:rsidRDefault="00B03645" w:rsidP="0036510E">
      <w:pPr>
        <w:pStyle w:val="ListBullet"/>
        <w:rPr>
          <w:lang w:eastAsia="ja-JP"/>
        </w:rPr>
      </w:pPr>
      <w:r w:rsidRPr="00B03645">
        <w:rPr>
          <w:lang w:eastAsia="ja-JP"/>
        </w:rPr>
        <w:t>Subjects with a demonstrable titre (</w:t>
      </w:r>
      <w:r w:rsidR="00E936A1">
        <w:rPr>
          <w:lang w:eastAsia="ja-JP"/>
        </w:rPr>
        <w:t xml:space="preserve">≥ </w:t>
      </w:r>
      <w:r w:rsidRPr="00B03645">
        <w:rPr>
          <w:lang w:eastAsia="ja-JP"/>
        </w:rPr>
        <w:t>1:10) after vaccinati</w:t>
      </w:r>
      <w:r w:rsidR="0036510E">
        <w:rPr>
          <w:lang w:eastAsia="ja-JP"/>
        </w:rPr>
        <w:t>on are considered seropositive;</w:t>
      </w:r>
    </w:p>
    <w:p w14:paraId="3D8BB5E0" w14:textId="286C7995" w:rsidR="00B03645" w:rsidRPr="00B03645" w:rsidRDefault="00B03645" w:rsidP="0036510E">
      <w:pPr>
        <w:pStyle w:val="ListBullet"/>
        <w:rPr>
          <w:lang w:eastAsia="ja-JP"/>
        </w:rPr>
      </w:pPr>
      <w:r w:rsidRPr="00B03645">
        <w:rPr>
          <w:lang w:eastAsia="ja-JP"/>
        </w:rPr>
        <w:t xml:space="preserve">Titre </w:t>
      </w:r>
      <w:r w:rsidR="00E936A1">
        <w:rPr>
          <w:lang w:eastAsia="ja-JP"/>
        </w:rPr>
        <w:t xml:space="preserve">≥ </w:t>
      </w:r>
      <w:r w:rsidRPr="00B03645">
        <w:rPr>
          <w:lang w:eastAsia="ja-JP"/>
        </w:rPr>
        <w:t>1:40 considered a titre correlating with protection against influenza disease (‘seroprotection level’);</w:t>
      </w:r>
    </w:p>
    <w:p w14:paraId="33CD325C" w14:textId="453C22E6" w:rsidR="00B03645" w:rsidRPr="00B03645" w:rsidRDefault="00B03645" w:rsidP="0036510E">
      <w:pPr>
        <w:pStyle w:val="ListBullet"/>
        <w:rPr>
          <w:lang w:eastAsia="ja-JP"/>
        </w:rPr>
      </w:pPr>
      <w:r w:rsidRPr="00B03645">
        <w:rPr>
          <w:lang w:eastAsia="ja-JP"/>
        </w:rPr>
        <w:t xml:space="preserve">Seroprotection rate (SPR) = proportion of subjects with HAI titre </w:t>
      </w:r>
      <w:r w:rsidR="00E936A1">
        <w:rPr>
          <w:lang w:eastAsia="ja-JP"/>
        </w:rPr>
        <w:t xml:space="preserve">≥ </w:t>
      </w:r>
      <w:r w:rsidRPr="00B03645">
        <w:rPr>
          <w:lang w:eastAsia="ja-JP"/>
        </w:rPr>
        <w:t>1:40;</w:t>
      </w:r>
    </w:p>
    <w:p w14:paraId="1B938D16" w14:textId="13F9EE9A" w:rsidR="00C564A6" w:rsidRDefault="00C564A6" w:rsidP="00684D54">
      <w:pPr>
        <w:pStyle w:val="ListBullet"/>
        <w:rPr>
          <w:lang w:eastAsia="ja-JP"/>
        </w:rPr>
      </w:pPr>
      <w:r>
        <w:rPr>
          <w:lang w:eastAsia="ja-JP"/>
        </w:rPr>
        <w:t>Seroconversion rate (SCR) = proportion of subjects with either a pre</w:t>
      </w:r>
      <w:r w:rsidR="00C512A4">
        <w:rPr>
          <w:lang w:eastAsia="ja-JP"/>
        </w:rPr>
        <w:t xml:space="preserve"> </w:t>
      </w:r>
      <w:r>
        <w:rPr>
          <w:lang w:eastAsia="ja-JP"/>
        </w:rPr>
        <w:t>vaccin</w:t>
      </w:r>
      <w:r w:rsidR="00C512A4">
        <w:rPr>
          <w:lang w:eastAsia="ja-JP"/>
        </w:rPr>
        <w:t>a</w:t>
      </w:r>
      <w:r>
        <w:rPr>
          <w:lang w:eastAsia="ja-JP"/>
        </w:rPr>
        <w:t>tion HI titre &lt; 1:10 and a post</w:t>
      </w:r>
      <w:r w:rsidR="00C512A4">
        <w:rPr>
          <w:lang w:eastAsia="ja-JP"/>
        </w:rPr>
        <w:t xml:space="preserve"> </w:t>
      </w:r>
      <w:r>
        <w:rPr>
          <w:lang w:eastAsia="ja-JP"/>
        </w:rPr>
        <w:t xml:space="preserve">vaccination titre </w:t>
      </w:r>
      <w:r>
        <w:rPr>
          <w:rFonts w:ascii="Calibri" w:hAnsi="Calibri" w:cs="Calibri"/>
          <w:lang w:eastAsia="ja-JP"/>
        </w:rPr>
        <w:t>≥</w:t>
      </w:r>
      <w:r>
        <w:rPr>
          <w:lang w:eastAsia="ja-JP"/>
        </w:rPr>
        <w:t xml:space="preserve"> 1:40 or a pre</w:t>
      </w:r>
      <w:r w:rsidR="00C512A4">
        <w:rPr>
          <w:lang w:eastAsia="ja-JP"/>
        </w:rPr>
        <w:t xml:space="preserve"> </w:t>
      </w:r>
      <w:r>
        <w:rPr>
          <w:lang w:eastAsia="ja-JP"/>
        </w:rPr>
        <w:t xml:space="preserve">vaccination HI titre </w:t>
      </w:r>
      <w:r>
        <w:rPr>
          <w:rFonts w:ascii="Calibri" w:hAnsi="Calibri" w:cs="Calibri"/>
          <w:lang w:eastAsia="ja-JP"/>
        </w:rPr>
        <w:t>≥</w:t>
      </w:r>
      <w:r>
        <w:rPr>
          <w:lang w:eastAsia="ja-JP"/>
        </w:rPr>
        <w:t xml:space="preserve"> 1:10 and a </w:t>
      </w:r>
      <w:r>
        <w:rPr>
          <w:rFonts w:ascii="Calibri" w:hAnsi="Calibri" w:cs="Calibri"/>
          <w:lang w:eastAsia="ja-JP"/>
        </w:rPr>
        <w:t>≥</w:t>
      </w:r>
      <w:r>
        <w:rPr>
          <w:lang w:eastAsia="ja-JP"/>
        </w:rPr>
        <w:t xml:space="preserve"> 4-fold increase in post</w:t>
      </w:r>
      <w:r w:rsidR="00C512A4">
        <w:rPr>
          <w:lang w:eastAsia="ja-JP"/>
        </w:rPr>
        <w:t xml:space="preserve"> </w:t>
      </w:r>
      <w:r>
        <w:rPr>
          <w:lang w:eastAsia="ja-JP"/>
        </w:rPr>
        <w:t>vaccination HI titre.</w:t>
      </w:r>
    </w:p>
    <w:p w14:paraId="35C82FF3" w14:textId="27D6ED68" w:rsidR="00684D54" w:rsidRDefault="00C564A6" w:rsidP="00684D54">
      <w:pPr>
        <w:pStyle w:val="ListBullet"/>
        <w:rPr>
          <w:lang w:eastAsia="ja-JP"/>
        </w:rPr>
      </w:pPr>
      <w:r>
        <w:rPr>
          <w:lang w:eastAsia="ja-JP"/>
        </w:rPr>
        <w:t>Geometric mean fold increase</w:t>
      </w:r>
      <w:r w:rsidR="00B03645" w:rsidRPr="00B03645">
        <w:rPr>
          <w:lang w:eastAsia="ja-JP"/>
        </w:rPr>
        <w:t xml:space="preserve"> = the fold increase in serum HAI GMTs post-vaccination v</w:t>
      </w:r>
      <w:r w:rsidR="0036510E">
        <w:rPr>
          <w:lang w:eastAsia="ja-JP"/>
        </w:rPr>
        <w:t>ersus</w:t>
      </w:r>
      <w:r w:rsidR="00B03645" w:rsidRPr="00B03645">
        <w:rPr>
          <w:lang w:eastAsia="ja-JP"/>
        </w:rPr>
        <w:t xml:space="preserve"> </w:t>
      </w:r>
      <w:r w:rsidR="003C7CC9">
        <w:rPr>
          <w:lang w:eastAsia="ja-JP"/>
        </w:rPr>
        <w:t>pre-vaccination</w:t>
      </w:r>
      <w:r w:rsidR="00B03645" w:rsidRPr="00B03645">
        <w:rPr>
          <w:lang w:eastAsia="ja-JP"/>
        </w:rPr>
        <w:t>.</w:t>
      </w:r>
    </w:p>
    <w:p w14:paraId="4379C520" w14:textId="318C2CE0" w:rsidR="00F21167" w:rsidRPr="00684D54" w:rsidRDefault="00F21167" w:rsidP="00F21167">
      <w:pPr>
        <w:pStyle w:val="Heading3"/>
      </w:pPr>
      <w:bookmarkStart w:id="41" w:name="_Toc490579721"/>
      <w:r>
        <w:t>Pivotal efficacy study</w:t>
      </w:r>
      <w:bookmarkEnd w:id="41"/>
    </w:p>
    <w:p w14:paraId="3780C14D" w14:textId="3FA07EF4" w:rsidR="00B03645" w:rsidRPr="00B03645" w:rsidRDefault="00B03645" w:rsidP="00F21167">
      <w:pPr>
        <w:pStyle w:val="Heading4"/>
      </w:pPr>
      <w:r w:rsidRPr="00B03645">
        <w:t>Validation of HAI assays used in the</w:t>
      </w:r>
      <w:r w:rsidR="00684D54">
        <w:t xml:space="preserve"> pivotal efficacy study for QIV</w:t>
      </w:r>
    </w:p>
    <w:p w14:paraId="63C4C9F9" w14:textId="02EC66E4" w:rsidR="00684D54" w:rsidRDefault="00B03645" w:rsidP="00B03645">
      <w:pPr>
        <w:pStyle w:val="Numberbullet0"/>
        <w:rPr>
          <w:lang w:eastAsia="ja-JP"/>
        </w:rPr>
      </w:pPr>
      <w:r w:rsidRPr="00B03645">
        <w:rPr>
          <w:lang w:eastAsia="ja-JP"/>
        </w:rPr>
        <w:t>The evaluation of  the</w:t>
      </w:r>
      <w:r w:rsidR="00F21167">
        <w:rPr>
          <w:lang w:eastAsia="ja-JP"/>
        </w:rPr>
        <w:t xml:space="preserve"> quantitative assay of neutralis</w:t>
      </w:r>
      <w:r w:rsidRPr="00B03645">
        <w:rPr>
          <w:lang w:eastAsia="ja-JP"/>
        </w:rPr>
        <w:t>ing antibody to influenza</w:t>
      </w:r>
      <w:r w:rsidR="0036510E">
        <w:rPr>
          <w:lang w:eastAsia="ja-JP"/>
        </w:rPr>
        <w:t xml:space="preserve"> </w:t>
      </w:r>
      <w:r w:rsidRPr="00B03645">
        <w:rPr>
          <w:lang w:eastAsia="ja-JP"/>
        </w:rPr>
        <w:t>virus A and B</w:t>
      </w:r>
      <w:r w:rsidR="00C35289">
        <w:rPr>
          <w:lang w:eastAsia="ja-JP"/>
        </w:rPr>
        <w:t>,</w:t>
      </w:r>
      <w:r w:rsidR="00C35289" w:rsidRPr="00C35289">
        <w:rPr>
          <w:lang w:eastAsia="ja-JP"/>
        </w:rPr>
        <w:t xml:space="preserve"> </w:t>
      </w:r>
      <w:r w:rsidR="00C35289" w:rsidRPr="00B03645">
        <w:rPr>
          <w:lang w:eastAsia="ja-JP"/>
        </w:rPr>
        <w:t>based upon the WHO protocol</w:t>
      </w:r>
      <w:r w:rsidR="00C35289">
        <w:rPr>
          <w:lang w:eastAsia="ja-JP"/>
        </w:rPr>
        <w:t xml:space="preserve"> </w:t>
      </w:r>
      <w:r w:rsidR="00C35289" w:rsidRPr="00B03645">
        <w:rPr>
          <w:lang w:eastAsia="ja-JP"/>
        </w:rPr>
        <w:t>(WHO/CDS/CSR/NCS/2002.5)</w:t>
      </w:r>
      <w:r w:rsidR="00C35289">
        <w:rPr>
          <w:lang w:eastAsia="ja-JP"/>
        </w:rPr>
        <w:t>,</w:t>
      </w:r>
      <w:r w:rsidR="00B7038C">
        <w:rPr>
          <w:lang w:eastAsia="ja-JP"/>
        </w:rPr>
        <w:t xml:space="preserve"> </w:t>
      </w:r>
      <w:r w:rsidRPr="00B03645">
        <w:rPr>
          <w:lang w:eastAsia="ja-JP"/>
        </w:rPr>
        <w:t xml:space="preserve">using the HAI test was performed successfully for the </w:t>
      </w:r>
      <w:r w:rsidRPr="00684D54">
        <w:rPr>
          <w:lang w:eastAsia="ja-JP"/>
        </w:rPr>
        <w:t>A/California</w:t>
      </w:r>
      <w:r w:rsidRPr="00B03645">
        <w:rPr>
          <w:lang w:eastAsia="ja-JP"/>
        </w:rPr>
        <w:t>/7/2009 X-179A (H1N1)</w:t>
      </w:r>
      <w:r w:rsidR="00C35289">
        <w:rPr>
          <w:lang w:eastAsia="ja-JP"/>
        </w:rPr>
        <w:t xml:space="preserve"> </w:t>
      </w:r>
      <w:r w:rsidRPr="00B03645">
        <w:rPr>
          <w:lang w:eastAsia="ja-JP"/>
        </w:rPr>
        <w:t xml:space="preserve"> influenza antigen provided by </w:t>
      </w:r>
      <w:r w:rsidR="00F377F3">
        <w:rPr>
          <w:lang w:eastAsia="ja-JP"/>
        </w:rPr>
        <w:t>Seqirus</w:t>
      </w:r>
      <w:r w:rsidRPr="00B03645">
        <w:rPr>
          <w:lang w:eastAsia="ja-JP"/>
        </w:rPr>
        <w:t>. Analysis of the validation data indicate that the HAI assay is accurate, specific, sensitive, precise and linear throughout the range of the HAI assay</w:t>
      </w:r>
      <w:r w:rsidR="00B7038C">
        <w:rPr>
          <w:lang w:eastAsia="ja-JP"/>
        </w:rPr>
        <w:t>.</w:t>
      </w:r>
      <w:r w:rsidRPr="00B03645">
        <w:rPr>
          <w:lang w:eastAsia="ja-JP"/>
        </w:rPr>
        <w:t xml:space="preserve"> This HAI assay for A/California/7/2009 (H1N1) influenza antigen </w:t>
      </w:r>
      <w:r w:rsidR="00C35289">
        <w:rPr>
          <w:lang w:eastAsia="ja-JP"/>
        </w:rPr>
        <w:t>was</w:t>
      </w:r>
      <w:r w:rsidRPr="00B03645">
        <w:rPr>
          <w:lang w:eastAsia="ja-JP"/>
        </w:rPr>
        <w:t xml:space="preserve"> found to meet the necessary requirements for use</w:t>
      </w:r>
      <w:r w:rsidR="00B7038C">
        <w:rPr>
          <w:lang w:eastAsia="ja-JP"/>
        </w:rPr>
        <w:t xml:space="preserve"> </w:t>
      </w:r>
      <w:r w:rsidRPr="00B03645">
        <w:rPr>
          <w:lang w:eastAsia="ja-JP"/>
        </w:rPr>
        <w:t>and is capable of producing reliable res</w:t>
      </w:r>
      <w:r w:rsidR="00684D54">
        <w:rPr>
          <w:lang w:eastAsia="ja-JP"/>
        </w:rPr>
        <w:t>ults with acceptable precision.</w:t>
      </w:r>
    </w:p>
    <w:p w14:paraId="75CB293F" w14:textId="62C2F1EF" w:rsidR="00684D54" w:rsidRDefault="00B03645" w:rsidP="00B03645">
      <w:pPr>
        <w:pStyle w:val="Numberbullet0"/>
        <w:rPr>
          <w:lang w:eastAsia="ja-JP"/>
        </w:rPr>
      </w:pPr>
      <w:r w:rsidRPr="00B03645">
        <w:rPr>
          <w:lang w:eastAsia="ja-JP"/>
        </w:rPr>
        <w:t>The evaluation of the</w:t>
      </w:r>
      <w:r w:rsidR="00684D54">
        <w:rPr>
          <w:lang w:eastAsia="ja-JP"/>
        </w:rPr>
        <w:t xml:space="preserve"> quantitative assay of neutralis</w:t>
      </w:r>
      <w:r w:rsidRPr="00B03645">
        <w:rPr>
          <w:lang w:eastAsia="ja-JP"/>
        </w:rPr>
        <w:t>ing</w:t>
      </w:r>
      <w:r w:rsidR="00684D54">
        <w:rPr>
          <w:lang w:eastAsia="ja-JP"/>
        </w:rPr>
        <w:t xml:space="preserve"> </w:t>
      </w:r>
      <w:r w:rsidRPr="00B03645">
        <w:rPr>
          <w:lang w:eastAsia="ja-JP"/>
        </w:rPr>
        <w:t xml:space="preserve">antibody to influenza virus A and B using the HAI test was performed successfully for the egg derived A/Texas/50/2012 </w:t>
      </w:r>
      <w:r w:rsidRPr="00B03645">
        <w:rPr>
          <w:lang w:eastAsia="ja-JP"/>
        </w:rPr>
        <w:lastRenderedPageBreak/>
        <w:t xml:space="preserve">(H3N2) NYMC X-223 influenza antigen, an </w:t>
      </w:r>
      <w:r w:rsidRPr="00684D54">
        <w:rPr>
          <w:lang w:eastAsia="ja-JP"/>
        </w:rPr>
        <w:t>A/Victoria</w:t>
      </w:r>
      <w:r w:rsidRPr="00B03645">
        <w:rPr>
          <w:lang w:eastAsia="ja-JP"/>
        </w:rPr>
        <w:t xml:space="preserve">/361/2011 (H3N2)-like strain, provided by </w:t>
      </w:r>
      <w:r w:rsidR="00F377F3">
        <w:rPr>
          <w:lang w:eastAsia="ja-JP"/>
        </w:rPr>
        <w:t>Seqirus</w:t>
      </w:r>
      <w:r w:rsidRPr="00B03645">
        <w:rPr>
          <w:lang w:eastAsia="ja-JP"/>
        </w:rPr>
        <w:t>. Analysis of the validation data indicate that the HAI assay is accurate, specific, sensitive, precise and linear throughout the range of the HAI assay The negative reference antiserum  must be negative (GMT &lt;</w:t>
      </w:r>
      <w:r w:rsidR="00684D54">
        <w:rPr>
          <w:lang w:eastAsia="ja-JP"/>
        </w:rPr>
        <w:t xml:space="preserve"> </w:t>
      </w:r>
      <w:r w:rsidRPr="00B03645">
        <w:rPr>
          <w:lang w:eastAsia="ja-JP"/>
        </w:rPr>
        <w:t>10). This assay for A/Texas/50/2012 (H3N2) influenza antigen has been found to meet the acceptance criteria and is capable of producing reliable results with acceptable precision.</w:t>
      </w:r>
    </w:p>
    <w:p w14:paraId="07CE8BB1" w14:textId="57E45C5C" w:rsidR="006926BA" w:rsidRDefault="00B03645" w:rsidP="00B03645">
      <w:pPr>
        <w:pStyle w:val="Numberbullet0"/>
        <w:rPr>
          <w:lang w:eastAsia="ja-JP"/>
        </w:rPr>
      </w:pPr>
      <w:r w:rsidRPr="00B03645">
        <w:rPr>
          <w:lang w:eastAsia="ja-JP"/>
        </w:rPr>
        <w:t>The evaluation of, the</w:t>
      </w:r>
      <w:r w:rsidR="00684D54">
        <w:rPr>
          <w:lang w:eastAsia="ja-JP"/>
        </w:rPr>
        <w:t xml:space="preserve"> quantitative assay of neutralis</w:t>
      </w:r>
      <w:r w:rsidRPr="00B03645">
        <w:rPr>
          <w:lang w:eastAsia="ja-JP"/>
        </w:rPr>
        <w:t>ing antibody to influenza</w:t>
      </w:r>
      <w:r w:rsidR="00684D54">
        <w:rPr>
          <w:lang w:eastAsia="ja-JP"/>
        </w:rPr>
        <w:t xml:space="preserve"> </w:t>
      </w:r>
      <w:r w:rsidRPr="00B03645">
        <w:rPr>
          <w:lang w:eastAsia="ja-JP"/>
        </w:rPr>
        <w:t>virus A and B using the HAI test</w:t>
      </w:r>
      <w:r w:rsidR="00C35289" w:rsidRPr="00C35289">
        <w:rPr>
          <w:lang w:eastAsia="ja-JP"/>
        </w:rPr>
        <w:t xml:space="preserve"> </w:t>
      </w:r>
      <w:r w:rsidR="00C35289" w:rsidRPr="00B03645">
        <w:rPr>
          <w:lang w:eastAsia="ja-JP"/>
        </w:rPr>
        <w:t>based upon the WHO protocol</w:t>
      </w:r>
      <w:r w:rsidR="00C35289">
        <w:rPr>
          <w:lang w:eastAsia="ja-JP"/>
        </w:rPr>
        <w:t xml:space="preserve"> </w:t>
      </w:r>
      <w:r w:rsidR="00C35289" w:rsidRPr="00B03645">
        <w:rPr>
          <w:lang w:eastAsia="ja-JP"/>
        </w:rPr>
        <w:t xml:space="preserve">(WHO/CDS/SCR/NCS/2002.5) </w:t>
      </w:r>
      <w:r w:rsidRPr="00B03645">
        <w:rPr>
          <w:lang w:eastAsia="ja-JP"/>
        </w:rPr>
        <w:t xml:space="preserve">was performed successfully for the </w:t>
      </w:r>
      <w:r w:rsidRPr="00684D54">
        <w:rPr>
          <w:lang w:eastAsia="ja-JP"/>
        </w:rPr>
        <w:t>B/Brisbane</w:t>
      </w:r>
      <w:r w:rsidRPr="00B03645">
        <w:rPr>
          <w:lang w:eastAsia="ja-JP"/>
        </w:rPr>
        <w:t xml:space="preserve">/60/2008 influenza antigen provided by </w:t>
      </w:r>
      <w:r w:rsidR="00F377F3">
        <w:rPr>
          <w:lang w:eastAsia="ja-JP"/>
        </w:rPr>
        <w:t>Seqirus</w:t>
      </w:r>
      <w:r w:rsidRPr="00B03645">
        <w:rPr>
          <w:lang w:eastAsia="ja-JP"/>
        </w:rPr>
        <w:t>. Analysis of the validation data indicate</w:t>
      </w:r>
      <w:r w:rsidR="009C5505">
        <w:rPr>
          <w:lang w:eastAsia="ja-JP"/>
        </w:rPr>
        <w:t>s</w:t>
      </w:r>
      <w:r w:rsidRPr="00B03645">
        <w:rPr>
          <w:lang w:eastAsia="ja-JP"/>
        </w:rPr>
        <w:t xml:space="preserve"> that the assay is accurate, specific, sensitive, precise and linear throughout the range of the HAI assay for B/Brisbane/60/2008 influenza antigen. This assay for B/Brisbane/60/2008 influenza antigen has been found to meet the necessary requirements fo</w:t>
      </w:r>
      <w:r w:rsidR="00E80F19">
        <w:rPr>
          <w:lang w:eastAsia="ja-JP"/>
        </w:rPr>
        <w:t xml:space="preserve">r </w:t>
      </w:r>
      <w:r w:rsidRPr="00B03645">
        <w:rPr>
          <w:lang w:eastAsia="ja-JP"/>
        </w:rPr>
        <w:t>and is capable of producing reliable results with acceptable precision.</w:t>
      </w:r>
    </w:p>
    <w:p w14:paraId="6F232A42" w14:textId="0A13752B" w:rsidR="00B03645" w:rsidRPr="00B03645" w:rsidRDefault="00B7038C" w:rsidP="00B03645">
      <w:pPr>
        <w:pStyle w:val="Numberbullet0"/>
        <w:rPr>
          <w:lang w:eastAsia="ja-JP"/>
        </w:rPr>
      </w:pPr>
      <w:r>
        <w:rPr>
          <w:lang w:eastAsia="ja-JP"/>
        </w:rPr>
        <w:t xml:space="preserve">The evaluation of </w:t>
      </w:r>
      <w:r w:rsidR="00B03645" w:rsidRPr="00B03645">
        <w:rPr>
          <w:lang w:eastAsia="ja-JP"/>
        </w:rPr>
        <w:t>the</w:t>
      </w:r>
      <w:r w:rsidR="00684D54">
        <w:rPr>
          <w:lang w:eastAsia="ja-JP"/>
        </w:rPr>
        <w:t xml:space="preserve"> quantitative assay of neutralis</w:t>
      </w:r>
      <w:r w:rsidR="00B03645" w:rsidRPr="00B03645">
        <w:rPr>
          <w:lang w:eastAsia="ja-JP"/>
        </w:rPr>
        <w:t>ing</w:t>
      </w:r>
      <w:r w:rsidR="006926BA">
        <w:rPr>
          <w:lang w:eastAsia="ja-JP"/>
        </w:rPr>
        <w:t xml:space="preserve"> </w:t>
      </w:r>
      <w:r w:rsidR="00B03645" w:rsidRPr="00B03645">
        <w:rPr>
          <w:lang w:eastAsia="ja-JP"/>
        </w:rPr>
        <w:t xml:space="preserve">antibody to influenza virus A and B using the HAI test was performed successfully for the egg derived </w:t>
      </w:r>
      <w:r w:rsidR="00B03645" w:rsidRPr="006926BA">
        <w:rPr>
          <w:lang w:eastAsia="ja-JP"/>
        </w:rPr>
        <w:t>B/Massachusetts</w:t>
      </w:r>
      <w:r w:rsidR="00B03645" w:rsidRPr="00B03645">
        <w:rPr>
          <w:lang w:eastAsia="ja-JP"/>
        </w:rPr>
        <w:t xml:space="preserve">/2/2012 NYMC BX-51B influenza antigen provided by </w:t>
      </w:r>
      <w:r w:rsidR="00F377F3">
        <w:rPr>
          <w:lang w:eastAsia="ja-JP"/>
        </w:rPr>
        <w:t>Seqirus</w:t>
      </w:r>
      <w:r w:rsidR="00B03645" w:rsidRPr="00B03645">
        <w:rPr>
          <w:lang w:eastAsia="ja-JP"/>
        </w:rPr>
        <w:t>. Analysis of the validation data indicate that the HAI assay is accurate, specific, sensitive, precise and linear throughout the range of the HAI assay. The negative reference antiserum must be negative (GMT &lt;10). This assay for B/Massachusetts/2/2012 influenza antigen has been found to meet the acceptance criteria and is capable of producing reliable res</w:t>
      </w:r>
      <w:r w:rsidR="006926BA">
        <w:rPr>
          <w:lang w:eastAsia="ja-JP"/>
        </w:rPr>
        <w:t>ults with acceptable precision.</w:t>
      </w:r>
    </w:p>
    <w:p w14:paraId="2A59EAE3" w14:textId="77777777" w:rsidR="006926BA" w:rsidRDefault="006926BA" w:rsidP="006926BA">
      <w:pPr>
        <w:pStyle w:val="Heading4"/>
      </w:pPr>
      <w:bookmarkStart w:id="42" w:name="_Toc448702502"/>
      <w:r>
        <w:t>Study CSLCT-QIV-13-01</w:t>
      </w:r>
    </w:p>
    <w:p w14:paraId="6747BF8B" w14:textId="27A2717F" w:rsidR="00B03645" w:rsidRPr="006926BA" w:rsidRDefault="006926BA" w:rsidP="006926BA">
      <w:pPr>
        <w:ind w:left="720"/>
        <w:rPr>
          <w:i/>
        </w:rPr>
      </w:pPr>
      <w:r w:rsidRPr="006926BA">
        <w:rPr>
          <w:i/>
        </w:rPr>
        <w:t>‘</w:t>
      </w:r>
      <w:r w:rsidR="00B03645" w:rsidRPr="006926BA">
        <w:rPr>
          <w:i/>
        </w:rPr>
        <w:t>A Phase 3, randomised, multicentre, double-blinded study to evaluate the immunogenicity and safety of quadrivalent influenza vaccine (CSL QIV) in comparison with a US licensed 2014-15 trivalent influenza vaccine (CSL TIV-1), and a trivalent influenza vaccine containing the alternate B strain (CSL TIV-2), in adults aged 18 y</w:t>
      </w:r>
      <w:r w:rsidRPr="006926BA">
        <w:rPr>
          <w:i/>
        </w:rPr>
        <w:t>ea</w:t>
      </w:r>
      <w:r w:rsidR="00B03645" w:rsidRPr="006926BA">
        <w:rPr>
          <w:i/>
        </w:rPr>
        <w:t>rs and above.</w:t>
      </w:r>
      <w:bookmarkEnd w:id="42"/>
      <w:r w:rsidRPr="006926BA">
        <w:rPr>
          <w:i/>
        </w:rPr>
        <w:t>’</w:t>
      </w:r>
    </w:p>
    <w:p w14:paraId="468C14B5" w14:textId="77777777" w:rsidR="00B03645" w:rsidRPr="00B03645" w:rsidRDefault="00B03645" w:rsidP="006926BA">
      <w:pPr>
        <w:pStyle w:val="Heading5"/>
        <w:rPr>
          <w:lang w:eastAsia="ja-JP"/>
        </w:rPr>
      </w:pPr>
      <w:r w:rsidRPr="00B03645">
        <w:rPr>
          <w:lang w:eastAsia="ja-JP"/>
        </w:rPr>
        <w:t>Study design, objectives, locations and dates</w:t>
      </w:r>
    </w:p>
    <w:p w14:paraId="37F78958" w14:textId="77777777" w:rsidR="006926BA" w:rsidRDefault="00B03645" w:rsidP="006926BA">
      <w:pPr>
        <w:pStyle w:val="Heading6"/>
        <w:rPr>
          <w:b/>
          <w:lang w:eastAsia="ja-JP"/>
        </w:rPr>
      </w:pPr>
      <w:r w:rsidRPr="006926BA">
        <w:rPr>
          <w:lang w:eastAsia="ja-JP"/>
        </w:rPr>
        <w:t>Design</w:t>
      </w:r>
    </w:p>
    <w:p w14:paraId="49DF7A59" w14:textId="0CC0C0A4" w:rsidR="006926BA" w:rsidRDefault="006926BA" w:rsidP="00B03645">
      <w:pPr>
        <w:rPr>
          <w:lang w:eastAsia="ja-JP"/>
        </w:rPr>
      </w:pPr>
      <w:r>
        <w:rPr>
          <w:lang w:eastAsia="ja-JP"/>
        </w:rPr>
        <w:t>This was a m</w:t>
      </w:r>
      <w:r w:rsidR="00B03645" w:rsidRPr="00B03645">
        <w:rPr>
          <w:lang w:eastAsia="ja-JP"/>
        </w:rPr>
        <w:t>ulticentre, randomised, double-blinded study to evaluate the non-inferior immune</w:t>
      </w:r>
      <w:r>
        <w:rPr>
          <w:lang w:eastAsia="ja-JP"/>
        </w:rPr>
        <w:t xml:space="preserve"> </w:t>
      </w:r>
      <w:r w:rsidR="00B03645" w:rsidRPr="00B03645">
        <w:rPr>
          <w:lang w:eastAsia="ja-JP"/>
        </w:rPr>
        <w:t xml:space="preserve">response of </w:t>
      </w:r>
      <w:r w:rsidR="00C35289" w:rsidRPr="00C35289">
        <w:rPr>
          <w:lang w:eastAsia="ja-JP"/>
        </w:rPr>
        <w:t>Seqirus</w:t>
      </w:r>
      <w:r w:rsidR="00B03645" w:rsidRPr="00B03645">
        <w:rPr>
          <w:lang w:eastAsia="ja-JP"/>
        </w:rPr>
        <w:t xml:space="preserve"> QIV to that of </w:t>
      </w:r>
      <w:r w:rsidR="00C35289">
        <w:rPr>
          <w:lang w:eastAsia="ja-JP"/>
        </w:rPr>
        <w:t xml:space="preserve">Seqirus </w:t>
      </w:r>
      <w:r w:rsidR="00B03645" w:rsidRPr="00B03645">
        <w:rPr>
          <w:lang w:eastAsia="ja-JP"/>
        </w:rPr>
        <w:t xml:space="preserve">TIV-1 and </w:t>
      </w:r>
      <w:r w:rsidR="00C35289" w:rsidRPr="00C35289">
        <w:rPr>
          <w:lang w:eastAsia="ja-JP"/>
        </w:rPr>
        <w:t>Seqirus</w:t>
      </w:r>
      <w:r w:rsidR="00B03645" w:rsidRPr="00B03645">
        <w:rPr>
          <w:lang w:eastAsia="ja-JP"/>
        </w:rPr>
        <w:t xml:space="preserve"> TIV-2 along with safety in adults</w:t>
      </w:r>
      <w:r>
        <w:rPr>
          <w:lang w:eastAsia="ja-JP"/>
        </w:rPr>
        <w:t xml:space="preserve"> </w:t>
      </w:r>
      <w:r w:rsidR="00B03645" w:rsidRPr="00B03645">
        <w:rPr>
          <w:lang w:eastAsia="ja-JP"/>
        </w:rPr>
        <w:t xml:space="preserve">aged </w:t>
      </w:r>
      <w:r w:rsidR="00E936A1">
        <w:rPr>
          <w:lang w:eastAsia="ja-JP"/>
        </w:rPr>
        <w:t xml:space="preserve">≥ </w:t>
      </w:r>
      <w:r w:rsidR="00B03645" w:rsidRPr="00B03645">
        <w:rPr>
          <w:lang w:eastAsia="ja-JP"/>
        </w:rPr>
        <w:t>18 y</w:t>
      </w:r>
      <w:r>
        <w:rPr>
          <w:lang w:eastAsia="ja-JP"/>
        </w:rPr>
        <w:t>ea</w:t>
      </w:r>
      <w:r w:rsidR="00B03645" w:rsidRPr="00B03645">
        <w:rPr>
          <w:lang w:eastAsia="ja-JP"/>
        </w:rPr>
        <w:t>rs. The stud</w:t>
      </w:r>
      <w:r>
        <w:rPr>
          <w:lang w:eastAsia="ja-JP"/>
        </w:rPr>
        <w:t xml:space="preserve">y was conducted during the 2014 to </w:t>
      </w:r>
      <w:r w:rsidR="00B03645" w:rsidRPr="00B03645">
        <w:rPr>
          <w:lang w:eastAsia="ja-JP"/>
        </w:rPr>
        <w:t>2015 Northern Hemisphere influenza immunisation season in healthy male and female adults aged 18 y</w:t>
      </w:r>
      <w:r>
        <w:rPr>
          <w:lang w:eastAsia="ja-JP"/>
        </w:rPr>
        <w:t>ea</w:t>
      </w:r>
      <w:r w:rsidR="00B03645" w:rsidRPr="00B03645">
        <w:rPr>
          <w:lang w:eastAsia="ja-JP"/>
        </w:rPr>
        <w:t>rs and above. Subjects were randomised to one of the three treatme</w:t>
      </w:r>
      <w:r>
        <w:rPr>
          <w:lang w:eastAsia="ja-JP"/>
        </w:rPr>
        <w:t xml:space="preserve">nt groups in a 2:1:1 ratio. The </w:t>
      </w:r>
      <w:r w:rsidR="00B03645" w:rsidRPr="00B03645">
        <w:rPr>
          <w:lang w:eastAsia="ja-JP"/>
        </w:rPr>
        <w:t>randomisation was stratified by age stratum (</w:t>
      </w:r>
      <w:r w:rsidR="00E936A1">
        <w:rPr>
          <w:lang w:eastAsia="ja-JP"/>
        </w:rPr>
        <w:t xml:space="preserve">≥ </w:t>
      </w:r>
      <w:r>
        <w:rPr>
          <w:lang w:eastAsia="ja-JP"/>
        </w:rPr>
        <w:t xml:space="preserve">18 to </w:t>
      </w:r>
      <w:r w:rsidR="00B03645" w:rsidRPr="00B03645">
        <w:rPr>
          <w:lang w:eastAsia="ja-JP"/>
        </w:rPr>
        <w:t>64 y</w:t>
      </w:r>
      <w:r>
        <w:rPr>
          <w:lang w:eastAsia="ja-JP"/>
        </w:rPr>
        <w:t>ea</w:t>
      </w:r>
      <w:r w:rsidR="00B03645" w:rsidRPr="00B03645">
        <w:rPr>
          <w:lang w:eastAsia="ja-JP"/>
        </w:rPr>
        <w:t xml:space="preserve">rs and </w:t>
      </w:r>
      <w:r w:rsidR="00E936A1">
        <w:rPr>
          <w:lang w:eastAsia="ja-JP"/>
        </w:rPr>
        <w:t xml:space="preserve">≥ </w:t>
      </w:r>
      <w:r w:rsidR="00B03645" w:rsidRPr="00B03645">
        <w:rPr>
          <w:lang w:eastAsia="ja-JP"/>
        </w:rPr>
        <w:t>65 y</w:t>
      </w:r>
      <w:r>
        <w:rPr>
          <w:lang w:eastAsia="ja-JP"/>
        </w:rPr>
        <w:t>ea</w:t>
      </w:r>
      <w:r w:rsidR="00B03645" w:rsidRPr="00B03645">
        <w:rPr>
          <w:lang w:eastAsia="ja-JP"/>
        </w:rPr>
        <w:t xml:space="preserve">rs). The stratification by age employed a quota to ensure an equal number of subjects in each age </w:t>
      </w:r>
      <w:r>
        <w:rPr>
          <w:lang w:eastAsia="ja-JP"/>
        </w:rPr>
        <w:t>stratum.</w:t>
      </w:r>
    </w:p>
    <w:p w14:paraId="7A08F509" w14:textId="77777777" w:rsidR="006926BA" w:rsidRDefault="00B03645" w:rsidP="006926BA">
      <w:pPr>
        <w:pStyle w:val="Heading6"/>
        <w:rPr>
          <w:lang w:eastAsia="ja-JP"/>
        </w:rPr>
      </w:pPr>
      <w:r w:rsidRPr="00B03645">
        <w:rPr>
          <w:lang w:eastAsia="ja-JP"/>
        </w:rPr>
        <w:t>Sampling</w:t>
      </w:r>
    </w:p>
    <w:p w14:paraId="0AC0DB68" w14:textId="45E41599" w:rsidR="00B03645" w:rsidRPr="00B03645" w:rsidRDefault="00B03645" w:rsidP="00B03645">
      <w:pPr>
        <w:rPr>
          <w:lang w:eastAsia="ja-JP"/>
        </w:rPr>
      </w:pPr>
      <w:r w:rsidRPr="00B03645">
        <w:rPr>
          <w:lang w:eastAsia="ja-JP"/>
        </w:rPr>
        <w:t>Bloods for immunogenicity assessments were collected from all subjects immediately before and at Visit 2 (Day 21</w:t>
      </w:r>
      <w:r w:rsidR="00B27B4A">
        <w:rPr>
          <w:lang w:eastAsia="ja-JP"/>
        </w:rPr>
        <w:t xml:space="preserve"> </w:t>
      </w:r>
      <w:r w:rsidR="00BE4FB7">
        <w:rPr>
          <w:lang w:eastAsia="ja-JP"/>
        </w:rPr>
        <w:t>+</w:t>
      </w:r>
      <w:r w:rsidR="00B27B4A">
        <w:rPr>
          <w:lang w:eastAsia="ja-JP"/>
        </w:rPr>
        <w:t xml:space="preserve"> 4 post vaccination) as shown in Figure 1</w:t>
      </w:r>
      <w:r w:rsidR="009C5505">
        <w:rPr>
          <w:lang w:eastAsia="ja-JP"/>
        </w:rPr>
        <w:t xml:space="preserve"> </w:t>
      </w:r>
      <w:r w:rsidR="00B27B4A">
        <w:rPr>
          <w:lang w:eastAsia="ja-JP"/>
        </w:rPr>
        <w:t>below.</w:t>
      </w:r>
    </w:p>
    <w:p w14:paraId="6230EC69" w14:textId="095ADF72" w:rsidR="00B03645" w:rsidRDefault="00A325DD" w:rsidP="00FD2DDF">
      <w:pPr>
        <w:pStyle w:val="FigureTitle"/>
        <w:rPr>
          <w:lang w:eastAsia="ja-JP"/>
        </w:rPr>
      </w:pPr>
      <w:r>
        <w:rPr>
          <w:lang w:eastAsia="ja-JP"/>
        </w:rPr>
        <w:lastRenderedPageBreak/>
        <w:t>Figure 1.</w:t>
      </w:r>
      <w:r w:rsidR="006619C9">
        <w:rPr>
          <w:lang w:eastAsia="ja-JP"/>
        </w:rPr>
        <w:t xml:space="preserve"> </w:t>
      </w:r>
      <w:r>
        <w:rPr>
          <w:lang w:eastAsia="ja-JP"/>
        </w:rPr>
        <w:t xml:space="preserve">Study </w:t>
      </w:r>
      <w:r w:rsidR="00B03645" w:rsidRPr="00B03645">
        <w:rPr>
          <w:lang w:eastAsia="ja-JP"/>
        </w:rPr>
        <w:t>CSLCT-QIV-13-01 overview</w:t>
      </w:r>
    </w:p>
    <w:p w14:paraId="6BC6AD69" w14:textId="79D24ADD" w:rsidR="006619C9" w:rsidRPr="00B03645" w:rsidRDefault="006619C9" w:rsidP="00FD2DDF">
      <w:pPr>
        <w:rPr>
          <w:lang w:eastAsia="ja-JP"/>
        </w:rPr>
      </w:pPr>
      <w:r w:rsidRPr="006619C9">
        <w:rPr>
          <w:noProof/>
          <w:lang w:eastAsia="en-AU"/>
        </w:rPr>
        <w:drawing>
          <wp:inline distT="0" distB="0" distL="0" distR="0" wp14:anchorId="138F000A" wp14:editId="7D747E53">
            <wp:extent cx="5851950" cy="2098040"/>
            <wp:effectExtent l="0" t="0" r="0" b="0"/>
            <wp:docPr id="3" name="Picture 3" descr="Patients underwent screening upto 14 days prior to Day 1 (Visit 1) when they underwent vaccination. Solicited AEs were recorded from the time period of 10 days post vaccination. Recording of influenza like illness took place from Day 1 to Day 21 + 4 (Visit 2, or exit visit of the on-study period). Unsolicited AEs were recorded from Day 1 (Visit 1) to Day 28+3. The Follow-Up Period lasted from Day 21+4 (or Visit 2/ exit visit) until Day 180 + 14, when all SAEs over the duration of time were col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9808" cy="2118783"/>
                    </a:xfrm>
                    <a:prstGeom prst="rect">
                      <a:avLst/>
                    </a:prstGeom>
                  </pic:spPr>
                </pic:pic>
              </a:graphicData>
            </a:graphic>
          </wp:inline>
        </w:drawing>
      </w:r>
    </w:p>
    <w:p w14:paraId="0657A0FC" w14:textId="7F1DDB83" w:rsidR="00B27B4A" w:rsidRDefault="00B03645" w:rsidP="00B27B4A">
      <w:pPr>
        <w:pStyle w:val="Heading6"/>
        <w:rPr>
          <w:lang w:eastAsia="ja-JP"/>
        </w:rPr>
      </w:pPr>
      <w:r w:rsidRPr="00B03645">
        <w:rPr>
          <w:lang w:eastAsia="ja-JP"/>
        </w:rPr>
        <w:t>Analytical methods</w:t>
      </w:r>
    </w:p>
    <w:p w14:paraId="69A1AE62" w14:textId="308154C1" w:rsidR="00B03645" w:rsidRPr="00B03645" w:rsidRDefault="001C5805" w:rsidP="00B03645">
      <w:pPr>
        <w:rPr>
          <w:lang w:eastAsia="ja-JP"/>
        </w:rPr>
      </w:pPr>
      <w:r>
        <w:rPr>
          <w:lang w:eastAsia="ja-JP"/>
        </w:rPr>
        <w:t>A</w:t>
      </w:r>
      <w:r w:rsidR="00B03645" w:rsidRPr="00B03645">
        <w:rPr>
          <w:lang w:eastAsia="ja-JP"/>
        </w:rPr>
        <w:t>s describ</w:t>
      </w:r>
      <w:r w:rsidR="008E5020">
        <w:rPr>
          <w:lang w:eastAsia="ja-JP"/>
        </w:rPr>
        <w:t xml:space="preserve">ed above in Section 7.1.1. </w:t>
      </w:r>
      <w:r w:rsidR="008E5020">
        <w:t xml:space="preserve">Validation of HAI assays used in pivotal </w:t>
      </w:r>
      <w:r w:rsidR="00F377F3">
        <w:t xml:space="preserve">immunogenicity </w:t>
      </w:r>
      <w:r w:rsidR="008E5020">
        <w:t>study in QIV.</w:t>
      </w:r>
    </w:p>
    <w:p w14:paraId="3D5E9B38" w14:textId="3A2DB892" w:rsidR="00543BF8" w:rsidRDefault="00B03645" w:rsidP="00543BF8">
      <w:pPr>
        <w:pStyle w:val="Heading6"/>
        <w:rPr>
          <w:lang w:eastAsia="ja-JP"/>
        </w:rPr>
      </w:pPr>
      <w:r w:rsidRPr="00B03645">
        <w:rPr>
          <w:lang w:eastAsia="ja-JP"/>
        </w:rPr>
        <w:t xml:space="preserve">Safety </w:t>
      </w:r>
      <w:r w:rsidR="00FD2DDF">
        <w:rPr>
          <w:lang w:eastAsia="ja-JP"/>
        </w:rPr>
        <w:t>e</w:t>
      </w:r>
      <w:r w:rsidRPr="00B03645">
        <w:rPr>
          <w:lang w:eastAsia="ja-JP"/>
        </w:rPr>
        <w:t>valuations</w:t>
      </w:r>
    </w:p>
    <w:p w14:paraId="7AABE234" w14:textId="7D68B71A" w:rsidR="00B03645" w:rsidRPr="00B03645" w:rsidRDefault="00B03645" w:rsidP="00B03645">
      <w:pPr>
        <w:rPr>
          <w:lang w:eastAsia="ja-JP"/>
        </w:rPr>
      </w:pPr>
      <w:r w:rsidRPr="00B03645">
        <w:rPr>
          <w:lang w:eastAsia="ja-JP"/>
        </w:rPr>
        <w:t xml:space="preserve">See </w:t>
      </w:r>
      <w:r w:rsidRPr="00543BF8">
        <w:rPr>
          <w:lang w:eastAsia="ja-JP"/>
        </w:rPr>
        <w:t>Section 8</w:t>
      </w:r>
      <w:r w:rsidR="00543BF8">
        <w:rPr>
          <w:lang w:eastAsia="ja-JP"/>
        </w:rPr>
        <w:t xml:space="preserve"> below.</w:t>
      </w:r>
    </w:p>
    <w:p w14:paraId="678F8A17" w14:textId="3B141979" w:rsidR="00B27B4A" w:rsidRDefault="00B27B4A" w:rsidP="00B27B4A">
      <w:pPr>
        <w:pStyle w:val="Heading6"/>
        <w:rPr>
          <w:lang w:eastAsia="ja-JP"/>
        </w:rPr>
      </w:pPr>
      <w:r>
        <w:rPr>
          <w:lang w:eastAsia="ja-JP"/>
        </w:rPr>
        <w:t>Primary objectives</w:t>
      </w:r>
    </w:p>
    <w:p w14:paraId="2F11E7B7" w14:textId="59C7C86D" w:rsidR="00B03645" w:rsidRPr="00B03645" w:rsidRDefault="00543BF8" w:rsidP="00B03645">
      <w:pPr>
        <w:rPr>
          <w:lang w:eastAsia="ja-JP"/>
        </w:rPr>
      </w:pPr>
      <w:r>
        <w:rPr>
          <w:lang w:eastAsia="ja-JP"/>
        </w:rPr>
        <w:t>T</w:t>
      </w:r>
      <w:r w:rsidR="00B03645" w:rsidRPr="00B03645">
        <w:rPr>
          <w:lang w:eastAsia="ja-JP"/>
        </w:rPr>
        <w:t xml:space="preserve">o demonstrate that vaccination with </w:t>
      </w:r>
      <w:r w:rsidR="00D323CE">
        <w:rPr>
          <w:lang w:eastAsia="ja-JP"/>
        </w:rPr>
        <w:t xml:space="preserve">Seqirus </w:t>
      </w:r>
      <w:r w:rsidR="00B03645" w:rsidRPr="00B03645">
        <w:rPr>
          <w:lang w:eastAsia="ja-JP"/>
        </w:rPr>
        <w:t xml:space="preserve">QIV elicits an immune response that is not inferior to that of </w:t>
      </w:r>
      <w:r w:rsidR="00D323CE" w:rsidRPr="00D323CE">
        <w:rPr>
          <w:lang w:eastAsia="ja-JP"/>
        </w:rPr>
        <w:t>Seqirus</w:t>
      </w:r>
      <w:r w:rsidR="00B03645" w:rsidRPr="00B03645">
        <w:rPr>
          <w:lang w:eastAsia="ja-JP"/>
        </w:rPr>
        <w:t xml:space="preserve"> TIV containing the same virus </w:t>
      </w:r>
      <w:r w:rsidR="00764463">
        <w:rPr>
          <w:lang w:eastAsia="ja-JP"/>
        </w:rPr>
        <w:t xml:space="preserve">strains as the US licensed 2014 to </w:t>
      </w:r>
      <w:r w:rsidR="00B03645" w:rsidRPr="00B03645">
        <w:rPr>
          <w:lang w:eastAsia="ja-JP"/>
        </w:rPr>
        <w:t>2015 CSL influenza vaccine (</w:t>
      </w:r>
      <w:r w:rsidR="00D323CE" w:rsidRPr="00D323CE">
        <w:rPr>
          <w:lang w:eastAsia="ja-JP"/>
        </w:rPr>
        <w:t>Seqirus</w:t>
      </w:r>
      <w:r w:rsidR="00D323CE" w:rsidRPr="00D323CE" w:rsidDel="00D323CE">
        <w:rPr>
          <w:lang w:eastAsia="ja-JP"/>
        </w:rPr>
        <w:t xml:space="preserve"> </w:t>
      </w:r>
      <w:r w:rsidR="00B03645" w:rsidRPr="00B03645">
        <w:rPr>
          <w:lang w:eastAsia="ja-JP"/>
        </w:rPr>
        <w:t>TIV-1), and the TIV containing the alternate B strain (</w:t>
      </w:r>
      <w:r w:rsidR="00D323CE" w:rsidRPr="00D323CE">
        <w:rPr>
          <w:lang w:eastAsia="ja-JP"/>
        </w:rPr>
        <w:t>Seqirus</w:t>
      </w:r>
      <w:r w:rsidR="00B03645" w:rsidRPr="00B03645">
        <w:rPr>
          <w:lang w:eastAsia="ja-JP"/>
        </w:rPr>
        <w:t xml:space="preserve"> TIV-2) in adults aged </w:t>
      </w:r>
      <w:r w:rsidR="00E936A1">
        <w:rPr>
          <w:lang w:eastAsia="ja-JP"/>
        </w:rPr>
        <w:t xml:space="preserve">≥ </w:t>
      </w:r>
      <w:r w:rsidR="00B03645" w:rsidRPr="00B03645">
        <w:rPr>
          <w:lang w:eastAsia="ja-JP"/>
        </w:rPr>
        <w:t>18 y</w:t>
      </w:r>
      <w:r w:rsidR="00B27B4A">
        <w:rPr>
          <w:lang w:eastAsia="ja-JP"/>
        </w:rPr>
        <w:t>ea</w:t>
      </w:r>
      <w:r w:rsidR="00B03645" w:rsidRPr="00B03645">
        <w:rPr>
          <w:lang w:eastAsia="ja-JP"/>
        </w:rPr>
        <w:t>rs.</w:t>
      </w:r>
    </w:p>
    <w:p w14:paraId="5CF33703" w14:textId="43EE8EAC" w:rsidR="00B03645" w:rsidRPr="00B03645" w:rsidRDefault="00B27B4A" w:rsidP="00B27B4A">
      <w:pPr>
        <w:pStyle w:val="Heading6"/>
        <w:rPr>
          <w:lang w:eastAsia="ja-JP"/>
        </w:rPr>
      </w:pPr>
      <w:r>
        <w:rPr>
          <w:lang w:eastAsia="ja-JP"/>
        </w:rPr>
        <w:t>Secondary o</w:t>
      </w:r>
      <w:r w:rsidR="00B03645" w:rsidRPr="00B03645">
        <w:rPr>
          <w:lang w:eastAsia="ja-JP"/>
        </w:rPr>
        <w:t>b</w:t>
      </w:r>
      <w:r>
        <w:rPr>
          <w:lang w:eastAsia="ja-JP"/>
        </w:rPr>
        <w:t>jectives</w:t>
      </w:r>
    </w:p>
    <w:p w14:paraId="79925EA1" w14:textId="4878719A" w:rsidR="00B03645" w:rsidRPr="00B03645" w:rsidRDefault="00764463" w:rsidP="00B03645">
      <w:pPr>
        <w:rPr>
          <w:lang w:eastAsia="ja-JP"/>
        </w:rPr>
      </w:pPr>
      <w:r>
        <w:rPr>
          <w:lang w:eastAsia="ja-JP"/>
        </w:rPr>
        <w:t>T</w:t>
      </w:r>
      <w:r w:rsidR="00B03645" w:rsidRPr="00B03645">
        <w:rPr>
          <w:lang w:eastAsia="ja-JP"/>
        </w:rPr>
        <w:t xml:space="preserve">o assess the following, among adults aged </w:t>
      </w:r>
      <w:r w:rsidR="00E936A1">
        <w:rPr>
          <w:lang w:eastAsia="ja-JP"/>
        </w:rPr>
        <w:t xml:space="preserve">≥ </w:t>
      </w:r>
      <w:r w:rsidR="00B03645" w:rsidRPr="00B03645">
        <w:rPr>
          <w:lang w:eastAsia="ja-JP"/>
        </w:rPr>
        <w:t>18 y</w:t>
      </w:r>
      <w:r w:rsidR="00B27B4A">
        <w:rPr>
          <w:lang w:eastAsia="ja-JP"/>
        </w:rPr>
        <w:t>ea</w:t>
      </w:r>
      <w:r w:rsidR="00B03645" w:rsidRPr="00B03645">
        <w:rPr>
          <w:lang w:eastAsia="ja-JP"/>
        </w:rPr>
        <w:t>rs in two age strata 18 to &lt;</w:t>
      </w:r>
      <w:r w:rsidR="00B27B4A">
        <w:rPr>
          <w:lang w:eastAsia="ja-JP"/>
        </w:rPr>
        <w:t xml:space="preserve"> </w:t>
      </w:r>
      <w:r w:rsidR="00B03645" w:rsidRPr="00B03645">
        <w:rPr>
          <w:lang w:eastAsia="ja-JP"/>
        </w:rPr>
        <w:t>65 y</w:t>
      </w:r>
      <w:r w:rsidR="00B27B4A">
        <w:rPr>
          <w:lang w:eastAsia="ja-JP"/>
        </w:rPr>
        <w:t>ea</w:t>
      </w:r>
      <w:r w:rsidR="00B03645" w:rsidRPr="00B03645">
        <w:rPr>
          <w:lang w:eastAsia="ja-JP"/>
        </w:rPr>
        <w:t xml:space="preserve">rs and </w:t>
      </w:r>
      <w:r w:rsidR="00E936A1">
        <w:rPr>
          <w:lang w:eastAsia="ja-JP"/>
        </w:rPr>
        <w:t>≥</w:t>
      </w:r>
      <w:r w:rsidR="00C512A4">
        <w:rPr>
          <w:lang w:eastAsia="ja-JP"/>
        </w:rPr>
        <w:t> </w:t>
      </w:r>
      <w:r w:rsidR="00B03645" w:rsidRPr="00B03645">
        <w:rPr>
          <w:lang w:eastAsia="ja-JP"/>
        </w:rPr>
        <w:t>65 y</w:t>
      </w:r>
      <w:r w:rsidR="00B27B4A">
        <w:rPr>
          <w:lang w:eastAsia="ja-JP"/>
        </w:rPr>
        <w:t>ea</w:t>
      </w:r>
      <w:r w:rsidR="00B03645" w:rsidRPr="00B03645">
        <w:rPr>
          <w:lang w:eastAsia="ja-JP"/>
        </w:rPr>
        <w:t>rs, as well as overall:</w:t>
      </w:r>
    </w:p>
    <w:p w14:paraId="7F453FF2" w14:textId="6060D171" w:rsidR="00B03645" w:rsidRPr="00B03645" w:rsidRDefault="00B03645" w:rsidP="00B27B4A">
      <w:pPr>
        <w:pStyle w:val="ListBullet"/>
        <w:rPr>
          <w:lang w:eastAsia="ja-JP"/>
        </w:rPr>
      </w:pPr>
      <w:r w:rsidRPr="00B03645">
        <w:rPr>
          <w:lang w:eastAsia="ja-JP"/>
        </w:rPr>
        <w:t xml:space="preserve">To demonstrate that vaccination with QIV elicits an immune response that is not inferior to that of TIV containing the same virus strains as the US licensed 2014-2015 </w:t>
      </w:r>
      <w:r w:rsidR="003073A8">
        <w:rPr>
          <w:lang w:eastAsia="ja-JP"/>
        </w:rPr>
        <w:t>Seqirus</w:t>
      </w:r>
      <w:r w:rsidR="003073A8" w:rsidRPr="00B03645">
        <w:rPr>
          <w:lang w:eastAsia="ja-JP"/>
        </w:rPr>
        <w:t xml:space="preserve"> </w:t>
      </w:r>
      <w:r w:rsidRPr="00B03645">
        <w:rPr>
          <w:lang w:eastAsia="ja-JP"/>
        </w:rPr>
        <w:t>influenza vaccine (TIV-1), and the TIV containing the alternate B strain (TIV-2);</w:t>
      </w:r>
    </w:p>
    <w:p w14:paraId="1EB311B0" w14:textId="77777777" w:rsidR="00B03645" w:rsidRPr="00B03645" w:rsidRDefault="00B03645" w:rsidP="00B27B4A">
      <w:pPr>
        <w:pStyle w:val="ListBullet"/>
        <w:rPr>
          <w:lang w:eastAsia="ja-JP"/>
        </w:rPr>
      </w:pPr>
      <w:r w:rsidRPr="00B03645">
        <w:rPr>
          <w:lang w:eastAsia="ja-JP"/>
        </w:rPr>
        <w:t>To demonstrate the immunological superiority of QIV compared to TIV-1 and TIV-2 for the B strain that is not included in each TIV vaccine separately;</w:t>
      </w:r>
    </w:p>
    <w:p w14:paraId="56BA60A2" w14:textId="503AC246" w:rsidR="00B03645" w:rsidRPr="00B03645" w:rsidRDefault="00B03645" w:rsidP="00B27B4A">
      <w:pPr>
        <w:pStyle w:val="ListBullet"/>
        <w:rPr>
          <w:lang w:eastAsia="ja-JP"/>
        </w:rPr>
      </w:pPr>
      <w:r w:rsidRPr="00B03645">
        <w:rPr>
          <w:lang w:eastAsia="ja-JP"/>
        </w:rPr>
        <w:t>To characterise the immunogenicity of QIV, TIV-1 and TIV-2.</w:t>
      </w:r>
    </w:p>
    <w:p w14:paraId="46602EF3" w14:textId="527F31EE" w:rsidR="00B27B4A" w:rsidRDefault="00B27B4A" w:rsidP="00B27B4A">
      <w:pPr>
        <w:pStyle w:val="Heading6"/>
        <w:rPr>
          <w:lang w:eastAsia="ja-JP"/>
        </w:rPr>
      </w:pPr>
      <w:r>
        <w:rPr>
          <w:lang w:eastAsia="ja-JP"/>
        </w:rPr>
        <w:t xml:space="preserve">Primary </w:t>
      </w:r>
      <w:r w:rsidR="00FD2DDF">
        <w:rPr>
          <w:lang w:eastAsia="ja-JP"/>
        </w:rPr>
        <w:t>safety objective</w:t>
      </w:r>
    </w:p>
    <w:p w14:paraId="4719FC92" w14:textId="0B4D1783" w:rsidR="00B03645" w:rsidRPr="00B03645" w:rsidRDefault="00B03645" w:rsidP="00B03645">
      <w:pPr>
        <w:rPr>
          <w:lang w:eastAsia="ja-JP"/>
        </w:rPr>
      </w:pPr>
      <w:r w:rsidRPr="00B03645">
        <w:rPr>
          <w:lang w:eastAsia="ja-JP"/>
        </w:rPr>
        <w:t xml:space="preserve">To assess safety and tolerability of QIV by the frequency and severity of: solicited local and systemic </w:t>
      </w:r>
      <w:r w:rsidR="00B27B4A">
        <w:rPr>
          <w:lang w:eastAsia="ja-JP"/>
        </w:rPr>
        <w:t>a</w:t>
      </w:r>
      <w:r w:rsidRPr="00B03645">
        <w:rPr>
          <w:lang w:eastAsia="ja-JP"/>
        </w:rPr>
        <w:t xml:space="preserve">dverse </w:t>
      </w:r>
      <w:r w:rsidR="00B27B4A">
        <w:rPr>
          <w:lang w:eastAsia="ja-JP"/>
        </w:rPr>
        <w:t>e</w:t>
      </w:r>
      <w:r w:rsidRPr="00B03645">
        <w:rPr>
          <w:lang w:eastAsia="ja-JP"/>
        </w:rPr>
        <w:t xml:space="preserve">vents (AEs) for 7 days following vaccination (Day 1 to Day 7); cellulitis-like reaction, cellulitis and Grade 3 injection site induration/swelling for 28 days following vaccination; Unsolicited AEs for 28 days following vaccination; </w:t>
      </w:r>
      <w:r w:rsidR="00B27B4A">
        <w:rPr>
          <w:lang w:eastAsia="ja-JP"/>
        </w:rPr>
        <w:t>s</w:t>
      </w:r>
      <w:r w:rsidRPr="00B03645">
        <w:rPr>
          <w:lang w:eastAsia="ja-JP"/>
        </w:rPr>
        <w:t xml:space="preserve">erious </w:t>
      </w:r>
      <w:r w:rsidR="00B27B4A">
        <w:rPr>
          <w:lang w:eastAsia="ja-JP"/>
        </w:rPr>
        <w:t>a</w:t>
      </w:r>
      <w:r w:rsidRPr="00B03645">
        <w:rPr>
          <w:lang w:eastAsia="ja-JP"/>
        </w:rPr>
        <w:t xml:space="preserve">dverse </w:t>
      </w:r>
      <w:r w:rsidR="00B27B4A">
        <w:rPr>
          <w:lang w:eastAsia="ja-JP"/>
        </w:rPr>
        <w:t>e</w:t>
      </w:r>
      <w:r w:rsidRPr="00B03645">
        <w:rPr>
          <w:lang w:eastAsia="ja-JP"/>
        </w:rPr>
        <w:t>vents (SAEs) for 6 months following vaccination.</w:t>
      </w:r>
    </w:p>
    <w:p w14:paraId="7BD57571" w14:textId="77777777" w:rsidR="00B27B4A" w:rsidRDefault="00B03645" w:rsidP="00B27B4A">
      <w:pPr>
        <w:pStyle w:val="Heading6"/>
        <w:rPr>
          <w:lang w:eastAsia="ja-JP"/>
        </w:rPr>
      </w:pPr>
      <w:r w:rsidRPr="00B03645">
        <w:rPr>
          <w:lang w:eastAsia="ja-JP"/>
        </w:rPr>
        <w:t>Locations</w:t>
      </w:r>
    </w:p>
    <w:p w14:paraId="4AFB3F16" w14:textId="47076D7B" w:rsidR="00B03645" w:rsidRPr="00B03645" w:rsidRDefault="00B03645" w:rsidP="00B03645">
      <w:pPr>
        <w:rPr>
          <w:lang w:eastAsia="ja-JP"/>
        </w:rPr>
      </w:pPr>
      <w:r w:rsidRPr="00B03645">
        <w:rPr>
          <w:lang w:eastAsia="ja-JP"/>
        </w:rPr>
        <w:t>31 US sites.</w:t>
      </w:r>
    </w:p>
    <w:p w14:paraId="2DE31EB2" w14:textId="6D8AB184" w:rsidR="00B27B4A" w:rsidRDefault="00B03645" w:rsidP="00B27B4A">
      <w:pPr>
        <w:pStyle w:val="Heading6"/>
        <w:rPr>
          <w:lang w:eastAsia="ja-JP"/>
        </w:rPr>
      </w:pPr>
      <w:r w:rsidRPr="00B03645">
        <w:rPr>
          <w:lang w:eastAsia="ja-JP"/>
        </w:rPr>
        <w:t>Dates</w:t>
      </w:r>
    </w:p>
    <w:p w14:paraId="23B004DD" w14:textId="5DABDE29" w:rsidR="00B03645" w:rsidRPr="00B03645" w:rsidRDefault="00BD05DB" w:rsidP="00B03645">
      <w:pPr>
        <w:rPr>
          <w:lang w:eastAsia="ja-JP"/>
        </w:rPr>
      </w:pPr>
      <w:r>
        <w:rPr>
          <w:lang w:eastAsia="ja-JP"/>
        </w:rPr>
        <w:t>First s</w:t>
      </w:r>
      <w:r w:rsidR="00764463">
        <w:rPr>
          <w:lang w:eastAsia="ja-JP"/>
        </w:rPr>
        <w:t xml:space="preserve">ubject, </w:t>
      </w:r>
      <w:r>
        <w:rPr>
          <w:lang w:eastAsia="ja-JP"/>
        </w:rPr>
        <w:t>First Visit: 15 Aug 2014; Last s</w:t>
      </w:r>
      <w:r w:rsidR="00B03645" w:rsidRPr="00B03645">
        <w:rPr>
          <w:lang w:eastAsia="ja-JP"/>
        </w:rPr>
        <w:t>ubject</w:t>
      </w:r>
      <w:r w:rsidR="00764463">
        <w:rPr>
          <w:lang w:eastAsia="ja-JP"/>
        </w:rPr>
        <w:t>,</w:t>
      </w:r>
      <w:r w:rsidR="00B03645" w:rsidRPr="00B03645">
        <w:rPr>
          <w:lang w:eastAsia="ja-JP"/>
        </w:rPr>
        <w:t xml:space="preserve"> Last Visit: 20 Apr 2015</w:t>
      </w:r>
      <w:r w:rsidR="0011797C">
        <w:rPr>
          <w:lang w:eastAsia="ja-JP"/>
        </w:rPr>
        <w:t>.</w:t>
      </w:r>
    </w:p>
    <w:p w14:paraId="3CE7D0E8" w14:textId="77777777" w:rsidR="00B03645" w:rsidRPr="00B03645" w:rsidRDefault="00B03645" w:rsidP="00543BF8">
      <w:pPr>
        <w:pStyle w:val="Heading5"/>
        <w:rPr>
          <w:lang w:eastAsia="ja-JP"/>
        </w:rPr>
      </w:pPr>
      <w:r w:rsidRPr="00B03645">
        <w:rPr>
          <w:lang w:eastAsia="ja-JP"/>
        </w:rPr>
        <w:lastRenderedPageBreak/>
        <w:t>Inclusion and exclusion criteria</w:t>
      </w:r>
    </w:p>
    <w:p w14:paraId="4A468EC3" w14:textId="77777777" w:rsidR="0011797C" w:rsidRDefault="00B03645" w:rsidP="0011797C">
      <w:pPr>
        <w:pStyle w:val="Heading6"/>
        <w:rPr>
          <w:lang w:eastAsia="ja-JP"/>
        </w:rPr>
      </w:pPr>
      <w:r w:rsidRPr="00B03645">
        <w:rPr>
          <w:lang w:eastAsia="ja-JP"/>
        </w:rPr>
        <w:t>Inclusion criteria</w:t>
      </w:r>
    </w:p>
    <w:p w14:paraId="24463504" w14:textId="3FB5D9B8" w:rsidR="00B03645" w:rsidRPr="00B03645" w:rsidRDefault="0011797C" w:rsidP="00B03645">
      <w:pPr>
        <w:rPr>
          <w:lang w:eastAsia="ja-JP"/>
        </w:rPr>
      </w:pPr>
      <w:r>
        <w:rPr>
          <w:lang w:eastAsia="ja-JP"/>
        </w:rPr>
        <w:t xml:space="preserve">Inclusion criteria included: </w:t>
      </w:r>
      <w:r w:rsidR="00B03645" w:rsidRPr="00B03645">
        <w:rPr>
          <w:lang w:eastAsia="ja-JP"/>
        </w:rPr>
        <w:t xml:space="preserve">Healthy male or non-pregnant female aged </w:t>
      </w:r>
      <w:r w:rsidR="00E936A1">
        <w:rPr>
          <w:lang w:eastAsia="ja-JP"/>
        </w:rPr>
        <w:t xml:space="preserve">≥ </w:t>
      </w:r>
      <w:r w:rsidR="00B03645" w:rsidRPr="00B03645">
        <w:rPr>
          <w:lang w:eastAsia="ja-JP"/>
        </w:rPr>
        <w:t>18 y</w:t>
      </w:r>
      <w:r>
        <w:rPr>
          <w:lang w:eastAsia="ja-JP"/>
        </w:rPr>
        <w:t>ea</w:t>
      </w:r>
      <w:r w:rsidR="00B03645" w:rsidRPr="00B03645">
        <w:rPr>
          <w:lang w:eastAsia="ja-JP"/>
        </w:rPr>
        <w:t>rs at the time of vaccination; in good health, or in stable health status with no exclusionary medical or neuropsychiatric conditions, as determined by screening evaluation and a physical examination conducted no greater than 14 days prior to vaccination; Able to understand and comply with study requirements; if applicable, females of child-bearing potential</w:t>
      </w:r>
      <w:r w:rsidR="00E936A1">
        <w:rPr>
          <w:lang w:eastAsia="ja-JP"/>
        </w:rPr>
        <w:t xml:space="preserve"> </w:t>
      </w:r>
      <w:r w:rsidR="00B03645" w:rsidRPr="00B03645">
        <w:rPr>
          <w:lang w:eastAsia="ja-JP"/>
        </w:rPr>
        <w:t>must be abstinent or be willing to use a medically accepted contraceptive regimen for the duration of the On-study Period.</w:t>
      </w:r>
    </w:p>
    <w:p w14:paraId="44CA2768" w14:textId="69398F3A" w:rsidR="0011797C" w:rsidRDefault="00B03645" w:rsidP="0011797C">
      <w:pPr>
        <w:pStyle w:val="Heading6"/>
        <w:rPr>
          <w:lang w:eastAsia="ja-JP"/>
        </w:rPr>
      </w:pPr>
      <w:r w:rsidRPr="00B03645">
        <w:rPr>
          <w:lang w:eastAsia="ja-JP"/>
        </w:rPr>
        <w:t>Exclusion criteria</w:t>
      </w:r>
    </w:p>
    <w:p w14:paraId="346CA109" w14:textId="5CA79F3A" w:rsidR="00B03645" w:rsidRPr="00B03645" w:rsidRDefault="0011797C" w:rsidP="00B03645">
      <w:pPr>
        <w:rPr>
          <w:lang w:eastAsia="ja-JP"/>
        </w:rPr>
      </w:pPr>
      <w:r>
        <w:rPr>
          <w:lang w:eastAsia="ja-JP"/>
        </w:rPr>
        <w:t xml:space="preserve">Exclusion criteria included: </w:t>
      </w:r>
      <w:r w:rsidR="00B03645" w:rsidRPr="00B03645">
        <w:rPr>
          <w:lang w:eastAsia="ja-JP"/>
        </w:rPr>
        <w:t xml:space="preserve">Known hypersensitivity to a previous dose of influenza vaccine or allergy to eggs, chicken protein, neomycin, polymyxin, or any components of </w:t>
      </w:r>
      <w:r w:rsidR="003073A8">
        <w:rPr>
          <w:lang w:eastAsia="ja-JP"/>
        </w:rPr>
        <w:t>Seqirus</w:t>
      </w:r>
      <w:r w:rsidR="003073A8" w:rsidRPr="00B03645">
        <w:rPr>
          <w:lang w:eastAsia="ja-JP"/>
        </w:rPr>
        <w:t xml:space="preserve"> </w:t>
      </w:r>
      <w:r w:rsidR="00B03645" w:rsidRPr="00B03645">
        <w:rPr>
          <w:lang w:eastAsia="ja-JP"/>
        </w:rPr>
        <w:t xml:space="preserve">influenza vaccines; vaccination against influenza in the previous 6 months; known history of GBS or other demyelinating disease; clinical signs of active infection and/or oral temperature of </w:t>
      </w:r>
      <w:r w:rsidR="00E936A1">
        <w:rPr>
          <w:lang w:eastAsia="ja-JP"/>
        </w:rPr>
        <w:t>≥ </w:t>
      </w:r>
      <w:r w:rsidR="00B03645" w:rsidRPr="00B03645">
        <w:rPr>
          <w:lang w:eastAsia="ja-JP"/>
        </w:rPr>
        <w:t>100.4°F (38.0°C); active or recent (within the previous month) and clinically significant gastrointestinal/hepatic, renal, neurological, cardiovascular, respiratory, endocrine disorders, or other medical conditions, if: for acute conditions (active or recent), the acute condition required hospitalisation within the previous month; or for chronic conditions, the investigator considers that the chronic condition is unstable, such as illness exacerbations within the previous month: a) requiring hospitalisation; b) with significant organ function deterioration; c) with major changes to treatment dosages; or d) requiring major new treatments; or the investigator considers the subject with an acute (active or recent) or chronic condition may be adversely affected through study participation; history of neurological disorders or seizures, with the exception of a past history of a single seizure event at any age, &gt;</w:t>
      </w:r>
      <w:r>
        <w:rPr>
          <w:lang w:eastAsia="ja-JP"/>
        </w:rPr>
        <w:t xml:space="preserve"> </w:t>
      </w:r>
      <w:r w:rsidR="00B03645" w:rsidRPr="00B03645">
        <w:rPr>
          <w:lang w:eastAsia="ja-JP"/>
        </w:rPr>
        <w:t>two y</w:t>
      </w:r>
      <w:r w:rsidR="00D92691">
        <w:rPr>
          <w:lang w:eastAsia="ja-JP"/>
        </w:rPr>
        <w:t>ea</w:t>
      </w:r>
      <w:r w:rsidR="00B03645" w:rsidRPr="00B03645">
        <w:rPr>
          <w:lang w:eastAsia="ja-JP"/>
        </w:rPr>
        <w:t>rs previously;</w:t>
      </w:r>
      <w:r w:rsidR="00E936A1">
        <w:rPr>
          <w:lang w:eastAsia="ja-JP"/>
        </w:rPr>
        <w:t xml:space="preserve"> </w:t>
      </w:r>
      <w:r w:rsidR="00B03645" w:rsidRPr="00B03645">
        <w:rPr>
          <w:lang w:eastAsia="ja-JP"/>
        </w:rPr>
        <w:t xml:space="preserve">confirmed or suspected congenital or acquired immunosuppressive condition; clinically significant history of malignancy; current treatment or treatment with radiotherapy or cytotoxic drugs at any time during the six months prior to administration of the Study Vaccine. On-going adjuvant antineoplastic therapy with non-cytotoxic agents commenced </w:t>
      </w:r>
      <w:r w:rsidR="00E936A1">
        <w:rPr>
          <w:lang w:eastAsia="ja-JP"/>
        </w:rPr>
        <w:t xml:space="preserve">≥ </w:t>
      </w:r>
      <w:r w:rsidR="00B03645" w:rsidRPr="00B03645">
        <w:rPr>
          <w:lang w:eastAsia="ja-JP"/>
        </w:rPr>
        <w:t>3 months prior to study vaccine are permitted; current (or within the 90 days prior to study vaccine immunosuppressive or immunomodulative therapy, including systemic corticosteroids; administration of immunoglobulins and/or any blood products within the 3 months prior to administration of the study vaccine or planned administration during the study; participation in a clinical study or use of a</w:t>
      </w:r>
      <w:r w:rsidR="00BE4FB7">
        <w:rPr>
          <w:lang w:eastAsia="ja-JP"/>
        </w:rPr>
        <w:t>n investigational compound (that is</w:t>
      </w:r>
      <w:r w:rsidR="00B03645" w:rsidRPr="00B03645">
        <w:rPr>
          <w:lang w:eastAsia="ja-JP"/>
        </w:rPr>
        <w:t xml:space="preserve"> a new chemical or biological entity not licensed for clinical use, including investigational influenza vaccines) within 30 days prior to or 30 days after receiving the study vaccine, or plans to enter a study during this On-study Period; vaccination with a licensed vaccine within 14 days (inactivated vaccines) or 28 days (live vaccines) prior to administration of the study vaccine, or plans to receive a vaccine during the On-study Period; current treatment with warfarin or other anticoagulants; major congenital defects; evidence, or history (within the previous 12 m</w:t>
      </w:r>
      <w:r>
        <w:rPr>
          <w:lang w:eastAsia="ja-JP"/>
        </w:rPr>
        <w:t>on</w:t>
      </w:r>
      <w:r w:rsidR="00B03645" w:rsidRPr="00B03645">
        <w:rPr>
          <w:lang w:eastAsia="ja-JP"/>
        </w:rPr>
        <w:t>ths) of drug or alcohol abuse; unwillingness or inability to comply with the study protocol including completion of AE diaries; history of psychiatric disorders, which, in the opinion of the Investigator, would prevent subjects from giving proper informed consent; pregnant or lactating females.</w:t>
      </w:r>
    </w:p>
    <w:p w14:paraId="466AB428" w14:textId="77777777" w:rsidR="00B03645" w:rsidRPr="00B03645" w:rsidRDefault="00B03645" w:rsidP="00F51FCC">
      <w:pPr>
        <w:pStyle w:val="Heading5"/>
        <w:rPr>
          <w:lang w:eastAsia="ja-JP"/>
        </w:rPr>
      </w:pPr>
      <w:r w:rsidRPr="00B03645">
        <w:rPr>
          <w:lang w:eastAsia="ja-JP"/>
        </w:rPr>
        <w:t>Study treatments</w:t>
      </w:r>
    </w:p>
    <w:p w14:paraId="068E2CDD" w14:textId="764345F6" w:rsidR="00B03645" w:rsidRPr="00B03645" w:rsidRDefault="00B03645" w:rsidP="00B03645">
      <w:pPr>
        <w:rPr>
          <w:lang w:eastAsia="ja-JP"/>
        </w:rPr>
      </w:pPr>
      <w:r w:rsidRPr="00B03645">
        <w:rPr>
          <w:lang w:eastAsia="ja-JP"/>
        </w:rPr>
        <w:t>QIV inactivated, split-virion, thi</w:t>
      </w:r>
      <w:r w:rsidR="00D323CE">
        <w:rPr>
          <w:lang w:eastAsia="ja-JP"/>
        </w:rPr>
        <w:t>o</w:t>
      </w:r>
      <w:r w:rsidRPr="00B03645">
        <w:rPr>
          <w:lang w:eastAsia="ja-JP"/>
        </w:rPr>
        <w:t xml:space="preserve">mersal-free, administered as one 0.5 mL IM dose into the deltoid muscle. The vaccine is presented in a pre-filled needle-less syringe. Each 0.5 mL dose contains 15 </w:t>
      </w:r>
      <w:r w:rsidR="00696781">
        <w:rPr>
          <w:lang w:eastAsia="ja-JP"/>
        </w:rPr>
        <w:t>µg</w:t>
      </w:r>
      <w:r w:rsidRPr="00B03645">
        <w:rPr>
          <w:lang w:eastAsia="ja-JP"/>
        </w:rPr>
        <w:t xml:space="preserve"> HA from each of the following 4 influenza strains (recommended by the FDA Vaccines and Related Biological Products Advisory Committee for the 2014</w:t>
      </w:r>
      <w:r w:rsidR="00F51FCC">
        <w:rPr>
          <w:lang w:eastAsia="ja-JP"/>
        </w:rPr>
        <w:t xml:space="preserve"> to </w:t>
      </w:r>
      <w:r w:rsidRPr="00B03645">
        <w:rPr>
          <w:lang w:eastAsia="ja-JP"/>
        </w:rPr>
        <w:t>2015 influenza season in the US):</w:t>
      </w:r>
    </w:p>
    <w:p w14:paraId="175BD4F5" w14:textId="37AD8D13" w:rsidR="00B03645" w:rsidRPr="00B03645" w:rsidRDefault="00B03645" w:rsidP="00F51FCC">
      <w:pPr>
        <w:pStyle w:val="ListBullet"/>
        <w:rPr>
          <w:lang w:eastAsia="ja-JP"/>
        </w:rPr>
      </w:pPr>
      <w:r w:rsidRPr="00B03645">
        <w:rPr>
          <w:lang w:eastAsia="ja-JP"/>
        </w:rPr>
        <w:t xml:space="preserve">15 </w:t>
      </w:r>
      <w:r w:rsidR="00696781">
        <w:rPr>
          <w:lang w:eastAsia="ja-JP"/>
        </w:rPr>
        <w:t>µg</w:t>
      </w:r>
      <w:r w:rsidRPr="00B03645">
        <w:rPr>
          <w:lang w:eastAsia="ja-JP"/>
        </w:rPr>
        <w:t xml:space="preserve"> A/California/7/2009 (H1N1)</w:t>
      </w:r>
      <w:r w:rsidR="00F51FCC">
        <w:rPr>
          <w:lang w:eastAsia="ja-JP"/>
        </w:rPr>
        <w:t xml:space="preserve"> </w:t>
      </w:r>
      <w:r w:rsidRPr="00B03645">
        <w:rPr>
          <w:lang w:eastAsia="ja-JP"/>
        </w:rPr>
        <w:t>pdm09-like virus;</w:t>
      </w:r>
    </w:p>
    <w:p w14:paraId="39057719" w14:textId="4DFF1CB5" w:rsidR="00B03645" w:rsidRPr="00B03645" w:rsidRDefault="00B03645" w:rsidP="00F51FCC">
      <w:pPr>
        <w:pStyle w:val="ListBullet"/>
        <w:rPr>
          <w:lang w:eastAsia="ja-JP"/>
        </w:rPr>
      </w:pPr>
      <w:r w:rsidRPr="00B03645">
        <w:rPr>
          <w:lang w:eastAsia="ja-JP"/>
        </w:rPr>
        <w:lastRenderedPageBreak/>
        <w:t xml:space="preserve">15 </w:t>
      </w:r>
      <w:r w:rsidR="00696781">
        <w:rPr>
          <w:lang w:eastAsia="ja-JP"/>
        </w:rPr>
        <w:t>µg</w:t>
      </w:r>
      <w:r w:rsidRPr="00B03645">
        <w:rPr>
          <w:lang w:eastAsia="ja-JP"/>
        </w:rPr>
        <w:t xml:space="preserve"> A/Texas/50/2012 (H3N2)-like virus;</w:t>
      </w:r>
    </w:p>
    <w:p w14:paraId="21B6C77C" w14:textId="5F533881" w:rsidR="00B03645" w:rsidRPr="00B03645" w:rsidRDefault="00B03645" w:rsidP="00F51FCC">
      <w:pPr>
        <w:pStyle w:val="ListBullet"/>
        <w:rPr>
          <w:lang w:eastAsia="ja-JP"/>
        </w:rPr>
      </w:pPr>
      <w:r w:rsidRPr="00B03645">
        <w:rPr>
          <w:lang w:eastAsia="ja-JP"/>
        </w:rPr>
        <w:t xml:space="preserve">15 </w:t>
      </w:r>
      <w:r w:rsidR="00696781">
        <w:rPr>
          <w:lang w:eastAsia="ja-JP"/>
        </w:rPr>
        <w:t>µg</w:t>
      </w:r>
      <w:r w:rsidRPr="00B03645">
        <w:rPr>
          <w:lang w:eastAsia="ja-JP"/>
        </w:rPr>
        <w:t xml:space="preserve"> B/Massachusetts/2/2012-like virus </w:t>
      </w:r>
      <w:r w:rsidRPr="00B03645">
        <w:rPr>
          <w:i/>
          <w:iCs/>
          <w:lang w:eastAsia="ja-JP"/>
        </w:rPr>
        <w:t>(B/Yamagata lineage)</w:t>
      </w:r>
      <w:r w:rsidRPr="00B03645">
        <w:rPr>
          <w:lang w:eastAsia="ja-JP"/>
        </w:rPr>
        <w:t>;</w:t>
      </w:r>
    </w:p>
    <w:p w14:paraId="7C0FABDF" w14:textId="4E1650A8" w:rsidR="00B03645" w:rsidRPr="00B03645" w:rsidRDefault="00B03645" w:rsidP="00F51FCC">
      <w:pPr>
        <w:pStyle w:val="ListBullet"/>
        <w:rPr>
          <w:lang w:eastAsia="ja-JP"/>
        </w:rPr>
      </w:pPr>
      <w:r w:rsidRPr="00B03645">
        <w:rPr>
          <w:lang w:eastAsia="ja-JP"/>
        </w:rPr>
        <w:t xml:space="preserve">15 </w:t>
      </w:r>
      <w:r w:rsidR="00696781">
        <w:rPr>
          <w:lang w:eastAsia="ja-JP"/>
        </w:rPr>
        <w:t>µg</w:t>
      </w:r>
      <w:r w:rsidRPr="00B03645">
        <w:rPr>
          <w:lang w:eastAsia="ja-JP"/>
        </w:rPr>
        <w:t xml:space="preserve"> B/Brisbane/60/2008-like virus </w:t>
      </w:r>
      <w:r w:rsidRPr="00B03645">
        <w:rPr>
          <w:i/>
          <w:iCs/>
          <w:lang w:eastAsia="ja-JP"/>
        </w:rPr>
        <w:t>(B/Victoria lineage).</w:t>
      </w:r>
    </w:p>
    <w:p w14:paraId="00418353" w14:textId="5A3FF034" w:rsidR="00B03645" w:rsidRPr="00B03645" w:rsidRDefault="00764463" w:rsidP="00F51FCC">
      <w:pPr>
        <w:pStyle w:val="Heading6"/>
        <w:rPr>
          <w:lang w:eastAsia="ja-JP"/>
        </w:rPr>
      </w:pPr>
      <w:r>
        <w:rPr>
          <w:lang w:eastAsia="ja-JP"/>
        </w:rPr>
        <w:t>Comparator p</w:t>
      </w:r>
      <w:r w:rsidR="00F51FCC">
        <w:rPr>
          <w:lang w:eastAsia="ja-JP"/>
        </w:rPr>
        <w:t>roducts</w:t>
      </w:r>
    </w:p>
    <w:p w14:paraId="6C57BD9F" w14:textId="4F5BDF8D" w:rsidR="00B03645" w:rsidRPr="00B03645" w:rsidRDefault="003073A8" w:rsidP="00B03645">
      <w:pPr>
        <w:rPr>
          <w:b/>
          <w:lang w:eastAsia="ja-JP"/>
        </w:rPr>
      </w:pPr>
      <w:r>
        <w:rPr>
          <w:i/>
          <w:lang w:eastAsia="ja-JP"/>
        </w:rPr>
        <w:t>Seqirus</w:t>
      </w:r>
      <w:r w:rsidRPr="00F51FCC">
        <w:rPr>
          <w:i/>
          <w:lang w:eastAsia="ja-JP"/>
        </w:rPr>
        <w:t xml:space="preserve"> </w:t>
      </w:r>
      <w:r w:rsidR="00B03645" w:rsidRPr="00F51FCC">
        <w:rPr>
          <w:i/>
          <w:lang w:eastAsia="ja-JP"/>
        </w:rPr>
        <w:t>TIV-1 (Afluria</w:t>
      </w:r>
      <w:r w:rsidR="00F51FCC">
        <w:rPr>
          <w:i/>
          <w:lang w:eastAsia="ja-JP"/>
        </w:rPr>
        <w:t>)</w:t>
      </w:r>
      <w:r w:rsidR="00F51FCC">
        <w:rPr>
          <w:lang w:eastAsia="ja-JP"/>
        </w:rPr>
        <w:t xml:space="preserve">: </w:t>
      </w:r>
      <w:r w:rsidR="00B03645" w:rsidRPr="00B03645">
        <w:rPr>
          <w:lang w:eastAsia="ja-JP"/>
        </w:rPr>
        <w:t>inactivated, split-virion,</w:t>
      </w:r>
      <w:r w:rsidR="00B03645" w:rsidRPr="00B03645">
        <w:rPr>
          <w:b/>
          <w:lang w:eastAsia="ja-JP"/>
        </w:rPr>
        <w:t xml:space="preserve"> </w:t>
      </w:r>
      <w:r w:rsidR="00B03645" w:rsidRPr="00B03645">
        <w:rPr>
          <w:lang w:eastAsia="ja-JP"/>
        </w:rPr>
        <w:t>thi</w:t>
      </w:r>
      <w:r w:rsidR="001C7A75">
        <w:rPr>
          <w:lang w:eastAsia="ja-JP"/>
        </w:rPr>
        <w:t>o</w:t>
      </w:r>
      <w:r w:rsidR="00B03645" w:rsidRPr="00B03645">
        <w:rPr>
          <w:lang w:eastAsia="ja-JP"/>
        </w:rPr>
        <w:t>mersal-free, TIV, administered as one</w:t>
      </w:r>
      <w:r w:rsidR="00B03645" w:rsidRPr="00B03645">
        <w:rPr>
          <w:b/>
          <w:lang w:eastAsia="ja-JP"/>
        </w:rPr>
        <w:t xml:space="preserve"> </w:t>
      </w:r>
      <w:r w:rsidR="00B03645" w:rsidRPr="00B03645">
        <w:rPr>
          <w:lang w:eastAsia="ja-JP"/>
        </w:rPr>
        <w:t>0.5 mL IM dose into the deltoid muscle. The vaccine is</w:t>
      </w:r>
      <w:r w:rsidR="00B03645" w:rsidRPr="00B03645">
        <w:rPr>
          <w:b/>
          <w:lang w:eastAsia="ja-JP"/>
        </w:rPr>
        <w:t xml:space="preserve"> </w:t>
      </w:r>
      <w:r w:rsidR="00B03645" w:rsidRPr="00B03645">
        <w:rPr>
          <w:lang w:eastAsia="ja-JP"/>
        </w:rPr>
        <w:t>presented in a pre-filled needle-less syringe.</w:t>
      </w:r>
      <w:r w:rsidR="00B03645" w:rsidRPr="00B03645">
        <w:rPr>
          <w:b/>
          <w:lang w:eastAsia="ja-JP"/>
        </w:rPr>
        <w:t xml:space="preserve"> </w:t>
      </w:r>
      <w:r w:rsidR="00B03645" w:rsidRPr="00B03645">
        <w:rPr>
          <w:lang w:eastAsia="ja-JP"/>
        </w:rPr>
        <w:t xml:space="preserve">Each 0.5 mL dose contains 15 </w:t>
      </w:r>
      <w:r w:rsidR="00696781">
        <w:rPr>
          <w:lang w:eastAsia="ja-JP"/>
        </w:rPr>
        <w:t>µg</w:t>
      </w:r>
      <w:r w:rsidR="00B03645" w:rsidRPr="00B03645">
        <w:rPr>
          <w:lang w:eastAsia="ja-JP"/>
        </w:rPr>
        <w:t xml:space="preserve"> HA from each of the following</w:t>
      </w:r>
      <w:r w:rsidR="00B03645" w:rsidRPr="00B03645">
        <w:rPr>
          <w:b/>
          <w:lang w:eastAsia="ja-JP"/>
        </w:rPr>
        <w:t xml:space="preserve"> </w:t>
      </w:r>
      <w:r w:rsidR="00B03645" w:rsidRPr="00B03645">
        <w:rPr>
          <w:lang w:eastAsia="ja-JP"/>
        </w:rPr>
        <w:t>3 influenza strains (recommended for a trivalent influenza</w:t>
      </w:r>
      <w:r w:rsidR="00B03645" w:rsidRPr="00B03645">
        <w:rPr>
          <w:b/>
          <w:lang w:eastAsia="ja-JP"/>
        </w:rPr>
        <w:t xml:space="preserve"> </w:t>
      </w:r>
      <w:r w:rsidR="00B03645" w:rsidRPr="00B03645">
        <w:rPr>
          <w:lang w:eastAsia="ja-JP"/>
        </w:rPr>
        <w:t>vaccine</w:t>
      </w:r>
      <w:r w:rsidR="00764463">
        <w:rPr>
          <w:lang w:eastAsia="ja-JP"/>
        </w:rPr>
        <w:t xml:space="preserve"> by the FDA VRBPAC for the 2014 to </w:t>
      </w:r>
      <w:r w:rsidR="00B03645" w:rsidRPr="00B03645">
        <w:rPr>
          <w:lang w:eastAsia="ja-JP"/>
        </w:rPr>
        <w:t>2015 influenza season</w:t>
      </w:r>
      <w:r w:rsidR="00B03645" w:rsidRPr="00B03645">
        <w:rPr>
          <w:b/>
          <w:lang w:eastAsia="ja-JP"/>
        </w:rPr>
        <w:t xml:space="preserve"> </w:t>
      </w:r>
      <w:r w:rsidR="00B03645" w:rsidRPr="00B03645">
        <w:rPr>
          <w:lang w:eastAsia="ja-JP"/>
        </w:rPr>
        <w:t>in the US):</w:t>
      </w:r>
    </w:p>
    <w:p w14:paraId="7D127EFC" w14:textId="7562D690" w:rsidR="00B03645" w:rsidRPr="00B03645" w:rsidRDefault="00B03645" w:rsidP="00F51FCC">
      <w:pPr>
        <w:pStyle w:val="ListBullet"/>
        <w:rPr>
          <w:lang w:eastAsia="ja-JP"/>
        </w:rPr>
      </w:pPr>
      <w:r w:rsidRPr="00B03645">
        <w:rPr>
          <w:lang w:eastAsia="ja-JP"/>
        </w:rPr>
        <w:t xml:space="preserve">15 </w:t>
      </w:r>
      <w:r w:rsidR="00696781">
        <w:rPr>
          <w:lang w:eastAsia="ja-JP"/>
        </w:rPr>
        <w:t>µg</w:t>
      </w:r>
      <w:r w:rsidRPr="00B03645">
        <w:rPr>
          <w:lang w:eastAsia="ja-JP"/>
        </w:rPr>
        <w:t xml:space="preserve"> A</w:t>
      </w:r>
      <w:r w:rsidR="00F51FCC">
        <w:rPr>
          <w:lang w:eastAsia="ja-JP"/>
        </w:rPr>
        <w:t>/California/7/2009 (H1N1) pdm09-</w:t>
      </w:r>
      <w:r w:rsidRPr="00B03645">
        <w:rPr>
          <w:lang w:eastAsia="ja-JP"/>
        </w:rPr>
        <w:t>like virus;</w:t>
      </w:r>
    </w:p>
    <w:p w14:paraId="499E8C4C" w14:textId="618EAE52" w:rsidR="00B03645" w:rsidRPr="00B03645" w:rsidRDefault="00B03645" w:rsidP="00F51FCC">
      <w:pPr>
        <w:pStyle w:val="ListBullet"/>
        <w:rPr>
          <w:lang w:eastAsia="ja-JP"/>
        </w:rPr>
      </w:pPr>
      <w:r w:rsidRPr="00B03645">
        <w:rPr>
          <w:lang w:eastAsia="ja-JP"/>
        </w:rPr>
        <w:t xml:space="preserve">15 </w:t>
      </w:r>
      <w:r w:rsidR="00696781">
        <w:rPr>
          <w:lang w:eastAsia="ja-JP"/>
        </w:rPr>
        <w:t>µg</w:t>
      </w:r>
      <w:r w:rsidRPr="00B03645">
        <w:rPr>
          <w:lang w:eastAsia="ja-JP"/>
        </w:rPr>
        <w:t xml:space="preserve"> A/Texas/50/2012 (H3N2)-like virus;</w:t>
      </w:r>
    </w:p>
    <w:p w14:paraId="62791819" w14:textId="73F4991E" w:rsidR="00B03645" w:rsidRPr="00B03645" w:rsidRDefault="00B03645" w:rsidP="00F51FCC">
      <w:pPr>
        <w:pStyle w:val="ListBullet"/>
        <w:rPr>
          <w:lang w:eastAsia="ja-JP"/>
        </w:rPr>
      </w:pPr>
      <w:r w:rsidRPr="00B03645">
        <w:rPr>
          <w:lang w:eastAsia="ja-JP"/>
        </w:rPr>
        <w:t xml:space="preserve">15 </w:t>
      </w:r>
      <w:r w:rsidR="00696781">
        <w:rPr>
          <w:lang w:eastAsia="ja-JP"/>
        </w:rPr>
        <w:t>µg</w:t>
      </w:r>
      <w:r w:rsidRPr="00B03645">
        <w:rPr>
          <w:lang w:eastAsia="ja-JP"/>
        </w:rPr>
        <w:t xml:space="preserve"> B/Massachusetts/2/2012-like virus (</w:t>
      </w:r>
      <w:r w:rsidRPr="00F51FCC">
        <w:rPr>
          <w:lang w:eastAsia="ja-JP"/>
        </w:rPr>
        <w:t>B/Yamagata lineage - B strain recommended for TIV).</w:t>
      </w:r>
    </w:p>
    <w:p w14:paraId="5A9E64C7" w14:textId="129C0110" w:rsidR="00B03645" w:rsidRPr="00B03645" w:rsidRDefault="003073A8" w:rsidP="00B03645">
      <w:pPr>
        <w:rPr>
          <w:b/>
          <w:lang w:eastAsia="ja-JP"/>
        </w:rPr>
      </w:pPr>
      <w:r>
        <w:rPr>
          <w:i/>
          <w:lang w:eastAsia="ja-JP"/>
        </w:rPr>
        <w:t>Seqirus</w:t>
      </w:r>
      <w:r w:rsidRPr="00F51FCC">
        <w:rPr>
          <w:i/>
          <w:lang w:eastAsia="ja-JP"/>
        </w:rPr>
        <w:t xml:space="preserve"> </w:t>
      </w:r>
      <w:r w:rsidR="00B03645" w:rsidRPr="00F51FCC">
        <w:rPr>
          <w:i/>
          <w:lang w:eastAsia="ja-JP"/>
        </w:rPr>
        <w:t>TIV-2</w:t>
      </w:r>
      <w:r w:rsidR="00B03645" w:rsidRPr="00F51FCC">
        <w:rPr>
          <w:lang w:eastAsia="ja-JP"/>
        </w:rPr>
        <w:t>:</w:t>
      </w:r>
      <w:r w:rsidR="00B03645" w:rsidRPr="00B03645">
        <w:rPr>
          <w:lang w:eastAsia="ja-JP"/>
        </w:rPr>
        <w:t xml:space="preserve"> inactivated, split virion, thiomersal-free, TIV, administered as one 0.5 mL IM dose into the deltoid muscle. The vaccine is presented in a pre-filled</w:t>
      </w:r>
      <w:r w:rsidR="00B03645" w:rsidRPr="00B03645">
        <w:rPr>
          <w:b/>
          <w:lang w:eastAsia="ja-JP"/>
        </w:rPr>
        <w:t xml:space="preserve"> </w:t>
      </w:r>
      <w:r w:rsidR="00B03645" w:rsidRPr="00B03645">
        <w:rPr>
          <w:lang w:eastAsia="ja-JP"/>
        </w:rPr>
        <w:t xml:space="preserve">needle-less syringe. Each 0.5 mL dose contains 15 </w:t>
      </w:r>
      <w:r w:rsidR="00696781">
        <w:rPr>
          <w:lang w:eastAsia="ja-JP"/>
        </w:rPr>
        <w:t>µg</w:t>
      </w:r>
      <w:r w:rsidR="00B03645" w:rsidRPr="00B03645">
        <w:rPr>
          <w:lang w:eastAsia="ja-JP"/>
        </w:rPr>
        <w:t xml:space="preserve"> HA from each of the following 3 influenza strains (two influenza A strains recommended for a trivalent influenza vaccine </w:t>
      </w:r>
      <w:r w:rsidR="00764463">
        <w:rPr>
          <w:lang w:eastAsia="ja-JP"/>
        </w:rPr>
        <w:t xml:space="preserve">by the FDA VRBPAC for the 2014 to </w:t>
      </w:r>
      <w:r w:rsidR="00B03645" w:rsidRPr="00B03645">
        <w:rPr>
          <w:lang w:eastAsia="ja-JP"/>
        </w:rPr>
        <w:t>2015 influenza season in the US and the alternate B strain to that recommended for TIV):</w:t>
      </w:r>
    </w:p>
    <w:p w14:paraId="098CFD23" w14:textId="79049FA3" w:rsidR="00B03645" w:rsidRPr="00B03645" w:rsidRDefault="00B03645" w:rsidP="00764463">
      <w:pPr>
        <w:pStyle w:val="ListBullet"/>
        <w:rPr>
          <w:lang w:eastAsia="ja-JP"/>
        </w:rPr>
      </w:pPr>
      <w:r w:rsidRPr="00B03645">
        <w:rPr>
          <w:lang w:eastAsia="ja-JP"/>
        </w:rPr>
        <w:t xml:space="preserve">15 </w:t>
      </w:r>
      <w:r w:rsidR="00696781">
        <w:rPr>
          <w:lang w:eastAsia="ja-JP"/>
        </w:rPr>
        <w:t>µg</w:t>
      </w:r>
      <w:r w:rsidRPr="00B03645">
        <w:rPr>
          <w:lang w:eastAsia="ja-JP"/>
        </w:rPr>
        <w:t xml:space="preserve"> A/California/7/2009 (H1N1)</w:t>
      </w:r>
      <w:r w:rsidR="00F51FCC">
        <w:rPr>
          <w:lang w:eastAsia="ja-JP"/>
        </w:rPr>
        <w:t xml:space="preserve"> </w:t>
      </w:r>
      <w:r w:rsidRPr="00B03645">
        <w:rPr>
          <w:lang w:eastAsia="ja-JP"/>
        </w:rPr>
        <w:t>pdm09-like virus;</w:t>
      </w:r>
    </w:p>
    <w:p w14:paraId="00D7EF33" w14:textId="127786C2" w:rsidR="00B03645" w:rsidRPr="00B03645" w:rsidRDefault="00B03645" w:rsidP="00764463">
      <w:pPr>
        <w:pStyle w:val="ListBullet"/>
        <w:rPr>
          <w:lang w:eastAsia="ja-JP"/>
        </w:rPr>
      </w:pPr>
      <w:r w:rsidRPr="00B03645">
        <w:rPr>
          <w:lang w:eastAsia="ja-JP"/>
        </w:rPr>
        <w:t xml:space="preserve">15 </w:t>
      </w:r>
      <w:r w:rsidR="00696781">
        <w:rPr>
          <w:lang w:eastAsia="ja-JP"/>
        </w:rPr>
        <w:t>µg</w:t>
      </w:r>
      <w:r w:rsidRPr="00B03645">
        <w:rPr>
          <w:lang w:eastAsia="ja-JP"/>
        </w:rPr>
        <w:t xml:space="preserve"> A/Texas/50/2012 (H3N2)-like virus;</w:t>
      </w:r>
    </w:p>
    <w:p w14:paraId="5E224427" w14:textId="68309D78" w:rsidR="00B03645" w:rsidRPr="00F51FCC" w:rsidRDefault="00B03645" w:rsidP="00764463">
      <w:pPr>
        <w:pStyle w:val="ListBullet"/>
        <w:rPr>
          <w:lang w:eastAsia="ja-JP"/>
        </w:rPr>
      </w:pPr>
      <w:r w:rsidRPr="00B03645">
        <w:rPr>
          <w:lang w:eastAsia="ja-JP"/>
        </w:rPr>
        <w:t xml:space="preserve">15 </w:t>
      </w:r>
      <w:r w:rsidR="00696781">
        <w:rPr>
          <w:lang w:eastAsia="ja-JP"/>
        </w:rPr>
        <w:t>µg</w:t>
      </w:r>
      <w:r w:rsidRPr="00B03645">
        <w:rPr>
          <w:lang w:eastAsia="ja-JP"/>
        </w:rPr>
        <w:t xml:space="preserve"> B/Brisbane/60/2008-like virus </w:t>
      </w:r>
      <w:r w:rsidRPr="00F51FCC">
        <w:rPr>
          <w:lang w:eastAsia="ja-JP"/>
        </w:rPr>
        <w:t>(B/Victoria lineage</w:t>
      </w:r>
      <w:r w:rsidRPr="00B03645">
        <w:rPr>
          <w:lang w:eastAsia="ja-JP"/>
        </w:rPr>
        <w:t xml:space="preserve"> - alternate B strain).</w:t>
      </w:r>
    </w:p>
    <w:p w14:paraId="639D7D3C" w14:textId="77777777" w:rsidR="00B03645" w:rsidRPr="00B03645" w:rsidRDefault="00B03645" w:rsidP="00F51FCC">
      <w:pPr>
        <w:pStyle w:val="Heading5"/>
        <w:rPr>
          <w:lang w:eastAsia="ja-JP"/>
        </w:rPr>
      </w:pPr>
      <w:r w:rsidRPr="00B03645">
        <w:rPr>
          <w:lang w:eastAsia="ja-JP"/>
        </w:rPr>
        <w:t>Efficacy variables and outcomes</w:t>
      </w:r>
    </w:p>
    <w:p w14:paraId="7CA38AAD" w14:textId="77777777" w:rsidR="00764463" w:rsidRDefault="00B03645" w:rsidP="00B03645">
      <w:pPr>
        <w:rPr>
          <w:lang w:eastAsia="ja-JP"/>
        </w:rPr>
      </w:pPr>
      <w:r w:rsidRPr="00F51FCC">
        <w:rPr>
          <w:lang w:eastAsia="ja-JP"/>
        </w:rPr>
        <w:t>T</w:t>
      </w:r>
      <w:r w:rsidR="00E04D08">
        <w:rPr>
          <w:lang w:eastAsia="ja-JP"/>
        </w:rPr>
        <w:t>he main efficacy variables were</w:t>
      </w:r>
      <w:r w:rsidR="00764463">
        <w:rPr>
          <w:lang w:eastAsia="ja-JP"/>
        </w:rPr>
        <w:t>:</w:t>
      </w:r>
    </w:p>
    <w:p w14:paraId="71E2E258" w14:textId="4B1231BB" w:rsidR="00764463" w:rsidRDefault="00183B57" w:rsidP="00B03645">
      <w:pPr>
        <w:pStyle w:val="ListBullet"/>
        <w:rPr>
          <w:lang w:eastAsia="ja-JP"/>
        </w:rPr>
      </w:pPr>
      <w:r>
        <w:rPr>
          <w:lang w:eastAsia="ja-JP"/>
        </w:rPr>
        <w:t>I</w:t>
      </w:r>
      <w:r w:rsidR="00B03645" w:rsidRPr="00F51FCC">
        <w:rPr>
          <w:lang w:eastAsia="ja-JP"/>
        </w:rPr>
        <w:t xml:space="preserve">mmunogenicity </w:t>
      </w:r>
      <w:r w:rsidR="00F51FCC">
        <w:rPr>
          <w:lang w:eastAsia="ja-JP"/>
        </w:rPr>
        <w:t>e</w:t>
      </w:r>
      <w:r w:rsidR="00B03645" w:rsidRPr="00F51FCC">
        <w:rPr>
          <w:lang w:eastAsia="ja-JP"/>
        </w:rPr>
        <w:t>valuations</w:t>
      </w:r>
      <w:r w:rsidR="00F51FCC">
        <w:rPr>
          <w:lang w:eastAsia="ja-JP"/>
        </w:rPr>
        <w:t xml:space="preserve"> at approximately </w:t>
      </w:r>
      <w:r w:rsidR="00B03645" w:rsidRPr="00B03645">
        <w:rPr>
          <w:lang w:eastAsia="ja-JP"/>
        </w:rPr>
        <w:t>21 d</w:t>
      </w:r>
      <w:r w:rsidR="00764463">
        <w:rPr>
          <w:lang w:eastAsia="ja-JP"/>
        </w:rPr>
        <w:t>ays (+</w:t>
      </w:r>
      <w:r>
        <w:rPr>
          <w:lang w:eastAsia="ja-JP"/>
        </w:rPr>
        <w:t xml:space="preserve"> </w:t>
      </w:r>
      <w:r w:rsidR="00764463">
        <w:rPr>
          <w:lang w:eastAsia="ja-JP"/>
        </w:rPr>
        <w:t>4 days) after the vaccine;</w:t>
      </w:r>
    </w:p>
    <w:p w14:paraId="6A00E87F" w14:textId="7A142845" w:rsidR="00B03645" w:rsidRPr="00B03645" w:rsidRDefault="00183B57" w:rsidP="00B03645">
      <w:pPr>
        <w:pStyle w:val="ListBullet"/>
        <w:rPr>
          <w:lang w:eastAsia="ja-JP"/>
        </w:rPr>
      </w:pPr>
      <w:r>
        <w:rPr>
          <w:lang w:eastAsia="ja-JP"/>
        </w:rPr>
        <w:t>S</w:t>
      </w:r>
      <w:r w:rsidR="00F51FCC" w:rsidRPr="00F51FCC">
        <w:rPr>
          <w:lang w:eastAsia="ja-JP"/>
        </w:rPr>
        <w:t>afety evaluations</w:t>
      </w:r>
      <w:r w:rsidR="00764463">
        <w:rPr>
          <w:lang w:eastAsia="ja-JP"/>
        </w:rPr>
        <w:t>:</w:t>
      </w:r>
      <w:r w:rsidR="00F51FCC" w:rsidRPr="00F51FCC">
        <w:rPr>
          <w:lang w:eastAsia="ja-JP"/>
        </w:rPr>
        <w:t xml:space="preserve"> </w:t>
      </w:r>
      <w:r w:rsidR="00F51FCC">
        <w:rPr>
          <w:lang w:eastAsia="ja-JP"/>
        </w:rPr>
        <w:t>s</w:t>
      </w:r>
      <w:r w:rsidR="00B03645" w:rsidRPr="00B03645">
        <w:rPr>
          <w:lang w:eastAsia="ja-JP"/>
        </w:rPr>
        <w:t>olicited local and systemic AEs for 7 days following vaccination (Day 1 to Day 7); cellulitis-like reaction, cellulitis and Grade 3 injection site induration/swelling for 28 days post vaccination; Unsolicited AEs for 28 days following vaccination; SAEs for 6 months following vaccination.</w:t>
      </w:r>
    </w:p>
    <w:p w14:paraId="3FE430DF" w14:textId="77777777" w:rsidR="00B03645" w:rsidRPr="00E04D08" w:rsidRDefault="00B03645" w:rsidP="00B03645">
      <w:pPr>
        <w:rPr>
          <w:lang w:eastAsia="ja-JP"/>
        </w:rPr>
      </w:pPr>
      <w:r w:rsidRPr="00E04D08">
        <w:rPr>
          <w:lang w:eastAsia="ja-JP"/>
        </w:rPr>
        <w:t>The primary efficacy outcomes were to evaluate the following:</w:t>
      </w:r>
    </w:p>
    <w:p w14:paraId="439750FA" w14:textId="77777777" w:rsidR="00F00CA9" w:rsidRDefault="00B03645" w:rsidP="00F00CA9">
      <w:pPr>
        <w:pStyle w:val="ListBullet"/>
        <w:rPr>
          <w:lang w:eastAsia="ja-JP"/>
        </w:rPr>
      </w:pPr>
      <w:r w:rsidRPr="00B03645">
        <w:rPr>
          <w:lang w:eastAsia="ja-JP"/>
        </w:rPr>
        <w:t>Immunogenicity assessed 21 days a</w:t>
      </w:r>
      <w:r w:rsidR="00E04D08">
        <w:rPr>
          <w:lang w:eastAsia="ja-JP"/>
        </w:rPr>
        <w:t xml:space="preserve">fter vaccine administration by </w:t>
      </w:r>
      <w:r w:rsidRPr="00B03645">
        <w:rPr>
          <w:lang w:eastAsia="ja-JP"/>
        </w:rPr>
        <w:t>measuring HAI titres to the 4 virus strains included in the vaccines. The non-inferiority of QIV compared to TIV-1, and to TIV-2 assessed for the co-primary endpoints of HI geometric mean titre (GMT) and seroconversion rate (SCR) for each virus strain included in the vaccines as follows:</w:t>
      </w:r>
    </w:p>
    <w:p w14:paraId="3BA30827" w14:textId="77777777" w:rsidR="00F00CA9" w:rsidRDefault="00E04D08" w:rsidP="00F00CA9">
      <w:pPr>
        <w:pStyle w:val="ListBullet2"/>
        <w:rPr>
          <w:lang w:eastAsia="ja-JP"/>
        </w:rPr>
      </w:pPr>
      <w:r>
        <w:rPr>
          <w:lang w:eastAsia="ja-JP"/>
        </w:rPr>
        <w:t>The GMT ratio</w:t>
      </w:r>
      <w:r w:rsidR="00B03645" w:rsidRPr="00B03645">
        <w:rPr>
          <w:lang w:eastAsia="ja-JP"/>
        </w:rPr>
        <w:t xml:space="preserve"> for the A/H1N1 strain;</w:t>
      </w:r>
      <w:r>
        <w:rPr>
          <w:rStyle w:val="FootnoteReference"/>
          <w:lang w:eastAsia="ja-JP"/>
        </w:rPr>
        <w:footnoteReference w:id="12"/>
      </w:r>
    </w:p>
    <w:p w14:paraId="44CBB63A" w14:textId="77777777" w:rsidR="00F00CA9" w:rsidRDefault="00B03645" w:rsidP="00F00CA9">
      <w:pPr>
        <w:pStyle w:val="ListBullet2"/>
        <w:rPr>
          <w:lang w:eastAsia="ja-JP"/>
        </w:rPr>
      </w:pPr>
      <w:r w:rsidRPr="00B03645">
        <w:rPr>
          <w:lang w:eastAsia="ja-JP"/>
        </w:rPr>
        <w:t>The GMT ratio for the A/H3N2 strain;</w:t>
      </w:r>
    </w:p>
    <w:p w14:paraId="58714335" w14:textId="77777777" w:rsidR="00F00CA9" w:rsidRDefault="00B03645" w:rsidP="00F00CA9">
      <w:pPr>
        <w:pStyle w:val="ListBullet2"/>
        <w:rPr>
          <w:lang w:eastAsia="ja-JP"/>
        </w:rPr>
      </w:pPr>
      <w:r w:rsidRPr="00B03645">
        <w:rPr>
          <w:lang w:eastAsia="ja-JP"/>
        </w:rPr>
        <w:t>The GMT ratio for the B strain (Yamagata lineage);</w:t>
      </w:r>
    </w:p>
    <w:p w14:paraId="1A7A614D" w14:textId="77777777" w:rsidR="00F00CA9" w:rsidRDefault="00B03645" w:rsidP="00F00CA9">
      <w:pPr>
        <w:pStyle w:val="ListBullet2"/>
        <w:rPr>
          <w:lang w:eastAsia="ja-JP"/>
        </w:rPr>
      </w:pPr>
      <w:r w:rsidRPr="00B03645">
        <w:rPr>
          <w:lang w:eastAsia="ja-JP"/>
        </w:rPr>
        <w:t>The GMT ratio for the B strain (Victoria lineage);</w:t>
      </w:r>
    </w:p>
    <w:p w14:paraId="2B22EFC3" w14:textId="6F417842" w:rsidR="00F00CA9" w:rsidRDefault="00BE4FB7" w:rsidP="00F00CA9">
      <w:pPr>
        <w:pStyle w:val="ListBullet2"/>
        <w:rPr>
          <w:lang w:eastAsia="ja-JP"/>
        </w:rPr>
      </w:pPr>
      <w:r>
        <w:rPr>
          <w:lang w:eastAsia="ja-JP"/>
        </w:rPr>
        <w:t>The difference between the SCR</w:t>
      </w:r>
      <w:r w:rsidR="00E04D08">
        <w:rPr>
          <w:lang w:eastAsia="ja-JP"/>
        </w:rPr>
        <w:t xml:space="preserve"> </w:t>
      </w:r>
      <w:r w:rsidR="00B03645" w:rsidRPr="00B03645">
        <w:rPr>
          <w:lang w:eastAsia="ja-JP"/>
        </w:rPr>
        <w:t>for the A/H1N1 strain;</w:t>
      </w:r>
      <w:r w:rsidR="00E04D08">
        <w:rPr>
          <w:rStyle w:val="FootnoteReference"/>
          <w:lang w:eastAsia="ja-JP"/>
        </w:rPr>
        <w:footnoteReference w:id="13"/>
      </w:r>
    </w:p>
    <w:p w14:paraId="2F3FFA06" w14:textId="77777777" w:rsidR="00F00CA9" w:rsidRDefault="00B03645" w:rsidP="00F00CA9">
      <w:pPr>
        <w:pStyle w:val="ListBullet2"/>
        <w:rPr>
          <w:lang w:eastAsia="ja-JP"/>
        </w:rPr>
      </w:pPr>
      <w:r w:rsidRPr="00B03645">
        <w:rPr>
          <w:lang w:eastAsia="ja-JP"/>
        </w:rPr>
        <w:lastRenderedPageBreak/>
        <w:t>The difference between the SCR for the A/H3N2 strain;</w:t>
      </w:r>
    </w:p>
    <w:p w14:paraId="176C22BA" w14:textId="77777777" w:rsidR="00F00CA9" w:rsidRDefault="00B03645" w:rsidP="00F00CA9">
      <w:pPr>
        <w:pStyle w:val="ListBullet2"/>
        <w:rPr>
          <w:lang w:eastAsia="ja-JP"/>
        </w:rPr>
      </w:pPr>
      <w:r w:rsidRPr="00B03645">
        <w:rPr>
          <w:lang w:eastAsia="ja-JP"/>
        </w:rPr>
        <w:t>The difference between the SCR for the B strain (Yamagata lineage);</w:t>
      </w:r>
    </w:p>
    <w:p w14:paraId="151ED7E3" w14:textId="2A7D0A1F" w:rsidR="00B03645" w:rsidRPr="00B03645" w:rsidRDefault="00B03645" w:rsidP="00F00CA9">
      <w:pPr>
        <w:pStyle w:val="ListBullet2"/>
        <w:rPr>
          <w:lang w:eastAsia="ja-JP"/>
        </w:rPr>
      </w:pPr>
      <w:r w:rsidRPr="00B03645">
        <w:rPr>
          <w:lang w:eastAsia="ja-JP"/>
        </w:rPr>
        <w:t>The difference between the SCR for the B strain (Victoria lineage).</w:t>
      </w:r>
    </w:p>
    <w:p w14:paraId="5B4CEB97" w14:textId="77777777" w:rsidR="00B03645" w:rsidRPr="00E04D08" w:rsidRDefault="00B03645" w:rsidP="00B03645">
      <w:pPr>
        <w:rPr>
          <w:lang w:eastAsia="ja-JP"/>
        </w:rPr>
      </w:pPr>
      <w:r w:rsidRPr="00E04D08">
        <w:rPr>
          <w:lang w:eastAsia="ja-JP"/>
        </w:rPr>
        <w:t>Other efficacy outcomes included:</w:t>
      </w:r>
    </w:p>
    <w:p w14:paraId="30F6EEAD" w14:textId="766F5992" w:rsidR="00B03645" w:rsidRPr="00B03645" w:rsidRDefault="00B03645" w:rsidP="00E04D08">
      <w:pPr>
        <w:pStyle w:val="ListBullet"/>
        <w:rPr>
          <w:lang w:eastAsia="ja-JP"/>
        </w:rPr>
      </w:pPr>
      <w:r w:rsidRPr="00B03645">
        <w:rPr>
          <w:lang w:eastAsia="ja-JP"/>
        </w:rPr>
        <w:t>Non-inferiority of QIV v</w:t>
      </w:r>
      <w:r w:rsidR="00E04D08">
        <w:rPr>
          <w:lang w:eastAsia="ja-JP"/>
        </w:rPr>
        <w:t>ersus</w:t>
      </w:r>
      <w:r w:rsidRPr="00B03645">
        <w:rPr>
          <w:lang w:eastAsia="ja-JP"/>
        </w:rPr>
        <w:t xml:space="preserve"> TIV-1, and TIV-2 will be assessed separately within each age group (18 to &lt;</w:t>
      </w:r>
      <w:r w:rsidR="00E04D08">
        <w:rPr>
          <w:lang w:eastAsia="ja-JP"/>
        </w:rPr>
        <w:t xml:space="preserve"> </w:t>
      </w:r>
      <w:r w:rsidRPr="00B03645">
        <w:rPr>
          <w:lang w:eastAsia="ja-JP"/>
        </w:rPr>
        <w:t>65 y</w:t>
      </w:r>
      <w:r w:rsidR="00E04D08">
        <w:rPr>
          <w:lang w:eastAsia="ja-JP"/>
        </w:rPr>
        <w:t>ea</w:t>
      </w:r>
      <w:r w:rsidRPr="00B03645">
        <w:rPr>
          <w:lang w:eastAsia="ja-JP"/>
        </w:rPr>
        <w:t xml:space="preserve">rs and </w:t>
      </w:r>
      <w:r w:rsidR="00E936A1">
        <w:rPr>
          <w:lang w:eastAsia="ja-JP"/>
        </w:rPr>
        <w:t xml:space="preserve">≥ </w:t>
      </w:r>
      <w:r w:rsidRPr="00B03645">
        <w:rPr>
          <w:lang w:eastAsia="ja-JP"/>
        </w:rPr>
        <w:t>65 y</w:t>
      </w:r>
      <w:r w:rsidR="00E04D08">
        <w:rPr>
          <w:lang w:eastAsia="ja-JP"/>
        </w:rPr>
        <w:t>ea</w:t>
      </w:r>
      <w:r w:rsidRPr="00B03645">
        <w:rPr>
          <w:lang w:eastAsia="ja-JP"/>
        </w:rPr>
        <w:t>rs of age), by the co-primary endpoints of HAI GMT and SCR for each virus strain included in the vaccines as described for the primary endpoint.</w:t>
      </w:r>
    </w:p>
    <w:p w14:paraId="0C2F2F21" w14:textId="396CE6C2" w:rsidR="00B03645" w:rsidRPr="00B03645" w:rsidRDefault="00B03645" w:rsidP="00E04D08">
      <w:pPr>
        <w:pStyle w:val="ListBullet"/>
        <w:rPr>
          <w:lang w:eastAsia="ja-JP"/>
        </w:rPr>
      </w:pPr>
      <w:r w:rsidRPr="00B03645">
        <w:rPr>
          <w:lang w:eastAsia="ja-JP"/>
        </w:rPr>
        <w:t>Immunologic superiority</w:t>
      </w:r>
      <w:r w:rsidR="00037CC3">
        <w:rPr>
          <w:lang w:eastAsia="ja-JP"/>
        </w:rPr>
        <w:t xml:space="preserve"> of the alternate B strain (for example</w:t>
      </w:r>
      <w:r w:rsidRPr="00B03645">
        <w:rPr>
          <w:lang w:eastAsia="ja-JP"/>
        </w:rPr>
        <w:t xml:space="preserve"> the influenza B strain included in the QIV but not in the TIV formulation) in QIV will be assessed separately within each age group (18 to &lt;</w:t>
      </w:r>
      <w:r w:rsidR="00E04D08">
        <w:rPr>
          <w:lang w:eastAsia="ja-JP"/>
        </w:rPr>
        <w:t> </w:t>
      </w:r>
      <w:r w:rsidRPr="00B03645">
        <w:rPr>
          <w:lang w:eastAsia="ja-JP"/>
        </w:rPr>
        <w:t>65 y</w:t>
      </w:r>
      <w:r w:rsidR="00E04D08">
        <w:rPr>
          <w:lang w:eastAsia="ja-JP"/>
        </w:rPr>
        <w:t>ea</w:t>
      </w:r>
      <w:r w:rsidRPr="00B03645">
        <w:rPr>
          <w:lang w:eastAsia="ja-JP"/>
        </w:rPr>
        <w:t xml:space="preserve">rs and </w:t>
      </w:r>
      <w:r w:rsidR="00E936A1">
        <w:rPr>
          <w:lang w:eastAsia="ja-JP"/>
        </w:rPr>
        <w:t xml:space="preserve">≥ </w:t>
      </w:r>
      <w:r w:rsidRPr="00B03645">
        <w:rPr>
          <w:lang w:eastAsia="ja-JP"/>
        </w:rPr>
        <w:t>65 y</w:t>
      </w:r>
      <w:r w:rsidR="00E04D08">
        <w:rPr>
          <w:lang w:eastAsia="ja-JP"/>
        </w:rPr>
        <w:t>ea</w:t>
      </w:r>
      <w:r w:rsidRPr="00B03645">
        <w:rPr>
          <w:lang w:eastAsia="ja-JP"/>
        </w:rPr>
        <w:t>rs of age), and overall, by the co-primary endpoints of HAI GMT and SCR for each B virus strain.</w:t>
      </w:r>
    </w:p>
    <w:p w14:paraId="5A67ACB9" w14:textId="77777777" w:rsidR="00E04D08" w:rsidRDefault="00B03645" w:rsidP="00B03645">
      <w:pPr>
        <w:pStyle w:val="ListBullet"/>
        <w:rPr>
          <w:lang w:eastAsia="ja-JP"/>
        </w:rPr>
      </w:pPr>
      <w:r w:rsidRPr="00B03645">
        <w:rPr>
          <w:lang w:eastAsia="ja-JP"/>
        </w:rPr>
        <w:t>The immunogenicity of QIV, TIV-1 and TIV-2 will be assessed in terms of HAI antibodies. Serum HAI antibody titres against the 4 influenza vaccine strains used to calculate:</w:t>
      </w:r>
    </w:p>
    <w:p w14:paraId="17831BFF" w14:textId="77777777" w:rsidR="00F00CA9" w:rsidRDefault="00B03645" w:rsidP="00B03645">
      <w:pPr>
        <w:pStyle w:val="ListBullet2"/>
        <w:rPr>
          <w:lang w:eastAsia="ja-JP"/>
        </w:rPr>
      </w:pPr>
      <w:r w:rsidRPr="00B03645">
        <w:rPr>
          <w:lang w:eastAsia="ja-JP"/>
        </w:rPr>
        <w:t>GMT: Geometric mean of HAI titres pre-vaccination (Day 1) and post-vaccination (Day 21);</w:t>
      </w:r>
    </w:p>
    <w:p w14:paraId="13E383C4" w14:textId="2D9075F3" w:rsidR="00F00CA9" w:rsidRDefault="00B03645" w:rsidP="00B03645">
      <w:pPr>
        <w:pStyle w:val="ListBullet2"/>
        <w:rPr>
          <w:lang w:eastAsia="ja-JP"/>
        </w:rPr>
      </w:pPr>
      <w:r w:rsidRPr="00B03645">
        <w:rPr>
          <w:lang w:eastAsia="ja-JP"/>
        </w:rPr>
        <w:t>Geometric Mean Fold Increase (GMFI): Geometric mean fold titre rise from Day 1 to Day 21;</w:t>
      </w:r>
      <w:r w:rsidR="00F00CA9">
        <w:rPr>
          <w:rStyle w:val="FootnoteReference"/>
          <w:lang w:eastAsia="ja-JP"/>
        </w:rPr>
        <w:footnoteReference w:id="14"/>
      </w:r>
    </w:p>
    <w:p w14:paraId="4021332E" w14:textId="495F5EF3" w:rsidR="00F00CA9" w:rsidRDefault="00F00CA9" w:rsidP="00B03645">
      <w:pPr>
        <w:pStyle w:val="ListBullet2"/>
        <w:rPr>
          <w:lang w:eastAsia="ja-JP"/>
        </w:rPr>
      </w:pPr>
      <w:r>
        <w:rPr>
          <w:lang w:eastAsia="ja-JP"/>
        </w:rPr>
        <w:t>The percentage</w:t>
      </w:r>
      <w:r w:rsidR="00B03645" w:rsidRPr="00B03645">
        <w:rPr>
          <w:lang w:eastAsia="ja-JP"/>
        </w:rPr>
        <w:t xml:space="preserve"> of subjects with a titre </w:t>
      </w:r>
      <w:r w:rsidR="00E936A1">
        <w:rPr>
          <w:lang w:eastAsia="ja-JP"/>
        </w:rPr>
        <w:t xml:space="preserve">≥ </w:t>
      </w:r>
      <w:r w:rsidR="00B03645" w:rsidRPr="00B03645">
        <w:rPr>
          <w:lang w:eastAsia="ja-JP"/>
        </w:rPr>
        <w:t>40 (seroprotection rates) at Day 1 and Day 21;</w:t>
      </w:r>
    </w:p>
    <w:p w14:paraId="637534C3" w14:textId="3E4F5DA6" w:rsidR="00B03645" w:rsidRPr="00B03645" w:rsidRDefault="00F00CA9" w:rsidP="00B03645">
      <w:pPr>
        <w:pStyle w:val="ListBullet2"/>
        <w:rPr>
          <w:lang w:eastAsia="ja-JP"/>
        </w:rPr>
      </w:pPr>
      <w:r>
        <w:rPr>
          <w:lang w:eastAsia="ja-JP"/>
        </w:rPr>
        <w:t>SCR as a percentage</w:t>
      </w:r>
      <w:r w:rsidR="00B03645" w:rsidRPr="00B03645">
        <w:rPr>
          <w:lang w:eastAsia="ja-JP"/>
        </w:rPr>
        <w:t xml:space="preserve"> of subjects with either pre-vaccination HAI titre &lt;</w:t>
      </w:r>
      <w:r>
        <w:rPr>
          <w:lang w:eastAsia="ja-JP"/>
        </w:rPr>
        <w:t xml:space="preserve"> </w:t>
      </w:r>
      <w:r w:rsidR="00B03645" w:rsidRPr="00B03645">
        <w:rPr>
          <w:lang w:eastAsia="ja-JP"/>
        </w:rPr>
        <w:t xml:space="preserve">1:10 and a post-vaccination HAI titre </w:t>
      </w:r>
      <w:r w:rsidR="00E936A1">
        <w:rPr>
          <w:lang w:eastAsia="ja-JP"/>
        </w:rPr>
        <w:t xml:space="preserve">≥ </w:t>
      </w:r>
      <w:r w:rsidR="00B03645" w:rsidRPr="00B03645">
        <w:rPr>
          <w:lang w:eastAsia="ja-JP"/>
        </w:rPr>
        <w:t xml:space="preserve">1:40 or a pre-vaccination titre </w:t>
      </w:r>
      <w:r w:rsidR="00E936A1">
        <w:rPr>
          <w:lang w:eastAsia="ja-JP"/>
        </w:rPr>
        <w:t>≥ </w:t>
      </w:r>
      <w:r w:rsidR="00B03645" w:rsidRPr="00B03645">
        <w:rPr>
          <w:lang w:eastAsia="ja-JP"/>
        </w:rPr>
        <w:t xml:space="preserve">1:10 and a </w:t>
      </w:r>
      <w:r w:rsidR="00E936A1">
        <w:rPr>
          <w:lang w:eastAsia="ja-JP"/>
        </w:rPr>
        <w:t xml:space="preserve">≥ </w:t>
      </w:r>
      <w:r w:rsidR="00B03645" w:rsidRPr="00B03645">
        <w:rPr>
          <w:lang w:eastAsia="ja-JP"/>
        </w:rPr>
        <w:t>4-fold increase in post-vaccination titre.</w:t>
      </w:r>
    </w:p>
    <w:p w14:paraId="2275F5C8" w14:textId="77777777" w:rsidR="00B03645" w:rsidRPr="00B03645" w:rsidRDefault="00B03645" w:rsidP="00EF282B">
      <w:pPr>
        <w:pStyle w:val="Heading5"/>
      </w:pPr>
      <w:r w:rsidRPr="00B03645">
        <w:t>Randomisation and blinding methods</w:t>
      </w:r>
    </w:p>
    <w:p w14:paraId="2262C470" w14:textId="3CD23A06" w:rsidR="00B03645" w:rsidRPr="00B03645" w:rsidRDefault="00B03645" w:rsidP="00B03645">
      <w:pPr>
        <w:rPr>
          <w:lang w:eastAsia="ja-JP"/>
        </w:rPr>
      </w:pPr>
      <w:r w:rsidRPr="00B03645">
        <w:rPr>
          <w:lang w:eastAsia="ja-JP"/>
        </w:rPr>
        <w:t xml:space="preserve">The randomisation scheme used ensured the balance between the treatment groups was maintained. To ensure the study blind was maintained delegates from the Interactive Response Technology company in association with </w:t>
      </w:r>
      <w:r w:rsidR="001C7A75">
        <w:rPr>
          <w:lang w:eastAsia="ja-JP"/>
        </w:rPr>
        <w:t>Seqirus</w:t>
      </w:r>
      <w:r w:rsidRPr="00B03645">
        <w:rPr>
          <w:lang w:eastAsia="ja-JP"/>
        </w:rPr>
        <w:t xml:space="preserve"> statistician/delegates not directly involved in the analysis of study results prepared the study randomisation code. Investigational site staff including the investigator, were blinded to treatment allocation. Subjects, </w:t>
      </w:r>
      <w:r w:rsidR="001C7A75">
        <w:rPr>
          <w:lang w:eastAsia="ja-JP"/>
        </w:rPr>
        <w:t>Seqirus</w:t>
      </w:r>
      <w:r w:rsidR="001C7A75" w:rsidRPr="00B03645" w:rsidDel="001C7A75">
        <w:rPr>
          <w:lang w:eastAsia="ja-JP"/>
        </w:rPr>
        <w:t xml:space="preserve"> </w:t>
      </w:r>
      <w:r w:rsidRPr="00B03645">
        <w:rPr>
          <w:lang w:eastAsia="ja-JP"/>
        </w:rPr>
        <w:t>personnel and Contract Research Organisation personnel were also blinded to treatment allocation.</w:t>
      </w:r>
    </w:p>
    <w:p w14:paraId="7D093A90" w14:textId="77777777" w:rsidR="00B03645" w:rsidRPr="00B03645" w:rsidRDefault="00B03645" w:rsidP="00EF282B">
      <w:pPr>
        <w:pStyle w:val="Heading5"/>
        <w:rPr>
          <w:lang w:eastAsia="ja-JP"/>
        </w:rPr>
      </w:pPr>
      <w:r w:rsidRPr="00B03645">
        <w:rPr>
          <w:lang w:eastAsia="ja-JP"/>
        </w:rPr>
        <w:t>Analysis populations</w:t>
      </w:r>
    </w:p>
    <w:p w14:paraId="66189C53" w14:textId="5C14F054" w:rsidR="00B03645" w:rsidRPr="00B03645" w:rsidRDefault="00B03645" w:rsidP="00B03645">
      <w:pPr>
        <w:rPr>
          <w:lang w:eastAsia="ja-JP"/>
        </w:rPr>
      </w:pPr>
      <w:r w:rsidRPr="00B03645">
        <w:rPr>
          <w:lang w:eastAsia="ja-JP"/>
        </w:rPr>
        <w:t xml:space="preserve">The </w:t>
      </w:r>
      <w:r w:rsidR="00037CC3">
        <w:rPr>
          <w:lang w:eastAsia="ja-JP"/>
        </w:rPr>
        <w:t>f</w:t>
      </w:r>
      <w:r w:rsidRPr="00EF282B">
        <w:rPr>
          <w:lang w:eastAsia="ja-JP"/>
        </w:rPr>
        <w:t>ull</w:t>
      </w:r>
      <w:r w:rsidR="00037CC3">
        <w:rPr>
          <w:lang w:eastAsia="ja-JP"/>
        </w:rPr>
        <w:t xml:space="preserve"> analysis s</w:t>
      </w:r>
      <w:r w:rsidRPr="00EF282B">
        <w:rPr>
          <w:lang w:eastAsia="ja-JP"/>
        </w:rPr>
        <w:t>et</w:t>
      </w:r>
      <w:r w:rsidR="00EF282B">
        <w:rPr>
          <w:lang w:eastAsia="ja-JP"/>
        </w:rPr>
        <w:t xml:space="preserve"> (FAS) included</w:t>
      </w:r>
      <w:r w:rsidRPr="00B03645">
        <w:rPr>
          <w:lang w:eastAsia="ja-JP"/>
        </w:rPr>
        <w:t xml:space="preserve"> all subjects who provide informed consent and who were randomised to treatment. The FAS was used to produce summaries and listings of subject characteristics.</w:t>
      </w:r>
    </w:p>
    <w:p w14:paraId="5931F949" w14:textId="2BC645F7" w:rsidR="00B03645" w:rsidRPr="00B03645" w:rsidRDefault="00B03645" w:rsidP="00B03645">
      <w:pPr>
        <w:rPr>
          <w:lang w:eastAsia="ja-JP"/>
        </w:rPr>
      </w:pPr>
      <w:r w:rsidRPr="00B03645">
        <w:rPr>
          <w:lang w:eastAsia="ja-JP"/>
        </w:rPr>
        <w:t xml:space="preserve">The </w:t>
      </w:r>
      <w:r w:rsidR="00037CC3">
        <w:rPr>
          <w:lang w:eastAsia="ja-JP"/>
        </w:rPr>
        <w:t>evaluable p</w:t>
      </w:r>
      <w:r w:rsidRPr="00EF282B">
        <w:rPr>
          <w:lang w:eastAsia="ja-JP"/>
        </w:rPr>
        <w:t>opulation for immunogenicity analysis</w:t>
      </w:r>
      <w:r w:rsidR="00EF282B">
        <w:rPr>
          <w:lang w:eastAsia="ja-JP"/>
        </w:rPr>
        <w:t xml:space="preserve"> included all </w:t>
      </w:r>
      <w:r w:rsidRPr="00B03645">
        <w:rPr>
          <w:lang w:eastAsia="ja-JP"/>
        </w:rPr>
        <w:t>subjects in the FAS who: were vaccinated with the study vaccine at Visit 1; provided both pre- and post-vaccination blood samples at Visit 1 and On-Study Period Exit Visit (Visit 2); did not experience a laboratory-confirmed influenza illness (ILI) between Visit 1 and On-Study Period Exit Visit (Visit 2); did not receive a contraindicated medication during study that is medically assessed as potentially impacting on the immunogenicity results. The Evaluable Population was used to produce summaries, analyses and listings for all immunogenicity data.</w:t>
      </w:r>
    </w:p>
    <w:p w14:paraId="6D355D41" w14:textId="665F2532" w:rsidR="00B03645" w:rsidRPr="00B03645" w:rsidRDefault="00037CC3" w:rsidP="00B03645">
      <w:pPr>
        <w:rPr>
          <w:b/>
          <w:lang w:eastAsia="ja-JP"/>
        </w:rPr>
      </w:pPr>
      <w:r>
        <w:rPr>
          <w:lang w:eastAsia="ja-JP"/>
        </w:rPr>
        <w:lastRenderedPageBreak/>
        <w:t>The per-protocol (PP) p</w:t>
      </w:r>
      <w:r w:rsidR="00B03645" w:rsidRPr="00EF282B">
        <w:rPr>
          <w:lang w:eastAsia="ja-JP"/>
        </w:rPr>
        <w:t>opulation</w:t>
      </w:r>
      <w:r w:rsidR="00EF282B">
        <w:rPr>
          <w:b/>
          <w:lang w:eastAsia="ja-JP"/>
        </w:rPr>
        <w:t xml:space="preserve"> </w:t>
      </w:r>
      <w:r w:rsidR="00EF282B">
        <w:rPr>
          <w:lang w:eastAsia="ja-JP"/>
        </w:rPr>
        <w:t xml:space="preserve">included </w:t>
      </w:r>
      <w:r w:rsidR="00B03645" w:rsidRPr="00B03645">
        <w:rPr>
          <w:lang w:eastAsia="ja-JP"/>
        </w:rPr>
        <w:t>subjects in the Evaluable Population minus any</w:t>
      </w:r>
      <w:r w:rsidR="00B03645" w:rsidRPr="00B03645">
        <w:rPr>
          <w:b/>
          <w:lang w:eastAsia="ja-JP"/>
        </w:rPr>
        <w:t xml:space="preserve"> </w:t>
      </w:r>
      <w:r w:rsidR="00B03645" w:rsidRPr="00B03645">
        <w:rPr>
          <w:lang w:eastAsia="ja-JP"/>
        </w:rPr>
        <w:t>subjects with deviations thought to potentially affect the immunogenicity results.</w:t>
      </w:r>
      <w:r w:rsidR="00B03645" w:rsidRPr="00B03645">
        <w:rPr>
          <w:b/>
          <w:lang w:eastAsia="ja-JP"/>
        </w:rPr>
        <w:t xml:space="preserve"> </w:t>
      </w:r>
      <w:r w:rsidR="00B03645" w:rsidRPr="00B03645">
        <w:rPr>
          <w:lang w:eastAsia="ja-JP"/>
        </w:rPr>
        <w:t>The PP Population was used to provide confirmatory analysis for the primary</w:t>
      </w:r>
      <w:r w:rsidR="00B03645" w:rsidRPr="00B03645">
        <w:rPr>
          <w:b/>
          <w:lang w:eastAsia="ja-JP"/>
        </w:rPr>
        <w:t xml:space="preserve"> </w:t>
      </w:r>
      <w:r w:rsidR="00B03645" w:rsidRPr="00B03645">
        <w:rPr>
          <w:lang w:eastAsia="ja-JP"/>
        </w:rPr>
        <w:t>immunogenicity endpoints. The PP Population was determined</w:t>
      </w:r>
      <w:r w:rsidR="00B03645" w:rsidRPr="00B03645">
        <w:rPr>
          <w:b/>
          <w:lang w:eastAsia="ja-JP"/>
        </w:rPr>
        <w:t xml:space="preserve"> </w:t>
      </w:r>
      <w:r w:rsidR="009B0546">
        <w:rPr>
          <w:lang w:eastAsia="ja-JP"/>
        </w:rPr>
        <w:t>prior to unblinding.</w:t>
      </w:r>
    </w:p>
    <w:p w14:paraId="55CD428F" w14:textId="0C95895A" w:rsidR="00B03645" w:rsidRPr="00B03645" w:rsidDel="0081373E" w:rsidRDefault="00037CC3" w:rsidP="00B03645">
      <w:pPr>
        <w:rPr>
          <w:lang w:eastAsia="ja-JP"/>
        </w:rPr>
      </w:pPr>
      <w:r>
        <w:rPr>
          <w:lang w:eastAsia="ja-JP"/>
        </w:rPr>
        <w:t>The s</w:t>
      </w:r>
      <w:r w:rsidR="00B03645" w:rsidRPr="009B0546">
        <w:rPr>
          <w:lang w:eastAsia="ja-JP"/>
        </w:rPr>
        <w:t>afety population</w:t>
      </w:r>
      <w:r w:rsidR="009B0546">
        <w:rPr>
          <w:lang w:eastAsia="ja-JP"/>
        </w:rPr>
        <w:t xml:space="preserve"> included </w:t>
      </w:r>
      <w:r w:rsidR="00B03645" w:rsidRPr="00B03645">
        <w:rPr>
          <w:lang w:eastAsia="ja-JP"/>
        </w:rPr>
        <w:t>all subjects in the FAS who receive at least 1 dose of investigational product and have provided follow-up safety data. Analysis will be according to vaccin</w:t>
      </w:r>
      <w:r w:rsidR="009B0546">
        <w:rPr>
          <w:lang w:eastAsia="ja-JP"/>
        </w:rPr>
        <w:t>ation(s) received.</w:t>
      </w:r>
    </w:p>
    <w:p w14:paraId="3E7F392C" w14:textId="77777777" w:rsidR="00B03645" w:rsidRPr="00B03645" w:rsidDel="0081373E" w:rsidRDefault="00B03645" w:rsidP="009B0546">
      <w:pPr>
        <w:pStyle w:val="Heading5"/>
        <w:rPr>
          <w:lang w:eastAsia="ja-JP"/>
        </w:rPr>
      </w:pPr>
      <w:r w:rsidRPr="00B03645" w:rsidDel="0081373E">
        <w:rPr>
          <w:lang w:eastAsia="ja-JP"/>
        </w:rPr>
        <w:t>Sample size</w:t>
      </w:r>
    </w:p>
    <w:p w14:paraId="30454D3B" w14:textId="0DC2FB81" w:rsidR="00B03645" w:rsidRPr="00B03645" w:rsidRDefault="00B03645" w:rsidP="00B03645">
      <w:pPr>
        <w:rPr>
          <w:lang w:eastAsia="ja-JP"/>
        </w:rPr>
      </w:pPr>
      <w:r w:rsidRPr="00B03645">
        <w:rPr>
          <w:lang w:eastAsia="ja-JP"/>
        </w:rPr>
        <w:t>QIV will be tested against TIV comparators in each age stratum. The treatment randomisation ratio is 2:1:1 (QIV: TIV-1: TIV-2). This study is powered to achieve 80% power to demonstrate non-inferiority in each age stratum (and consequently will be powered overall) over 8 co-primary endpoints, SCR for 4 strains, GMT for 4 strains using a one-sided alpha of 0.025 for each comparison. No adjustment for multiple endpoints was made. For comparisons of SCR a non-inferiority margin of 10% (TIV – QIV) will be employed. It is assumed that the SCR for</w:t>
      </w:r>
      <w:r w:rsidR="009B0546">
        <w:rPr>
          <w:lang w:eastAsia="ja-JP"/>
        </w:rPr>
        <w:t xml:space="preserve"> </w:t>
      </w:r>
      <w:r w:rsidRPr="00B03645">
        <w:rPr>
          <w:lang w:eastAsia="ja-JP"/>
        </w:rPr>
        <w:t>all strains for TIV is 50% and that there is no difference between QIV and TIV. For comparison of GMT ratio a non-inferiority margin of 1.5 (TIV/QIV) will be employed. It is assumed that there is no difference between QIV and TIV (</w:t>
      </w:r>
      <w:r w:rsidR="009B0546">
        <w:rPr>
          <w:lang w:eastAsia="ja-JP"/>
        </w:rPr>
        <w:t>that is,</w:t>
      </w:r>
      <w:r w:rsidRPr="00B03645">
        <w:rPr>
          <w:lang w:eastAsia="ja-JP"/>
        </w:rPr>
        <w:t xml:space="preserve"> a ratio of 1) and that the standard deviation of log (titre) is 1.4.</w:t>
      </w:r>
    </w:p>
    <w:p w14:paraId="6DB08B2D" w14:textId="6808D085" w:rsidR="00B03645" w:rsidRPr="00B03645" w:rsidRDefault="00B03645" w:rsidP="00B03645">
      <w:pPr>
        <w:rPr>
          <w:lang w:eastAsia="ja-JP"/>
        </w:rPr>
      </w:pPr>
      <w:r w:rsidRPr="00B03645">
        <w:rPr>
          <w:lang w:eastAsia="ja-JP"/>
        </w:rPr>
        <w:t>Under these assumptions n</w:t>
      </w:r>
      <w:r w:rsidR="009B0546">
        <w:rPr>
          <w:lang w:eastAsia="ja-JP"/>
        </w:rPr>
        <w:t>umbers</w:t>
      </w:r>
      <w:r w:rsidRPr="00B03645">
        <w:rPr>
          <w:lang w:eastAsia="ja-JP"/>
        </w:rPr>
        <w:t xml:space="preserve"> evaluable = 826 per age stratum in QIV group and 413 per age stratum in each </w:t>
      </w:r>
      <w:r w:rsidR="003073A8">
        <w:rPr>
          <w:lang w:eastAsia="ja-JP"/>
        </w:rPr>
        <w:t>Seqirus</w:t>
      </w:r>
      <w:r w:rsidR="003073A8" w:rsidRPr="00B03645">
        <w:rPr>
          <w:lang w:eastAsia="ja-JP"/>
        </w:rPr>
        <w:t xml:space="preserve"> </w:t>
      </w:r>
      <w:r w:rsidRPr="00B03645">
        <w:rPr>
          <w:lang w:eastAsia="ja-JP"/>
        </w:rPr>
        <w:t>TIV group providing 826 and 826 subjects receiving QIV and TIV respectively for comparisons of A strains and 826 and 413 subjects receiving QIV and TIV respectively for comparisons of B strains. This provides a total evaluable = 1652 per age stratum.</w:t>
      </w:r>
    </w:p>
    <w:p w14:paraId="0754434A" w14:textId="34EE24B0" w:rsidR="00B03645" w:rsidRPr="009B0546" w:rsidRDefault="00B03645" w:rsidP="00B03645">
      <w:pPr>
        <w:rPr>
          <w:lang w:eastAsia="ja-JP"/>
        </w:rPr>
      </w:pPr>
      <w:r w:rsidRPr="00B03645">
        <w:rPr>
          <w:lang w:eastAsia="ja-JP"/>
        </w:rPr>
        <w:t>Overall 3304 evaluable subjects are required. Allowing for a 5% drop-out n</w:t>
      </w:r>
      <w:r w:rsidR="009B0546">
        <w:rPr>
          <w:lang w:eastAsia="ja-JP"/>
        </w:rPr>
        <w:t xml:space="preserve"> </w:t>
      </w:r>
      <w:r w:rsidRPr="00B03645">
        <w:rPr>
          <w:lang w:eastAsia="ja-JP"/>
        </w:rPr>
        <w:t>=</w:t>
      </w:r>
      <w:r w:rsidR="009B0546">
        <w:rPr>
          <w:lang w:eastAsia="ja-JP"/>
        </w:rPr>
        <w:t xml:space="preserve"> </w:t>
      </w:r>
      <w:r w:rsidRPr="00B03645">
        <w:rPr>
          <w:lang w:eastAsia="ja-JP"/>
        </w:rPr>
        <w:t>3480 subjects will be recruited (1740 per age stratum).</w:t>
      </w:r>
    </w:p>
    <w:p w14:paraId="46A61AB1" w14:textId="77777777" w:rsidR="00B03645" w:rsidRPr="00B03645" w:rsidRDefault="00B03645" w:rsidP="009B0546">
      <w:pPr>
        <w:pStyle w:val="Heading5"/>
        <w:rPr>
          <w:lang w:eastAsia="ja-JP"/>
        </w:rPr>
      </w:pPr>
      <w:r w:rsidRPr="00B03645">
        <w:rPr>
          <w:lang w:eastAsia="ja-JP"/>
        </w:rPr>
        <w:t>Statistical methods</w:t>
      </w:r>
    </w:p>
    <w:p w14:paraId="6D5AC39A" w14:textId="4B20D4B7" w:rsidR="00B03645" w:rsidRPr="009B0546" w:rsidRDefault="009B0546" w:rsidP="00B03645">
      <w:pPr>
        <w:rPr>
          <w:iCs/>
          <w:lang w:eastAsia="ja-JP"/>
        </w:rPr>
      </w:pPr>
      <w:r>
        <w:rPr>
          <w:iCs/>
          <w:lang w:eastAsia="ja-JP"/>
        </w:rPr>
        <w:t>Analysis populations are</w:t>
      </w:r>
      <w:r w:rsidR="00B03645" w:rsidRPr="009B0546">
        <w:rPr>
          <w:iCs/>
          <w:lang w:eastAsia="ja-JP"/>
        </w:rPr>
        <w:t xml:space="preserve"> described above</w:t>
      </w:r>
      <w:r>
        <w:rPr>
          <w:iCs/>
          <w:lang w:eastAsia="ja-JP"/>
        </w:rPr>
        <w:t>.</w:t>
      </w:r>
    </w:p>
    <w:p w14:paraId="4E0ED9D7" w14:textId="77777777" w:rsidR="00B03645" w:rsidRPr="00B03645" w:rsidRDefault="00B03645" w:rsidP="009B0546">
      <w:pPr>
        <w:pStyle w:val="Heading6"/>
        <w:rPr>
          <w:lang w:eastAsia="ja-JP"/>
        </w:rPr>
      </w:pPr>
      <w:r w:rsidRPr="00B03645">
        <w:rPr>
          <w:lang w:eastAsia="ja-JP"/>
        </w:rPr>
        <w:t>Primary endpoint – non-inferiority</w:t>
      </w:r>
    </w:p>
    <w:p w14:paraId="2AC7E05A" w14:textId="56C55057" w:rsidR="00B03645" w:rsidRPr="00B03645" w:rsidRDefault="00B03645" w:rsidP="009B0546">
      <w:pPr>
        <w:pStyle w:val="ListBullet"/>
        <w:rPr>
          <w:lang w:eastAsia="ja-JP"/>
        </w:rPr>
      </w:pPr>
      <w:r w:rsidRPr="00B03645">
        <w:rPr>
          <w:lang w:eastAsia="ja-JP"/>
        </w:rPr>
        <w:t>The difference in SCR (TIV – QIV) for each strain will be determined and presented with 95% confidence limits. Non-inferiority concluded for each strain if upper 95% confidence limit is &lt;</w:t>
      </w:r>
      <w:r w:rsidR="009B0546">
        <w:rPr>
          <w:lang w:eastAsia="ja-JP"/>
        </w:rPr>
        <w:t> </w:t>
      </w:r>
      <w:r w:rsidRPr="00B03645">
        <w:rPr>
          <w:lang w:eastAsia="ja-JP"/>
        </w:rPr>
        <w:t>10%.</w:t>
      </w:r>
    </w:p>
    <w:p w14:paraId="50F6AEF7" w14:textId="4C100199" w:rsidR="00B03645" w:rsidRPr="00B03645" w:rsidRDefault="00B03645" w:rsidP="009B0546">
      <w:pPr>
        <w:pStyle w:val="ListBullet"/>
        <w:rPr>
          <w:lang w:eastAsia="ja-JP"/>
        </w:rPr>
      </w:pPr>
      <w:r w:rsidRPr="00B03645">
        <w:rPr>
          <w:lang w:eastAsia="ja-JP"/>
        </w:rPr>
        <w:t>HAI titres will be log transformed and a General Linear Model (GLM) will be fitted with Day 21 log (titre) as the outcome variable and vaccine (TIV or QIV), site, age stratum and pre-vaccination titre as covariates. The least squares mean for TIV – QIV will be obtained from the model with 95% confidence limits. The point estimate and confidence limits will be exponentiated to obtain GMT ratio with 95% confidence limits. Non-inferiority concluded if upper 95% confidence limit is &lt;</w:t>
      </w:r>
      <w:r w:rsidR="009B0546">
        <w:rPr>
          <w:lang w:eastAsia="ja-JP"/>
        </w:rPr>
        <w:t xml:space="preserve"> </w:t>
      </w:r>
      <w:r w:rsidRPr="00B03645">
        <w:rPr>
          <w:lang w:eastAsia="ja-JP"/>
        </w:rPr>
        <w:t>1.5.</w:t>
      </w:r>
    </w:p>
    <w:p w14:paraId="22A32481" w14:textId="0F27D295" w:rsidR="00B03645" w:rsidRPr="00B03645" w:rsidRDefault="00B03645" w:rsidP="009B0546">
      <w:pPr>
        <w:pStyle w:val="ListBullet"/>
        <w:rPr>
          <w:lang w:eastAsia="ja-JP"/>
        </w:rPr>
      </w:pPr>
      <w:r w:rsidRPr="00B03645">
        <w:rPr>
          <w:lang w:eastAsia="ja-JP"/>
        </w:rPr>
        <w:t xml:space="preserve">If </w:t>
      </w:r>
      <w:r w:rsidRPr="009B0546">
        <w:rPr>
          <w:lang w:eastAsia="ja-JP"/>
        </w:rPr>
        <w:t>all 8</w:t>
      </w:r>
      <w:r w:rsidRPr="00B03645">
        <w:rPr>
          <w:lang w:eastAsia="ja-JP"/>
        </w:rPr>
        <w:t xml:space="preserve"> co-primary endpoints result in a conclusion of non</w:t>
      </w:r>
      <w:r w:rsidR="009B0546">
        <w:rPr>
          <w:lang w:eastAsia="ja-JP"/>
        </w:rPr>
        <w:t>-</w:t>
      </w:r>
      <w:r w:rsidRPr="00B03645">
        <w:rPr>
          <w:lang w:eastAsia="ja-JP"/>
        </w:rPr>
        <w:t>inferiority then overall non-inferiority of QIV to TIV-1 and TIV-2 will be concluded.</w:t>
      </w:r>
    </w:p>
    <w:p w14:paraId="3B692FCC" w14:textId="3E4AF4B5" w:rsidR="00B03645" w:rsidRPr="00B03645" w:rsidRDefault="00B03645" w:rsidP="00B03645">
      <w:pPr>
        <w:pStyle w:val="ListBullet"/>
        <w:rPr>
          <w:lang w:eastAsia="ja-JP"/>
        </w:rPr>
      </w:pPr>
      <w:r w:rsidRPr="00B03645">
        <w:rPr>
          <w:lang w:eastAsia="ja-JP"/>
        </w:rPr>
        <w:t>This assessment conducted overall (the primary endpoint) and by age stratum (a 2</w:t>
      </w:r>
      <w:r w:rsidRPr="00B03645">
        <w:rPr>
          <w:vertAlign w:val="superscript"/>
          <w:lang w:eastAsia="ja-JP"/>
        </w:rPr>
        <w:t>o</w:t>
      </w:r>
      <w:r w:rsidRPr="00B03645">
        <w:rPr>
          <w:lang w:eastAsia="ja-JP"/>
        </w:rPr>
        <w:t xml:space="preserve"> endpoint).</w:t>
      </w:r>
    </w:p>
    <w:p w14:paraId="4D5B7B47" w14:textId="777BBE33" w:rsidR="00B03645" w:rsidRPr="00B03645" w:rsidRDefault="00B03645" w:rsidP="00B03645">
      <w:pPr>
        <w:rPr>
          <w:lang w:eastAsia="ja-JP"/>
        </w:rPr>
      </w:pPr>
      <w:r w:rsidRPr="00B03645">
        <w:rPr>
          <w:lang w:eastAsia="ja-JP"/>
        </w:rPr>
        <w:t>In addition, to address secondary objectives, the superiority of QIV over TIV-1 and TIV-2 for the alternate B strain will be assessed using the GMT ratio (QIV/</w:t>
      </w:r>
      <w:r w:rsidR="009B0546">
        <w:rPr>
          <w:lang w:eastAsia="ja-JP"/>
        </w:rPr>
        <w:t>TIV) and difference in SCR (QIV – </w:t>
      </w:r>
      <w:r w:rsidRPr="00B03645">
        <w:rPr>
          <w:lang w:eastAsia="ja-JP"/>
        </w:rPr>
        <w:t>TIV). Point estimates and 95% confidence limits will be obtained as described for the primary endpoint. Superiority will be declared if the lower 95% confidence limit for the di</w:t>
      </w:r>
      <w:r w:rsidR="009B0546">
        <w:rPr>
          <w:lang w:eastAsia="ja-JP"/>
        </w:rPr>
        <w:t xml:space="preserve">fference in SCR (QIV – TIV) is </w:t>
      </w:r>
      <w:r w:rsidRPr="00B03645">
        <w:rPr>
          <w:lang w:eastAsia="ja-JP"/>
        </w:rPr>
        <w:t>0 and the lower 95% confidence limit for the GMT ratio (QIV/TIV) is &gt;</w:t>
      </w:r>
      <w:r w:rsidR="009B0546">
        <w:rPr>
          <w:lang w:eastAsia="ja-JP"/>
        </w:rPr>
        <w:t xml:space="preserve"> </w:t>
      </w:r>
      <w:r w:rsidRPr="00B03645">
        <w:rPr>
          <w:lang w:eastAsia="ja-JP"/>
        </w:rPr>
        <w:t xml:space="preserve">1 for both B strains. GMT will be summarised at Day 1 and Day 21 by treatment group overall and by </w:t>
      </w:r>
      <w:r w:rsidRPr="00B03645">
        <w:rPr>
          <w:lang w:eastAsia="ja-JP"/>
        </w:rPr>
        <w:lastRenderedPageBreak/>
        <w:t>age stratum. GMFI will be determined for each strain for each treatment group as the GMT ratio of Day</w:t>
      </w:r>
      <w:r w:rsidR="009B0546">
        <w:rPr>
          <w:lang w:eastAsia="ja-JP"/>
        </w:rPr>
        <w:t xml:space="preserve"> 21/Day 1. The percentage</w:t>
      </w:r>
      <w:r w:rsidRPr="00B03645">
        <w:rPr>
          <w:lang w:eastAsia="ja-JP"/>
        </w:rPr>
        <w:t xml:space="preserve"> of subjects who are seroprotected (HAI titre </w:t>
      </w:r>
      <w:r w:rsidR="00E936A1">
        <w:rPr>
          <w:lang w:eastAsia="ja-JP"/>
        </w:rPr>
        <w:t xml:space="preserve">≥ </w:t>
      </w:r>
      <w:r w:rsidRPr="00B03645">
        <w:rPr>
          <w:lang w:eastAsia="ja-JP"/>
        </w:rPr>
        <w:t>40 at Day 1 and Day 21 will be summarised by treatment group overall and by age stratum.</w:t>
      </w:r>
    </w:p>
    <w:p w14:paraId="7483F166" w14:textId="56F29F2D" w:rsidR="009B0546" w:rsidRDefault="00B03645" w:rsidP="009B0546">
      <w:pPr>
        <w:pStyle w:val="Heading6"/>
        <w:rPr>
          <w:lang w:eastAsia="ja-JP"/>
        </w:rPr>
      </w:pPr>
      <w:r w:rsidRPr="00B03645">
        <w:rPr>
          <w:lang w:eastAsia="ja-JP"/>
        </w:rPr>
        <w:t>Safety</w:t>
      </w:r>
      <w:r w:rsidR="009B0546">
        <w:rPr>
          <w:lang w:eastAsia="ja-JP"/>
        </w:rPr>
        <w:t xml:space="preserve"> outcomes</w:t>
      </w:r>
    </w:p>
    <w:p w14:paraId="7A375C05" w14:textId="5FC309B3" w:rsidR="00B03645" w:rsidRPr="00B03645" w:rsidRDefault="00B03645" w:rsidP="00B03645">
      <w:pPr>
        <w:rPr>
          <w:lang w:eastAsia="ja-JP"/>
        </w:rPr>
      </w:pPr>
      <w:r w:rsidRPr="00B03645">
        <w:rPr>
          <w:lang w:eastAsia="ja-JP"/>
        </w:rPr>
        <w:t>Tabular summaries of local reactions and systemic events. AEs and SAEs summarised by age group and overall population separately fo</w:t>
      </w:r>
      <w:r w:rsidR="00620F11">
        <w:rPr>
          <w:lang w:eastAsia="ja-JP"/>
        </w:rPr>
        <w:t>r each dose (Dose 1, 2, and 3).</w:t>
      </w:r>
    </w:p>
    <w:p w14:paraId="38D23469" w14:textId="77777777" w:rsidR="00B03645" w:rsidRPr="00B03645" w:rsidRDefault="00B03645" w:rsidP="009B0546">
      <w:pPr>
        <w:pStyle w:val="Heading5"/>
        <w:rPr>
          <w:lang w:eastAsia="ja-JP"/>
        </w:rPr>
      </w:pPr>
      <w:r w:rsidRPr="00B03645">
        <w:rPr>
          <w:lang w:eastAsia="ja-JP"/>
        </w:rPr>
        <w:t>Participant flow</w:t>
      </w:r>
    </w:p>
    <w:p w14:paraId="47AB0644" w14:textId="35345E13" w:rsidR="00B03645" w:rsidRPr="009B0546" w:rsidRDefault="00B03645" w:rsidP="00B03645">
      <w:pPr>
        <w:rPr>
          <w:lang w:eastAsia="ja-JP"/>
        </w:rPr>
      </w:pPr>
      <w:r w:rsidRPr="00B03645">
        <w:rPr>
          <w:lang w:eastAsia="ja-JP"/>
        </w:rPr>
        <w:t xml:space="preserve">A total of 3484 subjects were enrolled with 1741 in the younger </w:t>
      </w:r>
      <w:r w:rsidR="00037CC3">
        <w:rPr>
          <w:lang w:eastAsia="ja-JP"/>
        </w:rPr>
        <w:t xml:space="preserve">age stratum and 1743 the older (as shown in Figure </w:t>
      </w:r>
      <w:r w:rsidR="00CF5FB1">
        <w:rPr>
          <w:lang w:eastAsia="ja-JP"/>
        </w:rPr>
        <w:t xml:space="preserve">2 </w:t>
      </w:r>
      <w:r w:rsidR="00037CC3">
        <w:rPr>
          <w:lang w:eastAsia="ja-JP"/>
        </w:rPr>
        <w:t>below).</w:t>
      </w:r>
    </w:p>
    <w:p w14:paraId="071C3A32" w14:textId="3509DDFD" w:rsidR="00B03645" w:rsidRDefault="00B03645" w:rsidP="00FD2DDF">
      <w:pPr>
        <w:pStyle w:val="FigureTitle"/>
        <w:rPr>
          <w:lang w:eastAsia="ja-JP"/>
        </w:rPr>
      </w:pPr>
      <w:r w:rsidRPr="00B03645">
        <w:rPr>
          <w:lang w:eastAsia="ja-JP"/>
        </w:rPr>
        <w:t xml:space="preserve">Figure </w:t>
      </w:r>
      <w:r w:rsidR="00CF5FB1">
        <w:rPr>
          <w:lang w:eastAsia="ja-JP"/>
        </w:rPr>
        <w:t>2</w:t>
      </w:r>
      <w:r w:rsidRPr="00B03645">
        <w:rPr>
          <w:lang w:eastAsia="ja-JP"/>
        </w:rPr>
        <w:t xml:space="preserve">: </w:t>
      </w:r>
      <w:r w:rsidR="00802C23">
        <w:rPr>
          <w:lang w:eastAsia="ja-JP"/>
        </w:rPr>
        <w:t xml:space="preserve">Study </w:t>
      </w:r>
      <w:r w:rsidRPr="00B03645">
        <w:rPr>
          <w:lang w:eastAsia="ja-JP"/>
        </w:rPr>
        <w:t xml:space="preserve">CSLCT-QIV-13-01 - Subject </w:t>
      </w:r>
      <w:r w:rsidR="00802C23">
        <w:rPr>
          <w:lang w:eastAsia="ja-JP"/>
        </w:rPr>
        <w:t>s</w:t>
      </w:r>
      <w:r w:rsidRPr="00B03645">
        <w:rPr>
          <w:lang w:eastAsia="ja-JP"/>
        </w:rPr>
        <w:t xml:space="preserve">tratification and </w:t>
      </w:r>
      <w:r w:rsidR="00802C23">
        <w:rPr>
          <w:lang w:eastAsia="ja-JP"/>
        </w:rPr>
        <w:t>t</w:t>
      </w:r>
      <w:r w:rsidRPr="00B03645">
        <w:rPr>
          <w:lang w:eastAsia="ja-JP"/>
        </w:rPr>
        <w:t xml:space="preserve">reatment </w:t>
      </w:r>
      <w:r w:rsidR="00802C23">
        <w:rPr>
          <w:lang w:eastAsia="ja-JP"/>
        </w:rPr>
        <w:t>a</w:t>
      </w:r>
      <w:r w:rsidRPr="00B03645">
        <w:rPr>
          <w:lang w:eastAsia="ja-JP"/>
        </w:rPr>
        <w:t xml:space="preserve">llocation </w:t>
      </w:r>
      <w:r w:rsidR="00802C23">
        <w:rPr>
          <w:lang w:eastAsia="ja-JP"/>
        </w:rPr>
        <w:t>s</w:t>
      </w:r>
      <w:r w:rsidRPr="00B03645">
        <w:rPr>
          <w:lang w:eastAsia="ja-JP"/>
        </w:rPr>
        <w:t xml:space="preserve">chema (Actual </w:t>
      </w:r>
      <w:r w:rsidR="00802C23">
        <w:rPr>
          <w:lang w:eastAsia="ja-JP"/>
        </w:rPr>
        <w:t>s</w:t>
      </w:r>
      <w:r w:rsidRPr="00B03645">
        <w:rPr>
          <w:lang w:eastAsia="ja-JP"/>
        </w:rPr>
        <w:t xml:space="preserve">tudy </w:t>
      </w:r>
      <w:r w:rsidR="00802C23">
        <w:rPr>
          <w:lang w:eastAsia="ja-JP"/>
        </w:rPr>
        <w:t>n</w:t>
      </w:r>
      <w:r w:rsidRPr="00B03645">
        <w:rPr>
          <w:lang w:eastAsia="ja-JP"/>
        </w:rPr>
        <w:t xml:space="preserve">umbers – Full </w:t>
      </w:r>
      <w:r w:rsidR="00802C23">
        <w:rPr>
          <w:lang w:eastAsia="ja-JP"/>
        </w:rPr>
        <w:t>a</w:t>
      </w:r>
      <w:r w:rsidRPr="00B03645">
        <w:rPr>
          <w:lang w:eastAsia="ja-JP"/>
        </w:rPr>
        <w:t xml:space="preserve">nalysis </w:t>
      </w:r>
      <w:r w:rsidR="00802C23">
        <w:rPr>
          <w:lang w:eastAsia="ja-JP"/>
        </w:rPr>
        <w:t>s</w:t>
      </w:r>
      <w:r w:rsidRPr="00B03645">
        <w:rPr>
          <w:lang w:eastAsia="ja-JP"/>
        </w:rPr>
        <w:t>et)</w:t>
      </w:r>
    </w:p>
    <w:p w14:paraId="72FB4150" w14:textId="34D421DD" w:rsidR="00802C23" w:rsidRPr="00B03645" w:rsidRDefault="00802C23" w:rsidP="00B03645">
      <w:pPr>
        <w:rPr>
          <w:b/>
          <w:lang w:eastAsia="ja-JP"/>
        </w:rPr>
      </w:pPr>
      <w:r w:rsidRPr="00802C23">
        <w:rPr>
          <w:b/>
          <w:noProof/>
          <w:lang w:eastAsia="en-AU"/>
        </w:rPr>
        <w:drawing>
          <wp:inline distT="0" distB="0" distL="0" distR="0" wp14:anchorId="4923D9B3" wp14:editId="22C8A8E7">
            <wp:extent cx="4366669" cy="2283199"/>
            <wp:effectExtent l="0" t="0" r="0" b="3175"/>
            <wp:docPr id="5" name="Picture 5" descr="3434 subjects were enrolled, 1741 in the 18 to &lt; 65 year age group and 1742 in the 65 years or older age group. Of the 1741 in the &lt; 65 year age group, 871 were randomised to QIV, 434 to TIV-1 and 436 to TIV-2. In the 65 years and older group, 870 were randomised to recieve QIV, 437 to TIV-1 and 436 to T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158" r="2633"/>
                    <a:stretch/>
                  </pic:blipFill>
                  <pic:spPr bwMode="auto">
                    <a:xfrm>
                      <a:off x="0" y="0"/>
                      <a:ext cx="4378647" cy="2289462"/>
                    </a:xfrm>
                    <a:prstGeom prst="rect">
                      <a:avLst/>
                    </a:prstGeom>
                    <a:ln>
                      <a:noFill/>
                    </a:ln>
                    <a:extLst>
                      <a:ext uri="{53640926-AAD7-44D8-BBD7-CCE9431645EC}">
                        <a14:shadowObscured xmlns:a14="http://schemas.microsoft.com/office/drawing/2010/main"/>
                      </a:ext>
                    </a:extLst>
                  </pic:spPr>
                </pic:pic>
              </a:graphicData>
            </a:graphic>
          </wp:inline>
        </w:drawing>
      </w:r>
    </w:p>
    <w:p w14:paraId="217DAA9B" w14:textId="5FE7AA34" w:rsidR="00B03645" w:rsidRPr="00B03645" w:rsidRDefault="00B03645" w:rsidP="00695D6D">
      <w:pPr>
        <w:pStyle w:val="FigureDescription"/>
        <w:rPr>
          <w:lang w:eastAsia="ja-JP"/>
        </w:rPr>
      </w:pPr>
      <w:r w:rsidRPr="00B03645">
        <w:rPr>
          <w:lang w:eastAsia="ja-JP"/>
        </w:rPr>
        <w:t>a</w:t>
      </w:r>
      <w:r w:rsidR="00695D6D">
        <w:rPr>
          <w:lang w:eastAsia="ja-JP"/>
        </w:rPr>
        <w:t>) a</w:t>
      </w:r>
      <w:r w:rsidRPr="00B03645">
        <w:rPr>
          <w:lang w:eastAsia="ja-JP"/>
        </w:rPr>
        <w:t>dults &lt; 65 age, a maximum of 60% in one subgroup (18 to &lt;</w:t>
      </w:r>
      <w:r w:rsidR="00695D6D">
        <w:rPr>
          <w:lang w:eastAsia="ja-JP"/>
        </w:rPr>
        <w:t xml:space="preserve"> </w:t>
      </w:r>
      <w:r w:rsidRPr="00B03645">
        <w:rPr>
          <w:lang w:eastAsia="ja-JP"/>
        </w:rPr>
        <w:t xml:space="preserve">50 </w:t>
      </w:r>
      <w:r w:rsidR="00F81B42">
        <w:rPr>
          <w:lang w:eastAsia="ja-JP"/>
        </w:rPr>
        <w:t>years</w:t>
      </w:r>
      <w:r w:rsidRPr="00B03645">
        <w:rPr>
          <w:lang w:eastAsia="ja-JP"/>
        </w:rPr>
        <w:t xml:space="preserve"> or 50 to &lt;65 </w:t>
      </w:r>
      <w:r w:rsidR="00F81B42">
        <w:rPr>
          <w:lang w:eastAsia="ja-JP"/>
        </w:rPr>
        <w:t>years</w:t>
      </w:r>
      <w:r w:rsidRPr="00B03645">
        <w:rPr>
          <w:lang w:eastAsia="ja-JP"/>
        </w:rPr>
        <w:t xml:space="preserve">). </w:t>
      </w:r>
      <w:r w:rsidR="00695D6D">
        <w:rPr>
          <w:lang w:eastAsia="ja-JP"/>
        </w:rPr>
        <w:t>b)</w:t>
      </w:r>
      <w:r w:rsidRPr="00B03645">
        <w:rPr>
          <w:lang w:eastAsia="ja-JP"/>
        </w:rPr>
        <w:t xml:space="preserve"> Adults </w:t>
      </w:r>
      <w:r w:rsidR="00E936A1">
        <w:rPr>
          <w:lang w:eastAsia="ja-JP"/>
        </w:rPr>
        <w:t xml:space="preserve">≥ </w:t>
      </w:r>
      <w:r w:rsidRPr="00B03645">
        <w:rPr>
          <w:lang w:eastAsia="ja-JP"/>
        </w:rPr>
        <w:t xml:space="preserve">65 </w:t>
      </w:r>
      <w:r w:rsidR="00C512A4">
        <w:rPr>
          <w:lang w:eastAsia="ja-JP"/>
        </w:rPr>
        <w:t xml:space="preserve">years of </w:t>
      </w:r>
      <w:r w:rsidRPr="00B03645">
        <w:rPr>
          <w:lang w:eastAsia="ja-JP"/>
        </w:rPr>
        <w:t>age, a minimum o</w:t>
      </w:r>
      <w:r w:rsidR="00695D6D">
        <w:rPr>
          <w:lang w:eastAsia="ja-JP"/>
        </w:rPr>
        <w:t xml:space="preserve">f 30% in the &gt; 75 </w:t>
      </w:r>
      <w:r w:rsidR="00F81B42">
        <w:rPr>
          <w:lang w:eastAsia="ja-JP"/>
        </w:rPr>
        <w:t>years</w:t>
      </w:r>
      <w:r w:rsidR="00695D6D">
        <w:rPr>
          <w:lang w:eastAsia="ja-JP"/>
        </w:rPr>
        <w:t xml:space="preserve"> </w:t>
      </w:r>
      <w:r w:rsidR="00C512A4">
        <w:rPr>
          <w:lang w:eastAsia="ja-JP"/>
        </w:rPr>
        <w:t xml:space="preserve">of age </w:t>
      </w:r>
      <w:r w:rsidR="00695D6D">
        <w:rPr>
          <w:lang w:eastAsia="ja-JP"/>
        </w:rPr>
        <w:t>subgroup.</w:t>
      </w:r>
    </w:p>
    <w:p w14:paraId="39D0E74C" w14:textId="77777777" w:rsidR="00B03645" w:rsidRPr="00B03645" w:rsidRDefault="00B03645" w:rsidP="00037CC3">
      <w:pPr>
        <w:pStyle w:val="Heading5"/>
        <w:rPr>
          <w:lang w:eastAsia="ja-JP"/>
        </w:rPr>
      </w:pPr>
      <w:r w:rsidRPr="00B03645">
        <w:rPr>
          <w:lang w:eastAsia="ja-JP"/>
        </w:rPr>
        <w:t>Major protocol violations/deviations</w:t>
      </w:r>
    </w:p>
    <w:p w14:paraId="1E4621B5" w14:textId="6FEC83FE" w:rsidR="00B03645" w:rsidRDefault="00037CC3" w:rsidP="00FD2DDF">
      <w:pPr>
        <w:pStyle w:val="Tabletitle"/>
        <w:rPr>
          <w:lang w:eastAsia="ja-JP"/>
        </w:rPr>
      </w:pPr>
      <w:r>
        <w:rPr>
          <w:lang w:eastAsia="ja-JP"/>
        </w:rPr>
        <w:t xml:space="preserve">Table </w:t>
      </w:r>
      <w:r w:rsidR="0016670C">
        <w:rPr>
          <w:lang w:eastAsia="ja-JP"/>
        </w:rPr>
        <w:t>1</w:t>
      </w:r>
      <w:r>
        <w:rPr>
          <w:lang w:eastAsia="ja-JP"/>
        </w:rPr>
        <w:t>.</w:t>
      </w:r>
      <w:r w:rsidR="00B03645" w:rsidRPr="00B03645">
        <w:rPr>
          <w:lang w:eastAsia="ja-JP"/>
        </w:rPr>
        <w:t xml:space="preserve"> </w:t>
      </w:r>
      <w:r>
        <w:rPr>
          <w:lang w:eastAsia="ja-JP"/>
        </w:rPr>
        <w:t xml:space="preserve">Study </w:t>
      </w:r>
      <w:r w:rsidR="0022575D">
        <w:rPr>
          <w:lang w:eastAsia="ja-JP"/>
        </w:rPr>
        <w:t>CSLCT-QIV-13-01 - S</w:t>
      </w:r>
      <w:r w:rsidR="00B03645" w:rsidRPr="00B03645">
        <w:rPr>
          <w:lang w:eastAsia="ja-JP"/>
        </w:rPr>
        <w:t>ubject disposition</w:t>
      </w:r>
    </w:p>
    <w:p w14:paraId="0387E118" w14:textId="0D5D5543" w:rsidR="00B03645" w:rsidRPr="0022575D" w:rsidRDefault="0022575D" w:rsidP="00B30159">
      <w:pPr>
        <w:rPr>
          <w:b/>
          <w:bCs/>
          <w:lang w:eastAsia="ja-JP"/>
        </w:rPr>
      </w:pPr>
      <w:r w:rsidRPr="0022575D">
        <w:rPr>
          <w:b/>
          <w:bCs/>
          <w:noProof/>
          <w:lang w:eastAsia="en-AU"/>
        </w:rPr>
        <w:drawing>
          <wp:inline distT="0" distB="0" distL="0" distR="0" wp14:anchorId="0963B15E" wp14:editId="55937A26">
            <wp:extent cx="5474335" cy="2183592"/>
            <wp:effectExtent l="0" t="0" r="0" b="7620"/>
            <wp:docPr id="6" name="Picture 6" descr="Table 1. Study CSLCT-QIV-13-01 - Subjec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harpenSoften amount="50000"/>
                              </a14:imgEffect>
                              <a14:imgEffect>
                                <a14:brightnessContrast contrast="-20000"/>
                              </a14:imgEffect>
                            </a14:imgLayer>
                          </a14:imgProps>
                        </a:ext>
                      </a:extLst>
                    </a:blip>
                    <a:srcRect r="8452"/>
                    <a:stretch/>
                  </pic:blipFill>
                  <pic:spPr bwMode="auto">
                    <a:xfrm>
                      <a:off x="0" y="0"/>
                      <a:ext cx="5504137" cy="2195480"/>
                    </a:xfrm>
                    <a:prstGeom prst="rect">
                      <a:avLst/>
                    </a:prstGeom>
                    <a:ln>
                      <a:noFill/>
                    </a:ln>
                    <a:extLst>
                      <a:ext uri="{53640926-AAD7-44D8-BBD7-CCE9431645EC}">
                        <a14:shadowObscured xmlns:a14="http://schemas.microsoft.com/office/drawing/2010/main"/>
                      </a:ext>
                    </a:extLst>
                  </pic:spPr>
                </pic:pic>
              </a:graphicData>
            </a:graphic>
          </wp:inline>
        </w:drawing>
      </w:r>
    </w:p>
    <w:p w14:paraId="0ED2FC03" w14:textId="77777777" w:rsidR="00B03645" w:rsidRPr="00B03645" w:rsidRDefault="00B03645" w:rsidP="009B0546">
      <w:pPr>
        <w:pStyle w:val="Heading5"/>
        <w:rPr>
          <w:lang w:eastAsia="ja-JP"/>
        </w:rPr>
      </w:pPr>
      <w:r w:rsidRPr="00B03645">
        <w:rPr>
          <w:lang w:eastAsia="ja-JP"/>
        </w:rPr>
        <w:lastRenderedPageBreak/>
        <w:t>Baseline data</w:t>
      </w:r>
    </w:p>
    <w:p w14:paraId="4F1AAB99" w14:textId="345D6470" w:rsidR="00B03645" w:rsidRDefault="0022575D" w:rsidP="00FD2DDF">
      <w:pPr>
        <w:pStyle w:val="Tabletitle"/>
        <w:rPr>
          <w:lang w:eastAsia="ja-JP"/>
        </w:rPr>
      </w:pPr>
      <w:r>
        <w:rPr>
          <w:lang w:eastAsia="ja-JP"/>
        </w:rPr>
        <w:t xml:space="preserve">Table </w:t>
      </w:r>
      <w:r w:rsidR="0016670C">
        <w:rPr>
          <w:lang w:eastAsia="ja-JP"/>
        </w:rPr>
        <w:t>2</w:t>
      </w:r>
      <w:r>
        <w:rPr>
          <w:lang w:eastAsia="ja-JP"/>
        </w:rPr>
        <w:t>.</w:t>
      </w:r>
      <w:r w:rsidR="00B03645" w:rsidRPr="00B03645">
        <w:rPr>
          <w:lang w:eastAsia="ja-JP"/>
        </w:rPr>
        <w:t xml:space="preserve"> </w:t>
      </w:r>
      <w:r w:rsidR="00E2700A">
        <w:rPr>
          <w:lang w:eastAsia="ja-JP"/>
        </w:rPr>
        <w:t xml:space="preserve">Study </w:t>
      </w:r>
      <w:r w:rsidR="00B03645" w:rsidRPr="00B03645">
        <w:rPr>
          <w:lang w:eastAsia="ja-JP"/>
        </w:rPr>
        <w:t xml:space="preserve">CSLCT-QIV-13-01 Analysis </w:t>
      </w:r>
      <w:r>
        <w:rPr>
          <w:lang w:eastAsia="ja-JP"/>
        </w:rPr>
        <w:t>p</w:t>
      </w:r>
      <w:r w:rsidR="00B03645" w:rsidRPr="00B03645">
        <w:rPr>
          <w:lang w:eastAsia="ja-JP"/>
        </w:rPr>
        <w:t>opulations</w:t>
      </w:r>
    </w:p>
    <w:p w14:paraId="609A3EB8" w14:textId="454E7ACB" w:rsidR="00B03645" w:rsidRPr="0022575D" w:rsidRDefault="0022575D" w:rsidP="00FD2DDF">
      <w:pPr>
        <w:rPr>
          <w:lang w:eastAsia="ja-JP"/>
        </w:rPr>
      </w:pPr>
      <w:r w:rsidRPr="0022575D">
        <w:rPr>
          <w:noProof/>
          <w:lang w:eastAsia="en-AU"/>
        </w:rPr>
        <w:drawing>
          <wp:inline distT="0" distB="0" distL="0" distR="0" wp14:anchorId="28660F74" wp14:editId="4AB1257B">
            <wp:extent cx="4915535" cy="896407"/>
            <wp:effectExtent l="0" t="0" r="0" b="0"/>
            <wp:docPr id="7" name="Picture 7" descr="Table 2. Study CSLCT-QIV-13-01 Analysi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25000"/>
                              </a14:imgEffect>
                              <a14:imgEffect>
                                <a14:brightnessContrast bright="20000" contrast="-20000"/>
                              </a14:imgEffect>
                            </a14:imgLayer>
                          </a14:imgProps>
                        </a:ext>
                      </a:extLst>
                    </a:blip>
                    <a:stretch>
                      <a:fillRect/>
                    </a:stretch>
                  </pic:blipFill>
                  <pic:spPr>
                    <a:xfrm>
                      <a:off x="0" y="0"/>
                      <a:ext cx="4924450" cy="898033"/>
                    </a:xfrm>
                    <a:prstGeom prst="rect">
                      <a:avLst/>
                    </a:prstGeom>
                  </pic:spPr>
                </pic:pic>
              </a:graphicData>
            </a:graphic>
          </wp:inline>
        </w:drawing>
      </w:r>
    </w:p>
    <w:p w14:paraId="18650AF6" w14:textId="03A8D24B" w:rsidR="00B03645" w:rsidRDefault="0022575D" w:rsidP="00F724FE">
      <w:pPr>
        <w:pStyle w:val="Tabletitle"/>
        <w:rPr>
          <w:lang w:eastAsia="ja-JP"/>
        </w:rPr>
      </w:pPr>
      <w:proofErr w:type="gramStart"/>
      <w:r>
        <w:rPr>
          <w:lang w:eastAsia="ja-JP"/>
        </w:rPr>
        <w:t xml:space="preserve">Table </w:t>
      </w:r>
      <w:r w:rsidR="0016670C">
        <w:rPr>
          <w:lang w:eastAsia="ja-JP"/>
        </w:rPr>
        <w:t>3</w:t>
      </w:r>
      <w:r>
        <w:rPr>
          <w:lang w:eastAsia="ja-JP"/>
        </w:rPr>
        <w:t>.</w:t>
      </w:r>
      <w:proofErr w:type="gramEnd"/>
      <w:r w:rsidR="00B03645" w:rsidRPr="00B03645">
        <w:rPr>
          <w:lang w:eastAsia="ja-JP"/>
        </w:rPr>
        <w:t xml:space="preserve"> </w:t>
      </w:r>
      <w:r w:rsidR="00E2700A">
        <w:rPr>
          <w:lang w:eastAsia="ja-JP"/>
        </w:rPr>
        <w:t>Study CSLCT-QIV-13-01 B</w:t>
      </w:r>
      <w:r w:rsidR="00B03645" w:rsidRPr="00B03645">
        <w:rPr>
          <w:lang w:eastAsia="ja-JP"/>
        </w:rPr>
        <w:t>aseline characteristics</w:t>
      </w:r>
    </w:p>
    <w:p w14:paraId="77624B57" w14:textId="0FC23CBC" w:rsidR="00B03645" w:rsidRPr="00E2700A" w:rsidRDefault="00E2700A" w:rsidP="00F724FE">
      <w:pPr>
        <w:rPr>
          <w:lang w:eastAsia="ja-JP"/>
        </w:rPr>
      </w:pPr>
      <w:r w:rsidRPr="00E2700A">
        <w:rPr>
          <w:noProof/>
          <w:lang w:eastAsia="en-AU"/>
        </w:rPr>
        <w:drawing>
          <wp:inline distT="0" distB="0" distL="0" distR="0" wp14:anchorId="2ADA73BD" wp14:editId="330C8F6E">
            <wp:extent cx="4489667" cy="4171819"/>
            <wp:effectExtent l="0" t="0" r="6350" b="635"/>
            <wp:docPr id="8" name="Picture 8" descr="Table 3. Study CSLCT-QIV-13-01 Baselin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95256" cy="4177013"/>
                    </a:xfrm>
                    <a:prstGeom prst="rect">
                      <a:avLst/>
                    </a:prstGeom>
                  </pic:spPr>
                </pic:pic>
              </a:graphicData>
            </a:graphic>
          </wp:inline>
        </w:drawing>
      </w:r>
    </w:p>
    <w:p w14:paraId="10F14FDB" w14:textId="77777777" w:rsidR="00B03645" w:rsidRPr="00B03645" w:rsidRDefault="00B03645" w:rsidP="009B0546">
      <w:pPr>
        <w:pStyle w:val="Heading5"/>
        <w:rPr>
          <w:lang w:eastAsia="ja-JP"/>
        </w:rPr>
      </w:pPr>
      <w:r w:rsidRPr="00B03645">
        <w:rPr>
          <w:lang w:eastAsia="ja-JP"/>
        </w:rPr>
        <w:t>Results for the primary efficacy outcome</w:t>
      </w:r>
    </w:p>
    <w:p w14:paraId="149132CB" w14:textId="5BCC7E8B" w:rsidR="00B03645" w:rsidRPr="00B03645" w:rsidRDefault="009B0546" w:rsidP="009B0546">
      <w:pPr>
        <w:pStyle w:val="Heading6"/>
        <w:rPr>
          <w:lang w:eastAsia="ja-JP"/>
        </w:rPr>
      </w:pPr>
      <w:r>
        <w:rPr>
          <w:lang w:eastAsia="ja-JP"/>
        </w:rPr>
        <w:t xml:space="preserve">Immunogenicity </w:t>
      </w:r>
      <w:r w:rsidR="00F724FE">
        <w:rPr>
          <w:lang w:eastAsia="ja-JP"/>
        </w:rPr>
        <w:t>r</w:t>
      </w:r>
      <w:r>
        <w:rPr>
          <w:lang w:eastAsia="ja-JP"/>
        </w:rPr>
        <w:t>esults</w:t>
      </w:r>
    </w:p>
    <w:p w14:paraId="06AE3C99" w14:textId="23A0BFAB" w:rsidR="00B03645" w:rsidRPr="00B03645" w:rsidRDefault="00B03645" w:rsidP="00B03645">
      <w:pPr>
        <w:rPr>
          <w:lang w:eastAsia="ja-JP"/>
        </w:rPr>
      </w:pPr>
      <w:r w:rsidRPr="00B03645">
        <w:rPr>
          <w:lang w:eastAsia="ja-JP"/>
        </w:rPr>
        <w:t>Immunogenicity analyses were conducted based on the PP Population, which minimally varied from the Evaluable Population, with less than 1% variation in the number of subjects in the two populations in either age cohort (adults of 18 th</w:t>
      </w:r>
      <w:r w:rsidR="009B0546">
        <w:rPr>
          <w:lang w:eastAsia="ja-JP"/>
        </w:rPr>
        <w:t>rough 64 y</w:t>
      </w:r>
      <w:r w:rsidR="0009248B">
        <w:rPr>
          <w:lang w:eastAsia="ja-JP"/>
        </w:rPr>
        <w:t>ea</w:t>
      </w:r>
      <w:r w:rsidR="009B0546">
        <w:rPr>
          <w:lang w:eastAsia="ja-JP"/>
        </w:rPr>
        <w:t xml:space="preserve">rs and </w:t>
      </w:r>
      <w:r w:rsidR="00E936A1">
        <w:rPr>
          <w:lang w:eastAsia="ja-JP"/>
        </w:rPr>
        <w:t xml:space="preserve">≥ </w:t>
      </w:r>
      <w:r w:rsidR="009B0546">
        <w:rPr>
          <w:lang w:eastAsia="ja-JP"/>
        </w:rPr>
        <w:t>65 y</w:t>
      </w:r>
      <w:r w:rsidR="0009248B">
        <w:rPr>
          <w:lang w:eastAsia="ja-JP"/>
        </w:rPr>
        <w:t>ea</w:t>
      </w:r>
      <w:r w:rsidR="009B0546">
        <w:rPr>
          <w:lang w:eastAsia="ja-JP"/>
        </w:rPr>
        <w:t xml:space="preserve">rs </w:t>
      </w:r>
      <w:r w:rsidR="0009248B">
        <w:rPr>
          <w:lang w:eastAsia="ja-JP"/>
        </w:rPr>
        <w:t xml:space="preserve">of </w:t>
      </w:r>
      <w:r w:rsidR="009B0546">
        <w:rPr>
          <w:lang w:eastAsia="ja-JP"/>
        </w:rPr>
        <w:t>age).</w:t>
      </w:r>
    </w:p>
    <w:p w14:paraId="201B25E3" w14:textId="557985D3" w:rsidR="00B03645" w:rsidRPr="00B03645" w:rsidRDefault="00B03645" w:rsidP="00B03645">
      <w:pPr>
        <w:rPr>
          <w:lang w:eastAsia="ja-JP"/>
        </w:rPr>
      </w:pPr>
      <w:r w:rsidRPr="00B03645">
        <w:rPr>
          <w:lang w:eastAsia="ja-JP"/>
        </w:rPr>
        <w:t>The HAI antibody responses for QIV were shown to be non-inferior for shared influenza A</w:t>
      </w:r>
      <w:r w:rsidR="00934834">
        <w:rPr>
          <w:lang w:eastAsia="ja-JP"/>
        </w:rPr>
        <w:t xml:space="preserve"> </w:t>
      </w:r>
      <w:r w:rsidRPr="00B03645">
        <w:rPr>
          <w:lang w:eastAsia="ja-JP"/>
        </w:rPr>
        <w:t xml:space="preserve">and B vaccine strains compared with TIV comparators in adults </w:t>
      </w:r>
      <w:r w:rsidR="00E936A1">
        <w:rPr>
          <w:lang w:eastAsia="ja-JP"/>
        </w:rPr>
        <w:t xml:space="preserve">≥ </w:t>
      </w:r>
      <w:r w:rsidRPr="00B03645">
        <w:rPr>
          <w:lang w:eastAsia="ja-JP"/>
        </w:rPr>
        <w:t xml:space="preserve">18 </w:t>
      </w:r>
      <w:r w:rsidR="00F81B42">
        <w:rPr>
          <w:lang w:eastAsia="ja-JP"/>
        </w:rPr>
        <w:t>years</w:t>
      </w:r>
      <w:r w:rsidRPr="00B03645">
        <w:rPr>
          <w:lang w:eastAsia="ja-JP"/>
        </w:rPr>
        <w:t xml:space="preserve"> </w:t>
      </w:r>
      <w:r w:rsidR="00C512A4">
        <w:rPr>
          <w:lang w:eastAsia="ja-JP"/>
        </w:rPr>
        <w:t xml:space="preserve">of </w:t>
      </w:r>
      <w:r w:rsidRPr="00B03645">
        <w:rPr>
          <w:lang w:eastAsia="ja-JP"/>
        </w:rPr>
        <w:t>age, for the co-primary endpoints of HI GMT and SCRs.</w:t>
      </w:r>
    </w:p>
    <w:p w14:paraId="495B4487" w14:textId="64963639" w:rsidR="00B03645" w:rsidRPr="00B03645" w:rsidRDefault="00B03645" w:rsidP="00B03645">
      <w:pPr>
        <w:rPr>
          <w:lang w:eastAsia="ja-JP"/>
        </w:rPr>
      </w:pPr>
      <w:r w:rsidRPr="00B03645">
        <w:rPr>
          <w:lang w:eastAsia="ja-JP"/>
        </w:rPr>
        <w:t>For the secondary immunogenicity endpoints, the HAI responses were shown in the overall study population to be superior for QIV to the results for the alt</w:t>
      </w:r>
      <w:r w:rsidR="00E2700A">
        <w:rPr>
          <w:lang w:eastAsia="ja-JP"/>
        </w:rPr>
        <w:t>ernate (non-included) influenza </w:t>
      </w:r>
      <w:r w:rsidRPr="00B03645">
        <w:rPr>
          <w:lang w:eastAsia="ja-JP"/>
        </w:rPr>
        <w:t>B strains for the TIV comparators for the same endpoints. Non-inferiority and/or superiority (according to the study defined criteria for different strains and study vaccines) were also met for each of the serological endpoints of HI GMT and SCR separately in the two age cohorts (adults aged 18</w:t>
      </w:r>
      <w:r w:rsidR="0009248B">
        <w:rPr>
          <w:lang w:eastAsia="ja-JP"/>
        </w:rPr>
        <w:t xml:space="preserve"> to </w:t>
      </w:r>
      <w:r w:rsidRPr="00B03645">
        <w:rPr>
          <w:lang w:eastAsia="ja-JP"/>
        </w:rPr>
        <w:t>64 y</w:t>
      </w:r>
      <w:r w:rsidR="0009248B">
        <w:rPr>
          <w:lang w:eastAsia="ja-JP"/>
        </w:rPr>
        <w:t>ea</w:t>
      </w:r>
      <w:r w:rsidRPr="00B03645">
        <w:rPr>
          <w:lang w:eastAsia="ja-JP"/>
        </w:rPr>
        <w:t xml:space="preserve">rs and </w:t>
      </w:r>
      <w:r w:rsidR="00E936A1">
        <w:rPr>
          <w:lang w:eastAsia="ja-JP"/>
        </w:rPr>
        <w:t xml:space="preserve">≥ </w:t>
      </w:r>
      <w:r w:rsidRPr="00B03645">
        <w:rPr>
          <w:lang w:eastAsia="ja-JP"/>
        </w:rPr>
        <w:t>65 y</w:t>
      </w:r>
      <w:r w:rsidR="0009248B">
        <w:rPr>
          <w:lang w:eastAsia="ja-JP"/>
        </w:rPr>
        <w:t>ea</w:t>
      </w:r>
      <w:r w:rsidRPr="00B03645">
        <w:rPr>
          <w:lang w:eastAsia="ja-JP"/>
        </w:rPr>
        <w:t>rs</w:t>
      </w:r>
      <w:r w:rsidR="0009248B">
        <w:rPr>
          <w:lang w:eastAsia="ja-JP"/>
        </w:rPr>
        <w:t xml:space="preserve"> of age</w:t>
      </w:r>
      <w:r w:rsidRPr="00B03645">
        <w:rPr>
          <w:lang w:eastAsia="ja-JP"/>
        </w:rPr>
        <w:t xml:space="preserve">). Additional descriptive secondary immunogenicity endpoints including the percentage of subjects with a HAI titre </w:t>
      </w:r>
      <w:r w:rsidR="00E936A1">
        <w:rPr>
          <w:lang w:eastAsia="ja-JP"/>
        </w:rPr>
        <w:t xml:space="preserve">≥ </w:t>
      </w:r>
      <w:r w:rsidRPr="00B03645">
        <w:rPr>
          <w:lang w:eastAsia="ja-JP"/>
        </w:rPr>
        <w:t xml:space="preserve">40 </w:t>
      </w:r>
      <w:r w:rsidRPr="00B03645">
        <w:rPr>
          <w:lang w:eastAsia="ja-JP"/>
        </w:rPr>
        <w:lastRenderedPageBreak/>
        <w:t>(seroprotection rates), SCRs and GMFIs by study vaccine and age cohort were analysed. In general for these endpoints, results were similar between different study vaccines within each age cohort for A strain results, and when the vaccine included B strains were matched.</w:t>
      </w:r>
    </w:p>
    <w:p w14:paraId="14551FCB" w14:textId="320FCFF0" w:rsidR="00B03645" w:rsidRPr="00B03645" w:rsidRDefault="00B03645" w:rsidP="00B03645">
      <w:pPr>
        <w:rPr>
          <w:lang w:eastAsia="ja-JP"/>
        </w:rPr>
      </w:pPr>
      <w:r w:rsidRPr="00B03645">
        <w:rPr>
          <w:lang w:eastAsia="ja-JP"/>
        </w:rPr>
        <w:t xml:space="preserve">There were high rates of vaccination with influenza vaccine in the previous 12 months in the overall study population (FAS: 63.3%) and in both age cohorts, but this was especially high in the older age cohort </w:t>
      </w:r>
      <w:r w:rsidR="00E936A1">
        <w:rPr>
          <w:lang w:eastAsia="ja-JP"/>
        </w:rPr>
        <w:t xml:space="preserve">≥ </w:t>
      </w:r>
      <w:r w:rsidRPr="00B03645">
        <w:rPr>
          <w:lang w:eastAsia="ja-JP"/>
        </w:rPr>
        <w:t>65 y</w:t>
      </w:r>
      <w:r w:rsidR="0009248B">
        <w:rPr>
          <w:lang w:eastAsia="ja-JP"/>
        </w:rPr>
        <w:t>ea</w:t>
      </w:r>
      <w:r w:rsidRPr="00B03645">
        <w:rPr>
          <w:lang w:eastAsia="ja-JP"/>
        </w:rPr>
        <w:t>rs (81.6% v</w:t>
      </w:r>
      <w:r w:rsidR="0009248B">
        <w:rPr>
          <w:lang w:eastAsia="ja-JP"/>
        </w:rPr>
        <w:t xml:space="preserve">ersus 45.0% (18 to </w:t>
      </w:r>
      <w:r w:rsidRPr="00B03645">
        <w:rPr>
          <w:lang w:eastAsia="ja-JP"/>
        </w:rPr>
        <w:t>64 y</w:t>
      </w:r>
      <w:r w:rsidR="0009248B">
        <w:rPr>
          <w:lang w:eastAsia="ja-JP"/>
        </w:rPr>
        <w:t>ea</w:t>
      </w:r>
      <w:r w:rsidR="00CC2AD0">
        <w:rPr>
          <w:lang w:eastAsia="ja-JP"/>
        </w:rPr>
        <w:t>rs)</w:t>
      </w:r>
      <w:r w:rsidRPr="00B03645">
        <w:rPr>
          <w:lang w:eastAsia="ja-JP"/>
        </w:rPr>
        <w:t>). The post</w:t>
      </w:r>
      <w:r w:rsidR="00464B2F">
        <w:rPr>
          <w:lang w:eastAsia="ja-JP"/>
        </w:rPr>
        <w:t>-</w:t>
      </w:r>
      <w:r w:rsidRPr="00B03645">
        <w:rPr>
          <w:lang w:eastAsia="ja-JP"/>
        </w:rPr>
        <w:t>vaccination seroprotection rates for the A strains were very high (</w:t>
      </w:r>
      <w:r w:rsidR="00E936A1">
        <w:rPr>
          <w:lang w:eastAsia="ja-JP"/>
        </w:rPr>
        <w:t xml:space="preserve">≥ </w:t>
      </w:r>
      <w:r w:rsidRPr="00B03645">
        <w:rPr>
          <w:lang w:eastAsia="ja-JP"/>
        </w:rPr>
        <w:t>95%) and generally similar in both age cohorts. However, the post</w:t>
      </w:r>
      <w:r w:rsidR="0009248B">
        <w:rPr>
          <w:lang w:eastAsia="ja-JP"/>
        </w:rPr>
        <w:t>-</w:t>
      </w:r>
      <w:r w:rsidRPr="00B03645">
        <w:rPr>
          <w:lang w:eastAsia="ja-JP"/>
        </w:rPr>
        <w:t xml:space="preserve">vaccination seroprotection rates for subjects in the older age cohort </w:t>
      </w:r>
      <w:r w:rsidR="00E936A1">
        <w:rPr>
          <w:lang w:eastAsia="ja-JP"/>
        </w:rPr>
        <w:t xml:space="preserve">≥ </w:t>
      </w:r>
      <w:r w:rsidRPr="00B03645">
        <w:rPr>
          <w:lang w:eastAsia="ja-JP"/>
        </w:rPr>
        <w:t>65 y</w:t>
      </w:r>
      <w:r w:rsidR="00464B2F">
        <w:rPr>
          <w:lang w:eastAsia="ja-JP"/>
        </w:rPr>
        <w:t>ea</w:t>
      </w:r>
      <w:r w:rsidRPr="00B03645">
        <w:rPr>
          <w:lang w:eastAsia="ja-JP"/>
        </w:rPr>
        <w:t>rs were lower than the 18</w:t>
      </w:r>
      <w:r w:rsidR="00464B2F">
        <w:rPr>
          <w:lang w:eastAsia="ja-JP"/>
        </w:rPr>
        <w:t xml:space="preserve"> to </w:t>
      </w:r>
      <w:r w:rsidRPr="00B03645">
        <w:rPr>
          <w:lang w:eastAsia="ja-JP"/>
        </w:rPr>
        <w:t>64 y</w:t>
      </w:r>
      <w:r w:rsidR="00464B2F">
        <w:rPr>
          <w:lang w:eastAsia="ja-JP"/>
        </w:rPr>
        <w:t>ea</w:t>
      </w:r>
      <w:r w:rsidRPr="00B03645">
        <w:rPr>
          <w:lang w:eastAsia="ja-JP"/>
        </w:rPr>
        <w:t>rs age cohort for</w:t>
      </w:r>
      <w:r w:rsidR="00464B2F">
        <w:rPr>
          <w:lang w:eastAsia="ja-JP"/>
        </w:rPr>
        <w:t xml:space="preserve"> the B strains, even when the B </w:t>
      </w:r>
      <w:r w:rsidRPr="00B03645">
        <w:rPr>
          <w:lang w:eastAsia="ja-JP"/>
        </w:rPr>
        <w:t>strains were matched. For example, for the B/Yamagata strain, the post</w:t>
      </w:r>
      <w:r w:rsidR="00464B2F">
        <w:rPr>
          <w:lang w:eastAsia="ja-JP"/>
        </w:rPr>
        <w:t>-</w:t>
      </w:r>
      <w:r w:rsidRPr="00B03645">
        <w:rPr>
          <w:lang w:eastAsia="ja-JP"/>
        </w:rPr>
        <w:t xml:space="preserve">vaccination seroprotection rates for QIV in adults aged </w:t>
      </w:r>
      <w:r w:rsidR="00E936A1">
        <w:rPr>
          <w:lang w:eastAsia="ja-JP"/>
        </w:rPr>
        <w:t xml:space="preserve">≥ </w:t>
      </w:r>
      <w:r w:rsidRPr="00B03645">
        <w:rPr>
          <w:lang w:eastAsia="ja-JP"/>
        </w:rPr>
        <w:t>65 y</w:t>
      </w:r>
      <w:r w:rsidR="00464B2F">
        <w:rPr>
          <w:lang w:eastAsia="ja-JP"/>
        </w:rPr>
        <w:t>ea</w:t>
      </w:r>
      <w:r w:rsidRPr="00B03645">
        <w:rPr>
          <w:lang w:eastAsia="ja-JP"/>
        </w:rPr>
        <w:t>rs was 57.5%, and 84.3% in adults aged 18</w:t>
      </w:r>
      <w:r w:rsidR="00464B2F">
        <w:rPr>
          <w:lang w:eastAsia="ja-JP"/>
        </w:rPr>
        <w:t> to </w:t>
      </w:r>
      <w:r w:rsidRPr="00B03645">
        <w:rPr>
          <w:lang w:eastAsia="ja-JP"/>
        </w:rPr>
        <w:t>64 y</w:t>
      </w:r>
      <w:r w:rsidR="00464B2F">
        <w:rPr>
          <w:lang w:eastAsia="ja-JP"/>
        </w:rPr>
        <w:t>ea</w:t>
      </w:r>
      <w:r w:rsidRPr="00B03645">
        <w:rPr>
          <w:lang w:eastAsia="ja-JP"/>
        </w:rPr>
        <w:t xml:space="preserve">rs. For the B/Victoria lineage, the seroprotection rates in adults aged </w:t>
      </w:r>
      <w:r w:rsidR="00E936A1">
        <w:rPr>
          <w:lang w:eastAsia="ja-JP"/>
        </w:rPr>
        <w:t xml:space="preserve">≥ </w:t>
      </w:r>
      <w:r w:rsidRPr="00B03645">
        <w:rPr>
          <w:lang w:eastAsia="ja-JP"/>
        </w:rPr>
        <w:t>65 y</w:t>
      </w:r>
      <w:r w:rsidR="00464B2F">
        <w:rPr>
          <w:lang w:eastAsia="ja-JP"/>
        </w:rPr>
        <w:t>ea</w:t>
      </w:r>
      <w:r w:rsidRPr="00B03645">
        <w:rPr>
          <w:lang w:eastAsia="ja-JP"/>
        </w:rPr>
        <w:t>rs was 68.</w:t>
      </w:r>
      <w:r w:rsidR="00464B2F">
        <w:rPr>
          <w:lang w:eastAsia="ja-JP"/>
        </w:rPr>
        <w:t xml:space="preserve">3% and 86.7% in adults aged 18 to </w:t>
      </w:r>
      <w:r w:rsidRPr="00B03645">
        <w:rPr>
          <w:lang w:eastAsia="ja-JP"/>
        </w:rPr>
        <w:t>64 y</w:t>
      </w:r>
      <w:r w:rsidR="00464B2F">
        <w:rPr>
          <w:lang w:eastAsia="ja-JP"/>
        </w:rPr>
        <w:t>ea</w:t>
      </w:r>
      <w:r w:rsidRPr="00B03645">
        <w:rPr>
          <w:lang w:eastAsia="ja-JP"/>
        </w:rPr>
        <w:t>rs.</w:t>
      </w:r>
    </w:p>
    <w:p w14:paraId="53CC4B71" w14:textId="5296F466" w:rsidR="00B03645" w:rsidRPr="00B03645" w:rsidRDefault="00B03645" w:rsidP="00B03645">
      <w:pPr>
        <w:rPr>
          <w:lang w:eastAsia="ja-JP"/>
        </w:rPr>
      </w:pPr>
      <w:r w:rsidRPr="00B03645">
        <w:rPr>
          <w:lang w:eastAsia="ja-JP"/>
        </w:rPr>
        <w:t xml:space="preserve">Seroconversion rates in the overall study population (adults </w:t>
      </w:r>
      <w:r w:rsidR="00E936A1">
        <w:rPr>
          <w:lang w:eastAsia="ja-JP"/>
        </w:rPr>
        <w:t xml:space="preserve">≥ </w:t>
      </w:r>
      <w:r w:rsidRPr="00B03645">
        <w:rPr>
          <w:lang w:eastAsia="ja-JP"/>
        </w:rPr>
        <w:t>18 y</w:t>
      </w:r>
      <w:r w:rsidR="00464B2F">
        <w:rPr>
          <w:lang w:eastAsia="ja-JP"/>
        </w:rPr>
        <w:t>ea</w:t>
      </w:r>
      <w:r w:rsidRPr="00B03645">
        <w:rPr>
          <w:lang w:eastAsia="ja-JP"/>
        </w:rPr>
        <w:t>rs) were generally in the range of 30</w:t>
      </w:r>
      <w:r w:rsidR="00464B2F">
        <w:rPr>
          <w:lang w:eastAsia="ja-JP"/>
        </w:rPr>
        <w:t xml:space="preserve"> to </w:t>
      </w:r>
      <w:r w:rsidRPr="00B03645">
        <w:rPr>
          <w:lang w:eastAsia="ja-JP"/>
        </w:rPr>
        <w:t xml:space="preserve">40% for both A strains and vaccine matched B strains. However, SCRs for subjects in the older age cohort </w:t>
      </w:r>
      <w:r w:rsidR="00E936A1">
        <w:rPr>
          <w:lang w:eastAsia="ja-JP"/>
        </w:rPr>
        <w:t xml:space="preserve">≥ </w:t>
      </w:r>
      <w:r w:rsidRPr="00B03645">
        <w:rPr>
          <w:lang w:eastAsia="ja-JP"/>
        </w:rPr>
        <w:t>65 y</w:t>
      </w:r>
      <w:r w:rsidR="00464B2F">
        <w:rPr>
          <w:lang w:eastAsia="ja-JP"/>
        </w:rPr>
        <w:t xml:space="preserve">ears of age were lower than the 18 to </w:t>
      </w:r>
      <w:r w:rsidRPr="00B03645">
        <w:rPr>
          <w:lang w:eastAsia="ja-JP"/>
        </w:rPr>
        <w:t>64 y</w:t>
      </w:r>
      <w:r w:rsidR="00464B2F">
        <w:rPr>
          <w:lang w:eastAsia="ja-JP"/>
        </w:rPr>
        <w:t>ea</w:t>
      </w:r>
      <w:r w:rsidRPr="00B03645">
        <w:rPr>
          <w:lang w:eastAsia="ja-JP"/>
        </w:rPr>
        <w:t xml:space="preserve">rs </w:t>
      </w:r>
      <w:r w:rsidR="00464B2F">
        <w:rPr>
          <w:lang w:eastAsia="ja-JP"/>
        </w:rPr>
        <w:t xml:space="preserve">of </w:t>
      </w:r>
      <w:r w:rsidRPr="00B03645">
        <w:rPr>
          <w:lang w:eastAsia="ja-JP"/>
        </w:rPr>
        <w:t>age cohort for all strains, even when the B strains were matched. For example, for the B/Yamagata strain, the SCR for QIV in older adults (</w:t>
      </w:r>
      <w:r w:rsidR="00E936A1">
        <w:rPr>
          <w:lang w:eastAsia="ja-JP"/>
        </w:rPr>
        <w:t xml:space="preserve">≥ </w:t>
      </w:r>
      <w:r w:rsidRPr="00B03645">
        <w:rPr>
          <w:lang w:eastAsia="ja-JP"/>
        </w:rPr>
        <w:t xml:space="preserve">65 </w:t>
      </w:r>
      <w:r w:rsidR="00F81B42">
        <w:rPr>
          <w:lang w:eastAsia="ja-JP"/>
        </w:rPr>
        <w:t>years</w:t>
      </w:r>
      <w:r w:rsidRPr="00B03645">
        <w:rPr>
          <w:lang w:eastAsia="ja-JP"/>
        </w:rPr>
        <w:t xml:space="preserve">) was 16.6% </w:t>
      </w:r>
      <w:r w:rsidR="00020A94">
        <w:rPr>
          <w:lang w:eastAsia="ja-JP"/>
        </w:rPr>
        <w:t xml:space="preserve">and </w:t>
      </w:r>
      <w:r w:rsidRPr="00B03645">
        <w:rPr>
          <w:lang w:eastAsia="ja-JP"/>
        </w:rPr>
        <w:t xml:space="preserve">45.7% in adults aged 18 through 64 </w:t>
      </w:r>
      <w:r w:rsidR="00F81B42">
        <w:rPr>
          <w:lang w:eastAsia="ja-JP"/>
        </w:rPr>
        <w:t>years</w:t>
      </w:r>
      <w:r w:rsidRPr="00B03645">
        <w:rPr>
          <w:lang w:eastAsia="ja-JP"/>
        </w:rPr>
        <w:t>.</w:t>
      </w:r>
    </w:p>
    <w:p w14:paraId="7653B207" w14:textId="27DA9A61" w:rsidR="00B03645" w:rsidRPr="00B03645" w:rsidRDefault="00B03645" w:rsidP="00B03645">
      <w:pPr>
        <w:rPr>
          <w:lang w:eastAsia="ja-JP"/>
        </w:rPr>
      </w:pPr>
      <w:r w:rsidRPr="00B03645">
        <w:rPr>
          <w:lang w:eastAsia="ja-JP"/>
        </w:rPr>
        <w:t xml:space="preserve">For the B/Victoria lineage, the SCR in adults aged </w:t>
      </w:r>
      <w:r w:rsidR="00E936A1">
        <w:rPr>
          <w:lang w:eastAsia="ja-JP"/>
        </w:rPr>
        <w:t>≥ </w:t>
      </w:r>
      <w:r w:rsidRPr="00B03645">
        <w:rPr>
          <w:lang w:eastAsia="ja-JP"/>
        </w:rPr>
        <w:t>65 y</w:t>
      </w:r>
      <w:r w:rsidR="00464B2F">
        <w:rPr>
          <w:lang w:eastAsia="ja-JP"/>
        </w:rPr>
        <w:t>ea</w:t>
      </w:r>
      <w:r w:rsidRPr="00B03645">
        <w:rPr>
          <w:lang w:eastAsia="ja-JP"/>
        </w:rPr>
        <w:t xml:space="preserve">rs was 23.5%, and 57.6% in adults aged 18 through </w:t>
      </w:r>
      <w:r w:rsidR="00464B2F">
        <w:rPr>
          <w:lang w:eastAsia="ja-JP"/>
        </w:rPr>
        <w:t xml:space="preserve">to </w:t>
      </w:r>
      <w:r w:rsidRPr="00B03645">
        <w:rPr>
          <w:lang w:eastAsia="ja-JP"/>
        </w:rPr>
        <w:t>64 y</w:t>
      </w:r>
      <w:r w:rsidR="00464B2F">
        <w:rPr>
          <w:lang w:eastAsia="ja-JP"/>
        </w:rPr>
        <w:t>ea</w:t>
      </w:r>
      <w:r w:rsidRPr="00B03645">
        <w:rPr>
          <w:lang w:eastAsia="ja-JP"/>
        </w:rPr>
        <w:t>rs. A similar pattern to the B strain results were also seen for the two A strains for SCRs. Differences in age cohorts were also observed for GMFI.</w:t>
      </w:r>
    </w:p>
    <w:p w14:paraId="061284CB" w14:textId="2710D483" w:rsidR="00B03645" w:rsidRPr="00B03645" w:rsidRDefault="00B03645" w:rsidP="00B03645">
      <w:pPr>
        <w:rPr>
          <w:lang w:eastAsia="ja-JP"/>
        </w:rPr>
      </w:pPr>
      <w:r w:rsidRPr="00B03645">
        <w:rPr>
          <w:lang w:eastAsia="ja-JP"/>
        </w:rPr>
        <w:t>In general, relatively high seroprotection rates and lower seroconversion rates are a pattern that may be expected in study populations with high rates of influenza vaccination in the previous 12 months, as is the case in the US where the study was conducted.</w:t>
      </w:r>
    </w:p>
    <w:p w14:paraId="0F7D02F7" w14:textId="0C1ED8D9" w:rsidR="00B03645" w:rsidRDefault="00B03645" w:rsidP="00B03645">
      <w:pPr>
        <w:rPr>
          <w:lang w:eastAsia="ja-JP"/>
        </w:rPr>
      </w:pPr>
      <w:r w:rsidRPr="00B03645">
        <w:rPr>
          <w:lang w:eastAsia="ja-JP"/>
        </w:rPr>
        <w:t>The immunogenicity primary and secondary endpoints were met regardless of a subject’s gender. Female subjects had slightly higher HAI GMTs (both pre- and post</w:t>
      </w:r>
      <w:r w:rsidR="00464B2F">
        <w:rPr>
          <w:lang w:eastAsia="ja-JP"/>
        </w:rPr>
        <w:t>-vaccination) for each strain versus</w:t>
      </w:r>
      <w:r w:rsidRPr="00B03645">
        <w:rPr>
          <w:lang w:eastAsia="ja-JP"/>
        </w:rPr>
        <w:t xml:space="preserve"> males. Most subjects enrolled</w:t>
      </w:r>
      <w:r w:rsidR="00E2700A">
        <w:rPr>
          <w:lang w:eastAsia="ja-JP"/>
        </w:rPr>
        <w:t xml:space="preserve"> in the study were white and Not</w:t>
      </w:r>
      <w:r w:rsidR="00464B2F">
        <w:rPr>
          <w:lang w:eastAsia="ja-JP"/>
        </w:rPr>
        <w:t>-</w:t>
      </w:r>
      <w:r w:rsidRPr="00B03645">
        <w:rPr>
          <w:lang w:eastAsia="ja-JP"/>
        </w:rPr>
        <w:t>Hispanic/Latino. For these groups, the non-inferiority criterion for GMT and SCR and superiority of the alternate B strains for GMT and SCR were met for each strain and results were similar to the overall population. Post</w:t>
      </w:r>
      <w:r w:rsidR="00464B2F">
        <w:rPr>
          <w:lang w:eastAsia="ja-JP"/>
        </w:rPr>
        <w:t>-</w:t>
      </w:r>
      <w:r w:rsidRPr="00B03645">
        <w:rPr>
          <w:lang w:eastAsia="ja-JP"/>
        </w:rPr>
        <w:t>vaccination (Day 21) HAI GMTs and SCRs were generally higher for the black or Afr</w:t>
      </w:r>
      <w:r w:rsidR="00464B2F">
        <w:rPr>
          <w:lang w:eastAsia="ja-JP"/>
        </w:rPr>
        <w:t xml:space="preserve">ican American race subgroup versus </w:t>
      </w:r>
      <w:r w:rsidRPr="00B03645">
        <w:rPr>
          <w:lang w:eastAsia="ja-JP"/>
        </w:rPr>
        <w:t>the white subgroup, and for the Hispanic or Latino et</w:t>
      </w:r>
      <w:r w:rsidR="00E2700A">
        <w:rPr>
          <w:lang w:eastAsia="ja-JP"/>
        </w:rPr>
        <w:t>hnicity subgroup compared to Not</w:t>
      </w:r>
      <w:r w:rsidR="00464B2F">
        <w:rPr>
          <w:lang w:eastAsia="ja-JP"/>
        </w:rPr>
        <w:t>-Hispanic or Latino subgroup.</w:t>
      </w:r>
    </w:p>
    <w:p w14:paraId="49E77F71" w14:textId="4ACB177F" w:rsidR="00B03645" w:rsidRPr="00B03645" w:rsidRDefault="00F11499" w:rsidP="00B03645">
      <w:pPr>
        <w:rPr>
          <w:lang w:eastAsia="ja-JP"/>
        </w:rPr>
      </w:pPr>
      <w:r>
        <w:rPr>
          <w:lang w:eastAsia="ja-JP"/>
        </w:rPr>
        <w:t xml:space="preserve">In summary, </w:t>
      </w:r>
      <w:r w:rsidR="00B03645" w:rsidRPr="00B03645">
        <w:rPr>
          <w:lang w:eastAsia="ja-JP"/>
        </w:rPr>
        <w:t>HAI antibody responses for this QIV were shown to be non-inferior for matched influ</w:t>
      </w:r>
      <w:r w:rsidR="00464B2F">
        <w:rPr>
          <w:lang w:eastAsia="ja-JP"/>
        </w:rPr>
        <w:t>enza A and B vaccine strains versus</w:t>
      </w:r>
      <w:r w:rsidR="00B03645" w:rsidRPr="00B03645">
        <w:rPr>
          <w:lang w:eastAsia="ja-JP"/>
        </w:rPr>
        <w:t xml:space="preserve"> TIV comparators in adults </w:t>
      </w:r>
      <w:r w:rsidR="00E936A1">
        <w:rPr>
          <w:lang w:eastAsia="ja-JP"/>
        </w:rPr>
        <w:t>≥ </w:t>
      </w:r>
      <w:r w:rsidR="00B03645" w:rsidRPr="00B03645">
        <w:rPr>
          <w:lang w:eastAsia="ja-JP"/>
        </w:rPr>
        <w:t>18 y</w:t>
      </w:r>
      <w:r w:rsidR="00464B2F">
        <w:rPr>
          <w:lang w:eastAsia="ja-JP"/>
        </w:rPr>
        <w:t>ea</w:t>
      </w:r>
      <w:r w:rsidR="00B03645" w:rsidRPr="00B03645">
        <w:rPr>
          <w:lang w:eastAsia="ja-JP"/>
        </w:rPr>
        <w:t>rs, for the co primary endpoints of HI GMT and SCRs. Additionally, superiority for this QIV was shown for the same serological e</w:t>
      </w:r>
      <w:r w:rsidR="00464B2F">
        <w:rPr>
          <w:lang w:eastAsia="ja-JP"/>
        </w:rPr>
        <w:t>ndpoints for the alternate (non-</w:t>
      </w:r>
      <w:r w:rsidR="00B03645" w:rsidRPr="00B03645">
        <w:rPr>
          <w:lang w:eastAsia="ja-JP"/>
        </w:rPr>
        <w:t>included) influenza B strains for the TIV comparators. These endpoints were also met for each of the two age cohorts separately.</w:t>
      </w:r>
    </w:p>
    <w:p w14:paraId="5110F75A" w14:textId="6761E2BA" w:rsidR="00B03645" w:rsidRDefault="00E2700A" w:rsidP="00F724FE">
      <w:pPr>
        <w:pStyle w:val="FigureTitle"/>
        <w:rPr>
          <w:lang w:eastAsia="ja-JP"/>
        </w:rPr>
      </w:pPr>
      <w:r>
        <w:rPr>
          <w:lang w:eastAsia="ja-JP"/>
        </w:rPr>
        <w:lastRenderedPageBreak/>
        <w:t xml:space="preserve">Figure </w:t>
      </w:r>
      <w:r w:rsidR="00CF5FB1">
        <w:rPr>
          <w:lang w:eastAsia="ja-JP"/>
        </w:rPr>
        <w:t>3</w:t>
      </w:r>
      <w:r>
        <w:rPr>
          <w:lang w:eastAsia="ja-JP"/>
        </w:rPr>
        <w:t>.</w:t>
      </w:r>
      <w:r w:rsidR="00B03645" w:rsidRPr="00B03645">
        <w:rPr>
          <w:lang w:eastAsia="ja-JP"/>
        </w:rPr>
        <w:t xml:space="preserve"> </w:t>
      </w:r>
      <w:r>
        <w:rPr>
          <w:lang w:eastAsia="ja-JP"/>
        </w:rPr>
        <w:t xml:space="preserve">Study </w:t>
      </w:r>
      <w:r w:rsidR="00B03645" w:rsidRPr="00B03645">
        <w:rPr>
          <w:lang w:eastAsia="ja-JP"/>
        </w:rPr>
        <w:t>CSLCT-QIV-13-01- N</w:t>
      </w:r>
      <w:r>
        <w:rPr>
          <w:lang w:eastAsia="ja-JP"/>
        </w:rPr>
        <w:t xml:space="preserve">on-inferiority of </w:t>
      </w:r>
      <w:r w:rsidR="003073A8">
        <w:rPr>
          <w:lang w:eastAsia="ja-JP"/>
        </w:rPr>
        <w:t xml:space="preserve">Seqirus </w:t>
      </w:r>
      <w:r>
        <w:rPr>
          <w:lang w:eastAsia="ja-JP"/>
        </w:rPr>
        <w:t xml:space="preserve">QIV versus </w:t>
      </w:r>
      <w:r w:rsidR="003073A8">
        <w:rPr>
          <w:lang w:eastAsia="ja-JP"/>
        </w:rPr>
        <w:t xml:space="preserve">Seqirus </w:t>
      </w:r>
      <w:r>
        <w:rPr>
          <w:lang w:eastAsia="ja-JP"/>
        </w:rPr>
        <w:t>TIV in terms of geometric mean titre (adjusted GMT r</w:t>
      </w:r>
      <w:r w:rsidR="00B03645" w:rsidRPr="00B03645">
        <w:rPr>
          <w:lang w:eastAsia="ja-JP"/>
        </w:rPr>
        <w:t xml:space="preserve">atios) for each Strain (PP </w:t>
      </w:r>
      <w:r>
        <w:rPr>
          <w:lang w:eastAsia="ja-JP"/>
        </w:rPr>
        <w:t>p</w:t>
      </w:r>
      <w:r w:rsidR="00B03645" w:rsidRPr="00B03645">
        <w:rPr>
          <w:lang w:eastAsia="ja-JP"/>
        </w:rPr>
        <w:t>opulation)</w:t>
      </w:r>
    </w:p>
    <w:p w14:paraId="4EAD54F8" w14:textId="541DD2AE" w:rsidR="00933DCA" w:rsidRPr="00CB7BAD" w:rsidRDefault="00933DCA" w:rsidP="00F724FE">
      <w:pPr>
        <w:rPr>
          <w:bCs/>
          <w:i/>
          <w:lang w:val="en-US"/>
        </w:rPr>
      </w:pPr>
      <w:r w:rsidRPr="00E03BAD">
        <w:rPr>
          <w:noProof/>
          <w:lang w:eastAsia="en-AU"/>
        </w:rPr>
        <w:drawing>
          <wp:inline distT="0" distB="0" distL="0" distR="0" wp14:anchorId="534A3D97" wp14:editId="046B7CAB">
            <wp:extent cx="4237630" cy="2628109"/>
            <wp:effectExtent l="0" t="0" r="0" b="1270"/>
            <wp:docPr id="14" name="Picture 14" descr="Figure 3. Study CSLCT-QIV-13-01- Non-inferiority of Seqirus QIV versus Seqirus TIV in terms of geometric mean titre (adjusted GMT ratios) for each Strain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235592" cy="2626845"/>
                    </a:xfrm>
                    <a:prstGeom prst="rect">
                      <a:avLst/>
                    </a:prstGeom>
                  </pic:spPr>
                </pic:pic>
              </a:graphicData>
            </a:graphic>
          </wp:inline>
        </w:drawing>
      </w:r>
    </w:p>
    <w:p w14:paraId="4067C203" w14:textId="77777777" w:rsidR="00B30159" w:rsidRDefault="00933DCA" w:rsidP="00F724FE">
      <w:pPr>
        <w:pStyle w:val="FigureDescription"/>
        <w:rPr>
          <w:lang w:val="en-US"/>
        </w:rPr>
      </w:pPr>
      <w:r w:rsidRPr="00933DCA">
        <w:rPr>
          <w:lang w:val="en-US"/>
        </w:rPr>
        <w:t>The bold line represents the margin of non-inferiority. Non-inferiority is shown if the upper error bar for estimates lies below the line.</w:t>
      </w:r>
    </w:p>
    <w:p w14:paraId="3953E614" w14:textId="678AC4AE" w:rsidR="00B03645" w:rsidRDefault="00C432EE" w:rsidP="00F724FE">
      <w:pPr>
        <w:pStyle w:val="FigureTitle"/>
        <w:rPr>
          <w:lang w:eastAsia="ja-JP"/>
        </w:rPr>
      </w:pPr>
      <w:proofErr w:type="gramStart"/>
      <w:r>
        <w:rPr>
          <w:lang w:eastAsia="ja-JP"/>
        </w:rPr>
        <w:t xml:space="preserve">Figure </w:t>
      </w:r>
      <w:r w:rsidR="00CF5FB1">
        <w:rPr>
          <w:lang w:eastAsia="ja-JP"/>
        </w:rPr>
        <w:t>4</w:t>
      </w:r>
      <w:r>
        <w:rPr>
          <w:lang w:eastAsia="ja-JP"/>
        </w:rPr>
        <w:t>.</w:t>
      </w:r>
      <w:proofErr w:type="gramEnd"/>
      <w:r>
        <w:rPr>
          <w:lang w:eastAsia="ja-JP"/>
        </w:rPr>
        <w:t xml:space="preserve"> Study</w:t>
      </w:r>
      <w:r w:rsidR="00B03645" w:rsidRPr="00B03645">
        <w:rPr>
          <w:lang w:eastAsia="ja-JP"/>
        </w:rPr>
        <w:t xml:space="preserve"> CSLCT-QIV-13-01- Non-inferiority of </w:t>
      </w:r>
      <w:r w:rsidR="003073A8">
        <w:rPr>
          <w:lang w:eastAsia="ja-JP"/>
        </w:rPr>
        <w:t>Seqirus</w:t>
      </w:r>
      <w:r w:rsidR="003073A8" w:rsidRPr="00B03645">
        <w:rPr>
          <w:lang w:eastAsia="ja-JP"/>
        </w:rPr>
        <w:t xml:space="preserve"> </w:t>
      </w:r>
      <w:r w:rsidR="00B03645" w:rsidRPr="00B03645">
        <w:rPr>
          <w:lang w:eastAsia="ja-JP"/>
        </w:rPr>
        <w:t>QIV v</w:t>
      </w:r>
      <w:r w:rsidR="00644361">
        <w:rPr>
          <w:lang w:eastAsia="ja-JP"/>
        </w:rPr>
        <w:t xml:space="preserve">ersus </w:t>
      </w:r>
      <w:r w:rsidR="003073A8">
        <w:rPr>
          <w:lang w:eastAsia="ja-JP"/>
        </w:rPr>
        <w:t xml:space="preserve">Seqirus </w:t>
      </w:r>
      <w:r w:rsidR="00644361">
        <w:rPr>
          <w:lang w:eastAsia="ja-JP"/>
        </w:rPr>
        <w:t>TIV in terms of seroconversion Rates (%) (PP p</w:t>
      </w:r>
      <w:r w:rsidR="00B03645" w:rsidRPr="00B03645">
        <w:rPr>
          <w:lang w:eastAsia="ja-JP"/>
        </w:rPr>
        <w:t>opulation)</w:t>
      </w:r>
    </w:p>
    <w:p w14:paraId="7C13BEB7" w14:textId="77777777" w:rsidR="00933DCA" w:rsidRPr="00CB7BAD" w:rsidRDefault="00933DCA" w:rsidP="00F724FE">
      <w:r w:rsidRPr="00E03BAD">
        <w:rPr>
          <w:noProof/>
          <w:lang w:eastAsia="en-AU"/>
        </w:rPr>
        <w:drawing>
          <wp:inline distT="0" distB="0" distL="0" distR="0" wp14:anchorId="394B5942" wp14:editId="7FEA9B65">
            <wp:extent cx="4258102" cy="2609552"/>
            <wp:effectExtent l="0" t="0" r="0" b="635"/>
            <wp:docPr id="23" name="Picture 23" descr="Figure 4. Study CSLCT-QIV-13-01- Non-inferiority of Seqirus QIV versus Seqirus TIV in terms of seroconversion Rates (%)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259473" cy="2610392"/>
                    </a:xfrm>
                    <a:prstGeom prst="rect">
                      <a:avLst/>
                    </a:prstGeom>
                  </pic:spPr>
                </pic:pic>
              </a:graphicData>
            </a:graphic>
          </wp:inline>
        </w:drawing>
      </w:r>
    </w:p>
    <w:p w14:paraId="1C88705D" w14:textId="77777777" w:rsidR="00933DCA" w:rsidRDefault="00933DCA" w:rsidP="00F724FE">
      <w:pPr>
        <w:pStyle w:val="FigureDescription"/>
      </w:pPr>
      <w:r w:rsidRPr="00CB7BAD">
        <w:t xml:space="preserve">The bold line represents the margin of non-inferiority. </w:t>
      </w:r>
      <w:r w:rsidRPr="007E2BD0">
        <w:t>Non</w:t>
      </w:r>
      <w:r>
        <w:t>-inferiority is shown if the upper</w:t>
      </w:r>
      <w:r w:rsidRPr="007E2BD0">
        <w:t xml:space="preserve"> error bar for estimates lies below the line.</w:t>
      </w:r>
    </w:p>
    <w:p w14:paraId="0B7D3C59" w14:textId="131236CA" w:rsidR="00B03645" w:rsidRPr="00B03645" w:rsidRDefault="00B03645" w:rsidP="00B03645">
      <w:pPr>
        <w:pStyle w:val="Heading5"/>
        <w:rPr>
          <w:lang w:eastAsia="ja-JP"/>
        </w:rPr>
      </w:pPr>
      <w:r w:rsidRPr="00B03645">
        <w:rPr>
          <w:lang w:eastAsia="ja-JP"/>
        </w:rPr>
        <w:t>Results for other efficacy outcomes</w:t>
      </w:r>
    </w:p>
    <w:p w14:paraId="0F9A17BF" w14:textId="49B3C00F" w:rsidR="00B03645" w:rsidRDefault="00B03645" w:rsidP="00B03645">
      <w:pPr>
        <w:rPr>
          <w:lang w:eastAsia="ja-JP"/>
        </w:rPr>
      </w:pPr>
      <w:r w:rsidRPr="00B03645">
        <w:rPr>
          <w:lang w:eastAsia="ja-JP"/>
        </w:rPr>
        <w:t xml:space="preserve">Safety results are described in </w:t>
      </w:r>
      <w:r w:rsidR="00644361">
        <w:rPr>
          <w:lang w:eastAsia="ja-JP"/>
        </w:rPr>
        <w:t>Section 8 (below)</w:t>
      </w:r>
      <w:r w:rsidRPr="00B03645">
        <w:rPr>
          <w:lang w:eastAsia="ja-JP"/>
        </w:rPr>
        <w:t xml:space="preserve"> but there were no safety concerns for the QIV v</w:t>
      </w:r>
      <w:r w:rsidR="00464B2F">
        <w:rPr>
          <w:lang w:eastAsia="ja-JP"/>
        </w:rPr>
        <w:t>ersus</w:t>
      </w:r>
      <w:r w:rsidRPr="00B03645">
        <w:rPr>
          <w:lang w:eastAsia="ja-JP"/>
        </w:rPr>
        <w:t xml:space="preserve"> the TIVs revealed in this study.</w:t>
      </w:r>
    </w:p>
    <w:p w14:paraId="759CE4EA" w14:textId="1F06ED9B" w:rsidR="00CE1933" w:rsidRPr="00B03645" w:rsidRDefault="00CE1933" w:rsidP="00CE1933">
      <w:pPr>
        <w:pStyle w:val="Heading3"/>
      </w:pPr>
      <w:bookmarkStart w:id="43" w:name="_Toc490579722"/>
      <w:r>
        <w:t>Other studies</w:t>
      </w:r>
      <w:bookmarkEnd w:id="43"/>
    </w:p>
    <w:p w14:paraId="0DD325AB" w14:textId="77777777" w:rsidR="00464B2F" w:rsidRDefault="00464B2F" w:rsidP="00CE1933">
      <w:pPr>
        <w:pStyle w:val="Heading4"/>
      </w:pPr>
      <w:bookmarkStart w:id="44" w:name="_Toc448702503"/>
      <w:r>
        <w:t>Study CSLCT-FLU-05-09</w:t>
      </w:r>
    </w:p>
    <w:p w14:paraId="258DA94B" w14:textId="30E6BAA4" w:rsidR="00B03645" w:rsidRPr="00CE1933" w:rsidRDefault="00CE1933" w:rsidP="00644361">
      <w:pPr>
        <w:ind w:left="720"/>
        <w:rPr>
          <w:i/>
        </w:rPr>
      </w:pPr>
      <w:r>
        <w:rPr>
          <w:b/>
        </w:rPr>
        <w:t>‘</w:t>
      </w:r>
      <w:r w:rsidR="00B03645" w:rsidRPr="00CE1933">
        <w:rPr>
          <w:i/>
        </w:rPr>
        <w:t xml:space="preserve">A </w:t>
      </w:r>
      <w:r w:rsidRPr="00CE1933">
        <w:rPr>
          <w:i/>
        </w:rPr>
        <w:t xml:space="preserve">Phase III, randomised, double-blinded, placebo-controlled, multicentre study to evaluate the immunogenicity, safety, and tolerability of </w:t>
      </w:r>
      <w:r w:rsidR="003073A8">
        <w:rPr>
          <w:i/>
        </w:rPr>
        <w:t>Seqirus</w:t>
      </w:r>
      <w:r w:rsidRPr="00CE1933">
        <w:rPr>
          <w:i/>
        </w:rPr>
        <w:t xml:space="preserve"> inactivated influenza vaccine in adults 18 to &lt; 65 years of age</w:t>
      </w:r>
      <w:bookmarkEnd w:id="44"/>
      <w:r w:rsidRPr="00CE1933">
        <w:rPr>
          <w:i/>
        </w:rPr>
        <w:t>’</w:t>
      </w:r>
    </w:p>
    <w:p w14:paraId="46A470D9" w14:textId="77777777" w:rsidR="00B03645" w:rsidRPr="00B03645" w:rsidRDefault="00B03645" w:rsidP="00CE1933">
      <w:pPr>
        <w:pStyle w:val="Heading5"/>
        <w:rPr>
          <w:lang w:eastAsia="ja-JP"/>
        </w:rPr>
      </w:pPr>
      <w:r w:rsidRPr="00B03645">
        <w:rPr>
          <w:lang w:eastAsia="ja-JP"/>
        </w:rPr>
        <w:lastRenderedPageBreak/>
        <w:t>Study design, objectives, locations and dates</w:t>
      </w:r>
    </w:p>
    <w:p w14:paraId="1083758E" w14:textId="77777777" w:rsidR="00DA26BD" w:rsidRDefault="00B03645" w:rsidP="00513501">
      <w:pPr>
        <w:pStyle w:val="Heading6"/>
        <w:rPr>
          <w:lang w:eastAsia="ja-JP"/>
        </w:rPr>
      </w:pPr>
      <w:r w:rsidRPr="00B03645">
        <w:rPr>
          <w:lang w:eastAsia="ja-JP"/>
        </w:rPr>
        <w:t>Design</w:t>
      </w:r>
    </w:p>
    <w:p w14:paraId="21BE2C8D" w14:textId="0D483F18" w:rsidR="00B03645" w:rsidRPr="00B03645" w:rsidRDefault="00513501" w:rsidP="00B03645">
      <w:pPr>
        <w:rPr>
          <w:lang w:eastAsia="ja-JP"/>
        </w:rPr>
      </w:pPr>
      <w:r>
        <w:rPr>
          <w:lang w:eastAsia="ja-JP"/>
        </w:rPr>
        <w:t>A Phase III, randomised, d</w:t>
      </w:r>
      <w:r w:rsidR="008E6CF9">
        <w:rPr>
          <w:lang w:eastAsia="ja-JP"/>
        </w:rPr>
        <w:t>ouble-b</w:t>
      </w:r>
      <w:r>
        <w:rPr>
          <w:lang w:eastAsia="ja-JP"/>
        </w:rPr>
        <w:t>linded, p</w:t>
      </w:r>
      <w:r w:rsidR="00B03645" w:rsidRPr="00B03645">
        <w:rPr>
          <w:lang w:eastAsia="ja-JP"/>
        </w:rPr>
        <w:t>lacebo controlled</w:t>
      </w:r>
      <w:r w:rsidR="00252D96">
        <w:rPr>
          <w:lang w:eastAsia="ja-JP"/>
        </w:rPr>
        <w:t xml:space="preserve">, multicentre clinical </w:t>
      </w:r>
      <w:r>
        <w:rPr>
          <w:lang w:eastAsia="ja-JP"/>
        </w:rPr>
        <w:t xml:space="preserve">trial with approximately </w:t>
      </w:r>
      <w:r w:rsidR="00B03645" w:rsidRPr="00B03645">
        <w:rPr>
          <w:lang w:eastAsia="ja-JP"/>
        </w:rPr>
        <w:t xml:space="preserve">1250 (up to 1350) healthy adults, </w:t>
      </w:r>
      <w:r>
        <w:rPr>
          <w:lang w:eastAsia="ja-JP"/>
        </w:rPr>
        <w:t xml:space="preserve">between </w:t>
      </w:r>
      <w:r w:rsidR="00B03645" w:rsidRPr="00B03645">
        <w:rPr>
          <w:lang w:eastAsia="ja-JP"/>
        </w:rPr>
        <w:t>18 to &lt;</w:t>
      </w:r>
      <w:r>
        <w:rPr>
          <w:lang w:eastAsia="ja-JP"/>
        </w:rPr>
        <w:t xml:space="preserve"> </w:t>
      </w:r>
      <w:r w:rsidR="00B03645" w:rsidRPr="00B03645">
        <w:rPr>
          <w:lang w:eastAsia="ja-JP"/>
        </w:rPr>
        <w:t>65 y</w:t>
      </w:r>
      <w:r w:rsidR="008E6CF9">
        <w:rPr>
          <w:lang w:eastAsia="ja-JP"/>
        </w:rPr>
        <w:t>ea</w:t>
      </w:r>
      <w:r w:rsidR="00B03645" w:rsidRPr="00B03645">
        <w:rPr>
          <w:lang w:eastAsia="ja-JP"/>
        </w:rPr>
        <w:t>rs old</w:t>
      </w:r>
      <w:r>
        <w:rPr>
          <w:lang w:eastAsia="ja-JP"/>
        </w:rPr>
        <w:t xml:space="preserve"> </w:t>
      </w:r>
      <w:r w:rsidR="00B03645" w:rsidRPr="00B03645">
        <w:rPr>
          <w:lang w:eastAsia="ja-JP"/>
        </w:rPr>
        <w:t>enrolled</w:t>
      </w:r>
      <w:r w:rsidR="00252D96">
        <w:rPr>
          <w:lang w:eastAsia="ja-JP"/>
        </w:rPr>
        <w:t xml:space="preserve"> randomised</w:t>
      </w:r>
      <w:r>
        <w:rPr>
          <w:lang w:eastAsia="ja-JP"/>
        </w:rPr>
        <w:t xml:space="preserve"> in a </w:t>
      </w:r>
      <w:r w:rsidR="00B03645" w:rsidRPr="00B03645">
        <w:rPr>
          <w:lang w:eastAsia="ja-JP"/>
        </w:rPr>
        <w:t>1:1:1:1:1 ratio to receive 1 of 3 lots of vaccine in multiple-dose vials, a single lot of vaccine in prefilled syringes, or placebo in multiple</w:t>
      </w:r>
      <w:r>
        <w:rPr>
          <w:lang w:eastAsia="ja-JP"/>
        </w:rPr>
        <w:t xml:space="preserve"> </w:t>
      </w:r>
      <w:r w:rsidR="00B03645" w:rsidRPr="00B03645">
        <w:rPr>
          <w:lang w:eastAsia="ja-JP"/>
        </w:rPr>
        <w:t xml:space="preserve">dose vials (250 subjects per group). Randomisation </w:t>
      </w:r>
      <w:r w:rsidR="00252D96">
        <w:rPr>
          <w:lang w:eastAsia="ja-JP"/>
        </w:rPr>
        <w:t xml:space="preserve">was </w:t>
      </w:r>
      <w:r w:rsidR="00B03645" w:rsidRPr="00B03645">
        <w:rPr>
          <w:lang w:eastAsia="ja-JP"/>
        </w:rPr>
        <w:t>stratified according to age</w:t>
      </w:r>
      <w:r>
        <w:rPr>
          <w:lang w:eastAsia="ja-JP"/>
        </w:rPr>
        <w:t>, that is 18 to 49 years and 50 to 64 years of age with a m</w:t>
      </w:r>
      <w:r w:rsidR="00B03645" w:rsidRPr="00B03645">
        <w:rPr>
          <w:lang w:eastAsia="ja-JP"/>
        </w:rPr>
        <w:t xml:space="preserve">inimum of </w:t>
      </w:r>
      <w:r>
        <w:rPr>
          <w:lang w:eastAsia="ja-JP"/>
        </w:rPr>
        <w:t xml:space="preserve">63 subjects in the age range 50 to </w:t>
      </w:r>
      <w:r w:rsidR="00B03645" w:rsidRPr="00B03645">
        <w:rPr>
          <w:lang w:eastAsia="ja-JP"/>
        </w:rPr>
        <w:t xml:space="preserve">64 required in each group. Vaccine </w:t>
      </w:r>
      <w:r w:rsidR="00252D96">
        <w:rPr>
          <w:lang w:eastAsia="ja-JP"/>
        </w:rPr>
        <w:t xml:space="preserve">was </w:t>
      </w:r>
      <w:r w:rsidR="00B03645" w:rsidRPr="00B03645">
        <w:rPr>
          <w:lang w:eastAsia="ja-JP"/>
        </w:rPr>
        <w:t xml:space="preserve">prepared and administered by an </w:t>
      </w:r>
      <w:r>
        <w:rPr>
          <w:lang w:eastAsia="ja-JP"/>
        </w:rPr>
        <w:t xml:space="preserve">unblinded vaccine administrator </w:t>
      </w:r>
      <w:r w:rsidR="00B03645" w:rsidRPr="00B03645">
        <w:rPr>
          <w:lang w:eastAsia="ja-JP"/>
        </w:rPr>
        <w:t>not invo</w:t>
      </w:r>
      <w:r>
        <w:rPr>
          <w:lang w:eastAsia="ja-JP"/>
        </w:rPr>
        <w:t>lved in subsequent assessments.</w:t>
      </w:r>
    </w:p>
    <w:p w14:paraId="0E6EBEDB" w14:textId="6BC83C55" w:rsidR="00513501" w:rsidRDefault="00B03645" w:rsidP="00513501">
      <w:pPr>
        <w:pStyle w:val="Heading6"/>
        <w:rPr>
          <w:lang w:eastAsia="ja-JP"/>
        </w:rPr>
      </w:pPr>
      <w:r w:rsidRPr="00B03645">
        <w:rPr>
          <w:lang w:eastAsia="ja-JP"/>
        </w:rPr>
        <w:t xml:space="preserve">HAI Antibody </w:t>
      </w:r>
      <w:r w:rsidR="00F724FE">
        <w:rPr>
          <w:lang w:eastAsia="ja-JP"/>
        </w:rPr>
        <w:t>r</w:t>
      </w:r>
      <w:r w:rsidRPr="00B03645">
        <w:rPr>
          <w:lang w:eastAsia="ja-JP"/>
        </w:rPr>
        <w:t>esponse</w:t>
      </w:r>
    </w:p>
    <w:p w14:paraId="17BFD99E" w14:textId="499C8078" w:rsidR="00B03645" w:rsidRPr="00B03645" w:rsidRDefault="00B03645" w:rsidP="00B03645">
      <w:pPr>
        <w:rPr>
          <w:lang w:eastAsia="ja-JP"/>
        </w:rPr>
      </w:pPr>
      <w:r w:rsidRPr="00B03645">
        <w:rPr>
          <w:lang w:eastAsia="ja-JP"/>
        </w:rPr>
        <w:t>Standard measurements used.</w:t>
      </w:r>
    </w:p>
    <w:p w14:paraId="622E6E87" w14:textId="50C43B97" w:rsidR="00513501" w:rsidRDefault="00513501" w:rsidP="00513501">
      <w:pPr>
        <w:pStyle w:val="Heading6"/>
        <w:rPr>
          <w:lang w:eastAsia="ja-JP"/>
        </w:rPr>
      </w:pPr>
      <w:r>
        <w:rPr>
          <w:lang w:eastAsia="ja-JP"/>
        </w:rPr>
        <w:t>Objectives</w:t>
      </w:r>
    </w:p>
    <w:p w14:paraId="360C454F" w14:textId="4AAAF03E" w:rsidR="00B03645" w:rsidRPr="00B03645" w:rsidRDefault="00252D96" w:rsidP="00B03645">
      <w:pPr>
        <w:rPr>
          <w:lang w:eastAsia="ja-JP"/>
        </w:rPr>
      </w:pPr>
      <w:r>
        <w:rPr>
          <w:lang w:eastAsia="ja-JP"/>
        </w:rPr>
        <w:t>Primary and secondary: immunogenicity, safety and t</w:t>
      </w:r>
      <w:r w:rsidR="00B03645" w:rsidRPr="00B03645">
        <w:rPr>
          <w:lang w:eastAsia="ja-JP"/>
        </w:rPr>
        <w:t>olerability.</w:t>
      </w:r>
    </w:p>
    <w:p w14:paraId="14F4FCEB" w14:textId="77777777" w:rsidR="00513501" w:rsidRDefault="00B03645" w:rsidP="00513501">
      <w:pPr>
        <w:pStyle w:val="Heading6"/>
        <w:rPr>
          <w:lang w:eastAsia="ja-JP"/>
        </w:rPr>
      </w:pPr>
      <w:r w:rsidRPr="00B03645">
        <w:rPr>
          <w:lang w:eastAsia="ja-JP"/>
        </w:rPr>
        <w:t>Locations</w:t>
      </w:r>
    </w:p>
    <w:p w14:paraId="0FCBC969" w14:textId="538AA3A0" w:rsidR="00B03645" w:rsidRPr="00B03645" w:rsidRDefault="00513501" w:rsidP="00B03645">
      <w:pPr>
        <w:rPr>
          <w:lang w:eastAsia="ja-JP"/>
        </w:rPr>
      </w:pPr>
      <w:r>
        <w:rPr>
          <w:lang w:eastAsia="ja-JP"/>
        </w:rPr>
        <w:t>M</w:t>
      </w:r>
      <w:r w:rsidR="00B03645" w:rsidRPr="00B03645">
        <w:rPr>
          <w:lang w:eastAsia="ja-JP"/>
        </w:rPr>
        <w:t>ulticentre, USA.</w:t>
      </w:r>
    </w:p>
    <w:p w14:paraId="342BE58F" w14:textId="77777777" w:rsidR="00513501" w:rsidRDefault="00B03645" w:rsidP="00513501">
      <w:pPr>
        <w:pStyle w:val="Heading6"/>
        <w:rPr>
          <w:lang w:eastAsia="ja-JP"/>
        </w:rPr>
      </w:pPr>
      <w:r w:rsidRPr="00B03645">
        <w:rPr>
          <w:lang w:eastAsia="ja-JP"/>
        </w:rPr>
        <w:t>Dates</w:t>
      </w:r>
    </w:p>
    <w:p w14:paraId="17FA6F3A" w14:textId="1ACF4D2C" w:rsidR="00B03645" w:rsidRPr="00B03645" w:rsidRDefault="00513501" w:rsidP="00B03645">
      <w:pPr>
        <w:rPr>
          <w:lang w:eastAsia="ja-JP"/>
        </w:rPr>
      </w:pPr>
      <w:r>
        <w:rPr>
          <w:lang w:eastAsia="ja-JP"/>
        </w:rPr>
        <w:t xml:space="preserve">2006 to </w:t>
      </w:r>
      <w:r w:rsidR="00B03645" w:rsidRPr="00B03645">
        <w:rPr>
          <w:lang w:eastAsia="ja-JP"/>
        </w:rPr>
        <w:t>2007</w:t>
      </w:r>
      <w:r w:rsidR="00252D96">
        <w:rPr>
          <w:lang w:eastAsia="ja-JP"/>
        </w:rPr>
        <w:t>,</w:t>
      </w:r>
      <w:r w:rsidR="00B03645" w:rsidRPr="00B03645">
        <w:rPr>
          <w:lang w:eastAsia="ja-JP"/>
        </w:rPr>
        <w:t xml:space="preserve"> N</w:t>
      </w:r>
      <w:r>
        <w:rPr>
          <w:lang w:eastAsia="ja-JP"/>
        </w:rPr>
        <w:t xml:space="preserve">orthern </w:t>
      </w:r>
      <w:r w:rsidR="00B03645" w:rsidRPr="00B03645">
        <w:rPr>
          <w:lang w:eastAsia="ja-JP"/>
        </w:rPr>
        <w:t>H</w:t>
      </w:r>
      <w:r>
        <w:rPr>
          <w:lang w:eastAsia="ja-JP"/>
        </w:rPr>
        <w:t>emisphere</w:t>
      </w:r>
      <w:r w:rsidR="00B03645" w:rsidRPr="00B03645">
        <w:rPr>
          <w:lang w:eastAsia="ja-JP"/>
        </w:rPr>
        <w:t xml:space="preserve"> influenza season.</w:t>
      </w:r>
    </w:p>
    <w:p w14:paraId="7D89D2BE" w14:textId="77777777" w:rsidR="00B03645" w:rsidRPr="00B03645" w:rsidRDefault="00B03645" w:rsidP="00513501">
      <w:pPr>
        <w:pStyle w:val="Heading5"/>
        <w:rPr>
          <w:lang w:eastAsia="ja-JP"/>
        </w:rPr>
      </w:pPr>
      <w:r w:rsidRPr="00B03645">
        <w:rPr>
          <w:lang w:eastAsia="ja-JP"/>
        </w:rPr>
        <w:t>Inclusion and exclusion criteria</w:t>
      </w:r>
    </w:p>
    <w:p w14:paraId="40666A5B" w14:textId="77777777" w:rsidR="00513501" w:rsidRDefault="00B03645" w:rsidP="00513501">
      <w:pPr>
        <w:pStyle w:val="Heading6"/>
        <w:rPr>
          <w:lang w:eastAsia="ja-JP"/>
        </w:rPr>
      </w:pPr>
      <w:r w:rsidRPr="00B03645">
        <w:rPr>
          <w:lang w:eastAsia="ja-JP"/>
        </w:rPr>
        <w:t>Key inclusion criteria</w:t>
      </w:r>
    </w:p>
    <w:p w14:paraId="2B66B896" w14:textId="1DD051E0" w:rsidR="00B03645" w:rsidRPr="00B03645" w:rsidRDefault="00D9675A" w:rsidP="00B03645">
      <w:pPr>
        <w:rPr>
          <w:lang w:eastAsia="ja-JP"/>
        </w:rPr>
      </w:pPr>
      <w:r>
        <w:rPr>
          <w:lang w:eastAsia="ja-JP"/>
        </w:rPr>
        <w:t xml:space="preserve">Healthy adults aged 18 to </w:t>
      </w:r>
      <w:r w:rsidR="00B03645" w:rsidRPr="00B03645">
        <w:rPr>
          <w:lang w:eastAsia="ja-JP"/>
        </w:rPr>
        <w:t>&lt;</w:t>
      </w:r>
      <w:r>
        <w:rPr>
          <w:lang w:eastAsia="ja-JP"/>
        </w:rPr>
        <w:t xml:space="preserve"> </w:t>
      </w:r>
      <w:r w:rsidR="00B03645" w:rsidRPr="00B03645">
        <w:rPr>
          <w:lang w:eastAsia="ja-JP"/>
        </w:rPr>
        <w:t>65 y</w:t>
      </w:r>
      <w:r>
        <w:rPr>
          <w:lang w:eastAsia="ja-JP"/>
        </w:rPr>
        <w:t>ears</w:t>
      </w:r>
      <w:r w:rsidR="00252D96">
        <w:rPr>
          <w:lang w:eastAsia="ja-JP"/>
        </w:rPr>
        <w:t>.</w:t>
      </w:r>
    </w:p>
    <w:p w14:paraId="1EC42C2F" w14:textId="77777777" w:rsidR="00B03645" w:rsidRPr="00B03645" w:rsidRDefault="00B03645" w:rsidP="00513501">
      <w:pPr>
        <w:pStyle w:val="Heading5"/>
        <w:rPr>
          <w:lang w:eastAsia="ja-JP"/>
        </w:rPr>
      </w:pPr>
      <w:r w:rsidRPr="00B03645">
        <w:rPr>
          <w:lang w:eastAsia="ja-JP"/>
        </w:rPr>
        <w:t>Study treatments</w:t>
      </w:r>
    </w:p>
    <w:p w14:paraId="35CD9A8E" w14:textId="37A0A29F" w:rsidR="00D9675A" w:rsidRDefault="003073A8" w:rsidP="00C512A4">
      <w:pPr>
        <w:pStyle w:val="ListBullet"/>
        <w:rPr>
          <w:lang w:eastAsia="ja-JP"/>
        </w:rPr>
      </w:pPr>
      <w:r>
        <w:rPr>
          <w:lang w:eastAsia="ja-JP"/>
        </w:rPr>
        <w:t xml:space="preserve">Seqirus </w:t>
      </w:r>
      <w:r w:rsidR="00583F1D">
        <w:rPr>
          <w:lang w:eastAsia="ja-JP"/>
        </w:rPr>
        <w:t>influenza v</w:t>
      </w:r>
      <w:r w:rsidR="00B03645" w:rsidRPr="00B03645">
        <w:rPr>
          <w:lang w:eastAsia="ja-JP"/>
        </w:rPr>
        <w:t>accine for the 2006 S</w:t>
      </w:r>
      <w:r w:rsidR="00252D96">
        <w:rPr>
          <w:lang w:eastAsia="ja-JP"/>
        </w:rPr>
        <w:t xml:space="preserve">outhern </w:t>
      </w:r>
      <w:r w:rsidR="00B03645" w:rsidRPr="00B03645">
        <w:rPr>
          <w:lang w:eastAsia="ja-JP"/>
        </w:rPr>
        <w:t>H</w:t>
      </w:r>
      <w:r w:rsidR="00252D96">
        <w:rPr>
          <w:lang w:eastAsia="ja-JP"/>
        </w:rPr>
        <w:t>emisphere</w:t>
      </w:r>
      <w:r w:rsidR="00B03645" w:rsidRPr="00B03645">
        <w:rPr>
          <w:lang w:eastAsia="ja-JP"/>
        </w:rPr>
        <w:t xml:space="preserve"> i</w:t>
      </w:r>
      <w:r w:rsidR="00513501">
        <w:rPr>
          <w:lang w:eastAsia="ja-JP"/>
        </w:rPr>
        <w:t>nfluenza season with thi</w:t>
      </w:r>
      <w:r w:rsidR="00FF28CB">
        <w:rPr>
          <w:lang w:eastAsia="ja-JP"/>
        </w:rPr>
        <w:t>o</w:t>
      </w:r>
      <w:r w:rsidR="00513501">
        <w:rPr>
          <w:lang w:eastAsia="ja-JP"/>
        </w:rPr>
        <w:t>mersal;</w:t>
      </w:r>
      <w:r w:rsidR="00B03645" w:rsidRPr="00B03645">
        <w:rPr>
          <w:lang w:eastAsia="ja-JP"/>
        </w:rPr>
        <w:t xml:space="preserve"> or thi</w:t>
      </w:r>
      <w:r w:rsidR="00FF28CB">
        <w:rPr>
          <w:lang w:eastAsia="ja-JP"/>
        </w:rPr>
        <w:t>o</w:t>
      </w:r>
      <w:r w:rsidR="00B03645" w:rsidRPr="00B03645">
        <w:rPr>
          <w:lang w:eastAsia="ja-JP"/>
        </w:rPr>
        <w:t>m</w:t>
      </w:r>
      <w:r w:rsidR="00513501">
        <w:rPr>
          <w:lang w:eastAsia="ja-JP"/>
        </w:rPr>
        <w:t xml:space="preserve">ersal-free; or placebo via IM </w:t>
      </w:r>
      <w:r w:rsidR="00B03645" w:rsidRPr="00B03645">
        <w:rPr>
          <w:lang w:eastAsia="ja-JP"/>
        </w:rPr>
        <w:t>i</w:t>
      </w:r>
      <w:r w:rsidR="00D9675A">
        <w:rPr>
          <w:lang w:eastAsia="ja-JP"/>
        </w:rPr>
        <w:t>njection.</w:t>
      </w:r>
    </w:p>
    <w:p w14:paraId="4DC20AE7" w14:textId="288B7F96" w:rsidR="008E6CF9" w:rsidRDefault="00B03645" w:rsidP="00C512A4">
      <w:pPr>
        <w:pStyle w:val="ListBullet"/>
        <w:rPr>
          <w:lang w:eastAsia="ja-JP"/>
        </w:rPr>
      </w:pPr>
      <w:r w:rsidRPr="00B03645">
        <w:rPr>
          <w:lang w:eastAsia="ja-JP"/>
        </w:rPr>
        <w:t xml:space="preserve">Influenza Virus Vaccine: 30 </w:t>
      </w:r>
      <w:r w:rsidR="00696781">
        <w:rPr>
          <w:lang w:eastAsia="ja-JP"/>
        </w:rPr>
        <w:t>µg</w:t>
      </w:r>
      <w:r w:rsidRPr="00B03645">
        <w:rPr>
          <w:lang w:eastAsia="ja-JP"/>
        </w:rPr>
        <w:t xml:space="preserve"> HA/s</w:t>
      </w:r>
      <w:r w:rsidR="008E6CF9">
        <w:rPr>
          <w:lang w:eastAsia="ja-JP"/>
        </w:rPr>
        <w:t>train/mL, thi</w:t>
      </w:r>
      <w:r w:rsidR="00FF28CB">
        <w:rPr>
          <w:lang w:eastAsia="ja-JP"/>
        </w:rPr>
        <w:t>o</w:t>
      </w:r>
      <w:r w:rsidR="008E6CF9">
        <w:rPr>
          <w:lang w:eastAsia="ja-JP"/>
        </w:rPr>
        <w:t>mersal containing.</w:t>
      </w:r>
    </w:p>
    <w:p w14:paraId="66DFCACF" w14:textId="0AAA5E75" w:rsidR="00B03645" w:rsidRPr="00B03645" w:rsidRDefault="00B03645" w:rsidP="00C512A4">
      <w:pPr>
        <w:pStyle w:val="ListBullet"/>
        <w:rPr>
          <w:lang w:eastAsia="ja-JP"/>
        </w:rPr>
      </w:pPr>
      <w:r w:rsidRPr="008E6CF9">
        <w:rPr>
          <w:lang w:eastAsia="ja-JP"/>
        </w:rPr>
        <w:t>Influenza Virus Vaccine</w:t>
      </w:r>
      <w:r w:rsidRPr="00B03645">
        <w:rPr>
          <w:lang w:eastAsia="ja-JP"/>
        </w:rPr>
        <w:t xml:space="preserve">: 30 </w:t>
      </w:r>
      <w:r w:rsidR="00696781">
        <w:rPr>
          <w:lang w:eastAsia="ja-JP"/>
        </w:rPr>
        <w:t>µg</w:t>
      </w:r>
      <w:r w:rsidRPr="00B03645">
        <w:rPr>
          <w:lang w:eastAsia="ja-JP"/>
        </w:rPr>
        <w:t xml:space="preserve"> HA/strain/mL, thi</w:t>
      </w:r>
      <w:r w:rsidR="00FF28CB">
        <w:rPr>
          <w:lang w:eastAsia="ja-JP"/>
        </w:rPr>
        <w:t>o</w:t>
      </w:r>
      <w:r w:rsidRPr="00B03645">
        <w:rPr>
          <w:lang w:eastAsia="ja-JP"/>
        </w:rPr>
        <w:t>mersal-free.</w:t>
      </w:r>
    </w:p>
    <w:p w14:paraId="432FC9F3" w14:textId="44F6747D" w:rsidR="00D9675A" w:rsidRDefault="00B03645" w:rsidP="00C512A4">
      <w:pPr>
        <w:pStyle w:val="ListBullet"/>
        <w:rPr>
          <w:lang w:eastAsia="ja-JP"/>
        </w:rPr>
      </w:pPr>
      <w:r w:rsidRPr="008E6CF9">
        <w:rPr>
          <w:lang w:eastAsia="ja-JP"/>
        </w:rPr>
        <w:t>Placebo</w:t>
      </w:r>
      <w:r w:rsidRPr="00B03645">
        <w:rPr>
          <w:lang w:eastAsia="ja-JP"/>
        </w:rPr>
        <w:t>: sterile phosphate buffered saline, thi</w:t>
      </w:r>
      <w:r w:rsidR="00FF28CB">
        <w:rPr>
          <w:lang w:eastAsia="ja-JP"/>
        </w:rPr>
        <w:t>o</w:t>
      </w:r>
      <w:r w:rsidRPr="00B03645">
        <w:rPr>
          <w:lang w:eastAsia="ja-JP"/>
        </w:rPr>
        <w:t>mersal</w:t>
      </w:r>
      <w:r w:rsidR="00D9675A">
        <w:rPr>
          <w:lang w:eastAsia="ja-JP"/>
        </w:rPr>
        <w:t xml:space="preserve"> </w:t>
      </w:r>
      <w:r w:rsidRPr="00B03645">
        <w:rPr>
          <w:lang w:eastAsia="ja-JP"/>
        </w:rPr>
        <w:t>containing 0.5 mL</w:t>
      </w:r>
      <w:r w:rsidR="00D9675A">
        <w:rPr>
          <w:lang w:eastAsia="ja-JP"/>
        </w:rPr>
        <w:t xml:space="preserve"> dose, intramuscular injection.</w:t>
      </w:r>
    </w:p>
    <w:p w14:paraId="321AE0DB" w14:textId="3C638C80" w:rsidR="00B03645" w:rsidRPr="00B03645" w:rsidRDefault="00B03645" w:rsidP="00B03645">
      <w:pPr>
        <w:rPr>
          <w:lang w:eastAsia="ja-JP"/>
        </w:rPr>
      </w:pPr>
      <w:r w:rsidRPr="00B03645">
        <w:rPr>
          <w:lang w:eastAsia="ja-JP"/>
        </w:rPr>
        <w:t xml:space="preserve">The 4 formulations of the </w:t>
      </w:r>
      <w:r w:rsidR="003073A8">
        <w:rPr>
          <w:lang w:eastAsia="ja-JP"/>
        </w:rPr>
        <w:t>Seqirus</w:t>
      </w:r>
      <w:r w:rsidR="003073A8" w:rsidRPr="00B03645">
        <w:rPr>
          <w:lang w:eastAsia="ja-JP"/>
        </w:rPr>
        <w:t xml:space="preserve"> </w:t>
      </w:r>
      <w:r w:rsidRPr="00B03645">
        <w:rPr>
          <w:lang w:eastAsia="ja-JP"/>
        </w:rPr>
        <w:t xml:space="preserve">Influenza Vaccine contain 45 </w:t>
      </w:r>
      <w:r w:rsidR="00696781">
        <w:rPr>
          <w:lang w:eastAsia="ja-JP"/>
        </w:rPr>
        <w:t>µg</w:t>
      </w:r>
      <w:r w:rsidRPr="00B03645">
        <w:rPr>
          <w:lang w:eastAsia="ja-JP"/>
        </w:rPr>
        <w:t xml:space="preserve"> of influenza haemagglutinin antigens. Both forms of vaccine contain the following Southern Hemisphere 2006 recommended strains of Influenza virus per 0.5-mL dose</w:t>
      </w:r>
      <w:r w:rsidR="00C512A4" w:rsidRPr="00B03645">
        <w:rPr>
          <w:lang w:eastAsia="ja-JP"/>
        </w:rPr>
        <w:t>: 15</w:t>
      </w:r>
      <w:r w:rsidRPr="00B03645">
        <w:rPr>
          <w:lang w:eastAsia="ja-JP"/>
        </w:rPr>
        <w:t xml:space="preserve"> </w:t>
      </w:r>
      <w:r w:rsidR="00696781">
        <w:rPr>
          <w:lang w:eastAsia="ja-JP"/>
        </w:rPr>
        <w:t>µg</w:t>
      </w:r>
      <w:r w:rsidRPr="00B03645">
        <w:rPr>
          <w:lang w:eastAsia="ja-JP"/>
        </w:rPr>
        <w:t xml:space="preserve"> of A/New Caledonia/20/99 (IVR-116) (H1N1)-like strain; 15 </w:t>
      </w:r>
      <w:r w:rsidR="00696781">
        <w:rPr>
          <w:lang w:eastAsia="ja-JP"/>
        </w:rPr>
        <w:t>µg</w:t>
      </w:r>
      <w:r w:rsidRPr="00B03645">
        <w:rPr>
          <w:lang w:eastAsia="ja-JP"/>
        </w:rPr>
        <w:t xml:space="preserve"> of A/New York/55/2004 (NYMC X-157) (H3N2)-like strain; 15 </w:t>
      </w:r>
      <w:r w:rsidR="00696781">
        <w:rPr>
          <w:lang w:eastAsia="ja-JP"/>
        </w:rPr>
        <w:t>µg</w:t>
      </w:r>
      <w:r w:rsidRPr="00B03645">
        <w:rPr>
          <w:lang w:eastAsia="ja-JP"/>
        </w:rPr>
        <w:t xml:space="preserve"> of B/</w:t>
      </w:r>
      <w:r w:rsidR="00D9675A">
        <w:rPr>
          <w:lang w:eastAsia="ja-JP"/>
        </w:rPr>
        <w:t>Malaysia/2506/2004-like strain.</w:t>
      </w:r>
    </w:p>
    <w:p w14:paraId="4C31045B" w14:textId="77777777" w:rsidR="00B03645" w:rsidRPr="00B03645" w:rsidRDefault="00B03645" w:rsidP="008E6CF9">
      <w:pPr>
        <w:pStyle w:val="Heading5"/>
        <w:rPr>
          <w:lang w:eastAsia="ja-JP"/>
        </w:rPr>
      </w:pPr>
      <w:r w:rsidRPr="00B03645">
        <w:rPr>
          <w:lang w:eastAsia="ja-JP"/>
        </w:rPr>
        <w:t>Efficacy variables and outcomes</w:t>
      </w:r>
    </w:p>
    <w:p w14:paraId="4C11767E" w14:textId="77777777" w:rsidR="008E6CF9" w:rsidRDefault="00B03645" w:rsidP="008E6CF9">
      <w:pPr>
        <w:pStyle w:val="Heading6"/>
        <w:rPr>
          <w:lang w:eastAsia="ja-JP"/>
        </w:rPr>
      </w:pPr>
      <w:r w:rsidRPr="00B03645">
        <w:rPr>
          <w:lang w:eastAsia="ja-JP"/>
        </w:rPr>
        <w:t>Primary objective</w:t>
      </w:r>
    </w:p>
    <w:p w14:paraId="0F80E5E3" w14:textId="48D2F4F1" w:rsidR="00B03645" w:rsidRPr="00B03645" w:rsidRDefault="00B03645" w:rsidP="00583F1D">
      <w:pPr>
        <w:rPr>
          <w:lang w:eastAsia="ja-JP"/>
        </w:rPr>
      </w:pPr>
      <w:r w:rsidRPr="00B03645">
        <w:rPr>
          <w:lang w:eastAsia="ja-JP"/>
        </w:rPr>
        <w:t xml:space="preserve">To demonstrate that vaccination with </w:t>
      </w:r>
      <w:r w:rsidR="003073A8">
        <w:rPr>
          <w:lang w:eastAsia="ja-JP"/>
        </w:rPr>
        <w:t>Seqirus</w:t>
      </w:r>
      <w:r w:rsidR="003073A8" w:rsidRPr="00B03645">
        <w:rPr>
          <w:lang w:eastAsia="ja-JP"/>
        </w:rPr>
        <w:t xml:space="preserve"> </w:t>
      </w:r>
      <w:r w:rsidRPr="00B03645">
        <w:rPr>
          <w:lang w:eastAsia="ja-JP"/>
        </w:rPr>
        <w:t>IVV produces an immune response sufficient to meet the Committee for Medicinal Products for Human Use criteria for young adults of 40% seroconversion and 70% seroprotection.</w:t>
      </w:r>
    </w:p>
    <w:p w14:paraId="5EFFEC3C" w14:textId="516C62C9" w:rsidR="00B03645" w:rsidRPr="00B03645" w:rsidRDefault="00B03645" w:rsidP="008E6CF9">
      <w:pPr>
        <w:pStyle w:val="Heading6"/>
        <w:rPr>
          <w:lang w:eastAsia="ja-JP"/>
        </w:rPr>
      </w:pPr>
      <w:r w:rsidRPr="00B03645">
        <w:rPr>
          <w:lang w:eastAsia="ja-JP"/>
        </w:rPr>
        <w:t>Secondary objectives</w:t>
      </w:r>
    </w:p>
    <w:p w14:paraId="1B16B189" w14:textId="38F615C2" w:rsidR="00B03645" w:rsidRPr="00B03645" w:rsidRDefault="00B03645" w:rsidP="008E6CF9">
      <w:pPr>
        <w:pStyle w:val="ListBullet"/>
        <w:rPr>
          <w:lang w:eastAsia="ja-JP"/>
        </w:rPr>
      </w:pPr>
      <w:r w:rsidRPr="00B03645">
        <w:rPr>
          <w:lang w:eastAsia="ja-JP"/>
        </w:rPr>
        <w:t xml:space="preserve">To demonstrate clinical consistency between three lots of </w:t>
      </w:r>
      <w:r w:rsidR="003073A8">
        <w:rPr>
          <w:lang w:eastAsia="ja-JP"/>
        </w:rPr>
        <w:t>Seqirus</w:t>
      </w:r>
      <w:r w:rsidR="003073A8" w:rsidRPr="00B03645">
        <w:rPr>
          <w:lang w:eastAsia="ja-JP"/>
        </w:rPr>
        <w:t xml:space="preserve"> </w:t>
      </w:r>
      <w:r w:rsidRPr="00B03645">
        <w:rPr>
          <w:lang w:eastAsia="ja-JP"/>
        </w:rPr>
        <w:t>IVV multiple-dose vial presentation (thi</w:t>
      </w:r>
      <w:r w:rsidR="00FF28CB">
        <w:rPr>
          <w:lang w:eastAsia="ja-JP"/>
        </w:rPr>
        <w:t>o</w:t>
      </w:r>
      <w:r w:rsidRPr="00B03645">
        <w:rPr>
          <w:lang w:eastAsia="ja-JP"/>
        </w:rPr>
        <w:t>mersal-containing).</w:t>
      </w:r>
    </w:p>
    <w:p w14:paraId="50A59249" w14:textId="27028401" w:rsidR="00B03645" w:rsidRPr="00B03645" w:rsidRDefault="00B03645" w:rsidP="008E6CF9">
      <w:pPr>
        <w:pStyle w:val="ListBullet"/>
        <w:rPr>
          <w:lang w:eastAsia="ja-JP"/>
        </w:rPr>
      </w:pPr>
      <w:r w:rsidRPr="00B03645">
        <w:rPr>
          <w:lang w:eastAsia="ja-JP"/>
        </w:rPr>
        <w:lastRenderedPageBreak/>
        <w:t xml:space="preserve">To demonstrate clinical consistency between </w:t>
      </w:r>
      <w:r w:rsidR="003073A8">
        <w:rPr>
          <w:lang w:eastAsia="ja-JP"/>
        </w:rPr>
        <w:t>Seqirus</w:t>
      </w:r>
      <w:r w:rsidR="003073A8" w:rsidRPr="00B03645">
        <w:rPr>
          <w:lang w:eastAsia="ja-JP"/>
        </w:rPr>
        <w:t xml:space="preserve"> </w:t>
      </w:r>
      <w:r w:rsidRPr="00B03645">
        <w:rPr>
          <w:lang w:eastAsia="ja-JP"/>
        </w:rPr>
        <w:t>IVV multiple-dose vial presentation (thi</w:t>
      </w:r>
      <w:r w:rsidR="00FF28CB">
        <w:rPr>
          <w:lang w:eastAsia="ja-JP"/>
        </w:rPr>
        <w:t>o</w:t>
      </w:r>
      <w:r w:rsidRPr="00B03645">
        <w:rPr>
          <w:lang w:eastAsia="ja-JP"/>
        </w:rPr>
        <w:t>mersal-containing) and CSL IVV pre-filled syringe presentation (thi</w:t>
      </w:r>
      <w:r w:rsidR="00FF28CB">
        <w:rPr>
          <w:lang w:eastAsia="ja-JP"/>
        </w:rPr>
        <w:t>o</w:t>
      </w:r>
      <w:r w:rsidRPr="00B03645">
        <w:rPr>
          <w:lang w:eastAsia="ja-JP"/>
        </w:rPr>
        <w:t>mersal-free).</w:t>
      </w:r>
    </w:p>
    <w:p w14:paraId="7AE9D93A" w14:textId="168A22FF" w:rsidR="00B03645" w:rsidRPr="00B03645" w:rsidRDefault="00B03645" w:rsidP="008E6CF9">
      <w:pPr>
        <w:pStyle w:val="ListBullet"/>
        <w:rPr>
          <w:lang w:eastAsia="ja-JP"/>
        </w:rPr>
      </w:pPr>
      <w:r w:rsidRPr="00B03645">
        <w:rPr>
          <w:lang w:eastAsia="ja-JP"/>
        </w:rPr>
        <w:t xml:space="preserve">To demonstrate acceptable safety and tolerability of </w:t>
      </w:r>
      <w:r w:rsidR="003073A8">
        <w:rPr>
          <w:lang w:eastAsia="ja-JP"/>
        </w:rPr>
        <w:t>Seqirus</w:t>
      </w:r>
      <w:r w:rsidR="003073A8" w:rsidRPr="00B03645">
        <w:rPr>
          <w:lang w:eastAsia="ja-JP"/>
        </w:rPr>
        <w:t xml:space="preserve"> </w:t>
      </w:r>
      <w:r w:rsidRPr="00B03645">
        <w:rPr>
          <w:lang w:eastAsia="ja-JP"/>
        </w:rPr>
        <w:t>IVV multiple-dose vial presentation (thi</w:t>
      </w:r>
      <w:r w:rsidR="00FF28CB">
        <w:rPr>
          <w:lang w:eastAsia="ja-JP"/>
        </w:rPr>
        <w:t>o</w:t>
      </w:r>
      <w:r w:rsidRPr="00B03645">
        <w:rPr>
          <w:lang w:eastAsia="ja-JP"/>
        </w:rPr>
        <w:t xml:space="preserve">mersal-containing) and </w:t>
      </w:r>
      <w:r w:rsidR="003073A8">
        <w:rPr>
          <w:lang w:eastAsia="ja-JP"/>
        </w:rPr>
        <w:t>Seqirus</w:t>
      </w:r>
      <w:r w:rsidR="003073A8" w:rsidRPr="00B03645">
        <w:rPr>
          <w:lang w:eastAsia="ja-JP"/>
        </w:rPr>
        <w:t xml:space="preserve"> </w:t>
      </w:r>
      <w:r w:rsidRPr="00B03645">
        <w:rPr>
          <w:lang w:eastAsia="ja-JP"/>
        </w:rPr>
        <w:t>IVV pre-filled syringe presentation (thi</w:t>
      </w:r>
      <w:r w:rsidR="00FF28CB">
        <w:rPr>
          <w:lang w:eastAsia="ja-JP"/>
        </w:rPr>
        <w:t>o</w:t>
      </w:r>
      <w:r w:rsidRPr="00B03645">
        <w:rPr>
          <w:lang w:eastAsia="ja-JP"/>
        </w:rPr>
        <w:t>mersal-free).</w:t>
      </w:r>
    </w:p>
    <w:p w14:paraId="783F76AF" w14:textId="77777777" w:rsidR="00B03645" w:rsidRPr="00B03645" w:rsidRDefault="00B03645" w:rsidP="008E6CF9">
      <w:pPr>
        <w:pStyle w:val="Heading5"/>
        <w:rPr>
          <w:lang w:eastAsia="ja-JP"/>
        </w:rPr>
      </w:pPr>
      <w:r w:rsidRPr="00B03645">
        <w:rPr>
          <w:lang w:eastAsia="ja-JP"/>
        </w:rPr>
        <w:t>Randomisation and blinding methods</w:t>
      </w:r>
    </w:p>
    <w:p w14:paraId="35B91814" w14:textId="77777777" w:rsidR="00B03645" w:rsidRPr="00B03645" w:rsidRDefault="00B03645" w:rsidP="00B03645">
      <w:pPr>
        <w:rPr>
          <w:lang w:eastAsia="ja-JP"/>
        </w:rPr>
      </w:pPr>
      <w:r w:rsidRPr="00B03645">
        <w:rPr>
          <w:lang w:eastAsia="ja-JP"/>
        </w:rPr>
        <w:t>Standard blinding techniques.</w:t>
      </w:r>
    </w:p>
    <w:p w14:paraId="18DD7E86" w14:textId="77777777" w:rsidR="00B03645" w:rsidRPr="00B03645" w:rsidRDefault="00B03645" w:rsidP="008E6CF9">
      <w:pPr>
        <w:pStyle w:val="Heading5"/>
        <w:rPr>
          <w:lang w:eastAsia="ja-JP"/>
        </w:rPr>
      </w:pPr>
      <w:r w:rsidRPr="00B03645">
        <w:rPr>
          <w:lang w:eastAsia="ja-JP"/>
        </w:rPr>
        <w:t>Analysis populations</w:t>
      </w:r>
    </w:p>
    <w:p w14:paraId="044BAA8F" w14:textId="77777777" w:rsidR="00B03645" w:rsidRPr="00B03645" w:rsidDel="0081373E" w:rsidRDefault="00B03645" w:rsidP="00B03645">
      <w:pPr>
        <w:rPr>
          <w:lang w:eastAsia="ja-JP"/>
        </w:rPr>
      </w:pPr>
      <w:r w:rsidRPr="00B03645">
        <w:rPr>
          <w:lang w:eastAsia="ja-JP"/>
        </w:rPr>
        <w:t>As described above.</w:t>
      </w:r>
    </w:p>
    <w:p w14:paraId="65DAD530" w14:textId="77777777" w:rsidR="00B03645" w:rsidRPr="00B03645" w:rsidDel="0081373E" w:rsidRDefault="00B03645" w:rsidP="008E6CF9">
      <w:pPr>
        <w:pStyle w:val="Heading5"/>
        <w:rPr>
          <w:lang w:eastAsia="ja-JP"/>
        </w:rPr>
      </w:pPr>
      <w:r w:rsidRPr="00B03645" w:rsidDel="0081373E">
        <w:rPr>
          <w:lang w:eastAsia="ja-JP"/>
        </w:rPr>
        <w:t>Sample size</w:t>
      </w:r>
    </w:p>
    <w:p w14:paraId="173176D8" w14:textId="718F3F66" w:rsidR="00B03645" w:rsidRPr="00B03645" w:rsidRDefault="008E6CF9" w:rsidP="00B03645">
      <w:pPr>
        <w:rPr>
          <w:lang w:eastAsia="ja-JP"/>
        </w:rPr>
      </w:pPr>
      <w:r>
        <w:rPr>
          <w:lang w:eastAsia="ja-JP"/>
        </w:rPr>
        <w:t xml:space="preserve">Approximately </w:t>
      </w:r>
      <w:r w:rsidR="00B03645" w:rsidRPr="00B03645">
        <w:rPr>
          <w:lang w:eastAsia="ja-JP"/>
        </w:rPr>
        <w:t xml:space="preserve">1250 healthy adults, </w:t>
      </w:r>
      <w:r>
        <w:rPr>
          <w:lang w:eastAsia="ja-JP"/>
        </w:rPr>
        <w:t xml:space="preserve">between </w:t>
      </w:r>
      <w:r w:rsidR="00B03645" w:rsidRPr="00B03645">
        <w:rPr>
          <w:lang w:eastAsia="ja-JP"/>
        </w:rPr>
        <w:t>18 to &lt;</w:t>
      </w:r>
      <w:r>
        <w:rPr>
          <w:lang w:eastAsia="ja-JP"/>
        </w:rPr>
        <w:t xml:space="preserve"> </w:t>
      </w:r>
      <w:r w:rsidR="00B03645" w:rsidRPr="00B03645">
        <w:rPr>
          <w:lang w:eastAsia="ja-JP"/>
        </w:rPr>
        <w:t>65 y</w:t>
      </w:r>
      <w:r>
        <w:rPr>
          <w:lang w:eastAsia="ja-JP"/>
        </w:rPr>
        <w:t>ea</w:t>
      </w:r>
      <w:r w:rsidR="00B03645" w:rsidRPr="00B03645">
        <w:rPr>
          <w:lang w:eastAsia="ja-JP"/>
        </w:rPr>
        <w:t>rs old.</w:t>
      </w:r>
    </w:p>
    <w:p w14:paraId="5FA8FF3A" w14:textId="77777777" w:rsidR="00B03645" w:rsidRPr="00B03645" w:rsidRDefault="00B03645" w:rsidP="008E6CF9">
      <w:pPr>
        <w:pStyle w:val="Heading5"/>
        <w:rPr>
          <w:lang w:eastAsia="ja-JP"/>
        </w:rPr>
      </w:pPr>
      <w:r w:rsidRPr="00B03645">
        <w:rPr>
          <w:lang w:eastAsia="ja-JP"/>
        </w:rPr>
        <w:t>Statistical methods</w:t>
      </w:r>
    </w:p>
    <w:p w14:paraId="71544E33" w14:textId="501E0E4C" w:rsidR="00B03645" w:rsidRPr="00B03645" w:rsidRDefault="00B03645" w:rsidP="00B03645">
      <w:pPr>
        <w:rPr>
          <w:lang w:eastAsia="ja-JP"/>
        </w:rPr>
      </w:pPr>
      <w:r w:rsidRPr="00B03645">
        <w:rPr>
          <w:lang w:eastAsia="ja-JP"/>
        </w:rPr>
        <w:t xml:space="preserve">Immunogenicity analyses carried out on the </w:t>
      </w:r>
      <w:r w:rsidR="007F1157">
        <w:rPr>
          <w:lang w:eastAsia="ja-JP"/>
        </w:rPr>
        <w:t>e</w:t>
      </w:r>
      <w:r w:rsidRPr="00B03645">
        <w:rPr>
          <w:lang w:eastAsia="ja-JP"/>
        </w:rPr>
        <w:t>valuable population</w:t>
      </w:r>
      <w:r w:rsidR="007F1157">
        <w:rPr>
          <w:lang w:eastAsia="ja-JP"/>
        </w:rPr>
        <w:t>.</w:t>
      </w:r>
      <w:r w:rsidRPr="00B03645">
        <w:rPr>
          <w:lang w:eastAsia="ja-JP"/>
        </w:rPr>
        <w:t xml:space="preserve"> The safety analysis was carried out on the </w:t>
      </w:r>
      <w:r w:rsidR="007F1157">
        <w:rPr>
          <w:lang w:eastAsia="ja-JP"/>
        </w:rPr>
        <w:t>s</w:t>
      </w:r>
      <w:r w:rsidRPr="00B03645">
        <w:rPr>
          <w:lang w:eastAsia="ja-JP"/>
        </w:rPr>
        <w:t xml:space="preserve">afety population. Baseline demographic analyses carried out using the Evaluable population and the Safety population. Descriptive statistics used to present all safety and immunogenicity results: </w:t>
      </w:r>
      <w:r w:rsidR="007F1157">
        <w:rPr>
          <w:lang w:eastAsia="ja-JP"/>
        </w:rPr>
        <w:t>participant number</w:t>
      </w:r>
      <w:r w:rsidRPr="00B03645">
        <w:rPr>
          <w:lang w:eastAsia="ja-JP"/>
        </w:rPr>
        <w:t>, mean, SD, median, maximum, and minimum for continuous data and frequency and percentage for categorical data. Ninety-five percent CI were presented for some immunogenicity criteria. Geometric means and 95% confidence levels presented for the log-transformed immunogenicity parameters. Exact confidence intervals based upon the binomial distribution were calculated for percentages (</w:t>
      </w:r>
      <w:r w:rsidR="007F1157">
        <w:rPr>
          <w:lang w:eastAsia="ja-JP"/>
        </w:rPr>
        <w:t>for example</w:t>
      </w:r>
      <w:r w:rsidR="00583F1D">
        <w:rPr>
          <w:lang w:eastAsia="ja-JP"/>
        </w:rPr>
        <w:t>,</w:t>
      </w:r>
      <w:r w:rsidRPr="00B03645">
        <w:rPr>
          <w:lang w:eastAsia="ja-JP"/>
        </w:rPr>
        <w:t xml:space="preserve"> Clopper-Pearson as implement</w:t>
      </w:r>
      <w:r w:rsidR="007F1157">
        <w:rPr>
          <w:lang w:eastAsia="ja-JP"/>
        </w:rPr>
        <w:t>ed in SAS</w:t>
      </w:r>
      <w:r w:rsidRPr="00B03645">
        <w:rPr>
          <w:lang w:eastAsia="ja-JP"/>
        </w:rPr>
        <w:t xml:space="preserve"> proc Freq). All analyses were performed with a significance level of 5% for two–sided tests and 2.5% for one-sided tests.</w:t>
      </w:r>
    </w:p>
    <w:p w14:paraId="4A48FD94" w14:textId="77777777" w:rsidR="00B03645" w:rsidRPr="00B03645" w:rsidRDefault="00B03645" w:rsidP="007F1157">
      <w:pPr>
        <w:pStyle w:val="Heading5"/>
        <w:rPr>
          <w:lang w:eastAsia="ja-JP"/>
        </w:rPr>
      </w:pPr>
      <w:r w:rsidRPr="00B03645">
        <w:rPr>
          <w:lang w:eastAsia="ja-JP"/>
        </w:rPr>
        <w:t>Baseline data</w:t>
      </w:r>
    </w:p>
    <w:p w14:paraId="2139106B" w14:textId="18844B12" w:rsidR="00B03645" w:rsidRPr="00B03645" w:rsidRDefault="00B03645" w:rsidP="00B03645">
      <w:pPr>
        <w:rPr>
          <w:lang w:eastAsia="ja-JP"/>
        </w:rPr>
      </w:pPr>
      <w:r w:rsidRPr="00B03645">
        <w:rPr>
          <w:lang w:eastAsia="ja-JP"/>
        </w:rPr>
        <w:t>1359 randomised of whom 823 received the IVV thi</w:t>
      </w:r>
      <w:r w:rsidR="00B7226F">
        <w:rPr>
          <w:lang w:eastAsia="ja-JP"/>
        </w:rPr>
        <w:t>o</w:t>
      </w:r>
      <w:r w:rsidRPr="00B03645">
        <w:rPr>
          <w:lang w:eastAsia="ja-JP"/>
        </w:rPr>
        <w:t>mersal-containing; 266 received the IVV thi</w:t>
      </w:r>
      <w:r w:rsidR="00FF28CB">
        <w:rPr>
          <w:lang w:eastAsia="ja-JP"/>
        </w:rPr>
        <w:t>o</w:t>
      </w:r>
      <w:r w:rsidRPr="00B03645">
        <w:rPr>
          <w:lang w:eastAsia="ja-JP"/>
        </w:rPr>
        <w:t xml:space="preserve">mersal-free; and 270 the Placebo. </w:t>
      </w:r>
      <w:r w:rsidR="007F1157">
        <w:rPr>
          <w:lang w:eastAsia="ja-JP"/>
        </w:rPr>
        <w:t>Population analys</w:t>
      </w:r>
      <w:r w:rsidR="00583F1D">
        <w:rPr>
          <w:lang w:eastAsia="ja-JP"/>
        </w:rPr>
        <w:t>ed =</w:t>
      </w:r>
      <w:r w:rsidR="007F1157">
        <w:rPr>
          <w:lang w:eastAsia="ja-JP"/>
        </w:rPr>
        <w:t xml:space="preserve"> 1359 subjects; safety population</w:t>
      </w:r>
      <w:r w:rsidR="00583F1D">
        <w:rPr>
          <w:lang w:eastAsia="ja-JP"/>
        </w:rPr>
        <w:t>,</w:t>
      </w:r>
      <w:r w:rsidR="007F1157">
        <w:rPr>
          <w:lang w:eastAsia="ja-JP"/>
        </w:rPr>
        <w:t xml:space="preserve"> n </w:t>
      </w:r>
      <w:r w:rsidRPr="00B03645">
        <w:rPr>
          <w:lang w:eastAsia="ja-JP"/>
        </w:rPr>
        <w:t>=</w:t>
      </w:r>
      <w:r w:rsidR="007F1157">
        <w:rPr>
          <w:lang w:eastAsia="ja-JP"/>
        </w:rPr>
        <w:t> 1357, evaluable population</w:t>
      </w:r>
      <w:r w:rsidR="00583F1D">
        <w:rPr>
          <w:lang w:eastAsia="ja-JP"/>
        </w:rPr>
        <w:t>,</w:t>
      </w:r>
      <w:r w:rsidR="007F1157">
        <w:rPr>
          <w:lang w:eastAsia="ja-JP"/>
        </w:rPr>
        <w:t xml:space="preserve"> n </w:t>
      </w:r>
      <w:r w:rsidRPr="00B03645">
        <w:rPr>
          <w:lang w:eastAsia="ja-JP"/>
        </w:rPr>
        <w:t>=</w:t>
      </w:r>
      <w:r w:rsidR="007F1157">
        <w:rPr>
          <w:lang w:eastAsia="ja-JP"/>
        </w:rPr>
        <w:t> 1341, PP population</w:t>
      </w:r>
      <w:r w:rsidR="00583F1D">
        <w:rPr>
          <w:lang w:eastAsia="ja-JP"/>
        </w:rPr>
        <w:t>,</w:t>
      </w:r>
      <w:r w:rsidR="007F1157">
        <w:rPr>
          <w:lang w:eastAsia="ja-JP"/>
        </w:rPr>
        <w:t xml:space="preserve"> n </w:t>
      </w:r>
      <w:r w:rsidRPr="00B03645">
        <w:rPr>
          <w:lang w:eastAsia="ja-JP"/>
        </w:rPr>
        <w:t>=</w:t>
      </w:r>
      <w:r w:rsidR="007F1157">
        <w:rPr>
          <w:lang w:eastAsia="ja-JP"/>
        </w:rPr>
        <w:t> </w:t>
      </w:r>
      <w:r w:rsidRPr="00B03645">
        <w:rPr>
          <w:lang w:eastAsia="ja-JP"/>
        </w:rPr>
        <w:t>1241.</w:t>
      </w:r>
    </w:p>
    <w:p w14:paraId="25378ADA" w14:textId="77777777" w:rsidR="00B03645" w:rsidRPr="00B03645" w:rsidRDefault="00B03645" w:rsidP="007F1157">
      <w:pPr>
        <w:pStyle w:val="Heading5"/>
        <w:rPr>
          <w:lang w:eastAsia="ja-JP"/>
        </w:rPr>
      </w:pPr>
      <w:r w:rsidRPr="00B03645">
        <w:rPr>
          <w:lang w:eastAsia="ja-JP"/>
        </w:rPr>
        <w:t>Results for the primary and other efficacy outcomes</w:t>
      </w:r>
    </w:p>
    <w:p w14:paraId="2AD07179" w14:textId="77777777" w:rsidR="007F1157" w:rsidRDefault="00B03645" w:rsidP="007F1157">
      <w:pPr>
        <w:pStyle w:val="Heading6"/>
        <w:rPr>
          <w:lang w:eastAsia="ja-JP"/>
        </w:rPr>
      </w:pPr>
      <w:r w:rsidRPr="00B03645">
        <w:rPr>
          <w:lang w:eastAsia="ja-JP"/>
        </w:rPr>
        <w:t>Immunogenicity</w:t>
      </w:r>
    </w:p>
    <w:p w14:paraId="5ED68697" w14:textId="198B962E" w:rsidR="00B03645" w:rsidRPr="00B03645" w:rsidRDefault="00B03645" w:rsidP="00B03645">
      <w:pPr>
        <w:rPr>
          <w:b/>
          <w:bCs/>
          <w:lang w:eastAsia="ja-JP"/>
        </w:rPr>
      </w:pPr>
      <w:r w:rsidRPr="00B03645">
        <w:rPr>
          <w:lang w:eastAsia="ja-JP"/>
        </w:rPr>
        <w:t>With respect to the co-primary endpoints, overall (</w:t>
      </w:r>
      <w:r w:rsidR="003073A8">
        <w:rPr>
          <w:lang w:eastAsia="ja-JP"/>
        </w:rPr>
        <w:t>Seqirus</w:t>
      </w:r>
      <w:r w:rsidR="003073A8" w:rsidRPr="00B03645">
        <w:rPr>
          <w:lang w:eastAsia="ja-JP"/>
        </w:rPr>
        <w:t xml:space="preserve"> </w:t>
      </w:r>
      <w:r w:rsidRPr="00B03645">
        <w:rPr>
          <w:lang w:eastAsia="ja-JP"/>
        </w:rPr>
        <w:t>IVV groups combined), a total of 48.7% (95% CI 0.456, 0.517) of subjects showed seroconversion for the A/New Caledonia strain; 71.5% (95% CI 0.687, 0.742) for the A/New York strain and 69.7% (95% CI 0.669, 0.725) for the B/Malaysia strain.</w:t>
      </w:r>
      <w:r w:rsidRPr="00B03645">
        <w:rPr>
          <w:b/>
          <w:bCs/>
          <w:lang w:eastAsia="ja-JP"/>
        </w:rPr>
        <w:t xml:space="preserve"> </w:t>
      </w:r>
      <w:r w:rsidRPr="00B03645">
        <w:rPr>
          <w:lang w:eastAsia="ja-JP"/>
        </w:rPr>
        <w:t xml:space="preserve">Overall, 97.8% (95% CI 0.967, 0.986) of subjects who received </w:t>
      </w:r>
      <w:r w:rsidR="003073A8">
        <w:rPr>
          <w:lang w:eastAsia="ja-JP"/>
        </w:rPr>
        <w:t>Seqirus</w:t>
      </w:r>
      <w:r w:rsidR="003073A8" w:rsidRPr="00B03645">
        <w:rPr>
          <w:lang w:eastAsia="ja-JP"/>
        </w:rPr>
        <w:t xml:space="preserve"> </w:t>
      </w:r>
      <w:r w:rsidRPr="00B03645">
        <w:rPr>
          <w:lang w:eastAsia="ja-JP"/>
        </w:rPr>
        <w:t xml:space="preserve">IVV met the post-vaccination criteria of seroprotection (titre </w:t>
      </w:r>
      <w:r w:rsidR="00E936A1">
        <w:rPr>
          <w:lang w:eastAsia="ja-JP"/>
        </w:rPr>
        <w:t xml:space="preserve">≥ </w:t>
      </w:r>
      <w:r w:rsidRPr="00B03645">
        <w:rPr>
          <w:lang w:eastAsia="ja-JP"/>
        </w:rPr>
        <w:t>1:40) for the A/New</w:t>
      </w:r>
      <w:r w:rsidR="007F1157">
        <w:rPr>
          <w:lang w:eastAsia="ja-JP"/>
        </w:rPr>
        <w:t xml:space="preserve"> </w:t>
      </w:r>
      <w:r w:rsidRPr="00B03645">
        <w:rPr>
          <w:lang w:eastAsia="ja-JP"/>
        </w:rPr>
        <w:t>Caledonia strain; 99.9% (95% CI 0.995, 1.000) of subjects for the A/New York strain and 94.2% (95% CI 0.927, 0.956) of subjects for the B/Malaysia strain.</w:t>
      </w:r>
    </w:p>
    <w:p w14:paraId="66F62DF0" w14:textId="12FB0546" w:rsidR="00B03645" w:rsidRPr="00B03645" w:rsidRDefault="00B03645" w:rsidP="00B03645">
      <w:pPr>
        <w:rPr>
          <w:lang w:eastAsia="ja-JP"/>
        </w:rPr>
      </w:pPr>
      <w:r w:rsidRPr="00B03645">
        <w:rPr>
          <w:lang w:eastAsia="ja-JP"/>
        </w:rPr>
        <w:t xml:space="preserve">Following the logistic regression analysis of the co-primary endpoints, clinical consistency seen between Lots 1, 2 and 3 of the </w:t>
      </w:r>
      <w:r w:rsidR="003073A8">
        <w:rPr>
          <w:lang w:eastAsia="ja-JP"/>
        </w:rPr>
        <w:t>Seqirus</w:t>
      </w:r>
      <w:r w:rsidR="003073A8" w:rsidRPr="00B03645">
        <w:rPr>
          <w:lang w:eastAsia="ja-JP"/>
        </w:rPr>
        <w:t xml:space="preserve"> </w:t>
      </w:r>
      <w:r w:rsidRPr="00B03645">
        <w:rPr>
          <w:lang w:eastAsia="ja-JP"/>
        </w:rPr>
        <w:t>IVV multiple</w:t>
      </w:r>
      <w:r w:rsidR="007F1157">
        <w:rPr>
          <w:lang w:eastAsia="ja-JP"/>
        </w:rPr>
        <w:t xml:space="preserve"> </w:t>
      </w:r>
      <w:r w:rsidRPr="00B03645">
        <w:rPr>
          <w:lang w:eastAsia="ja-JP"/>
        </w:rPr>
        <w:t>dose vial (thi</w:t>
      </w:r>
      <w:r w:rsidR="00B7226F">
        <w:rPr>
          <w:lang w:eastAsia="ja-JP"/>
        </w:rPr>
        <w:t>o</w:t>
      </w:r>
      <w:r w:rsidRPr="00B03645">
        <w:rPr>
          <w:lang w:eastAsia="ja-JP"/>
        </w:rPr>
        <w:t xml:space="preserve">mersal-containing) presentation with respect to post-vaccination HAI titres. Consistency was also shown between the </w:t>
      </w:r>
      <w:r w:rsidR="003073A8">
        <w:rPr>
          <w:lang w:eastAsia="ja-JP"/>
        </w:rPr>
        <w:t>Seqirus</w:t>
      </w:r>
      <w:r w:rsidR="003073A8" w:rsidRPr="00B03645">
        <w:rPr>
          <w:lang w:eastAsia="ja-JP"/>
        </w:rPr>
        <w:t xml:space="preserve"> </w:t>
      </w:r>
      <w:r w:rsidRPr="00B03645">
        <w:rPr>
          <w:lang w:eastAsia="ja-JP"/>
        </w:rPr>
        <w:t>IVV multiple-dose vial (thi</w:t>
      </w:r>
      <w:r w:rsidR="00B7226F">
        <w:rPr>
          <w:lang w:eastAsia="ja-JP"/>
        </w:rPr>
        <w:t>o</w:t>
      </w:r>
      <w:r w:rsidRPr="00B03645">
        <w:rPr>
          <w:lang w:eastAsia="ja-JP"/>
        </w:rPr>
        <w:t xml:space="preserve">mersal-containing) presentation and the </w:t>
      </w:r>
      <w:r w:rsidR="003073A8">
        <w:rPr>
          <w:lang w:eastAsia="ja-JP"/>
        </w:rPr>
        <w:t>Seqirus</w:t>
      </w:r>
      <w:r w:rsidR="003073A8" w:rsidRPr="00B03645">
        <w:rPr>
          <w:lang w:eastAsia="ja-JP"/>
        </w:rPr>
        <w:t xml:space="preserve"> </w:t>
      </w:r>
      <w:r w:rsidRPr="00B03645">
        <w:rPr>
          <w:lang w:eastAsia="ja-JP"/>
        </w:rPr>
        <w:t>IVV pre-filled syringe (thi</w:t>
      </w:r>
      <w:r w:rsidR="00B7226F">
        <w:rPr>
          <w:lang w:eastAsia="ja-JP"/>
        </w:rPr>
        <w:t>o</w:t>
      </w:r>
      <w:r w:rsidRPr="00B03645">
        <w:rPr>
          <w:lang w:eastAsia="ja-JP"/>
        </w:rPr>
        <w:t>mersal-free) presentation.</w:t>
      </w:r>
    </w:p>
    <w:p w14:paraId="0C6CE92B" w14:textId="77777777" w:rsidR="007F1157" w:rsidRDefault="007F1157" w:rsidP="007F1157">
      <w:pPr>
        <w:pStyle w:val="Heading6"/>
        <w:rPr>
          <w:lang w:eastAsia="ja-JP"/>
        </w:rPr>
      </w:pPr>
      <w:r>
        <w:rPr>
          <w:lang w:eastAsia="ja-JP"/>
        </w:rPr>
        <w:t>Safety</w:t>
      </w:r>
    </w:p>
    <w:p w14:paraId="6734DEFA" w14:textId="4A2785F3" w:rsidR="00B03645" w:rsidRPr="007F1157" w:rsidRDefault="00B03645" w:rsidP="00B03645">
      <w:pPr>
        <w:rPr>
          <w:b/>
          <w:bCs/>
          <w:lang w:eastAsia="ja-JP"/>
        </w:rPr>
      </w:pPr>
      <w:r w:rsidRPr="00B03645">
        <w:rPr>
          <w:lang w:eastAsia="ja-JP"/>
        </w:rPr>
        <w:t>With regard to safety, the majority of subjects did not experience a systemic reaction</w:t>
      </w:r>
      <w:r w:rsidRPr="00B03645">
        <w:rPr>
          <w:b/>
          <w:bCs/>
          <w:lang w:eastAsia="ja-JP"/>
        </w:rPr>
        <w:t xml:space="preserve"> </w:t>
      </w:r>
      <w:r w:rsidRPr="00B03645">
        <w:rPr>
          <w:lang w:eastAsia="ja-JP"/>
        </w:rPr>
        <w:t>or local reaction</w:t>
      </w:r>
      <w:r w:rsidRPr="00B03645">
        <w:rPr>
          <w:b/>
          <w:bCs/>
          <w:lang w:eastAsia="ja-JP"/>
        </w:rPr>
        <w:t xml:space="preserve"> </w:t>
      </w:r>
      <w:r w:rsidRPr="00B03645">
        <w:rPr>
          <w:lang w:eastAsia="ja-JP"/>
        </w:rPr>
        <w:t>following vaccination on Day 0 and Day 4. Of those subjects who did, the reactions were mostly mild to moderate intensity.</w:t>
      </w:r>
    </w:p>
    <w:p w14:paraId="6F4FBA29" w14:textId="77777777" w:rsidR="007F1157" w:rsidRDefault="007F1157" w:rsidP="007F1157">
      <w:pPr>
        <w:pStyle w:val="Heading4"/>
      </w:pPr>
      <w:bookmarkStart w:id="45" w:name="_Toc448702504"/>
      <w:r>
        <w:lastRenderedPageBreak/>
        <w:t>Study CSLCT-USF-06-28</w:t>
      </w:r>
    </w:p>
    <w:p w14:paraId="725B0545" w14:textId="43061696" w:rsidR="00B03645" w:rsidRPr="00765D2E" w:rsidRDefault="007F1157" w:rsidP="00583F1D">
      <w:pPr>
        <w:ind w:left="720"/>
        <w:rPr>
          <w:i/>
        </w:rPr>
      </w:pPr>
      <w:r w:rsidRPr="00765D2E">
        <w:rPr>
          <w:i/>
        </w:rPr>
        <w:t>‘</w:t>
      </w:r>
      <w:r w:rsidR="00B03645" w:rsidRPr="00765D2E">
        <w:rPr>
          <w:i/>
        </w:rPr>
        <w:t xml:space="preserve">A </w:t>
      </w:r>
      <w:r w:rsidRPr="00765D2E">
        <w:rPr>
          <w:i/>
        </w:rPr>
        <w:t xml:space="preserve">Phase IV, randomised, observer-blind, placebo-controlled, multi-centre study to evaluate the efficacy, safety and tolerability of </w:t>
      </w:r>
      <w:r w:rsidR="003073A8">
        <w:rPr>
          <w:lang w:eastAsia="ja-JP"/>
        </w:rPr>
        <w:t>Seqirus</w:t>
      </w:r>
      <w:r w:rsidR="003073A8" w:rsidRPr="00B03645">
        <w:rPr>
          <w:lang w:eastAsia="ja-JP"/>
        </w:rPr>
        <w:t xml:space="preserve"> </w:t>
      </w:r>
      <w:r w:rsidRPr="00765D2E">
        <w:rPr>
          <w:i/>
        </w:rPr>
        <w:t xml:space="preserve">influenza virus vaccine in adults aged </w:t>
      </w:r>
      <w:r w:rsidR="00E936A1">
        <w:rPr>
          <w:i/>
        </w:rPr>
        <w:t xml:space="preserve">≥ </w:t>
      </w:r>
      <w:r w:rsidRPr="00765D2E">
        <w:rPr>
          <w:i/>
        </w:rPr>
        <w:t>18 to &lt; 65 years</w:t>
      </w:r>
      <w:bookmarkEnd w:id="45"/>
      <w:r w:rsidRPr="00765D2E">
        <w:rPr>
          <w:i/>
        </w:rPr>
        <w:t>’</w:t>
      </w:r>
    </w:p>
    <w:p w14:paraId="28E609D9" w14:textId="77777777" w:rsidR="00B03645" w:rsidRPr="00B03645" w:rsidRDefault="00B03645" w:rsidP="00765D2E">
      <w:pPr>
        <w:pStyle w:val="Heading5"/>
        <w:rPr>
          <w:lang w:eastAsia="ja-JP"/>
        </w:rPr>
      </w:pPr>
      <w:r w:rsidRPr="00B03645">
        <w:rPr>
          <w:lang w:eastAsia="ja-JP"/>
        </w:rPr>
        <w:t>Study design, objectives, locations and dates</w:t>
      </w:r>
    </w:p>
    <w:p w14:paraId="37FBC8F3" w14:textId="77777777" w:rsidR="00765D2E" w:rsidRDefault="00B03645" w:rsidP="00765D2E">
      <w:pPr>
        <w:pStyle w:val="Heading6"/>
        <w:rPr>
          <w:lang w:eastAsia="ja-JP"/>
        </w:rPr>
      </w:pPr>
      <w:r w:rsidRPr="00B03645">
        <w:rPr>
          <w:lang w:eastAsia="ja-JP"/>
        </w:rPr>
        <w:t>Design</w:t>
      </w:r>
    </w:p>
    <w:p w14:paraId="1C14A552" w14:textId="15ED87DF" w:rsidR="00B03645" w:rsidRPr="00B03645" w:rsidRDefault="00765D2E" w:rsidP="00B03645">
      <w:pPr>
        <w:rPr>
          <w:lang w:eastAsia="ja-JP"/>
        </w:rPr>
      </w:pPr>
      <w:r>
        <w:rPr>
          <w:lang w:eastAsia="ja-JP"/>
        </w:rPr>
        <w:t>A Phase IV, randomised, observer-blind, multi-centre, placebo-c</w:t>
      </w:r>
      <w:r w:rsidR="00B03645" w:rsidRPr="00B03645">
        <w:rPr>
          <w:lang w:eastAsia="ja-JP"/>
        </w:rPr>
        <w:t>ontrolled</w:t>
      </w:r>
      <w:r>
        <w:rPr>
          <w:lang w:eastAsia="ja-JP"/>
        </w:rPr>
        <w:t xml:space="preserve"> trial with r</w:t>
      </w:r>
      <w:r w:rsidR="00B03645" w:rsidRPr="00B03645">
        <w:rPr>
          <w:lang w:eastAsia="ja-JP"/>
        </w:rPr>
        <w:t xml:space="preserve">andomisation </w:t>
      </w:r>
      <w:r>
        <w:rPr>
          <w:lang w:eastAsia="ja-JP"/>
        </w:rPr>
        <w:t>in a</w:t>
      </w:r>
      <w:r w:rsidR="00B03645" w:rsidRPr="00B03645">
        <w:rPr>
          <w:lang w:eastAsia="ja-JP"/>
        </w:rPr>
        <w:t xml:space="preserve"> 2:1 ratio. Study vaccine was administered at Visit 1 (Day 0) and participants returned to the study site 21 days afterwards for an Exit Visit (Visit 2). Blood samples were collected at Visits 1 and 2 for immunogenicity assessments. During the 2008 season, blood samples were collected from all participants at Visit 1 and Visit 2 and immunogenicity analysis was conducted on a randomly selected subset of participants (n</w:t>
      </w:r>
      <w:r>
        <w:rPr>
          <w:lang w:eastAsia="ja-JP"/>
        </w:rPr>
        <w:t xml:space="preserve"> </w:t>
      </w:r>
      <w:r w:rsidR="00B03645" w:rsidRPr="00B03645">
        <w:rPr>
          <w:lang w:eastAsia="ja-JP"/>
        </w:rPr>
        <w:t>=</w:t>
      </w:r>
      <w:r>
        <w:rPr>
          <w:lang w:eastAsia="ja-JP"/>
        </w:rPr>
        <w:t xml:space="preserve"> </w:t>
      </w:r>
      <w:r w:rsidR="00B03645" w:rsidRPr="00B03645">
        <w:rPr>
          <w:lang w:eastAsia="ja-JP"/>
        </w:rPr>
        <w:t>450). In 2009, blood samples were collected from only 450 participants at Visit 1 and Visit 2.</w:t>
      </w:r>
    </w:p>
    <w:p w14:paraId="64C0D532" w14:textId="01E64221" w:rsidR="00765D2E" w:rsidRDefault="00765D2E" w:rsidP="00765D2E">
      <w:pPr>
        <w:pStyle w:val="Heading6"/>
        <w:rPr>
          <w:lang w:eastAsia="ja-JP"/>
        </w:rPr>
      </w:pPr>
      <w:r>
        <w:rPr>
          <w:lang w:eastAsia="ja-JP"/>
        </w:rPr>
        <w:t>HAI antibody r</w:t>
      </w:r>
      <w:r w:rsidR="00B03645" w:rsidRPr="00B03645">
        <w:rPr>
          <w:lang w:eastAsia="ja-JP"/>
        </w:rPr>
        <w:t>esponse</w:t>
      </w:r>
    </w:p>
    <w:p w14:paraId="5F170C4F" w14:textId="54BFC417" w:rsidR="00B03645" w:rsidRPr="00B03645" w:rsidRDefault="00B03645" w:rsidP="00B03645">
      <w:pPr>
        <w:rPr>
          <w:lang w:eastAsia="ja-JP"/>
        </w:rPr>
      </w:pPr>
      <w:r w:rsidRPr="00B03645">
        <w:rPr>
          <w:lang w:eastAsia="ja-JP"/>
        </w:rPr>
        <w:t>Standard measurements used.</w:t>
      </w:r>
    </w:p>
    <w:p w14:paraId="4A610034" w14:textId="77777777" w:rsidR="00765D2E" w:rsidRDefault="00B03645" w:rsidP="00765D2E">
      <w:pPr>
        <w:pStyle w:val="Heading6"/>
        <w:rPr>
          <w:lang w:eastAsia="ja-JP"/>
        </w:rPr>
      </w:pPr>
      <w:r w:rsidRPr="00B03645">
        <w:rPr>
          <w:lang w:eastAsia="ja-JP"/>
        </w:rPr>
        <w:t>Primary and secondary objectives</w:t>
      </w:r>
    </w:p>
    <w:p w14:paraId="12402485" w14:textId="17184F0B" w:rsidR="00B03645" w:rsidRPr="00B03645" w:rsidRDefault="00765D2E" w:rsidP="00B03645">
      <w:pPr>
        <w:rPr>
          <w:lang w:eastAsia="ja-JP"/>
        </w:rPr>
      </w:pPr>
      <w:r>
        <w:rPr>
          <w:lang w:eastAsia="ja-JP"/>
        </w:rPr>
        <w:t>These were: efficacy, immunogenicity, safety and t</w:t>
      </w:r>
      <w:r w:rsidR="00B03645" w:rsidRPr="00B03645">
        <w:rPr>
          <w:lang w:eastAsia="ja-JP"/>
        </w:rPr>
        <w:t>olerability.</w:t>
      </w:r>
    </w:p>
    <w:p w14:paraId="15A639AE" w14:textId="77777777" w:rsidR="00765D2E" w:rsidRDefault="00B03645" w:rsidP="00765D2E">
      <w:pPr>
        <w:pStyle w:val="Heading6"/>
        <w:rPr>
          <w:lang w:eastAsia="ja-JP"/>
        </w:rPr>
      </w:pPr>
      <w:r w:rsidRPr="00B03645">
        <w:rPr>
          <w:lang w:eastAsia="ja-JP"/>
        </w:rPr>
        <w:t>Locations</w:t>
      </w:r>
    </w:p>
    <w:p w14:paraId="41C5B26C" w14:textId="194F068A" w:rsidR="00B03645" w:rsidRPr="00B03645" w:rsidRDefault="00765D2E" w:rsidP="00B03645">
      <w:pPr>
        <w:rPr>
          <w:lang w:eastAsia="ja-JP"/>
        </w:rPr>
      </w:pPr>
      <w:r>
        <w:rPr>
          <w:lang w:eastAsia="ja-JP"/>
        </w:rPr>
        <w:t>M</w:t>
      </w:r>
      <w:r w:rsidR="00583F1D">
        <w:rPr>
          <w:lang w:eastAsia="ja-JP"/>
        </w:rPr>
        <w:t xml:space="preserve">ulticentre, </w:t>
      </w:r>
      <w:r w:rsidR="00B03645" w:rsidRPr="00B03645">
        <w:rPr>
          <w:lang w:eastAsia="ja-JP"/>
        </w:rPr>
        <w:t>Australia and New Zealand.</w:t>
      </w:r>
    </w:p>
    <w:p w14:paraId="7691EDE6" w14:textId="77777777" w:rsidR="00765D2E" w:rsidRDefault="00B03645" w:rsidP="00765D2E">
      <w:pPr>
        <w:pStyle w:val="Heading6"/>
        <w:rPr>
          <w:lang w:eastAsia="ja-JP"/>
        </w:rPr>
      </w:pPr>
      <w:r w:rsidRPr="00B03645">
        <w:rPr>
          <w:lang w:eastAsia="ja-JP"/>
        </w:rPr>
        <w:t>Dates</w:t>
      </w:r>
    </w:p>
    <w:p w14:paraId="285B8B2F" w14:textId="490AE5DC" w:rsidR="00B03645" w:rsidRPr="00B03645" w:rsidRDefault="00765D2E" w:rsidP="00B03645">
      <w:pPr>
        <w:rPr>
          <w:lang w:eastAsia="ja-JP"/>
        </w:rPr>
      </w:pPr>
      <w:r>
        <w:rPr>
          <w:lang w:eastAsia="ja-JP"/>
        </w:rPr>
        <w:t>25 February 2008 to</w:t>
      </w:r>
      <w:r w:rsidR="00B03645" w:rsidRPr="00B03645">
        <w:rPr>
          <w:lang w:eastAsia="ja-JP"/>
        </w:rPr>
        <w:t xml:space="preserve"> 29 January 2010.</w:t>
      </w:r>
    </w:p>
    <w:p w14:paraId="5AF74770" w14:textId="77777777" w:rsidR="00B03645" w:rsidRPr="00B03645" w:rsidRDefault="00B03645" w:rsidP="00765D2E">
      <w:pPr>
        <w:pStyle w:val="Heading5"/>
        <w:rPr>
          <w:lang w:eastAsia="ja-JP"/>
        </w:rPr>
      </w:pPr>
      <w:r w:rsidRPr="00B03645">
        <w:rPr>
          <w:lang w:eastAsia="ja-JP"/>
        </w:rPr>
        <w:t>Inclusion and exclusion criteria</w:t>
      </w:r>
    </w:p>
    <w:p w14:paraId="5DD983EE" w14:textId="77777777" w:rsidR="00765D2E" w:rsidRDefault="00B03645" w:rsidP="00765D2E">
      <w:pPr>
        <w:pStyle w:val="Heading6"/>
        <w:rPr>
          <w:lang w:eastAsia="ja-JP"/>
        </w:rPr>
      </w:pPr>
      <w:r w:rsidRPr="00B03645">
        <w:rPr>
          <w:lang w:eastAsia="ja-JP"/>
        </w:rPr>
        <w:t>Key Inclusion criteria</w:t>
      </w:r>
    </w:p>
    <w:p w14:paraId="53E69326" w14:textId="382A22A7" w:rsidR="00B03645" w:rsidRPr="00B03645" w:rsidRDefault="00B03645" w:rsidP="00B03645">
      <w:pPr>
        <w:rPr>
          <w:lang w:eastAsia="ja-JP"/>
        </w:rPr>
      </w:pPr>
      <w:r w:rsidRPr="00B03645">
        <w:rPr>
          <w:lang w:eastAsia="ja-JP"/>
        </w:rPr>
        <w:t>Hea</w:t>
      </w:r>
      <w:r w:rsidR="00765D2E">
        <w:rPr>
          <w:lang w:eastAsia="ja-JP"/>
        </w:rPr>
        <w:t xml:space="preserve">lthy adults 18 to </w:t>
      </w:r>
      <w:r w:rsidRPr="00B03645">
        <w:rPr>
          <w:lang w:eastAsia="ja-JP"/>
        </w:rPr>
        <w:t>&lt;</w:t>
      </w:r>
      <w:r w:rsidR="00765D2E">
        <w:rPr>
          <w:lang w:eastAsia="ja-JP"/>
        </w:rPr>
        <w:t xml:space="preserve"> </w:t>
      </w:r>
      <w:r w:rsidRPr="00B03645">
        <w:rPr>
          <w:lang w:eastAsia="ja-JP"/>
        </w:rPr>
        <w:t>65 y</w:t>
      </w:r>
      <w:r w:rsidR="00765D2E">
        <w:rPr>
          <w:lang w:eastAsia="ja-JP"/>
        </w:rPr>
        <w:t>ears of age.</w:t>
      </w:r>
    </w:p>
    <w:p w14:paraId="4FA7F21E" w14:textId="77777777" w:rsidR="00B03645" w:rsidRPr="00B03645" w:rsidRDefault="00B03645" w:rsidP="00765D2E">
      <w:pPr>
        <w:pStyle w:val="Heading5"/>
        <w:rPr>
          <w:lang w:eastAsia="ja-JP"/>
        </w:rPr>
      </w:pPr>
      <w:r w:rsidRPr="00B03645">
        <w:rPr>
          <w:lang w:eastAsia="ja-JP"/>
        </w:rPr>
        <w:t>Study treatments</w:t>
      </w:r>
    </w:p>
    <w:p w14:paraId="79005684" w14:textId="5746FD18" w:rsidR="00B03645" w:rsidRPr="00B03645" w:rsidRDefault="00B03645" w:rsidP="00B03645">
      <w:pPr>
        <w:rPr>
          <w:lang w:eastAsia="ja-JP"/>
        </w:rPr>
      </w:pPr>
      <w:r w:rsidRPr="00B03645">
        <w:rPr>
          <w:lang w:eastAsia="ja-JP"/>
        </w:rPr>
        <w:t xml:space="preserve">Single vaccine </w:t>
      </w:r>
      <w:r w:rsidR="00765D2E">
        <w:rPr>
          <w:lang w:eastAsia="ja-JP"/>
        </w:rPr>
        <w:t xml:space="preserve">with </w:t>
      </w:r>
      <w:r w:rsidRPr="00B03645">
        <w:rPr>
          <w:lang w:eastAsia="ja-JP"/>
        </w:rPr>
        <w:t xml:space="preserve">either 0.5 mL IM of </w:t>
      </w:r>
      <w:r w:rsidR="003073A8">
        <w:rPr>
          <w:lang w:eastAsia="ja-JP"/>
        </w:rPr>
        <w:t>Seqirus</w:t>
      </w:r>
      <w:r w:rsidR="003073A8" w:rsidRPr="00B03645">
        <w:rPr>
          <w:lang w:eastAsia="ja-JP"/>
        </w:rPr>
        <w:t xml:space="preserve"> </w:t>
      </w:r>
      <w:r w:rsidRPr="00B03645">
        <w:rPr>
          <w:lang w:eastAsia="ja-JP"/>
        </w:rPr>
        <w:t xml:space="preserve">IVV: 30 </w:t>
      </w:r>
      <w:r w:rsidR="00696781">
        <w:rPr>
          <w:lang w:eastAsia="ja-JP"/>
        </w:rPr>
        <w:t>µg</w:t>
      </w:r>
      <w:r w:rsidRPr="00B03645">
        <w:rPr>
          <w:lang w:eastAsia="ja-JP"/>
        </w:rPr>
        <w:t xml:space="preserve"> HA/strain/mL, thi</w:t>
      </w:r>
      <w:r w:rsidR="00FF28CB">
        <w:rPr>
          <w:lang w:eastAsia="ja-JP"/>
        </w:rPr>
        <w:t>o</w:t>
      </w:r>
      <w:r w:rsidRPr="00B03645">
        <w:rPr>
          <w:lang w:eastAsia="ja-JP"/>
        </w:rPr>
        <w:t>mersal-free</w:t>
      </w:r>
      <w:r w:rsidRPr="00765D2E">
        <w:rPr>
          <w:lang w:eastAsia="ja-JP"/>
        </w:rPr>
        <w:t xml:space="preserve"> or</w:t>
      </w:r>
      <w:r w:rsidRPr="00B03645">
        <w:rPr>
          <w:lang w:eastAsia="ja-JP"/>
        </w:rPr>
        <w:t xml:space="preserve"> Placebo: sterile phosphate bu</w:t>
      </w:r>
      <w:r w:rsidR="00765D2E">
        <w:rPr>
          <w:lang w:eastAsia="ja-JP"/>
        </w:rPr>
        <w:t>ffered saline, thi</w:t>
      </w:r>
      <w:r w:rsidR="00FF28CB">
        <w:rPr>
          <w:lang w:eastAsia="ja-JP"/>
        </w:rPr>
        <w:t>o</w:t>
      </w:r>
      <w:r w:rsidR="00765D2E">
        <w:rPr>
          <w:lang w:eastAsia="ja-JP"/>
        </w:rPr>
        <w:t>mersal-free.</w:t>
      </w:r>
    </w:p>
    <w:p w14:paraId="1D03FC31" w14:textId="2AA1B0EA" w:rsidR="00B03645" w:rsidRPr="00B03645" w:rsidRDefault="00B03645" w:rsidP="00B03645">
      <w:pPr>
        <w:rPr>
          <w:lang w:eastAsia="ja-JP"/>
        </w:rPr>
      </w:pPr>
      <w:r w:rsidRPr="00B03645">
        <w:rPr>
          <w:lang w:eastAsia="ja-JP"/>
        </w:rPr>
        <w:t xml:space="preserve">Influenza haemagglutinin antigens: </w:t>
      </w:r>
      <w:r w:rsidRPr="00765D2E">
        <w:rPr>
          <w:lang w:eastAsia="ja-JP"/>
        </w:rPr>
        <w:t>2008 Season</w:t>
      </w:r>
      <w:r w:rsidRPr="00B03645">
        <w:rPr>
          <w:lang w:eastAsia="ja-JP"/>
        </w:rPr>
        <w:t xml:space="preserve"> A/Solomon Islands/3/2006 (H1N1)-like virus; A/Brisbane/10/2007 (H3N2)-like virus; </w:t>
      </w:r>
      <w:r w:rsidRPr="00765D2E">
        <w:rPr>
          <w:lang w:eastAsia="ja-JP"/>
        </w:rPr>
        <w:t>B/Florida</w:t>
      </w:r>
      <w:r w:rsidRPr="00B03645">
        <w:rPr>
          <w:lang w:eastAsia="ja-JP"/>
        </w:rPr>
        <w:t>/4/2006-like virus.</w:t>
      </w:r>
    </w:p>
    <w:p w14:paraId="2BD1A691" w14:textId="180CD202" w:rsidR="00B03645" w:rsidRPr="00765D2E" w:rsidRDefault="00B03645" w:rsidP="00B03645">
      <w:pPr>
        <w:rPr>
          <w:b/>
          <w:lang w:eastAsia="ja-JP"/>
        </w:rPr>
      </w:pPr>
      <w:r w:rsidRPr="00765D2E">
        <w:rPr>
          <w:lang w:eastAsia="ja-JP"/>
        </w:rPr>
        <w:t>2009 Season:</w:t>
      </w:r>
      <w:r w:rsidRPr="00B03645">
        <w:rPr>
          <w:b/>
          <w:lang w:eastAsia="ja-JP"/>
        </w:rPr>
        <w:t xml:space="preserve"> </w:t>
      </w:r>
      <w:r w:rsidRPr="00B03645">
        <w:rPr>
          <w:lang w:eastAsia="ja-JP"/>
        </w:rPr>
        <w:t>A/Brisbane/59/2007 (H1N1)-like virus;</w:t>
      </w:r>
      <w:r w:rsidRPr="00B03645">
        <w:rPr>
          <w:b/>
          <w:lang w:eastAsia="ja-JP"/>
        </w:rPr>
        <w:t xml:space="preserve"> </w:t>
      </w:r>
      <w:r w:rsidRPr="00B03645">
        <w:rPr>
          <w:lang w:eastAsia="ja-JP"/>
        </w:rPr>
        <w:t>A/Brisbane/10/2007 (H3N2)-like virus;</w:t>
      </w:r>
      <w:r w:rsidRPr="00B03645">
        <w:rPr>
          <w:b/>
          <w:lang w:eastAsia="ja-JP"/>
        </w:rPr>
        <w:t xml:space="preserve"> </w:t>
      </w:r>
      <w:r w:rsidRPr="00765D2E">
        <w:rPr>
          <w:lang w:eastAsia="ja-JP"/>
        </w:rPr>
        <w:t>B/Florida</w:t>
      </w:r>
      <w:r w:rsidRPr="00B03645">
        <w:rPr>
          <w:lang w:eastAsia="ja-JP"/>
        </w:rPr>
        <w:t>/4/2006-like virus.</w:t>
      </w:r>
    </w:p>
    <w:p w14:paraId="24EFC332" w14:textId="77777777" w:rsidR="00B03645" w:rsidRPr="00B03645" w:rsidRDefault="00B03645" w:rsidP="00765D2E">
      <w:pPr>
        <w:pStyle w:val="Heading5"/>
        <w:rPr>
          <w:lang w:eastAsia="ja-JP"/>
        </w:rPr>
      </w:pPr>
      <w:r w:rsidRPr="00B03645">
        <w:rPr>
          <w:lang w:eastAsia="ja-JP"/>
        </w:rPr>
        <w:t>Efficacy variables and outcomes</w:t>
      </w:r>
    </w:p>
    <w:p w14:paraId="65F0C727" w14:textId="07FF45C5" w:rsidR="00765D2E" w:rsidRDefault="00B03645" w:rsidP="00765D2E">
      <w:pPr>
        <w:pStyle w:val="Heading6"/>
        <w:rPr>
          <w:lang w:eastAsia="ja-JP"/>
        </w:rPr>
      </w:pPr>
      <w:r w:rsidRPr="00B03645">
        <w:rPr>
          <w:lang w:eastAsia="ja-JP"/>
        </w:rPr>
        <w:t>Prim</w:t>
      </w:r>
      <w:r w:rsidR="005D0B54">
        <w:rPr>
          <w:lang w:eastAsia="ja-JP"/>
        </w:rPr>
        <w:t>ary o</w:t>
      </w:r>
      <w:r w:rsidRPr="00B03645">
        <w:rPr>
          <w:lang w:eastAsia="ja-JP"/>
        </w:rPr>
        <w:t>bjective</w:t>
      </w:r>
    </w:p>
    <w:p w14:paraId="6C2FB05F" w14:textId="596866F2" w:rsidR="00B03645" w:rsidRPr="00B03645" w:rsidRDefault="00B03645" w:rsidP="00BA1B4C">
      <w:pPr>
        <w:rPr>
          <w:lang w:eastAsia="ja-JP"/>
        </w:rPr>
      </w:pPr>
      <w:r w:rsidRPr="00B03645">
        <w:rPr>
          <w:lang w:eastAsia="ja-JP"/>
        </w:rPr>
        <w:t xml:space="preserve">To demonstrate that the efficacy of </w:t>
      </w:r>
      <w:r w:rsidR="003073A8">
        <w:rPr>
          <w:lang w:eastAsia="ja-JP"/>
        </w:rPr>
        <w:t>Seqirus</w:t>
      </w:r>
      <w:r w:rsidR="003073A8" w:rsidRPr="00B03645">
        <w:rPr>
          <w:lang w:eastAsia="ja-JP"/>
        </w:rPr>
        <w:t xml:space="preserve"> </w:t>
      </w:r>
      <w:r w:rsidRPr="00B03645">
        <w:rPr>
          <w:lang w:eastAsia="ja-JP"/>
        </w:rPr>
        <w:t>IVV v</w:t>
      </w:r>
      <w:r w:rsidR="005D0B54">
        <w:rPr>
          <w:lang w:eastAsia="ja-JP"/>
        </w:rPr>
        <w:t xml:space="preserve">ersus placebo </w:t>
      </w:r>
      <w:r w:rsidRPr="00B03645">
        <w:rPr>
          <w:lang w:eastAsia="ja-JP"/>
        </w:rPr>
        <w:t xml:space="preserve">in the prevention of laboratory-confirmed influenza A/B was significantly </w:t>
      </w:r>
      <w:r w:rsidR="00E936A1">
        <w:rPr>
          <w:lang w:eastAsia="ja-JP"/>
        </w:rPr>
        <w:t>≥ </w:t>
      </w:r>
      <w:r w:rsidRPr="00B03645">
        <w:rPr>
          <w:lang w:eastAsia="ja-JP"/>
        </w:rPr>
        <w:t>40% in healthy adults,</w:t>
      </w:r>
      <w:r w:rsidR="005D0B54">
        <w:rPr>
          <w:lang w:eastAsia="ja-JP"/>
        </w:rPr>
        <w:t xml:space="preserve"> </w:t>
      </w:r>
      <w:r w:rsidRPr="00B03645">
        <w:rPr>
          <w:lang w:eastAsia="ja-JP"/>
        </w:rPr>
        <w:t>through the assessment of: Incidence of lab-confirmed influenza A/B infection with illness onset on or after Day 14.</w:t>
      </w:r>
    </w:p>
    <w:p w14:paraId="5E4247D7" w14:textId="76E8B1C7" w:rsidR="005D0B54" w:rsidRDefault="005D0B54" w:rsidP="005D0B54">
      <w:pPr>
        <w:pStyle w:val="Heading6"/>
        <w:rPr>
          <w:lang w:eastAsia="ja-JP"/>
        </w:rPr>
      </w:pPr>
      <w:r>
        <w:rPr>
          <w:lang w:eastAsia="ja-JP"/>
        </w:rPr>
        <w:t>Secondary o</w:t>
      </w:r>
      <w:r w:rsidR="00B03645" w:rsidRPr="00B03645">
        <w:rPr>
          <w:lang w:eastAsia="ja-JP"/>
        </w:rPr>
        <w:t>bjectives</w:t>
      </w:r>
    </w:p>
    <w:p w14:paraId="5C18E4D2" w14:textId="77777777" w:rsidR="005D0B54" w:rsidRPr="005D0B54" w:rsidRDefault="00B03645" w:rsidP="00B03645">
      <w:pPr>
        <w:pStyle w:val="ListBullet"/>
        <w:rPr>
          <w:b/>
          <w:lang w:eastAsia="ja-JP"/>
        </w:rPr>
      </w:pPr>
      <w:r w:rsidRPr="00B03645">
        <w:rPr>
          <w:lang w:eastAsia="ja-JP"/>
        </w:rPr>
        <w:t>To demonstrate the efficacy of this IVV in prevention of lab-confirmed influenza A/B (due to strains matched to vaccine strains) was significantly greater than that of placebo in healthy adults through the assessment of:</w:t>
      </w:r>
    </w:p>
    <w:p w14:paraId="2E7DFD10" w14:textId="77777777" w:rsidR="005D0B54" w:rsidRPr="005D0B54" w:rsidRDefault="00B03645" w:rsidP="00B03645">
      <w:pPr>
        <w:pStyle w:val="ListBullet2"/>
        <w:rPr>
          <w:b/>
          <w:lang w:eastAsia="ja-JP"/>
        </w:rPr>
      </w:pPr>
      <w:r w:rsidRPr="00B03645">
        <w:rPr>
          <w:lang w:eastAsia="ja-JP"/>
        </w:rPr>
        <w:t>Incidence of laboratory-confirmed influenza A/B infection, by strains matched to vaccine strains, with illness on or after Day 14.</w:t>
      </w:r>
    </w:p>
    <w:p w14:paraId="369A1D52" w14:textId="77777777" w:rsidR="005D0B54" w:rsidRPr="005D0B54" w:rsidRDefault="00B03645" w:rsidP="00B03645">
      <w:pPr>
        <w:pStyle w:val="ListBullet2"/>
        <w:rPr>
          <w:b/>
          <w:lang w:eastAsia="ja-JP"/>
        </w:rPr>
      </w:pPr>
      <w:r w:rsidRPr="00B03645">
        <w:rPr>
          <w:lang w:eastAsia="ja-JP"/>
        </w:rPr>
        <w:lastRenderedPageBreak/>
        <w:t>To assess the incidence of ILI, culture-confirmed ILI and laboratory-confirmed CDC ILI, in recipients of IVV or placebo.</w:t>
      </w:r>
    </w:p>
    <w:p w14:paraId="78505B25" w14:textId="6AFF5796" w:rsidR="005D0B54" w:rsidRPr="005D0B54" w:rsidRDefault="00B03645" w:rsidP="00B03645">
      <w:pPr>
        <w:pStyle w:val="ListBullet2"/>
        <w:rPr>
          <w:b/>
          <w:lang w:eastAsia="ja-JP"/>
        </w:rPr>
      </w:pPr>
      <w:r w:rsidRPr="00B03645">
        <w:rPr>
          <w:lang w:eastAsia="ja-JP"/>
        </w:rPr>
        <w:t>To assess the immunogenicity of IVV in a subset of study participants, to facilitate extrapolation of vaccine efficacy to other populations through the assessment of: Proportion of participants with a minimum post-vaccination HAI titre of 1:40; seroconversion rate: defined as the percentage of participants with either a pre-vaccination HAI titre &lt;</w:t>
      </w:r>
      <w:r w:rsidR="00BA1B4C">
        <w:rPr>
          <w:lang w:eastAsia="ja-JP"/>
        </w:rPr>
        <w:t xml:space="preserve"> </w:t>
      </w:r>
      <w:r w:rsidRPr="00B03645">
        <w:rPr>
          <w:lang w:eastAsia="ja-JP"/>
        </w:rPr>
        <w:t xml:space="preserve">1:10 and a post-vaccination HAI titre </w:t>
      </w:r>
      <w:r w:rsidR="00E936A1">
        <w:rPr>
          <w:lang w:eastAsia="ja-JP"/>
        </w:rPr>
        <w:t xml:space="preserve">≥ </w:t>
      </w:r>
      <w:r w:rsidRPr="00B03645">
        <w:rPr>
          <w:lang w:eastAsia="ja-JP"/>
        </w:rPr>
        <w:t xml:space="preserve">1:40 or a pre-vaccination titre </w:t>
      </w:r>
      <w:r w:rsidR="00E936A1">
        <w:rPr>
          <w:lang w:eastAsia="ja-JP"/>
        </w:rPr>
        <w:t xml:space="preserve">≥ </w:t>
      </w:r>
      <w:r w:rsidRPr="00B03645">
        <w:rPr>
          <w:lang w:eastAsia="ja-JP"/>
        </w:rPr>
        <w:t>1:10 and a minimum four-fold rise in post-vaccination HAI antibody titre; Geometric mean fold-increase in HAI titre.</w:t>
      </w:r>
    </w:p>
    <w:p w14:paraId="2489678E" w14:textId="60D00B21" w:rsidR="00B03645" w:rsidRPr="005D0B54" w:rsidRDefault="00B03645" w:rsidP="00B03645">
      <w:pPr>
        <w:pStyle w:val="ListBullet2"/>
        <w:rPr>
          <w:b/>
          <w:lang w:eastAsia="ja-JP"/>
        </w:rPr>
      </w:pPr>
      <w:r w:rsidRPr="00B03645">
        <w:rPr>
          <w:lang w:eastAsia="ja-JP"/>
        </w:rPr>
        <w:t>To assess the safety and tolerability of IVV through the assessment of the frequency and severity of:</w:t>
      </w:r>
      <w:r w:rsidR="00E936A1">
        <w:rPr>
          <w:lang w:eastAsia="ja-JP"/>
        </w:rPr>
        <w:t xml:space="preserve"> </w:t>
      </w:r>
      <w:r w:rsidRPr="00B03645">
        <w:rPr>
          <w:lang w:eastAsia="ja-JP"/>
        </w:rPr>
        <w:t xml:space="preserve">Solicited local and general solicited symptoms for 4 days after vaccination (5 days in total); Unsolicited AEs for 20 days after vaccination (21 days in total); SAEs for 180 days after vaccination; and NOCIs </w:t>
      </w:r>
      <w:r w:rsidR="00BA1B4C">
        <w:rPr>
          <w:lang w:eastAsia="ja-JP"/>
        </w:rPr>
        <w:t>for 180 days after vaccination.</w:t>
      </w:r>
    </w:p>
    <w:p w14:paraId="32451F37" w14:textId="77777777" w:rsidR="00B03645" w:rsidRPr="00B03645" w:rsidRDefault="00B03645" w:rsidP="005D0B54">
      <w:pPr>
        <w:pStyle w:val="Heading5"/>
        <w:rPr>
          <w:lang w:eastAsia="ja-JP"/>
        </w:rPr>
      </w:pPr>
      <w:r w:rsidRPr="00B03645">
        <w:rPr>
          <w:lang w:eastAsia="ja-JP"/>
        </w:rPr>
        <w:t>Randomisation and blinding methods</w:t>
      </w:r>
    </w:p>
    <w:p w14:paraId="3450FCFF" w14:textId="159E76AB" w:rsidR="00B03645" w:rsidRPr="00B03645" w:rsidRDefault="005D0B54" w:rsidP="00B03645">
      <w:pPr>
        <w:rPr>
          <w:lang w:eastAsia="ja-JP"/>
        </w:rPr>
      </w:pPr>
      <w:r>
        <w:rPr>
          <w:lang w:eastAsia="ja-JP"/>
        </w:rPr>
        <w:t>A s</w:t>
      </w:r>
      <w:r w:rsidR="00B03645" w:rsidRPr="00B03645">
        <w:rPr>
          <w:lang w:eastAsia="ja-JP"/>
        </w:rPr>
        <w:t>tatistician not directly involved in the analysis of study results will prepare the study randomisation code in a SAS database. A rand</w:t>
      </w:r>
      <w:r w:rsidR="00BA1B4C">
        <w:rPr>
          <w:lang w:eastAsia="ja-JP"/>
        </w:rPr>
        <w:t>omisation scheme (2 active vaccine: 1 p</w:t>
      </w:r>
      <w:r w:rsidR="00B03645" w:rsidRPr="00B03645">
        <w:rPr>
          <w:lang w:eastAsia="ja-JP"/>
        </w:rPr>
        <w:t xml:space="preserve">lacebo) used to ensure the balance between treatments maintained. Randomisation </w:t>
      </w:r>
      <w:r w:rsidR="00B079E0">
        <w:rPr>
          <w:lang w:eastAsia="ja-JP"/>
        </w:rPr>
        <w:t xml:space="preserve">was </w:t>
      </w:r>
      <w:r w:rsidR="00B03645" w:rsidRPr="00B03645">
        <w:rPr>
          <w:lang w:eastAsia="ja-JP"/>
        </w:rPr>
        <w:t>stratified accor</w:t>
      </w:r>
      <w:r>
        <w:rPr>
          <w:lang w:eastAsia="ja-JP"/>
        </w:rPr>
        <w:t>ding to age at the time of enrol</w:t>
      </w:r>
      <w:r w:rsidRPr="00B03645">
        <w:rPr>
          <w:lang w:eastAsia="ja-JP"/>
        </w:rPr>
        <w:t>ment</w:t>
      </w:r>
      <w:r w:rsidR="00B079E0">
        <w:rPr>
          <w:lang w:eastAsia="ja-JP"/>
        </w:rPr>
        <w:t>; a</w:t>
      </w:r>
      <w:r w:rsidR="00B03645" w:rsidRPr="00B03645">
        <w:rPr>
          <w:lang w:eastAsia="ja-JP"/>
        </w:rPr>
        <w:t xml:space="preserve">t least 25% in the </w:t>
      </w:r>
      <w:r w:rsidR="00E936A1">
        <w:rPr>
          <w:lang w:eastAsia="ja-JP"/>
        </w:rPr>
        <w:t xml:space="preserve">≥ </w:t>
      </w:r>
      <w:r w:rsidR="00B03645" w:rsidRPr="00B03645">
        <w:rPr>
          <w:lang w:eastAsia="ja-JP"/>
        </w:rPr>
        <w:t>50 to &lt;</w:t>
      </w:r>
      <w:r>
        <w:rPr>
          <w:lang w:eastAsia="ja-JP"/>
        </w:rPr>
        <w:t xml:space="preserve"> </w:t>
      </w:r>
      <w:r w:rsidR="00B03645" w:rsidRPr="00B03645">
        <w:rPr>
          <w:lang w:eastAsia="ja-JP"/>
        </w:rPr>
        <w:t>65 y</w:t>
      </w:r>
      <w:r>
        <w:rPr>
          <w:lang w:eastAsia="ja-JP"/>
        </w:rPr>
        <w:t>ea</w:t>
      </w:r>
      <w:r w:rsidR="00B03645" w:rsidRPr="00B03645">
        <w:rPr>
          <w:lang w:eastAsia="ja-JP"/>
        </w:rPr>
        <w:t xml:space="preserve">r age group and </w:t>
      </w:r>
      <w:r w:rsidR="00B079E0">
        <w:rPr>
          <w:lang w:eastAsia="ja-JP"/>
        </w:rPr>
        <w:t xml:space="preserve">the </w:t>
      </w:r>
      <w:r w:rsidR="00B03645" w:rsidRPr="00B03645">
        <w:rPr>
          <w:lang w:eastAsia="ja-JP"/>
        </w:rPr>
        <w:t xml:space="preserve">remainder in the </w:t>
      </w:r>
      <w:r w:rsidR="00E936A1">
        <w:rPr>
          <w:lang w:eastAsia="ja-JP"/>
        </w:rPr>
        <w:t xml:space="preserve">≥ </w:t>
      </w:r>
      <w:r w:rsidR="00B03645" w:rsidRPr="00B03645">
        <w:rPr>
          <w:lang w:eastAsia="ja-JP"/>
        </w:rPr>
        <w:t>18 to &lt;</w:t>
      </w:r>
      <w:r>
        <w:rPr>
          <w:lang w:eastAsia="ja-JP"/>
        </w:rPr>
        <w:t xml:space="preserve"> </w:t>
      </w:r>
      <w:r w:rsidR="00B03645" w:rsidRPr="00B03645">
        <w:rPr>
          <w:lang w:eastAsia="ja-JP"/>
        </w:rPr>
        <w:t>50 y</w:t>
      </w:r>
      <w:r>
        <w:rPr>
          <w:lang w:eastAsia="ja-JP"/>
        </w:rPr>
        <w:t>ea</w:t>
      </w:r>
      <w:r w:rsidR="00B03645" w:rsidRPr="00B03645">
        <w:rPr>
          <w:lang w:eastAsia="ja-JP"/>
        </w:rPr>
        <w:t>r age group. Because of the visual difference between the active study vaccine and the placebo, the study will involve personnel who are blinded to the treatment allocation (</w:t>
      </w:r>
      <w:r>
        <w:rPr>
          <w:lang w:eastAsia="ja-JP"/>
        </w:rPr>
        <w:t>that is,</w:t>
      </w:r>
      <w:r w:rsidR="00B03645" w:rsidRPr="00B03645">
        <w:rPr>
          <w:lang w:eastAsia="ja-JP"/>
        </w:rPr>
        <w:t xml:space="preserve"> site staff performing </w:t>
      </w:r>
      <w:r>
        <w:rPr>
          <w:lang w:eastAsia="ja-JP"/>
        </w:rPr>
        <w:t>study assessment including the investigator (‘</w:t>
      </w:r>
      <w:r w:rsidR="00B03645" w:rsidRPr="00B03645">
        <w:rPr>
          <w:lang w:eastAsia="ja-JP"/>
        </w:rPr>
        <w:t>observer-blind</w:t>
      </w:r>
      <w:r>
        <w:rPr>
          <w:lang w:eastAsia="ja-JP"/>
        </w:rPr>
        <w:t>’) and p</w:t>
      </w:r>
      <w:r w:rsidR="00B03645" w:rsidRPr="00B03645">
        <w:rPr>
          <w:lang w:eastAsia="ja-JP"/>
        </w:rPr>
        <w:t>articipants) and different personnel who are unblinded (</w:t>
      </w:r>
      <w:r>
        <w:rPr>
          <w:lang w:eastAsia="ja-JP"/>
        </w:rPr>
        <w:t>that is i</w:t>
      </w:r>
      <w:r w:rsidR="00B03645" w:rsidRPr="00B03645">
        <w:rPr>
          <w:lang w:eastAsia="ja-JP"/>
        </w:rPr>
        <w:t xml:space="preserve">nvestigational site staff involved in preparation and administration of the </w:t>
      </w:r>
      <w:r>
        <w:rPr>
          <w:lang w:eastAsia="ja-JP"/>
        </w:rPr>
        <w:t>s</w:t>
      </w:r>
      <w:r w:rsidR="00B03645" w:rsidRPr="00B03645">
        <w:rPr>
          <w:lang w:eastAsia="ja-JP"/>
        </w:rPr>
        <w:t xml:space="preserve">tudy </w:t>
      </w:r>
      <w:r>
        <w:rPr>
          <w:lang w:eastAsia="ja-JP"/>
        </w:rPr>
        <w:t>v</w:t>
      </w:r>
      <w:r w:rsidR="00B03645" w:rsidRPr="00B03645">
        <w:rPr>
          <w:lang w:eastAsia="ja-JP"/>
        </w:rPr>
        <w:t>ac</w:t>
      </w:r>
      <w:r>
        <w:rPr>
          <w:lang w:eastAsia="ja-JP"/>
        </w:rPr>
        <w:t>cine); to treatment allocation.</w:t>
      </w:r>
    </w:p>
    <w:p w14:paraId="220696A2" w14:textId="77777777" w:rsidR="00B03645" w:rsidRPr="00B03645" w:rsidRDefault="00B03645" w:rsidP="005D0B54">
      <w:pPr>
        <w:pStyle w:val="Heading5"/>
        <w:rPr>
          <w:lang w:eastAsia="ja-JP"/>
        </w:rPr>
      </w:pPr>
      <w:r w:rsidRPr="00B03645">
        <w:rPr>
          <w:lang w:eastAsia="ja-JP"/>
        </w:rPr>
        <w:t>Analysis populations</w:t>
      </w:r>
    </w:p>
    <w:p w14:paraId="71CD9014" w14:textId="77777777" w:rsidR="00B03645" w:rsidRPr="00B03645" w:rsidDel="0081373E" w:rsidRDefault="00B03645" w:rsidP="00B03645">
      <w:pPr>
        <w:rPr>
          <w:bCs/>
          <w:lang w:eastAsia="ja-JP"/>
        </w:rPr>
      </w:pPr>
      <w:r w:rsidRPr="00B03645">
        <w:rPr>
          <w:bCs/>
          <w:lang w:eastAsia="ja-JP"/>
        </w:rPr>
        <w:t>As per the definitions used above.</w:t>
      </w:r>
    </w:p>
    <w:p w14:paraId="761D3730" w14:textId="77777777" w:rsidR="00B03645" w:rsidRPr="00B03645" w:rsidDel="0081373E" w:rsidRDefault="00B03645" w:rsidP="005D0B54">
      <w:pPr>
        <w:pStyle w:val="Heading5"/>
        <w:rPr>
          <w:lang w:eastAsia="ja-JP"/>
        </w:rPr>
      </w:pPr>
      <w:r w:rsidRPr="00B03645" w:rsidDel="0081373E">
        <w:rPr>
          <w:lang w:eastAsia="ja-JP"/>
        </w:rPr>
        <w:t>Sample size</w:t>
      </w:r>
    </w:p>
    <w:p w14:paraId="47F06577" w14:textId="7A58FC31" w:rsidR="00B03645" w:rsidRPr="00B03645" w:rsidRDefault="00B03645" w:rsidP="00B03645">
      <w:pPr>
        <w:rPr>
          <w:lang w:eastAsia="ja-JP"/>
        </w:rPr>
      </w:pPr>
      <w:r w:rsidRPr="00B03645">
        <w:rPr>
          <w:lang w:eastAsia="ja-JP"/>
        </w:rPr>
        <w:t>15,000 randomised participants (7500 for each of the 2 y</w:t>
      </w:r>
      <w:r w:rsidR="005D0B54">
        <w:rPr>
          <w:lang w:eastAsia="ja-JP"/>
        </w:rPr>
        <w:t>ea</w:t>
      </w:r>
      <w:r w:rsidRPr="00B03645">
        <w:rPr>
          <w:lang w:eastAsia="ja-JP"/>
        </w:rPr>
        <w:t>rs the study was conducted).</w:t>
      </w:r>
    </w:p>
    <w:p w14:paraId="6C715102" w14:textId="77777777" w:rsidR="00B03645" w:rsidRPr="00B03645" w:rsidRDefault="00B03645" w:rsidP="005D0B54">
      <w:pPr>
        <w:pStyle w:val="Heading5"/>
        <w:rPr>
          <w:lang w:eastAsia="ja-JP"/>
        </w:rPr>
      </w:pPr>
      <w:r w:rsidRPr="00B03645">
        <w:rPr>
          <w:lang w:eastAsia="ja-JP"/>
        </w:rPr>
        <w:t>Statistical methods</w:t>
      </w:r>
    </w:p>
    <w:p w14:paraId="4A66AE81" w14:textId="77777777" w:rsidR="005D0B54" w:rsidRDefault="005D0B54" w:rsidP="005D0B54">
      <w:pPr>
        <w:pStyle w:val="Heading6"/>
        <w:rPr>
          <w:lang w:eastAsia="ja-JP"/>
        </w:rPr>
      </w:pPr>
      <w:r>
        <w:rPr>
          <w:lang w:eastAsia="ja-JP"/>
        </w:rPr>
        <w:t>Primary endpoint</w:t>
      </w:r>
    </w:p>
    <w:p w14:paraId="523D9E34" w14:textId="604157D0" w:rsidR="00B03645" w:rsidRPr="00B03645" w:rsidRDefault="00B03645" w:rsidP="00B03645">
      <w:pPr>
        <w:rPr>
          <w:b/>
          <w:bCs/>
          <w:i/>
          <w:iCs/>
          <w:lang w:eastAsia="ja-JP"/>
        </w:rPr>
      </w:pPr>
      <w:r w:rsidRPr="00B03645">
        <w:rPr>
          <w:lang w:eastAsia="ja-JP"/>
        </w:rPr>
        <w:t>Incidence of laboratory-confirmed (culture/real-time RT-PCR) influenza A/B infection with</w:t>
      </w:r>
      <w:r w:rsidRPr="00B03645">
        <w:rPr>
          <w:b/>
          <w:bCs/>
          <w:i/>
          <w:iCs/>
          <w:lang w:eastAsia="ja-JP"/>
        </w:rPr>
        <w:t xml:space="preserve"> </w:t>
      </w:r>
      <w:r w:rsidRPr="00B03645">
        <w:rPr>
          <w:lang w:eastAsia="ja-JP"/>
        </w:rPr>
        <w:t>illness onset on or after Day 14.</w:t>
      </w:r>
    </w:p>
    <w:p w14:paraId="20EB210F" w14:textId="3F825D02" w:rsidR="00B03645" w:rsidRPr="00B03645" w:rsidRDefault="00B03645" w:rsidP="005D0B54">
      <w:pPr>
        <w:pStyle w:val="Heading6"/>
        <w:rPr>
          <w:lang w:eastAsia="ja-JP"/>
        </w:rPr>
      </w:pPr>
      <w:r w:rsidRPr="00B03645">
        <w:rPr>
          <w:lang w:eastAsia="ja-JP"/>
        </w:rPr>
        <w:t>Seconda</w:t>
      </w:r>
      <w:r w:rsidR="005D0B54">
        <w:rPr>
          <w:lang w:eastAsia="ja-JP"/>
        </w:rPr>
        <w:t>ry efficacy endpoints</w:t>
      </w:r>
    </w:p>
    <w:p w14:paraId="77601310" w14:textId="77777777" w:rsidR="00B03645" w:rsidRPr="00B03645" w:rsidRDefault="00B03645" w:rsidP="005D0B54">
      <w:pPr>
        <w:pStyle w:val="ListBullet"/>
        <w:rPr>
          <w:b/>
          <w:bCs/>
          <w:i/>
          <w:iCs/>
          <w:lang w:eastAsia="ja-JP"/>
        </w:rPr>
      </w:pPr>
      <w:r w:rsidRPr="00B03645">
        <w:rPr>
          <w:lang w:eastAsia="ja-JP"/>
        </w:rPr>
        <w:t>Incidence of laboratory-confirmed influenza A/B infection, by strains matched to vaccine strains, with illness onset on or after Day 14. This efficacy endpoint was included to control for any unanticipated mismatch between the virus strains circulating during the study period and those included in the study vaccine</w:t>
      </w:r>
    </w:p>
    <w:p w14:paraId="3BC84C1E" w14:textId="77777777" w:rsidR="00B03645" w:rsidRPr="00B03645" w:rsidRDefault="00B03645" w:rsidP="005D0B54">
      <w:pPr>
        <w:pStyle w:val="ListBullet"/>
        <w:rPr>
          <w:b/>
          <w:bCs/>
          <w:i/>
          <w:iCs/>
          <w:lang w:eastAsia="ja-JP"/>
        </w:rPr>
      </w:pPr>
      <w:r w:rsidRPr="00B03645">
        <w:rPr>
          <w:lang w:eastAsia="ja-JP"/>
        </w:rPr>
        <w:t>Incidence of ILI;</w:t>
      </w:r>
    </w:p>
    <w:p w14:paraId="0E1CE5C1" w14:textId="77777777" w:rsidR="00B03645" w:rsidRPr="00B03645" w:rsidRDefault="00B03645" w:rsidP="005D0B54">
      <w:pPr>
        <w:pStyle w:val="ListBullet"/>
        <w:rPr>
          <w:b/>
          <w:bCs/>
          <w:i/>
          <w:iCs/>
          <w:lang w:eastAsia="ja-JP"/>
        </w:rPr>
      </w:pPr>
      <w:r w:rsidRPr="00B03645">
        <w:rPr>
          <w:lang w:eastAsia="ja-JP"/>
        </w:rPr>
        <w:t>Incidence of culture-confirmed ILI;</w:t>
      </w:r>
    </w:p>
    <w:p w14:paraId="05A6E233" w14:textId="77777777" w:rsidR="00B03645" w:rsidRPr="00B03645" w:rsidRDefault="00B03645" w:rsidP="005D0B54">
      <w:pPr>
        <w:pStyle w:val="ListBullet"/>
        <w:rPr>
          <w:b/>
          <w:bCs/>
          <w:i/>
          <w:iCs/>
          <w:lang w:eastAsia="ja-JP"/>
        </w:rPr>
      </w:pPr>
      <w:r w:rsidRPr="00B03645">
        <w:rPr>
          <w:lang w:eastAsia="ja-JP"/>
        </w:rPr>
        <w:t>Incidence of laboratory-confirmed ILI meeting the CDC ILI definition;</w:t>
      </w:r>
    </w:p>
    <w:p w14:paraId="6E408422" w14:textId="77777777" w:rsidR="00B03645" w:rsidRPr="00B03645" w:rsidRDefault="00B03645" w:rsidP="005D0B54">
      <w:pPr>
        <w:pStyle w:val="ListBullet"/>
        <w:rPr>
          <w:b/>
          <w:bCs/>
          <w:i/>
          <w:iCs/>
          <w:lang w:eastAsia="ja-JP"/>
        </w:rPr>
      </w:pPr>
      <w:r w:rsidRPr="00B03645">
        <w:rPr>
          <w:lang w:eastAsia="ja-JP"/>
        </w:rPr>
        <w:t>Seroconversion, geometric mean fold increase in HAI titre and the proportion of participants with an HI antibody titre of 1:40 or greater after vaccination were assessed in a subset of study participants.</w:t>
      </w:r>
    </w:p>
    <w:p w14:paraId="017D6BBE" w14:textId="77777777" w:rsidR="005D0B54" w:rsidRDefault="00B03645" w:rsidP="005D0B54">
      <w:pPr>
        <w:pStyle w:val="Heading6"/>
        <w:rPr>
          <w:lang w:eastAsia="ja-JP"/>
        </w:rPr>
      </w:pPr>
      <w:r w:rsidRPr="00B03645">
        <w:rPr>
          <w:lang w:eastAsia="ja-JP"/>
        </w:rPr>
        <w:lastRenderedPageBreak/>
        <w:t>Safety endpoints</w:t>
      </w:r>
    </w:p>
    <w:p w14:paraId="4CE7E633" w14:textId="2CD8CD66" w:rsidR="00B03645" w:rsidRPr="005D0B54" w:rsidRDefault="00B03645" w:rsidP="00B03645">
      <w:pPr>
        <w:rPr>
          <w:b/>
          <w:bCs/>
          <w:i/>
          <w:iCs/>
          <w:lang w:eastAsia="ja-JP"/>
        </w:rPr>
      </w:pPr>
      <w:r w:rsidRPr="00B03645">
        <w:rPr>
          <w:lang w:eastAsia="ja-JP"/>
        </w:rPr>
        <w:t>Frequency and severity of solicited local and general AEs for 5 days, unsolicited AEs for 21 days, SAEs and NOCIs for 6 months after vaccination.</w:t>
      </w:r>
    </w:p>
    <w:p w14:paraId="77770EB0" w14:textId="77777777" w:rsidR="00B03645" w:rsidRPr="00B03645" w:rsidRDefault="00B03645" w:rsidP="005D0B54">
      <w:pPr>
        <w:pStyle w:val="Heading5"/>
        <w:rPr>
          <w:lang w:eastAsia="ja-JP"/>
        </w:rPr>
      </w:pPr>
      <w:r w:rsidRPr="00B03645">
        <w:rPr>
          <w:lang w:eastAsia="ja-JP"/>
        </w:rPr>
        <w:t>Baseline data</w:t>
      </w:r>
    </w:p>
    <w:p w14:paraId="2D7B5FD0" w14:textId="15423AF7" w:rsidR="00B03645" w:rsidRPr="00B03645" w:rsidRDefault="00770A4D" w:rsidP="00B03645">
      <w:pPr>
        <w:rPr>
          <w:lang w:eastAsia="ja-JP"/>
        </w:rPr>
      </w:pPr>
      <w:r>
        <w:rPr>
          <w:lang w:eastAsia="ja-JP"/>
        </w:rPr>
        <w:t>Total randomised was 15,</w:t>
      </w:r>
      <w:r w:rsidR="00B03645" w:rsidRPr="00B03645">
        <w:rPr>
          <w:lang w:eastAsia="ja-JP"/>
        </w:rPr>
        <w:t>044 of whom 10,033 received IVV thi</w:t>
      </w:r>
      <w:r w:rsidR="00FF28CB">
        <w:rPr>
          <w:lang w:eastAsia="ja-JP"/>
        </w:rPr>
        <w:t>o</w:t>
      </w:r>
      <w:r w:rsidR="00B03645" w:rsidRPr="00B03645">
        <w:rPr>
          <w:lang w:eastAsia="ja-JP"/>
        </w:rPr>
        <w:t xml:space="preserve">mersal-free and 5,011 </w:t>
      </w:r>
      <w:r w:rsidR="004C5A9D">
        <w:rPr>
          <w:lang w:eastAsia="ja-JP"/>
        </w:rPr>
        <w:t>received p</w:t>
      </w:r>
      <w:r w:rsidR="00B03645" w:rsidRPr="00B03645">
        <w:rPr>
          <w:lang w:eastAsia="ja-JP"/>
        </w:rPr>
        <w:t>lacebo.</w:t>
      </w:r>
    </w:p>
    <w:p w14:paraId="71177B5D" w14:textId="7B3B3C3C" w:rsidR="00B03645" w:rsidRDefault="00D055A4" w:rsidP="00770A4D">
      <w:pPr>
        <w:pStyle w:val="Tabletitle"/>
        <w:rPr>
          <w:lang w:eastAsia="ja-JP"/>
        </w:rPr>
      </w:pPr>
      <w:r>
        <w:rPr>
          <w:lang w:eastAsia="ja-JP"/>
        </w:rPr>
        <w:t xml:space="preserve">Table </w:t>
      </w:r>
      <w:r w:rsidR="0016670C">
        <w:rPr>
          <w:lang w:eastAsia="ja-JP"/>
        </w:rPr>
        <w:t>4</w:t>
      </w:r>
      <w:r>
        <w:rPr>
          <w:lang w:eastAsia="ja-JP"/>
        </w:rPr>
        <w:t>.</w:t>
      </w:r>
      <w:r w:rsidR="00B03645" w:rsidRPr="00B03645">
        <w:rPr>
          <w:lang w:eastAsia="ja-JP"/>
        </w:rPr>
        <w:t xml:space="preserve"> </w:t>
      </w:r>
      <w:r>
        <w:rPr>
          <w:lang w:eastAsia="ja-JP"/>
        </w:rPr>
        <w:t xml:space="preserve">Study </w:t>
      </w:r>
      <w:r w:rsidRPr="00B03645">
        <w:rPr>
          <w:lang w:eastAsia="ja-JP"/>
        </w:rPr>
        <w:t>CSLCT-USF-06-28</w:t>
      </w:r>
      <w:r>
        <w:rPr>
          <w:lang w:eastAsia="ja-JP"/>
        </w:rPr>
        <w:t xml:space="preserve"> - Analysis populations</w:t>
      </w:r>
    </w:p>
    <w:p w14:paraId="54FFB7C5" w14:textId="7B982500" w:rsidR="00B03645" w:rsidRPr="004C5A9D" w:rsidRDefault="00FC6926" w:rsidP="00B03645">
      <w:pPr>
        <w:rPr>
          <w:b/>
          <w:lang w:eastAsia="ja-JP"/>
        </w:rPr>
      </w:pPr>
      <w:r w:rsidRPr="00FC6926">
        <w:rPr>
          <w:b/>
          <w:noProof/>
          <w:lang w:eastAsia="en-AU"/>
        </w:rPr>
        <w:drawing>
          <wp:inline distT="0" distB="0" distL="0" distR="0" wp14:anchorId="312C5226" wp14:editId="13D57247">
            <wp:extent cx="4217035" cy="1129246"/>
            <wp:effectExtent l="0" t="0" r="0" b="0"/>
            <wp:docPr id="12" name="Picture 12" descr="Table 4. Study CSLCT-USF-06-28 - Analysi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48869" cy="1137771"/>
                    </a:xfrm>
                    <a:prstGeom prst="rect">
                      <a:avLst/>
                    </a:prstGeom>
                  </pic:spPr>
                </pic:pic>
              </a:graphicData>
            </a:graphic>
          </wp:inline>
        </w:drawing>
      </w:r>
    </w:p>
    <w:p w14:paraId="7139DA54" w14:textId="77777777" w:rsidR="00B03645" w:rsidRPr="00B03645" w:rsidRDefault="00B03645" w:rsidP="004C5A9D">
      <w:pPr>
        <w:pStyle w:val="Heading5"/>
        <w:rPr>
          <w:lang w:eastAsia="ja-JP"/>
        </w:rPr>
      </w:pPr>
      <w:r w:rsidRPr="00B03645">
        <w:rPr>
          <w:lang w:eastAsia="ja-JP"/>
        </w:rPr>
        <w:t>Results for the primary and secondary efficacy outcomes</w:t>
      </w:r>
    </w:p>
    <w:p w14:paraId="5379B995" w14:textId="0744363C" w:rsidR="00B03645" w:rsidRPr="00B03645" w:rsidRDefault="004C5A9D" w:rsidP="004C5A9D">
      <w:pPr>
        <w:pStyle w:val="Heading6"/>
        <w:rPr>
          <w:lang w:eastAsia="ja-JP"/>
        </w:rPr>
      </w:pPr>
      <w:r>
        <w:rPr>
          <w:lang w:eastAsia="ja-JP"/>
        </w:rPr>
        <w:t>Primary analysis: overall vaccine e</w:t>
      </w:r>
      <w:r w:rsidR="00B03645" w:rsidRPr="00B03645">
        <w:rPr>
          <w:lang w:eastAsia="ja-JP"/>
        </w:rPr>
        <w:t>fficacy</w:t>
      </w:r>
    </w:p>
    <w:p w14:paraId="00150821" w14:textId="3CEB5C37" w:rsidR="00B03645" w:rsidRPr="00B03645" w:rsidRDefault="00B03645" w:rsidP="00B03645">
      <w:pPr>
        <w:rPr>
          <w:lang w:eastAsia="ja-JP"/>
        </w:rPr>
      </w:pPr>
      <w:r w:rsidRPr="00B03645">
        <w:rPr>
          <w:lang w:eastAsia="ja-JP"/>
        </w:rPr>
        <w:t>During both the 2008 and 2009 influenza seasons, overall incidence of laboratory-confirmed</w:t>
      </w:r>
      <w:r w:rsidR="004C5A9D">
        <w:rPr>
          <w:lang w:eastAsia="ja-JP"/>
        </w:rPr>
        <w:t xml:space="preserve"> </w:t>
      </w:r>
      <w:r w:rsidRPr="00B03645">
        <w:rPr>
          <w:lang w:eastAsia="ja-JP"/>
        </w:rPr>
        <w:t>influenza infection (due to any influenza A or B virus isolate) was lower in participants who had</w:t>
      </w:r>
      <w:r w:rsidR="004C5A9D">
        <w:rPr>
          <w:lang w:eastAsia="ja-JP"/>
        </w:rPr>
        <w:t xml:space="preserve"> received </w:t>
      </w:r>
      <w:r w:rsidR="003073A8">
        <w:rPr>
          <w:lang w:eastAsia="ja-JP"/>
        </w:rPr>
        <w:t>Seqirus</w:t>
      </w:r>
      <w:r w:rsidRPr="00B03645">
        <w:rPr>
          <w:lang w:eastAsia="ja-JP"/>
        </w:rPr>
        <w:t xml:space="preserve"> IVV (2.24%) than in those receiving placebo (3.87%). Overall efficacy of IVV for the prevention of laboratory-confirmed infection due to any influenza A or B virus during the 2008 and 2009 seasons was 42%, with a lower bound of the CI of 28%. The IVV was efficacious v</w:t>
      </w:r>
      <w:r w:rsidR="004C5A9D">
        <w:rPr>
          <w:lang w:eastAsia="ja-JP"/>
        </w:rPr>
        <w:t>ersus</w:t>
      </w:r>
      <w:r w:rsidRPr="00B03645">
        <w:rPr>
          <w:lang w:eastAsia="ja-JP"/>
        </w:rPr>
        <w:t xml:space="preserve"> placebo (the lower bound of the CI exceeded zero), but the results did not satisfy the pre-defined criterion for success (</w:t>
      </w:r>
      <w:r w:rsidR="004C5A9D">
        <w:rPr>
          <w:lang w:eastAsia="ja-JP"/>
        </w:rPr>
        <w:t>that is</w:t>
      </w:r>
      <w:r w:rsidRPr="00B03645">
        <w:rPr>
          <w:lang w:eastAsia="ja-JP"/>
        </w:rPr>
        <w:t xml:space="preserve"> lower bound of CI being at least 40%). Thus the primary objective was not met.</w:t>
      </w:r>
    </w:p>
    <w:p w14:paraId="1F81F39F" w14:textId="552A3FDB" w:rsidR="00B03645" w:rsidRPr="004C5A9D" w:rsidRDefault="004C5A9D" w:rsidP="004C5A9D">
      <w:pPr>
        <w:pStyle w:val="Heading6"/>
        <w:rPr>
          <w:lang w:eastAsia="ja-JP"/>
        </w:rPr>
      </w:pPr>
      <w:r>
        <w:rPr>
          <w:lang w:eastAsia="ja-JP"/>
        </w:rPr>
        <w:t>Analysis of i</w:t>
      </w:r>
      <w:r w:rsidR="00B03645" w:rsidRPr="00B03645">
        <w:rPr>
          <w:lang w:eastAsia="ja-JP"/>
        </w:rPr>
        <w:t>mmunogenicity</w:t>
      </w:r>
      <w:r>
        <w:rPr>
          <w:lang w:eastAsia="ja-JP"/>
        </w:rPr>
        <w:t xml:space="preserve">: </w:t>
      </w:r>
      <w:r w:rsidR="00B03645" w:rsidRPr="00B03645">
        <w:rPr>
          <w:iCs/>
          <w:lang w:eastAsia="ja-JP"/>
        </w:rPr>
        <w:t>Baseline antibody titres</w:t>
      </w:r>
    </w:p>
    <w:p w14:paraId="576BD38E" w14:textId="2C3D7788" w:rsidR="00B03645" w:rsidRPr="00B03645" w:rsidRDefault="00B03645" w:rsidP="00B03645">
      <w:pPr>
        <w:rPr>
          <w:lang w:eastAsia="ja-JP"/>
        </w:rPr>
      </w:pPr>
      <w:r w:rsidRPr="00B03645">
        <w:rPr>
          <w:lang w:eastAsia="ja-JP"/>
        </w:rPr>
        <w:t>During the 2008 seaso</w:t>
      </w:r>
      <w:r w:rsidR="00563463">
        <w:rPr>
          <w:lang w:eastAsia="ja-JP"/>
        </w:rPr>
        <w:t>n, over</w:t>
      </w:r>
      <w:r w:rsidR="004C5A9D">
        <w:rPr>
          <w:lang w:eastAsia="ja-JP"/>
        </w:rPr>
        <w:t xml:space="preserve"> </w:t>
      </w:r>
      <w:r w:rsidRPr="00B03645">
        <w:rPr>
          <w:lang w:eastAsia="ja-JP"/>
        </w:rPr>
        <w:t xml:space="preserve">one-third of the participants had HAI antibody titres of </w:t>
      </w:r>
      <w:r w:rsidR="00E936A1">
        <w:rPr>
          <w:lang w:eastAsia="ja-JP"/>
        </w:rPr>
        <w:t xml:space="preserve">≥ </w:t>
      </w:r>
      <w:r w:rsidRPr="00B03645">
        <w:rPr>
          <w:lang w:eastAsia="ja-JP"/>
        </w:rPr>
        <w:t>1:40 to each of the influenza A va</w:t>
      </w:r>
      <w:r w:rsidR="004C5A9D">
        <w:rPr>
          <w:lang w:eastAsia="ja-JP"/>
        </w:rPr>
        <w:t xml:space="preserve">ccine strains (H1N1, H3N2) and approximately </w:t>
      </w:r>
      <w:r w:rsidRPr="00B03645">
        <w:rPr>
          <w:lang w:eastAsia="ja-JP"/>
        </w:rPr>
        <w:t>13% of participants had HAI antibody titres of 1:40 or more to</w:t>
      </w:r>
      <w:r w:rsidR="00563463">
        <w:rPr>
          <w:lang w:eastAsia="ja-JP"/>
        </w:rPr>
        <w:t xml:space="preserve"> the influenza B vaccine strain as shown below in Figure </w:t>
      </w:r>
      <w:r w:rsidR="00CF5FB1">
        <w:rPr>
          <w:lang w:eastAsia="ja-JP"/>
        </w:rPr>
        <w:t>5</w:t>
      </w:r>
      <w:r w:rsidR="00563463">
        <w:rPr>
          <w:lang w:eastAsia="ja-JP"/>
        </w:rPr>
        <w:t>.</w:t>
      </w:r>
    </w:p>
    <w:p w14:paraId="5E9FE2A6" w14:textId="1F7399E7" w:rsidR="00B03645" w:rsidRPr="00B03645" w:rsidRDefault="00B03645" w:rsidP="00B03645">
      <w:pPr>
        <w:rPr>
          <w:lang w:eastAsia="ja-JP"/>
        </w:rPr>
      </w:pPr>
      <w:r w:rsidRPr="00B03645">
        <w:rPr>
          <w:lang w:eastAsia="ja-JP"/>
        </w:rPr>
        <w:t>During the 2</w:t>
      </w:r>
      <w:r w:rsidR="004C5A9D">
        <w:rPr>
          <w:lang w:eastAsia="ja-JP"/>
        </w:rPr>
        <w:t xml:space="preserve">009 season, approximately </w:t>
      </w:r>
      <w:r w:rsidRPr="00B03645">
        <w:rPr>
          <w:lang w:eastAsia="ja-JP"/>
        </w:rPr>
        <w:t xml:space="preserve">one-third of participants had HAI antibody titres of </w:t>
      </w:r>
      <w:r w:rsidR="00E936A1">
        <w:rPr>
          <w:lang w:eastAsia="ja-JP"/>
        </w:rPr>
        <w:t xml:space="preserve">≥ </w:t>
      </w:r>
      <w:r w:rsidRPr="00B03645">
        <w:rPr>
          <w:lang w:eastAsia="ja-JP"/>
        </w:rPr>
        <w:t xml:space="preserve">1:40 to the H1N1 and B vaccine strains; slightly more participants (up to 40%) had titres of </w:t>
      </w:r>
      <w:r w:rsidR="00E936A1">
        <w:rPr>
          <w:lang w:eastAsia="ja-JP"/>
        </w:rPr>
        <w:t xml:space="preserve">≥ </w:t>
      </w:r>
      <w:r w:rsidRPr="00B03645">
        <w:rPr>
          <w:lang w:eastAsia="ja-JP"/>
        </w:rPr>
        <w:t>1:40 to the H3N2 vaccine strain.</w:t>
      </w:r>
    </w:p>
    <w:p w14:paraId="36C6E202" w14:textId="52F047DD" w:rsidR="00B03645" w:rsidRPr="004C5A9D" w:rsidRDefault="004C5A9D" w:rsidP="004C5A9D">
      <w:pPr>
        <w:pStyle w:val="Heading6"/>
        <w:rPr>
          <w:rFonts w:eastAsia="Cambria"/>
        </w:rPr>
      </w:pPr>
      <w:r>
        <w:rPr>
          <w:lang w:eastAsia="ja-JP"/>
        </w:rPr>
        <w:t>Analysis of i</w:t>
      </w:r>
      <w:r w:rsidRPr="00B03645">
        <w:rPr>
          <w:lang w:eastAsia="ja-JP"/>
        </w:rPr>
        <w:t>mmunogenicity</w:t>
      </w:r>
      <w:r w:rsidRPr="004C5A9D">
        <w:rPr>
          <w:iCs/>
          <w:lang w:eastAsia="ja-JP"/>
        </w:rPr>
        <w:t>: a</w:t>
      </w:r>
      <w:r w:rsidR="00B03645" w:rsidRPr="004C5A9D">
        <w:rPr>
          <w:rFonts w:eastAsia="Cambria"/>
        </w:rPr>
        <w:t>ntibody titres after vaccination</w:t>
      </w:r>
    </w:p>
    <w:p w14:paraId="540DF4B2" w14:textId="6A0EADC4" w:rsidR="00B03645" w:rsidRPr="00B03645" w:rsidRDefault="00B03645" w:rsidP="00B03645">
      <w:pPr>
        <w:rPr>
          <w:lang w:eastAsia="ja-JP"/>
        </w:rPr>
      </w:pPr>
      <w:r w:rsidRPr="00B03645">
        <w:rPr>
          <w:lang w:eastAsia="ja-JP"/>
        </w:rPr>
        <w:t>After vaccination, the IVV produced robust immune responses to the influenza strains included in the vaccine. In contrast, placebo did not elicit an immune response. IVV was efficacious against influenza infection caused by strains contained in the vaccine, with an efficacy of 60% v</w:t>
      </w:r>
      <w:r w:rsidR="004C5A9D">
        <w:rPr>
          <w:lang w:eastAsia="ja-JP"/>
        </w:rPr>
        <w:t>ersus</w:t>
      </w:r>
      <w:r w:rsidRPr="00B03645">
        <w:rPr>
          <w:lang w:eastAsia="ja-JP"/>
        </w:rPr>
        <w:t xml:space="preserve"> placebo. The IVV was also associated with significantly greater vaccine efficacy than placebo against influenza infection caused by any virus strain; however, the results did not demonstrate that this vaccine efficacy significantly exceeded the pre-specified criterion of 40%.</w:t>
      </w:r>
    </w:p>
    <w:p w14:paraId="1AF6DC9C" w14:textId="77777777" w:rsidR="00FD2DDF" w:rsidRDefault="00B03645" w:rsidP="00B03645">
      <w:pPr>
        <w:rPr>
          <w:lang w:eastAsia="ja-JP"/>
        </w:rPr>
      </w:pPr>
      <w:r w:rsidRPr="00B03645">
        <w:rPr>
          <w:lang w:eastAsia="ja-JP"/>
        </w:rPr>
        <w:t>The assessment of vaccine efficacy in this study was complicated by the circulation of mismatched</w:t>
      </w:r>
      <w:r w:rsidR="004C5A9D">
        <w:rPr>
          <w:lang w:eastAsia="ja-JP"/>
        </w:rPr>
        <w:t xml:space="preserve"> </w:t>
      </w:r>
      <w:r w:rsidRPr="00B03645">
        <w:rPr>
          <w:lang w:eastAsia="ja-JP"/>
        </w:rPr>
        <w:t>influenza virus strains in both the 2008 and 2009 SH influenza seasons. In the current study, &gt;</w:t>
      </w:r>
      <w:r w:rsidR="004C5A9D">
        <w:rPr>
          <w:lang w:eastAsia="ja-JP"/>
        </w:rPr>
        <w:t xml:space="preserve"> </w:t>
      </w:r>
      <w:r w:rsidRPr="00B03645">
        <w:rPr>
          <w:lang w:eastAsia="ja-JP"/>
        </w:rPr>
        <w:t>60% of laboratory-confirmed influenza infections were caused by virus strains that were not included in the seasonal vaccines. In 2008, A/H1N1 and B strains that were not matched to vaccine strains accounted for 37% of WHO Collaborating Centre isolates; in 2009, the pandemic A/H1N1 strain acco</w:t>
      </w:r>
      <w:r w:rsidR="004C5A9D">
        <w:rPr>
          <w:lang w:eastAsia="ja-JP"/>
        </w:rPr>
        <w:t xml:space="preserve">unted for approximately </w:t>
      </w:r>
      <w:r w:rsidRPr="00B03645">
        <w:rPr>
          <w:lang w:eastAsia="ja-JP"/>
        </w:rPr>
        <w:t xml:space="preserve">73% of WHO Collaborating Centre isolates. Despite the unanticipated mismatch between circulating influenza strains and vaccine strains in 2008 and 2009, this study confirmed that this IVV had significant clinical efficacy </w:t>
      </w:r>
      <w:r w:rsidRPr="00B03645">
        <w:rPr>
          <w:lang w:eastAsia="ja-JP"/>
        </w:rPr>
        <w:lastRenderedPageBreak/>
        <w:t xml:space="preserve">against infection caused by the vaccine influenza strains in both seasons. This result is further supported by the robust antibody responses elicited against all the vaccine strains, which would </w:t>
      </w:r>
      <w:r w:rsidR="004C5A9D" w:rsidRPr="00B03645">
        <w:rPr>
          <w:lang w:eastAsia="ja-JP"/>
        </w:rPr>
        <w:t>fulfil</w:t>
      </w:r>
      <w:r w:rsidRPr="00B03645">
        <w:rPr>
          <w:lang w:eastAsia="ja-JP"/>
        </w:rPr>
        <w:t xml:space="preserve"> international regulatory criteria for demonstrating immunogenicity.</w:t>
      </w:r>
    </w:p>
    <w:p w14:paraId="7F45E0F2" w14:textId="1910220C" w:rsidR="00B03645" w:rsidRPr="00B03645" w:rsidRDefault="00B03645" w:rsidP="004C5A9D">
      <w:pPr>
        <w:pStyle w:val="Heading6"/>
        <w:rPr>
          <w:lang w:eastAsia="ja-JP"/>
        </w:rPr>
      </w:pPr>
      <w:r w:rsidRPr="00B03645">
        <w:rPr>
          <w:lang w:eastAsia="ja-JP"/>
        </w:rPr>
        <w:t>Secondary analysis of vaccine efficacy: matched strains</w:t>
      </w:r>
    </w:p>
    <w:p w14:paraId="718AF65D" w14:textId="58DEC4D8" w:rsidR="00B03645" w:rsidRPr="00B03645" w:rsidRDefault="00B03645" w:rsidP="00B03645">
      <w:pPr>
        <w:rPr>
          <w:bCs/>
          <w:lang w:eastAsia="ja-JP"/>
        </w:rPr>
      </w:pPr>
      <w:r w:rsidRPr="00B03645">
        <w:rPr>
          <w:bCs/>
          <w:lang w:eastAsia="ja-JP"/>
        </w:rPr>
        <w:t>When laboratory-confirmed influenza infection caused by strains matched to those included in the vaccine was assessed, IVV was efficacious. During both the 2008 and 2009 influenza seasons, the overall incidence of laboratory-confirmed influenza infection due to vaccine-matched strains was lower in participants who had received IVV (0.59%) than in participants who had received placebo (1.47%). The efficacy of IVV for the prevention of laboratory-confirmed infection due to vaccine-matched strains during both seasons was 60%, with a lower bound of the CI of 41%. As the lower bound of the CI for vaccine matched efficacy exceeded 40%, the secondary vaccine e</w:t>
      </w:r>
      <w:r w:rsidR="004C5A9D">
        <w:rPr>
          <w:bCs/>
          <w:lang w:eastAsia="ja-JP"/>
        </w:rPr>
        <w:t>fficacy objective was achieved.</w:t>
      </w:r>
    </w:p>
    <w:p w14:paraId="37E47AA0" w14:textId="75328901" w:rsidR="00B03645" w:rsidRPr="004C5A9D" w:rsidRDefault="00B03645" w:rsidP="00B03645">
      <w:pPr>
        <w:rPr>
          <w:bCs/>
          <w:lang w:eastAsia="ja-JP"/>
        </w:rPr>
      </w:pPr>
      <w:r w:rsidRPr="00B03645">
        <w:rPr>
          <w:lang w:eastAsia="ja-JP"/>
        </w:rPr>
        <w:t>No safety concerns identified in the study.</w:t>
      </w:r>
    </w:p>
    <w:p w14:paraId="53411F5F" w14:textId="4D1F762B" w:rsidR="00B03645" w:rsidRDefault="00B03645" w:rsidP="005C347B">
      <w:pPr>
        <w:pStyle w:val="FigureTitle"/>
        <w:rPr>
          <w:lang w:eastAsia="ja-JP"/>
        </w:rPr>
      </w:pPr>
      <w:r w:rsidRPr="00B03645">
        <w:rPr>
          <w:lang w:eastAsia="ja-JP"/>
        </w:rPr>
        <w:t xml:space="preserve">Figure </w:t>
      </w:r>
      <w:r w:rsidR="00CF5FB1">
        <w:rPr>
          <w:lang w:eastAsia="ja-JP"/>
        </w:rPr>
        <w:t>5</w:t>
      </w:r>
      <w:r w:rsidR="00D055A4">
        <w:rPr>
          <w:lang w:eastAsia="ja-JP"/>
        </w:rPr>
        <w:t>. Study</w:t>
      </w:r>
      <w:r w:rsidRPr="00B03645">
        <w:rPr>
          <w:lang w:eastAsia="ja-JP"/>
        </w:rPr>
        <w:t xml:space="preserve"> CSLCT-USF-06-28 - </w:t>
      </w:r>
      <w:r w:rsidR="00D055A4">
        <w:rPr>
          <w:lang w:eastAsia="ja-JP"/>
        </w:rPr>
        <w:t>Proportion of participants achieving a HAI antibody t</w:t>
      </w:r>
      <w:r w:rsidRPr="00B03645">
        <w:rPr>
          <w:lang w:eastAsia="ja-JP"/>
        </w:rPr>
        <w:t xml:space="preserve">itre of </w:t>
      </w:r>
      <w:r w:rsidR="00E936A1">
        <w:rPr>
          <w:lang w:eastAsia="ja-JP"/>
        </w:rPr>
        <w:t xml:space="preserve">≥ </w:t>
      </w:r>
      <w:r w:rsidR="00D055A4">
        <w:rPr>
          <w:lang w:eastAsia="ja-JP"/>
        </w:rPr>
        <w:t>1:40 after vaccination, evaluable population for the immunogenicity a</w:t>
      </w:r>
      <w:r w:rsidRPr="00B03645">
        <w:rPr>
          <w:lang w:eastAsia="ja-JP"/>
        </w:rPr>
        <w:t>nalysis</w:t>
      </w:r>
    </w:p>
    <w:p w14:paraId="7F97149D" w14:textId="4C293FBB" w:rsidR="00D055A4" w:rsidRDefault="00D055A4" w:rsidP="00B30159">
      <w:pPr>
        <w:rPr>
          <w:b/>
          <w:bCs/>
          <w:lang w:eastAsia="ja-JP"/>
        </w:rPr>
      </w:pPr>
      <w:r w:rsidRPr="00D055A4">
        <w:rPr>
          <w:b/>
          <w:bCs/>
          <w:noProof/>
          <w:lang w:eastAsia="en-AU"/>
        </w:rPr>
        <w:drawing>
          <wp:inline distT="0" distB="0" distL="0" distR="0" wp14:anchorId="657EBAE7" wp14:editId="6861CCBC">
            <wp:extent cx="3995538" cy="1717040"/>
            <wp:effectExtent l="0" t="0" r="5080" b="0"/>
            <wp:docPr id="13" name="Picture 13" descr="&gt; 90% of participants recieving CSL's IVV achieved a HAI antibody titre of ≥ 1:40 after vaccination against H1N1 and H3N2-strains in both seasons (2008 and 2009), over double that for placebo. For the B-strain, approximately 75% (2008) and 90% (2009) of those receiving active vaccine versus approximately 10% (2008) and 30% (2009) for the placebo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42525" cy="1780206"/>
                    </a:xfrm>
                    <a:prstGeom prst="rect">
                      <a:avLst/>
                    </a:prstGeom>
                  </pic:spPr>
                </pic:pic>
              </a:graphicData>
            </a:graphic>
          </wp:inline>
        </w:drawing>
      </w:r>
    </w:p>
    <w:p w14:paraId="0B17506F" w14:textId="4B0540B0" w:rsidR="00B03645" w:rsidRDefault="00D055A4" w:rsidP="00B30159">
      <w:pPr>
        <w:pStyle w:val="FigureTitle"/>
        <w:rPr>
          <w:lang w:eastAsia="ja-JP"/>
        </w:rPr>
      </w:pPr>
      <w:r>
        <w:rPr>
          <w:bCs/>
          <w:lang w:eastAsia="ja-JP"/>
        </w:rPr>
        <w:t xml:space="preserve">Figure </w:t>
      </w:r>
      <w:r w:rsidR="00CF5FB1">
        <w:rPr>
          <w:bCs/>
          <w:lang w:eastAsia="ja-JP"/>
        </w:rPr>
        <w:t>6</w:t>
      </w:r>
      <w:r>
        <w:rPr>
          <w:bCs/>
          <w:lang w:eastAsia="ja-JP"/>
        </w:rPr>
        <w:t>.</w:t>
      </w:r>
      <w:r w:rsidR="00B03645" w:rsidRPr="00B03645">
        <w:rPr>
          <w:lang w:eastAsia="ja-JP"/>
        </w:rPr>
        <w:t xml:space="preserve"> </w:t>
      </w:r>
      <w:r>
        <w:rPr>
          <w:lang w:eastAsia="ja-JP"/>
        </w:rPr>
        <w:t xml:space="preserve">Study </w:t>
      </w:r>
      <w:r w:rsidR="00B03645" w:rsidRPr="00B03645">
        <w:rPr>
          <w:lang w:eastAsia="ja-JP"/>
        </w:rPr>
        <w:t xml:space="preserve">CSLCT-USF-06-28 - Proportion of </w:t>
      </w:r>
      <w:r>
        <w:rPr>
          <w:lang w:eastAsia="ja-JP"/>
        </w:rPr>
        <w:t>p</w:t>
      </w:r>
      <w:r w:rsidR="00B03645" w:rsidRPr="00B03645">
        <w:rPr>
          <w:lang w:eastAsia="ja-JP"/>
        </w:rPr>
        <w:t xml:space="preserve">articipants </w:t>
      </w:r>
      <w:r>
        <w:rPr>
          <w:lang w:eastAsia="ja-JP"/>
        </w:rPr>
        <w:t>a</w:t>
      </w:r>
      <w:r w:rsidR="00B03645" w:rsidRPr="00B03645">
        <w:rPr>
          <w:lang w:eastAsia="ja-JP"/>
        </w:rPr>
        <w:t xml:space="preserve">chieving </w:t>
      </w:r>
      <w:r>
        <w:rPr>
          <w:lang w:eastAsia="ja-JP"/>
        </w:rPr>
        <w:t>s</w:t>
      </w:r>
      <w:r w:rsidR="00B03645" w:rsidRPr="00B03645">
        <w:rPr>
          <w:lang w:eastAsia="ja-JP"/>
        </w:rPr>
        <w:t xml:space="preserve">eroconversion, </w:t>
      </w:r>
      <w:r>
        <w:rPr>
          <w:lang w:eastAsia="ja-JP"/>
        </w:rPr>
        <w:t>e</w:t>
      </w:r>
      <w:r w:rsidR="00B03645" w:rsidRPr="00B03645">
        <w:rPr>
          <w:lang w:eastAsia="ja-JP"/>
        </w:rPr>
        <w:t xml:space="preserve">valuable </w:t>
      </w:r>
      <w:r>
        <w:rPr>
          <w:lang w:eastAsia="ja-JP"/>
        </w:rPr>
        <w:t>p</w:t>
      </w:r>
      <w:r w:rsidR="00B03645" w:rsidRPr="00B03645">
        <w:rPr>
          <w:lang w:eastAsia="ja-JP"/>
        </w:rPr>
        <w:t xml:space="preserve">opulation for the </w:t>
      </w:r>
      <w:r>
        <w:rPr>
          <w:lang w:eastAsia="ja-JP"/>
        </w:rPr>
        <w:t>i</w:t>
      </w:r>
      <w:r w:rsidR="00B03645" w:rsidRPr="00B03645">
        <w:rPr>
          <w:lang w:eastAsia="ja-JP"/>
        </w:rPr>
        <w:t xml:space="preserve">mmunogenicity </w:t>
      </w:r>
      <w:r>
        <w:rPr>
          <w:lang w:eastAsia="ja-JP"/>
        </w:rPr>
        <w:t>a</w:t>
      </w:r>
      <w:r w:rsidR="00B03645" w:rsidRPr="00B03645">
        <w:rPr>
          <w:lang w:eastAsia="ja-JP"/>
        </w:rPr>
        <w:t>nalysis</w:t>
      </w:r>
    </w:p>
    <w:p w14:paraId="22F4C69C" w14:textId="73431DC2" w:rsidR="00664758" w:rsidRDefault="00664758" w:rsidP="00F50C7E">
      <w:pPr>
        <w:rPr>
          <w:lang w:eastAsia="ja-JP"/>
        </w:rPr>
      </w:pPr>
      <w:r w:rsidRPr="00664758">
        <w:rPr>
          <w:noProof/>
          <w:lang w:eastAsia="en-AU"/>
        </w:rPr>
        <w:drawing>
          <wp:inline distT="0" distB="0" distL="0" distR="0" wp14:anchorId="70D9899E" wp14:editId="6F2AE8E4">
            <wp:extent cx="4147185" cy="1568785"/>
            <wp:effectExtent l="0" t="0" r="5715" b="0"/>
            <wp:docPr id="22" name="Picture 22" descr="Approximately 80 to 85% of those recieving active vaccine achieved seroconversion for both seasons for the influenza A strains, and 60% for the influenze b strain. In comparison, almost no participants in the placebo group achieved seroco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81321" cy="1581698"/>
                    </a:xfrm>
                    <a:prstGeom prst="rect">
                      <a:avLst/>
                    </a:prstGeom>
                  </pic:spPr>
                </pic:pic>
              </a:graphicData>
            </a:graphic>
          </wp:inline>
        </w:drawing>
      </w:r>
    </w:p>
    <w:p w14:paraId="69E0A5E0" w14:textId="238F7D73" w:rsidR="00B03645" w:rsidRDefault="00E7765F" w:rsidP="00286E4A">
      <w:pPr>
        <w:pStyle w:val="FigureTitle"/>
        <w:rPr>
          <w:lang w:eastAsia="ja-JP"/>
        </w:rPr>
      </w:pPr>
      <w:proofErr w:type="gramStart"/>
      <w:r>
        <w:rPr>
          <w:bCs/>
          <w:lang w:eastAsia="ja-JP"/>
        </w:rPr>
        <w:t xml:space="preserve">Figure </w:t>
      </w:r>
      <w:r w:rsidR="00CF5FB1">
        <w:rPr>
          <w:bCs/>
          <w:lang w:eastAsia="ja-JP"/>
        </w:rPr>
        <w:t>7</w:t>
      </w:r>
      <w:r>
        <w:rPr>
          <w:bCs/>
          <w:lang w:eastAsia="ja-JP"/>
        </w:rPr>
        <w:t>.</w:t>
      </w:r>
      <w:proofErr w:type="gramEnd"/>
      <w:r w:rsidR="00B03645" w:rsidRPr="00B03645">
        <w:rPr>
          <w:bCs/>
          <w:lang w:eastAsia="ja-JP"/>
        </w:rPr>
        <w:t xml:space="preserve"> </w:t>
      </w:r>
      <w:r>
        <w:rPr>
          <w:bCs/>
          <w:lang w:eastAsia="ja-JP"/>
        </w:rPr>
        <w:t xml:space="preserve">Study </w:t>
      </w:r>
      <w:r w:rsidR="00B03645" w:rsidRPr="00B03645">
        <w:rPr>
          <w:lang w:eastAsia="ja-JP"/>
        </w:rPr>
        <w:t xml:space="preserve">CSLCT-USF-06-28 </w:t>
      </w:r>
      <w:r>
        <w:rPr>
          <w:lang w:eastAsia="ja-JP"/>
        </w:rPr>
        <w:t xml:space="preserve">- </w:t>
      </w:r>
      <w:r w:rsidR="00286E4A">
        <w:rPr>
          <w:lang w:eastAsia="ja-JP"/>
        </w:rPr>
        <w:t>G</w:t>
      </w:r>
      <w:r>
        <w:rPr>
          <w:lang w:eastAsia="ja-JP"/>
        </w:rPr>
        <w:t>eometric mean fold increase in HAI antibody titre, evaluable population for the i</w:t>
      </w:r>
      <w:r w:rsidR="00B03645" w:rsidRPr="00B03645">
        <w:rPr>
          <w:lang w:eastAsia="ja-JP"/>
        </w:rPr>
        <w:t xml:space="preserve">mmunogenicity </w:t>
      </w:r>
      <w:r>
        <w:rPr>
          <w:lang w:eastAsia="ja-JP"/>
        </w:rPr>
        <w:t>a</w:t>
      </w:r>
      <w:r w:rsidR="00B03645" w:rsidRPr="00B03645">
        <w:rPr>
          <w:lang w:eastAsia="ja-JP"/>
        </w:rPr>
        <w:t>nalysis</w:t>
      </w:r>
    </w:p>
    <w:p w14:paraId="6A487EE7" w14:textId="0526CECE" w:rsidR="00B03645" w:rsidRPr="00E7765F" w:rsidRDefault="00E7765F" w:rsidP="00B03645">
      <w:pPr>
        <w:rPr>
          <w:b/>
          <w:lang w:eastAsia="ja-JP"/>
        </w:rPr>
      </w:pPr>
      <w:r w:rsidRPr="00E7765F">
        <w:rPr>
          <w:b/>
          <w:noProof/>
          <w:lang w:eastAsia="en-AU"/>
        </w:rPr>
        <w:drawing>
          <wp:inline distT="0" distB="0" distL="0" distR="0" wp14:anchorId="56AFF468" wp14:editId="04BF62CE">
            <wp:extent cx="4496435" cy="1689826"/>
            <wp:effectExtent l="0" t="0" r="0" b="5715"/>
            <wp:docPr id="15" name="Picture 15" descr="The GMFI for the vaccine treated group was approximately double (10-fold increase) relative to the placebo treated group, for all strains in both s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50856" cy="1710278"/>
                    </a:xfrm>
                    <a:prstGeom prst="rect">
                      <a:avLst/>
                    </a:prstGeom>
                  </pic:spPr>
                </pic:pic>
              </a:graphicData>
            </a:graphic>
          </wp:inline>
        </w:drawing>
      </w:r>
    </w:p>
    <w:p w14:paraId="6D12EEAC" w14:textId="7979FE5B" w:rsidR="004C5A9D" w:rsidRDefault="004C5A9D" w:rsidP="004C5A9D">
      <w:pPr>
        <w:pStyle w:val="Heading5"/>
        <w:rPr>
          <w:lang w:eastAsia="ja-JP"/>
        </w:rPr>
      </w:pPr>
      <w:r>
        <w:rPr>
          <w:lang w:eastAsia="ja-JP"/>
        </w:rPr>
        <w:lastRenderedPageBreak/>
        <w:t>Safety results</w:t>
      </w:r>
    </w:p>
    <w:p w14:paraId="7A395FC5" w14:textId="57F7671B" w:rsidR="00B03645" w:rsidRPr="00B03645" w:rsidRDefault="00B03645" w:rsidP="00B03645">
      <w:pPr>
        <w:rPr>
          <w:lang w:eastAsia="ja-JP"/>
        </w:rPr>
      </w:pPr>
      <w:r w:rsidRPr="00B03645">
        <w:rPr>
          <w:lang w:eastAsia="ja-JP"/>
        </w:rPr>
        <w:t xml:space="preserve">These are discussed briefly. No vaccine-related deaths or SAEs. Of the 134 NOCIs reported, 3 considered possibly related to study vaccine (nasal congestion, ulcerative colitis and proctitis) by the investigator. There were 8 withdrawals from the study due to safety-related events: 7 withdrawn because of unrelated SAEs and one withdrawn because of an unrelated NOCI. Halting rules were triggered seven times during the 2008 season because of seven single cases of allergic events. After review of these cases, the DMC considered the events to be expected and of a nature that did not warrant </w:t>
      </w:r>
      <w:r w:rsidR="004C5A9D" w:rsidRPr="00B03645">
        <w:rPr>
          <w:lang w:eastAsia="ja-JP"/>
        </w:rPr>
        <w:t>enrolment</w:t>
      </w:r>
      <w:r w:rsidRPr="00B03645">
        <w:rPr>
          <w:lang w:eastAsia="ja-JP"/>
        </w:rPr>
        <w:t xml:space="preserve"> halt. Three deaths, assessed as unrelated to study vaccine. Significant AEs included 160 unrelated SAEs (including the three that led to death) that were reported by 144 participants (IVV group: 1.0%; placebo group: 0.9%) and 134 NOCIs reported for 126 participants (IVV group: 0.8%; placebo group: 0.9%).</w:t>
      </w:r>
    </w:p>
    <w:p w14:paraId="61B0AD1D" w14:textId="7F27C8C3" w:rsidR="004C5A9D" w:rsidRDefault="004C5A9D" w:rsidP="004C5A9D">
      <w:pPr>
        <w:pStyle w:val="Heading6"/>
        <w:rPr>
          <w:lang w:eastAsia="ja-JP"/>
        </w:rPr>
      </w:pPr>
      <w:r>
        <w:rPr>
          <w:lang w:eastAsia="ja-JP"/>
        </w:rPr>
        <w:t>Solicited local adverse e</w:t>
      </w:r>
      <w:r w:rsidR="00B03645" w:rsidRPr="00B03645">
        <w:rPr>
          <w:lang w:eastAsia="ja-JP"/>
        </w:rPr>
        <w:t>vents</w:t>
      </w:r>
    </w:p>
    <w:p w14:paraId="061C1270" w14:textId="51EE1CE8" w:rsidR="00B03645" w:rsidRPr="00B03645" w:rsidRDefault="00B03645" w:rsidP="00B03645">
      <w:pPr>
        <w:rPr>
          <w:b/>
          <w:bCs/>
          <w:i/>
          <w:iCs/>
          <w:lang w:eastAsia="ja-JP"/>
        </w:rPr>
      </w:pPr>
      <w:r w:rsidRPr="00B03645">
        <w:rPr>
          <w:lang w:eastAsia="ja-JP"/>
        </w:rPr>
        <w:t>Both IVV and placebo generally well tolerated. More participants in the IVV group</w:t>
      </w:r>
      <w:r w:rsidRPr="00B03645">
        <w:rPr>
          <w:b/>
          <w:bCs/>
          <w:i/>
          <w:iCs/>
          <w:lang w:eastAsia="ja-JP"/>
        </w:rPr>
        <w:t xml:space="preserve"> </w:t>
      </w:r>
      <w:r w:rsidRPr="00B03645">
        <w:rPr>
          <w:lang w:eastAsia="ja-JP"/>
        </w:rPr>
        <w:t>than placebo group reported solicited local AEs (IVV group: 74.6% of subjects; placebo: 20.4% of subjects). The majority of local AEs were mild in intensity. Most frequently reported solicited local AEs in both vaccine groups were injection-site tenderness and pain.</w:t>
      </w:r>
    </w:p>
    <w:p w14:paraId="545A07EE" w14:textId="77777777" w:rsidR="004C5A9D" w:rsidRDefault="004C5A9D" w:rsidP="004C5A9D">
      <w:pPr>
        <w:pStyle w:val="Heading6"/>
        <w:rPr>
          <w:lang w:eastAsia="ja-JP"/>
        </w:rPr>
      </w:pPr>
      <w:r>
        <w:rPr>
          <w:lang w:eastAsia="ja-JP"/>
        </w:rPr>
        <w:t>Solicited systemic adverse e</w:t>
      </w:r>
      <w:r w:rsidR="00B03645" w:rsidRPr="00B03645">
        <w:rPr>
          <w:lang w:eastAsia="ja-JP"/>
        </w:rPr>
        <w:t>vents</w:t>
      </w:r>
    </w:p>
    <w:p w14:paraId="7DFC0E8D" w14:textId="10F60C2E" w:rsidR="00B03645" w:rsidRPr="00B03645" w:rsidRDefault="00B03645" w:rsidP="00B03645">
      <w:pPr>
        <w:rPr>
          <w:b/>
          <w:bCs/>
          <w:i/>
          <w:iCs/>
          <w:lang w:eastAsia="ja-JP"/>
        </w:rPr>
      </w:pPr>
      <w:r w:rsidRPr="00B03645">
        <w:rPr>
          <w:lang w:eastAsia="ja-JP"/>
        </w:rPr>
        <w:t>More participants in the IVV group than placebo reported sol</w:t>
      </w:r>
      <w:r w:rsidR="007A33EF">
        <w:rPr>
          <w:lang w:eastAsia="ja-JP"/>
        </w:rPr>
        <w:t>icited systemic AEs (IVV group: </w:t>
      </w:r>
      <w:r w:rsidRPr="00B03645">
        <w:rPr>
          <w:lang w:eastAsia="ja-JP"/>
        </w:rPr>
        <w:t>46.6% of participants; placebo group: 39.1% of participants). Most frequently reported solicited systemic AEs in both vaccine groups were malaise, headache and myalgia. Majority of solicited AEs were graded mild in intensity and short-lived.</w:t>
      </w:r>
    </w:p>
    <w:p w14:paraId="6B898204" w14:textId="558C97E3" w:rsidR="007A33EF" w:rsidRDefault="00B03645" w:rsidP="007A33EF">
      <w:pPr>
        <w:pStyle w:val="Heading6"/>
        <w:rPr>
          <w:lang w:eastAsia="ja-JP"/>
        </w:rPr>
      </w:pPr>
      <w:r w:rsidRPr="00B03645">
        <w:rPr>
          <w:lang w:eastAsia="ja-JP"/>
        </w:rPr>
        <w:t xml:space="preserve">Unsolicited </w:t>
      </w:r>
      <w:r w:rsidR="007A33EF">
        <w:rPr>
          <w:lang w:eastAsia="ja-JP"/>
        </w:rPr>
        <w:t>adverse e</w:t>
      </w:r>
      <w:r w:rsidRPr="00B03645">
        <w:rPr>
          <w:lang w:eastAsia="ja-JP"/>
        </w:rPr>
        <w:t>vents</w:t>
      </w:r>
    </w:p>
    <w:p w14:paraId="49C73C72" w14:textId="154DB696" w:rsidR="00B03645" w:rsidRPr="00B03645" w:rsidRDefault="00B03645" w:rsidP="00B03645">
      <w:pPr>
        <w:rPr>
          <w:b/>
          <w:bCs/>
          <w:i/>
          <w:iCs/>
          <w:lang w:eastAsia="ja-JP"/>
        </w:rPr>
      </w:pPr>
      <w:r w:rsidRPr="00B03645">
        <w:rPr>
          <w:lang w:eastAsia="ja-JP"/>
        </w:rPr>
        <w:t>Frequency of unsolicited AEs similar between vaccine groups. Unsolicited AEs were reported by 34.7% participants and of these, 4.5% participants had unsolicited AEs considered related to study vaccine. The most frequently reported unsolicited AE reported in both vaccine groups was headache.</w:t>
      </w:r>
    </w:p>
    <w:p w14:paraId="7B66B9C0" w14:textId="77777777" w:rsidR="00B03645" w:rsidRPr="00B03645" w:rsidRDefault="00B03645" w:rsidP="00892866">
      <w:pPr>
        <w:pStyle w:val="Heading3"/>
      </w:pPr>
      <w:bookmarkStart w:id="46" w:name="_Toc241374312"/>
      <w:bookmarkStart w:id="47" w:name="_Toc272414656"/>
      <w:bookmarkStart w:id="48" w:name="_Toc290846281"/>
      <w:bookmarkStart w:id="49" w:name="_Toc448702505"/>
      <w:bookmarkStart w:id="50" w:name="_Toc490579723"/>
      <w:r w:rsidRPr="00B03645">
        <w:t>Analyses performed across trials (pooled analyses and meta-analyses)</w:t>
      </w:r>
      <w:bookmarkEnd w:id="46"/>
      <w:bookmarkEnd w:id="47"/>
      <w:bookmarkEnd w:id="48"/>
      <w:bookmarkEnd w:id="49"/>
      <w:bookmarkEnd w:id="50"/>
    </w:p>
    <w:p w14:paraId="2EF100DF" w14:textId="483D6B0C" w:rsidR="00B03645" w:rsidRPr="00B03645" w:rsidRDefault="00B03645" w:rsidP="00B03645">
      <w:pPr>
        <w:rPr>
          <w:lang w:eastAsia="ja-JP"/>
        </w:rPr>
      </w:pPr>
      <w:r w:rsidRPr="00B03645">
        <w:rPr>
          <w:lang w:eastAsia="ja-JP"/>
        </w:rPr>
        <w:t>There was no pooled anal</w:t>
      </w:r>
      <w:r w:rsidR="007A33EF">
        <w:rPr>
          <w:lang w:eastAsia="ja-JP"/>
        </w:rPr>
        <w:t>ysis or meta-analysis provided.</w:t>
      </w:r>
    </w:p>
    <w:p w14:paraId="6EBB4A3E" w14:textId="6F73DA6E" w:rsidR="00B03645" w:rsidRPr="00B03645" w:rsidRDefault="00B03645" w:rsidP="00B03645">
      <w:pPr>
        <w:pStyle w:val="Heading3"/>
        <w:rPr>
          <w:rFonts w:eastAsia="Cambria"/>
        </w:rPr>
      </w:pPr>
      <w:bookmarkStart w:id="51" w:name="_Ref271126605"/>
      <w:bookmarkStart w:id="52" w:name="_Toc272414657"/>
      <w:bookmarkStart w:id="53" w:name="_Toc290846282"/>
      <w:bookmarkStart w:id="54" w:name="_Toc448702506"/>
      <w:bookmarkStart w:id="55" w:name="_Toc490579724"/>
      <w:r w:rsidRPr="00B03645">
        <w:rPr>
          <w:rFonts w:eastAsia="Cambria"/>
        </w:rPr>
        <w:t xml:space="preserve">Evaluator’s conclusions on </w:t>
      </w:r>
      <w:r w:rsidR="00892866">
        <w:rPr>
          <w:rFonts w:eastAsia="Cambria"/>
        </w:rPr>
        <w:t xml:space="preserve">the </w:t>
      </w:r>
      <w:r w:rsidRPr="00B03645">
        <w:rPr>
          <w:rFonts w:eastAsia="Cambria"/>
        </w:rPr>
        <w:t>clinical efficacy</w:t>
      </w:r>
      <w:bookmarkEnd w:id="51"/>
      <w:bookmarkEnd w:id="52"/>
      <w:bookmarkEnd w:id="53"/>
      <w:bookmarkEnd w:id="54"/>
      <w:r w:rsidR="00892866">
        <w:rPr>
          <w:rFonts w:eastAsia="Cambria"/>
        </w:rPr>
        <w:t xml:space="preserve"> of the vaccine</w:t>
      </w:r>
      <w:bookmarkEnd w:id="55"/>
    </w:p>
    <w:p w14:paraId="221C278F" w14:textId="32976ECD" w:rsidR="00B03645" w:rsidRPr="00586F98" w:rsidRDefault="00B03645" w:rsidP="00C22678">
      <w:pPr>
        <w:rPr>
          <w:lang w:eastAsia="ja-JP"/>
        </w:rPr>
      </w:pPr>
      <w:r w:rsidRPr="00B03645">
        <w:rPr>
          <w:lang w:eastAsia="ja-JP"/>
        </w:rPr>
        <w:t xml:space="preserve">QIV has demonstrable immunogenicity in a US population of adults aged </w:t>
      </w:r>
      <w:r w:rsidR="00E936A1">
        <w:rPr>
          <w:lang w:eastAsia="ja-JP"/>
        </w:rPr>
        <w:t xml:space="preserve">≥ </w:t>
      </w:r>
      <w:r w:rsidRPr="00B03645">
        <w:rPr>
          <w:lang w:eastAsia="ja-JP"/>
        </w:rPr>
        <w:t>18 years, based on th</w:t>
      </w:r>
      <w:r w:rsidR="00050E9E">
        <w:rPr>
          <w:lang w:eastAsia="ja-JP"/>
        </w:rPr>
        <w:t>e non-inferiority (for the 8 co-</w:t>
      </w:r>
      <w:r w:rsidRPr="00B03645">
        <w:rPr>
          <w:lang w:eastAsia="ja-JP"/>
        </w:rPr>
        <w:t xml:space="preserve">primary endpoints of HAI GMT and SCRs) of the four strains included in QIV, compared to two TIV formulations, and superiority for the QIV B strains not included in each of the two TIV comparator formulations. Non-inferiority and superiority (according to the study defined criteria for different strains and study vaccines) were also met for both the serological endpoints of HI GMT and SCR in the </w:t>
      </w:r>
      <w:r w:rsidR="007A33EF">
        <w:rPr>
          <w:lang w:eastAsia="ja-JP"/>
        </w:rPr>
        <w:t>two age cohorts (adults aged 18 to </w:t>
      </w:r>
      <w:r w:rsidRPr="00B03645">
        <w:rPr>
          <w:lang w:eastAsia="ja-JP"/>
        </w:rPr>
        <w:t xml:space="preserve">64 years and </w:t>
      </w:r>
      <w:r w:rsidR="00E936A1">
        <w:rPr>
          <w:lang w:eastAsia="ja-JP"/>
        </w:rPr>
        <w:t xml:space="preserve">≥ </w:t>
      </w:r>
      <w:r w:rsidR="000620D5">
        <w:rPr>
          <w:lang w:eastAsia="ja-JP"/>
        </w:rPr>
        <w:t xml:space="preserve">65 years). </w:t>
      </w:r>
      <w:r w:rsidRPr="00B03645">
        <w:rPr>
          <w:lang w:eastAsia="ja-JP"/>
        </w:rPr>
        <w:t xml:space="preserve">Additional descriptive secondary immunogenicity endpoints including percentage with an HAI titre </w:t>
      </w:r>
      <w:r w:rsidR="00E936A1">
        <w:rPr>
          <w:lang w:eastAsia="ja-JP"/>
        </w:rPr>
        <w:t xml:space="preserve">≥ </w:t>
      </w:r>
      <w:r w:rsidRPr="00B03645">
        <w:rPr>
          <w:lang w:eastAsia="ja-JP"/>
        </w:rPr>
        <w:t>40 (seroprotection rates), SCRs and GMFIs by study vaccine and age cohort were analysed. In general, results were similar between different study vaccines within each age cohort for A strain results, and when the vaccine-in</w:t>
      </w:r>
      <w:r w:rsidR="007A33EF">
        <w:rPr>
          <w:lang w:eastAsia="ja-JP"/>
        </w:rPr>
        <w:t xml:space="preserve">cluded B strains were matched. </w:t>
      </w:r>
      <w:r w:rsidRPr="00B03645">
        <w:rPr>
          <w:lang w:eastAsia="ja-JP"/>
        </w:rPr>
        <w:t>Post</w:t>
      </w:r>
      <w:r w:rsidR="007A33EF">
        <w:rPr>
          <w:lang w:eastAsia="ja-JP"/>
        </w:rPr>
        <w:t>-</w:t>
      </w:r>
      <w:r w:rsidRPr="00B03645">
        <w:rPr>
          <w:lang w:eastAsia="ja-JP"/>
        </w:rPr>
        <w:t>vaccination seroprotection rates for the A strains were very high (</w:t>
      </w:r>
      <w:r w:rsidR="00E936A1">
        <w:rPr>
          <w:lang w:eastAsia="ja-JP"/>
        </w:rPr>
        <w:t xml:space="preserve">≥ </w:t>
      </w:r>
      <w:r w:rsidRPr="00B03645">
        <w:rPr>
          <w:lang w:eastAsia="ja-JP"/>
        </w:rPr>
        <w:t>95%) and similar in both age cohorts. For the B strains post</w:t>
      </w:r>
      <w:r w:rsidR="007A33EF">
        <w:rPr>
          <w:lang w:eastAsia="ja-JP"/>
        </w:rPr>
        <w:t>-</w:t>
      </w:r>
      <w:r w:rsidRPr="00B03645">
        <w:rPr>
          <w:lang w:eastAsia="ja-JP"/>
        </w:rPr>
        <w:t>vaccination seroprotection rates for subjects in the older age cohort (</w:t>
      </w:r>
      <w:r w:rsidR="00E936A1">
        <w:rPr>
          <w:lang w:eastAsia="ja-JP"/>
        </w:rPr>
        <w:t xml:space="preserve">≥ </w:t>
      </w:r>
      <w:r w:rsidRPr="00B03645">
        <w:rPr>
          <w:lang w:eastAsia="ja-JP"/>
        </w:rPr>
        <w:t>65 years of age) w</w:t>
      </w:r>
      <w:r w:rsidR="007A33EF">
        <w:rPr>
          <w:lang w:eastAsia="ja-JP"/>
        </w:rPr>
        <w:t>ere lower than those in the 18 to </w:t>
      </w:r>
      <w:r w:rsidRPr="00B03645">
        <w:rPr>
          <w:lang w:eastAsia="ja-JP"/>
        </w:rPr>
        <w:t xml:space="preserve">64 years of age cohort, even when the B strains were matched. Seroconversion rates in the overall study population of adults </w:t>
      </w:r>
      <w:r w:rsidR="00E936A1">
        <w:rPr>
          <w:lang w:eastAsia="ja-JP"/>
        </w:rPr>
        <w:t xml:space="preserve">≥ </w:t>
      </w:r>
      <w:r w:rsidRPr="00B03645">
        <w:rPr>
          <w:lang w:eastAsia="ja-JP"/>
        </w:rPr>
        <w:t>18 years we</w:t>
      </w:r>
      <w:r w:rsidR="007A33EF">
        <w:rPr>
          <w:lang w:eastAsia="ja-JP"/>
        </w:rPr>
        <w:t xml:space="preserve">re generally in the range of 30 to </w:t>
      </w:r>
      <w:r w:rsidRPr="00B03645">
        <w:rPr>
          <w:lang w:eastAsia="ja-JP"/>
        </w:rPr>
        <w:t xml:space="preserve">40% for both A strains and </w:t>
      </w:r>
      <w:r w:rsidRPr="00B03645">
        <w:rPr>
          <w:lang w:eastAsia="ja-JP"/>
        </w:rPr>
        <w:lastRenderedPageBreak/>
        <w:t xml:space="preserve">vaccine matched B strains. However, SCRs for subjects in the older age cohort </w:t>
      </w:r>
      <w:r w:rsidR="00E936A1">
        <w:rPr>
          <w:lang w:eastAsia="ja-JP"/>
        </w:rPr>
        <w:t xml:space="preserve">≥ </w:t>
      </w:r>
      <w:r w:rsidRPr="00B03645">
        <w:rPr>
          <w:lang w:eastAsia="ja-JP"/>
        </w:rPr>
        <w:t>65 years were lower than the younger age cohort for all strains, even when the B strains were matched. One of the explanations for this is this is a study population that have had high rates of influenza vaccination in the previous 12 months. This pivotal study for QIV was not powered for clinical efficacy and at best, it is anticipated that clinical efficacy of QIV will be similar to that demonstrated for TIV for vaccine included and matched strains (around 60%)</w:t>
      </w:r>
      <w:r>
        <w:rPr>
          <w:lang w:eastAsia="ja-JP"/>
        </w:rPr>
        <w:t>.</w:t>
      </w:r>
    </w:p>
    <w:p w14:paraId="2D265651" w14:textId="77777777" w:rsidR="00C22678" w:rsidRDefault="00C22678" w:rsidP="00C22678">
      <w:pPr>
        <w:pStyle w:val="Heading2"/>
      </w:pPr>
      <w:bookmarkStart w:id="56" w:name="_Toc490579725"/>
      <w:r>
        <w:t>Clinical safety</w:t>
      </w:r>
      <w:bookmarkEnd w:id="56"/>
    </w:p>
    <w:p w14:paraId="11F4A107" w14:textId="77777777" w:rsidR="00CD7C9A" w:rsidRPr="00CD7C9A" w:rsidRDefault="00CD7C9A" w:rsidP="007A33EF">
      <w:pPr>
        <w:pStyle w:val="Heading3"/>
      </w:pPr>
      <w:bookmarkStart w:id="57" w:name="_Toc272414659"/>
      <w:bookmarkStart w:id="58" w:name="_Toc290846284"/>
      <w:bookmarkStart w:id="59" w:name="_Toc448702508"/>
      <w:bookmarkStart w:id="60" w:name="_Toc490579726"/>
      <w:r w:rsidRPr="00CD7C9A">
        <w:t>Studies providing evaluable safety data</w:t>
      </w:r>
      <w:bookmarkEnd w:id="57"/>
      <w:bookmarkEnd w:id="58"/>
      <w:bookmarkEnd w:id="59"/>
      <w:bookmarkEnd w:id="60"/>
    </w:p>
    <w:p w14:paraId="70D23C7E" w14:textId="24CB104E" w:rsidR="00CD7C9A" w:rsidRPr="00CD7C9A" w:rsidRDefault="00CD7C9A" w:rsidP="00CD7C9A">
      <w:pPr>
        <w:rPr>
          <w:lang w:eastAsia="ja-JP"/>
        </w:rPr>
      </w:pPr>
      <w:bookmarkStart w:id="61" w:name="_Ref268776745"/>
      <w:r w:rsidRPr="00CD7C9A">
        <w:rPr>
          <w:lang w:eastAsia="ja-JP"/>
        </w:rPr>
        <w:t xml:space="preserve">There is one key study, </w:t>
      </w:r>
      <w:r w:rsidR="007A33EF" w:rsidRPr="007A33EF">
        <w:rPr>
          <w:lang w:eastAsia="ja-JP"/>
        </w:rPr>
        <w:t xml:space="preserve">Study </w:t>
      </w:r>
      <w:r w:rsidRPr="007A33EF">
        <w:rPr>
          <w:lang w:eastAsia="ja-JP"/>
        </w:rPr>
        <w:t>CSLCT-QIV-13-01</w:t>
      </w:r>
      <w:r w:rsidRPr="00CD7C9A">
        <w:rPr>
          <w:lang w:eastAsia="ja-JP"/>
        </w:rPr>
        <w:t xml:space="preserve">, described in </w:t>
      </w:r>
      <w:r w:rsidR="007A33EF">
        <w:rPr>
          <w:lang w:eastAsia="ja-JP"/>
        </w:rPr>
        <w:t>Section 7 above,</w:t>
      </w:r>
      <w:r w:rsidRPr="00CD7C9A">
        <w:rPr>
          <w:lang w:eastAsia="ja-JP"/>
        </w:rPr>
        <w:t xml:space="preserve"> </w:t>
      </w:r>
      <w:r w:rsidR="00E7765F">
        <w:rPr>
          <w:lang w:eastAsia="ja-JP"/>
        </w:rPr>
        <w:t xml:space="preserve">that </w:t>
      </w:r>
      <w:r w:rsidRPr="00CD7C9A">
        <w:rPr>
          <w:lang w:eastAsia="ja-JP"/>
        </w:rPr>
        <w:t xml:space="preserve">provided evaluable safety data for </w:t>
      </w:r>
      <w:r w:rsidRPr="007A33EF">
        <w:rPr>
          <w:lang w:eastAsia="ja-JP"/>
        </w:rPr>
        <w:t>the QIV.</w:t>
      </w:r>
      <w:r w:rsidRPr="00CD7C9A">
        <w:rPr>
          <w:lang w:eastAsia="ja-JP"/>
        </w:rPr>
        <w:t xml:space="preserve"> </w:t>
      </w:r>
      <w:bookmarkEnd w:id="61"/>
      <w:r w:rsidRPr="00CD7C9A">
        <w:rPr>
          <w:lang w:eastAsia="ja-JP"/>
        </w:rPr>
        <w:t xml:space="preserve">The other two supporting studies described in </w:t>
      </w:r>
      <w:r w:rsidRPr="007A33EF">
        <w:rPr>
          <w:lang w:eastAsia="ja-JP"/>
        </w:rPr>
        <w:t>Section 7</w:t>
      </w:r>
      <w:r w:rsidRPr="00CD7C9A">
        <w:rPr>
          <w:lang w:eastAsia="ja-JP"/>
        </w:rPr>
        <w:t xml:space="preserve"> do not utilise the QIV and as such the </w:t>
      </w:r>
      <w:r w:rsidR="007A33EF">
        <w:rPr>
          <w:lang w:eastAsia="ja-JP"/>
        </w:rPr>
        <w:t>clinical evaluator</w:t>
      </w:r>
      <w:r w:rsidRPr="00CD7C9A">
        <w:rPr>
          <w:lang w:eastAsia="ja-JP"/>
        </w:rPr>
        <w:t xml:space="preserve"> has opted to describe the safety data for these briefly in </w:t>
      </w:r>
      <w:r w:rsidR="007A33EF">
        <w:rPr>
          <w:lang w:eastAsia="ja-JP"/>
        </w:rPr>
        <w:t>Section 7.</w:t>
      </w:r>
    </w:p>
    <w:p w14:paraId="4C679B65" w14:textId="77777777" w:rsidR="00CD7C9A" w:rsidRPr="00CD7C9A" w:rsidRDefault="00CD7C9A" w:rsidP="007A33EF">
      <w:pPr>
        <w:pStyle w:val="Heading4"/>
      </w:pPr>
      <w:r w:rsidRPr="00CD7C9A">
        <w:t>Safety reporting</w:t>
      </w:r>
    </w:p>
    <w:p w14:paraId="3DC141A4" w14:textId="5282A2D5" w:rsidR="00CD7C9A" w:rsidRPr="00CD7C9A" w:rsidRDefault="007A33EF" w:rsidP="00CD7C9A">
      <w:pPr>
        <w:rPr>
          <w:b/>
          <w:bCs/>
          <w:lang w:eastAsia="ja-JP"/>
        </w:rPr>
      </w:pPr>
      <w:r w:rsidRPr="007A33EF">
        <w:rPr>
          <w:bCs/>
          <w:i/>
          <w:lang w:eastAsia="ja-JP"/>
        </w:rPr>
        <w:t>Adverse event (</w:t>
      </w:r>
      <w:r w:rsidR="00CD7C9A" w:rsidRPr="007A33EF">
        <w:rPr>
          <w:bCs/>
          <w:i/>
          <w:lang w:eastAsia="ja-JP"/>
        </w:rPr>
        <w:t>AE</w:t>
      </w:r>
      <w:r w:rsidRPr="007A33EF">
        <w:rPr>
          <w:bCs/>
          <w:i/>
          <w:lang w:eastAsia="ja-JP"/>
        </w:rPr>
        <w:t>)</w:t>
      </w:r>
      <w:r w:rsidR="00CD7C9A" w:rsidRPr="007A33EF">
        <w:rPr>
          <w:bCs/>
          <w:i/>
          <w:lang w:eastAsia="ja-JP"/>
        </w:rPr>
        <w:t>:</w:t>
      </w:r>
      <w:r w:rsidR="00CD7C9A" w:rsidRPr="00CD7C9A">
        <w:rPr>
          <w:b/>
          <w:bCs/>
          <w:lang w:eastAsia="ja-JP"/>
        </w:rPr>
        <w:t xml:space="preserve"> </w:t>
      </w:r>
      <w:r w:rsidR="00CD7C9A" w:rsidRPr="00CD7C9A">
        <w:rPr>
          <w:lang w:eastAsia="ja-JP"/>
        </w:rPr>
        <w:t>an AE is any untoward</w:t>
      </w:r>
      <w:r w:rsidR="00CD7C9A" w:rsidRPr="00CD7C9A">
        <w:rPr>
          <w:i/>
          <w:iCs/>
          <w:lang w:eastAsia="ja-JP"/>
        </w:rPr>
        <w:t xml:space="preserve"> </w:t>
      </w:r>
      <w:r w:rsidR="00CD7C9A" w:rsidRPr="00CD7C9A">
        <w:rPr>
          <w:lang w:eastAsia="ja-JP"/>
        </w:rPr>
        <w:t>medical occurrence in a patient or clinical investigation subject administered a</w:t>
      </w:r>
      <w:r w:rsidR="00CD7C9A" w:rsidRPr="00CD7C9A">
        <w:rPr>
          <w:i/>
          <w:iCs/>
          <w:lang w:eastAsia="ja-JP"/>
        </w:rPr>
        <w:t xml:space="preserve"> </w:t>
      </w:r>
      <w:r w:rsidR="00CD7C9A" w:rsidRPr="00CD7C9A">
        <w:rPr>
          <w:lang w:eastAsia="ja-JP"/>
        </w:rPr>
        <w:t>pharmaceutical product and which does not necessarily have a causal relationship with this</w:t>
      </w:r>
      <w:r w:rsidR="00CD7C9A" w:rsidRPr="00CD7C9A">
        <w:rPr>
          <w:i/>
          <w:iCs/>
          <w:lang w:eastAsia="ja-JP"/>
        </w:rPr>
        <w:t xml:space="preserve"> </w:t>
      </w:r>
      <w:r w:rsidR="00CD7C9A" w:rsidRPr="00CD7C9A">
        <w:rPr>
          <w:lang w:eastAsia="ja-JP"/>
        </w:rPr>
        <w:t xml:space="preserve">treatment. An AE can, therefore, be any </w:t>
      </w:r>
      <w:r w:rsidR="00C512A4" w:rsidRPr="00CD7C9A">
        <w:rPr>
          <w:lang w:eastAsia="ja-JP"/>
        </w:rPr>
        <w:t>unfavourable</w:t>
      </w:r>
      <w:r w:rsidR="00CD7C9A" w:rsidRPr="00CD7C9A">
        <w:rPr>
          <w:lang w:eastAsia="ja-JP"/>
        </w:rPr>
        <w:t xml:space="preserve"> and unintended sign (including an</w:t>
      </w:r>
      <w:r w:rsidR="00CD7C9A" w:rsidRPr="00CD7C9A">
        <w:rPr>
          <w:i/>
          <w:iCs/>
          <w:lang w:eastAsia="ja-JP"/>
        </w:rPr>
        <w:t xml:space="preserve"> </w:t>
      </w:r>
      <w:r w:rsidR="00CD7C9A" w:rsidRPr="00CD7C9A">
        <w:rPr>
          <w:lang w:eastAsia="ja-JP"/>
        </w:rPr>
        <w:t>abnormal, clinically significant laboratory finding), symptom, or disease temporally</w:t>
      </w:r>
      <w:r w:rsidR="00CD7C9A" w:rsidRPr="00CD7C9A">
        <w:rPr>
          <w:i/>
          <w:iCs/>
          <w:lang w:eastAsia="ja-JP"/>
        </w:rPr>
        <w:t xml:space="preserve"> </w:t>
      </w:r>
      <w:r w:rsidR="00CD7C9A" w:rsidRPr="00CD7C9A">
        <w:rPr>
          <w:lang w:eastAsia="ja-JP"/>
        </w:rPr>
        <w:t>associated with the use of an investigational product, whether or not considered</w:t>
      </w:r>
      <w:r w:rsidR="00CD7C9A" w:rsidRPr="00CD7C9A">
        <w:rPr>
          <w:i/>
          <w:iCs/>
          <w:lang w:eastAsia="ja-JP"/>
        </w:rPr>
        <w:t xml:space="preserve"> </w:t>
      </w:r>
      <w:r w:rsidR="00CD7C9A" w:rsidRPr="00CD7C9A">
        <w:rPr>
          <w:lang w:eastAsia="ja-JP"/>
        </w:rPr>
        <w:t>related to the product.</w:t>
      </w:r>
      <w:r w:rsidR="00CD7C9A" w:rsidRPr="00CD7C9A">
        <w:rPr>
          <w:i/>
          <w:iCs/>
          <w:lang w:eastAsia="ja-JP"/>
        </w:rPr>
        <w:t xml:space="preserve"> </w:t>
      </w:r>
      <w:r w:rsidR="00CD7C9A" w:rsidRPr="00CD7C9A">
        <w:rPr>
          <w:lang w:eastAsia="ja-JP"/>
        </w:rPr>
        <w:t>The period of observation for AEs</w:t>
      </w:r>
      <w:r>
        <w:rPr>
          <w:lang w:eastAsia="ja-JP"/>
        </w:rPr>
        <w:t xml:space="preserve"> </w:t>
      </w:r>
      <w:r w:rsidR="0010644C">
        <w:rPr>
          <w:lang w:eastAsia="ja-JP"/>
        </w:rPr>
        <w:t>was</w:t>
      </w:r>
      <w:r w:rsidR="00CD7C9A" w:rsidRPr="00CD7C9A">
        <w:rPr>
          <w:lang w:eastAsia="ja-JP"/>
        </w:rPr>
        <w:t xml:space="preserve"> from infor</w:t>
      </w:r>
      <w:r w:rsidR="003D3798">
        <w:rPr>
          <w:lang w:eastAsia="ja-JP"/>
        </w:rPr>
        <w:t>med consent until end of study.</w:t>
      </w:r>
    </w:p>
    <w:p w14:paraId="5A97A405" w14:textId="088ED86B" w:rsidR="00CD7C9A" w:rsidRPr="00CD7C9A" w:rsidRDefault="00CD7C9A" w:rsidP="00CD7C9A">
      <w:pPr>
        <w:rPr>
          <w:lang w:eastAsia="ja-JP"/>
        </w:rPr>
      </w:pPr>
      <w:r w:rsidRPr="007A33EF">
        <w:rPr>
          <w:bCs/>
          <w:i/>
          <w:lang w:eastAsia="ja-JP"/>
        </w:rPr>
        <w:t>Solicited AEs</w:t>
      </w:r>
      <w:r w:rsidR="007A33EF" w:rsidRPr="007A33EF">
        <w:rPr>
          <w:bCs/>
          <w:i/>
          <w:lang w:eastAsia="ja-JP"/>
        </w:rPr>
        <w:t>:</w:t>
      </w:r>
      <w:r w:rsidR="007A33EF">
        <w:rPr>
          <w:b/>
          <w:bCs/>
          <w:lang w:eastAsia="ja-JP"/>
        </w:rPr>
        <w:t xml:space="preserve"> </w:t>
      </w:r>
      <w:r w:rsidRPr="00CD7C9A">
        <w:rPr>
          <w:lang w:eastAsia="ja-JP"/>
        </w:rPr>
        <w:t>Solicited AEs are e</w:t>
      </w:r>
      <w:r w:rsidR="007A33EF">
        <w:rPr>
          <w:lang w:eastAsia="ja-JP"/>
        </w:rPr>
        <w:t>vents specifically sought for</w:t>
      </w:r>
      <w:r w:rsidR="002B5BE2">
        <w:rPr>
          <w:lang w:eastAsia="ja-JP"/>
        </w:rPr>
        <w:t xml:space="preserve"> (</w:t>
      </w:r>
      <w:r w:rsidR="007A33EF">
        <w:rPr>
          <w:lang w:eastAsia="ja-JP"/>
        </w:rPr>
        <w:t xml:space="preserve">that is, local: pain, induration or </w:t>
      </w:r>
      <w:r w:rsidRPr="00CD7C9A">
        <w:rPr>
          <w:lang w:eastAsia="ja-JP"/>
        </w:rPr>
        <w:t xml:space="preserve">swelling </w:t>
      </w:r>
      <w:r w:rsidR="007A33EF">
        <w:rPr>
          <w:lang w:eastAsia="ja-JP"/>
        </w:rPr>
        <w:t xml:space="preserve">and erythema or </w:t>
      </w:r>
      <w:r w:rsidR="002B5BE2">
        <w:rPr>
          <w:lang w:eastAsia="ja-JP"/>
        </w:rPr>
        <w:t>redness; s</w:t>
      </w:r>
      <w:r w:rsidRPr="00CD7C9A">
        <w:rPr>
          <w:lang w:eastAsia="ja-JP"/>
        </w:rPr>
        <w:t>ystemic: headache, malaise, myalgia, fev</w:t>
      </w:r>
      <w:r w:rsidR="002B5BE2">
        <w:rPr>
          <w:lang w:eastAsia="ja-JP"/>
        </w:rPr>
        <w:t>er, chills, nausea and vomiting; and</w:t>
      </w:r>
      <w:r w:rsidRPr="00CD7C9A">
        <w:rPr>
          <w:lang w:eastAsia="ja-JP"/>
        </w:rPr>
        <w:t xml:space="preserve"> </w:t>
      </w:r>
      <w:r w:rsidR="002B5BE2">
        <w:rPr>
          <w:lang w:eastAsia="ja-JP"/>
        </w:rPr>
        <w:t>c</w:t>
      </w:r>
      <w:r w:rsidRPr="00CD7C9A">
        <w:rPr>
          <w:lang w:eastAsia="ja-JP"/>
        </w:rPr>
        <w:t>el</w:t>
      </w:r>
      <w:r w:rsidR="002B5BE2">
        <w:rPr>
          <w:lang w:eastAsia="ja-JP"/>
        </w:rPr>
        <w:t>lulitis-like reaction)</w:t>
      </w:r>
      <w:r w:rsidRPr="00CD7C9A">
        <w:rPr>
          <w:lang w:eastAsia="ja-JP"/>
        </w:rPr>
        <w:t xml:space="preserve"> and recorded by the subjects in the 7-Day So</w:t>
      </w:r>
      <w:r w:rsidR="002B5BE2">
        <w:rPr>
          <w:lang w:eastAsia="ja-JP"/>
        </w:rPr>
        <w:t xml:space="preserve">licited AE Diary, issued on the </w:t>
      </w:r>
      <w:r w:rsidRPr="00CD7C9A">
        <w:rPr>
          <w:lang w:eastAsia="ja-JP"/>
        </w:rPr>
        <w:t>day of vaccination.</w:t>
      </w:r>
      <w:r w:rsidRPr="00CD7C9A">
        <w:rPr>
          <w:b/>
          <w:bCs/>
          <w:lang w:eastAsia="ja-JP"/>
        </w:rPr>
        <w:t xml:space="preserve"> </w:t>
      </w:r>
      <w:r w:rsidRPr="00CD7C9A">
        <w:rPr>
          <w:lang w:eastAsia="ja-JP"/>
        </w:rPr>
        <w:t xml:space="preserve">Solicited local and systemic AEs defined and graded (see </w:t>
      </w:r>
      <w:r w:rsidRPr="003D3798">
        <w:rPr>
          <w:lang w:eastAsia="ja-JP"/>
        </w:rPr>
        <w:t xml:space="preserve">Tables </w:t>
      </w:r>
      <w:r w:rsidR="0016670C">
        <w:rPr>
          <w:lang w:eastAsia="ja-JP"/>
        </w:rPr>
        <w:t>5</w:t>
      </w:r>
      <w:r w:rsidRPr="003D3798">
        <w:rPr>
          <w:lang w:eastAsia="ja-JP"/>
        </w:rPr>
        <w:t xml:space="preserve"> and </w:t>
      </w:r>
      <w:r w:rsidR="0016670C">
        <w:rPr>
          <w:lang w:eastAsia="ja-JP"/>
        </w:rPr>
        <w:t>6</w:t>
      </w:r>
      <w:r w:rsidR="003D3798" w:rsidRPr="003D3798">
        <w:rPr>
          <w:lang w:eastAsia="ja-JP"/>
        </w:rPr>
        <w:t xml:space="preserve"> below).</w:t>
      </w:r>
    </w:p>
    <w:p w14:paraId="067C4257" w14:textId="6B11432E" w:rsidR="00CD7C9A" w:rsidRDefault="001A3AD0" w:rsidP="00AA2B60">
      <w:pPr>
        <w:pStyle w:val="Tabletitle"/>
        <w:rPr>
          <w:lang w:eastAsia="ja-JP"/>
        </w:rPr>
      </w:pPr>
      <w:r>
        <w:rPr>
          <w:lang w:eastAsia="ja-JP"/>
        </w:rPr>
        <w:t xml:space="preserve">Table </w:t>
      </w:r>
      <w:r w:rsidR="0016670C">
        <w:rPr>
          <w:lang w:eastAsia="ja-JP"/>
        </w:rPr>
        <w:t>5</w:t>
      </w:r>
      <w:r>
        <w:rPr>
          <w:lang w:eastAsia="ja-JP"/>
        </w:rPr>
        <w:t xml:space="preserve">. </w:t>
      </w:r>
      <w:r w:rsidR="00CD7C9A" w:rsidRPr="00CD7C9A">
        <w:rPr>
          <w:lang w:eastAsia="ja-JP"/>
        </w:rPr>
        <w:t xml:space="preserve">Intensity </w:t>
      </w:r>
      <w:r>
        <w:rPr>
          <w:lang w:eastAsia="ja-JP"/>
        </w:rPr>
        <w:t>grading of solicited l</w:t>
      </w:r>
      <w:r w:rsidR="00CD7C9A" w:rsidRPr="00CD7C9A">
        <w:rPr>
          <w:lang w:eastAsia="ja-JP"/>
        </w:rPr>
        <w:t>ocal AEs</w:t>
      </w:r>
    </w:p>
    <w:p w14:paraId="6809B402" w14:textId="338EE441" w:rsidR="00CD7C9A" w:rsidRPr="00CD7C9A" w:rsidRDefault="003D3798" w:rsidP="00CD7C9A">
      <w:pPr>
        <w:rPr>
          <w:b/>
          <w:bCs/>
          <w:lang w:eastAsia="ja-JP"/>
        </w:rPr>
      </w:pPr>
      <w:r w:rsidRPr="003D3798">
        <w:rPr>
          <w:b/>
          <w:bCs/>
          <w:noProof/>
          <w:lang w:eastAsia="en-AU"/>
        </w:rPr>
        <w:drawing>
          <wp:inline distT="0" distB="0" distL="0" distR="0" wp14:anchorId="5365191E" wp14:editId="7FF835AA">
            <wp:extent cx="4705985" cy="1468208"/>
            <wp:effectExtent l="0" t="0" r="0" b="0"/>
            <wp:docPr id="16" name="Picture 16" descr="Table 5. Intensity grading of solicited local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55708" cy="1514920"/>
                    </a:xfrm>
                    <a:prstGeom prst="rect">
                      <a:avLst/>
                    </a:prstGeom>
                  </pic:spPr>
                </pic:pic>
              </a:graphicData>
            </a:graphic>
          </wp:inline>
        </w:drawing>
      </w:r>
    </w:p>
    <w:p w14:paraId="574B979A" w14:textId="2FD9421B" w:rsidR="00CD7C9A" w:rsidRDefault="00CD7C9A" w:rsidP="00AA2B60">
      <w:pPr>
        <w:pStyle w:val="Tabletitle"/>
        <w:rPr>
          <w:bCs/>
          <w:lang w:eastAsia="ja-JP"/>
        </w:rPr>
      </w:pPr>
      <w:r w:rsidRPr="00CD7C9A">
        <w:rPr>
          <w:lang w:eastAsia="ja-JP"/>
        </w:rPr>
        <w:lastRenderedPageBreak/>
        <w:t xml:space="preserve">Table </w:t>
      </w:r>
      <w:r w:rsidR="0016670C">
        <w:rPr>
          <w:lang w:eastAsia="ja-JP"/>
        </w:rPr>
        <w:t>6.</w:t>
      </w:r>
      <w:r w:rsidRPr="00CD7C9A">
        <w:rPr>
          <w:lang w:eastAsia="ja-JP"/>
        </w:rPr>
        <w:t xml:space="preserve"> Intensity grading of </w:t>
      </w:r>
      <w:r w:rsidRPr="00CD7C9A">
        <w:rPr>
          <w:bCs/>
          <w:lang w:eastAsia="ja-JP"/>
        </w:rPr>
        <w:t>Solicited Systemic AEs</w:t>
      </w:r>
    </w:p>
    <w:p w14:paraId="6304780F" w14:textId="5582752F" w:rsidR="003D3798" w:rsidRPr="00CD7C9A" w:rsidRDefault="003D3798" w:rsidP="00CD7C9A">
      <w:pPr>
        <w:rPr>
          <w:b/>
          <w:bCs/>
          <w:lang w:eastAsia="ja-JP"/>
        </w:rPr>
      </w:pPr>
      <w:r w:rsidRPr="003D3798">
        <w:rPr>
          <w:b/>
          <w:bCs/>
          <w:noProof/>
          <w:lang w:eastAsia="en-AU"/>
        </w:rPr>
        <w:drawing>
          <wp:inline distT="0" distB="0" distL="0" distR="0" wp14:anchorId="08D67667" wp14:editId="01AF86D9">
            <wp:extent cx="4699178" cy="2734854"/>
            <wp:effectExtent l="0" t="0" r="6350" b="8890"/>
            <wp:docPr id="17" name="Picture 17" descr="Table 6. Intensity grading of Solicited Systemic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46041" cy="2762127"/>
                    </a:xfrm>
                    <a:prstGeom prst="rect">
                      <a:avLst/>
                    </a:prstGeom>
                  </pic:spPr>
                </pic:pic>
              </a:graphicData>
            </a:graphic>
          </wp:inline>
        </w:drawing>
      </w:r>
    </w:p>
    <w:p w14:paraId="507C5EB2" w14:textId="15C88970" w:rsidR="00CD7C9A" w:rsidRPr="00CD7C9A" w:rsidRDefault="00CD7C9A" w:rsidP="00CD7C9A">
      <w:pPr>
        <w:rPr>
          <w:b/>
          <w:bCs/>
          <w:lang w:eastAsia="ja-JP"/>
        </w:rPr>
      </w:pPr>
      <w:r w:rsidRPr="002B5BE2">
        <w:rPr>
          <w:bCs/>
          <w:i/>
          <w:lang w:eastAsia="ja-JP"/>
        </w:rPr>
        <w:t>Unsolicited AEs</w:t>
      </w:r>
      <w:r w:rsidR="002B5BE2" w:rsidRPr="002B5BE2">
        <w:rPr>
          <w:bCs/>
          <w:i/>
          <w:lang w:eastAsia="ja-JP"/>
        </w:rPr>
        <w:t>:</w:t>
      </w:r>
      <w:r w:rsidRPr="002B5BE2">
        <w:rPr>
          <w:bCs/>
          <w:lang w:eastAsia="ja-JP"/>
        </w:rPr>
        <w:t xml:space="preserve"> </w:t>
      </w:r>
      <w:r w:rsidRPr="00CD7C9A">
        <w:rPr>
          <w:lang w:eastAsia="ja-JP"/>
        </w:rPr>
        <w:t>all other AEs and will be recorded on a separate 21-day diary card issued</w:t>
      </w:r>
      <w:r w:rsidRPr="00CD7C9A">
        <w:rPr>
          <w:b/>
          <w:bCs/>
          <w:lang w:eastAsia="ja-JP"/>
        </w:rPr>
        <w:t xml:space="preserve"> </w:t>
      </w:r>
      <w:r w:rsidRPr="00CD7C9A">
        <w:rPr>
          <w:lang w:eastAsia="ja-JP"/>
        </w:rPr>
        <w:t>on the day of vaccination and Day 22 to 28 diary card issued at Visit 2. The intensity/severity of unsolicited AEs will be determined by the subject and graded as follows:</w:t>
      </w:r>
    </w:p>
    <w:p w14:paraId="4E49BBB7" w14:textId="2DB632BC" w:rsidR="00CD7C9A" w:rsidRPr="00CD7C9A" w:rsidRDefault="00CD7C9A" w:rsidP="00AA2B60">
      <w:pPr>
        <w:pStyle w:val="ListBullet"/>
        <w:rPr>
          <w:lang w:eastAsia="ja-JP"/>
        </w:rPr>
      </w:pPr>
      <w:r w:rsidRPr="002B5BE2">
        <w:rPr>
          <w:bCs/>
          <w:i/>
          <w:lang w:eastAsia="ja-JP"/>
        </w:rPr>
        <w:t>Mild</w:t>
      </w:r>
      <w:r w:rsidRPr="002B5BE2">
        <w:rPr>
          <w:i/>
          <w:lang w:eastAsia="ja-JP"/>
        </w:rPr>
        <w:t>:</w:t>
      </w:r>
      <w:r w:rsidRPr="00CD7C9A">
        <w:rPr>
          <w:lang w:eastAsia="ja-JP"/>
        </w:rPr>
        <w:t xml:space="preserve"> Symptoms are easily tolerated and do not interfere w</w:t>
      </w:r>
      <w:r w:rsidR="00AA2B60">
        <w:rPr>
          <w:lang w:eastAsia="ja-JP"/>
        </w:rPr>
        <w:t>ith normal, everyday activities.</w:t>
      </w:r>
    </w:p>
    <w:p w14:paraId="7DB32847" w14:textId="4184868A" w:rsidR="00CD7C9A" w:rsidRPr="00CD7C9A" w:rsidRDefault="00CD7C9A" w:rsidP="00AA2B60">
      <w:pPr>
        <w:pStyle w:val="ListBullet"/>
        <w:rPr>
          <w:lang w:eastAsia="ja-JP"/>
        </w:rPr>
      </w:pPr>
      <w:r w:rsidRPr="002B5BE2">
        <w:rPr>
          <w:bCs/>
          <w:i/>
          <w:lang w:eastAsia="ja-JP"/>
        </w:rPr>
        <w:t>Moderate</w:t>
      </w:r>
      <w:r w:rsidRPr="002B5BE2">
        <w:rPr>
          <w:i/>
          <w:lang w:eastAsia="ja-JP"/>
        </w:rPr>
        <w:t>:</w:t>
      </w:r>
      <w:r w:rsidRPr="00CD7C9A">
        <w:rPr>
          <w:lang w:eastAsia="ja-JP"/>
        </w:rPr>
        <w:t xml:space="preserve"> Discomfort enough to cause some interference w</w:t>
      </w:r>
      <w:r w:rsidR="00AA2B60">
        <w:rPr>
          <w:lang w:eastAsia="ja-JP"/>
        </w:rPr>
        <w:t>ith normal, everyday activities.</w:t>
      </w:r>
    </w:p>
    <w:p w14:paraId="5D1D32F6" w14:textId="77777777" w:rsidR="00CD7C9A" w:rsidRPr="00CD7C9A" w:rsidRDefault="00CD7C9A" w:rsidP="00AA2B60">
      <w:pPr>
        <w:pStyle w:val="ListBullet"/>
        <w:rPr>
          <w:lang w:eastAsia="ja-JP"/>
        </w:rPr>
      </w:pPr>
      <w:r w:rsidRPr="002B5BE2">
        <w:rPr>
          <w:bCs/>
          <w:i/>
          <w:lang w:eastAsia="ja-JP"/>
        </w:rPr>
        <w:t>Severe</w:t>
      </w:r>
      <w:r w:rsidRPr="002B5BE2">
        <w:rPr>
          <w:i/>
          <w:lang w:eastAsia="ja-JP"/>
        </w:rPr>
        <w:t>:</w:t>
      </w:r>
      <w:r w:rsidRPr="00CD7C9A">
        <w:rPr>
          <w:lang w:eastAsia="ja-JP"/>
        </w:rPr>
        <w:t xml:space="preserve"> Symptoms that prevent normal, everyday activities.</w:t>
      </w:r>
    </w:p>
    <w:p w14:paraId="5C047270" w14:textId="085659C4" w:rsidR="00CD7C9A" w:rsidRPr="00CD7C9A" w:rsidRDefault="00CD7C9A" w:rsidP="00CD7C9A">
      <w:pPr>
        <w:rPr>
          <w:b/>
          <w:bCs/>
          <w:lang w:eastAsia="ja-JP"/>
        </w:rPr>
      </w:pPr>
      <w:r w:rsidRPr="002B5BE2">
        <w:rPr>
          <w:bCs/>
          <w:i/>
          <w:lang w:eastAsia="ja-JP"/>
        </w:rPr>
        <w:t>Adverse Event of Special Interest</w:t>
      </w:r>
      <w:r w:rsidRPr="00CD7C9A">
        <w:rPr>
          <w:b/>
          <w:bCs/>
          <w:lang w:eastAsia="ja-JP"/>
        </w:rPr>
        <w:t xml:space="preserve"> </w:t>
      </w:r>
      <w:r w:rsidRPr="00CD7C9A">
        <w:rPr>
          <w:lang w:eastAsia="ja-JP"/>
        </w:rPr>
        <w:t>(AESIs)</w:t>
      </w:r>
      <w:r w:rsidR="002B5BE2" w:rsidRPr="002B5BE2">
        <w:rPr>
          <w:bCs/>
          <w:i/>
          <w:lang w:eastAsia="ja-JP"/>
        </w:rPr>
        <w:t>:</w:t>
      </w:r>
      <w:r w:rsidR="002B5BE2">
        <w:rPr>
          <w:b/>
          <w:bCs/>
          <w:lang w:eastAsia="ja-JP"/>
        </w:rPr>
        <w:t xml:space="preserve"> </w:t>
      </w:r>
      <w:r w:rsidRPr="00CD7C9A">
        <w:rPr>
          <w:lang w:eastAsia="ja-JP"/>
        </w:rPr>
        <w:t xml:space="preserve">An AESI (serious or nonserious) is one of scientific and medical concern specific to the sponsor’s product or program, for which ongoing monitoring and rapid communication by the investigator to the sponsor is appropriate. AESI listing for </w:t>
      </w:r>
      <w:r w:rsidR="0031125F" w:rsidRPr="0031125F">
        <w:rPr>
          <w:lang w:eastAsia="ja-JP"/>
        </w:rPr>
        <w:t>Seqirus</w:t>
      </w:r>
      <w:r w:rsidR="0031125F" w:rsidRPr="0031125F" w:rsidDel="0031125F">
        <w:rPr>
          <w:lang w:eastAsia="ja-JP"/>
        </w:rPr>
        <w:t xml:space="preserve"> </w:t>
      </w:r>
      <w:r w:rsidRPr="00CD7C9A">
        <w:rPr>
          <w:lang w:eastAsia="ja-JP"/>
        </w:rPr>
        <w:t xml:space="preserve">QIV is based on AEs assessed to meet the above definition for </w:t>
      </w:r>
      <w:r w:rsidR="0031125F" w:rsidRPr="0031125F">
        <w:rPr>
          <w:lang w:eastAsia="ja-JP"/>
        </w:rPr>
        <w:t>Seqirus</w:t>
      </w:r>
      <w:r w:rsidRPr="00CD7C9A">
        <w:rPr>
          <w:lang w:eastAsia="ja-JP"/>
        </w:rPr>
        <w:t xml:space="preserve"> TIV based on the prior safety history, or have been identified as potential class AEs for i</w:t>
      </w:r>
      <w:r w:rsidR="002B5BE2">
        <w:rPr>
          <w:lang w:eastAsia="ja-JP"/>
        </w:rPr>
        <w:t xml:space="preserve">nactivated influenza vaccines. </w:t>
      </w:r>
      <w:r w:rsidRPr="00CD7C9A">
        <w:rPr>
          <w:lang w:eastAsia="ja-JP"/>
        </w:rPr>
        <w:t>The list includes: optic neuritis; encephalitis; thrombocytopaenia; vasculitis; GBS; Bell’s palsy; transverse mye</w:t>
      </w:r>
      <w:r w:rsidR="002B5BE2">
        <w:rPr>
          <w:lang w:eastAsia="ja-JP"/>
        </w:rPr>
        <w:t>litis; demyelinating disorders.</w:t>
      </w:r>
    </w:p>
    <w:p w14:paraId="31A71033" w14:textId="0813E808" w:rsidR="00CD7C9A" w:rsidRPr="002B5BE2" w:rsidRDefault="00CD7C9A" w:rsidP="00CD7C9A">
      <w:pPr>
        <w:rPr>
          <w:lang w:eastAsia="ja-JP"/>
        </w:rPr>
      </w:pPr>
      <w:r w:rsidRPr="002B5BE2">
        <w:rPr>
          <w:bCs/>
          <w:i/>
          <w:lang w:eastAsia="ja-JP"/>
        </w:rPr>
        <w:t>SAE</w:t>
      </w:r>
      <w:r w:rsidR="002B5BE2" w:rsidRPr="002B5BE2">
        <w:rPr>
          <w:bCs/>
          <w:i/>
          <w:lang w:eastAsia="ja-JP"/>
        </w:rPr>
        <w:t>:</w:t>
      </w:r>
      <w:r w:rsidR="002B5BE2">
        <w:rPr>
          <w:b/>
          <w:bCs/>
          <w:lang w:eastAsia="ja-JP"/>
        </w:rPr>
        <w:t xml:space="preserve"> </w:t>
      </w:r>
      <w:r w:rsidR="002B5BE2" w:rsidRPr="002B5BE2">
        <w:rPr>
          <w:bCs/>
          <w:lang w:eastAsia="ja-JP"/>
        </w:rPr>
        <w:t>An</w:t>
      </w:r>
      <w:r w:rsidR="002B5BE2">
        <w:rPr>
          <w:b/>
          <w:bCs/>
          <w:lang w:eastAsia="ja-JP"/>
        </w:rPr>
        <w:t xml:space="preserve"> </w:t>
      </w:r>
      <w:r w:rsidRPr="00CD7C9A">
        <w:rPr>
          <w:lang w:eastAsia="ja-JP"/>
        </w:rPr>
        <w:t xml:space="preserve">untoward medical occurrence that at any dose that </w:t>
      </w:r>
      <w:r w:rsidR="002B5BE2" w:rsidRPr="002B5BE2">
        <w:rPr>
          <w:bCs/>
          <w:lang w:eastAsia="ja-JP"/>
        </w:rPr>
        <w:t>r</w:t>
      </w:r>
      <w:r w:rsidR="002B5BE2">
        <w:rPr>
          <w:bCs/>
          <w:lang w:eastAsia="ja-JP"/>
        </w:rPr>
        <w:t>esults in death;</w:t>
      </w:r>
      <w:r w:rsidRPr="002B5BE2">
        <w:rPr>
          <w:lang w:eastAsia="ja-JP"/>
        </w:rPr>
        <w:t xml:space="preserve"> </w:t>
      </w:r>
      <w:r w:rsidR="002B5BE2" w:rsidRPr="002B5BE2">
        <w:rPr>
          <w:bCs/>
          <w:lang w:eastAsia="ja-JP"/>
        </w:rPr>
        <w:t>i</w:t>
      </w:r>
      <w:r w:rsidRPr="002B5BE2">
        <w:rPr>
          <w:bCs/>
          <w:lang w:eastAsia="ja-JP"/>
        </w:rPr>
        <w:t>s life-threatening</w:t>
      </w:r>
      <w:r w:rsidRPr="002B5BE2">
        <w:rPr>
          <w:lang w:eastAsia="ja-JP"/>
        </w:rPr>
        <w:t xml:space="preserve">; </w:t>
      </w:r>
      <w:r w:rsidR="002B5BE2" w:rsidRPr="002B5BE2">
        <w:rPr>
          <w:bCs/>
          <w:lang w:eastAsia="ja-JP"/>
        </w:rPr>
        <w:t>r</w:t>
      </w:r>
      <w:r w:rsidR="002B5BE2">
        <w:rPr>
          <w:bCs/>
          <w:lang w:eastAsia="ja-JP"/>
        </w:rPr>
        <w:t>equires in-patient hospitalis</w:t>
      </w:r>
      <w:r w:rsidRPr="002B5BE2">
        <w:rPr>
          <w:bCs/>
          <w:lang w:eastAsia="ja-JP"/>
        </w:rPr>
        <w:t>ation or pro</w:t>
      </w:r>
      <w:r w:rsidR="002B5BE2">
        <w:rPr>
          <w:bCs/>
          <w:lang w:eastAsia="ja-JP"/>
        </w:rPr>
        <w:t>longation of existing hospitalisation; r</w:t>
      </w:r>
      <w:r w:rsidRPr="002B5BE2">
        <w:rPr>
          <w:bCs/>
          <w:lang w:eastAsia="ja-JP"/>
        </w:rPr>
        <w:t>esults in persistent or significant disability or incapacity</w:t>
      </w:r>
      <w:r w:rsidRPr="002B5BE2">
        <w:rPr>
          <w:lang w:eastAsia="ja-JP"/>
        </w:rPr>
        <w:t xml:space="preserve">; </w:t>
      </w:r>
      <w:r w:rsidR="002B5BE2">
        <w:rPr>
          <w:bCs/>
          <w:lang w:eastAsia="ja-JP"/>
        </w:rPr>
        <w:t>i</w:t>
      </w:r>
      <w:r w:rsidRPr="002B5BE2">
        <w:rPr>
          <w:bCs/>
          <w:lang w:eastAsia="ja-JP"/>
        </w:rPr>
        <w:t>s a congenital anomaly or birth defect</w:t>
      </w:r>
      <w:r w:rsidRPr="002B5BE2">
        <w:rPr>
          <w:lang w:eastAsia="ja-JP"/>
        </w:rPr>
        <w:t xml:space="preserve">; </w:t>
      </w:r>
      <w:r w:rsidR="002B5BE2">
        <w:rPr>
          <w:bCs/>
          <w:lang w:eastAsia="ja-JP"/>
        </w:rPr>
        <w:t>i</w:t>
      </w:r>
      <w:r w:rsidRPr="002B5BE2">
        <w:rPr>
          <w:bCs/>
          <w:lang w:eastAsia="ja-JP"/>
        </w:rPr>
        <w:t>s medically signifi</w:t>
      </w:r>
      <w:r w:rsidR="002B5BE2">
        <w:rPr>
          <w:bCs/>
          <w:lang w:eastAsia="ja-JP"/>
        </w:rPr>
        <w:t>cant; or i</w:t>
      </w:r>
      <w:r w:rsidRPr="002B5BE2">
        <w:rPr>
          <w:bCs/>
          <w:lang w:eastAsia="ja-JP"/>
        </w:rPr>
        <w:t>s the suspected transmission of an infectious agent via a medicinal product.</w:t>
      </w:r>
    </w:p>
    <w:p w14:paraId="71254260" w14:textId="3F04339F" w:rsidR="00CD7C9A" w:rsidRPr="00CD7C9A" w:rsidRDefault="0078385B" w:rsidP="00CD7C9A">
      <w:pPr>
        <w:rPr>
          <w:b/>
          <w:bCs/>
          <w:lang w:eastAsia="ja-JP"/>
        </w:rPr>
      </w:pPr>
      <w:r w:rsidRPr="009E607F">
        <w:rPr>
          <w:bCs/>
          <w:i/>
          <w:lang w:eastAsia="ja-JP"/>
        </w:rPr>
        <w:t>Severity of adverse events</w:t>
      </w:r>
      <w:r w:rsidR="00CD7C9A" w:rsidRPr="00CD7C9A">
        <w:rPr>
          <w:b/>
          <w:bCs/>
          <w:lang w:eastAsia="ja-JP"/>
        </w:rPr>
        <w:t xml:space="preserve">: </w:t>
      </w:r>
      <w:r w:rsidR="00CD7C9A" w:rsidRPr="00CD7C9A">
        <w:rPr>
          <w:lang w:eastAsia="ja-JP"/>
        </w:rPr>
        <w:t>Severity of each unsolicited AE (</w:t>
      </w:r>
      <w:r w:rsidR="009E607F">
        <w:rPr>
          <w:lang w:eastAsia="ja-JP"/>
        </w:rPr>
        <w:t>that is</w:t>
      </w:r>
      <w:r w:rsidR="00CD7C9A" w:rsidRPr="00CD7C9A">
        <w:rPr>
          <w:lang w:eastAsia="ja-JP"/>
        </w:rPr>
        <w:t xml:space="preserve"> non</w:t>
      </w:r>
      <w:r w:rsidR="009E607F">
        <w:rPr>
          <w:lang w:eastAsia="ja-JP"/>
        </w:rPr>
        <w:t>-</w:t>
      </w:r>
      <w:r w:rsidR="00CD7C9A" w:rsidRPr="00CD7C9A">
        <w:rPr>
          <w:lang w:eastAsia="ja-JP"/>
        </w:rPr>
        <w:t>serious and SAEs) assessed by the investigator as follows:</w:t>
      </w:r>
    </w:p>
    <w:p w14:paraId="3D705283" w14:textId="7B9CD757" w:rsidR="00CD7C9A" w:rsidRPr="00CD7C9A" w:rsidRDefault="00CD7C9A" w:rsidP="00AA2B60">
      <w:pPr>
        <w:pStyle w:val="ListBullet"/>
        <w:rPr>
          <w:b/>
          <w:bCs/>
          <w:lang w:eastAsia="ja-JP"/>
        </w:rPr>
      </w:pPr>
      <w:r w:rsidRPr="003D3798">
        <w:rPr>
          <w:i/>
          <w:lang w:eastAsia="ja-JP"/>
        </w:rPr>
        <w:t>Mild</w:t>
      </w:r>
      <w:r w:rsidR="009E607F">
        <w:rPr>
          <w:lang w:eastAsia="ja-JP"/>
        </w:rPr>
        <w:t xml:space="preserve">: </w:t>
      </w:r>
      <w:r w:rsidRPr="00CD7C9A">
        <w:rPr>
          <w:lang w:eastAsia="ja-JP"/>
        </w:rPr>
        <w:t>usually transient and may require only minimal treatment or therapeutic intervention. Event does not generally interfere with u</w:t>
      </w:r>
      <w:r w:rsidR="00AA2B60">
        <w:rPr>
          <w:lang w:eastAsia="ja-JP"/>
        </w:rPr>
        <w:t>sual activities of daily living.</w:t>
      </w:r>
    </w:p>
    <w:p w14:paraId="191A4C53" w14:textId="1474D853" w:rsidR="00CD7C9A" w:rsidRPr="00CD7C9A" w:rsidRDefault="00CD7C9A" w:rsidP="00AA2B60">
      <w:pPr>
        <w:pStyle w:val="ListBullet"/>
        <w:rPr>
          <w:lang w:eastAsia="ja-JP"/>
        </w:rPr>
      </w:pPr>
      <w:r w:rsidRPr="003D3798">
        <w:rPr>
          <w:i/>
          <w:lang w:eastAsia="ja-JP"/>
        </w:rPr>
        <w:t>Moderate</w:t>
      </w:r>
      <w:r w:rsidR="00B557D0">
        <w:rPr>
          <w:lang w:eastAsia="ja-JP"/>
        </w:rPr>
        <w:t xml:space="preserve">: </w:t>
      </w:r>
      <w:r w:rsidRPr="00CD7C9A">
        <w:rPr>
          <w:lang w:eastAsia="ja-JP"/>
        </w:rPr>
        <w:t>usually alleviated with additional specific therapeutic intervention. Event interferes with usual activities of daily living, causes discomfort but poses no significant/perman</w:t>
      </w:r>
      <w:r w:rsidR="003D3798">
        <w:rPr>
          <w:lang w:eastAsia="ja-JP"/>
        </w:rPr>
        <w:t>ent risk</w:t>
      </w:r>
      <w:r w:rsidR="00AA2B60">
        <w:rPr>
          <w:lang w:eastAsia="ja-JP"/>
        </w:rPr>
        <w:t xml:space="preserve"> of harm to the subject.</w:t>
      </w:r>
    </w:p>
    <w:p w14:paraId="20EED2BD" w14:textId="4116A8F5" w:rsidR="00CD7C9A" w:rsidRPr="00CD7C9A" w:rsidRDefault="00CD7C9A" w:rsidP="00AA2B60">
      <w:pPr>
        <w:pStyle w:val="ListBullet"/>
        <w:rPr>
          <w:lang w:eastAsia="ja-JP"/>
        </w:rPr>
      </w:pPr>
      <w:r w:rsidRPr="003D3798">
        <w:rPr>
          <w:i/>
          <w:lang w:eastAsia="ja-JP"/>
        </w:rPr>
        <w:t>Severe</w:t>
      </w:r>
      <w:r w:rsidR="00B557D0">
        <w:rPr>
          <w:lang w:eastAsia="ja-JP"/>
        </w:rPr>
        <w:t xml:space="preserve">: </w:t>
      </w:r>
      <w:r w:rsidRPr="00CD7C9A">
        <w:rPr>
          <w:lang w:eastAsia="ja-JP"/>
        </w:rPr>
        <w:t>interrupts usual activities of daily living, or significantly affects clinical status, or may require intensive therapeutic intervention.</w:t>
      </w:r>
    </w:p>
    <w:p w14:paraId="05175430" w14:textId="02AE92D4" w:rsidR="00CD7C9A" w:rsidRPr="00CD7C9A" w:rsidRDefault="00B557D0" w:rsidP="00CD7C9A">
      <w:pPr>
        <w:rPr>
          <w:b/>
          <w:bCs/>
          <w:lang w:eastAsia="ja-JP"/>
        </w:rPr>
      </w:pPr>
      <w:r w:rsidRPr="00B557D0">
        <w:rPr>
          <w:bCs/>
          <w:i/>
          <w:lang w:eastAsia="ja-JP"/>
        </w:rPr>
        <w:t>Causality of adverse events</w:t>
      </w:r>
      <w:r w:rsidR="00CD7C9A" w:rsidRPr="00CD7C9A">
        <w:rPr>
          <w:b/>
          <w:bCs/>
          <w:lang w:eastAsia="ja-JP"/>
        </w:rPr>
        <w:t xml:space="preserve">: </w:t>
      </w:r>
      <w:r w:rsidR="00CD7C9A" w:rsidRPr="00CD7C9A">
        <w:rPr>
          <w:lang w:eastAsia="ja-JP"/>
        </w:rPr>
        <w:t xml:space="preserve">Assessed by investigator. All solicited local AEs are assessed as related to the study vaccine. All other AEs classified as related/not related. The degree of </w:t>
      </w:r>
      <w:r w:rsidR="00CD7C9A" w:rsidRPr="00CD7C9A">
        <w:rPr>
          <w:lang w:eastAsia="ja-JP"/>
        </w:rPr>
        <w:lastRenderedPageBreak/>
        <w:t>certainty with which an AE is attributed to stud</w:t>
      </w:r>
      <w:r>
        <w:rPr>
          <w:lang w:eastAsia="ja-JP"/>
        </w:rPr>
        <w:t xml:space="preserve">y vaccine or alternative cause </w:t>
      </w:r>
      <w:r w:rsidR="00CD7C9A" w:rsidRPr="00CD7C9A">
        <w:rPr>
          <w:lang w:eastAsia="ja-JP"/>
        </w:rPr>
        <w:t>determined by how well the event can be understood in terms of: known pharmacology of study vaccine; clinically and/or pathophysiologically plausible context; reaction of a similar nature previously observed with similar products; plausibility supported by the temporal</w:t>
      </w:r>
      <w:r>
        <w:rPr>
          <w:lang w:eastAsia="ja-JP"/>
        </w:rPr>
        <w:t xml:space="preserve"> relationship.</w:t>
      </w:r>
    </w:p>
    <w:p w14:paraId="4743A573" w14:textId="42BE7F08" w:rsidR="00CD7C9A" w:rsidRPr="00CD7C9A" w:rsidRDefault="00B557D0" w:rsidP="00CD7C9A">
      <w:pPr>
        <w:rPr>
          <w:b/>
          <w:bCs/>
          <w:lang w:eastAsia="ja-JP"/>
        </w:rPr>
      </w:pPr>
      <w:r w:rsidRPr="00B557D0">
        <w:rPr>
          <w:bCs/>
          <w:i/>
          <w:lang w:eastAsia="ja-JP"/>
        </w:rPr>
        <w:t>Observation period for adverse events:</w:t>
      </w:r>
      <w:r w:rsidR="00CD7C9A" w:rsidRPr="00CD7C9A">
        <w:rPr>
          <w:b/>
          <w:bCs/>
          <w:lang w:eastAsia="ja-JP"/>
        </w:rPr>
        <w:t xml:space="preserve"> </w:t>
      </w:r>
      <w:r w:rsidR="00CD7C9A" w:rsidRPr="00CD7C9A">
        <w:rPr>
          <w:lang w:eastAsia="ja-JP"/>
        </w:rPr>
        <w:t xml:space="preserve">AE reporting from written informed consent </w:t>
      </w:r>
      <w:r>
        <w:rPr>
          <w:lang w:eastAsia="ja-JP"/>
        </w:rPr>
        <w:t xml:space="preserve">until </w:t>
      </w:r>
      <w:r w:rsidR="00CD7C9A" w:rsidRPr="00CD7C9A">
        <w:rPr>
          <w:lang w:eastAsia="ja-JP"/>
        </w:rPr>
        <w:t>Day 28. For SAEs</w:t>
      </w:r>
      <w:r>
        <w:rPr>
          <w:lang w:eastAsia="ja-JP"/>
        </w:rPr>
        <w:t>,</w:t>
      </w:r>
      <w:r w:rsidR="00CD7C9A" w:rsidRPr="00CD7C9A">
        <w:rPr>
          <w:lang w:eastAsia="ja-JP"/>
        </w:rPr>
        <w:t xml:space="preserve"> from written informed consent </w:t>
      </w:r>
      <w:r>
        <w:rPr>
          <w:lang w:eastAsia="ja-JP"/>
        </w:rPr>
        <w:t>until</w:t>
      </w:r>
      <w:r w:rsidR="00CD7C9A" w:rsidRPr="00CD7C9A">
        <w:rPr>
          <w:lang w:eastAsia="ja-JP"/>
        </w:rPr>
        <w:t xml:space="preserve"> Day 180.</w:t>
      </w:r>
    </w:p>
    <w:p w14:paraId="092F0F50" w14:textId="77777777" w:rsidR="00CD7C9A" w:rsidRPr="00CD7C9A" w:rsidRDefault="00CD7C9A" w:rsidP="008924A5">
      <w:pPr>
        <w:pStyle w:val="Heading3"/>
      </w:pPr>
      <w:bookmarkStart w:id="62" w:name="_Toc490579727"/>
      <w:r w:rsidRPr="00CD7C9A">
        <w:t>Pivotal studies that assessed safety as a primary outcome</w:t>
      </w:r>
      <w:bookmarkEnd w:id="62"/>
    </w:p>
    <w:p w14:paraId="1DD5D226" w14:textId="40246C7A" w:rsidR="00B557D0" w:rsidRPr="00CD7C9A" w:rsidRDefault="00B557D0" w:rsidP="00CD7C9A">
      <w:pPr>
        <w:rPr>
          <w:lang w:eastAsia="ja-JP"/>
        </w:rPr>
      </w:pPr>
      <w:bookmarkStart w:id="63" w:name="_Ref269204367"/>
      <w:bookmarkStart w:id="64" w:name="_Ref271195835"/>
      <w:bookmarkStart w:id="65" w:name="_Ref271195841"/>
      <w:bookmarkStart w:id="66" w:name="_Toc272414660"/>
      <w:bookmarkStart w:id="67" w:name="_Toc290846285"/>
      <w:bookmarkStart w:id="68" w:name="_Toc448702509"/>
      <w:r w:rsidRPr="00CD7C9A">
        <w:rPr>
          <w:lang w:eastAsia="ja-JP"/>
        </w:rPr>
        <w:t>Not appl</w:t>
      </w:r>
      <w:r>
        <w:rPr>
          <w:lang w:eastAsia="ja-JP"/>
        </w:rPr>
        <w:t xml:space="preserve">icable. </w:t>
      </w:r>
      <w:bookmarkEnd w:id="63"/>
      <w:bookmarkEnd w:id="64"/>
      <w:bookmarkEnd w:id="65"/>
      <w:bookmarkEnd w:id="66"/>
      <w:bookmarkEnd w:id="67"/>
      <w:bookmarkEnd w:id="68"/>
      <w:r w:rsidRPr="00CD7C9A">
        <w:rPr>
          <w:lang w:eastAsia="ja-JP"/>
        </w:rPr>
        <w:t xml:space="preserve">The studies described in </w:t>
      </w:r>
      <w:r w:rsidRPr="008924A5">
        <w:rPr>
          <w:lang w:eastAsia="ja-JP"/>
        </w:rPr>
        <w:t>Section 7</w:t>
      </w:r>
      <w:r w:rsidR="008924A5">
        <w:rPr>
          <w:b/>
          <w:lang w:eastAsia="ja-JP"/>
        </w:rPr>
        <w:t xml:space="preserve"> </w:t>
      </w:r>
      <w:r w:rsidRPr="00CD7C9A">
        <w:rPr>
          <w:lang w:eastAsia="ja-JP"/>
        </w:rPr>
        <w:t>collected safe</w:t>
      </w:r>
      <w:r>
        <w:rPr>
          <w:lang w:eastAsia="ja-JP"/>
        </w:rPr>
        <w:t>ty data as a secondary outcome.</w:t>
      </w:r>
    </w:p>
    <w:p w14:paraId="7F06BE5C" w14:textId="77777777" w:rsidR="00CD7C9A" w:rsidRPr="00CD7C9A" w:rsidRDefault="00CD7C9A" w:rsidP="008924A5">
      <w:pPr>
        <w:pStyle w:val="Heading3"/>
      </w:pPr>
      <w:bookmarkStart w:id="69" w:name="_Toc241374318"/>
      <w:bookmarkStart w:id="70" w:name="_Ref271196630"/>
      <w:bookmarkStart w:id="71" w:name="_Toc272414662"/>
      <w:bookmarkStart w:id="72" w:name="_Toc290846300"/>
      <w:bookmarkStart w:id="73" w:name="_Toc448702510"/>
      <w:bookmarkStart w:id="74" w:name="_Toc490579728"/>
      <w:r w:rsidRPr="00CD7C9A">
        <w:t>Patient exposure</w:t>
      </w:r>
      <w:bookmarkEnd w:id="69"/>
      <w:bookmarkEnd w:id="70"/>
      <w:bookmarkEnd w:id="71"/>
      <w:bookmarkEnd w:id="72"/>
      <w:bookmarkEnd w:id="73"/>
      <w:bookmarkEnd w:id="74"/>
    </w:p>
    <w:p w14:paraId="40C1D851" w14:textId="2D505C09" w:rsidR="00CD7C9A" w:rsidRPr="00CD7C9A" w:rsidRDefault="00630278" w:rsidP="00CD7C9A">
      <w:pPr>
        <w:rPr>
          <w:lang w:eastAsia="ja-JP"/>
        </w:rPr>
      </w:pPr>
      <w:r>
        <w:rPr>
          <w:bCs/>
          <w:lang w:eastAsia="ja-JP"/>
        </w:rPr>
        <w:t xml:space="preserve">1721 of </w:t>
      </w:r>
      <w:r w:rsidR="00CD7C9A" w:rsidRPr="00CD7C9A">
        <w:rPr>
          <w:bCs/>
          <w:lang w:eastAsia="ja-JP"/>
        </w:rPr>
        <w:t xml:space="preserve">1741 QIV recipients </w:t>
      </w:r>
      <w:r w:rsidR="009F7272">
        <w:rPr>
          <w:bCs/>
          <w:lang w:eastAsia="ja-JP"/>
        </w:rPr>
        <w:t xml:space="preserve">were </w:t>
      </w:r>
      <w:r w:rsidR="00CD7C9A" w:rsidRPr="00CD7C9A">
        <w:rPr>
          <w:bCs/>
          <w:lang w:eastAsia="ja-JP"/>
        </w:rPr>
        <w:t>included i</w:t>
      </w:r>
      <w:r w:rsidR="003A0698">
        <w:rPr>
          <w:bCs/>
          <w:lang w:eastAsia="ja-JP"/>
        </w:rPr>
        <w:t>n the s</w:t>
      </w:r>
      <w:r w:rsidR="005C347B">
        <w:rPr>
          <w:bCs/>
          <w:lang w:eastAsia="ja-JP"/>
        </w:rPr>
        <w:t>afety analysis. See also Table 2</w:t>
      </w:r>
      <w:r w:rsidR="003A0698">
        <w:rPr>
          <w:bCs/>
          <w:lang w:eastAsia="ja-JP"/>
        </w:rPr>
        <w:t xml:space="preserve"> above.</w:t>
      </w:r>
    </w:p>
    <w:p w14:paraId="67946FDE" w14:textId="77777777" w:rsidR="00CD7C9A" w:rsidRPr="00CD7C9A" w:rsidRDefault="00CD7C9A" w:rsidP="00B557D0">
      <w:pPr>
        <w:pStyle w:val="Heading3"/>
      </w:pPr>
      <w:bookmarkStart w:id="75" w:name="_Toc241374319"/>
      <w:bookmarkStart w:id="76" w:name="_Ref271044764"/>
      <w:bookmarkStart w:id="77" w:name="_Toc272414663"/>
      <w:bookmarkStart w:id="78" w:name="_Toc290846301"/>
      <w:bookmarkStart w:id="79" w:name="_Toc448702511"/>
      <w:bookmarkStart w:id="80" w:name="_Toc490579729"/>
      <w:r w:rsidRPr="00CD7C9A">
        <w:t>Adverse events</w:t>
      </w:r>
      <w:bookmarkEnd w:id="75"/>
      <w:bookmarkEnd w:id="76"/>
      <w:bookmarkEnd w:id="77"/>
      <w:bookmarkEnd w:id="78"/>
      <w:bookmarkEnd w:id="79"/>
      <w:bookmarkEnd w:id="80"/>
    </w:p>
    <w:p w14:paraId="44948CB0" w14:textId="60ECFD5E" w:rsidR="00CD7C9A" w:rsidRPr="00CD7C9A" w:rsidRDefault="00CD7C9A" w:rsidP="00B557D0">
      <w:pPr>
        <w:pStyle w:val="Heading4"/>
      </w:pPr>
      <w:bookmarkStart w:id="81" w:name="_Ref272317284"/>
      <w:bookmarkStart w:id="82" w:name="_Ref272333565"/>
      <w:bookmarkStart w:id="83" w:name="_Toc272414664"/>
      <w:bookmarkStart w:id="84" w:name="_Toc290846302"/>
      <w:r w:rsidRPr="00CD7C9A">
        <w:t>All adverse events (irrespective of relationship to study treatment)</w:t>
      </w:r>
      <w:bookmarkEnd w:id="81"/>
      <w:bookmarkEnd w:id="82"/>
      <w:bookmarkEnd w:id="83"/>
      <w:bookmarkEnd w:id="84"/>
      <w:r w:rsidR="00630278">
        <w:t xml:space="preserve"> in Study CSLCT-QIV-13-01</w:t>
      </w:r>
    </w:p>
    <w:p w14:paraId="11E60B24" w14:textId="718CC5EE" w:rsidR="00CD7C9A" w:rsidRPr="00CD7C9A" w:rsidRDefault="00CD7C9A" w:rsidP="00CD7C9A">
      <w:pPr>
        <w:rPr>
          <w:lang w:eastAsia="ja-JP"/>
        </w:rPr>
      </w:pPr>
      <w:r w:rsidRPr="00CD7C9A">
        <w:rPr>
          <w:lang w:eastAsia="ja-JP"/>
        </w:rPr>
        <w:t>No AESIs, cellulitis or cellulitis-like reactions at the injection site or AEs leading to withdrawal were reported. Overall, 52.9% reported an AE (sol</w:t>
      </w:r>
      <w:r w:rsidR="00B557D0">
        <w:rPr>
          <w:lang w:eastAsia="ja-JP"/>
        </w:rPr>
        <w:t>icited local adverse reactions (36.5%), solicited systemic AEs (28.4%) and unsolicited AEs (20.8%)</w:t>
      </w:r>
      <w:r w:rsidRPr="00CD7C9A">
        <w:rPr>
          <w:lang w:eastAsia="ja-JP"/>
        </w:rPr>
        <w:t>). These AEs were experienced in similar proportions of subjects across all the three vaccine groups.</w:t>
      </w:r>
    </w:p>
    <w:p w14:paraId="41461754" w14:textId="3CC9D17D" w:rsidR="00CD7C9A" w:rsidRDefault="00CD7C9A" w:rsidP="00630278">
      <w:pPr>
        <w:pStyle w:val="Tabletitle"/>
        <w:rPr>
          <w:lang w:eastAsia="ja-JP"/>
        </w:rPr>
      </w:pPr>
      <w:r w:rsidRPr="00CD7C9A">
        <w:rPr>
          <w:lang w:eastAsia="ja-JP"/>
        </w:rPr>
        <w:t>T</w:t>
      </w:r>
      <w:r w:rsidR="003A0698">
        <w:rPr>
          <w:lang w:eastAsia="ja-JP"/>
        </w:rPr>
        <w:t xml:space="preserve">able </w:t>
      </w:r>
      <w:r w:rsidR="0016670C">
        <w:rPr>
          <w:lang w:eastAsia="ja-JP"/>
        </w:rPr>
        <w:t>7</w:t>
      </w:r>
      <w:r w:rsidR="003A0698">
        <w:rPr>
          <w:lang w:eastAsia="ja-JP"/>
        </w:rPr>
        <w:t>.</w:t>
      </w:r>
      <w:r w:rsidRPr="00CD7C9A">
        <w:rPr>
          <w:lang w:eastAsia="ja-JP"/>
        </w:rPr>
        <w:t xml:space="preserve"> AEs in</w:t>
      </w:r>
      <w:r w:rsidR="00F81B42">
        <w:rPr>
          <w:lang w:eastAsia="ja-JP"/>
        </w:rPr>
        <w:t xml:space="preserve"> Study</w:t>
      </w:r>
      <w:r w:rsidRPr="00CD7C9A">
        <w:rPr>
          <w:lang w:eastAsia="ja-JP"/>
        </w:rPr>
        <w:t xml:space="preserve"> CSLCT-QIV-13-01</w:t>
      </w:r>
    </w:p>
    <w:p w14:paraId="38F9D4A6" w14:textId="3BAA1937" w:rsidR="00CD7C9A" w:rsidRPr="00F81B42" w:rsidRDefault="00F81B42" w:rsidP="00CD7C9A">
      <w:pPr>
        <w:rPr>
          <w:b/>
          <w:lang w:eastAsia="ja-JP"/>
        </w:rPr>
      </w:pPr>
      <w:r w:rsidRPr="00F81B42">
        <w:rPr>
          <w:b/>
          <w:noProof/>
          <w:lang w:eastAsia="en-AU"/>
        </w:rPr>
        <w:drawing>
          <wp:inline distT="0" distB="0" distL="0" distR="0" wp14:anchorId="512C8671" wp14:editId="050E43F7">
            <wp:extent cx="5474335" cy="3631766"/>
            <wp:effectExtent l="0" t="0" r="0" b="6985"/>
            <wp:docPr id="18" name="Picture 18" descr="Table 7. AEs in Study CSLCT-QIV-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61000"/>
                              </a14:imgEffect>
                              <a14:imgEffect>
                                <a14:brightnessContrast bright="4000" contrast="-11000"/>
                              </a14:imgEffect>
                            </a14:imgLayer>
                          </a14:imgProps>
                        </a:ext>
                      </a:extLst>
                    </a:blip>
                    <a:stretch>
                      <a:fillRect/>
                    </a:stretch>
                  </pic:blipFill>
                  <pic:spPr>
                    <a:xfrm>
                      <a:off x="0" y="0"/>
                      <a:ext cx="5477443" cy="3633828"/>
                    </a:xfrm>
                    <a:prstGeom prst="rect">
                      <a:avLst/>
                    </a:prstGeom>
                  </pic:spPr>
                </pic:pic>
              </a:graphicData>
            </a:graphic>
          </wp:inline>
        </w:drawing>
      </w:r>
    </w:p>
    <w:p w14:paraId="12E52586" w14:textId="335E1D7D" w:rsidR="00CD7C9A" w:rsidRPr="00914591" w:rsidRDefault="00CD7C9A" w:rsidP="00914591">
      <w:pPr>
        <w:pStyle w:val="Heading4"/>
      </w:pPr>
      <w:bookmarkStart w:id="85" w:name="_Ref272333567"/>
      <w:bookmarkStart w:id="86" w:name="_Toc272414665"/>
      <w:bookmarkStart w:id="87" w:name="_Toc290846303"/>
      <w:bookmarkStart w:id="88" w:name="_Toc448702512"/>
      <w:r w:rsidRPr="00CD7C9A">
        <w:lastRenderedPageBreak/>
        <w:t>Treatment-related adverse events (adverse drug reactions)</w:t>
      </w:r>
      <w:bookmarkEnd w:id="85"/>
      <w:bookmarkEnd w:id="86"/>
      <w:bookmarkEnd w:id="87"/>
      <w:bookmarkEnd w:id="88"/>
      <w:r w:rsidR="00630278">
        <w:t xml:space="preserve"> in Study </w:t>
      </w:r>
      <w:r w:rsidRPr="00914591">
        <w:rPr>
          <w:iCs/>
        </w:rPr>
        <w:t>CSLCT</w:t>
      </w:r>
      <w:r w:rsidR="00630278" w:rsidRPr="00630278">
        <w:rPr>
          <w:iCs/>
          <w:strike/>
        </w:rPr>
        <w:t> </w:t>
      </w:r>
      <w:r w:rsidRPr="00914591">
        <w:rPr>
          <w:iCs/>
        </w:rPr>
        <w:t>QIV-13-01</w:t>
      </w:r>
    </w:p>
    <w:p w14:paraId="7BDD42BE" w14:textId="3C32A215" w:rsidR="00CD7C9A" w:rsidRPr="00CD7C9A" w:rsidRDefault="00CD7C9A" w:rsidP="00CD7C9A">
      <w:pPr>
        <w:rPr>
          <w:lang w:eastAsia="ja-JP"/>
        </w:rPr>
      </w:pPr>
      <w:r w:rsidRPr="00CD7C9A">
        <w:rPr>
          <w:lang w:eastAsia="ja-JP"/>
        </w:rPr>
        <w:t>Most common (</w:t>
      </w:r>
      <w:r w:rsidR="00E936A1">
        <w:rPr>
          <w:lang w:eastAsia="ja-JP"/>
        </w:rPr>
        <w:t xml:space="preserve">≥ </w:t>
      </w:r>
      <w:r w:rsidRPr="00CD7C9A">
        <w:rPr>
          <w:lang w:eastAsia="ja-JP"/>
        </w:rPr>
        <w:t xml:space="preserve">10% of subjects) solicited local adverse reaction was injection site pain in all three vaccine groups. Proportion in the QIV group experiencing injection site pain was higher in the 18-64 </w:t>
      </w:r>
      <w:r w:rsidR="00F81B42">
        <w:rPr>
          <w:lang w:eastAsia="ja-JP"/>
        </w:rPr>
        <w:t>years</w:t>
      </w:r>
      <w:r w:rsidRPr="00CD7C9A">
        <w:rPr>
          <w:lang w:eastAsia="ja-JP"/>
        </w:rPr>
        <w:t xml:space="preserve"> age cohort (47.9%) v</w:t>
      </w:r>
      <w:r w:rsidR="00F81B42">
        <w:rPr>
          <w:lang w:eastAsia="ja-JP"/>
        </w:rPr>
        <w:t>ersus</w:t>
      </w:r>
      <w:r w:rsidRPr="00CD7C9A">
        <w:rPr>
          <w:lang w:eastAsia="ja-JP"/>
        </w:rPr>
        <w:t xml:space="preserve"> the older age cohort (</w:t>
      </w:r>
      <w:r w:rsidR="00E936A1">
        <w:rPr>
          <w:lang w:eastAsia="ja-JP"/>
        </w:rPr>
        <w:t xml:space="preserve">≥ </w:t>
      </w:r>
      <w:r w:rsidRPr="00CD7C9A">
        <w:rPr>
          <w:lang w:eastAsia="ja-JP"/>
        </w:rPr>
        <w:t xml:space="preserve">65 </w:t>
      </w:r>
      <w:r w:rsidR="00F81B42">
        <w:rPr>
          <w:lang w:eastAsia="ja-JP"/>
        </w:rPr>
        <w:t>years</w:t>
      </w:r>
      <w:r w:rsidRPr="00CD7C9A">
        <w:rPr>
          <w:lang w:eastAsia="ja-JP"/>
        </w:rPr>
        <w:t>: 24.6%). Add</w:t>
      </w:r>
      <w:r w:rsidR="00F81B42">
        <w:rPr>
          <w:lang w:eastAsia="ja-JP"/>
        </w:rPr>
        <w:t xml:space="preserve">itionally, the proportion of 18 to </w:t>
      </w:r>
      <w:r w:rsidRPr="00CD7C9A">
        <w:rPr>
          <w:lang w:eastAsia="ja-JP"/>
        </w:rPr>
        <w:t>64 y</w:t>
      </w:r>
      <w:r w:rsidR="00F81B42">
        <w:rPr>
          <w:lang w:eastAsia="ja-JP"/>
        </w:rPr>
        <w:t>ea</w:t>
      </w:r>
      <w:r w:rsidRPr="00CD7C9A">
        <w:rPr>
          <w:lang w:eastAsia="ja-JP"/>
        </w:rPr>
        <w:t>r olds experiencing moderate redness and swelling/lump at the injection site was slightly higher in the QIV group (0.8% and 1.2%, respectively) v</w:t>
      </w:r>
      <w:r w:rsidR="00F81B42">
        <w:rPr>
          <w:lang w:eastAsia="ja-JP"/>
        </w:rPr>
        <w:t>ersus</w:t>
      </w:r>
      <w:r w:rsidRPr="00CD7C9A">
        <w:rPr>
          <w:lang w:eastAsia="ja-JP"/>
        </w:rPr>
        <w:t xml:space="preserve"> TIV-1 (0.2% and 0.5% reported redness or swelling/lump, respectively) and TIV-2 groups (0.5% of subjects reporting redness or swelling/lump each). Subjects aged </w:t>
      </w:r>
      <w:r w:rsidR="00E936A1">
        <w:rPr>
          <w:lang w:eastAsia="ja-JP"/>
        </w:rPr>
        <w:t xml:space="preserve">≥ </w:t>
      </w:r>
      <w:r w:rsidRPr="00CD7C9A">
        <w:rPr>
          <w:lang w:eastAsia="ja-JP"/>
        </w:rPr>
        <w:t xml:space="preserve">65 </w:t>
      </w:r>
      <w:r w:rsidR="00F81B42">
        <w:rPr>
          <w:lang w:eastAsia="ja-JP"/>
        </w:rPr>
        <w:t>years</w:t>
      </w:r>
      <w:r w:rsidRPr="00CD7C9A">
        <w:rPr>
          <w:lang w:eastAsia="ja-JP"/>
        </w:rPr>
        <w:t xml:space="preserve"> also experienced redness and swelling/lump events </w:t>
      </w:r>
      <w:r w:rsidR="00F81B42">
        <w:rPr>
          <w:lang w:eastAsia="ja-JP"/>
        </w:rPr>
        <w:t>of greater intensity (moderate (Grade 2) and severe (Grade 3)</w:t>
      </w:r>
      <w:r w:rsidRPr="00CD7C9A">
        <w:rPr>
          <w:lang w:eastAsia="ja-JP"/>
        </w:rPr>
        <w:t>) in the QIV group v</w:t>
      </w:r>
      <w:r w:rsidR="00F81B42">
        <w:rPr>
          <w:lang w:eastAsia="ja-JP"/>
        </w:rPr>
        <w:t>ersus</w:t>
      </w:r>
      <w:r w:rsidRPr="00CD7C9A">
        <w:rPr>
          <w:lang w:eastAsia="ja-JP"/>
        </w:rPr>
        <w:t xml:space="preserve"> comparator TIV vaccines. Female subjects in the QIV group were more likely to report an</w:t>
      </w:r>
      <w:r w:rsidR="00F81B42">
        <w:rPr>
          <w:lang w:eastAsia="ja-JP"/>
        </w:rPr>
        <w:t>y local adverse reaction (1.16 (95% CI: 1.01, 1.32)</w:t>
      </w:r>
      <w:r w:rsidRPr="00CD7C9A">
        <w:rPr>
          <w:lang w:eastAsia="ja-JP"/>
        </w:rPr>
        <w:t>) and pain</w:t>
      </w:r>
      <w:r w:rsidR="00F81B42">
        <w:rPr>
          <w:lang w:eastAsia="ja-JP"/>
        </w:rPr>
        <w:t xml:space="preserve"> (at the injection site) (1.17 (95% CI: 1.02, 1.34)</w:t>
      </w:r>
      <w:r w:rsidRPr="00CD7C9A">
        <w:rPr>
          <w:lang w:eastAsia="ja-JP"/>
        </w:rPr>
        <w:t>) than females in the TIV-1 group. Most of the solicited local adverse reactions (pain, redness and swelling/lump), experienced in any vaccine group, started on Day 1 and had a mean duration of 1.8 to 3.1 days.</w:t>
      </w:r>
    </w:p>
    <w:p w14:paraId="725674A6" w14:textId="6E04BB72" w:rsidR="00CD7C9A" w:rsidRDefault="00F16F93" w:rsidP="00630278">
      <w:pPr>
        <w:pStyle w:val="Tabletitle"/>
        <w:rPr>
          <w:lang w:eastAsia="ja-JP"/>
        </w:rPr>
      </w:pPr>
      <w:r>
        <w:rPr>
          <w:lang w:eastAsia="ja-JP"/>
        </w:rPr>
        <w:t xml:space="preserve">Table </w:t>
      </w:r>
      <w:r w:rsidR="0016670C">
        <w:rPr>
          <w:lang w:eastAsia="ja-JP"/>
        </w:rPr>
        <w:t>8</w:t>
      </w:r>
      <w:r>
        <w:rPr>
          <w:lang w:eastAsia="ja-JP"/>
        </w:rPr>
        <w:t xml:space="preserve">. Study </w:t>
      </w:r>
      <w:r w:rsidR="00CD7C9A" w:rsidRPr="00CD7C9A">
        <w:rPr>
          <w:lang w:eastAsia="ja-JP"/>
        </w:rPr>
        <w:t xml:space="preserve">CSLCT-QIV-13-01 Solicited </w:t>
      </w:r>
      <w:r w:rsidRPr="00CD7C9A">
        <w:rPr>
          <w:lang w:eastAsia="ja-JP"/>
        </w:rPr>
        <w:t>local symptoms overall and by maximum intensity (safety population)</w:t>
      </w:r>
    </w:p>
    <w:p w14:paraId="25A67486" w14:textId="0BFBB985" w:rsidR="00F81B42" w:rsidRPr="00CD7C9A" w:rsidRDefault="00F81B42" w:rsidP="00F50C7E">
      <w:pPr>
        <w:rPr>
          <w:lang w:eastAsia="ja-JP"/>
        </w:rPr>
      </w:pPr>
      <w:r w:rsidRPr="00F81B42">
        <w:rPr>
          <w:noProof/>
          <w:lang w:eastAsia="en-AU"/>
        </w:rPr>
        <w:drawing>
          <wp:inline distT="0" distB="0" distL="0" distR="0" wp14:anchorId="7E57AF09" wp14:editId="4B7C98FC">
            <wp:extent cx="5731510" cy="3046730"/>
            <wp:effectExtent l="0" t="0" r="2540" b="1270"/>
            <wp:docPr id="19" name="Picture 19" descr="Table 8. Study CSLCT-QIV-13-01 Solicited local symptoms overall and by maximum intensit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046730"/>
                    </a:xfrm>
                    <a:prstGeom prst="rect">
                      <a:avLst/>
                    </a:prstGeom>
                  </pic:spPr>
                </pic:pic>
              </a:graphicData>
            </a:graphic>
          </wp:inline>
        </w:drawing>
      </w:r>
    </w:p>
    <w:p w14:paraId="67EA734F" w14:textId="68F4FC7C" w:rsidR="00CD7C9A" w:rsidRPr="00CD7C9A" w:rsidRDefault="00CD7C9A" w:rsidP="00CD7C9A">
      <w:pPr>
        <w:rPr>
          <w:lang w:eastAsia="ja-JP"/>
        </w:rPr>
      </w:pPr>
      <w:r w:rsidRPr="00CD7C9A">
        <w:rPr>
          <w:lang w:eastAsia="ja-JP"/>
        </w:rPr>
        <w:t>The two most common (</w:t>
      </w:r>
      <w:r w:rsidR="00E936A1">
        <w:rPr>
          <w:lang w:eastAsia="ja-JP"/>
        </w:rPr>
        <w:t xml:space="preserve">≥ </w:t>
      </w:r>
      <w:r w:rsidRPr="00CD7C9A">
        <w:rPr>
          <w:lang w:eastAsia="ja-JP"/>
        </w:rPr>
        <w:t>10% of subjects) solicited systemic AEs were myalgia and headache (in all three vaccine g</w:t>
      </w:r>
      <w:r w:rsidR="00F16F93">
        <w:rPr>
          <w:lang w:eastAsia="ja-JP"/>
        </w:rPr>
        <w:t xml:space="preserve">roups), in the adult cohort (18 to </w:t>
      </w:r>
      <w:r w:rsidRPr="00CD7C9A">
        <w:rPr>
          <w:lang w:eastAsia="ja-JP"/>
        </w:rPr>
        <w:t xml:space="preserve">64 </w:t>
      </w:r>
      <w:r w:rsidR="00F81B42">
        <w:rPr>
          <w:lang w:eastAsia="ja-JP"/>
        </w:rPr>
        <w:t>years</w:t>
      </w:r>
      <w:r w:rsidRPr="00CD7C9A">
        <w:rPr>
          <w:lang w:eastAsia="ja-JP"/>
        </w:rPr>
        <w:t>) and myalgia (followed by headache, but &lt;</w:t>
      </w:r>
      <w:r w:rsidR="00F16F93">
        <w:rPr>
          <w:lang w:eastAsia="ja-JP"/>
        </w:rPr>
        <w:t xml:space="preserve"> 10</w:t>
      </w:r>
      <w:r w:rsidRPr="00CD7C9A">
        <w:rPr>
          <w:lang w:eastAsia="ja-JP"/>
        </w:rPr>
        <w:t>% of subjects) in the older adult cohort (</w:t>
      </w:r>
      <w:r w:rsidR="00E936A1">
        <w:rPr>
          <w:lang w:eastAsia="ja-JP"/>
        </w:rPr>
        <w:t xml:space="preserve">≥ </w:t>
      </w:r>
      <w:r w:rsidRPr="00CD7C9A">
        <w:rPr>
          <w:lang w:eastAsia="ja-JP"/>
        </w:rPr>
        <w:t xml:space="preserve">65 </w:t>
      </w:r>
      <w:r w:rsidR="00F81B42">
        <w:rPr>
          <w:lang w:eastAsia="ja-JP"/>
        </w:rPr>
        <w:t>years</w:t>
      </w:r>
      <w:r w:rsidRPr="00CD7C9A">
        <w:rPr>
          <w:lang w:eastAsia="ja-JP"/>
        </w:rPr>
        <w:t>). The proportion of subjects reporting any solicited systemic AE tended to be higher in the adult cohort (37.2% subjects overall) compared with the older adult cohort (19.6% subjects overall) regardless of the vaccine administered. Subjects were more likely to experience headache events after vaccination with QIV compared wit</w:t>
      </w:r>
      <w:r w:rsidR="00F16F93">
        <w:rPr>
          <w:lang w:eastAsia="ja-JP"/>
        </w:rPr>
        <w:t>h TIV-1 for all subjects (1.35 (95% CI: 1.08, 1.68)</w:t>
      </w:r>
      <w:r w:rsidR="00630278">
        <w:rPr>
          <w:lang w:eastAsia="ja-JP"/>
        </w:rPr>
        <w:t xml:space="preserve">), for subjects in the 18 to </w:t>
      </w:r>
      <w:r w:rsidRPr="00CD7C9A">
        <w:rPr>
          <w:lang w:eastAsia="ja-JP"/>
        </w:rPr>
        <w:t xml:space="preserve">64 </w:t>
      </w:r>
      <w:r w:rsidR="00F81B42">
        <w:rPr>
          <w:lang w:eastAsia="ja-JP"/>
        </w:rPr>
        <w:t>years</w:t>
      </w:r>
      <w:r w:rsidR="00630278">
        <w:rPr>
          <w:lang w:eastAsia="ja-JP"/>
        </w:rPr>
        <w:t xml:space="preserve"> of age</w:t>
      </w:r>
      <w:r w:rsidR="00F16F93">
        <w:rPr>
          <w:lang w:eastAsia="ja-JP"/>
        </w:rPr>
        <w:t xml:space="preserve"> cohort (1.43 (</w:t>
      </w:r>
      <w:r w:rsidRPr="00CD7C9A">
        <w:rPr>
          <w:lang w:eastAsia="ja-JP"/>
        </w:rPr>
        <w:t>95% CI: 1.10, 1.85</w:t>
      </w:r>
      <w:r w:rsidR="00F16F93">
        <w:rPr>
          <w:lang w:eastAsia="ja-JP"/>
        </w:rPr>
        <w:t>)</w:t>
      </w:r>
      <w:r w:rsidR="00C102AD">
        <w:rPr>
          <w:lang w:eastAsia="ja-JP"/>
        </w:rPr>
        <w:t>), for subjects in the 18 to </w:t>
      </w:r>
      <w:r w:rsidRPr="00CD7C9A">
        <w:rPr>
          <w:lang w:eastAsia="ja-JP"/>
        </w:rPr>
        <w:t xml:space="preserve">49 </w:t>
      </w:r>
      <w:r w:rsidR="00F81B42">
        <w:rPr>
          <w:lang w:eastAsia="ja-JP"/>
        </w:rPr>
        <w:t>years</w:t>
      </w:r>
      <w:r w:rsidR="00F16F93">
        <w:rPr>
          <w:lang w:eastAsia="ja-JP"/>
        </w:rPr>
        <w:t xml:space="preserve"> </w:t>
      </w:r>
      <w:r w:rsidR="00C102AD">
        <w:rPr>
          <w:lang w:eastAsia="ja-JP"/>
        </w:rPr>
        <w:t xml:space="preserve">of </w:t>
      </w:r>
      <w:r w:rsidR="00F16F93">
        <w:rPr>
          <w:lang w:eastAsia="ja-JP"/>
        </w:rPr>
        <w:t xml:space="preserve">age group (1.40 (95%CI: 1.02, 1.92)) and </w:t>
      </w:r>
      <w:r w:rsidR="00C102AD">
        <w:rPr>
          <w:lang w:eastAsia="ja-JP"/>
        </w:rPr>
        <w:t>in females (1.42 (95%CI: 1.10, </w:t>
      </w:r>
      <w:r w:rsidR="00F16F93">
        <w:rPr>
          <w:lang w:eastAsia="ja-JP"/>
        </w:rPr>
        <w:t>1.83)</w:t>
      </w:r>
      <w:r w:rsidRPr="00CD7C9A">
        <w:rPr>
          <w:lang w:eastAsia="ja-JP"/>
        </w:rPr>
        <w:t>). There were no statistically significant relative risks for any other systemic AEs after vaccination with QIV compared to TIV-1 and TIV-2. The average onset of solicited syste</w:t>
      </w:r>
      <w:r w:rsidR="00C102AD">
        <w:rPr>
          <w:lang w:eastAsia="ja-JP"/>
        </w:rPr>
        <w:t>mic AEs was on Day </w:t>
      </w:r>
      <w:r w:rsidRPr="00CD7C9A">
        <w:rPr>
          <w:lang w:eastAsia="ja-JP"/>
        </w:rPr>
        <w:t>2, with the exception of myalgia in all vaccine groups (average onset was Day 1), fever in the comparator TIV groups (average onset was Day 3) and vomiting in all vaccine groups (average onset was Day 3), and had a mean of 1.1 to 2.2 days.</w:t>
      </w:r>
    </w:p>
    <w:p w14:paraId="1DDA99C2" w14:textId="1937AC35" w:rsidR="00CD7C9A" w:rsidRPr="00CD7C9A" w:rsidRDefault="00CD7C9A" w:rsidP="00CD7C9A">
      <w:pPr>
        <w:rPr>
          <w:lang w:eastAsia="ja-JP"/>
        </w:rPr>
      </w:pPr>
      <w:r w:rsidRPr="00CD7C9A">
        <w:rPr>
          <w:lang w:eastAsia="ja-JP"/>
        </w:rPr>
        <w:lastRenderedPageBreak/>
        <w:t>Generally, the solicited local adverse reactions and systemic AEs were graded as mild in intensity.</w:t>
      </w:r>
      <w:r w:rsidR="00630278">
        <w:rPr>
          <w:lang w:eastAsia="ja-JP"/>
        </w:rPr>
        <w:t xml:space="preserve"> </w:t>
      </w:r>
      <w:r w:rsidRPr="00CD7C9A">
        <w:rPr>
          <w:lang w:eastAsia="ja-JP"/>
        </w:rPr>
        <w:t>No individual unsolicited AE was reported in &gt;</w:t>
      </w:r>
      <w:r w:rsidR="00F16F93">
        <w:rPr>
          <w:lang w:eastAsia="ja-JP"/>
        </w:rPr>
        <w:t xml:space="preserve"> </w:t>
      </w:r>
      <w:r w:rsidRPr="00CD7C9A">
        <w:rPr>
          <w:lang w:eastAsia="ja-JP"/>
        </w:rPr>
        <w:t>10% subjects in any vaccine group or age cohort.</w:t>
      </w:r>
    </w:p>
    <w:p w14:paraId="26F0F74A" w14:textId="0A9EBEEC" w:rsidR="00CD7C9A" w:rsidRPr="00CD7C9A" w:rsidRDefault="00CD7C9A" w:rsidP="00CD7C9A">
      <w:pPr>
        <w:rPr>
          <w:lang w:eastAsia="ja-JP"/>
        </w:rPr>
      </w:pPr>
      <w:r w:rsidRPr="00CD7C9A">
        <w:rPr>
          <w:lang w:eastAsia="ja-JP"/>
        </w:rPr>
        <w:t>The most common unsolicited AE was headache in 3.5% subjects overall followed by oropharyngeal pain (1.8%), back pain (1.7%), diarrhoea (1.2%), rhinorrhoea (1.2%), cough (1.0%) and nasal congestion (1.0%). The proportion of subjects experiencing any unsolicited AE was similar in the 18</w:t>
      </w:r>
      <w:r w:rsidR="00F16F93">
        <w:rPr>
          <w:lang w:eastAsia="ja-JP"/>
        </w:rPr>
        <w:t xml:space="preserve"> to </w:t>
      </w:r>
      <w:r w:rsidRPr="00CD7C9A">
        <w:rPr>
          <w:lang w:eastAsia="ja-JP"/>
        </w:rPr>
        <w:t xml:space="preserve">64 </w:t>
      </w:r>
      <w:r w:rsidR="00F81B42">
        <w:rPr>
          <w:lang w:eastAsia="ja-JP"/>
        </w:rPr>
        <w:t>years</w:t>
      </w:r>
      <w:r w:rsidRPr="00CD7C9A">
        <w:rPr>
          <w:lang w:eastAsia="ja-JP"/>
        </w:rPr>
        <w:t xml:space="preserve"> age cohort (20.5% subjects overall) compared with </w:t>
      </w:r>
      <w:r w:rsidR="00E936A1">
        <w:rPr>
          <w:lang w:eastAsia="ja-JP"/>
        </w:rPr>
        <w:t xml:space="preserve">≥ </w:t>
      </w:r>
      <w:r w:rsidRPr="00CD7C9A">
        <w:rPr>
          <w:lang w:eastAsia="ja-JP"/>
        </w:rPr>
        <w:t xml:space="preserve">65 </w:t>
      </w:r>
      <w:r w:rsidR="00F81B42">
        <w:rPr>
          <w:lang w:eastAsia="ja-JP"/>
        </w:rPr>
        <w:t>years</w:t>
      </w:r>
      <w:r w:rsidRPr="00CD7C9A">
        <w:rPr>
          <w:lang w:eastAsia="ja-JP"/>
        </w:rPr>
        <w:t xml:space="preserve"> age cohort (21.2% subjects overall), with slightly higher proportion of subjects experiencing related unsolicited AEs in the 18 through 64 </w:t>
      </w:r>
      <w:r w:rsidR="00F81B42">
        <w:rPr>
          <w:lang w:eastAsia="ja-JP"/>
        </w:rPr>
        <w:t>years</w:t>
      </w:r>
      <w:r w:rsidRPr="00CD7C9A">
        <w:rPr>
          <w:lang w:eastAsia="ja-JP"/>
        </w:rPr>
        <w:t xml:space="preserve"> age cohort (3.7% subjects overall) compared with </w:t>
      </w:r>
      <w:r w:rsidR="00E936A1">
        <w:rPr>
          <w:lang w:eastAsia="ja-JP"/>
        </w:rPr>
        <w:t xml:space="preserve">≥ </w:t>
      </w:r>
      <w:r w:rsidRPr="00CD7C9A">
        <w:rPr>
          <w:lang w:eastAsia="ja-JP"/>
        </w:rPr>
        <w:t xml:space="preserve">65 </w:t>
      </w:r>
      <w:r w:rsidR="00F81B42">
        <w:rPr>
          <w:lang w:eastAsia="ja-JP"/>
        </w:rPr>
        <w:t>years</w:t>
      </w:r>
      <w:r w:rsidRPr="00CD7C9A">
        <w:rPr>
          <w:lang w:eastAsia="ja-JP"/>
        </w:rPr>
        <w:t xml:space="preserve"> age cohort (2.1% of subjects overall).</w:t>
      </w:r>
    </w:p>
    <w:p w14:paraId="3FEB6DB4" w14:textId="69FFD885" w:rsidR="00CD7C9A" w:rsidRPr="00CD7C9A" w:rsidRDefault="00CD7C9A" w:rsidP="00CD7C9A">
      <w:pPr>
        <w:rPr>
          <w:lang w:eastAsia="ja-JP"/>
        </w:rPr>
      </w:pPr>
      <w:r w:rsidRPr="00CD7C9A">
        <w:rPr>
          <w:lang w:eastAsia="ja-JP"/>
        </w:rPr>
        <w:t>A higher proportion of female subjects reported events (solicited local or systemic and unsolicited</w:t>
      </w:r>
      <w:r w:rsidR="00F16F93">
        <w:rPr>
          <w:lang w:eastAsia="ja-JP"/>
        </w:rPr>
        <w:t xml:space="preserve"> </w:t>
      </w:r>
      <w:r w:rsidRPr="00CD7C9A">
        <w:rPr>
          <w:lang w:eastAsia="ja-JP"/>
        </w:rPr>
        <w:t>AEs) v</w:t>
      </w:r>
      <w:r w:rsidR="00F16F93">
        <w:rPr>
          <w:lang w:eastAsia="ja-JP"/>
        </w:rPr>
        <w:t>ersus</w:t>
      </w:r>
      <w:r w:rsidRPr="00CD7C9A">
        <w:rPr>
          <w:lang w:eastAsia="ja-JP"/>
        </w:rPr>
        <w:t xml:space="preserve"> male subjects in all vaccine groups. No clinically significant differences were noted in the proportion of subjects who reported events (solicited local or systemic or unsolicited AEs) based on race or ethnicity in any vaccine group. Grade 3 injection site swelling/induration was reported in more subjects in the QIV and in the </w:t>
      </w:r>
      <w:r w:rsidR="00E936A1">
        <w:rPr>
          <w:lang w:eastAsia="ja-JP"/>
        </w:rPr>
        <w:t xml:space="preserve">≥ </w:t>
      </w:r>
      <w:r w:rsidRPr="00CD7C9A">
        <w:rPr>
          <w:lang w:eastAsia="ja-JP"/>
        </w:rPr>
        <w:t xml:space="preserve">65 </w:t>
      </w:r>
      <w:r w:rsidR="00F81B42">
        <w:rPr>
          <w:lang w:eastAsia="ja-JP"/>
        </w:rPr>
        <w:t>years</w:t>
      </w:r>
      <w:r w:rsidRPr="00CD7C9A">
        <w:rPr>
          <w:lang w:eastAsia="ja-JP"/>
        </w:rPr>
        <w:t xml:space="preserve"> age cohort (4 QIV subjects) compared with 18-64 </w:t>
      </w:r>
      <w:r w:rsidR="00F81B42">
        <w:rPr>
          <w:lang w:eastAsia="ja-JP"/>
        </w:rPr>
        <w:t>years</w:t>
      </w:r>
      <w:r w:rsidRPr="00CD7C9A">
        <w:rPr>
          <w:lang w:eastAsia="ja-JP"/>
        </w:rPr>
        <w:t xml:space="preserve"> age cohort (one subject each in QIV and TIV-2 groups).</w:t>
      </w:r>
    </w:p>
    <w:p w14:paraId="45DC626A" w14:textId="7114C9BC" w:rsidR="00CD7C9A" w:rsidRDefault="00F16F93" w:rsidP="00C102AD">
      <w:pPr>
        <w:pStyle w:val="Tabletitle"/>
        <w:rPr>
          <w:lang w:eastAsia="ja-JP"/>
        </w:rPr>
      </w:pPr>
      <w:r>
        <w:rPr>
          <w:lang w:eastAsia="ja-JP"/>
        </w:rPr>
        <w:t xml:space="preserve">Table </w:t>
      </w:r>
      <w:r w:rsidR="0016670C">
        <w:rPr>
          <w:lang w:eastAsia="ja-JP"/>
        </w:rPr>
        <w:t>9</w:t>
      </w:r>
      <w:r>
        <w:rPr>
          <w:lang w:eastAsia="ja-JP"/>
        </w:rPr>
        <w:t>. Study</w:t>
      </w:r>
      <w:r w:rsidR="00CD7C9A" w:rsidRPr="00CD7C9A">
        <w:rPr>
          <w:lang w:eastAsia="ja-JP"/>
        </w:rPr>
        <w:t xml:space="preserve"> CSLCT-QIV-13-01</w:t>
      </w:r>
      <w:r w:rsidR="00C512A4">
        <w:rPr>
          <w:lang w:eastAsia="ja-JP"/>
        </w:rPr>
        <w:t xml:space="preserve"> </w:t>
      </w:r>
      <w:r w:rsidR="00CD7C9A" w:rsidRPr="00CD7C9A">
        <w:rPr>
          <w:lang w:eastAsia="ja-JP"/>
        </w:rPr>
        <w:t xml:space="preserve">Summary of </w:t>
      </w:r>
      <w:r w:rsidRPr="00CD7C9A">
        <w:rPr>
          <w:lang w:eastAsia="ja-JP"/>
        </w:rPr>
        <w:t xml:space="preserve">all solicited and unsolicited </w:t>
      </w:r>
      <w:r w:rsidR="0054743F">
        <w:rPr>
          <w:lang w:eastAsia="ja-JP"/>
        </w:rPr>
        <w:t>AEs</w:t>
      </w:r>
      <w:r w:rsidR="00CD7C9A" w:rsidRPr="00CD7C9A">
        <w:rPr>
          <w:lang w:eastAsia="ja-JP"/>
        </w:rPr>
        <w:t xml:space="preserve"> in Females</w:t>
      </w:r>
    </w:p>
    <w:p w14:paraId="0390B502" w14:textId="6757FE87" w:rsidR="00F16F93" w:rsidRPr="00CD7C9A" w:rsidRDefault="00F16F93" w:rsidP="00CD7C9A">
      <w:pPr>
        <w:rPr>
          <w:b/>
          <w:lang w:eastAsia="ja-JP"/>
        </w:rPr>
      </w:pPr>
      <w:r w:rsidRPr="00F16F93">
        <w:rPr>
          <w:b/>
          <w:noProof/>
          <w:lang w:eastAsia="en-AU"/>
        </w:rPr>
        <w:drawing>
          <wp:inline distT="0" distB="0" distL="0" distR="0" wp14:anchorId="51B1C107" wp14:editId="5EFFAB10">
            <wp:extent cx="5731510" cy="2973705"/>
            <wp:effectExtent l="0" t="0" r="2540" b="0"/>
            <wp:docPr id="20" name="Picture 20" descr="Table 9. Study CSLCT-QIV-13-01 Summary of all solicited and unsolicited AEs in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973705"/>
                    </a:xfrm>
                    <a:prstGeom prst="rect">
                      <a:avLst/>
                    </a:prstGeom>
                  </pic:spPr>
                </pic:pic>
              </a:graphicData>
            </a:graphic>
          </wp:inline>
        </w:drawing>
      </w:r>
    </w:p>
    <w:p w14:paraId="32B8560C" w14:textId="2DEC51E7" w:rsidR="00CD7C9A" w:rsidRDefault="0054743F" w:rsidP="00C102AD">
      <w:pPr>
        <w:pStyle w:val="Tabletitle"/>
        <w:rPr>
          <w:lang w:eastAsia="ja-JP"/>
        </w:rPr>
      </w:pPr>
      <w:r>
        <w:rPr>
          <w:lang w:eastAsia="ja-JP"/>
        </w:rPr>
        <w:lastRenderedPageBreak/>
        <w:t>Table 1</w:t>
      </w:r>
      <w:r w:rsidR="0016670C">
        <w:rPr>
          <w:lang w:eastAsia="ja-JP"/>
        </w:rPr>
        <w:t>0</w:t>
      </w:r>
      <w:r>
        <w:rPr>
          <w:lang w:eastAsia="ja-JP"/>
        </w:rPr>
        <w:t>. Study</w:t>
      </w:r>
      <w:r w:rsidR="00CD7C9A" w:rsidRPr="00CD7C9A">
        <w:rPr>
          <w:lang w:eastAsia="ja-JP"/>
        </w:rPr>
        <w:t xml:space="preserve"> CSLCT-QIV-13-01 Summary </w:t>
      </w:r>
      <w:r w:rsidRPr="00CD7C9A">
        <w:rPr>
          <w:lang w:eastAsia="ja-JP"/>
        </w:rPr>
        <w:t xml:space="preserve">of all solicited </w:t>
      </w:r>
      <w:r w:rsidRPr="00F16F93">
        <w:rPr>
          <w:lang w:eastAsia="ja-JP"/>
        </w:rPr>
        <w:t>and</w:t>
      </w:r>
      <w:r>
        <w:rPr>
          <w:lang w:eastAsia="ja-JP"/>
        </w:rPr>
        <w:t xml:space="preserve"> unsolicited AE in M</w:t>
      </w:r>
      <w:r w:rsidRPr="00CD7C9A">
        <w:rPr>
          <w:lang w:eastAsia="ja-JP"/>
        </w:rPr>
        <w:t>ales</w:t>
      </w:r>
    </w:p>
    <w:p w14:paraId="64C9E685" w14:textId="271EE94B" w:rsidR="00CD7C9A" w:rsidRPr="00F16F93" w:rsidRDefault="00F16F93" w:rsidP="00CD7C9A">
      <w:pPr>
        <w:rPr>
          <w:b/>
          <w:lang w:eastAsia="ja-JP"/>
        </w:rPr>
      </w:pPr>
      <w:r w:rsidRPr="00F16F93">
        <w:rPr>
          <w:b/>
          <w:noProof/>
          <w:lang w:eastAsia="en-AU"/>
        </w:rPr>
        <w:drawing>
          <wp:inline distT="0" distB="0" distL="0" distR="0" wp14:anchorId="0C47DB27" wp14:editId="1C72B23A">
            <wp:extent cx="5731510" cy="3217545"/>
            <wp:effectExtent l="0" t="0" r="2540" b="1905"/>
            <wp:docPr id="21" name="Picture 21" descr="Table 10. Study CSLCT-QIV-13-01 Summary of all solicited and unsolicited AE in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217545"/>
                    </a:xfrm>
                    <a:prstGeom prst="rect">
                      <a:avLst/>
                    </a:prstGeom>
                  </pic:spPr>
                </pic:pic>
              </a:graphicData>
            </a:graphic>
          </wp:inline>
        </w:drawing>
      </w:r>
    </w:p>
    <w:p w14:paraId="21663288" w14:textId="78BE23AB" w:rsidR="00CD7C9A" w:rsidRPr="007E605C" w:rsidRDefault="00CD7C9A" w:rsidP="007E605C">
      <w:pPr>
        <w:pStyle w:val="Heading4"/>
      </w:pPr>
      <w:bookmarkStart w:id="89" w:name="_Toc241374320"/>
      <w:bookmarkStart w:id="90" w:name="_Ref272333507"/>
      <w:bookmarkStart w:id="91" w:name="_Toc272414666"/>
      <w:bookmarkStart w:id="92" w:name="_Toc290846304"/>
      <w:bookmarkStart w:id="93" w:name="_Toc448702513"/>
      <w:r w:rsidRPr="00CD7C9A">
        <w:t>Deaths and other serious adverse events</w:t>
      </w:r>
      <w:bookmarkEnd w:id="89"/>
      <w:bookmarkEnd w:id="90"/>
      <w:bookmarkEnd w:id="91"/>
      <w:bookmarkEnd w:id="92"/>
      <w:bookmarkEnd w:id="93"/>
    </w:p>
    <w:p w14:paraId="68AD3EE1" w14:textId="33047989" w:rsidR="00CD7C9A" w:rsidRPr="00CD7C9A" w:rsidRDefault="00CD7C9A" w:rsidP="00CD7C9A">
      <w:pPr>
        <w:rPr>
          <w:lang w:eastAsia="ja-JP"/>
        </w:rPr>
      </w:pPr>
      <w:r w:rsidRPr="00CD7C9A">
        <w:rPr>
          <w:lang w:eastAsia="ja-JP"/>
        </w:rPr>
        <w:t>89 SAEs were experienced in 66 subjects (1.9%) during the study, with 4 SAEs (asthma, pancreatitis acute, hypoxia and pneumonia experienced in 3 subjects in QIV group) assessed as related to study vaccine. A total of 2.3% subjects in the QIV group experienced one or more SAE v</w:t>
      </w:r>
      <w:r w:rsidR="0054743F">
        <w:rPr>
          <w:lang w:eastAsia="ja-JP"/>
        </w:rPr>
        <w:t>ersus</w:t>
      </w:r>
      <w:r w:rsidRPr="00CD7C9A">
        <w:rPr>
          <w:lang w:eastAsia="ja-JP"/>
        </w:rPr>
        <w:t xml:space="preserve"> 1.6% and 1.5% in the comparator TIV-1 and TIV-2 groups, respectively. During the active study period (Day 1 to Day 28), a total of 15 SAEs were experienced in 12 subjects.</w:t>
      </w:r>
    </w:p>
    <w:p w14:paraId="595235C6" w14:textId="76967A92" w:rsidR="00CD7C9A" w:rsidRPr="00CD7C9A" w:rsidRDefault="00CD7C9A" w:rsidP="00CD7C9A">
      <w:pPr>
        <w:rPr>
          <w:lang w:eastAsia="ja-JP"/>
        </w:rPr>
      </w:pPr>
      <w:r w:rsidRPr="00CD7C9A">
        <w:rPr>
          <w:lang w:eastAsia="ja-JP"/>
        </w:rPr>
        <w:t xml:space="preserve">There were 6 deaths reported during the study, one of which was assessed as related (pneumonia in the </w:t>
      </w:r>
      <w:r w:rsidR="00E936A1">
        <w:rPr>
          <w:lang w:eastAsia="ja-JP"/>
        </w:rPr>
        <w:t xml:space="preserve">≥ </w:t>
      </w:r>
      <w:r w:rsidRPr="00CD7C9A">
        <w:rPr>
          <w:lang w:eastAsia="ja-JP"/>
        </w:rPr>
        <w:t xml:space="preserve">65 </w:t>
      </w:r>
      <w:r w:rsidR="00F81B42">
        <w:rPr>
          <w:lang w:eastAsia="ja-JP"/>
        </w:rPr>
        <w:t>years</w:t>
      </w:r>
      <w:r w:rsidRPr="00CD7C9A">
        <w:rPr>
          <w:lang w:eastAsia="ja-JP"/>
        </w:rPr>
        <w:t xml:space="preserve"> age cohort) to study vaccine. The SAEs with an outcome of death were: road traffic accident, cardiac failure, acute myocardial infarction, pneumonia and ventricular arrhythmia (QIV group) and sepsis (TIV-2 group). Of these 6 subjects, 2 subjects died (road traffic accident and pneumonia) during the active study period (Day 1 to Day 28). The study was temporarily halted on two occasions (after serious, unexpected and related event</w:t>
      </w:r>
      <w:r w:rsidR="0054743F">
        <w:rPr>
          <w:lang w:eastAsia="ja-JP"/>
        </w:rPr>
        <w:t>s of severe acute pancreatitis (occurred on Day 5) and severe asthma (</w:t>
      </w:r>
      <w:r w:rsidRPr="00CD7C9A">
        <w:rPr>
          <w:lang w:eastAsia="ja-JP"/>
        </w:rPr>
        <w:t>occurred on Day 17; outsid</w:t>
      </w:r>
      <w:r w:rsidR="0054743F">
        <w:rPr>
          <w:lang w:eastAsia="ja-JP"/>
        </w:rPr>
        <w:t>e the 7 day halting rule period)</w:t>
      </w:r>
      <w:r w:rsidRPr="00CD7C9A">
        <w:rPr>
          <w:lang w:eastAsia="ja-JP"/>
        </w:rPr>
        <w:t>). The DSMB Chair was consulted and upon review of each event, recruitment was allowed to continue within 24 hours. A formal DSMB meeting was not required for either event.</w:t>
      </w:r>
    </w:p>
    <w:p w14:paraId="41E5C652" w14:textId="77777777" w:rsidR="00CD7C9A" w:rsidRPr="00CD7C9A" w:rsidRDefault="00CD7C9A" w:rsidP="007E605C">
      <w:pPr>
        <w:pStyle w:val="Heading4"/>
      </w:pPr>
      <w:bookmarkStart w:id="94" w:name="_Toc241374325"/>
      <w:bookmarkStart w:id="95" w:name="_Ref272333477"/>
      <w:bookmarkStart w:id="96" w:name="_Toc272414667"/>
      <w:bookmarkStart w:id="97" w:name="_Toc290846305"/>
      <w:bookmarkStart w:id="98" w:name="_Toc448702514"/>
      <w:r w:rsidRPr="00CD7C9A">
        <w:t>Discontinuation due to adverse events</w:t>
      </w:r>
      <w:bookmarkEnd w:id="94"/>
      <w:bookmarkEnd w:id="95"/>
      <w:bookmarkEnd w:id="96"/>
      <w:bookmarkEnd w:id="97"/>
      <w:bookmarkEnd w:id="98"/>
    </w:p>
    <w:p w14:paraId="26F60604" w14:textId="77777777" w:rsidR="00CD7C9A" w:rsidRPr="00CD7C9A" w:rsidRDefault="00CD7C9A" w:rsidP="00CD7C9A">
      <w:pPr>
        <w:rPr>
          <w:lang w:eastAsia="ja-JP"/>
        </w:rPr>
      </w:pPr>
      <w:r w:rsidRPr="00CD7C9A">
        <w:rPr>
          <w:lang w:eastAsia="ja-JP"/>
        </w:rPr>
        <w:t>None.</w:t>
      </w:r>
    </w:p>
    <w:p w14:paraId="47519335" w14:textId="77777777" w:rsidR="00CD7C9A" w:rsidRPr="00CD7C9A" w:rsidRDefault="00CD7C9A" w:rsidP="007E605C">
      <w:pPr>
        <w:pStyle w:val="Heading3"/>
      </w:pPr>
      <w:bookmarkStart w:id="99" w:name="_Toc241374321"/>
      <w:bookmarkStart w:id="100" w:name="_Ref271044780"/>
      <w:bookmarkStart w:id="101" w:name="_Ref271196640"/>
      <w:bookmarkStart w:id="102" w:name="_Ref272333085"/>
      <w:bookmarkStart w:id="103" w:name="_Toc272414668"/>
      <w:bookmarkStart w:id="104" w:name="_Toc290846306"/>
      <w:bookmarkStart w:id="105" w:name="_Toc448702515"/>
      <w:bookmarkStart w:id="106" w:name="_Toc490579730"/>
      <w:r w:rsidRPr="00CD7C9A">
        <w:t>Laboratory tests</w:t>
      </w:r>
      <w:bookmarkEnd w:id="99"/>
      <w:bookmarkEnd w:id="100"/>
      <w:bookmarkEnd w:id="101"/>
      <w:bookmarkEnd w:id="102"/>
      <w:bookmarkEnd w:id="103"/>
      <w:bookmarkEnd w:id="104"/>
      <w:bookmarkEnd w:id="105"/>
      <w:bookmarkEnd w:id="106"/>
    </w:p>
    <w:p w14:paraId="1F89243C" w14:textId="4332334E" w:rsidR="00CD7C9A" w:rsidRPr="00CD7C9A" w:rsidRDefault="00CD7C9A" w:rsidP="00CD7C9A">
      <w:pPr>
        <w:rPr>
          <w:lang w:eastAsia="ja-JP"/>
        </w:rPr>
      </w:pPr>
      <w:r w:rsidRPr="00CD7C9A">
        <w:rPr>
          <w:lang w:eastAsia="ja-JP"/>
        </w:rPr>
        <w:t xml:space="preserve">Laboratory evaluations (aside from immunogenicity) were </w:t>
      </w:r>
      <w:r w:rsidR="0054743F">
        <w:rPr>
          <w:lang w:eastAsia="ja-JP"/>
        </w:rPr>
        <w:t>not performed in these studies.</w:t>
      </w:r>
    </w:p>
    <w:p w14:paraId="6B3FCC50" w14:textId="77777777" w:rsidR="00CD7C9A" w:rsidRPr="00CD7C9A" w:rsidRDefault="00CD7C9A" w:rsidP="003A0698">
      <w:pPr>
        <w:pStyle w:val="Heading4"/>
      </w:pPr>
      <w:bookmarkStart w:id="107" w:name="_Toc272414675"/>
      <w:bookmarkStart w:id="108" w:name="_Toc290846313"/>
      <w:bookmarkStart w:id="109" w:name="_Toc448702516"/>
      <w:r w:rsidRPr="00CD7C9A">
        <w:t>Electrocardiograph</w:t>
      </w:r>
      <w:bookmarkEnd w:id="107"/>
      <w:bookmarkEnd w:id="108"/>
      <w:bookmarkEnd w:id="109"/>
    </w:p>
    <w:p w14:paraId="098E13F3" w14:textId="77777777" w:rsidR="00CD7C9A" w:rsidRPr="00CD7C9A" w:rsidRDefault="00CD7C9A" w:rsidP="00CD7C9A">
      <w:pPr>
        <w:rPr>
          <w:lang w:eastAsia="ja-JP"/>
        </w:rPr>
      </w:pPr>
      <w:r w:rsidRPr="00CD7C9A">
        <w:rPr>
          <w:lang w:eastAsia="ja-JP"/>
        </w:rPr>
        <w:t>Not assessed in these vaccine studies.</w:t>
      </w:r>
    </w:p>
    <w:p w14:paraId="2AA0008F" w14:textId="77777777" w:rsidR="00CD7C9A" w:rsidRPr="00CD7C9A" w:rsidRDefault="00CD7C9A" w:rsidP="003A0698">
      <w:pPr>
        <w:pStyle w:val="Heading4"/>
      </w:pPr>
      <w:bookmarkStart w:id="110" w:name="_Toc272414676"/>
      <w:bookmarkStart w:id="111" w:name="_Toc290846314"/>
      <w:bookmarkStart w:id="112" w:name="_Toc448702517"/>
      <w:r w:rsidRPr="00CD7C9A">
        <w:t>Vital signs</w:t>
      </w:r>
      <w:bookmarkEnd w:id="110"/>
      <w:bookmarkEnd w:id="111"/>
      <w:bookmarkEnd w:id="112"/>
    </w:p>
    <w:p w14:paraId="57423907" w14:textId="77777777" w:rsidR="00CD7C9A" w:rsidRPr="00CD7C9A" w:rsidRDefault="00CD7C9A" w:rsidP="00CD7C9A">
      <w:pPr>
        <w:rPr>
          <w:lang w:eastAsia="ja-JP"/>
        </w:rPr>
      </w:pPr>
      <w:r w:rsidRPr="00CD7C9A">
        <w:rPr>
          <w:lang w:eastAsia="ja-JP"/>
        </w:rPr>
        <w:t>Not applicable.</w:t>
      </w:r>
    </w:p>
    <w:p w14:paraId="22929B89" w14:textId="77777777" w:rsidR="00CD7C9A" w:rsidRPr="00CD7C9A" w:rsidRDefault="00CD7C9A" w:rsidP="007E605C">
      <w:pPr>
        <w:pStyle w:val="Heading3"/>
      </w:pPr>
      <w:bookmarkStart w:id="113" w:name="_Toc241374326"/>
      <w:bookmarkStart w:id="114" w:name="_Ref272333048"/>
      <w:bookmarkStart w:id="115" w:name="_Toc272414679"/>
      <w:bookmarkStart w:id="116" w:name="_Toc290846317"/>
      <w:bookmarkStart w:id="117" w:name="_Toc448702518"/>
      <w:bookmarkStart w:id="118" w:name="_Toc490579731"/>
      <w:r w:rsidRPr="00CD7C9A">
        <w:lastRenderedPageBreak/>
        <w:t>Post-marketing experience</w:t>
      </w:r>
      <w:bookmarkEnd w:id="113"/>
      <w:bookmarkEnd w:id="114"/>
      <w:bookmarkEnd w:id="115"/>
      <w:bookmarkEnd w:id="116"/>
      <w:bookmarkEnd w:id="117"/>
      <w:bookmarkEnd w:id="118"/>
    </w:p>
    <w:p w14:paraId="6D659003" w14:textId="77777777" w:rsidR="00CD7C9A" w:rsidRPr="00CD7C9A" w:rsidRDefault="00CD7C9A" w:rsidP="00CD7C9A">
      <w:pPr>
        <w:rPr>
          <w:lang w:eastAsia="ja-JP"/>
        </w:rPr>
      </w:pPr>
      <w:r w:rsidRPr="00CD7C9A">
        <w:rPr>
          <w:lang w:eastAsia="ja-JP"/>
        </w:rPr>
        <w:t>Not applicable.</w:t>
      </w:r>
    </w:p>
    <w:p w14:paraId="6C52BA99" w14:textId="77777777" w:rsidR="00CD7C9A" w:rsidRPr="00CD7C9A" w:rsidRDefault="00CD7C9A" w:rsidP="007E605C">
      <w:pPr>
        <w:pStyle w:val="Heading3"/>
      </w:pPr>
      <w:bookmarkStart w:id="119" w:name="_Ref272333005"/>
      <w:bookmarkStart w:id="120" w:name="_Toc272414680"/>
      <w:bookmarkStart w:id="121" w:name="_Toc290846318"/>
      <w:bookmarkStart w:id="122" w:name="_Toc448702519"/>
      <w:bookmarkStart w:id="123" w:name="_Toc490579732"/>
      <w:r w:rsidRPr="00CD7C9A">
        <w:t>Safety issues with the potential for major regulatory imp</w:t>
      </w:r>
      <w:bookmarkEnd w:id="119"/>
      <w:bookmarkEnd w:id="120"/>
      <w:r w:rsidRPr="00CD7C9A">
        <w:t>act</w:t>
      </w:r>
      <w:bookmarkEnd w:id="121"/>
      <w:bookmarkEnd w:id="122"/>
      <w:bookmarkEnd w:id="123"/>
    </w:p>
    <w:p w14:paraId="3CCD74FF" w14:textId="77777777" w:rsidR="00CD7C9A" w:rsidRPr="00CD7C9A" w:rsidRDefault="00CD7C9A" w:rsidP="00CD7C9A">
      <w:pPr>
        <w:rPr>
          <w:lang w:eastAsia="ja-JP"/>
        </w:rPr>
      </w:pPr>
      <w:r w:rsidRPr="00CD7C9A">
        <w:rPr>
          <w:lang w:eastAsia="ja-JP"/>
        </w:rPr>
        <w:t>None revealed.</w:t>
      </w:r>
    </w:p>
    <w:p w14:paraId="310E2664" w14:textId="77777777" w:rsidR="00CD7C9A" w:rsidRPr="00CD7C9A" w:rsidRDefault="00CD7C9A" w:rsidP="007E605C">
      <w:pPr>
        <w:pStyle w:val="Heading4"/>
      </w:pPr>
      <w:bookmarkStart w:id="124" w:name="_Toc272414681"/>
      <w:bookmarkStart w:id="125" w:name="_Toc290846319"/>
      <w:bookmarkStart w:id="126" w:name="_Toc448702520"/>
      <w:r w:rsidRPr="00CD7C9A">
        <w:t>Liver toxicity</w:t>
      </w:r>
      <w:bookmarkEnd w:id="124"/>
      <w:bookmarkEnd w:id="125"/>
      <w:bookmarkEnd w:id="126"/>
    </w:p>
    <w:p w14:paraId="654FE1DA" w14:textId="77777777" w:rsidR="00FD2DDF" w:rsidRDefault="00CD7C9A" w:rsidP="00CD7C9A">
      <w:pPr>
        <w:rPr>
          <w:lang w:eastAsia="ja-JP"/>
        </w:rPr>
      </w:pPr>
      <w:r w:rsidRPr="00CD7C9A">
        <w:rPr>
          <w:lang w:eastAsia="ja-JP"/>
        </w:rPr>
        <w:t>None revealed.</w:t>
      </w:r>
    </w:p>
    <w:p w14:paraId="640A0F37" w14:textId="0B7A13A2" w:rsidR="00CD7C9A" w:rsidRPr="00CD7C9A" w:rsidRDefault="00CD7C9A" w:rsidP="007E605C">
      <w:pPr>
        <w:pStyle w:val="Heading4"/>
      </w:pPr>
      <w:bookmarkStart w:id="127" w:name="_Toc272414682"/>
      <w:bookmarkStart w:id="128" w:name="_Toc290846320"/>
      <w:bookmarkStart w:id="129" w:name="_Toc448702521"/>
      <w:r w:rsidRPr="00CD7C9A">
        <w:t>Haematological toxicity</w:t>
      </w:r>
      <w:bookmarkEnd w:id="127"/>
      <w:bookmarkEnd w:id="128"/>
      <w:bookmarkEnd w:id="129"/>
    </w:p>
    <w:p w14:paraId="70F6ABDC" w14:textId="77777777" w:rsidR="00CD7C9A" w:rsidRPr="00CD7C9A" w:rsidRDefault="00CD7C9A" w:rsidP="00CD7C9A">
      <w:pPr>
        <w:rPr>
          <w:lang w:eastAsia="ja-JP"/>
        </w:rPr>
      </w:pPr>
      <w:r w:rsidRPr="00CD7C9A">
        <w:rPr>
          <w:lang w:eastAsia="ja-JP"/>
        </w:rPr>
        <w:t>None revealed.</w:t>
      </w:r>
    </w:p>
    <w:p w14:paraId="422C12EE" w14:textId="77777777" w:rsidR="00CD7C9A" w:rsidRPr="00CD7C9A" w:rsidRDefault="00CD7C9A" w:rsidP="007E605C">
      <w:pPr>
        <w:pStyle w:val="Heading4"/>
      </w:pPr>
      <w:bookmarkStart w:id="130" w:name="_Toc272414683"/>
      <w:bookmarkStart w:id="131" w:name="_Toc290846321"/>
      <w:bookmarkStart w:id="132" w:name="_Toc448702522"/>
      <w:r w:rsidRPr="00CD7C9A">
        <w:t>Serious skin reactions</w:t>
      </w:r>
      <w:bookmarkEnd w:id="130"/>
      <w:bookmarkEnd w:id="131"/>
      <w:bookmarkEnd w:id="132"/>
    </w:p>
    <w:p w14:paraId="2FDEFF9E" w14:textId="77777777" w:rsidR="00CD7C9A" w:rsidRPr="00CD7C9A" w:rsidRDefault="00CD7C9A" w:rsidP="00CD7C9A">
      <w:pPr>
        <w:rPr>
          <w:lang w:eastAsia="ja-JP"/>
        </w:rPr>
      </w:pPr>
      <w:r w:rsidRPr="00CD7C9A">
        <w:rPr>
          <w:lang w:eastAsia="ja-JP"/>
        </w:rPr>
        <w:t>None revealed.</w:t>
      </w:r>
    </w:p>
    <w:p w14:paraId="19010AFF" w14:textId="77777777" w:rsidR="00CD7C9A" w:rsidRPr="00CD7C9A" w:rsidRDefault="00CD7C9A" w:rsidP="007E605C">
      <w:pPr>
        <w:pStyle w:val="Heading4"/>
      </w:pPr>
      <w:bookmarkStart w:id="133" w:name="_Toc272414684"/>
      <w:bookmarkStart w:id="134" w:name="_Toc290846322"/>
      <w:bookmarkStart w:id="135" w:name="_Toc448702523"/>
      <w:r w:rsidRPr="00CD7C9A">
        <w:t>Cardiovascular safety</w:t>
      </w:r>
      <w:bookmarkEnd w:id="133"/>
      <w:bookmarkEnd w:id="134"/>
      <w:bookmarkEnd w:id="135"/>
    </w:p>
    <w:p w14:paraId="580F8DC2" w14:textId="77777777" w:rsidR="00CD7C9A" w:rsidRPr="00CD7C9A" w:rsidRDefault="00CD7C9A" w:rsidP="00CD7C9A">
      <w:pPr>
        <w:rPr>
          <w:lang w:eastAsia="ja-JP"/>
        </w:rPr>
      </w:pPr>
      <w:r w:rsidRPr="00CD7C9A">
        <w:rPr>
          <w:lang w:eastAsia="ja-JP"/>
        </w:rPr>
        <w:t>None revealed.</w:t>
      </w:r>
    </w:p>
    <w:p w14:paraId="67BE435C" w14:textId="77777777" w:rsidR="00CD7C9A" w:rsidRPr="00CD7C9A" w:rsidRDefault="00CD7C9A" w:rsidP="007E605C">
      <w:pPr>
        <w:pStyle w:val="Heading4"/>
      </w:pPr>
      <w:bookmarkStart w:id="136" w:name="_Toc241374323"/>
      <w:bookmarkStart w:id="137" w:name="_Toc272414685"/>
      <w:bookmarkStart w:id="138" w:name="_Toc290846323"/>
      <w:bookmarkStart w:id="139" w:name="_Toc448702524"/>
      <w:r w:rsidRPr="00CD7C9A">
        <w:t>Unwanted immunological events</w:t>
      </w:r>
      <w:bookmarkEnd w:id="136"/>
      <w:bookmarkEnd w:id="137"/>
      <w:bookmarkEnd w:id="138"/>
      <w:bookmarkEnd w:id="139"/>
    </w:p>
    <w:p w14:paraId="092B123E" w14:textId="77777777" w:rsidR="00CD7C9A" w:rsidRPr="00CD7C9A" w:rsidRDefault="00CD7C9A" w:rsidP="00CD7C9A">
      <w:pPr>
        <w:rPr>
          <w:lang w:eastAsia="ja-JP"/>
        </w:rPr>
      </w:pPr>
      <w:r w:rsidRPr="00CD7C9A">
        <w:rPr>
          <w:lang w:eastAsia="ja-JP"/>
        </w:rPr>
        <w:t>None revealed.</w:t>
      </w:r>
    </w:p>
    <w:p w14:paraId="546784A0" w14:textId="77777777" w:rsidR="00CD7C9A" w:rsidRPr="00CD7C9A" w:rsidRDefault="00CD7C9A" w:rsidP="003A0698">
      <w:pPr>
        <w:pStyle w:val="Heading3"/>
      </w:pPr>
      <w:bookmarkStart w:id="140" w:name="_Toc272414686"/>
      <w:bookmarkStart w:id="141" w:name="_Ref273005527"/>
      <w:bookmarkStart w:id="142" w:name="_Toc290846324"/>
      <w:bookmarkStart w:id="143" w:name="_Toc448702525"/>
      <w:bookmarkStart w:id="144" w:name="_Toc490579733"/>
      <w:r w:rsidRPr="00CD7C9A">
        <w:t>Other safety issues</w:t>
      </w:r>
      <w:bookmarkEnd w:id="140"/>
      <w:bookmarkEnd w:id="141"/>
      <w:bookmarkEnd w:id="142"/>
      <w:bookmarkEnd w:id="143"/>
      <w:bookmarkEnd w:id="144"/>
    </w:p>
    <w:p w14:paraId="2257DF7E" w14:textId="77777777" w:rsidR="00CD7C9A" w:rsidRPr="00CD7C9A" w:rsidRDefault="00CD7C9A" w:rsidP="003A0698">
      <w:pPr>
        <w:pStyle w:val="Heading4"/>
      </w:pPr>
      <w:bookmarkStart w:id="145" w:name="_Toc241374322"/>
      <w:bookmarkStart w:id="146" w:name="_Ref272331212"/>
      <w:bookmarkStart w:id="147" w:name="_Toc272414687"/>
      <w:bookmarkStart w:id="148" w:name="_Toc290846325"/>
      <w:bookmarkStart w:id="149" w:name="_Toc448702526"/>
      <w:r w:rsidRPr="00CD7C9A">
        <w:t>Safety in special populations</w:t>
      </w:r>
      <w:bookmarkEnd w:id="145"/>
      <w:bookmarkEnd w:id="146"/>
      <w:bookmarkEnd w:id="147"/>
      <w:bookmarkEnd w:id="148"/>
      <w:bookmarkEnd w:id="149"/>
    </w:p>
    <w:p w14:paraId="2025B7CC" w14:textId="6A649F35" w:rsidR="00CD7C9A" w:rsidRPr="00CD7C9A" w:rsidRDefault="00CD7C9A" w:rsidP="00CD7C9A">
      <w:pPr>
        <w:rPr>
          <w:lang w:eastAsia="ja-JP"/>
        </w:rPr>
      </w:pPr>
      <w:r w:rsidRPr="00CD7C9A">
        <w:rPr>
          <w:lang w:eastAsia="ja-JP"/>
        </w:rPr>
        <w:t xml:space="preserve">No other studies of safety in other special populations </w:t>
      </w:r>
      <w:r w:rsidR="00C512A4">
        <w:rPr>
          <w:lang w:eastAsia="ja-JP"/>
        </w:rPr>
        <w:t>such as</w:t>
      </w:r>
      <w:r w:rsidRPr="00CD7C9A">
        <w:rPr>
          <w:lang w:eastAsia="ja-JP"/>
        </w:rPr>
        <w:t xml:space="preserve"> pregnant and breast feeding women, </w:t>
      </w:r>
      <w:r w:rsidR="00C512A4">
        <w:rPr>
          <w:lang w:eastAsia="ja-JP"/>
        </w:rPr>
        <w:t>immunocompromised persons</w:t>
      </w:r>
      <w:r w:rsidRPr="00CD7C9A">
        <w:rPr>
          <w:lang w:eastAsia="ja-JP"/>
        </w:rPr>
        <w:t xml:space="preserve"> is available. As QIV is similar in composition to TIV, the safety profile is expected to be similar to TIV. There was one occurrence of pregnancy during </w:t>
      </w:r>
      <w:r w:rsidR="0054743F">
        <w:rPr>
          <w:lang w:eastAsia="ja-JP"/>
        </w:rPr>
        <w:t>Study</w:t>
      </w:r>
      <w:r w:rsidR="00C102AD" w:rsidRPr="00C102AD">
        <w:rPr>
          <w:strike/>
          <w:lang w:eastAsia="ja-JP"/>
        </w:rPr>
        <w:t> </w:t>
      </w:r>
      <w:r w:rsidRPr="00095147">
        <w:rPr>
          <w:lang w:eastAsia="ja-JP"/>
        </w:rPr>
        <w:t>CSLCT</w:t>
      </w:r>
      <w:r w:rsidR="00C102AD" w:rsidRPr="00C102AD">
        <w:rPr>
          <w:strike/>
          <w:lang w:eastAsia="ja-JP"/>
        </w:rPr>
        <w:t> </w:t>
      </w:r>
      <w:r w:rsidRPr="00095147">
        <w:rPr>
          <w:lang w:eastAsia="ja-JP"/>
        </w:rPr>
        <w:t>QIV</w:t>
      </w:r>
      <w:r w:rsidR="00C102AD" w:rsidRPr="00C102AD">
        <w:rPr>
          <w:strike/>
          <w:lang w:eastAsia="ja-JP"/>
        </w:rPr>
        <w:t> </w:t>
      </w:r>
      <w:r w:rsidRPr="00095147">
        <w:rPr>
          <w:lang w:eastAsia="ja-JP"/>
        </w:rPr>
        <w:t>13</w:t>
      </w:r>
      <w:r w:rsidR="001F5E91">
        <w:rPr>
          <w:lang w:eastAsia="ja-JP"/>
        </w:rPr>
        <w:t>-</w:t>
      </w:r>
      <w:r w:rsidRPr="00095147">
        <w:rPr>
          <w:lang w:eastAsia="ja-JP"/>
        </w:rPr>
        <w:t>01</w:t>
      </w:r>
      <w:r w:rsidRPr="00CD7C9A">
        <w:rPr>
          <w:lang w:eastAsia="ja-JP"/>
        </w:rPr>
        <w:t xml:space="preserve">. </w:t>
      </w:r>
      <w:r w:rsidR="0054743F">
        <w:rPr>
          <w:lang w:eastAsia="ja-JP"/>
        </w:rPr>
        <w:t>The subject</w:t>
      </w:r>
      <w:r w:rsidRPr="00CD7C9A">
        <w:rPr>
          <w:lang w:eastAsia="ja-JP"/>
        </w:rPr>
        <w:t xml:space="preserve"> had a positive urine pregnancy test at </w:t>
      </w:r>
      <w:r w:rsidR="0054743F">
        <w:rPr>
          <w:lang w:eastAsia="ja-JP"/>
        </w:rPr>
        <w:t xml:space="preserve">the Day 21 visit and </w:t>
      </w:r>
      <w:r w:rsidRPr="00CD7C9A">
        <w:rPr>
          <w:lang w:eastAsia="ja-JP"/>
        </w:rPr>
        <w:t xml:space="preserve">had an elective </w:t>
      </w:r>
      <w:r w:rsidR="0054743F">
        <w:rPr>
          <w:lang w:eastAsia="ja-JP"/>
        </w:rPr>
        <w:t>termination of pregnancy 12 days later</w:t>
      </w:r>
      <w:r w:rsidRPr="00CD7C9A">
        <w:rPr>
          <w:lang w:eastAsia="ja-JP"/>
        </w:rPr>
        <w:t>.</w:t>
      </w:r>
    </w:p>
    <w:p w14:paraId="6208CA79" w14:textId="77777777" w:rsidR="00CD7C9A" w:rsidRPr="00CD7C9A" w:rsidRDefault="00CD7C9A" w:rsidP="007E605C">
      <w:pPr>
        <w:pStyle w:val="Heading4"/>
      </w:pPr>
      <w:bookmarkStart w:id="150" w:name="_Toc241374324"/>
      <w:bookmarkStart w:id="151" w:name="_Ref272331214"/>
      <w:bookmarkStart w:id="152" w:name="_Toc272414688"/>
      <w:bookmarkStart w:id="153" w:name="_Toc290846326"/>
      <w:bookmarkStart w:id="154" w:name="_Toc448702527"/>
      <w:r w:rsidRPr="00CD7C9A">
        <w:t>Safety related to drug-drug interactions and other interactions</w:t>
      </w:r>
      <w:bookmarkEnd w:id="150"/>
      <w:bookmarkEnd w:id="151"/>
      <w:bookmarkEnd w:id="152"/>
      <w:bookmarkEnd w:id="153"/>
      <w:bookmarkEnd w:id="154"/>
    </w:p>
    <w:p w14:paraId="064C7B19" w14:textId="77777777" w:rsidR="00CD7C9A" w:rsidRPr="00CD7C9A" w:rsidRDefault="00CD7C9A" w:rsidP="00CD7C9A">
      <w:pPr>
        <w:rPr>
          <w:lang w:eastAsia="ja-JP"/>
        </w:rPr>
      </w:pPr>
      <w:r w:rsidRPr="00CD7C9A">
        <w:rPr>
          <w:lang w:eastAsia="ja-JP"/>
        </w:rPr>
        <w:t>None revealed.</w:t>
      </w:r>
    </w:p>
    <w:p w14:paraId="3F1B1A37" w14:textId="720F82FC" w:rsidR="00CD7C9A" w:rsidRPr="00CD7C9A" w:rsidRDefault="00CD7C9A" w:rsidP="007E605C">
      <w:pPr>
        <w:pStyle w:val="Heading4"/>
      </w:pPr>
      <w:bookmarkStart w:id="155" w:name="_Toc272414689"/>
      <w:bookmarkStart w:id="156" w:name="_Toc290846327"/>
      <w:bookmarkStart w:id="157" w:name="_Toc448702528"/>
      <w:r w:rsidRPr="00CD7C9A">
        <w:t>Other safety issue</w:t>
      </w:r>
      <w:bookmarkEnd w:id="155"/>
      <w:bookmarkEnd w:id="156"/>
      <w:bookmarkEnd w:id="157"/>
      <w:r w:rsidR="007E605C">
        <w:t>s</w:t>
      </w:r>
    </w:p>
    <w:p w14:paraId="0DC9894C" w14:textId="77777777" w:rsidR="00CD7C9A" w:rsidRPr="00CD7C9A" w:rsidRDefault="00CD7C9A" w:rsidP="00CD7C9A">
      <w:pPr>
        <w:rPr>
          <w:lang w:eastAsia="ja-JP"/>
        </w:rPr>
      </w:pPr>
      <w:r w:rsidRPr="00CD7C9A">
        <w:rPr>
          <w:lang w:eastAsia="ja-JP"/>
        </w:rPr>
        <w:t>None revealed.</w:t>
      </w:r>
    </w:p>
    <w:p w14:paraId="07A4EFDF" w14:textId="77777777" w:rsidR="00CD7C9A" w:rsidRPr="00CD7C9A" w:rsidRDefault="00CD7C9A" w:rsidP="007E605C">
      <w:pPr>
        <w:pStyle w:val="Heading3"/>
      </w:pPr>
      <w:bookmarkStart w:id="158" w:name="_Toc241374328"/>
      <w:bookmarkStart w:id="159" w:name="_Toc272414691"/>
      <w:bookmarkStart w:id="160" w:name="_Toc290846329"/>
      <w:bookmarkStart w:id="161" w:name="_Toc448702529"/>
      <w:bookmarkStart w:id="162" w:name="_Toc490579734"/>
      <w:r w:rsidRPr="00CD7C9A">
        <w:t>Evaluator’s overall conclusions on clinical safety</w:t>
      </w:r>
      <w:bookmarkEnd w:id="158"/>
      <w:bookmarkEnd w:id="159"/>
      <w:bookmarkEnd w:id="160"/>
      <w:bookmarkEnd w:id="161"/>
      <w:bookmarkEnd w:id="162"/>
    </w:p>
    <w:p w14:paraId="67C8CB48" w14:textId="54731F6F" w:rsidR="00CD7C9A" w:rsidRPr="00586F98" w:rsidRDefault="00CD7C9A" w:rsidP="00C22678">
      <w:pPr>
        <w:rPr>
          <w:lang w:eastAsia="ja-JP"/>
        </w:rPr>
      </w:pPr>
      <w:r w:rsidRPr="00CD7C9A">
        <w:rPr>
          <w:lang w:eastAsia="ja-JP"/>
        </w:rPr>
        <w:t>In</w:t>
      </w:r>
      <w:r w:rsidRPr="00CD7C9A">
        <w:rPr>
          <w:b/>
          <w:lang w:eastAsia="ja-JP"/>
        </w:rPr>
        <w:t xml:space="preserve"> </w:t>
      </w:r>
      <w:r w:rsidR="00095147" w:rsidRPr="00095147">
        <w:rPr>
          <w:lang w:eastAsia="ja-JP"/>
        </w:rPr>
        <w:t xml:space="preserve">Study </w:t>
      </w:r>
      <w:r w:rsidRPr="00095147">
        <w:rPr>
          <w:bCs/>
          <w:lang w:eastAsia="ja-JP"/>
        </w:rPr>
        <w:t>CSLCT-QIV-13-01</w:t>
      </w:r>
      <w:r w:rsidRPr="00CD7C9A">
        <w:rPr>
          <w:lang w:eastAsia="ja-JP"/>
        </w:rPr>
        <w:t>, the safety profile of QIV in adults and older adults is generally similar to that observed for TIV-1 and TIV-2 vaccines. Solicited local and systemic reactogenicity was more fre</w:t>
      </w:r>
      <w:r w:rsidR="00095147">
        <w:rPr>
          <w:lang w:eastAsia="ja-JP"/>
        </w:rPr>
        <w:t xml:space="preserve">quent in adults 18 to </w:t>
      </w:r>
      <w:r w:rsidRPr="00CD7C9A">
        <w:rPr>
          <w:lang w:eastAsia="ja-JP"/>
        </w:rPr>
        <w:t xml:space="preserve">64 years of age compared to adults aged </w:t>
      </w:r>
      <w:r w:rsidR="00E936A1">
        <w:rPr>
          <w:lang w:eastAsia="ja-JP"/>
        </w:rPr>
        <w:t xml:space="preserve">≥ </w:t>
      </w:r>
      <w:r w:rsidR="00095147">
        <w:rPr>
          <w:lang w:eastAsia="ja-JP"/>
        </w:rPr>
        <w:t>65 years. Overall, the clinical evaluator</w:t>
      </w:r>
      <w:r w:rsidRPr="00CD7C9A">
        <w:rPr>
          <w:lang w:eastAsia="ja-JP"/>
        </w:rPr>
        <w:t xml:space="preserve"> think</w:t>
      </w:r>
      <w:r w:rsidR="00095147">
        <w:rPr>
          <w:lang w:eastAsia="ja-JP"/>
        </w:rPr>
        <w:t>s</w:t>
      </w:r>
      <w:r w:rsidRPr="00CD7C9A">
        <w:rPr>
          <w:lang w:eastAsia="ja-JP"/>
        </w:rPr>
        <w:t xml:space="preserve"> that QIV has a clinically acceptable safety and tolerability profile in adults </w:t>
      </w:r>
      <w:r w:rsidR="00E936A1">
        <w:rPr>
          <w:lang w:eastAsia="ja-JP"/>
        </w:rPr>
        <w:t xml:space="preserve">≥ </w:t>
      </w:r>
      <w:r w:rsidRPr="00CD7C9A">
        <w:rPr>
          <w:lang w:eastAsia="ja-JP"/>
        </w:rPr>
        <w:t>18 years at least in the relatively small number of patients enrolled in this study exposed to single dose QIV.</w:t>
      </w:r>
    </w:p>
    <w:p w14:paraId="1D2B6D90" w14:textId="77777777" w:rsidR="00C22678" w:rsidRDefault="00C22678" w:rsidP="00C22678">
      <w:pPr>
        <w:pStyle w:val="Heading2"/>
      </w:pPr>
      <w:bookmarkStart w:id="163" w:name="_Toc490579735"/>
      <w:r>
        <w:lastRenderedPageBreak/>
        <w:t>First round benefit-risk assessment</w:t>
      </w:r>
      <w:bookmarkEnd w:id="163"/>
    </w:p>
    <w:p w14:paraId="5904DCAC" w14:textId="77777777" w:rsidR="00CD7C9A" w:rsidRPr="00CD7C9A" w:rsidRDefault="00CD7C9A" w:rsidP="007E605C">
      <w:pPr>
        <w:pStyle w:val="Heading3"/>
      </w:pPr>
      <w:bookmarkStart w:id="164" w:name="_Toc236802592"/>
      <w:bookmarkStart w:id="165" w:name="_Toc241374331"/>
      <w:bookmarkStart w:id="166" w:name="_Ref272160836"/>
      <w:bookmarkStart w:id="167" w:name="_Toc272414693"/>
      <w:bookmarkStart w:id="168" w:name="_Toc290846331"/>
      <w:bookmarkStart w:id="169" w:name="_Toc448702531"/>
      <w:bookmarkStart w:id="170" w:name="_Toc490579736"/>
      <w:r w:rsidRPr="00CD7C9A">
        <w:t>First round assessment of benefits</w:t>
      </w:r>
      <w:bookmarkEnd w:id="164"/>
      <w:bookmarkEnd w:id="165"/>
      <w:bookmarkEnd w:id="166"/>
      <w:bookmarkEnd w:id="167"/>
      <w:bookmarkEnd w:id="168"/>
      <w:bookmarkEnd w:id="169"/>
      <w:bookmarkEnd w:id="170"/>
    </w:p>
    <w:p w14:paraId="2A928F2C" w14:textId="7BA66657" w:rsidR="00CD7C9A" w:rsidRPr="00CD7C9A" w:rsidRDefault="00CD7C9A" w:rsidP="00CD7C9A">
      <w:pPr>
        <w:rPr>
          <w:lang w:eastAsia="ja-JP"/>
        </w:rPr>
      </w:pPr>
      <w:r w:rsidRPr="00CD7C9A">
        <w:rPr>
          <w:lang w:eastAsia="ja-JP"/>
        </w:rPr>
        <w:t xml:space="preserve">The benefits of </w:t>
      </w:r>
      <w:r w:rsidR="001F5E91">
        <w:rPr>
          <w:lang w:eastAsia="ja-JP"/>
        </w:rPr>
        <w:t xml:space="preserve">Afluria </w:t>
      </w:r>
      <w:r w:rsidR="00095147">
        <w:rPr>
          <w:lang w:eastAsia="ja-JP"/>
        </w:rPr>
        <w:t>Quad</w:t>
      </w:r>
      <w:r w:rsidRPr="00CD7C9A">
        <w:rPr>
          <w:lang w:eastAsia="ja-JP"/>
        </w:rPr>
        <w:t xml:space="preserve"> in the proposed usages are favourable as the QIV provides better coverage of the influenza B strains than the TIV. QIV was immunogenic with a safety profile similar to trivalent inactivated influenza vaccines in general, and to the specific TIV comparators used in the pivotal efficacy study. Moreover, the inclusion of both B strains will overcome the problem of poor predictions of which B strain is likely to circulate, this has been problematic over the last few years and has led to misalignment of the B strain in the recommended TIV with what was the circulating strain.</w:t>
      </w:r>
    </w:p>
    <w:p w14:paraId="538B58E9" w14:textId="77777777" w:rsidR="00CD7C9A" w:rsidRPr="00CD7C9A" w:rsidRDefault="00CD7C9A" w:rsidP="007E605C">
      <w:pPr>
        <w:pStyle w:val="Heading3"/>
      </w:pPr>
      <w:bookmarkStart w:id="171" w:name="_Toc236802596"/>
      <w:bookmarkStart w:id="172" w:name="_Toc241374334"/>
      <w:bookmarkStart w:id="173" w:name="_Ref272160964"/>
      <w:bookmarkStart w:id="174" w:name="_Toc272414694"/>
      <w:bookmarkStart w:id="175" w:name="_Toc290846332"/>
      <w:bookmarkStart w:id="176" w:name="_Toc448702532"/>
      <w:bookmarkStart w:id="177" w:name="_Toc490579737"/>
      <w:r w:rsidRPr="00CD7C9A">
        <w:t>First round assessment of risks</w:t>
      </w:r>
      <w:bookmarkEnd w:id="171"/>
      <w:bookmarkEnd w:id="172"/>
      <w:bookmarkEnd w:id="173"/>
      <w:bookmarkEnd w:id="174"/>
      <w:bookmarkEnd w:id="175"/>
      <w:bookmarkEnd w:id="176"/>
      <w:bookmarkEnd w:id="177"/>
    </w:p>
    <w:p w14:paraId="23DEB8E4" w14:textId="56D1D5A4" w:rsidR="00CD7C9A" w:rsidRPr="00CD7C9A" w:rsidRDefault="00CD7C9A" w:rsidP="00CD7C9A">
      <w:pPr>
        <w:rPr>
          <w:lang w:eastAsia="ja-JP"/>
        </w:rPr>
      </w:pPr>
      <w:r w:rsidRPr="00CD7C9A">
        <w:rPr>
          <w:lang w:eastAsia="ja-JP"/>
        </w:rPr>
        <w:t xml:space="preserve">The risks of </w:t>
      </w:r>
      <w:r w:rsidR="001F5E91">
        <w:rPr>
          <w:lang w:eastAsia="ja-JP"/>
        </w:rPr>
        <w:t>Afluria</w:t>
      </w:r>
      <w:r w:rsidR="001F5E91" w:rsidRPr="00095147">
        <w:rPr>
          <w:lang w:eastAsia="ja-JP"/>
        </w:rPr>
        <w:t xml:space="preserve"> </w:t>
      </w:r>
      <w:r w:rsidRPr="00095147">
        <w:rPr>
          <w:lang w:eastAsia="ja-JP"/>
        </w:rPr>
        <w:t>Quad</w:t>
      </w:r>
      <w:r w:rsidRPr="00CD7C9A">
        <w:rPr>
          <w:lang w:eastAsia="ja-JP"/>
        </w:rPr>
        <w:t xml:space="preserve"> in the proposed usage are:</w:t>
      </w:r>
    </w:p>
    <w:p w14:paraId="3267B8ED" w14:textId="5DF0CBCC" w:rsidR="00CD7C9A" w:rsidRPr="00CD7C9A" w:rsidRDefault="00CD7C9A" w:rsidP="00095147">
      <w:pPr>
        <w:pStyle w:val="ListBullet"/>
        <w:rPr>
          <w:lang w:eastAsia="ja-JP"/>
        </w:rPr>
      </w:pPr>
      <w:r w:rsidRPr="00CD7C9A">
        <w:rPr>
          <w:lang w:eastAsia="ja-JP"/>
        </w:rPr>
        <w:t>there is a paucity of data in subjects of Asian ethnicity – this is relevant to the Australian population;</w:t>
      </w:r>
    </w:p>
    <w:p w14:paraId="502E3B7B" w14:textId="79C74B04" w:rsidR="00CD7C9A" w:rsidRPr="00CD7C9A" w:rsidRDefault="00CD7C9A" w:rsidP="00095147">
      <w:pPr>
        <w:pStyle w:val="ListBullet"/>
        <w:rPr>
          <w:lang w:eastAsia="ja-JP"/>
        </w:rPr>
      </w:pPr>
      <w:r w:rsidRPr="00CD7C9A">
        <w:rPr>
          <w:lang w:eastAsia="ja-JP"/>
        </w:rPr>
        <w:t>there is a paucity of data in subjects of Australian indigenous ethnicity – this is relevant to the Australian population;</w:t>
      </w:r>
    </w:p>
    <w:p w14:paraId="18ACC04B" w14:textId="403E5403" w:rsidR="00CD7C9A" w:rsidRPr="00CD7C9A" w:rsidRDefault="00CD7C9A" w:rsidP="00095147">
      <w:pPr>
        <w:pStyle w:val="ListBullet"/>
        <w:rPr>
          <w:lang w:eastAsia="ja-JP"/>
        </w:rPr>
      </w:pPr>
      <w:r w:rsidRPr="00CD7C9A">
        <w:rPr>
          <w:lang w:eastAsia="ja-JP"/>
        </w:rPr>
        <w:t>the average age of the subjects enrolled was 58.3 (</w:t>
      </w:r>
      <w:r w:rsidRPr="00CD7C9A">
        <w:rPr>
          <w:lang w:eastAsia="ja-JP"/>
        </w:rPr>
        <w:sym w:font="Symbol" w:char="F0B1"/>
      </w:r>
      <w:r w:rsidR="00095147">
        <w:rPr>
          <w:lang w:eastAsia="ja-JP"/>
        </w:rPr>
        <w:t xml:space="preserve"> 18) </w:t>
      </w:r>
      <w:r w:rsidRPr="00CD7C9A">
        <w:rPr>
          <w:lang w:eastAsia="ja-JP"/>
        </w:rPr>
        <w:t>years, and although 29% of t</w:t>
      </w:r>
      <w:r w:rsidR="00095147">
        <w:rPr>
          <w:lang w:eastAsia="ja-JP"/>
        </w:rPr>
        <w:t xml:space="preserve">he cohort in total were aged 18 to </w:t>
      </w:r>
      <w:r w:rsidRPr="00CD7C9A">
        <w:rPr>
          <w:lang w:eastAsia="ja-JP"/>
        </w:rPr>
        <w:t>49 years, this suggests a relative paucity of patients in the much younger age group</w:t>
      </w:r>
      <w:r w:rsidR="00095147">
        <w:rPr>
          <w:lang w:eastAsia="ja-JP"/>
        </w:rPr>
        <w:t xml:space="preserve">, specifically 18 to </w:t>
      </w:r>
      <w:r w:rsidRPr="00CD7C9A">
        <w:rPr>
          <w:lang w:eastAsia="ja-JP"/>
        </w:rPr>
        <w:t>30 years. As the reactogenicity profile appears slightly worse in the younger age group overall, it will be important to gather further specific information on local and solicited vaccine-related AEs in the much younger age group once QIV receives authorisation. The RMP should specifically gather information in both the younger age group receiving the QIV as well as in those of ethnicity not represented in the pivotal study;</w:t>
      </w:r>
    </w:p>
    <w:p w14:paraId="3659B239" w14:textId="1C6464B2" w:rsidR="00CD7C9A" w:rsidRPr="00CD7C9A" w:rsidRDefault="00CD7C9A" w:rsidP="00095147">
      <w:pPr>
        <w:pStyle w:val="ListBullet"/>
        <w:rPr>
          <w:lang w:eastAsia="ja-JP"/>
        </w:rPr>
      </w:pPr>
      <w:r w:rsidRPr="00CD7C9A">
        <w:rPr>
          <w:lang w:eastAsia="ja-JP"/>
        </w:rPr>
        <w:t>there is no data on the immunogenicity and safety profile in immunocompromised patients as such patients were specifically exclu</w:t>
      </w:r>
      <w:r w:rsidR="00095147">
        <w:rPr>
          <w:lang w:eastAsia="ja-JP"/>
        </w:rPr>
        <w:t>ded from participation;</w:t>
      </w:r>
    </w:p>
    <w:p w14:paraId="2A16F84B" w14:textId="6A2CD51E" w:rsidR="00CD7C9A" w:rsidRDefault="00CD7C9A" w:rsidP="00095147">
      <w:pPr>
        <w:pStyle w:val="ListBullet"/>
        <w:rPr>
          <w:lang w:eastAsia="ja-JP"/>
        </w:rPr>
      </w:pPr>
      <w:r w:rsidRPr="00CD7C9A">
        <w:rPr>
          <w:lang w:eastAsia="ja-JP"/>
        </w:rPr>
        <w:t>no clinical efficacy data provided, immunogenicity data is used as a surrogate for clinical efficacy.</w:t>
      </w:r>
      <w:r w:rsidR="007F01EE">
        <w:rPr>
          <w:rStyle w:val="FootnoteReference"/>
          <w:lang w:eastAsia="ja-JP"/>
        </w:rPr>
        <w:footnoteReference w:id="15"/>
      </w:r>
    </w:p>
    <w:p w14:paraId="4E4028F1" w14:textId="77777777" w:rsidR="00CD7C9A" w:rsidRPr="00CD7C9A" w:rsidRDefault="00CD7C9A" w:rsidP="007E605C">
      <w:pPr>
        <w:pStyle w:val="Heading3"/>
      </w:pPr>
      <w:bookmarkStart w:id="178" w:name="_Toc236802597"/>
      <w:bookmarkStart w:id="179" w:name="_Toc241374335"/>
      <w:bookmarkStart w:id="180" w:name="_Toc272414695"/>
      <w:bookmarkStart w:id="181" w:name="_Toc290846333"/>
      <w:bookmarkStart w:id="182" w:name="_Toc448702533"/>
      <w:bookmarkStart w:id="183" w:name="_Toc490579738"/>
      <w:r w:rsidRPr="00CD7C9A">
        <w:t>First round assessment of benefit-risk balance</w:t>
      </w:r>
      <w:bookmarkEnd w:id="178"/>
      <w:bookmarkEnd w:id="179"/>
      <w:bookmarkEnd w:id="180"/>
      <w:bookmarkEnd w:id="181"/>
      <w:bookmarkEnd w:id="182"/>
      <w:bookmarkEnd w:id="183"/>
    </w:p>
    <w:p w14:paraId="65D8D81C" w14:textId="799B6A2B" w:rsidR="00CD7C9A" w:rsidRPr="00586F98" w:rsidRDefault="00CD7C9A" w:rsidP="00C22678">
      <w:pPr>
        <w:rPr>
          <w:lang w:eastAsia="ja-JP"/>
        </w:rPr>
      </w:pPr>
      <w:r w:rsidRPr="00CD7C9A">
        <w:rPr>
          <w:lang w:eastAsia="ja-JP"/>
        </w:rPr>
        <w:t xml:space="preserve">The benefit-risk balance of </w:t>
      </w:r>
      <w:r w:rsidR="001F5E91">
        <w:rPr>
          <w:lang w:eastAsia="ja-JP"/>
        </w:rPr>
        <w:t xml:space="preserve">Afluria </w:t>
      </w:r>
      <w:r w:rsidRPr="00CD7C9A">
        <w:rPr>
          <w:lang w:eastAsia="ja-JP"/>
        </w:rPr>
        <w:t>Quad, given the proposed usages, is favourable.</w:t>
      </w:r>
    </w:p>
    <w:p w14:paraId="33E79D67" w14:textId="34AD2508" w:rsidR="00C22678" w:rsidRDefault="00C22678" w:rsidP="00C22678">
      <w:pPr>
        <w:pStyle w:val="Heading2"/>
      </w:pPr>
      <w:bookmarkStart w:id="184" w:name="_Toc490579739"/>
      <w:r>
        <w:t>First round recommendation regarding authorisation</w:t>
      </w:r>
      <w:bookmarkEnd w:id="184"/>
    </w:p>
    <w:p w14:paraId="578E460B" w14:textId="5A44FC5D" w:rsidR="00CD7C9A" w:rsidRPr="00586F98" w:rsidRDefault="00095147" w:rsidP="00C22678">
      <w:pPr>
        <w:rPr>
          <w:lang w:eastAsia="ja-JP"/>
        </w:rPr>
      </w:pPr>
      <w:r>
        <w:t>The clinical evaluator</w:t>
      </w:r>
      <w:r w:rsidR="00CD7C9A" w:rsidRPr="00431A09">
        <w:t xml:space="preserve"> recommend</w:t>
      </w:r>
      <w:r>
        <w:t>s</w:t>
      </w:r>
      <w:r w:rsidR="00CD7C9A" w:rsidRPr="00431A09">
        <w:t xml:space="preserve"> authorisation of</w:t>
      </w:r>
      <w:r w:rsidR="001F5E91">
        <w:t xml:space="preserve"> Afluria</w:t>
      </w:r>
      <w:r>
        <w:t xml:space="preserve"> </w:t>
      </w:r>
      <w:r w:rsidR="00CD7C9A" w:rsidRPr="00431A09">
        <w:t>Quad</w:t>
      </w:r>
      <w:r w:rsidR="00C07C5B">
        <w:t>.</w:t>
      </w:r>
    </w:p>
    <w:p w14:paraId="19B67085" w14:textId="4544B9C5" w:rsidR="00C22678" w:rsidRDefault="00C22678" w:rsidP="00C22678">
      <w:pPr>
        <w:pStyle w:val="Heading2"/>
      </w:pPr>
      <w:bookmarkStart w:id="185" w:name="_Toc490579740"/>
      <w:r>
        <w:lastRenderedPageBreak/>
        <w:t>Clinical questions</w:t>
      </w:r>
      <w:bookmarkEnd w:id="185"/>
    </w:p>
    <w:p w14:paraId="070755D8" w14:textId="77777777" w:rsidR="00CD7C9A" w:rsidRPr="00CD7C9A" w:rsidRDefault="00CD7C9A" w:rsidP="007E605C">
      <w:pPr>
        <w:pStyle w:val="Heading3"/>
      </w:pPr>
      <w:bookmarkStart w:id="186" w:name="_Ref272312341"/>
      <w:bookmarkStart w:id="187" w:name="_Toc272414700"/>
      <w:bookmarkStart w:id="188" w:name="_Toc290846340"/>
      <w:bookmarkStart w:id="189" w:name="_Toc448702540"/>
      <w:bookmarkStart w:id="190" w:name="_Toc490579741"/>
      <w:r w:rsidRPr="00CD7C9A">
        <w:t>Additional expert input</w:t>
      </w:r>
      <w:bookmarkEnd w:id="186"/>
      <w:bookmarkEnd w:id="187"/>
      <w:bookmarkEnd w:id="188"/>
      <w:bookmarkEnd w:id="189"/>
      <w:bookmarkEnd w:id="190"/>
    </w:p>
    <w:p w14:paraId="3F74E36F" w14:textId="77777777" w:rsidR="00CD7C9A" w:rsidRPr="00CD7C9A" w:rsidRDefault="00CD7C9A" w:rsidP="00CD7C9A">
      <w:pPr>
        <w:rPr>
          <w:lang w:eastAsia="ja-JP"/>
        </w:rPr>
      </w:pPr>
      <w:r w:rsidRPr="00CD7C9A">
        <w:rPr>
          <w:lang w:eastAsia="ja-JP"/>
        </w:rPr>
        <w:t>None sought.</w:t>
      </w:r>
    </w:p>
    <w:p w14:paraId="0245FA5C" w14:textId="77777777" w:rsidR="00CD7C9A" w:rsidRPr="00CD7C9A" w:rsidRDefault="00CD7C9A" w:rsidP="007E605C">
      <w:pPr>
        <w:pStyle w:val="Heading3"/>
      </w:pPr>
      <w:bookmarkStart w:id="191" w:name="_Ref269908779"/>
      <w:bookmarkStart w:id="192" w:name="_Toc272414701"/>
      <w:bookmarkStart w:id="193" w:name="_Toc290846341"/>
      <w:bookmarkStart w:id="194" w:name="_Toc448702541"/>
      <w:bookmarkStart w:id="195" w:name="_Toc490579742"/>
      <w:r w:rsidRPr="00CD7C9A">
        <w:t>Clinical questions</w:t>
      </w:r>
      <w:bookmarkEnd w:id="191"/>
      <w:bookmarkEnd w:id="192"/>
      <w:bookmarkEnd w:id="193"/>
      <w:bookmarkEnd w:id="194"/>
      <w:bookmarkEnd w:id="195"/>
    </w:p>
    <w:p w14:paraId="51A25783" w14:textId="77777777" w:rsidR="00CD7C9A" w:rsidRPr="00CD7C9A" w:rsidRDefault="00CD7C9A" w:rsidP="007E605C">
      <w:pPr>
        <w:pStyle w:val="Heading4"/>
      </w:pPr>
      <w:bookmarkStart w:id="196" w:name="_Toc272414702"/>
      <w:bookmarkStart w:id="197" w:name="_Toc290846342"/>
      <w:bookmarkStart w:id="198" w:name="_Toc448702542"/>
      <w:r w:rsidRPr="00CD7C9A">
        <w:t>Pharmacokinetics</w:t>
      </w:r>
      <w:bookmarkEnd w:id="196"/>
      <w:bookmarkEnd w:id="197"/>
      <w:bookmarkEnd w:id="198"/>
    </w:p>
    <w:p w14:paraId="5C04305B" w14:textId="77777777" w:rsidR="00CD7C9A" w:rsidRPr="00CD7C9A" w:rsidRDefault="00CD7C9A" w:rsidP="00CD7C9A">
      <w:pPr>
        <w:rPr>
          <w:lang w:eastAsia="ja-JP"/>
        </w:rPr>
      </w:pPr>
      <w:r w:rsidRPr="00CD7C9A">
        <w:rPr>
          <w:lang w:eastAsia="ja-JP"/>
        </w:rPr>
        <w:t>Not applicable.</w:t>
      </w:r>
    </w:p>
    <w:p w14:paraId="27BFF5E4" w14:textId="77777777" w:rsidR="00CD7C9A" w:rsidRPr="00CD7C9A" w:rsidRDefault="00CD7C9A" w:rsidP="007E605C">
      <w:pPr>
        <w:pStyle w:val="Heading4"/>
      </w:pPr>
      <w:bookmarkStart w:id="199" w:name="_Toc272414703"/>
      <w:bookmarkStart w:id="200" w:name="_Toc290846343"/>
      <w:bookmarkStart w:id="201" w:name="_Toc448702543"/>
      <w:r w:rsidRPr="00CD7C9A">
        <w:t>Pharmacodynamics</w:t>
      </w:r>
      <w:bookmarkEnd w:id="199"/>
      <w:bookmarkEnd w:id="200"/>
      <w:bookmarkEnd w:id="201"/>
    </w:p>
    <w:p w14:paraId="0A48F5B6" w14:textId="77777777" w:rsidR="00CD7C9A" w:rsidRPr="00CD7C9A" w:rsidRDefault="00CD7C9A" w:rsidP="00CD7C9A">
      <w:pPr>
        <w:rPr>
          <w:lang w:eastAsia="ja-JP"/>
        </w:rPr>
      </w:pPr>
      <w:r w:rsidRPr="00CD7C9A">
        <w:rPr>
          <w:lang w:eastAsia="ja-JP"/>
        </w:rPr>
        <w:t>Not applicable, see under ‘efficacy’.</w:t>
      </w:r>
    </w:p>
    <w:p w14:paraId="2C06FE57" w14:textId="77777777" w:rsidR="00CD7C9A" w:rsidRPr="00CD7C9A" w:rsidRDefault="00CD7C9A" w:rsidP="007E605C">
      <w:pPr>
        <w:pStyle w:val="Heading4"/>
      </w:pPr>
      <w:bookmarkStart w:id="202" w:name="_Toc272414704"/>
      <w:bookmarkStart w:id="203" w:name="_Toc290846344"/>
      <w:bookmarkStart w:id="204" w:name="_Toc448702544"/>
      <w:r w:rsidRPr="00CD7C9A">
        <w:t>Efficacy</w:t>
      </w:r>
      <w:bookmarkEnd w:id="202"/>
      <w:bookmarkEnd w:id="203"/>
      <w:bookmarkEnd w:id="204"/>
    </w:p>
    <w:p w14:paraId="19189940" w14:textId="321D3A8B" w:rsidR="00C07C5B" w:rsidRDefault="00C07C5B" w:rsidP="00CD7C9A">
      <w:pPr>
        <w:rPr>
          <w:lang w:eastAsia="ja-JP"/>
        </w:rPr>
      </w:pPr>
      <w:r>
        <w:rPr>
          <w:lang w:eastAsia="ja-JP"/>
        </w:rPr>
        <w:t>Q1)</w:t>
      </w:r>
      <w:r w:rsidR="00EF058D">
        <w:rPr>
          <w:lang w:eastAsia="ja-JP"/>
        </w:rPr>
        <w:t xml:space="preserve"> </w:t>
      </w:r>
      <w:r w:rsidR="00CD7C9A" w:rsidRPr="00CD7C9A">
        <w:rPr>
          <w:lang w:eastAsia="ja-JP"/>
        </w:rPr>
        <w:t>What are the post</w:t>
      </w:r>
      <w:r w:rsidR="007E605C">
        <w:rPr>
          <w:lang w:eastAsia="ja-JP"/>
        </w:rPr>
        <w:t>-</w:t>
      </w:r>
      <w:r w:rsidR="00CD7C9A" w:rsidRPr="00CD7C9A">
        <w:rPr>
          <w:lang w:eastAsia="ja-JP"/>
        </w:rPr>
        <w:t>vaccination seroprotection rates for subjects over the age of</w:t>
      </w:r>
      <w:r>
        <w:rPr>
          <w:lang w:eastAsia="ja-JP"/>
        </w:rPr>
        <w:t xml:space="preserve"> 75 years for the B strains?</w:t>
      </w:r>
    </w:p>
    <w:p w14:paraId="2358246D" w14:textId="43D35048" w:rsidR="00CD7C9A" w:rsidRPr="00CD7C9A" w:rsidRDefault="00C07C5B" w:rsidP="00CD7C9A">
      <w:pPr>
        <w:rPr>
          <w:lang w:eastAsia="ja-JP"/>
        </w:rPr>
      </w:pPr>
      <w:r>
        <w:rPr>
          <w:lang w:eastAsia="ja-JP"/>
        </w:rPr>
        <w:t xml:space="preserve">Q2) </w:t>
      </w:r>
      <w:r w:rsidR="00CD7C9A" w:rsidRPr="00CD7C9A">
        <w:rPr>
          <w:lang w:eastAsia="ja-JP"/>
        </w:rPr>
        <w:t xml:space="preserve">Do you have any explanation for why the seroprotection rates for B/Yamagata strain, in adults aged </w:t>
      </w:r>
      <w:r w:rsidR="00E936A1">
        <w:rPr>
          <w:lang w:eastAsia="ja-JP"/>
        </w:rPr>
        <w:t xml:space="preserve">≥ </w:t>
      </w:r>
      <w:r w:rsidR="00CD7C9A" w:rsidRPr="00CD7C9A">
        <w:rPr>
          <w:lang w:eastAsia="ja-JP"/>
        </w:rPr>
        <w:t xml:space="preserve">65 </w:t>
      </w:r>
      <w:r w:rsidR="00F81B42">
        <w:rPr>
          <w:lang w:eastAsia="ja-JP"/>
        </w:rPr>
        <w:t>years</w:t>
      </w:r>
      <w:r w:rsidR="00CD7C9A" w:rsidRPr="00CD7C9A">
        <w:rPr>
          <w:lang w:eastAsia="ja-JP"/>
        </w:rPr>
        <w:t xml:space="preserve"> was lower </w:t>
      </w:r>
      <w:r w:rsidR="007E605C">
        <w:rPr>
          <w:lang w:eastAsia="ja-JP"/>
        </w:rPr>
        <w:t>than for the B/Victoria lineage?</w:t>
      </w:r>
    </w:p>
    <w:p w14:paraId="077A34C1" w14:textId="77777777" w:rsidR="00CD7C9A" w:rsidRPr="00CD7C9A" w:rsidRDefault="00CD7C9A" w:rsidP="007E605C">
      <w:pPr>
        <w:pStyle w:val="Heading4"/>
      </w:pPr>
      <w:bookmarkStart w:id="205" w:name="_Toc272414705"/>
      <w:bookmarkStart w:id="206" w:name="_Toc290846345"/>
      <w:bookmarkStart w:id="207" w:name="_Toc448702545"/>
      <w:r w:rsidRPr="00CD7C9A">
        <w:t>Safety</w:t>
      </w:r>
      <w:bookmarkEnd w:id="205"/>
      <w:bookmarkEnd w:id="206"/>
      <w:bookmarkEnd w:id="207"/>
    </w:p>
    <w:p w14:paraId="76468AB4" w14:textId="77777777" w:rsidR="00CD7C9A" w:rsidRPr="00CD7C9A" w:rsidRDefault="00CD7C9A" w:rsidP="00CD7C9A">
      <w:pPr>
        <w:rPr>
          <w:lang w:eastAsia="ja-JP"/>
        </w:rPr>
      </w:pPr>
      <w:r w:rsidRPr="00CD7C9A">
        <w:rPr>
          <w:lang w:eastAsia="ja-JP"/>
        </w:rPr>
        <w:t>None.</w:t>
      </w:r>
    </w:p>
    <w:p w14:paraId="295E16F2" w14:textId="61ED6C2A" w:rsidR="00C618F7" w:rsidRDefault="00C618F7" w:rsidP="00C618F7">
      <w:pPr>
        <w:pStyle w:val="Heading2"/>
      </w:pPr>
      <w:bookmarkStart w:id="208" w:name="_Toc490579743"/>
      <w:r>
        <w:t>Second round evaluation of clinical data submitted in response to questions</w:t>
      </w:r>
      <w:bookmarkEnd w:id="208"/>
    </w:p>
    <w:p w14:paraId="19A31B3B" w14:textId="3C2B7C14" w:rsidR="00CD7C9A" w:rsidRDefault="00C07C5B" w:rsidP="00C07C5B">
      <w:pPr>
        <w:pStyle w:val="Heading3"/>
      </w:pPr>
      <w:bookmarkStart w:id="209" w:name="_Toc490579744"/>
      <w:r>
        <w:t>Efficacy</w:t>
      </w:r>
      <w:bookmarkEnd w:id="209"/>
    </w:p>
    <w:p w14:paraId="6B43D405" w14:textId="2429ABF8" w:rsidR="00C07C5B" w:rsidRPr="00C07C5B" w:rsidRDefault="00C07C5B" w:rsidP="00C07C5B">
      <w:pPr>
        <w:pStyle w:val="Heading4"/>
      </w:pPr>
      <w:r>
        <w:t>Question 1</w:t>
      </w:r>
    </w:p>
    <w:p w14:paraId="5874EF2C" w14:textId="70A654C9" w:rsidR="00CD7C9A" w:rsidRDefault="00A43911" w:rsidP="00CD7C9A">
      <w:pPr>
        <w:rPr>
          <w:lang w:eastAsia="ja-JP"/>
        </w:rPr>
      </w:pPr>
      <w:r>
        <w:rPr>
          <w:lang w:eastAsia="ja-JP"/>
        </w:rPr>
        <w:t>What are the post-v</w:t>
      </w:r>
      <w:r w:rsidR="00CD7C9A" w:rsidRPr="00CD7C9A">
        <w:rPr>
          <w:lang w:eastAsia="ja-JP"/>
        </w:rPr>
        <w:t xml:space="preserve">accination seroprotection rates for subjects over the age </w:t>
      </w:r>
      <w:r w:rsidR="00C07C5B">
        <w:rPr>
          <w:lang w:eastAsia="ja-JP"/>
        </w:rPr>
        <w:t>of 75 years for the B strains?</w:t>
      </w:r>
    </w:p>
    <w:p w14:paraId="0341C7B8" w14:textId="4C3225C7" w:rsidR="00DF6024" w:rsidRDefault="00DF6024" w:rsidP="00DF6024">
      <w:pPr>
        <w:pStyle w:val="Heading5"/>
        <w:rPr>
          <w:lang w:eastAsia="ja-JP"/>
        </w:rPr>
      </w:pPr>
      <w:r>
        <w:rPr>
          <w:lang w:eastAsia="ja-JP"/>
        </w:rPr>
        <w:t>Sponsor’s response</w:t>
      </w:r>
    </w:p>
    <w:p w14:paraId="7ECCEA9F" w14:textId="7CA155B0" w:rsidR="000F47BC" w:rsidRPr="000F47BC" w:rsidRDefault="000F47BC" w:rsidP="000F47BC">
      <w:pPr>
        <w:rPr>
          <w:lang w:val="en-GB" w:eastAsia="ja-JP"/>
        </w:rPr>
      </w:pPr>
      <w:r w:rsidRPr="000F47BC">
        <w:rPr>
          <w:lang w:val="en-GB" w:eastAsia="ja-JP"/>
        </w:rPr>
        <w:t>Post-hoc analyses demonstrate that the post-vaccination ser</w:t>
      </w:r>
      <w:r>
        <w:rPr>
          <w:lang w:val="en-GB" w:eastAsia="ja-JP"/>
        </w:rPr>
        <w:t xml:space="preserve">oprotection rate for subjects </w:t>
      </w:r>
      <w:r w:rsidR="00E936A1">
        <w:rPr>
          <w:lang w:val="en-GB" w:eastAsia="ja-JP"/>
        </w:rPr>
        <w:t xml:space="preserve">≥ </w:t>
      </w:r>
      <w:r>
        <w:rPr>
          <w:lang w:val="en-GB" w:eastAsia="ja-JP"/>
        </w:rPr>
        <w:t>75 </w:t>
      </w:r>
      <w:r w:rsidRPr="000F47BC">
        <w:rPr>
          <w:lang w:val="en-GB" w:eastAsia="ja-JP"/>
        </w:rPr>
        <w:t>years (n</w:t>
      </w:r>
      <w:r>
        <w:rPr>
          <w:lang w:val="en-GB" w:eastAsia="ja-JP"/>
        </w:rPr>
        <w:t> </w:t>
      </w:r>
      <w:r w:rsidRPr="000F47BC">
        <w:rPr>
          <w:lang w:val="en-GB" w:eastAsia="ja-JP"/>
        </w:rPr>
        <w:t>=</w:t>
      </w:r>
      <w:r>
        <w:rPr>
          <w:lang w:val="en-GB" w:eastAsia="ja-JP"/>
        </w:rPr>
        <w:t> 325) to QIV in S</w:t>
      </w:r>
      <w:r w:rsidRPr="000F47BC">
        <w:rPr>
          <w:lang w:val="en-GB" w:eastAsia="ja-JP"/>
        </w:rPr>
        <w:t>tudy CSLCT-QIV-13-01 was 62.8% for the B/Yamagata (B/Massachusetts/2/2012) strain, and 78.5% for the B/Victoria (B/Brisbane/60/2008) strain</w:t>
      </w:r>
      <w:r w:rsidR="005C347B">
        <w:rPr>
          <w:lang w:val="en-GB" w:eastAsia="ja-JP"/>
        </w:rPr>
        <w:t xml:space="preserve"> (see Table </w:t>
      </w:r>
      <w:r w:rsidR="00C512A4">
        <w:rPr>
          <w:lang w:val="en-GB" w:eastAsia="ja-JP"/>
        </w:rPr>
        <w:t>11</w:t>
      </w:r>
      <w:r w:rsidR="00CF5FB1">
        <w:rPr>
          <w:lang w:val="en-GB" w:eastAsia="ja-JP"/>
        </w:rPr>
        <w:t xml:space="preserve"> </w:t>
      </w:r>
      <w:r w:rsidR="00A013EE">
        <w:rPr>
          <w:lang w:val="en-GB" w:eastAsia="ja-JP"/>
        </w:rPr>
        <w:t>below, post-hoc analysis)</w:t>
      </w:r>
      <w:r w:rsidRPr="000F47BC">
        <w:rPr>
          <w:lang w:val="en-GB" w:eastAsia="ja-JP"/>
        </w:rPr>
        <w:t xml:space="preserve">. These QIV B strain post-vaccination seroprotection rates are actually numerically slightly higher in the </w:t>
      </w:r>
      <w:r w:rsidR="00E936A1">
        <w:rPr>
          <w:lang w:val="en-GB" w:eastAsia="ja-JP"/>
        </w:rPr>
        <w:t xml:space="preserve">≥ </w:t>
      </w:r>
      <w:r w:rsidRPr="000F47BC">
        <w:rPr>
          <w:lang w:val="en-GB" w:eastAsia="ja-JP"/>
        </w:rPr>
        <w:t>75 years population than in the</w:t>
      </w:r>
      <w:r w:rsidR="00050E9E">
        <w:rPr>
          <w:lang w:val="en-GB" w:eastAsia="ja-JP"/>
        </w:rPr>
        <w:t xml:space="preserve"> overall </w:t>
      </w:r>
      <w:r w:rsidR="00E936A1">
        <w:rPr>
          <w:lang w:val="en-GB" w:eastAsia="ja-JP"/>
        </w:rPr>
        <w:t xml:space="preserve">≥ </w:t>
      </w:r>
      <w:r>
        <w:rPr>
          <w:lang w:val="en-GB" w:eastAsia="ja-JP"/>
        </w:rPr>
        <w:t>60 years population</w:t>
      </w:r>
      <w:r w:rsidRPr="000F47BC">
        <w:rPr>
          <w:lang w:val="en-GB" w:eastAsia="ja-JP"/>
        </w:rPr>
        <w:t>, showing maintenance of the seroprotection rate in this older age group. GMTs, seroconversion rates and Geometric Fold Increases (GMFI) are also shown in to more broadly characterise the HI immune respons</w:t>
      </w:r>
      <w:r>
        <w:rPr>
          <w:lang w:val="en-GB" w:eastAsia="ja-JP"/>
        </w:rPr>
        <w:t>es for these post-hoc analyses.</w:t>
      </w:r>
    </w:p>
    <w:p w14:paraId="28BB7569" w14:textId="5ACCA2CE" w:rsidR="000F47BC" w:rsidRDefault="000F47BC" w:rsidP="000F47BC">
      <w:pPr>
        <w:rPr>
          <w:lang w:val="en-GB" w:eastAsia="ja-JP"/>
        </w:rPr>
      </w:pPr>
      <w:r w:rsidRPr="000F47BC">
        <w:rPr>
          <w:lang w:val="en-GB" w:eastAsia="ja-JP"/>
        </w:rPr>
        <w:t>The humoral immune response to influenza vaccination in the elderly is known to be reduced compared to adults, especially for influenza A/H1N1 strains prior to the 2009 pandemic and influenza B strains. A quantitative review of 31 influenza vaccine antibody response studies conducted from 1986 to 2002 in the elderly (including studies with subjects with a mean age of 65 years or higher), identified through multiple regression mode</w:t>
      </w:r>
      <w:r>
        <w:rPr>
          <w:lang w:val="en-GB" w:eastAsia="ja-JP"/>
        </w:rPr>
        <w:t>l</w:t>
      </w:r>
      <w:r w:rsidRPr="000F47BC">
        <w:rPr>
          <w:lang w:val="en-GB" w:eastAsia="ja-JP"/>
        </w:rPr>
        <w:t>ling that age, previous vaccin</w:t>
      </w:r>
      <w:r>
        <w:rPr>
          <w:lang w:val="en-GB" w:eastAsia="ja-JP"/>
        </w:rPr>
        <w:t>ation, high pre-vaccination tit</w:t>
      </w:r>
      <w:r w:rsidRPr="000F47BC">
        <w:rPr>
          <w:lang w:val="en-GB" w:eastAsia="ja-JP"/>
        </w:rPr>
        <w:t>r</w:t>
      </w:r>
      <w:r>
        <w:rPr>
          <w:lang w:val="en-GB" w:eastAsia="ja-JP"/>
        </w:rPr>
        <w:t>e</w:t>
      </w:r>
      <w:r w:rsidRPr="000F47BC">
        <w:rPr>
          <w:lang w:val="en-GB" w:eastAsia="ja-JP"/>
        </w:rPr>
        <w:t xml:space="preserve">s and living situation (institutional residence) </w:t>
      </w:r>
      <w:r w:rsidRPr="000F47BC">
        <w:rPr>
          <w:lang w:val="en-GB" w:eastAsia="ja-JP"/>
        </w:rPr>
        <w:lastRenderedPageBreak/>
        <w:t>significantly influenced the antibody response to vaccination.</w:t>
      </w:r>
      <w:r w:rsidR="006358F8">
        <w:rPr>
          <w:rStyle w:val="FootnoteReference"/>
          <w:lang w:val="en-GB" w:eastAsia="ja-JP"/>
        </w:rPr>
        <w:footnoteReference w:id="16"/>
      </w:r>
      <w:r w:rsidRPr="000F47BC">
        <w:rPr>
          <w:lang w:val="en-GB" w:eastAsia="ja-JP"/>
        </w:rPr>
        <w:t xml:space="preserve"> It was also reported that after adjusting for vaccine and host factors, vaccine responses in the elderly (against seroprotection and seroconversion) were approximately three to four fold less for the H1N1 and B strains, and about half that observed for </w:t>
      </w:r>
      <w:r>
        <w:rPr>
          <w:lang w:val="en-GB" w:eastAsia="ja-JP"/>
        </w:rPr>
        <w:t>H3N2 strains in younger adults.</w:t>
      </w:r>
    </w:p>
    <w:p w14:paraId="547A9C74" w14:textId="31BF373E" w:rsidR="001D40BB" w:rsidRPr="000F47BC" w:rsidRDefault="005C347B" w:rsidP="00A013EE">
      <w:pPr>
        <w:pStyle w:val="Tabletitle"/>
        <w:rPr>
          <w:lang w:val="en-GB" w:eastAsia="ja-JP"/>
        </w:rPr>
      </w:pPr>
      <w:r>
        <w:rPr>
          <w:lang w:val="en-GB" w:eastAsia="ja-JP"/>
        </w:rPr>
        <w:t xml:space="preserve">Table </w:t>
      </w:r>
      <w:r w:rsidR="00C512A4">
        <w:rPr>
          <w:lang w:val="en-GB" w:eastAsia="ja-JP"/>
        </w:rPr>
        <w:t>11</w:t>
      </w:r>
      <w:r w:rsidR="00A013EE">
        <w:rPr>
          <w:lang w:val="en-GB" w:eastAsia="ja-JP"/>
        </w:rPr>
        <w:t xml:space="preserve">. </w:t>
      </w:r>
      <w:r w:rsidR="000F4134">
        <w:rPr>
          <w:lang w:val="en-GB" w:eastAsia="ja-JP"/>
        </w:rPr>
        <w:t>Summary of HI immunogenicity d</w:t>
      </w:r>
      <w:r w:rsidR="001D40BB" w:rsidRPr="001D40BB">
        <w:rPr>
          <w:lang w:val="en-GB" w:eastAsia="ja-JP"/>
        </w:rPr>
        <w:t xml:space="preserve">ata for QIV Vaccine (PP Population) by </w:t>
      </w:r>
      <w:r w:rsidR="000F4134">
        <w:rPr>
          <w:lang w:val="en-GB" w:eastAsia="ja-JP"/>
        </w:rPr>
        <w:t>a</w:t>
      </w:r>
      <w:r w:rsidR="001D40BB" w:rsidRPr="001D40BB">
        <w:rPr>
          <w:lang w:val="en-GB" w:eastAsia="ja-JP"/>
        </w:rPr>
        <w:t xml:space="preserve">ge </w:t>
      </w:r>
      <w:r w:rsidR="000F4134">
        <w:rPr>
          <w:lang w:val="en-GB" w:eastAsia="ja-JP"/>
        </w:rPr>
        <w:t>c</w:t>
      </w:r>
      <w:r w:rsidR="001D40BB" w:rsidRPr="001D40BB">
        <w:rPr>
          <w:lang w:val="en-GB" w:eastAsia="ja-JP"/>
        </w:rPr>
        <w:t>ohorts def</w:t>
      </w:r>
      <w:r w:rsidR="00A013EE">
        <w:rPr>
          <w:lang w:val="en-GB" w:eastAsia="ja-JP"/>
        </w:rPr>
        <w:t>ined in the CHMP Criteria (</w:t>
      </w:r>
      <w:r w:rsidR="00E936A1">
        <w:rPr>
          <w:lang w:val="en-GB" w:eastAsia="ja-JP"/>
        </w:rPr>
        <w:t xml:space="preserve">≥ </w:t>
      </w:r>
      <w:r w:rsidR="00A013EE">
        <w:rPr>
          <w:lang w:val="en-GB" w:eastAsia="ja-JP"/>
        </w:rPr>
        <w:t xml:space="preserve">18 to </w:t>
      </w:r>
      <w:r w:rsidR="001D40BB" w:rsidRPr="001D40BB">
        <w:rPr>
          <w:lang w:val="en-GB" w:eastAsia="ja-JP"/>
        </w:rPr>
        <w:t xml:space="preserve">60 years and </w:t>
      </w:r>
      <w:r w:rsidR="00E936A1">
        <w:rPr>
          <w:lang w:val="en-GB" w:eastAsia="ja-JP"/>
        </w:rPr>
        <w:t xml:space="preserve">≥ </w:t>
      </w:r>
      <w:r w:rsidR="001D40BB" w:rsidRPr="001D40BB">
        <w:rPr>
          <w:lang w:val="en-GB" w:eastAsia="ja-JP"/>
        </w:rPr>
        <w:t>60 years) an</w:t>
      </w:r>
      <w:r w:rsidR="000F4134">
        <w:rPr>
          <w:lang w:val="en-GB" w:eastAsia="ja-JP"/>
        </w:rPr>
        <w:t>d by a</w:t>
      </w:r>
      <w:r w:rsidR="00A013EE">
        <w:rPr>
          <w:lang w:val="en-GB" w:eastAsia="ja-JP"/>
        </w:rPr>
        <w:t xml:space="preserve">ge </w:t>
      </w:r>
      <w:r w:rsidR="000F4134">
        <w:rPr>
          <w:lang w:val="en-GB" w:eastAsia="ja-JP"/>
        </w:rPr>
        <w:t>c</w:t>
      </w:r>
      <w:r w:rsidR="00A013EE">
        <w:rPr>
          <w:lang w:val="en-GB" w:eastAsia="ja-JP"/>
        </w:rPr>
        <w:t xml:space="preserve">ohort </w:t>
      </w:r>
      <w:r w:rsidR="00E936A1">
        <w:rPr>
          <w:lang w:val="en-GB" w:eastAsia="ja-JP"/>
        </w:rPr>
        <w:t xml:space="preserve">≥ </w:t>
      </w:r>
      <w:r w:rsidR="00A013EE">
        <w:rPr>
          <w:lang w:val="en-GB" w:eastAsia="ja-JP"/>
        </w:rPr>
        <w:t>75 years, in S</w:t>
      </w:r>
      <w:r w:rsidR="001D40BB" w:rsidRPr="001D40BB">
        <w:rPr>
          <w:lang w:val="en-GB" w:eastAsia="ja-JP"/>
        </w:rPr>
        <w:t>tudy CSLCT-QIV-13-01</w:t>
      </w:r>
    </w:p>
    <w:p w14:paraId="29331302" w14:textId="605BB22E" w:rsidR="000F47BC" w:rsidRPr="000F47BC" w:rsidRDefault="001D40BB" w:rsidP="000F47BC">
      <w:pPr>
        <w:rPr>
          <w:lang w:eastAsia="ja-JP"/>
        </w:rPr>
      </w:pPr>
      <w:r w:rsidRPr="001D40BB">
        <w:rPr>
          <w:noProof/>
          <w:lang w:eastAsia="en-AU"/>
        </w:rPr>
        <w:drawing>
          <wp:inline distT="0" distB="0" distL="0" distR="0" wp14:anchorId="38CF77D6" wp14:editId="2EEAA4DC">
            <wp:extent cx="5731510" cy="3893820"/>
            <wp:effectExtent l="0" t="0" r="2540" b="0"/>
            <wp:docPr id="9" name="Picture 9" descr="Table 11. Summary of HI immunogenicity data for QIV Vaccine (PP Population) by age cohorts defined in the CHMP Criteria (≥ 18 to 60 years and ≥ 60 years) and by age cohort ≥ 75 years, in Study CSLCT-QIV-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893820"/>
                    </a:xfrm>
                    <a:prstGeom prst="rect">
                      <a:avLst/>
                    </a:prstGeom>
                  </pic:spPr>
                </pic:pic>
              </a:graphicData>
            </a:graphic>
          </wp:inline>
        </w:drawing>
      </w:r>
    </w:p>
    <w:p w14:paraId="1BF257E6" w14:textId="657F107E" w:rsidR="00DF6024" w:rsidRDefault="00DF6024" w:rsidP="00DF6024">
      <w:pPr>
        <w:pStyle w:val="Heading4"/>
      </w:pPr>
      <w:r>
        <w:t>Question 2</w:t>
      </w:r>
    </w:p>
    <w:p w14:paraId="1F8FE334" w14:textId="459125AD" w:rsidR="00DF6024" w:rsidRPr="00CD7C9A" w:rsidRDefault="00DF6024" w:rsidP="00DF6024">
      <w:pPr>
        <w:rPr>
          <w:lang w:eastAsia="ja-JP"/>
        </w:rPr>
      </w:pPr>
      <w:r w:rsidRPr="00CD7C9A">
        <w:rPr>
          <w:lang w:eastAsia="ja-JP"/>
        </w:rPr>
        <w:t xml:space="preserve">Do you have any explanation for why the seroprotection rates for B/Yamagata strain, in adults aged </w:t>
      </w:r>
      <w:r w:rsidR="00E936A1">
        <w:rPr>
          <w:lang w:eastAsia="ja-JP"/>
        </w:rPr>
        <w:t xml:space="preserve">≥ </w:t>
      </w:r>
      <w:r w:rsidRPr="00CD7C9A">
        <w:rPr>
          <w:lang w:eastAsia="ja-JP"/>
        </w:rPr>
        <w:t xml:space="preserve">65 </w:t>
      </w:r>
      <w:r>
        <w:rPr>
          <w:lang w:eastAsia="ja-JP"/>
        </w:rPr>
        <w:t>years</w:t>
      </w:r>
      <w:r w:rsidRPr="00CD7C9A">
        <w:rPr>
          <w:lang w:eastAsia="ja-JP"/>
        </w:rPr>
        <w:t xml:space="preserve"> was lower </w:t>
      </w:r>
      <w:r>
        <w:rPr>
          <w:lang w:eastAsia="ja-JP"/>
        </w:rPr>
        <w:t>than for the B/Victoria lineage?</w:t>
      </w:r>
    </w:p>
    <w:p w14:paraId="43A32995" w14:textId="47BECD12" w:rsidR="00DF6024" w:rsidRDefault="00DF6024" w:rsidP="00DF6024">
      <w:pPr>
        <w:pStyle w:val="Heading5"/>
        <w:rPr>
          <w:lang w:eastAsia="ja-JP"/>
        </w:rPr>
      </w:pPr>
      <w:r>
        <w:rPr>
          <w:lang w:eastAsia="ja-JP"/>
        </w:rPr>
        <w:t>Sponsor’s response</w:t>
      </w:r>
    </w:p>
    <w:p w14:paraId="09E076ED" w14:textId="1E3339F7" w:rsidR="00A013EE" w:rsidRPr="00A013EE" w:rsidRDefault="00A013EE" w:rsidP="00A013EE">
      <w:pPr>
        <w:rPr>
          <w:lang w:val="en-GB" w:eastAsia="ja-JP"/>
        </w:rPr>
      </w:pPr>
      <w:r w:rsidRPr="00A013EE">
        <w:rPr>
          <w:lang w:val="en-GB" w:eastAsia="ja-JP"/>
        </w:rPr>
        <w:t>This observation is likely to be explained predominantly by vaccine B strain characteristics, that is, the B/Yamagata strain (B/Massachusetts/2/2012) appears to be less immunogenic relative to the B/Victoria strain (B/Brisbane/60/200</w:t>
      </w:r>
      <w:r w:rsidR="000F4134">
        <w:rPr>
          <w:lang w:val="en-GB" w:eastAsia="ja-JP"/>
        </w:rPr>
        <w:t>8), when measured by HI assays.</w:t>
      </w:r>
    </w:p>
    <w:p w14:paraId="033F0EAF" w14:textId="1E4C7111" w:rsidR="00A013EE" w:rsidRPr="00A013EE" w:rsidRDefault="00A013EE" w:rsidP="00A013EE">
      <w:pPr>
        <w:rPr>
          <w:lang w:val="en-GB" w:eastAsia="ja-JP"/>
        </w:rPr>
      </w:pPr>
      <w:r w:rsidRPr="00A013EE">
        <w:rPr>
          <w:lang w:val="en-GB" w:eastAsia="ja-JP"/>
        </w:rPr>
        <w:t xml:space="preserve">The observation that seroprotection rates for the B/Yamagata strain in adults aged </w:t>
      </w:r>
      <w:r w:rsidR="00E936A1">
        <w:rPr>
          <w:lang w:val="en-GB" w:eastAsia="ja-JP"/>
        </w:rPr>
        <w:t xml:space="preserve">≥ </w:t>
      </w:r>
      <w:r w:rsidRPr="00A013EE">
        <w:rPr>
          <w:lang w:val="en-GB" w:eastAsia="ja-JP"/>
        </w:rPr>
        <w:t>65 years was lower than</w:t>
      </w:r>
      <w:r w:rsidR="000F4134">
        <w:rPr>
          <w:lang w:val="en-GB" w:eastAsia="ja-JP"/>
        </w:rPr>
        <w:t xml:space="preserve"> for the B/Victoria lineage in S</w:t>
      </w:r>
      <w:r w:rsidRPr="00A013EE">
        <w:rPr>
          <w:lang w:val="en-GB" w:eastAsia="ja-JP"/>
        </w:rPr>
        <w:t>tudy CSLCT-QIV-13-01 is consistent with the patterns of HI assay immune responses that have been previously observed to these specific influenza B vaccine strains from two Fluvax TIV clinical studies conducted in support of Annual Strain Upda</w:t>
      </w:r>
      <w:r w:rsidR="000F4134">
        <w:rPr>
          <w:lang w:val="en-GB" w:eastAsia="ja-JP"/>
        </w:rPr>
        <w:t>tes in Europe (CSLCT-ASU-12-84 (NCT01857297)</w:t>
      </w:r>
      <w:r w:rsidRPr="00A013EE">
        <w:rPr>
          <w:lang w:val="en-GB" w:eastAsia="ja-JP"/>
        </w:rPr>
        <w:t xml:space="preserve"> and CSLCT-ASU-10-66 </w:t>
      </w:r>
      <w:r w:rsidR="000F4134">
        <w:rPr>
          <w:lang w:val="en-GB" w:eastAsia="ja-JP"/>
        </w:rPr>
        <w:t>(NCT01113580)).</w:t>
      </w:r>
    </w:p>
    <w:p w14:paraId="28E7D629" w14:textId="3C1C6D19" w:rsidR="00A013EE" w:rsidRPr="00A013EE" w:rsidRDefault="000F4134" w:rsidP="00A013EE">
      <w:pPr>
        <w:rPr>
          <w:lang w:val="en-GB" w:eastAsia="ja-JP"/>
        </w:rPr>
      </w:pPr>
      <w:r>
        <w:rPr>
          <w:lang w:val="en-GB" w:eastAsia="ja-JP"/>
        </w:rPr>
        <w:t>GMT</w:t>
      </w:r>
      <w:r w:rsidR="00A013EE" w:rsidRPr="00A013EE">
        <w:rPr>
          <w:lang w:val="en-GB" w:eastAsia="ja-JP"/>
        </w:rPr>
        <w:t xml:space="preserve"> by HI assay for the B/Yamagata strain were also numerically lower than results for the B/Victoria strain in subjec</w:t>
      </w:r>
      <w:r>
        <w:rPr>
          <w:lang w:val="en-GB" w:eastAsia="ja-JP"/>
        </w:rPr>
        <w:t xml:space="preserve">ts </w:t>
      </w:r>
      <w:r w:rsidR="00E936A1">
        <w:rPr>
          <w:lang w:val="en-GB" w:eastAsia="ja-JP"/>
        </w:rPr>
        <w:t xml:space="preserve">≥ </w:t>
      </w:r>
      <w:r>
        <w:rPr>
          <w:lang w:val="en-GB" w:eastAsia="ja-JP"/>
        </w:rPr>
        <w:t>65 years in the FluQuadri</w:t>
      </w:r>
      <w:r w:rsidR="00A013EE" w:rsidRPr="00A013EE">
        <w:rPr>
          <w:lang w:val="en-GB" w:eastAsia="ja-JP"/>
        </w:rPr>
        <w:t xml:space="preserve"> Study QIV-03 (NCT01218646) as </w:t>
      </w:r>
      <w:r w:rsidR="00A013EE" w:rsidRPr="00A013EE">
        <w:rPr>
          <w:lang w:val="en-GB" w:eastAsia="ja-JP"/>
        </w:rPr>
        <w:lastRenderedPageBreak/>
        <w:t xml:space="preserve">evident in the Australian </w:t>
      </w:r>
      <w:r>
        <w:rPr>
          <w:lang w:val="en-GB" w:eastAsia="ja-JP"/>
        </w:rPr>
        <w:t>PI</w:t>
      </w:r>
      <w:r w:rsidR="00A013EE" w:rsidRPr="00A013EE">
        <w:rPr>
          <w:lang w:val="en-GB" w:eastAsia="ja-JP"/>
        </w:rPr>
        <w:t xml:space="preserve"> for this product. The B/Victoria post-vaccination GMT (B/Brisbane/60/2008) was 73.8 compared with 61.1 for the B/Yamagata post-vaccination GMT (B/Florida/04/2006). Note however that the B/Yamagata strain used in the study was the strain that preceded the B/Massachusetts/2/2012 strain in northern hemisphere</w:t>
      </w:r>
      <w:r>
        <w:rPr>
          <w:lang w:val="en-GB" w:eastAsia="ja-JP"/>
        </w:rPr>
        <w:t xml:space="preserve"> vaccines that was included in S</w:t>
      </w:r>
      <w:r w:rsidR="00A013EE" w:rsidRPr="00A013EE">
        <w:rPr>
          <w:lang w:val="en-GB" w:eastAsia="ja-JP"/>
        </w:rPr>
        <w:t>tudy CSLCT-QIV-13-0</w:t>
      </w:r>
      <w:r>
        <w:rPr>
          <w:lang w:val="en-GB" w:eastAsia="ja-JP"/>
        </w:rPr>
        <w:t>1.</w:t>
      </w:r>
    </w:p>
    <w:p w14:paraId="0D014D17" w14:textId="5EEE68B3" w:rsidR="00C618F7" w:rsidRDefault="00C618F7" w:rsidP="00C618F7">
      <w:pPr>
        <w:pStyle w:val="Heading2"/>
      </w:pPr>
      <w:bookmarkStart w:id="210" w:name="_Toc490579745"/>
      <w:r>
        <w:t>Second round benefit-risk assessment</w:t>
      </w:r>
      <w:bookmarkEnd w:id="210"/>
    </w:p>
    <w:p w14:paraId="05F728A7" w14:textId="77777777" w:rsidR="00CD7C9A" w:rsidRPr="00CD7C9A" w:rsidRDefault="00CD7C9A" w:rsidP="00EF058D">
      <w:pPr>
        <w:pStyle w:val="Heading3"/>
      </w:pPr>
      <w:bookmarkStart w:id="211" w:name="_Toc272414709"/>
      <w:bookmarkStart w:id="212" w:name="_Toc290888575"/>
      <w:bookmarkStart w:id="213" w:name="_Toc290888726"/>
      <w:bookmarkStart w:id="214" w:name="_Toc448702549"/>
      <w:bookmarkStart w:id="215" w:name="_Toc490579746"/>
      <w:r w:rsidRPr="00CD7C9A">
        <w:t>Second round assessment of benefits</w:t>
      </w:r>
      <w:bookmarkEnd w:id="211"/>
      <w:bookmarkEnd w:id="212"/>
      <w:bookmarkEnd w:id="213"/>
      <w:bookmarkEnd w:id="214"/>
      <w:bookmarkEnd w:id="215"/>
    </w:p>
    <w:p w14:paraId="0E9232CB" w14:textId="22D5460D" w:rsidR="00CD7C9A" w:rsidRPr="00CD7C9A" w:rsidRDefault="00CD7C9A" w:rsidP="00CD7C9A">
      <w:pPr>
        <w:rPr>
          <w:lang w:eastAsia="ja-JP"/>
        </w:rPr>
      </w:pPr>
      <w:r w:rsidRPr="00CD7C9A">
        <w:rPr>
          <w:lang w:eastAsia="ja-JP"/>
        </w:rPr>
        <w:t xml:space="preserve">After consideration of the responses to clinical questions, the benefits of </w:t>
      </w:r>
      <w:r w:rsidR="00F86617">
        <w:rPr>
          <w:lang w:eastAsia="ja-JP"/>
        </w:rPr>
        <w:t xml:space="preserve">Afluria </w:t>
      </w:r>
      <w:r w:rsidR="00EF058D">
        <w:rPr>
          <w:lang w:eastAsia="ja-JP"/>
        </w:rPr>
        <w:t>Quad</w:t>
      </w:r>
      <w:r w:rsidRPr="00CD7C9A">
        <w:rPr>
          <w:lang w:eastAsia="ja-JP"/>
        </w:rPr>
        <w:t xml:space="preserve"> in the proposed usage are unchanged from those identified in</w:t>
      </w:r>
      <w:r w:rsidR="00EF058D">
        <w:rPr>
          <w:lang w:eastAsia="ja-JP"/>
        </w:rPr>
        <w:t xml:space="preserve"> the First round assessment of benefits</w:t>
      </w:r>
      <w:r w:rsidRPr="00CD7C9A">
        <w:rPr>
          <w:lang w:eastAsia="ja-JP"/>
        </w:rPr>
        <w:t xml:space="preserve"> </w:t>
      </w:r>
      <w:r w:rsidR="00EF058D">
        <w:rPr>
          <w:lang w:eastAsia="ja-JP"/>
        </w:rPr>
        <w:t xml:space="preserve">(see </w:t>
      </w:r>
      <w:r w:rsidRPr="00EF058D">
        <w:rPr>
          <w:lang w:eastAsia="ja-JP"/>
        </w:rPr>
        <w:t>Section 9.1</w:t>
      </w:r>
      <w:r w:rsidR="00EF058D">
        <w:rPr>
          <w:lang w:eastAsia="ja-JP"/>
        </w:rPr>
        <w:t xml:space="preserve"> above).</w:t>
      </w:r>
    </w:p>
    <w:p w14:paraId="19B34853" w14:textId="77777777" w:rsidR="00CD7C9A" w:rsidRPr="00CD7C9A" w:rsidRDefault="00CD7C9A" w:rsidP="00BF36BA">
      <w:pPr>
        <w:pStyle w:val="Heading3"/>
      </w:pPr>
      <w:bookmarkStart w:id="216" w:name="_Toc272414710"/>
      <w:bookmarkStart w:id="217" w:name="_Toc290888576"/>
      <w:bookmarkStart w:id="218" w:name="_Toc290888727"/>
      <w:bookmarkStart w:id="219" w:name="_Toc448702550"/>
      <w:bookmarkStart w:id="220" w:name="_Toc490579747"/>
      <w:r w:rsidRPr="00CD7C9A">
        <w:t>Second round assessment of risks</w:t>
      </w:r>
      <w:bookmarkEnd w:id="216"/>
      <w:bookmarkEnd w:id="217"/>
      <w:bookmarkEnd w:id="218"/>
      <w:bookmarkEnd w:id="219"/>
      <w:bookmarkEnd w:id="220"/>
    </w:p>
    <w:p w14:paraId="73E228F0" w14:textId="6AED1C5D" w:rsidR="00CD7C9A" w:rsidRPr="00CD7C9A" w:rsidRDefault="00CD7C9A" w:rsidP="00CD7C9A">
      <w:pPr>
        <w:rPr>
          <w:lang w:eastAsia="ja-JP"/>
        </w:rPr>
      </w:pPr>
      <w:r w:rsidRPr="00CD7C9A">
        <w:rPr>
          <w:lang w:eastAsia="ja-JP"/>
        </w:rPr>
        <w:t xml:space="preserve">After consideration of the responses to clinical questions, the </w:t>
      </w:r>
      <w:r w:rsidR="00BF36BA">
        <w:rPr>
          <w:lang w:eastAsia="ja-JP"/>
        </w:rPr>
        <w:t xml:space="preserve">risks of </w:t>
      </w:r>
      <w:r w:rsidR="00F86617" w:rsidRPr="00F86617">
        <w:rPr>
          <w:lang w:eastAsia="ja-JP"/>
        </w:rPr>
        <w:t xml:space="preserve">Afluria </w:t>
      </w:r>
      <w:r w:rsidR="00BF36BA">
        <w:rPr>
          <w:lang w:eastAsia="ja-JP"/>
        </w:rPr>
        <w:t>Quad</w:t>
      </w:r>
      <w:r w:rsidRPr="00CD7C9A">
        <w:rPr>
          <w:lang w:eastAsia="ja-JP"/>
        </w:rPr>
        <w:t xml:space="preserve"> in the proposed usage are unchanged from those identified in</w:t>
      </w:r>
      <w:r w:rsidR="00BF36BA">
        <w:rPr>
          <w:lang w:eastAsia="ja-JP"/>
        </w:rPr>
        <w:t xml:space="preserve"> the First round assessment on risks (see Section 9.2 above).</w:t>
      </w:r>
    </w:p>
    <w:p w14:paraId="46496F48" w14:textId="77777777" w:rsidR="00CD7C9A" w:rsidRPr="00CD7C9A" w:rsidRDefault="00CD7C9A" w:rsidP="00BF36BA">
      <w:pPr>
        <w:pStyle w:val="Heading3"/>
      </w:pPr>
      <w:bookmarkStart w:id="221" w:name="_Toc490579748"/>
      <w:r w:rsidRPr="00CD7C9A">
        <w:t>Second round assessment of benefit-risk balance</w:t>
      </w:r>
      <w:bookmarkEnd w:id="221"/>
    </w:p>
    <w:p w14:paraId="2B0F77E6" w14:textId="25660C1B" w:rsidR="00CD7C9A" w:rsidRPr="00586F98" w:rsidRDefault="00CD7C9A" w:rsidP="00C618F7">
      <w:pPr>
        <w:rPr>
          <w:lang w:eastAsia="ja-JP"/>
        </w:rPr>
      </w:pPr>
      <w:r w:rsidRPr="00CD7C9A">
        <w:rPr>
          <w:lang w:eastAsia="ja-JP"/>
        </w:rPr>
        <w:t xml:space="preserve">The benefit-risk balance of </w:t>
      </w:r>
      <w:r w:rsidR="00F86617" w:rsidRPr="00F86617">
        <w:rPr>
          <w:lang w:eastAsia="ja-JP"/>
        </w:rPr>
        <w:t>Afluria</w:t>
      </w:r>
      <w:r w:rsidR="00BF36BA">
        <w:rPr>
          <w:lang w:eastAsia="ja-JP"/>
        </w:rPr>
        <w:t xml:space="preserve"> Quad</w:t>
      </w:r>
      <w:r w:rsidRPr="00CD7C9A">
        <w:rPr>
          <w:lang w:eastAsia="ja-JP"/>
        </w:rPr>
        <w:t>, given the proposed usage, remains favourable.</w:t>
      </w:r>
    </w:p>
    <w:p w14:paraId="0B777CF6" w14:textId="77777777" w:rsidR="00C618F7" w:rsidRDefault="00C618F7" w:rsidP="00C618F7">
      <w:pPr>
        <w:pStyle w:val="Heading2"/>
      </w:pPr>
      <w:bookmarkStart w:id="222" w:name="_Toc490579749"/>
      <w:r>
        <w:t>Second round recommendation regarding authorisation</w:t>
      </w:r>
      <w:bookmarkEnd w:id="222"/>
    </w:p>
    <w:p w14:paraId="410857CE" w14:textId="56EB2613" w:rsidR="00CD7C9A" w:rsidRPr="00586F98" w:rsidRDefault="00BF36BA" w:rsidP="00C618F7">
      <w:r>
        <w:rPr>
          <w:lang w:eastAsia="ja-JP"/>
        </w:rPr>
        <w:t xml:space="preserve">The clinical advisor </w:t>
      </w:r>
      <w:r>
        <w:t>r</w:t>
      </w:r>
      <w:r w:rsidR="00CD7C9A">
        <w:t>ecommend</w:t>
      </w:r>
      <w:r>
        <w:t>s</w:t>
      </w:r>
      <w:r w:rsidR="00CD7C9A">
        <w:t xml:space="preserve"> authorisation of </w:t>
      </w:r>
      <w:r w:rsidR="00F86617" w:rsidRPr="00F86617">
        <w:t>Afluria</w:t>
      </w:r>
      <w:r>
        <w:t xml:space="preserve"> Quad.</w:t>
      </w:r>
    </w:p>
    <w:p w14:paraId="781D5924" w14:textId="77777777" w:rsidR="00C618F7" w:rsidRDefault="00C618F7" w:rsidP="00C618F7">
      <w:pPr>
        <w:pStyle w:val="Heading2"/>
      </w:pPr>
      <w:bookmarkStart w:id="223" w:name="_Toc490579750"/>
      <w:r>
        <w:t>References</w:t>
      </w:r>
      <w:bookmarkEnd w:id="223"/>
    </w:p>
    <w:p w14:paraId="0CC92ACD" w14:textId="35DE5BC4" w:rsidR="00CD7C9A" w:rsidRPr="00BF36BA" w:rsidRDefault="00CD7C9A" w:rsidP="00BF36BA">
      <w:pPr>
        <w:pStyle w:val="Reference"/>
        <w:rPr>
          <w:sz w:val="22"/>
          <w:lang w:eastAsia="ja-JP"/>
        </w:rPr>
      </w:pPr>
      <w:r w:rsidRPr="00BF36BA">
        <w:rPr>
          <w:sz w:val="22"/>
          <w:lang w:eastAsia="ja-JP"/>
        </w:rPr>
        <w:t>Ambrose C</w:t>
      </w:r>
      <w:r w:rsidR="00A12904" w:rsidRPr="00BF36BA">
        <w:rPr>
          <w:sz w:val="22"/>
          <w:lang w:eastAsia="ja-JP"/>
        </w:rPr>
        <w:t>, et al.,</w:t>
      </w:r>
      <w:r w:rsidRPr="00BF36BA">
        <w:rPr>
          <w:sz w:val="22"/>
          <w:lang w:eastAsia="ja-JP"/>
        </w:rPr>
        <w:t xml:space="preserve"> The rationale for quadrivalent influenza vaccines. Hum Vaccin Immunother 2012 Jan; 8(1):81-8.</w:t>
      </w:r>
    </w:p>
    <w:p w14:paraId="1C7BC4A7" w14:textId="019499E7" w:rsidR="00CD7C9A" w:rsidRPr="00BF36BA" w:rsidRDefault="00CD7C9A" w:rsidP="00BF36BA">
      <w:pPr>
        <w:pStyle w:val="Reference"/>
        <w:rPr>
          <w:sz w:val="22"/>
          <w:lang w:eastAsia="ja-JP"/>
        </w:rPr>
      </w:pPr>
      <w:r w:rsidRPr="00BF36BA">
        <w:rPr>
          <w:sz w:val="22"/>
          <w:lang w:eastAsia="ja-JP"/>
        </w:rPr>
        <w:t>Belshe</w:t>
      </w:r>
      <w:r w:rsidR="00A12904" w:rsidRPr="00BF36BA">
        <w:rPr>
          <w:sz w:val="22"/>
          <w:lang w:eastAsia="ja-JP"/>
        </w:rPr>
        <w:t>, R</w:t>
      </w:r>
      <w:r w:rsidRPr="00BF36BA">
        <w:rPr>
          <w:sz w:val="22"/>
          <w:lang w:eastAsia="ja-JP"/>
        </w:rPr>
        <w:t>. The need for quadrivalent vaccine against seasonal influenza. Vaccine 2010 Sep 7; 28 Suppl 4: D45-53.</w:t>
      </w:r>
    </w:p>
    <w:p w14:paraId="53340DC3" w14:textId="73401441" w:rsidR="00CD7C9A" w:rsidRPr="00BF36BA" w:rsidRDefault="00CD7C9A" w:rsidP="00BF36BA">
      <w:pPr>
        <w:pStyle w:val="Reference"/>
        <w:rPr>
          <w:sz w:val="22"/>
          <w:lang w:eastAsia="ja-JP"/>
        </w:rPr>
      </w:pPr>
      <w:r w:rsidRPr="00BF36BA">
        <w:rPr>
          <w:sz w:val="22"/>
          <w:lang w:eastAsia="ja-JP"/>
        </w:rPr>
        <w:t>Beyer</w:t>
      </w:r>
      <w:r w:rsidR="00887F51" w:rsidRPr="00BF36BA">
        <w:rPr>
          <w:sz w:val="22"/>
          <w:lang w:eastAsia="ja-JP"/>
        </w:rPr>
        <w:t xml:space="preserve"> W</w:t>
      </w:r>
      <w:r w:rsidRPr="00BF36BA">
        <w:rPr>
          <w:sz w:val="22"/>
          <w:lang w:eastAsia="ja-JP"/>
        </w:rPr>
        <w:t>, et al.</w:t>
      </w:r>
      <w:r w:rsidR="00887F51" w:rsidRPr="00BF36BA">
        <w:rPr>
          <w:sz w:val="22"/>
          <w:lang w:eastAsia="ja-JP"/>
        </w:rPr>
        <w:t>,</w:t>
      </w:r>
      <w:r w:rsidRPr="00BF36BA">
        <w:rPr>
          <w:sz w:val="22"/>
          <w:lang w:eastAsia="ja-JP"/>
        </w:rPr>
        <w:t xml:space="preserve"> Protection against influenza after annually repeated vaccination: a meta-analysis of serologic and field studies. Arch Intern Med. 1999;159(2):182-8.</w:t>
      </w:r>
    </w:p>
    <w:p w14:paraId="0F00DC8B" w14:textId="37FFCA08" w:rsidR="00CD7C9A" w:rsidRPr="00BF36BA" w:rsidRDefault="00CD7C9A" w:rsidP="00BF36BA">
      <w:pPr>
        <w:pStyle w:val="Reference"/>
        <w:rPr>
          <w:sz w:val="22"/>
          <w:lang w:eastAsia="ja-JP"/>
        </w:rPr>
      </w:pPr>
      <w:r w:rsidRPr="00BF36BA">
        <w:rPr>
          <w:sz w:val="22"/>
          <w:lang w:eastAsia="ja-JP"/>
        </w:rPr>
        <w:t>Fiore</w:t>
      </w:r>
      <w:r w:rsidR="004A18E6" w:rsidRPr="00BF36BA">
        <w:rPr>
          <w:sz w:val="22"/>
          <w:lang w:eastAsia="ja-JP"/>
        </w:rPr>
        <w:t xml:space="preserve"> A</w:t>
      </w:r>
      <w:r w:rsidRPr="00BF36BA">
        <w:rPr>
          <w:sz w:val="22"/>
          <w:lang w:eastAsia="ja-JP"/>
        </w:rPr>
        <w:t>, et al. Prevention and control of seasonal influenza with vaccines: recommendations of the Advisory Committee on Immunization Practices (ACIP), 2009. MMWR Recomm Rep 2009 Jul 31;58(RR-8):1-52.</w:t>
      </w:r>
    </w:p>
    <w:p w14:paraId="2F1966C9" w14:textId="6807453C" w:rsidR="00CD7C9A" w:rsidRPr="00BF36BA" w:rsidRDefault="00CD7C9A" w:rsidP="00BF36BA">
      <w:pPr>
        <w:pStyle w:val="Reference"/>
        <w:rPr>
          <w:sz w:val="22"/>
          <w:lang w:eastAsia="ja-JP"/>
        </w:rPr>
      </w:pPr>
      <w:r w:rsidRPr="00BF36BA">
        <w:rPr>
          <w:sz w:val="22"/>
          <w:lang w:eastAsia="ja-JP"/>
        </w:rPr>
        <w:t>Hay</w:t>
      </w:r>
      <w:r w:rsidRPr="00BF36BA">
        <w:rPr>
          <w:b/>
          <w:sz w:val="22"/>
          <w:lang w:eastAsia="ja-JP"/>
        </w:rPr>
        <w:t xml:space="preserve"> </w:t>
      </w:r>
      <w:r w:rsidR="00DA5B4F" w:rsidRPr="00BF36BA">
        <w:rPr>
          <w:sz w:val="22"/>
          <w:lang w:eastAsia="ja-JP"/>
        </w:rPr>
        <w:t xml:space="preserve">A, et </w:t>
      </w:r>
      <w:r w:rsidRPr="00BF36BA">
        <w:rPr>
          <w:sz w:val="22"/>
          <w:lang w:eastAsia="ja-JP"/>
        </w:rPr>
        <w:t>al.</w:t>
      </w:r>
      <w:r w:rsidR="00DA5B4F" w:rsidRPr="00BF36BA">
        <w:rPr>
          <w:sz w:val="22"/>
          <w:lang w:eastAsia="ja-JP"/>
        </w:rPr>
        <w:t>,</w:t>
      </w:r>
      <w:r w:rsidRPr="00BF36BA">
        <w:rPr>
          <w:sz w:val="22"/>
          <w:lang w:eastAsia="ja-JP"/>
        </w:rPr>
        <w:t xml:space="preserve"> Influenza viruses. In: Belshe RB, ed. Textbook of Human Virology. St. Louis, Missouri: Mosby Year Book, Inc, 1991;307−341.</w:t>
      </w:r>
    </w:p>
    <w:p w14:paraId="7C88FFE3" w14:textId="5192FD57" w:rsidR="00CD7C9A" w:rsidRPr="00BF36BA" w:rsidRDefault="00CD7C9A" w:rsidP="00BF36BA">
      <w:pPr>
        <w:pStyle w:val="Reference"/>
        <w:rPr>
          <w:sz w:val="22"/>
          <w:lang w:eastAsia="ja-JP"/>
        </w:rPr>
      </w:pPr>
      <w:r w:rsidRPr="00BF36BA">
        <w:rPr>
          <w:sz w:val="22"/>
          <w:lang w:eastAsia="ja-JP"/>
        </w:rPr>
        <w:t>Monto</w:t>
      </w:r>
      <w:r w:rsidR="00380ABB" w:rsidRPr="00BF36BA">
        <w:rPr>
          <w:sz w:val="22"/>
          <w:lang w:eastAsia="ja-JP"/>
        </w:rPr>
        <w:t xml:space="preserve"> A, </w:t>
      </w:r>
      <w:r w:rsidRPr="00BF36BA">
        <w:rPr>
          <w:sz w:val="22"/>
          <w:lang w:eastAsia="ja-JP"/>
        </w:rPr>
        <w:t>Epidemiology of influenza. Vaccine. 2008 Sep 12; 26 Suppl 4:D45-8.</w:t>
      </w:r>
    </w:p>
    <w:p w14:paraId="2ECDA39F" w14:textId="6AF9F50C" w:rsidR="00CD7C9A" w:rsidRPr="00BF36BA" w:rsidRDefault="00CD7C9A" w:rsidP="00BF36BA">
      <w:pPr>
        <w:pStyle w:val="Reference"/>
        <w:rPr>
          <w:sz w:val="22"/>
          <w:lang w:eastAsia="ja-JP"/>
        </w:rPr>
      </w:pPr>
      <w:r w:rsidRPr="00BF36BA">
        <w:rPr>
          <w:sz w:val="22"/>
          <w:lang w:eastAsia="ja-JP"/>
        </w:rPr>
        <w:t>Rota</w:t>
      </w:r>
      <w:r w:rsidR="00A12904" w:rsidRPr="00BF36BA">
        <w:rPr>
          <w:sz w:val="22"/>
          <w:lang w:eastAsia="ja-JP"/>
        </w:rPr>
        <w:t xml:space="preserve"> </w:t>
      </w:r>
      <w:r w:rsidRPr="00BF36BA">
        <w:rPr>
          <w:sz w:val="22"/>
          <w:lang w:eastAsia="ja-JP"/>
        </w:rPr>
        <w:t>A, et al.</w:t>
      </w:r>
      <w:r w:rsidR="00A12904" w:rsidRPr="00BF36BA">
        <w:rPr>
          <w:sz w:val="22"/>
          <w:lang w:eastAsia="ja-JP"/>
        </w:rPr>
        <w:t>,</w:t>
      </w:r>
      <w:r w:rsidRPr="00BF36BA">
        <w:rPr>
          <w:sz w:val="22"/>
          <w:lang w:eastAsia="ja-JP"/>
        </w:rPr>
        <w:t xml:space="preserve"> Cocirculation of two distinct evolutionary lineages of influenza type B virus since 1983. Virology 1990 Mar; 175(1):59-68.</w:t>
      </w:r>
    </w:p>
    <w:p w14:paraId="220AE3DB" w14:textId="5EF121FB" w:rsidR="00CD7C9A" w:rsidRPr="00BF36BA" w:rsidRDefault="00CD7C9A" w:rsidP="00BF36BA">
      <w:pPr>
        <w:pStyle w:val="Reference"/>
        <w:rPr>
          <w:sz w:val="22"/>
          <w:lang w:eastAsia="ja-JP"/>
        </w:rPr>
      </w:pPr>
      <w:r w:rsidRPr="00BF36BA">
        <w:rPr>
          <w:sz w:val="22"/>
          <w:lang w:eastAsia="ja-JP"/>
        </w:rPr>
        <w:t>Rothberg M</w:t>
      </w:r>
      <w:r w:rsidR="004A18E6" w:rsidRPr="00BF36BA">
        <w:rPr>
          <w:sz w:val="22"/>
          <w:lang w:eastAsia="ja-JP"/>
        </w:rPr>
        <w:t xml:space="preserve">, et al., </w:t>
      </w:r>
      <w:r w:rsidRPr="00BF36BA">
        <w:rPr>
          <w:sz w:val="22"/>
          <w:lang w:eastAsia="ja-JP"/>
        </w:rPr>
        <w:t>Complications of viral influenza. Am J Med 2008 Apr;121(4):258-64</w:t>
      </w:r>
    </w:p>
    <w:p w14:paraId="04EEE096" w14:textId="4853FE31" w:rsidR="00CD7C9A" w:rsidRPr="00BF36BA" w:rsidRDefault="00CD7C9A" w:rsidP="00BF36BA">
      <w:pPr>
        <w:pStyle w:val="Reference"/>
        <w:rPr>
          <w:sz w:val="22"/>
          <w:lang w:eastAsia="ja-JP"/>
        </w:rPr>
      </w:pPr>
      <w:r w:rsidRPr="00BF36BA">
        <w:rPr>
          <w:sz w:val="22"/>
          <w:lang w:eastAsia="ja-JP"/>
        </w:rPr>
        <w:t xml:space="preserve">Reed C, </w:t>
      </w:r>
      <w:r w:rsidR="00A5283F" w:rsidRPr="00BF36BA">
        <w:rPr>
          <w:sz w:val="22"/>
          <w:lang w:eastAsia="ja-JP"/>
        </w:rPr>
        <w:t>et al.,</w:t>
      </w:r>
      <w:r w:rsidRPr="00BF36BA">
        <w:rPr>
          <w:sz w:val="22"/>
          <w:lang w:eastAsia="ja-JP"/>
        </w:rPr>
        <w:t xml:space="preserve"> Public health impact of including two lineages of influenza B in a quadrivalent seasonal influenza vaccine. Vaccine 2012 Mar 2; 30(11): 1993 8.</w:t>
      </w:r>
    </w:p>
    <w:bookmarkEnd w:id="2"/>
    <w:bookmarkEnd w:id="1"/>
    <w:bookmarkEnd w:id="3"/>
    <w:p w14:paraId="78738644" w14:textId="77777777" w:rsidR="003D1E62" w:rsidRPr="001D043B" w:rsidRDefault="008E7846" w:rsidP="002666AC">
      <w:pPr>
        <w:sectPr w:rsidR="003D1E62" w:rsidRPr="001D043B" w:rsidSect="008D770F">
          <w:headerReference w:type="even" r:id="rId36"/>
          <w:headerReference w:type="default" r:id="rId37"/>
          <w:headerReference w:type="first" r:id="rId38"/>
          <w:footerReference w:type="first" r:id="rId39"/>
          <w:pgSz w:w="11906" w:h="16838" w:code="9"/>
          <w:pgMar w:top="1440" w:right="1440" w:bottom="1440" w:left="1440" w:header="907" w:footer="216" w:gutter="0"/>
          <w:cols w:space="708"/>
          <w:docGrid w:linePitch="360"/>
        </w:sectPr>
      </w:pPr>
      <w:r>
        <w:lastRenderedPageBreak/>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386452CA" w14:textId="77777777" w:rsidTr="00B03645">
        <w:trPr>
          <w:trHeight w:hRule="exact" w:val="564"/>
        </w:trPr>
        <w:tc>
          <w:tcPr>
            <w:tcW w:w="9175" w:type="dxa"/>
          </w:tcPr>
          <w:p w14:paraId="02F2D1B9" w14:textId="77777777" w:rsidR="00B3567E" w:rsidRPr="00487162" w:rsidRDefault="00B3567E" w:rsidP="00B03645">
            <w:pPr>
              <w:pStyle w:val="TGASignoff"/>
            </w:pPr>
            <w:r w:rsidRPr="00487162">
              <w:lastRenderedPageBreak/>
              <w:t>Therapeutic Goods Administration</w:t>
            </w:r>
          </w:p>
        </w:tc>
      </w:tr>
      <w:tr w:rsidR="00B3567E" w:rsidRPr="00487162" w14:paraId="5C5A860E" w14:textId="77777777" w:rsidTr="00B03645">
        <w:trPr>
          <w:trHeight w:val="1221"/>
        </w:trPr>
        <w:tc>
          <w:tcPr>
            <w:tcW w:w="9175" w:type="dxa"/>
            <w:tcMar>
              <w:top w:w="28" w:type="dxa"/>
            </w:tcMar>
          </w:tcPr>
          <w:p w14:paraId="7BC8EC25" w14:textId="77777777" w:rsidR="00B3567E" w:rsidRPr="00487162" w:rsidRDefault="00B3567E" w:rsidP="00B03645">
            <w:pPr>
              <w:pStyle w:val="Address"/>
            </w:pPr>
            <w:r w:rsidRPr="00487162">
              <w:t>PO Box 100 Woden ACT 2606 Australia</w:t>
            </w:r>
          </w:p>
          <w:p w14:paraId="66183356" w14:textId="04D802F9" w:rsidR="00B3567E" w:rsidRPr="00487162" w:rsidRDefault="00B3567E" w:rsidP="00B03645">
            <w:pPr>
              <w:pStyle w:val="Address"/>
            </w:pPr>
            <w:r w:rsidRPr="00487162">
              <w:t xml:space="preserve">Email: </w:t>
            </w:r>
            <w:hyperlink r:id="rId40" w:history="1">
              <w:r w:rsidRPr="008D770F">
                <w:rPr>
                  <w:rStyle w:val="Hyperlink"/>
                </w:rPr>
                <w:t>info@tga.gov.au</w:t>
              </w:r>
            </w:hyperlink>
            <w:r w:rsidR="00E936A1">
              <w:t xml:space="preserve"> </w:t>
            </w:r>
            <w:r w:rsidRPr="00487162">
              <w:t>Phone: 1800 020 653</w:t>
            </w:r>
            <w:r w:rsidR="00E936A1">
              <w:t xml:space="preserve"> </w:t>
            </w:r>
            <w:r w:rsidRPr="00487162">
              <w:t>Fax: 02 6232 8605</w:t>
            </w:r>
          </w:p>
          <w:p w14:paraId="497659A9" w14:textId="77777777" w:rsidR="00B3567E" w:rsidRPr="008D770F" w:rsidRDefault="002932ED" w:rsidP="00B03645">
            <w:pPr>
              <w:pStyle w:val="Address"/>
              <w:spacing w:line="260" w:lineRule="atLeast"/>
              <w:rPr>
                <w:b/>
                <w:color w:val="0000FF"/>
                <w:u w:val="single"/>
              </w:rPr>
            </w:pPr>
            <w:hyperlink r:id="rId41" w:history="1">
              <w:r w:rsidR="00E979F4" w:rsidRPr="00FE02B1">
                <w:rPr>
                  <w:rStyle w:val="Hyperlink"/>
                  <w:b/>
                </w:rPr>
                <w:t>https://www.tga.gov.au</w:t>
              </w:r>
            </w:hyperlink>
          </w:p>
        </w:tc>
      </w:tr>
    </w:tbl>
    <w:p w14:paraId="17D5A2E0" w14:textId="77777777" w:rsidR="00774E1D" w:rsidRPr="008A5E0B" w:rsidRDefault="00774E1D" w:rsidP="008A5E0B"/>
    <w:sectPr w:rsidR="00774E1D" w:rsidRPr="008A5E0B" w:rsidSect="00B3567E">
      <w:headerReference w:type="even" r:id="rId42"/>
      <w:headerReference w:type="default" r:id="rId43"/>
      <w:footerReference w:type="default" r:id="rId44"/>
      <w:headerReference w:type="first" r:id="rId45"/>
      <w:footerReference w:type="first" r:id="rId46"/>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1064D8" w15:done="0"/>
  <w15:commentEx w15:paraId="33BBA802" w15:done="0"/>
  <w15:commentEx w15:paraId="00122B17" w15:done="0"/>
  <w15:commentEx w15:paraId="0531CB42" w15:done="0"/>
  <w15:commentEx w15:paraId="451C8187" w15:done="0"/>
  <w15:commentEx w15:paraId="480B00C2" w15:done="0"/>
  <w15:commentEx w15:paraId="0EE0993B" w15:done="0"/>
  <w15:commentEx w15:paraId="47E2A1E8" w15:done="0"/>
  <w15:commentEx w15:paraId="3BC2CC2C" w15:done="0"/>
  <w15:commentEx w15:paraId="6546CC02" w15:done="0"/>
  <w15:commentEx w15:paraId="74BD9EED" w15:done="0"/>
  <w15:commentEx w15:paraId="3CEA5126" w15:done="0"/>
  <w15:commentEx w15:paraId="0FDBEC19" w15:done="0"/>
  <w15:commentEx w15:paraId="1EC23169" w15:done="0"/>
  <w15:commentEx w15:paraId="7506C62C" w15:done="0"/>
  <w15:commentEx w15:paraId="68D78E4D" w15:done="0"/>
  <w15:commentEx w15:paraId="1D3D469F" w15:done="0"/>
  <w15:commentEx w15:paraId="6499C0E8" w15:done="0"/>
  <w15:commentEx w15:paraId="483AA12D" w15:done="0"/>
  <w15:commentEx w15:paraId="28F36672" w15:done="0"/>
  <w15:commentEx w15:paraId="50855144" w15:done="0"/>
  <w15:commentEx w15:paraId="0C324636" w15:done="0"/>
  <w15:commentEx w15:paraId="0F06647A" w15:done="0"/>
  <w15:commentEx w15:paraId="4CAD30B7" w15:done="0"/>
  <w15:commentEx w15:paraId="30EBA425" w15:done="0"/>
  <w15:commentEx w15:paraId="05026966" w15:done="0"/>
  <w15:commentEx w15:paraId="0C0390EA" w15:done="0"/>
  <w15:commentEx w15:paraId="2835445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F7E6FE" w14:textId="77777777" w:rsidR="00FD2DDF" w:rsidRDefault="00FD2DDF" w:rsidP="00C40A36">
      <w:pPr>
        <w:spacing w:after="0"/>
      </w:pPr>
      <w:r>
        <w:separator/>
      </w:r>
    </w:p>
  </w:endnote>
  <w:endnote w:type="continuationSeparator" w:id="0">
    <w:p w14:paraId="76395CA5" w14:textId="77777777" w:rsidR="00FD2DDF" w:rsidRDefault="00FD2DD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Narrow">
    <w:charset w:val="00"/>
    <w:family w:val="auto"/>
    <w:pitch w:val="variable"/>
    <w:sig w:usb0="00000287" w:usb1="000008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FD2DDF" w:rsidRPr="00487162" w14:paraId="7E2451C2" w14:textId="77777777" w:rsidTr="005C347B">
      <w:trPr>
        <w:trHeight w:val="269"/>
      </w:trPr>
      <w:tc>
        <w:tcPr>
          <w:tcW w:w="7655" w:type="dxa"/>
          <w:tcMar>
            <w:top w:w="142" w:type="dxa"/>
            <w:bottom w:w="0" w:type="dxa"/>
          </w:tcMar>
        </w:tcPr>
        <w:p w14:paraId="6599118E" w14:textId="4AF15AD1" w:rsidR="00FD2DDF" w:rsidRPr="00487162" w:rsidRDefault="00FD2DDF" w:rsidP="00C137CE">
          <w:pPr>
            <w:pStyle w:val="Footer"/>
          </w:pPr>
          <w:r>
            <w:t>Submission</w:t>
          </w:r>
          <w:r w:rsidRPr="00487162">
            <w:t xml:space="preserve"> PM-20</w:t>
          </w:r>
          <w:r>
            <w:t>15-02796-1-2 Extract from the Clinical Evaluation Report for Afluria Quad inactivated quadrivalent influenza vaccine (split virion) Seqirus Pty Ltd</w:t>
          </w:r>
        </w:p>
      </w:tc>
      <w:tc>
        <w:tcPr>
          <w:tcW w:w="1206" w:type="dxa"/>
          <w:tcMar>
            <w:top w:w="142" w:type="dxa"/>
            <w:bottom w:w="0" w:type="dxa"/>
          </w:tcMar>
        </w:tcPr>
        <w:p w14:paraId="3C435518" w14:textId="77777777" w:rsidR="00FD2DDF" w:rsidRPr="00981D66" w:rsidRDefault="00FD2DDF"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2932ED">
            <w:rPr>
              <w:noProof/>
            </w:rPr>
            <w:t>41</w:t>
          </w:r>
          <w:r w:rsidRPr="00981D66">
            <w:fldChar w:fldCharType="end"/>
          </w:r>
          <w:r w:rsidRPr="00981D66">
            <w:t xml:space="preserve"> of </w:t>
          </w:r>
          <w:r w:rsidR="002932ED">
            <w:fldChar w:fldCharType="begin"/>
          </w:r>
          <w:r w:rsidR="002932ED">
            <w:instrText xml:space="preserve"> NUMPAGES  \* Arabic  \* MERGEFORMAT </w:instrText>
          </w:r>
          <w:r w:rsidR="002932ED">
            <w:fldChar w:fldCharType="separate"/>
          </w:r>
          <w:r w:rsidR="002932ED">
            <w:rPr>
              <w:noProof/>
            </w:rPr>
            <w:t>41</w:t>
          </w:r>
          <w:r w:rsidR="002932ED">
            <w:rPr>
              <w:noProof/>
            </w:rPr>
            <w:fldChar w:fldCharType="end"/>
          </w:r>
        </w:p>
      </w:tc>
    </w:tr>
  </w:tbl>
  <w:p w14:paraId="526169B9" w14:textId="77777777" w:rsidR="00FD2DDF" w:rsidRDefault="00FD2DDF"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D2DDF" w:rsidRPr="00487162" w14:paraId="75CEC8F8" w14:textId="77777777" w:rsidTr="00E45619">
      <w:trPr>
        <w:trHeight w:val="269"/>
      </w:trPr>
      <w:tc>
        <w:tcPr>
          <w:tcW w:w="4519" w:type="dxa"/>
          <w:tcBorders>
            <w:top w:val="single" w:sz="4" w:space="0" w:color="auto"/>
          </w:tcBorders>
          <w:tcMar>
            <w:top w:w="142" w:type="dxa"/>
            <w:bottom w:w="0" w:type="dxa"/>
          </w:tcMar>
        </w:tcPr>
        <w:p w14:paraId="27A62A13" w14:textId="77777777" w:rsidR="00FD2DDF" w:rsidRPr="00487162" w:rsidRDefault="00FD2DDF" w:rsidP="00FE1DEE">
          <w:pPr>
            <w:pStyle w:val="Footer"/>
          </w:pPr>
          <w:r w:rsidRPr="00487162">
            <w:t>Document title, Part #, Section # - Section title</w:t>
          </w:r>
        </w:p>
        <w:p w14:paraId="2CA8D07A" w14:textId="77777777" w:rsidR="00FD2DDF" w:rsidRPr="00487162" w:rsidRDefault="00FD2DDF" w:rsidP="00FE1DEE">
          <w:pPr>
            <w:pStyle w:val="Footer"/>
          </w:pPr>
          <w:r w:rsidRPr="00487162">
            <w:t>V1.0 October 2010</w:t>
          </w:r>
        </w:p>
      </w:tc>
      <w:tc>
        <w:tcPr>
          <w:tcW w:w="4342" w:type="dxa"/>
          <w:tcBorders>
            <w:top w:val="single" w:sz="4" w:space="0" w:color="auto"/>
          </w:tcBorders>
          <w:tcMar>
            <w:top w:w="142" w:type="dxa"/>
            <w:bottom w:w="0" w:type="dxa"/>
          </w:tcMar>
        </w:tcPr>
        <w:p w14:paraId="6352AD4A" w14:textId="549BCA2D" w:rsidR="00FD2DDF" w:rsidRPr="00487162" w:rsidRDefault="00FD2DD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2932ED">
            <w:fldChar w:fldCharType="begin"/>
          </w:r>
          <w:r w:rsidR="002932ED">
            <w:instrText xml:space="preserve"> NUMPAGES  </w:instrText>
          </w:r>
          <w:r w:rsidR="002932ED">
            <w:fldChar w:fldCharType="separate"/>
          </w:r>
          <w:r>
            <w:rPr>
              <w:noProof/>
            </w:rPr>
            <w:t>1</w:t>
          </w:r>
          <w:r w:rsidR="002932ED">
            <w:rPr>
              <w:noProof/>
            </w:rPr>
            <w:fldChar w:fldCharType="end"/>
          </w:r>
        </w:p>
      </w:tc>
    </w:tr>
  </w:tbl>
  <w:p w14:paraId="1900D12D" w14:textId="77777777" w:rsidR="00FD2DDF" w:rsidRDefault="00FD2DD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0793E" w14:textId="77777777" w:rsidR="00FD2DDF" w:rsidRDefault="00FD2DDF"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D2DDF" w14:paraId="43B12E9A" w14:textId="77777777" w:rsidTr="0010601F">
      <w:trPr>
        <w:trHeight w:val="108"/>
      </w:trPr>
      <w:tc>
        <w:tcPr>
          <w:tcW w:w="8875" w:type="dxa"/>
          <w:gridSpan w:val="2"/>
          <w:tcBorders>
            <w:bottom w:val="single" w:sz="4" w:space="0" w:color="auto"/>
          </w:tcBorders>
          <w:tcMar>
            <w:right w:w="284" w:type="dxa"/>
          </w:tcMar>
        </w:tcPr>
        <w:p w14:paraId="79FC457F" w14:textId="77777777" w:rsidR="00FD2DDF" w:rsidRDefault="00FD2DDF" w:rsidP="006E08B3">
          <w:pPr>
            <w:pStyle w:val="Heading3"/>
          </w:pPr>
          <w:r>
            <w:t>Copyright</w:t>
          </w:r>
        </w:p>
        <w:p w14:paraId="5E0310CC" w14:textId="77777777" w:rsidR="00FD2DDF" w:rsidRDefault="00FD2DDF" w:rsidP="006E08B3">
          <w:r>
            <w:rPr>
              <w:rFonts w:cs="Arial"/>
            </w:rPr>
            <w:t>©</w:t>
          </w:r>
          <w:r>
            <w:t xml:space="preserve"> Commonwealth of Australia [add year]</w:t>
          </w:r>
        </w:p>
        <w:p w14:paraId="36A83F19" w14:textId="77777777" w:rsidR="00FD2DDF" w:rsidRDefault="00FD2DDF" w:rsidP="006E08B3"/>
        <w:p w14:paraId="6F896584" w14:textId="77777777" w:rsidR="00FD2DDF" w:rsidRDefault="00FD2DD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05086514" w14:textId="77777777" w:rsidR="00FD2DDF" w:rsidRDefault="00FD2DDF" w:rsidP="006E08B3"/>
        <w:p w14:paraId="2E1A67F0" w14:textId="77777777" w:rsidR="00FD2DDF" w:rsidRDefault="00FD2DDF" w:rsidP="006E08B3">
          <w:pPr>
            <w:pStyle w:val="Heading3"/>
          </w:pPr>
          <w:r>
            <w:t>Confidentiality</w:t>
          </w:r>
        </w:p>
        <w:p w14:paraId="46123A74" w14:textId="77777777" w:rsidR="00FD2DDF" w:rsidRDefault="00FD2DD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44594CEE" w14:textId="77777777" w:rsidR="00FD2DDF" w:rsidRDefault="00FD2DDF" w:rsidP="006E08B3"/>
        <w:p w14:paraId="30E929AB" w14:textId="77777777" w:rsidR="00FD2DDF" w:rsidRDefault="00FD2DDF" w:rsidP="006E08B3">
          <w:r>
            <w:t>For submission made by individuals, all personal details, other than your name, will be removed from your submission before it is published on the TGA’s Internet site.</w:t>
          </w:r>
        </w:p>
        <w:p w14:paraId="7BF04B7A" w14:textId="77777777" w:rsidR="00FD2DDF" w:rsidRDefault="00FD2DDF" w:rsidP="006E08B3"/>
        <w:p w14:paraId="4C8C76AA" w14:textId="77777777" w:rsidR="00FD2DDF" w:rsidRDefault="00FD2DDF" w:rsidP="006E08B3">
          <w:r>
            <w:t>In addition, a list of parties making submissions will be published. If you do not wish to be identified with your submission you must specifically request this in the space provided ib the submission coversheet.</w:t>
          </w:r>
        </w:p>
      </w:tc>
    </w:tr>
    <w:tr w:rsidR="00FD2DDF" w14:paraId="7D7394B7" w14:textId="77777777" w:rsidTr="0010601F">
      <w:trPr>
        <w:trHeight w:val="417"/>
      </w:trPr>
      <w:tc>
        <w:tcPr>
          <w:tcW w:w="4519" w:type="dxa"/>
          <w:tcBorders>
            <w:top w:val="single" w:sz="4" w:space="0" w:color="auto"/>
          </w:tcBorders>
          <w:tcMar>
            <w:top w:w="142" w:type="dxa"/>
            <w:bottom w:w="0" w:type="dxa"/>
          </w:tcMar>
        </w:tcPr>
        <w:p w14:paraId="7F55916C" w14:textId="77777777" w:rsidR="00FD2DDF" w:rsidRDefault="00FD2DDF" w:rsidP="006E08B3">
          <w:r>
            <w:t>Document title, Part #, Section # - Section title</w:t>
          </w:r>
        </w:p>
        <w:p w14:paraId="10B8E761" w14:textId="77777777" w:rsidR="00FD2DDF" w:rsidRDefault="00FD2DDF" w:rsidP="006E08B3">
          <w:r>
            <w:t>V1.0 October 2010</w:t>
          </w:r>
        </w:p>
      </w:tc>
      <w:tc>
        <w:tcPr>
          <w:tcW w:w="4356" w:type="dxa"/>
          <w:tcBorders>
            <w:top w:val="single" w:sz="4" w:space="0" w:color="auto"/>
          </w:tcBorders>
          <w:tcMar>
            <w:top w:w="142" w:type="dxa"/>
            <w:bottom w:w="0" w:type="dxa"/>
          </w:tcMar>
        </w:tcPr>
        <w:p w14:paraId="2091338E" w14:textId="1B74187E" w:rsidR="00FD2DDF" w:rsidRDefault="00FD2DD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2932ED">
            <w:fldChar w:fldCharType="begin"/>
          </w:r>
          <w:r w:rsidR="002932ED">
            <w:instrText xml:space="preserve"> NUMPAGES  \* Arabic </w:instrText>
          </w:r>
          <w:r w:rsidR="002932ED">
            <w:fldChar w:fldCharType="separate"/>
          </w:r>
          <w:r>
            <w:rPr>
              <w:noProof/>
            </w:rPr>
            <w:t>1</w:t>
          </w:r>
          <w:r w:rsidR="002932ED">
            <w:rPr>
              <w:noProof/>
            </w:rPr>
            <w:fldChar w:fldCharType="end"/>
          </w:r>
          <w:r>
            <w:t xml:space="preserve">  </w:t>
          </w:r>
        </w:p>
      </w:tc>
    </w:tr>
  </w:tbl>
  <w:p w14:paraId="561D3148" w14:textId="77777777" w:rsidR="00FD2DDF" w:rsidRDefault="00FD2DD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D45B82" w14:textId="77777777" w:rsidR="00FD2DDF" w:rsidRDefault="00FD2DDF" w:rsidP="00C40A36">
      <w:pPr>
        <w:spacing w:after="0"/>
      </w:pPr>
      <w:r>
        <w:separator/>
      </w:r>
    </w:p>
  </w:footnote>
  <w:footnote w:type="continuationSeparator" w:id="0">
    <w:p w14:paraId="09D4A9A2" w14:textId="77777777" w:rsidR="00FD2DDF" w:rsidRDefault="00FD2DDF" w:rsidP="00C40A36">
      <w:pPr>
        <w:spacing w:after="0"/>
      </w:pPr>
      <w:r>
        <w:continuationSeparator/>
      </w:r>
    </w:p>
  </w:footnote>
  <w:footnote w:id="1">
    <w:p w14:paraId="1DBC2E47" w14:textId="2102A33D" w:rsidR="00FD2DDF" w:rsidRPr="003117F6" w:rsidRDefault="00FD2DDF" w:rsidP="00FD2DDF">
      <w:pPr>
        <w:pStyle w:val="FootnoteText"/>
      </w:pPr>
      <w:r>
        <w:rPr>
          <w:rStyle w:val="FootnoteReference"/>
        </w:rPr>
        <w:footnoteRef/>
      </w:r>
      <w:r>
        <w:t xml:space="preserve"> </w:t>
      </w:r>
      <w:r w:rsidRPr="003117F6">
        <w:t>Fiore A, et al. Prevention and control of seasonal influenza with vaccines: recommendations of the Advisory Committee on Immunization Practices (ACIP), 2009. MMWR Recomm</w:t>
      </w:r>
      <w:r>
        <w:t xml:space="preserve"> Rep 2009 Jul 31</w:t>
      </w:r>
      <w:proofErr w:type="gramStart"/>
      <w:r>
        <w:t>;58</w:t>
      </w:r>
      <w:proofErr w:type="gramEnd"/>
      <w:r>
        <w:t>(RR-8):1-52.</w:t>
      </w:r>
    </w:p>
  </w:footnote>
  <w:footnote w:id="2">
    <w:p w14:paraId="73EB2D10" w14:textId="08837308" w:rsidR="00FD2DDF" w:rsidRPr="004A18E6" w:rsidRDefault="00FD2DDF">
      <w:pPr>
        <w:pStyle w:val="FootnoteText"/>
      </w:pPr>
      <w:r>
        <w:rPr>
          <w:rStyle w:val="FootnoteReference"/>
        </w:rPr>
        <w:footnoteRef/>
      </w:r>
      <w:r>
        <w:t xml:space="preserve"> </w:t>
      </w:r>
      <w:r w:rsidRPr="004A18E6">
        <w:t xml:space="preserve">Rothberg M, et al., Complications of viral influenza. </w:t>
      </w:r>
      <w:r>
        <w:t>Am J Med 2008 Apr;121(4):258-64</w:t>
      </w:r>
    </w:p>
  </w:footnote>
  <w:footnote w:id="3">
    <w:p w14:paraId="2E1B4865" w14:textId="79E8BF2B" w:rsidR="00FD2DDF" w:rsidRPr="00DA5B4F" w:rsidRDefault="00FD2DDF">
      <w:pPr>
        <w:pStyle w:val="FootnoteText"/>
      </w:pPr>
      <w:r>
        <w:rPr>
          <w:rStyle w:val="FootnoteReference"/>
        </w:rPr>
        <w:footnoteRef/>
      </w:r>
      <w:r>
        <w:t xml:space="preserve"> </w:t>
      </w:r>
      <w:r w:rsidRPr="00DA5B4F">
        <w:t>Monto A, Epidemiology of influenza. Vaccine.</w:t>
      </w:r>
      <w:r>
        <w:t xml:space="preserve"> 2008 Sep 12; 26 Suppl 4:D45-8.</w:t>
      </w:r>
    </w:p>
  </w:footnote>
  <w:footnote w:id="4">
    <w:p w14:paraId="0B636ADD" w14:textId="67AEB142" w:rsidR="00FD2DDF" w:rsidRPr="00DA5B4F" w:rsidRDefault="00FD2DDF">
      <w:pPr>
        <w:pStyle w:val="FootnoteText"/>
      </w:pPr>
      <w:r>
        <w:rPr>
          <w:rStyle w:val="FootnoteReference"/>
        </w:rPr>
        <w:footnoteRef/>
      </w:r>
      <w:r>
        <w:t xml:space="preserve"> </w:t>
      </w:r>
      <w:r w:rsidRPr="00DA5B4F">
        <w:t>Hay</w:t>
      </w:r>
      <w:r w:rsidRPr="00DA5B4F">
        <w:rPr>
          <w:b/>
        </w:rPr>
        <w:t xml:space="preserve"> </w:t>
      </w:r>
      <w:r w:rsidRPr="00DA5B4F">
        <w:t>A, et al., Influenza viruses. In: Belshe RB, ed. Textbook of Human Virology. St. Louis, Missouri: Mosb</w:t>
      </w:r>
      <w:r>
        <w:t>y Year Book, Inc, 1991;307−341.</w:t>
      </w:r>
    </w:p>
  </w:footnote>
  <w:footnote w:id="5">
    <w:p w14:paraId="4F4F8221" w14:textId="01BF0143" w:rsidR="00FD2DDF" w:rsidRPr="00B52AB2" w:rsidRDefault="00FD2DDF">
      <w:pPr>
        <w:pStyle w:val="FootnoteText"/>
      </w:pPr>
      <w:r>
        <w:rPr>
          <w:rStyle w:val="FootnoteReference"/>
        </w:rPr>
        <w:footnoteRef/>
      </w:r>
      <w:r>
        <w:t xml:space="preserve"> </w:t>
      </w:r>
      <w:r w:rsidRPr="00B52AB2">
        <w:t>Beyer W, et al., Protection against influenza after annually repeated vaccination: a meta-analysis of serologic and field studies. Arch</w:t>
      </w:r>
      <w:r>
        <w:t xml:space="preserve"> Intern Med. 1999;159(2):182-8.</w:t>
      </w:r>
    </w:p>
  </w:footnote>
  <w:footnote w:id="6">
    <w:p w14:paraId="42298D9C" w14:textId="395FCCE1" w:rsidR="00FD2DDF" w:rsidRPr="000A4876" w:rsidRDefault="00FD2DDF">
      <w:pPr>
        <w:pStyle w:val="FootnoteText"/>
      </w:pPr>
      <w:r>
        <w:rPr>
          <w:rStyle w:val="FootnoteReference"/>
        </w:rPr>
        <w:footnoteRef/>
      </w:r>
      <w:r>
        <w:t xml:space="preserve"> </w:t>
      </w:r>
      <w:r w:rsidRPr="00A12904">
        <w:t>Rota A, et al., Cocirculation of two distinct evolutionary lineages of influenza type B virus since 1983. V</w:t>
      </w:r>
      <w:r>
        <w:t>irology 1990 Mar; 175(1):59-68.</w:t>
      </w:r>
    </w:p>
  </w:footnote>
  <w:footnote w:id="7">
    <w:p w14:paraId="28A1DB65" w14:textId="4EE43764" w:rsidR="00FD2DDF" w:rsidRPr="000A4876" w:rsidRDefault="00FD2DDF">
      <w:pPr>
        <w:pStyle w:val="FootnoteText"/>
      </w:pPr>
      <w:r>
        <w:rPr>
          <w:rStyle w:val="FootnoteReference"/>
        </w:rPr>
        <w:footnoteRef/>
      </w:r>
      <w:r>
        <w:t xml:space="preserve"> </w:t>
      </w:r>
      <w:r w:rsidRPr="000A4876">
        <w:t>Belshe, R. The need for quadrivalent vaccine against seasonal influenza. Vaccine 2010 Sep 7; 28 Suppl 4: D45-53.</w:t>
      </w:r>
    </w:p>
  </w:footnote>
  <w:footnote w:id="8">
    <w:p w14:paraId="44A7B34E" w14:textId="104C018D" w:rsidR="00FD2DDF" w:rsidRPr="000A4876" w:rsidRDefault="00FD2DDF">
      <w:pPr>
        <w:pStyle w:val="FootnoteText"/>
      </w:pPr>
      <w:r>
        <w:rPr>
          <w:rStyle w:val="FootnoteReference"/>
        </w:rPr>
        <w:footnoteRef/>
      </w:r>
      <w:r>
        <w:t xml:space="preserve"> </w:t>
      </w:r>
      <w:r w:rsidRPr="000A4876">
        <w:t xml:space="preserve">Ambrose C, et al., The rationale for quadrivalent influenza vaccines. Hum Vaccin </w:t>
      </w:r>
      <w:r>
        <w:t>Immunother 2012 Jan; 8(1):81-8.</w:t>
      </w:r>
    </w:p>
  </w:footnote>
  <w:footnote w:id="9">
    <w:p w14:paraId="553A6CFC" w14:textId="076D1A8C" w:rsidR="00FD2DDF" w:rsidRPr="00A5283F" w:rsidRDefault="00FD2DDF">
      <w:pPr>
        <w:pStyle w:val="FootnoteText"/>
      </w:pPr>
      <w:r>
        <w:rPr>
          <w:rStyle w:val="FootnoteReference"/>
        </w:rPr>
        <w:footnoteRef/>
      </w:r>
      <w:r>
        <w:t xml:space="preserve"> </w:t>
      </w:r>
      <w:r w:rsidRPr="00A5283F">
        <w:t>Reed C, et al., Public health impact of including two lineages of influenza B in a quadrivalent seasonal influenza vaccine. Vaccine 2012 Mar 2; 30(11): 19</w:t>
      </w:r>
      <w:r>
        <w:t>93 8.</w:t>
      </w:r>
    </w:p>
  </w:footnote>
  <w:footnote w:id="10">
    <w:p w14:paraId="539DD9A3" w14:textId="08B84446" w:rsidR="00FD2DDF" w:rsidRPr="009C5505" w:rsidRDefault="00FD2DDF">
      <w:pPr>
        <w:pStyle w:val="FootnoteText"/>
        <w:rPr>
          <w:lang w:val="en-US"/>
        </w:rPr>
      </w:pPr>
      <w:r>
        <w:rPr>
          <w:rStyle w:val="FootnoteReference"/>
        </w:rPr>
        <w:footnoteRef/>
      </w:r>
      <w:r>
        <w:t xml:space="preserve"> Date for coming into effect: </w:t>
      </w:r>
      <w:r w:rsidRPr="007A7E72">
        <w:t>1 February 2017</w:t>
      </w:r>
      <w:r>
        <w:t>.</w:t>
      </w:r>
    </w:p>
  </w:footnote>
  <w:footnote w:id="11">
    <w:p w14:paraId="6D97B5F3" w14:textId="777256C6" w:rsidR="00FD2DDF" w:rsidRPr="002913CF" w:rsidRDefault="00FD2DDF" w:rsidP="00FD2DDF">
      <w:pPr>
        <w:pStyle w:val="FootnoteText"/>
        <w:rPr>
          <w:lang w:val="en-GB"/>
        </w:rPr>
      </w:pPr>
      <w:r>
        <w:rPr>
          <w:rStyle w:val="FootnoteReference"/>
        </w:rPr>
        <w:footnoteRef/>
      </w:r>
      <w:r>
        <w:t xml:space="preserve"> </w:t>
      </w:r>
      <w:r w:rsidRPr="002913CF">
        <w:t>CPMP/ICH/135/9</w:t>
      </w:r>
      <w:r>
        <w:t xml:space="preserve">5: </w:t>
      </w:r>
      <w:r w:rsidRPr="002913CF">
        <w:rPr>
          <w:lang w:val="en-GB"/>
        </w:rPr>
        <w:t>Guideline fo</w:t>
      </w:r>
      <w:r>
        <w:rPr>
          <w:lang w:val="en-GB"/>
        </w:rPr>
        <w:t xml:space="preserve">r good clinical practice </w:t>
      </w:r>
      <w:proofErr w:type="gramStart"/>
      <w:r>
        <w:rPr>
          <w:lang w:val="en-GB"/>
        </w:rPr>
        <w:t>E6(</w:t>
      </w:r>
      <w:proofErr w:type="gramEnd"/>
      <w:r>
        <w:rPr>
          <w:lang w:val="en-GB"/>
        </w:rPr>
        <w:t>R2).</w:t>
      </w:r>
    </w:p>
  </w:footnote>
  <w:footnote w:id="12">
    <w:p w14:paraId="74B2CFF1" w14:textId="417F02EE" w:rsidR="00FD2DDF" w:rsidRPr="00E04D08" w:rsidRDefault="00FD2DDF">
      <w:pPr>
        <w:pStyle w:val="FootnoteText"/>
        <w:rPr>
          <w:lang w:val="en-GB"/>
        </w:rPr>
      </w:pPr>
      <w:r>
        <w:rPr>
          <w:rStyle w:val="FootnoteReference"/>
        </w:rPr>
        <w:footnoteRef/>
      </w:r>
      <w:r>
        <w:t xml:space="preserve"> </w:t>
      </w:r>
      <w:r w:rsidRPr="00E04D08">
        <w:t>The GMT ratio =</w:t>
      </w:r>
      <w:r>
        <w:t xml:space="preserve"> </w:t>
      </w:r>
      <w:r w:rsidRPr="00E04D08">
        <w:t>the geometric mean of post-vaccination (Day 21) HI titre for TIV over the geometric mean of post-vaccination (Day 21) HI titre for QIV.</w:t>
      </w:r>
    </w:p>
  </w:footnote>
  <w:footnote w:id="13">
    <w:p w14:paraId="1061F3DE" w14:textId="3F769059" w:rsidR="00FD2DDF" w:rsidRPr="00E04D08" w:rsidRDefault="00FD2DDF" w:rsidP="00FD2DDF">
      <w:pPr>
        <w:pStyle w:val="FootnoteText"/>
        <w:rPr>
          <w:lang w:val="en-GB"/>
        </w:rPr>
      </w:pPr>
      <w:r>
        <w:rPr>
          <w:rStyle w:val="FootnoteReference"/>
        </w:rPr>
        <w:footnoteRef/>
      </w:r>
      <w:r>
        <w:t xml:space="preserve"> </w:t>
      </w:r>
      <w:r w:rsidRPr="00E04D08">
        <w:t>The SCR is defined as the % of subjects with either a pre -vaccination HAI titre &lt;</w:t>
      </w:r>
      <w:r>
        <w:t xml:space="preserve"> </w:t>
      </w:r>
      <w:r w:rsidRPr="00E04D08">
        <w:t>1:10 and a post-vaccination HAI titre ≥</w:t>
      </w:r>
      <w:r>
        <w:t xml:space="preserve"> </w:t>
      </w:r>
      <w:r w:rsidRPr="00E04D08">
        <w:t>1: 40 or a pre-vaccination HI titre ≥</w:t>
      </w:r>
      <w:r>
        <w:t xml:space="preserve"> </w:t>
      </w:r>
      <w:r w:rsidRPr="00E04D08">
        <w:t>1:10 and a ≥ 4-fold increase in post-vaccination HAI titre.</w:t>
      </w:r>
    </w:p>
  </w:footnote>
  <w:footnote w:id="14">
    <w:p w14:paraId="2E92860B" w14:textId="6464A3E3" w:rsidR="00FD2DDF" w:rsidRPr="00F00CA9" w:rsidRDefault="00FD2DDF">
      <w:pPr>
        <w:pStyle w:val="FootnoteText"/>
        <w:rPr>
          <w:lang w:val="en-GB"/>
        </w:rPr>
      </w:pPr>
      <w:r>
        <w:rPr>
          <w:rStyle w:val="FootnoteReference"/>
        </w:rPr>
        <w:footnoteRef/>
      </w:r>
      <w:r>
        <w:t xml:space="preserve"> </w:t>
      </w:r>
      <w:r w:rsidRPr="00F00CA9">
        <w:t>GMFI is defined as the geometric mean of the fold increases of post-vaccination antibody titre over the pre-vaccination antibody titre.</w:t>
      </w:r>
    </w:p>
  </w:footnote>
  <w:footnote w:id="15">
    <w:p w14:paraId="54F8E21F" w14:textId="6E52879D" w:rsidR="00FD2DDF" w:rsidRPr="009C5505" w:rsidRDefault="00FD2DDF" w:rsidP="00F50C7E">
      <w:pPr>
        <w:pStyle w:val="FootnoteText"/>
      </w:pPr>
      <w:r w:rsidRPr="009C5505">
        <w:rPr>
          <w:rStyle w:val="FootnoteReference"/>
          <w:sz w:val="18"/>
          <w:szCs w:val="18"/>
        </w:rPr>
        <w:footnoteRef/>
      </w:r>
      <w:r w:rsidRPr="009C5505">
        <w:t xml:space="preserve"> These issues were included in the Clinical and RMP questions </w:t>
      </w:r>
      <w:r>
        <w:t>and the sponsor</w:t>
      </w:r>
      <w:r w:rsidRPr="009C5505">
        <w:t xml:space="preserve"> </w:t>
      </w:r>
      <w:r>
        <w:t xml:space="preserve">has </w:t>
      </w:r>
      <w:r w:rsidRPr="009C5505">
        <w:t>provided a response</w:t>
      </w:r>
      <w:r>
        <w:t xml:space="preserve"> to these</w:t>
      </w:r>
      <w:r w:rsidRPr="009C5505">
        <w:t xml:space="preserve">.  Please refer to the AusPAR </w:t>
      </w:r>
      <w:r w:rsidRPr="007F01EE">
        <w:t xml:space="preserve">sections </w:t>
      </w:r>
      <w:r>
        <w:t>‘</w:t>
      </w:r>
      <w:r w:rsidRPr="009C5505">
        <w:t>Second round evaluation of clinical data submitted</w:t>
      </w:r>
      <w:r>
        <w:t xml:space="preserve"> in response to questions’</w:t>
      </w:r>
      <w:r w:rsidRPr="007F01EE">
        <w:t xml:space="preserve"> and </w:t>
      </w:r>
      <w:r>
        <w:t>‘</w:t>
      </w:r>
      <w:r w:rsidRPr="009C5505">
        <w:t>Reconciliation of issues outlined in the RMP report</w:t>
      </w:r>
      <w:r>
        <w:t>’</w:t>
      </w:r>
      <w:r w:rsidR="00F50C7E">
        <w:t>.</w:t>
      </w:r>
    </w:p>
  </w:footnote>
  <w:footnote w:id="16">
    <w:p w14:paraId="2549EADF" w14:textId="006FD923" w:rsidR="00FD2DDF" w:rsidRPr="006358F8" w:rsidRDefault="00FD2DDF" w:rsidP="00F50C7E">
      <w:pPr>
        <w:pStyle w:val="FootnoteText"/>
        <w:rPr>
          <w:lang w:val="en-GB"/>
        </w:rPr>
      </w:pPr>
      <w:r>
        <w:rPr>
          <w:rStyle w:val="FootnoteReference"/>
        </w:rPr>
        <w:footnoteRef/>
      </w:r>
      <w:r>
        <w:t xml:space="preserve"> </w:t>
      </w:r>
      <w:r>
        <w:rPr>
          <w:lang w:val="en-GB"/>
        </w:rPr>
        <w:t>Goodwin K, et al., Antibody response to influenza vaccination in the elderly: a quantitative review. Vaccine. 2</w:t>
      </w:r>
      <w:r w:rsidRPr="006358F8">
        <w:rPr>
          <w:lang w:val="en-GB"/>
        </w:rPr>
        <w:t>006 Feb 20;24(8):1159-69.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80200" w14:textId="77777777" w:rsidR="00FD2DDF" w:rsidRDefault="00FD2DDF"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5D044" w14:textId="77777777" w:rsidR="00FD2DDF" w:rsidRDefault="00FD2DDF">
    <w:pPr>
      <w:rPr>
        <w:noProof/>
        <w:lang w:eastAsia="en-AU"/>
      </w:rPr>
    </w:pPr>
    <w:r w:rsidRPr="002D545C">
      <w:rPr>
        <w:noProof/>
        <w:lang w:eastAsia="en-AU"/>
      </w:rPr>
      <w:drawing>
        <wp:anchor distT="0" distB="0" distL="114300" distR="114300" simplePos="0" relativeHeight="251659264" behindDoc="1" locked="0" layoutInCell="1" allowOverlap="1" wp14:anchorId="2FADD288" wp14:editId="3A7281B9">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1873B286" w14:textId="77777777" w:rsidR="00FD2DDF" w:rsidRDefault="00FD2DDF" w:rsidP="00593AD1">
    <w:pPr>
      <w:pStyle w:val="HeaderNoLine"/>
    </w:pPr>
    <w:r>
      <w:rPr>
        <w:noProof/>
        <w:lang w:eastAsia="en-AU"/>
      </w:rPr>
      <w:drawing>
        <wp:inline distT="0" distB="0" distL="0" distR="0" wp14:anchorId="55E779A3" wp14:editId="2C323D7B">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DBFE5" w14:textId="77777777" w:rsidR="00FD2DDF" w:rsidRDefault="00FD2DD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CED77" w14:textId="77777777" w:rsidR="00FD2DDF" w:rsidRDefault="00FD2DDF">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B8427" w14:textId="77777777" w:rsidR="00FD2DDF" w:rsidRDefault="00FD2DDF">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F922F" w14:textId="77777777" w:rsidR="00FD2DDF" w:rsidRDefault="00FD2DD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FF44A" w14:textId="77777777" w:rsidR="00FD2DDF" w:rsidRDefault="00FD2DDF"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A869F" w14:textId="77777777" w:rsidR="00FD2DDF" w:rsidRDefault="00FD2DDF" w:rsidP="006E08B3">
    <w:r>
      <w:t>Therapeutic Goods Administration</w:t>
    </w:r>
  </w:p>
  <w:p w14:paraId="3D2B6B90" w14:textId="77777777" w:rsidR="00FD2DDF" w:rsidRDefault="00FD2DDF"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F14A9A6"/>
    <w:lvl w:ilvl="0">
      <w:start w:val="1"/>
      <w:numFmt w:val="bullet"/>
      <w:lvlText w:val=""/>
      <w:lvlJc w:val="left"/>
      <w:pPr>
        <w:tabs>
          <w:tab w:val="num" w:pos="360"/>
        </w:tabs>
        <w:ind w:left="360" w:hanging="360"/>
      </w:pPr>
      <w:rPr>
        <w:rFonts w:ascii="Symbol" w:hAnsi="Symbol" w:hint="default"/>
      </w:rPr>
    </w:lvl>
  </w:abstractNum>
  <w:abstractNum w:abstractNumId="1">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5FE721B"/>
    <w:multiLevelType w:val="hybridMultilevel"/>
    <w:tmpl w:val="11764C72"/>
    <w:lvl w:ilvl="0" w:tplc="E8C0B57E">
      <w:start w:val="1"/>
      <w:numFmt w:val="bullet"/>
      <w:lvlText w:val="-"/>
      <w:lvlJc w:val="left"/>
      <w:pPr>
        <w:ind w:left="720" w:hanging="360"/>
      </w:pPr>
      <w:rPr>
        <w:rFonts w:ascii="Cambria" w:eastAsia="Cambria"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2A757584"/>
    <w:multiLevelType w:val="hybridMultilevel"/>
    <w:tmpl w:val="16A4E8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7">
    <w:nsid w:val="32633AB6"/>
    <w:multiLevelType w:val="hybridMultilevel"/>
    <w:tmpl w:val="D82A67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33417982"/>
    <w:multiLevelType w:val="hybridMultilevel"/>
    <w:tmpl w:val="6016C3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40606411"/>
    <w:multiLevelType w:val="hybridMultilevel"/>
    <w:tmpl w:val="D12C43E4"/>
    <w:lvl w:ilvl="0" w:tplc="180E1B5A">
      <w:start w:val="1"/>
      <w:numFmt w:val="bullet"/>
      <w:lvlText w:val="-"/>
      <w:lvlJc w:val="left"/>
      <w:pPr>
        <w:ind w:left="720" w:hanging="360"/>
      </w:pPr>
      <w:rPr>
        <w:rFonts w:ascii="Cambria" w:eastAsia="Cambria"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ABA0D55"/>
    <w:multiLevelType w:val="hybridMultilevel"/>
    <w:tmpl w:val="4D5C3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7076D7D"/>
    <w:multiLevelType w:val="multilevel"/>
    <w:tmpl w:val="86EA579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3">
    <w:nsid w:val="65897863"/>
    <w:multiLevelType w:val="multilevel"/>
    <w:tmpl w:val="D3BE9C9A"/>
    <w:lvl w:ilvl="0">
      <w:start w:val="1"/>
      <w:numFmt w:val="decimal"/>
      <w:lvlText w:val="2.7.3.%1"/>
      <w:lvlJc w:val="left"/>
      <w:pPr>
        <w:tabs>
          <w:tab w:val="num" w:pos="432"/>
        </w:tabs>
        <w:ind w:left="432" w:hanging="432"/>
      </w:pPr>
      <w:rPr>
        <w:rFonts w:hint="default"/>
      </w:rPr>
    </w:lvl>
    <w:lvl w:ilvl="1">
      <w:start w:val="1"/>
      <w:numFmt w:val="decimal"/>
      <w:lvlText w:val="2.7.3.%1.%2"/>
      <w:lvlJc w:val="left"/>
      <w:pPr>
        <w:tabs>
          <w:tab w:val="num" w:pos="576"/>
        </w:tabs>
        <w:ind w:left="576" w:hanging="576"/>
      </w:pPr>
      <w:rPr>
        <w:rFonts w:hint="default"/>
      </w:rPr>
    </w:lvl>
    <w:lvl w:ilvl="2">
      <w:start w:val="1"/>
      <w:numFmt w:val="decimal"/>
      <w:lvlText w:val="2.7.3.%1.%2.%3"/>
      <w:lvlJc w:val="left"/>
      <w:pPr>
        <w:tabs>
          <w:tab w:val="num" w:pos="720"/>
        </w:tabs>
        <w:ind w:left="720" w:hanging="720"/>
      </w:pPr>
      <w:rPr>
        <w:rFonts w:hint="default"/>
      </w:rPr>
    </w:lvl>
    <w:lvl w:ilvl="3">
      <w:start w:val="1"/>
      <w:numFmt w:val="decimal"/>
      <w:lvlText w:val="2.7.3.%1.%2.%3.%4"/>
      <w:lvlJc w:val="left"/>
      <w:pPr>
        <w:tabs>
          <w:tab w:val="num" w:pos="5684"/>
        </w:tabs>
        <w:ind w:left="5684" w:hanging="864"/>
      </w:pPr>
      <w:rPr>
        <w:rFonts w:hint="default"/>
      </w:rPr>
    </w:lvl>
    <w:lvl w:ilvl="4">
      <w:start w:val="1"/>
      <w:numFmt w:val="decimal"/>
      <w:lvlText w:val="2.7.3.%1.%2.%3.%4.%5"/>
      <w:lvlJc w:val="left"/>
      <w:pPr>
        <w:tabs>
          <w:tab w:val="num" w:pos="1008"/>
        </w:tabs>
        <w:ind w:left="1008" w:hanging="1008"/>
      </w:pPr>
      <w:rPr>
        <w:rFonts w:hint="default"/>
      </w:rPr>
    </w:lvl>
    <w:lvl w:ilvl="5">
      <w:start w:val="1"/>
      <w:numFmt w:val="decimal"/>
      <w:lvlText w:val="2.7.3.%1.%2.%3.%4.%5.%6"/>
      <w:lvlJc w:val="left"/>
      <w:pPr>
        <w:tabs>
          <w:tab w:val="num" w:pos="1152"/>
        </w:tabs>
        <w:ind w:left="1152" w:hanging="1152"/>
      </w:pPr>
      <w:rPr>
        <w:rFonts w:hint="default"/>
      </w:rPr>
    </w:lvl>
    <w:lvl w:ilvl="6">
      <w:start w:val="1"/>
      <w:numFmt w:val="decimal"/>
      <w:lvlText w:val="2.7.3.%1.%2.%3.%4.%5.%6.%7"/>
      <w:lvlJc w:val="left"/>
      <w:pPr>
        <w:tabs>
          <w:tab w:val="num" w:pos="1296"/>
        </w:tabs>
        <w:ind w:left="1296" w:hanging="1296"/>
      </w:pPr>
      <w:rPr>
        <w:rFonts w:hint="default"/>
      </w:rPr>
    </w:lvl>
    <w:lvl w:ilvl="7">
      <w:start w:val="1"/>
      <w:numFmt w:val="decimal"/>
      <w:lvlText w:val="2.7.3.%1.%2.%3.%4.%5.%6.%7.%8"/>
      <w:lvlJc w:val="left"/>
      <w:pPr>
        <w:tabs>
          <w:tab w:val="num" w:pos="1440"/>
        </w:tabs>
        <w:ind w:left="1440" w:hanging="1440"/>
      </w:pPr>
      <w:rPr>
        <w:rFonts w:hint="default"/>
      </w:rPr>
    </w:lvl>
    <w:lvl w:ilvl="8">
      <w:start w:val="1"/>
      <w:numFmt w:val="decimal"/>
      <w:lvlText w:val="2.7.3.%1.%2.%3.%4.%5.%6.%7.%8.%9"/>
      <w:lvlJc w:val="left"/>
      <w:pPr>
        <w:tabs>
          <w:tab w:val="num" w:pos="1584"/>
        </w:tabs>
        <w:ind w:left="1584" w:hanging="1584"/>
      </w:pPr>
      <w:rPr>
        <w:rFonts w:hint="default"/>
      </w:rPr>
    </w:lvl>
  </w:abstractNum>
  <w:abstractNum w:abstractNumId="14">
    <w:nsid w:val="65B17FB1"/>
    <w:multiLevelType w:val="hybridMultilevel"/>
    <w:tmpl w:val="178464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6">
    <w:nsid w:val="6D0B1B75"/>
    <w:multiLevelType w:val="multilevel"/>
    <w:tmpl w:val="07AA825C"/>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7">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4"/>
  </w:num>
  <w:num w:numId="4">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6"/>
  </w:num>
  <w:num w:numId="6">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4"/>
  </w:num>
  <w:num w:numId="8">
    <w:abstractNumId w:val="17"/>
  </w:num>
  <w:num w:numId="9">
    <w:abstractNumId w:val="6"/>
  </w:num>
  <w:num w:numId="10">
    <w:abstractNumId w:val="9"/>
  </w:num>
  <w:num w:numId="11">
    <w:abstractNumId w:val="1"/>
  </w:num>
  <w:num w:numId="12">
    <w:abstractNumId w:val="15"/>
  </w:num>
  <w:num w:numId="13">
    <w:abstractNumId w:val="12"/>
  </w:num>
  <w:num w:numId="14">
    <w:abstractNumId w:val="11"/>
  </w:num>
  <w:num w:numId="15">
    <w:abstractNumId w:val="7"/>
  </w:num>
  <w:num w:numId="16">
    <w:abstractNumId w:val="5"/>
  </w:num>
  <w:num w:numId="17">
    <w:abstractNumId w:val="8"/>
  </w:num>
  <w:num w:numId="18">
    <w:abstractNumId w:val="10"/>
  </w:num>
  <w:num w:numId="19">
    <w:abstractNumId w:val="3"/>
  </w:num>
  <w:num w:numId="20">
    <w:abstractNumId w:val="13"/>
  </w:num>
  <w:num w:numId="21">
    <w:abstractNumId w:val="0"/>
  </w:num>
  <w:numIdMacAtCleanup w:val="17"/>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B5E"/>
    <w:rsid w:val="00002031"/>
    <w:rsid w:val="00004734"/>
    <w:rsid w:val="00004AAC"/>
    <w:rsid w:val="00006B22"/>
    <w:rsid w:val="00007AA9"/>
    <w:rsid w:val="0001276A"/>
    <w:rsid w:val="00020A94"/>
    <w:rsid w:val="000246AE"/>
    <w:rsid w:val="00025C67"/>
    <w:rsid w:val="00026932"/>
    <w:rsid w:val="000365C8"/>
    <w:rsid w:val="00037CC3"/>
    <w:rsid w:val="00040ACB"/>
    <w:rsid w:val="00050E9E"/>
    <w:rsid w:val="00052810"/>
    <w:rsid w:val="0005559E"/>
    <w:rsid w:val="000620AC"/>
    <w:rsid w:val="000620D5"/>
    <w:rsid w:val="00070155"/>
    <w:rsid w:val="00077775"/>
    <w:rsid w:val="000827BA"/>
    <w:rsid w:val="00090471"/>
    <w:rsid w:val="0009248B"/>
    <w:rsid w:val="00095147"/>
    <w:rsid w:val="00097A23"/>
    <w:rsid w:val="00097B5E"/>
    <w:rsid w:val="000A3AED"/>
    <w:rsid w:val="000A4876"/>
    <w:rsid w:val="000A63AF"/>
    <w:rsid w:val="000B3532"/>
    <w:rsid w:val="000B3A75"/>
    <w:rsid w:val="000B504C"/>
    <w:rsid w:val="000C690F"/>
    <w:rsid w:val="000D1295"/>
    <w:rsid w:val="000D391B"/>
    <w:rsid w:val="000D3D6D"/>
    <w:rsid w:val="000D4FC7"/>
    <w:rsid w:val="000F02F9"/>
    <w:rsid w:val="000F4134"/>
    <w:rsid w:val="000F47BC"/>
    <w:rsid w:val="000F4869"/>
    <w:rsid w:val="000F5B42"/>
    <w:rsid w:val="000F6E6F"/>
    <w:rsid w:val="0010193C"/>
    <w:rsid w:val="00104613"/>
    <w:rsid w:val="0010601F"/>
    <w:rsid w:val="0010644C"/>
    <w:rsid w:val="0010788A"/>
    <w:rsid w:val="00107A31"/>
    <w:rsid w:val="00110EA5"/>
    <w:rsid w:val="00112F56"/>
    <w:rsid w:val="0011797C"/>
    <w:rsid w:val="00125318"/>
    <w:rsid w:val="00126DE3"/>
    <w:rsid w:val="001305A2"/>
    <w:rsid w:val="00133238"/>
    <w:rsid w:val="00140AEE"/>
    <w:rsid w:val="0014197B"/>
    <w:rsid w:val="001447CD"/>
    <w:rsid w:val="001516B1"/>
    <w:rsid w:val="00154EBB"/>
    <w:rsid w:val="00156316"/>
    <w:rsid w:val="00164830"/>
    <w:rsid w:val="00165389"/>
    <w:rsid w:val="0016670C"/>
    <w:rsid w:val="0017078F"/>
    <w:rsid w:val="00170AC6"/>
    <w:rsid w:val="0017693F"/>
    <w:rsid w:val="00177EE1"/>
    <w:rsid w:val="0018110E"/>
    <w:rsid w:val="00181328"/>
    <w:rsid w:val="00181684"/>
    <w:rsid w:val="00183B57"/>
    <w:rsid w:val="001843C6"/>
    <w:rsid w:val="001850E0"/>
    <w:rsid w:val="0019579F"/>
    <w:rsid w:val="001A2158"/>
    <w:rsid w:val="001A3AD0"/>
    <w:rsid w:val="001A525F"/>
    <w:rsid w:val="001B09F9"/>
    <w:rsid w:val="001B5D98"/>
    <w:rsid w:val="001B6448"/>
    <w:rsid w:val="001C5805"/>
    <w:rsid w:val="001C657B"/>
    <w:rsid w:val="001C7A75"/>
    <w:rsid w:val="001D40BB"/>
    <w:rsid w:val="001E07CF"/>
    <w:rsid w:val="001E59F1"/>
    <w:rsid w:val="001F497A"/>
    <w:rsid w:val="001F49EB"/>
    <w:rsid w:val="001F5E91"/>
    <w:rsid w:val="001F6CBA"/>
    <w:rsid w:val="00201D4E"/>
    <w:rsid w:val="002076C9"/>
    <w:rsid w:val="00210789"/>
    <w:rsid w:val="00220461"/>
    <w:rsid w:val="00220B8A"/>
    <w:rsid w:val="00223B83"/>
    <w:rsid w:val="0022575D"/>
    <w:rsid w:val="002257F3"/>
    <w:rsid w:val="00233456"/>
    <w:rsid w:val="002339A5"/>
    <w:rsid w:val="00252D96"/>
    <w:rsid w:val="00257848"/>
    <w:rsid w:val="002666AC"/>
    <w:rsid w:val="0027084A"/>
    <w:rsid w:val="00274582"/>
    <w:rsid w:val="002846DC"/>
    <w:rsid w:val="00285527"/>
    <w:rsid w:val="00286434"/>
    <w:rsid w:val="00286C59"/>
    <w:rsid w:val="00286E4A"/>
    <w:rsid w:val="002913CF"/>
    <w:rsid w:val="00292113"/>
    <w:rsid w:val="002932ED"/>
    <w:rsid w:val="002942D1"/>
    <w:rsid w:val="0029501A"/>
    <w:rsid w:val="002B1638"/>
    <w:rsid w:val="002B5BE2"/>
    <w:rsid w:val="002C63ED"/>
    <w:rsid w:val="002D12AD"/>
    <w:rsid w:val="002D3010"/>
    <w:rsid w:val="002D545C"/>
    <w:rsid w:val="002D6161"/>
    <w:rsid w:val="002E4C9A"/>
    <w:rsid w:val="002E6AD8"/>
    <w:rsid w:val="002F11F8"/>
    <w:rsid w:val="002F3F56"/>
    <w:rsid w:val="002F44B5"/>
    <w:rsid w:val="00303558"/>
    <w:rsid w:val="003073A8"/>
    <w:rsid w:val="0031125F"/>
    <w:rsid w:val="003117F6"/>
    <w:rsid w:val="00311AC0"/>
    <w:rsid w:val="0032467D"/>
    <w:rsid w:val="0032583B"/>
    <w:rsid w:val="00327883"/>
    <w:rsid w:val="003329E9"/>
    <w:rsid w:val="00335504"/>
    <w:rsid w:val="003521E8"/>
    <w:rsid w:val="00360ACC"/>
    <w:rsid w:val="00364648"/>
    <w:rsid w:val="0036510E"/>
    <w:rsid w:val="0037049F"/>
    <w:rsid w:val="003728F3"/>
    <w:rsid w:val="0037496E"/>
    <w:rsid w:val="0037623D"/>
    <w:rsid w:val="00377078"/>
    <w:rsid w:val="00380ABB"/>
    <w:rsid w:val="003844A2"/>
    <w:rsid w:val="00386150"/>
    <w:rsid w:val="003874CE"/>
    <w:rsid w:val="00390900"/>
    <w:rsid w:val="00396C92"/>
    <w:rsid w:val="003A0698"/>
    <w:rsid w:val="003A6F06"/>
    <w:rsid w:val="003A7F6C"/>
    <w:rsid w:val="003B1113"/>
    <w:rsid w:val="003B4D60"/>
    <w:rsid w:val="003B634F"/>
    <w:rsid w:val="003B7E39"/>
    <w:rsid w:val="003C58DC"/>
    <w:rsid w:val="003C7CC9"/>
    <w:rsid w:val="003D0A3B"/>
    <w:rsid w:val="003D1E62"/>
    <w:rsid w:val="003D3798"/>
    <w:rsid w:val="003E2486"/>
    <w:rsid w:val="003E3208"/>
    <w:rsid w:val="003F0B04"/>
    <w:rsid w:val="003F109D"/>
    <w:rsid w:val="00400A91"/>
    <w:rsid w:val="0040134E"/>
    <w:rsid w:val="00415D59"/>
    <w:rsid w:val="004270ED"/>
    <w:rsid w:val="0043797D"/>
    <w:rsid w:val="00440A2D"/>
    <w:rsid w:val="004534C9"/>
    <w:rsid w:val="004564A7"/>
    <w:rsid w:val="004617BF"/>
    <w:rsid w:val="00463658"/>
    <w:rsid w:val="00464B2F"/>
    <w:rsid w:val="004722CC"/>
    <w:rsid w:val="00473A3B"/>
    <w:rsid w:val="00481008"/>
    <w:rsid w:val="004878EA"/>
    <w:rsid w:val="004936E4"/>
    <w:rsid w:val="00494E60"/>
    <w:rsid w:val="00497487"/>
    <w:rsid w:val="004A18E6"/>
    <w:rsid w:val="004A7E13"/>
    <w:rsid w:val="004B7B76"/>
    <w:rsid w:val="004C2DCA"/>
    <w:rsid w:val="004C5A9D"/>
    <w:rsid w:val="004D11CC"/>
    <w:rsid w:val="004F0F38"/>
    <w:rsid w:val="004F3F79"/>
    <w:rsid w:val="004F4AF5"/>
    <w:rsid w:val="00501921"/>
    <w:rsid w:val="00513501"/>
    <w:rsid w:val="00530354"/>
    <w:rsid w:val="0053625B"/>
    <w:rsid w:val="005434C6"/>
    <w:rsid w:val="00543B39"/>
    <w:rsid w:val="00543BF8"/>
    <w:rsid w:val="00543C9A"/>
    <w:rsid w:val="0054743F"/>
    <w:rsid w:val="00550096"/>
    <w:rsid w:val="00557FF9"/>
    <w:rsid w:val="00562EF5"/>
    <w:rsid w:val="00563463"/>
    <w:rsid w:val="00576378"/>
    <w:rsid w:val="00577945"/>
    <w:rsid w:val="00577E38"/>
    <w:rsid w:val="00583F1D"/>
    <w:rsid w:val="00585322"/>
    <w:rsid w:val="005857C6"/>
    <w:rsid w:val="00586F98"/>
    <w:rsid w:val="00591650"/>
    <w:rsid w:val="00592F6E"/>
    <w:rsid w:val="00593AD1"/>
    <w:rsid w:val="005A68B6"/>
    <w:rsid w:val="005C347B"/>
    <w:rsid w:val="005C5570"/>
    <w:rsid w:val="005C79A4"/>
    <w:rsid w:val="005D0B54"/>
    <w:rsid w:val="005D4735"/>
    <w:rsid w:val="005D5442"/>
    <w:rsid w:val="005F0B9B"/>
    <w:rsid w:val="005F221A"/>
    <w:rsid w:val="00603F32"/>
    <w:rsid w:val="006170F0"/>
    <w:rsid w:val="00620406"/>
    <w:rsid w:val="00620F11"/>
    <w:rsid w:val="00630278"/>
    <w:rsid w:val="00632398"/>
    <w:rsid w:val="006358F8"/>
    <w:rsid w:val="00635FAA"/>
    <w:rsid w:val="00640FC3"/>
    <w:rsid w:val="00642020"/>
    <w:rsid w:val="00644361"/>
    <w:rsid w:val="00645BFA"/>
    <w:rsid w:val="00646206"/>
    <w:rsid w:val="00651326"/>
    <w:rsid w:val="0065337B"/>
    <w:rsid w:val="00653878"/>
    <w:rsid w:val="0065419D"/>
    <w:rsid w:val="006604D8"/>
    <w:rsid w:val="006619C9"/>
    <w:rsid w:val="00664758"/>
    <w:rsid w:val="00664A5B"/>
    <w:rsid w:val="00674003"/>
    <w:rsid w:val="006763D2"/>
    <w:rsid w:val="00680C08"/>
    <w:rsid w:val="00682B1A"/>
    <w:rsid w:val="00684D54"/>
    <w:rsid w:val="006926BA"/>
    <w:rsid w:val="006931B1"/>
    <w:rsid w:val="00695D6D"/>
    <w:rsid w:val="00696781"/>
    <w:rsid w:val="006A15C0"/>
    <w:rsid w:val="006B4C50"/>
    <w:rsid w:val="006C130C"/>
    <w:rsid w:val="006C3E2A"/>
    <w:rsid w:val="006C5A81"/>
    <w:rsid w:val="006C642F"/>
    <w:rsid w:val="006D03E5"/>
    <w:rsid w:val="006D4001"/>
    <w:rsid w:val="006D5D3E"/>
    <w:rsid w:val="006E08B3"/>
    <w:rsid w:val="006F17AC"/>
    <w:rsid w:val="006F1D37"/>
    <w:rsid w:val="006F26D0"/>
    <w:rsid w:val="006F2796"/>
    <w:rsid w:val="006F572E"/>
    <w:rsid w:val="007046D6"/>
    <w:rsid w:val="007046E4"/>
    <w:rsid w:val="00705DB0"/>
    <w:rsid w:val="007151F1"/>
    <w:rsid w:val="00722B57"/>
    <w:rsid w:val="0074253D"/>
    <w:rsid w:val="0074429B"/>
    <w:rsid w:val="007513B4"/>
    <w:rsid w:val="007576D6"/>
    <w:rsid w:val="007615BC"/>
    <w:rsid w:val="00762F05"/>
    <w:rsid w:val="00764463"/>
    <w:rsid w:val="007652FF"/>
    <w:rsid w:val="00765D2E"/>
    <w:rsid w:val="00770312"/>
    <w:rsid w:val="00770A4D"/>
    <w:rsid w:val="00770EF1"/>
    <w:rsid w:val="00773EF7"/>
    <w:rsid w:val="00774E1D"/>
    <w:rsid w:val="0077675A"/>
    <w:rsid w:val="00780355"/>
    <w:rsid w:val="0078385B"/>
    <w:rsid w:val="00785721"/>
    <w:rsid w:val="0079355C"/>
    <w:rsid w:val="00793A59"/>
    <w:rsid w:val="007A33EF"/>
    <w:rsid w:val="007A7E72"/>
    <w:rsid w:val="007B3B7D"/>
    <w:rsid w:val="007B4A8C"/>
    <w:rsid w:val="007B4B14"/>
    <w:rsid w:val="007B6E9F"/>
    <w:rsid w:val="007C1216"/>
    <w:rsid w:val="007C1AF7"/>
    <w:rsid w:val="007E5450"/>
    <w:rsid w:val="007E605C"/>
    <w:rsid w:val="007E6E27"/>
    <w:rsid w:val="007F01EE"/>
    <w:rsid w:val="007F1157"/>
    <w:rsid w:val="007F3E00"/>
    <w:rsid w:val="007F4BB6"/>
    <w:rsid w:val="00802C23"/>
    <w:rsid w:val="008048BB"/>
    <w:rsid w:val="00805D27"/>
    <w:rsid w:val="00821776"/>
    <w:rsid w:val="008321F5"/>
    <w:rsid w:val="00832369"/>
    <w:rsid w:val="00834660"/>
    <w:rsid w:val="00836BC2"/>
    <w:rsid w:val="008414A0"/>
    <w:rsid w:val="008414E1"/>
    <w:rsid w:val="0085641B"/>
    <w:rsid w:val="00857136"/>
    <w:rsid w:val="008706EB"/>
    <w:rsid w:val="0087366A"/>
    <w:rsid w:val="008804C7"/>
    <w:rsid w:val="00886D15"/>
    <w:rsid w:val="00887DD8"/>
    <w:rsid w:val="00887F51"/>
    <w:rsid w:val="008924A5"/>
    <w:rsid w:val="00892866"/>
    <w:rsid w:val="00896018"/>
    <w:rsid w:val="008960DD"/>
    <w:rsid w:val="0089635C"/>
    <w:rsid w:val="008A13E9"/>
    <w:rsid w:val="008A2B9D"/>
    <w:rsid w:val="008A5E0B"/>
    <w:rsid w:val="008A6D59"/>
    <w:rsid w:val="008B4B03"/>
    <w:rsid w:val="008B596F"/>
    <w:rsid w:val="008B5A3E"/>
    <w:rsid w:val="008C159F"/>
    <w:rsid w:val="008C1623"/>
    <w:rsid w:val="008C1850"/>
    <w:rsid w:val="008C51A9"/>
    <w:rsid w:val="008C6C12"/>
    <w:rsid w:val="008D770F"/>
    <w:rsid w:val="008E5020"/>
    <w:rsid w:val="008E6BD9"/>
    <w:rsid w:val="008E6C91"/>
    <w:rsid w:val="008E6CF9"/>
    <w:rsid w:val="008E7846"/>
    <w:rsid w:val="008F1CCC"/>
    <w:rsid w:val="008F2967"/>
    <w:rsid w:val="008F4627"/>
    <w:rsid w:val="008F6943"/>
    <w:rsid w:val="008F69AF"/>
    <w:rsid w:val="00902A21"/>
    <w:rsid w:val="00906445"/>
    <w:rsid w:val="00914591"/>
    <w:rsid w:val="00920330"/>
    <w:rsid w:val="009219D7"/>
    <w:rsid w:val="00922D53"/>
    <w:rsid w:val="00923B70"/>
    <w:rsid w:val="00924482"/>
    <w:rsid w:val="009273DD"/>
    <w:rsid w:val="00930237"/>
    <w:rsid w:val="00933DCA"/>
    <w:rsid w:val="00934834"/>
    <w:rsid w:val="009371AF"/>
    <w:rsid w:val="00942442"/>
    <w:rsid w:val="009438E8"/>
    <w:rsid w:val="0094614A"/>
    <w:rsid w:val="00946EA5"/>
    <w:rsid w:val="0095160F"/>
    <w:rsid w:val="009620C5"/>
    <w:rsid w:val="00963C08"/>
    <w:rsid w:val="00981D66"/>
    <w:rsid w:val="0098585A"/>
    <w:rsid w:val="0098669D"/>
    <w:rsid w:val="00994C95"/>
    <w:rsid w:val="009A4CED"/>
    <w:rsid w:val="009A690D"/>
    <w:rsid w:val="009B0546"/>
    <w:rsid w:val="009B1D12"/>
    <w:rsid w:val="009B416B"/>
    <w:rsid w:val="009C437B"/>
    <w:rsid w:val="009C4BD5"/>
    <w:rsid w:val="009C5505"/>
    <w:rsid w:val="009D420A"/>
    <w:rsid w:val="009D7B77"/>
    <w:rsid w:val="009E0BB0"/>
    <w:rsid w:val="009E3FBB"/>
    <w:rsid w:val="009E607F"/>
    <w:rsid w:val="009F7272"/>
    <w:rsid w:val="00A013EE"/>
    <w:rsid w:val="00A102E4"/>
    <w:rsid w:val="00A12904"/>
    <w:rsid w:val="00A12C42"/>
    <w:rsid w:val="00A14DF7"/>
    <w:rsid w:val="00A235D9"/>
    <w:rsid w:val="00A241E9"/>
    <w:rsid w:val="00A3246D"/>
    <w:rsid w:val="00A325DD"/>
    <w:rsid w:val="00A36FA7"/>
    <w:rsid w:val="00A43911"/>
    <w:rsid w:val="00A456D9"/>
    <w:rsid w:val="00A475B7"/>
    <w:rsid w:val="00A47AF7"/>
    <w:rsid w:val="00A47C3E"/>
    <w:rsid w:val="00A50226"/>
    <w:rsid w:val="00A5283F"/>
    <w:rsid w:val="00A55A9D"/>
    <w:rsid w:val="00A60ADC"/>
    <w:rsid w:val="00A60BAD"/>
    <w:rsid w:val="00A62F0A"/>
    <w:rsid w:val="00A87224"/>
    <w:rsid w:val="00A964D1"/>
    <w:rsid w:val="00A96821"/>
    <w:rsid w:val="00AA0ED0"/>
    <w:rsid w:val="00AA2B60"/>
    <w:rsid w:val="00AA3499"/>
    <w:rsid w:val="00AC2B40"/>
    <w:rsid w:val="00AC2BB2"/>
    <w:rsid w:val="00AC2C3C"/>
    <w:rsid w:val="00AC512D"/>
    <w:rsid w:val="00AC6CB7"/>
    <w:rsid w:val="00AE01C2"/>
    <w:rsid w:val="00AE65EB"/>
    <w:rsid w:val="00AE67A7"/>
    <w:rsid w:val="00AF1D94"/>
    <w:rsid w:val="00AF29FC"/>
    <w:rsid w:val="00AF60C5"/>
    <w:rsid w:val="00B009C6"/>
    <w:rsid w:val="00B01548"/>
    <w:rsid w:val="00B019D1"/>
    <w:rsid w:val="00B02208"/>
    <w:rsid w:val="00B03645"/>
    <w:rsid w:val="00B079E0"/>
    <w:rsid w:val="00B1425E"/>
    <w:rsid w:val="00B21D29"/>
    <w:rsid w:val="00B25034"/>
    <w:rsid w:val="00B275F4"/>
    <w:rsid w:val="00B27B4A"/>
    <w:rsid w:val="00B30159"/>
    <w:rsid w:val="00B33588"/>
    <w:rsid w:val="00B33863"/>
    <w:rsid w:val="00B3567E"/>
    <w:rsid w:val="00B37D17"/>
    <w:rsid w:val="00B4175E"/>
    <w:rsid w:val="00B452CE"/>
    <w:rsid w:val="00B47AE5"/>
    <w:rsid w:val="00B52AB2"/>
    <w:rsid w:val="00B531FC"/>
    <w:rsid w:val="00B54C25"/>
    <w:rsid w:val="00B557D0"/>
    <w:rsid w:val="00B7038C"/>
    <w:rsid w:val="00B7226F"/>
    <w:rsid w:val="00B74F61"/>
    <w:rsid w:val="00B76B91"/>
    <w:rsid w:val="00B77EB1"/>
    <w:rsid w:val="00B811C6"/>
    <w:rsid w:val="00B821D0"/>
    <w:rsid w:val="00B85A87"/>
    <w:rsid w:val="00B92E08"/>
    <w:rsid w:val="00B96EBE"/>
    <w:rsid w:val="00BA1B4C"/>
    <w:rsid w:val="00BA7D01"/>
    <w:rsid w:val="00BB66A0"/>
    <w:rsid w:val="00BC622A"/>
    <w:rsid w:val="00BD05DB"/>
    <w:rsid w:val="00BD45E3"/>
    <w:rsid w:val="00BE0A78"/>
    <w:rsid w:val="00BE32A6"/>
    <w:rsid w:val="00BE4FB7"/>
    <w:rsid w:val="00BE6252"/>
    <w:rsid w:val="00BE79F0"/>
    <w:rsid w:val="00BF046D"/>
    <w:rsid w:val="00BF1190"/>
    <w:rsid w:val="00BF36BA"/>
    <w:rsid w:val="00BF5D04"/>
    <w:rsid w:val="00BF6D8A"/>
    <w:rsid w:val="00C01ED7"/>
    <w:rsid w:val="00C07C5B"/>
    <w:rsid w:val="00C102AD"/>
    <w:rsid w:val="00C1164D"/>
    <w:rsid w:val="00C137CE"/>
    <w:rsid w:val="00C16861"/>
    <w:rsid w:val="00C22678"/>
    <w:rsid w:val="00C24BD3"/>
    <w:rsid w:val="00C35289"/>
    <w:rsid w:val="00C404A6"/>
    <w:rsid w:val="00C40A36"/>
    <w:rsid w:val="00C432EE"/>
    <w:rsid w:val="00C44419"/>
    <w:rsid w:val="00C45E7B"/>
    <w:rsid w:val="00C4625F"/>
    <w:rsid w:val="00C470A4"/>
    <w:rsid w:val="00C471B1"/>
    <w:rsid w:val="00C512A4"/>
    <w:rsid w:val="00C564A6"/>
    <w:rsid w:val="00C618F7"/>
    <w:rsid w:val="00C6316B"/>
    <w:rsid w:val="00C634A9"/>
    <w:rsid w:val="00C64586"/>
    <w:rsid w:val="00C655E7"/>
    <w:rsid w:val="00C70D53"/>
    <w:rsid w:val="00C73D0B"/>
    <w:rsid w:val="00C772FF"/>
    <w:rsid w:val="00C801AF"/>
    <w:rsid w:val="00C80256"/>
    <w:rsid w:val="00C811C0"/>
    <w:rsid w:val="00C921FF"/>
    <w:rsid w:val="00CB6BC0"/>
    <w:rsid w:val="00CC1B7C"/>
    <w:rsid w:val="00CC2AD0"/>
    <w:rsid w:val="00CC727F"/>
    <w:rsid w:val="00CD7C9A"/>
    <w:rsid w:val="00CE1933"/>
    <w:rsid w:val="00CF15C3"/>
    <w:rsid w:val="00CF2B6F"/>
    <w:rsid w:val="00CF49C9"/>
    <w:rsid w:val="00CF58B6"/>
    <w:rsid w:val="00CF5FB1"/>
    <w:rsid w:val="00D004CE"/>
    <w:rsid w:val="00D017ED"/>
    <w:rsid w:val="00D040D3"/>
    <w:rsid w:val="00D04C65"/>
    <w:rsid w:val="00D055A4"/>
    <w:rsid w:val="00D07D1D"/>
    <w:rsid w:val="00D224FE"/>
    <w:rsid w:val="00D27983"/>
    <w:rsid w:val="00D323CE"/>
    <w:rsid w:val="00D46894"/>
    <w:rsid w:val="00D53A31"/>
    <w:rsid w:val="00D6493E"/>
    <w:rsid w:val="00D7301E"/>
    <w:rsid w:val="00D83AE1"/>
    <w:rsid w:val="00D855D4"/>
    <w:rsid w:val="00D87961"/>
    <w:rsid w:val="00D92691"/>
    <w:rsid w:val="00D93466"/>
    <w:rsid w:val="00D9675A"/>
    <w:rsid w:val="00DA1124"/>
    <w:rsid w:val="00DA26BD"/>
    <w:rsid w:val="00DA3496"/>
    <w:rsid w:val="00DA5B4F"/>
    <w:rsid w:val="00DB75B7"/>
    <w:rsid w:val="00DC156B"/>
    <w:rsid w:val="00DC2D60"/>
    <w:rsid w:val="00DC4FF0"/>
    <w:rsid w:val="00DC681E"/>
    <w:rsid w:val="00DC6E02"/>
    <w:rsid w:val="00DE02AE"/>
    <w:rsid w:val="00DE4DCE"/>
    <w:rsid w:val="00DF1D7F"/>
    <w:rsid w:val="00DF3815"/>
    <w:rsid w:val="00DF4BE4"/>
    <w:rsid w:val="00DF6024"/>
    <w:rsid w:val="00E02E77"/>
    <w:rsid w:val="00E02FB4"/>
    <w:rsid w:val="00E04D08"/>
    <w:rsid w:val="00E07F15"/>
    <w:rsid w:val="00E20571"/>
    <w:rsid w:val="00E235F7"/>
    <w:rsid w:val="00E23659"/>
    <w:rsid w:val="00E239D4"/>
    <w:rsid w:val="00E26130"/>
    <w:rsid w:val="00E2700A"/>
    <w:rsid w:val="00E2741C"/>
    <w:rsid w:val="00E3655F"/>
    <w:rsid w:val="00E40B22"/>
    <w:rsid w:val="00E45619"/>
    <w:rsid w:val="00E4588F"/>
    <w:rsid w:val="00E46DA3"/>
    <w:rsid w:val="00E51BB1"/>
    <w:rsid w:val="00E52206"/>
    <w:rsid w:val="00E624A5"/>
    <w:rsid w:val="00E638F9"/>
    <w:rsid w:val="00E7344E"/>
    <w:rsid w:val="00E7765F"/>
    <w:rsid w:val="00E77B22"/>
    <w:rsid w:val="00E80F19"/>
    <w:rsid w:val="00E81363"/>
    <w:rsid w:val="00E936A1"/>
    <w:rsid w:val="00E936E3"/>
    <w:rsid w:val="00E979F4"/>
    <w:rsid w:val="00EA654A"/>
    <w:rsid w:val="00EB0798"/>
    <w:rsid w:val="00EB40AD"/>
    <w:rsid w:val="00EB4C23"/>
    <w:rsid w:val="00EB586E"/>
    <w:rsid w:val="00EB5FC8"/>
    <w:rsid w:val="00EC22DF"/>
    <w:rsid w:val="00ED3CAD"/>
    <w:rsid w:val="00ED5A41"/>
    <w:rsid w:val="00EE1DE8"/>
    <w:rsid w:val="00EF058D"/>
    <w:rsid w:val="00EF1C92"/>
    <w:rsid w:val="00EF282B"/>
    <w:rsid w:val="00F009C9"/>
    <w:rsid w:val="00F00CA9"/>
    <w:rsid w:val="00F033EC"/>
    <w:rsid w:val="00F04F68"/>
    <w:rsid w:val="00F11499"/>
    <w:rsid w:val="00F12670"/>
    <w:rsid w:val="00F147A2"/>
    <w:rsid w:val="00F14B27"/>
    <w:rsid w:val="00F16F93"/>
    <w:rsid w:val="00F21167"/>
    <w:rsid w:val="00F3148D"/>
    <w:rsid w:val="00F325C5"/>
    <w:rsid w:val="00F32FE0"/>
    <w:rsid w:val="00F35298"/>
    <w:rsid w:val="00F35D74"/>
    <w:rsid w:val="00F377F3"/>
    <w:rsid w:val="00F47333"/>
    <w:rsid w:val="00F47E37"/>
    <w:rsid w:val="00F50C7E"/>
    <w:rsid w:val="00F51FCC"/>
    <w:rsid w:val="00F53C07"/>
    <w:rsid w:val="00F54B65"/>
    <w:rsid w:val="00F640B6"/>
    <w:rsid w:val="00F67B22"/>
    <w:rsid w:val="00F724FE"/>
    <w:rsid w:val="00F80E40"/>
    <w:rsid w:val="00F81B42"/>
    <w:rsid w:val="00F848D9"/>
    <w:rsid w:val="00F86617"/>
    <w:rsid w:val="00F911F6"/>
    <w:rsid w:val="00F967E7"/>
    <w:rsid w:val="00FA5B82"/>
    <w:rsid w:val="00FA639E"/>
    <w:rsid w:val="00FB1360"/>
    <w:rsid w:val="00FC25E4"/>
    <w:rsid w:val="00FC4669"/>
    <w:rsid w:val="00FC4EF7"/>
    <w:rsid w:val="00FC6926"/>
    <w:rsid w:val="00FD2DDF"/>
    <w:rsid w:val="00FD5975"/>
    <w:rsid w:val="00FE1DEE"/>
    <w:rsid w:val="00FF2126"/>
    <w:rsid w:val="00FF28CB"/>
    <w:rsid w:val="00FF2D05"/>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347E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F50C7E"/>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B03645"/>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B03645"/>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D2DDF"/>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link w:val="CommentChar"/>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Heading8Char">
    <w:name w:val="Heading 8 Char"/>
    <w:basedOn w:val="DefaultParagraphFont"/>
    <w:link w:val="Heading8"/>
    <w:rsid w:val="00B03645"/>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B03645"/>
    <w:rPr>
      <w:rFonts w:ascii="Arial" w:eastAsia="Times New Roman" w:hAnsi="Arial" w:cs="Arial"/>
      <w:kern w:val="16"/>
      <w:u w:val="single"/>
      <w:lang w:eastAsia="en-AU"/>
    </w:rPr>
  </w:style>
  <w:style w:type="paragraph" w:customStyle="1" w:styleId="Bullet1">
    <w:name w:val="Bullet 1"/>
    <w:basedOn w:val="Normal"/>
    <w:rsid w:val="00B03645"/>
    <w:pPr>
      <w:numPr>
        <w:numId w:val="9"/>
      </w:numPr>
      <w:spacing w:after="0" w:line="240" w:lineRule="auto"/>
    </w:pPr>
    <w:rPr>
      <w:rFonts w:eastAsia="Times New Roman"/>
      <w:kern w:val="24"/>
      <w:szCs w:val="24"/>
      <w:lang w:eastAsia="en-AU"/>
    </w:rPr>
  </w:style>
  <w:style w:type="paragraph" w:customStyle="1" w:styleId="Bullet2">
    <w:name w:val="Bullet 2"/>
    <w:basedOn w:val="Bullet1"/>
    <w:rsid w:val="00B03645"/>
    <w:pPr>
      <w:numPr>
        <w:numId w:val="10"/>
      </w:numPr>
    </w:pPr>
  </w:style>
  <w:style w:type="paragraph" w:customStyle="1" w:styleId="Heading0inTOC">
    <w:name w:val="Heading 0 (in TOC)"/>
    <w:basedOn w:val="Heading1"/>
    <w:next w:val="Normal"/>
    <w:rsid w:val="00B03645"/>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B03645"/>
    <w:rPr>
      <w:sz w:val="20"/>
    </w:rPr>
  </w:style>
  <w:style w:type="paragraph" w:customStyle="1" w:styleId="TableBullet">
    <w:name w:val="Table Bullet"/>
    <w:basedOn w:val="Normal"/>
    <w:rsid w:val="00B03645"/>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B03645"/>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B03645"/>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B03645"/>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B03645"/>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B03645"/>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B03645"/>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B036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B03645"/>
    <w:rPr>
      <w:rFonts w:ascii="Cambria" w:eastAsia="Times New Roman" w:hAnsi="Cambria" w:cs="Times New Roman"/>
      <w:kern w:val="16"/>
      <w:sz w:val="20"/>
      <w:szCs w:val="20"/>
      <w:lang w:eastAsia="en-AU"/>
    </w:rPr>
  </w:style>
  <w:style w:type="character" w:styleId="EndnoteReference">
    <w:name w:val="endnote reference"/>
    <w:semiHidden/>
    <w:rsid w:val="00B03645"/>
    <w:rPr>
      <w:dstrike w:val="0"/>
      <w:vertAlign w:val="baseline"/>
    </w:rPr>
  </w:style>
  <w:style w:type="paragraph" w:styleId="FootnoteText">
    <w:name w:val="footnote text"/>
    <w:basedOn w:val="Normal"/>
    <w:link w:val="FootnoteTextChar"/>
    <w:semiHidden/>
    <w:qFormat/>
    <w:rsid w:val="00B036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B03645"/>
    <w:rPr>
      <w:rFonts w:ascii="Cambria" w:eastAsia="Times New Roman" w:hAnsi="Cambria" w:cs="Times New Roman"/>
      <w:kern w:val="16"/>
      <w:sz w:val="20"/>
      <w:szCs w:val="20"/>
      <w:lang w:eastAsia="en-AU"/>
    </w:rPr>
  </w:style>
  <w:style w:type="character" w:styleId="FootnoteReference">
    <w:name w:val="footnote reference"/>
    <w:semiHidden/>
    <w:rsid w:val="00B03645"/>
    <w:rPr>
      <w:vertAlign w:val="superscript"/>
    </w:rPr>
  </w:style>
  <w:style w:type="paragraph" w:customStyle="1" w:styleId="Abbreviations">
    <w:name w:val="Abbreviations"/>
    <w:basedOn w:val="Normal"/>
    <w:rsid w:val="00B03645"/>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B03645"/>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B0364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B0364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B03645"/>
    <w:pPr>
      <w:numPr>
        <w:numId w:val="11"/>
      </w:numPr>
      <w:tabs>
        <w:tab w:val="clear" w:pos="1134"/>
      </w:tabs>
      <w:spacing w:before="120"/>
      <w:ind w:left="1418" w:hanging="284"/>
    </w:pPr>
  </w:style>
  <w:style w:type="paragraph" w:customStyle="1" w:styleId="Instructions1">
    <w:name w:val="Instructions 1"/>
    <w:basedOn w:val="Normal"/>
    <w:qFormat/>
    <w:rsid w:val="00B03645"/>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B03645"/>
    <w:pPr>
      <w:numPr>
        <w:numId w:val="12"/>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B03645"/>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B03645"/>
    <w:pPr>
      <w:spacing w:before="0" w:after="0"/>
    </w:pPr>
    <w:rPr>
      <w:b w:val="0"/>
    </w:rPr>
  </w:style>
  <w:style w:type="character" w:customStyle="1" w:styleId="searchurl">
    <w:name w:val="searchurl"/>
    <w:basedOn w:val="DefaultParagraphFont"/>
    <w:rsid w:val="00B03645"/>
  </w:style>
  <w:style w:type="paragraph" w:styleId="ListParagraph">
    <w:name w:val="List Paragraph"/>
    <w:basedOn w:val="Normal"/>
    <w:qFormat/>
    <w:rsid w:val="00B036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B03645"/>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PlainText">
    <w:name w:val="Plain Text"/>
    <w:basedOn w:val="Normal"/>
    <w:link w:val="PlainTextChar"/>
    <w:uiPriority w:val="99"/>
    <w:unhideWhenUsed/>
    <w:rsid w:val="00B03645"/>
    <w:pPr>
      <w:spacing w:before="0" w:after="0" w:line="240" w:lineRule="auto"/>
    </w:pPr>
    <w:rPr>
      <w:rFonts w:ascii="Calibri" w:eastAsiaTheme="minorHAnsi" w:hAnsi="Calibri"/>
    </w:rPr>
  </w:style>
  <w:style w:type="character" w:customStyle="1" w:styleId="PlainTextChar">
    <w:name w:val="Plain Text Char"/>
    <w:basedOn w:val="DefaultParagraphFont"/>
    <w:link w:val="PlainText"/>
    <w:uiPriority w:val="99"/>
    <w:rsid w:val="00B03645"/>
    <w:rPr>
      <w:rFonts w:ascii="Calibri" w:hAnsi="Calibri" w:cs="Times New Roman"/>
    </w:rPr>
  </w:style>
  <w:style w:type="paragraph" w:styleId="NormalWeb">
    <w:name w:val="Normal (Web)"/>
    <w:basedOn w:val="Normal"/>
    <w:uiPriority w:val="99"/>
    <w:semiHidden/>
    <w:unhideWhenUsed/>
    <w:rsid w:val="002913CF"/>
    <w:rPr>
      <w:rFonts w:ascii="Times New Roman" w:hAnsi="Times New Roman"/>
      <w:sz w:val="24"/>
      <w:szCs w:val="24"/>
    </w:rPr>
  </w:style>
  <w:style w:type="character" w:customStyle="1" w:styleId="CommentChar">
    <w:name w:val="Comment Char"/>
    <w:link w:val="Comment"/>
    <w:rsid w:val="00933DCA"/>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F50C7E"/>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B03645"/>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B03645"/>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D2DDF"/>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link w:val="CommentChar"/>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Heading8Char">
    <w:name w:val="Heading 8 Char"/>
    <w:basedOn w:val="DefaultParagraphFont"/>
    <w:link w:val="Heading8"/>
    <w:rsid w:val="00B03645"/>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B03645"/>
    <w:rPr>
      <w:rFonts w:ascii="Arial" w:eastAsia="Times New Roman" w:hAnsi="Arial" w:cs="Arial"/>
      <w:kern w:val="16"/>
      <w:u w:val="single"/>
      <w:lang w:eastAsia="en-AU"/>
    </w:rPr>
  </w:style>
  <w:style w:type="paragraph" w:customStyle="1" w:styleId="Bullet1">
    <w:name w:val="Bullet 1"/>
    <w:basedOn w:val="Normal"/>
    <w:rsid w:val="00B03645"/>
    <w:pPr>
      <w:numPr>
        <w:numId w:val="9"/>
      </w:numPr>
      <w:spacing w:after="0" w:line="240" w:lineRule="auto"/>
    </w:pPr>
    <w:rPr>
      <w:rFonts w:eastAsia="Times New Roman"/>
      <w:kern w:val="24"/>
      <w:szCs w:val="24"/>
      <w:lang w:eastAsia="en-AU"/>
    </w:rPr>
  </w:style>
  <w:style w:type="paragraph" w:customStyle="1" w:styleId="Bullet2">
    <w:name w:val="Bullet 2"/>
    <w:basedOn w:val="Bullet1"/>
    <w:rsid w:val="00B03645"/>
    <w:pPr>
      <w:numPr>
        <w:numId w:val="10"/>
      </w:numPr>
    </w:pPr>
  </w:style>
  <w:style w:type="paragraph" w:customStyle="1" w:styleId="Heading0inTOC">
    <w:name w:val="Heading 0 (in TOC)"/>
    <w:basedOn w:val="Heading1"/>
    <w:next w:val="Normal"/>
    <w:rsid w:val="00B03645"/>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B03645"/>
    <w:rPr>
      <w:sz w:val="20"/>
    </w:rPr>
  </w:style>
  <w:style w:type="paragraph" w:customStyle="1" w:styleId="TableBullet">
    <w:name w:val="Table Bullet"/>
    <w:basedOn w:val="Normal"/>
    <w:rsid w:val="00B03645"/>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B03645"/>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B03645"/>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B03645"/>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B03645"/>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B03645"/>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B03645"/>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B036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B03645"/>
    <w:rPr>
      <w:rFonts w:ascii="Cambria" w:eastAsia="Times New Roman" w:hAnsi="Cambria" w:cs="Times New Roman"/>
      <w:kern w:val="16"/>
      <w:sz w:val="20"/>
      <w:szCs w:val="20"/>
      <w:lang w:eastAsia="en-AU"/>
    </w:rPr>
  </w:style>
  <w:style w:type="character" w:styleId="EndnoteReference">
    <w:name w:val="endnote reference"/>
    <w:semiHidden/>
    <w:rsid w:val="00B03645"/>
    <w:rPr>
      <w:dstrike w:val="0"/>
      <w:vertAlign w:val="baseline"/>
    </w:rPr>
  </w:style>
  <w:style w:type="paragraph" w:styleId="FootnoteText">
    <w:name w:val="footnote text"/>
    <w:basedOn w:val="Normal"/>
    <w:link w:val="FootnoteTextChar"/>
    <w:semiHidden/>
    <w:qFormat/>
    <w:rsid w:val="00B036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B03645"/>
    <w:rPr>
      <w:rFonts w:ascii="Cambria" w:eastAsia="Times New Roman" w:hAnsi="Cambria" w:cs="Times New Roman"/>
      <w:kern w:val="16"/>
      <w:sz w:val="20"/>
      <w:szCs w:val="20"/>
      <w:lang w:eastAsia="en-AU"/>
    </w:rPr>
  </w:style>
  <w:style w:type="character" w:styleId="FootnoteReference">
    <w:name w:val="footnote reference"/>
    <w:semiHidden/>
    <w:rsid w:val="00B03645"/>
    <w:rPr>
      <w:vertAlign w:val="superscript"/>
    </w:rPr>
  </w:style>
  <w:style w:type="paragraph" w:customStyle="1" w:styleId="Abbreviations">
    <w:name w:val="Abbreviations"/>
    <w:basedOn w:val="Normal"/>
    <w:rsid w:val="00B03645"/>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B03645"/>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B0364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B0364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B03645"/>
    <w:pPr>
      <w:numPr>
        <w:numId w:val="11"/>
      </w:numPr>
      <w:tabs>
        <w:tab w:val="clear" w:pos="1134"/>
      </w:tabs>
      <w:spacing w:before="120"/>
      <w:ind w:left="1418" w:hanging="284"/>
    </w:pPr>
  </w:style>
  <w:style w:type="paragraph" w:customStyle="1" w:styleId="Instructions1">
    <w:name w:val="Instructions 1"/>
    <w:basedOn w:val="Normal"/>
    <w:qFormat/>
    <w:rsid w:val="00B03645"/>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B03645"/>
    <w:pPr>
      <w:numPr>
        <w:numId w:val="12"/>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B03645"/>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B03645"/>
    <w:pPr>
      <w:spacing w:before="0" w:after="0"/>
    </w:pPr>
    <w:rPr>
      <w:b w:val="0"/>
    </w:rPr>
  </w:style>
  <w:style w:type="character" w:customStyle="1" w:styleId="searchurl">
    <w:name w:val="searchurl"/>
    <w:basedOn w:val="DefaultParagraphFont"/>
    <w:rsid w:val="00B03645"/>
  </w:style>
  <w:style w:type="paragraph" w:styleId="ListParagraph">
    <w:name w:val="List Paragraph"/>
    <w:basedOn w:val="Normal"/>
    <w:qFormat/>
    <w:rsid w:val="00B036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B03645"/>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PlainText">
    <w:name w:val="Plain Text"/>
    <w:basedOn w:val="Normal"/>
    <w:link w:val="PlainTextChar"/>
    <w:uiPriority w:val="99"/>
    <w:unhideWhenUsed/>
    <w:rsid w:val="00B03645"/>
    <w:pPr>
      <w:spacing w:before="0" w:after="0" w:line="240" w:lineRule="auto"/>
    </w:pPr>
    <w:rPr>
      <w:rFonts w:ascii="Calibri" w:eastAsiaTheme="minorHAnsi" w:hAnsi="Calibri"/>
    </w:rPr>
  </w:style>
  <w:style w:type="character" w:customStyle="1" w:styleId="PlainTextChar">
    <w:name w:val="Plain Text Char"/>
    <w:basedOn w:val="DefaultParagraphFont"/>
    <w:link w:val="PlainText"/>
    <w:uiPriority w:val="99"/>
    <w:rsid w:val="00B03645"/>
    <w:rPr>
      <w:rFonts w:ascii="Calibri" w:hAnsi="Calibri" w:cs="Times New Roman"/>
    </w:rPr>
  </w:style>
  <w:style w:type="paragraph" w:styleId="NormalWeb">
    <w:name w:val="Normal (Web)"/>
    <w:basedOn w:val="Normal"/>
    <w:uiPriority w:val="99"/>
    <w:semiHidden/>
    <w:unhideWhenUsed/>
    <w:rsid w:val="002913CF"/>
    <w:rPr>
      <w:rFonts w:ascii="Times New Roman" w:hAnsi="Times New Roman"/>
      <w:sz w:val="24"/>
      <w:szCs w:val="24"/>
    </w:rPr>
  </w:style>
  <w:style w:type="character" w:customStyle="1" w:styleId="CommentChar">
    <w:name w:val="Comment Char"/>
    <w:link w:val="Comment"/>
    <w:rsid w:val="00933DCA"/>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292545">
      <w:bodyDiv w:val="1"/>
      <w:marLeft w:val="0"/>
      <w:marRight w:val="0"/>
      <w:marTop w:val="0"/>
      <w:marBottom w:val="0"/>
      <w:divBdr>
        <w:top w:val="none" w:sz="0" w:space="0" w:color="auto"/>
        <w:left w:val="none" w:sz="0" w:space="0" w:color="auto"/>
        <w:bottom w:val="none" w:sz="0" w:space="0" w:color="auto"/>
        <w:right w:val="none" w:sz="0" w:space="0" w:color="auto"/>
      </w:divBdr>
    </w:div>
    <w:div w:id="678118177">
      <w:bodyDiv w:val="1"/>
      <w:marLeft w:val="0"/>
      <w:marRight w:val="0"/>
      <w:marTop w:val="0"/>
      <w:marBottom w:val="0"/>
      <w:divBdr>
        <w:top w:val="none" w:sz="0" w:space="0" w:color="auto"/>
        <w:left w:val="none" w:sz="0" w:space="0" w:color="auto"/>
        <w:bottom w:val="none" w:sz="0" w:space="0" w:color="auto"/>
        <w:right w:val="none" w:sz="0" w:space="0" w:color="auto"/>
      </w:divBdr>
      <w:divsChild>
        <w:div w:id="347216125">
          <w:marLeft w:val="0"/>
          <w:marRight w:val="0"/>
          <w:marTop w:val="240"/>
          <w:marBottom w:val="100"/>
          <w:divBdr>
            <w:top w:val="none" w:sz="0" w:space="0" w:color="auto"/>
            <w:left w:val="none" w:sz="0" w:space="0" w:color="auto"/>
            <w:bottom w:val="none" w:sz="0" w:space="0" w:color="auto"/>
            <w:right w:val="none" w:sz="0" w:space="0" w:color="auto"/>
          </w:divBdr>
          <w:divsChild>
            <w:div w:id="12392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90075">
      <w:bodyDiv w:val="1"/>
      <w:marLeft w:val="0"/>
      <w:marRight w:val="0"/>
      <w:marTop w:val="0"/>
      <w:marBottom w:val="0"/>
      <w:divBdr>
        <w:top w:val="none" w:sz="0" w:space="0" w:color="auto"/>
        <w:left w:val="none" w:sz="0" w:space="0" w:color="auto"/>
        <w:bottom w:val="none" w:sz="0" w:space="0" w:color="auto"/>
        <w:right w:val="none" w:sz="0" w:space="0" w:color="auto"/>
      </w:divBdr>
      <w:divsChild>
        <w:div w:id="862208873">
          <w:marLeft w:val="0"/>
          <w:marRight w:val="0"/>
          <w:marTop w:val="0"/>
          <w:marBottom w:val="0"/>
          <w:divBdr>
            <w:top w:val="none" w:sz="0" w:space="0" w:color="auto"/>
            <w:left w:val="none" w:sz="0" w:space="0" w:color="auto"/>
            <w:bottom w:val="none" w:sz="0" w:space="0" w:color="auto"/>
            <w:right w:val="none" w:sz="0" w:space="0" w:color="auto"/>
          </w:divBdr>
          <w:divsChild>
            <w:div w:id="360475627">
              <w:marLeft w:val="0"/>
              <w:marRight w:val="0"/>
              <w:marTop w:val="0"/>
              <w:marBottom w:val="0"/>
              <w:divBdr>
                <w:top w:val="none" w:sz="0" w:space="0" w:color="auto"/>
                <w:left w:val="none" w:sz="0" w:space="0" w:color="auto"/>
                <w:bottom w:val="none" w:sz="0" w:space="0" w:color="auto"/>
                <w:right w:val="none" w:sz="0" w:space="0" w:color="auto"/>
              </w:divBdr>
              <w:divsChild>
                <w:div w:id="20563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image" Target="media/image12.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header" Target="header6.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eader" Target="header5.xm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microsoft.com/office/2007/relationships/hdphoto" Target="media/hdphoto2.wdp"/><Relationship Id="rId29" Type="http://schemas.openxmlformats.org/officeDocument/2006/relationships/image" Target="media/image15.png"/><Relationship Id="rId41"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header" Target="header4.xml"/><Relationship Id="rId40" Type="http://schemas.openxmlformats.org/officeDocument/2006/relationships/hyperlink" Target="mailto:info@tga.gov.au" TargetMode="External"/><Relationship Id="rId45"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3.xml"/><Relationship Id="rId57" Type="http://schemas.microsoft.com/office/2011/relationships/commentsExtended" Target="commentsExtended.xml"/><Relationship Id="rId10" Type="http://schemas.openxmlformats.org/officeDocument/2006/relationships/hyperlink" Target="https://www.tga.gov.au/product-information-pi" TargetMode="External"/><Relationship Id="rId19" Type="http://schemas.openxmlformats.org/officeDocument/2006/relationships/image" Target="media/image6.jpeg"/><Relationship Id="rId31" Type="http://schemas.microsoft.com/office/2007/relationships/hdphoto" Target="media/hdphoto3.wdp"/><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0.png"/><Relationship Id="rId43" Type="http://schemas.openxmlformats.org/officeDocument/2006/relationships/header" Target="header7.xml"/><Relationship Id="rId48" Type="http://schemas.openxmlformats.org/officeDocument/2006/relationships/theme" Target="theme/theme1.xml"/><Relationship Id="rId56" Type="http://schemas.microsoft.com/office/2011/relationships/people" Target="people.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39505-F779-48EF-8E5F-B8245BF05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42</Pages>
  <Words>13828</Words>
  <Characters>78821</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92465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Inactivated quadrivalent influenza vaccine (split virion)</dc:title>
  <dc:subject>prescription medicines</dc:subject>
  <dc:creator>Therapeutic Goods Administration</dc:creator>
  <cp:keywords>AusPARs</cp:keywords>
  <cp:lastModifiedBy>LACK, Janet</cp:lastModifiedBy>
  <cp:revision>4</cp:revision>
  <cp:lastPrinted>2015-09-22T23:53:00Z</cp:lastPrinted>
  <dcterms:created xsi:type="dcterms:W3CDTF">2017-07-20T04:29:00Z</dcterms:created>
  <dcterms:modified xsi:type="dcterms:W3CDTF">2017-08-15T23:48:00Z</dcterms:modified>
</cp:coreProperties>
</file>