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0"/>
      </w:tblGrid>
      <w:tr w:rsidR="008E7846" w:rsidRPr="00487162" w14:paraId="29BE14DC" w14:textId="77777777" w:rsidTr="00F30851">
        <w:trPr>
          <w:trHeight w:val="2091"/>
        </w:trPr>
        <w:tc>
          <w:tcPr>
            <w:tcW w:w="9140" w:type="dxa"/>
            <w:tcBorders>
              <w:top w:val="nil"/>
              <w:left w:val="nil"/>
              <w:bottom w:val="nil"/>
              <w:right w:val="nil"/>
            </w:tcBorders>
          </w:tcPr>
          <w:p w14:paraId="30483467" w14:textId="77777777" w:rsidR="008E7846" w:rsidRDefault="00F30851" w:rsidP="00F30851">
            <w:pPr>
              <w:rPr>
                <w:rFonts w:ascii="Arial" w:hAnsi="Arial" w:cs="Arial"/>
                <w:b/>
                <w:color w:val="002C47"/>
                <w:sz w:val="36"/>
                <w:szCs w:val="36"/>
              </w:rPr>
            </w:pPr>
            <w:r w:rsidRPr="00F30851">
              <w:rPr>
                <w:rFonts w:ascii="Arial" w:hAnsi="Arial" w:cs="Arial"/>
                <w:b/>
                <w:color w:val="002C47"/>
                <w:sz w:val="36"/>
                <w:szCs w:val="36"/>
              </w:rPr>
              <w:t>Date of first round report:</w:t>
            </w:r>
            <w:r w:rsidR="00884727">
              <w:rPr>
                <w:rFonts w:ascii="Arial" w:hAnsi="Arial" w:cs="Arial"/>
                <w:b/>
                <w:color w:val="002C47"/>
                <w:sz w:val="36"/>
                <w:szCs w:val="36"/>
              </w:rPr>
              <w:t xml:space="preserve"> </w:t>
            </w:r>
            <w:r w:rsidRPr="00F30851">
              <w:rPr>
                <w:rFonts w:ascii="Arial" w:hAnsi="Arial" w:cs="Arial"/>
                <w:b/>
                <w:color w:val="002C47"/>
                <w:sz w:val="36"/>
                <w:szCs w:val="36"/>
              </w:rPr>
              <w:t>16 May 2017</w:t>
            </w:r>
          </w:p>
          <w:p w14:paraId="5D0F29A9" w14:textId="77777777" w:rsidR="00F30851" w:rsidRPr="0017078F" w:rsidRDefault="00F30851" w:rsidP="005879FC">
            <w:pPr>
              <w:rPr>
                <w:rFonts w:ascii="Arial" w:hAnsi="Arial" w:cs="Arial"/>
                <w:b/>
                <w:color w:val="002C47"/>
                <w:sz w:val="36"/>
                <w:szCs w:val="36"/>
              </w:rPr>
            </w:pPr>
            <w:r w:rsidRPr="00F30851">
              <w:rPr>
                <w:rFonts w:ascii="Arial" w:hAnsi="Arial" w:cs="Arial"/>
                <w:b/>
                <w:color w:val="002C47"/>
                <w:sz w:val="36"/>
                <w:szCs w:val="36"/>
              </w:rPr>
              <w:t>Date of second round report: 17 December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9EBA428" w14:textId="77777777" w:rsidTr="00E07F15">
        <w:trPr>
          <w:trHeight w:val="1548"/>
        </w:trPr>
        <w:tc>
          <w:tcPr>
            <w:tcW w:w="9079" w:type="dxa"/>
          </w:tcPr>
          <w:p w14:paraId="7C32F4F0"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1B54C79A" w14:textId="77777777" w:rsidTr="00E07F15">
        <w:trPr>
          <w:trHeight w:val="868"/>
        </w:trPr>
        <w:tc>
          <w:tcPr>
            <w:tcW w:w="9079" w:type="dxa"/>
          </w:tcPr>
          <w:p w14:paraId="70056DDE" w14:textId="77777777" w:rsidR="00E07F15" w:rsidRPr="00A964D1" w:rsidRDefault="00E07F15" w:rsidP="00F30851">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F30851" w:rsidRPr="00F30851">
              <w:rPr>
                <w:color w:val="FFFFFF" w:themeColor="background1"/>
              </w:rPr>
              <w:t>Influenza virus haemagglutinin</w:t>
            </w:r>
          </w:p>
        </w:tc>
      </w:tr>
      <w:tr w:rsidR="00E07F15" w:rsidRPr="00B64760" w14:paraId="4B3B9540" w14:textId="77777777" w:rsidTr="00E07F15">
        <w:tc>
          <w:tcPr>
            <w:tcW w:w="9079" w:type="dxa"/>
          </w:tcPr>
          <w:p w14:paraId="1E7A0C6E" w14:textId="20DF1035" w:rsidR="00E07F15" w:rsidRPr="008E7846" w:rsidRDefault="00E07F15" w:rsidP="00884727">
            <w:pPr>
              <w:pStyle w:val="Subtitle"/>
              <w:ind w:left="0"/>
              <w:rPr>
                <w:color w:val="FFFFFF" w:themeColor="background1"/>
              </w:rPr>
            </w:pPr>
            <w:r w:rsidRPr="008E7846">
              <w:rPr>
                <w:color w:val="FFFFFF" w:themeColor="background1"/>
              </w:rPr>
              <w:t xml:space="preserve">Proprietary Product Name: </w:t>
            </w:r>
            <w:proofErr w:type="spellStart"/>
            <w:r w:rsidR="00F30851">
              <w:rPr>
                <w:color w:val="FFFFFF" w:themeColor="background1"/>
              </w:rPr>
              <w:t>Fluarix</w:t>
            </w:r>
            <w:proofErr w:type="spellEnd"/>
            <w:r w:rsidR="00F30851">
              <w:rPr>
                <w:color w:val="FFFFFF" w:themeColor="background1"/>
              </w:rPr>
              <w:t xml:space="preserve"> Tetra</w:t>
            </w:r>
          </w:p>
        </w:tc>
      </w:tr>
      <w:tr w:rsidR="00E07F15" w:rsidRPr="00B64760" w14:paraId="041EE77E" w14:textId="77777777" w:rsidTr="00E07F15">
        <w:trPr>
          <w:trHeight w:val="486"/>
        </w:trPr>
        <w:tc>
          <w:tcPr>
            <w:tcW w:w="9079" w:type="dxa"/>
          </w:tcPr>
          <w:p w14:paraId="47D9A86B" w14:textId="77777777" w:rsidR="00E07F15" w:rsidRPr="008E7846" w:rsidRDefault="00E07F15" w:rsidP="00884727">
            <w:pPr>
              <w:pStyle w:val="Subtitle"/>
              <w:ind w:left="0"/>
              <w:rPr>
                <w:color w:val="FFFFFF" w:themeColor="background1"/>
              </w:rPr>
            </w:pPr>
            <w:r w:rsidRPr="008E7846">
              <w:rPr>
                <w:color w:val="FFFFFF" w:themeColor="background1"/>
              </w:rPr>
              <w:t xml:space="preserve">Sponsor: </w:t>
            </w:r>
            <w:r w:rsidR="00F30851" w:rsidRPr="00F30851">
              <w:rPr>
                <w:color w:val="FFFFFF" w:themeColor="background1"/>
              </w:rPr>
              <w:t>GlaxoSmithKline Australia Pty Ltd</w:t>
            </w:r>
          </w:p>
        </w:tc>
      </w:tr>
    </w:tbl>
    <w:p w14:paraId="30A37F5A" w14:textId="77777777" w:rsidR="008E7846" w:rsidRDefault="008E7846" w:rsidP="008E7846">
      <w:pPr>
        <w:pStyle w:val="NonTOCHeading2"/>
      </w:pPr>
      <w:r>
        <w:br w:type="page"/>
      </w:r>
    </w:p>
    <w:p w14:paraId="0B596A7A" w14:textId="77777777" w:rsidR="008E7846" w:rsidRPr="001F6CBA" w:rsidRDefault="008E7846" w:rsidP="008E7846">
      <w:pPr>
        <w:pStyle w:val="NonTOCHeading2"/>
      </w:pPr>
      <w:r w:rsidRPr="001F6CBA">
        <w:lastRenderedPageBreak/>
        <w:t>About the Therapeutic Goods Administration (TGA)</w:t>
      </w:r>
    </w:p>
    <w:p w14:paraId="00568871" w14:textId="77777777" w:rsidR="008E7846" w:rsidRDefault="008E7846" w:rsidP="003836A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2BCFA6C" w14:textId="77777777" w:rsidR="008E7846" w:rsidRDefault="00C811C0" w:rsidP="003836A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76DFAA85" w14:textId="77777777" w:rsidR="008E7846" w:rsidRDefault="008E7846" w:rsidP="003836A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D9D9BBE" w14:textId="77777777" w:rsidR="008E7846" w:rsidRDefault="008E7846" w:rsidP="003836A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26CBBF1" w14:textId="77777777" w:rsidR="008E7846" w:rsidRDefault="008E7846" w:rsidP="003836A3">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4072C007"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0D3D9E38"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0FEB7D60" w14:textId="77777777" w:rsidR="003D0A3B" w:rsidRDefault="003D0A3B" w:rsidP="003D0A3B">
      <w:pPr>
        <w:pStyle w:val="ListBullet"/>
      </w:pPr>
      <w:r w:rsidRPr="003D0A3B">
        <w:t>The words [Information redacted], where they appear in this document, indicate that confidential information has been deleted.</w:t>
      </w:r>
    </w:p>
    <w:p w14:paraId="583573BC"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15A5E56A" w14:textId="77777777" w:rsidR="00924482" w:rsidRPr="00DF1D7F" w:rsidRDefault="00924482" w:rsidP="0017078F">
      <w:pPr>
        <w:pStyle w:val="LegalSubheading"/>
        <w:spacing w:before="4320"/>
      </w:pPr>
      <w:r w:rsidRPr="00DF1D7F">
        <w:t>Copyright</w:t>
      </w:r>
    </w:p>
    <w:p w14:paraId="185EDF7D" w14:textId="77777777" w:rsidR="00924482" w:rsidRDefault="00924482" w:rsidP="00924482">
      <w:pPr>
        <w:pStyle w:val="LegalCopy"/>
      </w:pPr>
      <w:r w:rsidRPr="00191B3B">
        <w:rPr>
          <w:rFonts w:cs="Arial"/>
          <w:lang w:val="en-GB"/>
        </w:rPr>
        <w:t>© Comm</w:t>
      </w:r>
      <w:r>
        <w:rPr>
          <w:rFonts w:cs="Arial"/>
          <w:lang w:val="en-GB"/>
        </w:rPr>
        <w:t>onwealth of Australia 201</w:t>
      </w:r>
      <w:r w:rsidR="00575E67">
        <w:rPr>
          <w:rFonts w:cs="Arial"/>
          <w:lang w:val="en-GB"/>
        </w:rPr>
        <w:t>8</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0AB078EF"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14:paraId="2F1C16FB" w14:textId="77777777" w:rsidR="0089635C" w:rsidRPr="0089635C" w:rsidRDefault="0089635C" w:rsidP="00943D71">
          <w:pPr>
            <w:pStyle w:val="Contents"/>
          </w:pPr>
          <w:r w:rsidRPr="0010788A">
            <w:t>Contents</w:t>
          </w:r>
        </w:p>
        <w:p w14:paraId="6AC1B783" w14:textId="77777777" w:rsidR="00C26A8B"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2480072" w:history="1">
            <w:r w:rsidR="00C26A8B" w:rsidRPr="00EE19E5">
              <w:rPr>
                <w:rStyle w:val="Hyperlink"/>
                <w:noProof/>
              </w:rPr>
              <w:t>List of common abbreviations</w:t>
            </w:r>
            <w:r w:rsidR="00C26A8B">
              <w:rPr>
                <w:noProof/>
                <w:webHidden/>
              </w:rPr>
              <w:tab/>
            </w:r>
            <w:r w:rsidR="00C26A8B">
              <w:rPr>
                <w:noProof/>
                <w:webHidden/>
              </w:rPr>
              <w:fldChar w:fldCharType="begin"/>
            </w:r>
            <w:r w:rsidR="00C26A8B">
              <w:rPr>
                <w:noProof/>
                <w:webHidden/>
              </w:rPr>
              <w:instrText xml:space="preserve"> PAGEREF _Toc532480072 \h </w:instrText>
            </w:r>
            <w:r w:rsidR="00C26A8B">
              <w:rPr>
                <w:noProof/>
                <w:webHidden/>
              </w:rPr>
            </w:r>
            <w:r w:rsidR="00C26A8B">
              <w:rPr>
                <w:noProof/>
                <w:webHidden/>
              </w:rPr>
              <w:fldChar w:fldCharType="separate"/>
            </w:r>
            <w:r w:rsidR="00C26A8B">
              <w:rPr>
                <w:noProof/>
                <w:webHidden/>
              </w:rPr>
              <w:t>5</w:t>
            </w:r>
            <w:r w:rsidR="00C26A8B">
              <w:rPr>
                <w:noProof/>
                <w:webHidden/>
              </w:rPr>
              <w:fldChar w:fldCharType="end"/>
            </w:r>
          </w:hyperlink>
        </w:p>
        <w:p w14:paraId="24AA008C" w14:textId="77777777" w:rsidR="00C26A8B" w:rsidRDefault="00C26A8B">
          <w:pPr>
            <w:pStyle w:val="TOC2"/>
            <w:tabs>
              <w:tab w:val="left" w:pos="1100"/>
            </w:tabs>
            <w:rPr>
              <w:rFonts w:asciiTheme="minorHAnsi" w:eastAsiaTheme="minorEastAsia" w:hAnsiTheme="minorHAnsi" w:cstheme="minorBidi"/>
              <w:b w:val="0"/>
              <w:noProof/>
              <w:sz w:val="22"/>
              <w:lang w:eastAsia="en-AU"/>
            </w:rPr>
          </w:pPr>
          <w:hyperlink w:anchor="_Toc532480073" w:history="1">
            <w:r w:rsidRPr="00EE19E5">
              <w:rPr>
                <w:rStyle w:val="Hyperlink"/>
                <w:noProof/>
                <w:lang w:eastAsia="en-AU"/>
              </w:rPr>
              <w:t>1.</w:t>
            </w:r>
            <w:r>
              <w:rPr>
                <w:rFonts w:asciiTheme="minorHAnsi" w:eastAsiaTheme="minorEastAsia" w:hAnsiTheme="minorHAnsi" w:cstheme="minorBidi"/>
                <w:b w:val="0"/>
                <w:noProof/>
                <w:sz w:val="22"/>
                <w:lang w:eastAsia="en-AU"/>
              </w:rPr>
              <w:tab/>
            </w:r>
            <w:r w:rsidRPr="00EE19E5">
              <w:rPr>
                <w:rStyle w:val="Hyperlink"/>
                <w:noProof/>
              </w:rPr>
              <w:t>Submission</w:t>
            </w:r>
            <w:r w:rsidRPr="00EE19E5">
              <w:rPr>
                <w:rStyle w:val="Hyperlink"/>
                <w:noProof/>
                <w:lang w:eastAsia="en-AU"/>
              </w:rPr>
              <w:t xml:space="preserve"> details</w:t>
            </w:r>
            <w:r>
              <w:rPr>
                <w:noProof/>
                <w:webHidden/>
              </w:rPr>
              <w:tab/>
            </w:r>
            <w:r>
              <w:rPr>
                <w:noProof/>
                <w:webHidden/>
              </w:rPr>
              <w:fldChar w:fldCharType="begin"/>
            </w:r>
            <w:r>
              <w:rPr>
                <w:noProof/>
                <w:webHidden/>
              </w:rPr>
              <w:instrText xml:space="preserve"> PAGEREF _Toc532480073 \h </w:instrText>
            </w:r>
            <w:r>
              <w:rPr>
                <w:noProof/>
                <w:webHidden/>
              </w:rPr>
            </w:r>
            <w:r>
              <w:rPr>
                <w:noProof/>
                <w:webHidden/>
              </w:rPr>
              <w:fldChar w:fldCharType="separate"/>
            </w:r>
            <w:r>
              <w:rPr>
                <w:noProof/>
                <w:webHidden/>
              </w:rPr>
              <w:t>8</w:t>
            </w:r>
            <w:r>
              <w:rPr>
                <w:noProof/>
                <w:webHidden/>
              </w:rPr>
              <w:fldChar w:fldCharType="end"/>
            </w:r>
          </w:hyperlink>
        </w:p>
        <w:bookmarkStart w:id="2" w:name="_GoBack"/>
        <w:p w14:paraId="28E3BA2D" w14:textId="77777777" w:rsidR="00C26A8B" w:rsidRDefault="00C26A8B">
          <w:pPr>
            <w:pStyle w:val="TOC3"/>
            <w:tabs>
              <w:tab w:val="left" w:pos="1760"/>
            </w:tabs>
            <w:rPr>
              <w:rFonts w:asciiTheme="minorHAnsi" w:eastAsiaTheme="minorEastAsia" w:hAnsiTheme="minorHAnsi" w:cstheme="minorBidi"/>
              <w:noProof/>
              <w:lang w:eastAsia="en-AU"/>
            </w:rPr>
          </w:pPr>
          <w:r w:rsidRPr="00EE19E5">
            <w:rPr>
              <w:rStyle w:val="Hyperlink"/>
              <w:noProof/>
            </w:rPr>
            <w:fldChar w:fldCharType="begin"/>
          </w:r>
          <w:r w:rsidRPr="00EE19E5">
            <w:rPr>
              <w:rStyle w:val="Hyperlink"/>
              <w:noProof/>
            </w:rPr>
            <w:instrText xml:space="preserve"> </w:instrText>
          </w:r>
          <w:r>
            <w:rPr>
              <w:noProof/>
            </w:rPr>
            <w:instrText>HYPERLINK \l "_Toc532480074"</w:instrText>
          </w:r>
          <w:r w:rsidRPr="00EE19E5">
            <w:rPr>
              <w:rStyle w:val="Hyperlink"/>
              <w:noProof/>
            </w:rPr>
            <w:instrText xml:space="preserve"> </w:instrText>
          </w:r>
          <w:r w:rsidRPr="00EE19E5">
            <w:rPr>
              <w:rStyle w:val="Hyperlink"/>
              <w:noProof/>
            </w:rPr>
          </w:r>
          <w:r w:rsidRPr="00EE19E5">
            <w:rPr>
              <w:rStyle w:val="Hyperlink"/>
              <w:noProof/>
            </w:rPr>
            <w:fldChar w:fldCharType="separate"/>
          </w:r>
          <w:r w:rsidRPr="00EE19E5">
            <w:rPr>
              <w:rStyle w:val="Hyperlink"/>
              <w:noProof/>
            </w:rPr>
            <w:t>1.1.</w:t>
          </w:r>
          <w:r>
            <w:rPr>
              <w:rFonts w:asciiTheme="minorHAnsi" w:eastAsiaTheme="minorEastAsia" w:hAnsiTheme="minorHAnsi" w:cstheme="minorBidi"/>
              <w:noProof/>
              <w:lang w:eastAsia="en-AU"/>
            </w:rPr>
            <w:tab/>
          </w:r>
          <w:r w:rsidRPr="00EE19E5">
            <w:rPr>
              <w:rStyle w:val="Hyperlink"/>
              <w:noProof/>
            </w:rPr>
            <w:t>Identifying information</w:t>
          </w:r>
          <w:r>
            <w:rPr>
              <w:noProof/>
              <w:webHidden/>
            </w:rPr>
            <w:tab/>
          </w:r>
          <w:r>
            <w:rPr>
              <w:noProof/>
              <w:webHidden/>
            </w:rPr>
            <w:fldChar w:fldCharType="begin"/>
          </w:r>
          <w:r>
            <w:rPr>
              <w:noProof/>
              <w:webHidden/>
            </w:rPr>
            <w:instrText xml:space="preserve"> PAGEREF _Toc532480074 \h </w:instrText>
          </w:r>
          <w:r>
            <w:rPr>
              <w:noProof/>
              <w:webHidden/>
            </w:rPr>
          </w:r>
          <w:r>
            <w:rPr>
              <w:noProof/>
              <w:webHidden/>
            </w:rPr>
            <w:fldChar w:fldCharType="separate"/>
          </w:r>
          <w:r>
            <w:rPr>
              <w:noProof/>
              <w:webHidden/>
            </w:rPr>
            <w:t>8</w:t>
          </w:r>
          <w:r>
            <w:rPr>
              <w:noProof/>
              <w:webHidden/>
            </w:rPr>
            <w:fldChar w:fldCharType="end"/>
          </w:r>
          <w:r w:rsidRPr="00EE19E5">
            <w:rPr>
              <w:rStyle w:val="Hyperlink"/>
              <w:noProof/>
            </w:rPr>
            <w:fldChar w:fldCharType="end"/>
          </w:r>
        </w:p>
        <w:bookmarkEnd w:id="2"/>
        <w:p w14:paraId="436A167B" w14:textId="77777777" w:rsidR="00C26A8B" w:rsidRDefault="00C26A8B">
          <w:pPr>
            <w:pStyle w:val="TOC3"/>
            <w:tabs>
              <w:tab w:val="left" w:pos="1760"/>
            </w:tabs>
            <w:rPr>
              <w:rFonts w:asciiTheme="minorHAnsi" w:eastAsiaTheme="minorEastAsia" w:hAnsiTheme="minorHAnsi" w:cstheme="minorBidi"/>
              <w:noProof/>
              <w:lang w:eastAsia="en-AU"/>
            </w:rPr>
          </w:pPr>
          <w:r w:rsidRPr="00EE19E5">
            <w:rPr>
              <w:rStyle w:val="Hyperlink"/>
              <w:noProof/>
            </w:rPr>
            <w:fldChar w:fldCharType="begin"/>
          </w:r>
          <w:r w:rsidRPr="00EE19E5">
            <w:rPr>
              <w:rStyle w:val="Hyperlink"/>
              <w:noProof/>
            </w:rPr>
            <w:instrText xml:space="preserve"> </w:instrText>
          </w:r>
          <w:r>
            <w:rPr>
              <w:noProof/>
            </w:rPr>
            <w:instrText>HYPERLINK \l "_Toc532480075"</w:instrText>
          </w:r>
          <w:r w:rsidRPr="00EE19E5">
            <w:rPr>
              <w:rStyle w:val="Hyperlink"/>
              <w:noProof/>
            </w:rPr>
            <w:instrText xml:space="preserve"> </w:instrText>
          </w:r>
          <w:r w:rsidRPr="00EE19E5">
            <w:rPr>
              <w:rStyle w:val="Hyperlink"/>
              <w:noProof/>
            </w:rPr>
          </w:r>
          <w:r w:rsidRPr="00EE19E5">
            <w:rPr>
              <w:rStyle w:val="Hyperlink"/>
              <w:noProof/>
            </w:rPr>
            <w:fldChar w:fldCharType="separate"/>
          </w:r>
          <w:r w:rsidRPr="00EE19E5">
            <w:rPr>
              <w:rStyle w:val="Hyperlink"/>
              <w:noProof/>
            </w:rPr>
            <w:t>1.2.</w:t>
          </w:r>
          <w:r>
            <w:rPr>
              <w:rFonts w:asciiTheme="minorHAnsi" w:eastAsiaTheme="minorEastAsia" w:hAnsiTheme="minorHAnsi" w:cstheme="minorBidi"/>
              <w:noProof/>
              <w:lang w:eastAsia="en-AU"/>
            </w:rPr>
            <w:tab/>
          </w:r>
          <w:r w:rsidRPr="00EE19E5">
            <w:rPr>
              <w:rStyle w:val="Hyperlink"/>
              <w:noProof/>
            </w:rPr>
            <w:t>Submission type</w:t>
          </w:r>
          <w:r>
            <w:rPr>
              <w:noProof/>
              <w:webHidden/>
            </w:rPr>
            <w:tab/>
          </w:r>
          <w:r>
            <w:rPr>
              <w:noProof/>
              <w:webHidden/>
            </w:rPr>
            <w:fldChar w:fldCharType="begin"/>
          </w:r>
          <w:r>
            <w:rPr>
              <w:noProof/>
              <w:webHidden/>
            </w:rPr>
            <w:instrText xml:space="preserve"> PAGEREF _Toc532480075 \h </w:instrText>
          </w:r>
          <w:r>
            <w:rPr>
              <w:noProof/>
              <w:webHidden/>
            </w:rPr>
          </w:r>
          <w:r>
            <w:rPr>
              <w:noProof/>
              <w:webHidden/>
            </w:rPr>
            <w:fldChar w:fldCharType="separate"/>
          </w:r>
          <w:r>
            <w:rPr>
              <w:noProof/>
              <w:webHidden/>
            </w:rPr>
            <w:t>8</w:t>
          </w:r>
          <w:r>
            <w:rPr>
              <w:noProof/>
              <w:webHidden/>
            </w:rPr>
            <w:fldChar w:fldCharType="end"/>
          </w:r>
          <w:r w:rsidRPr="00EE19E5">
            <w:rPr>
              <w:rStyle w:val="Hyperlink"/>
              <w:noProof/>
            </w:rPr>
            <w:fldChar w:fldCharType="end"/>
          </w:r>
        </w:p>
        <w:p w14:paraId="57ED471F"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76" w:history="1">
            <w:r w:rsidRPr="00EE19E5">
              <w:rPr>
                <w:rStyle w:val="Hyperlink"/>
                <w:noProof/>
              </w:rPr>
              <w:t>1.3.</w:t>
            </w:r>
            <w:r>
              <w:rPr>
                <w:rFonts w:asciiTheme="minorHAnsi" w:eastAsiaTheme="minorEastAsia" w:hAnsiTheme="minorHAnsi" w:cstheme="minorBidi"/>
                <w:noProof/>
                <w:lang w:eastAsia="en-AU"/>
              </w:rPr>
              <w:tab/>
            </w:r>
            <w:r w:rsidRPr="00EE19E5">
              <w:rPr>
                <w:rStyle w:val="Hyperlink"/>
                <w:noProof/>
              </w:rPr>
              <w:t>Drug class and therapeutic indication</w:t>
            </w:r>
            <w:r>
              <w:rPr>
                <w:noProof/>
                <w:webHidden/>
              </w:rPr>
              <w:tab/>
            </w:r>
            <w:r>
              <w:rPr>
                <w:noProof/>
                <w:webHidden/>
              </w:rPr>
              <w:fldChar w:fldCharType="begin"/>
            </w:r>
            <w:r>
              <w:rPr>
                <w:noProof/>
                <w:webHidden/>
              </w:rPr>
              <w:instrText xml:space="preserve"> PAGEREF _Toc532480076 \h </w:instrText>
            </w:r>
            <w:r>
              <w:rPr>
                <w:noProof/>
                <w:webHidden/>
              </w:rPr>
            </w:r>
            <w:r>
              <w:rPr>
                <w:noProof/>
                <w:webHidden/>
              </w:rPr>
              <w:fldChar w:fldCharType="separate"/>
            </w:r>
            <w:r>
              <w:rPr>
                <w:noProof/>
                <w:webHidden/>
              </w:rPr>
              <w:t>8</w:t>
            </w:r>
            <w:r>
              <w:rPr>
                <w:noProof/>
                <w:webHidden/>
              </w:rPr>
              <w:fldChar w:fldCharType="end"/>
            </w:r>
          </w:hyperlink>
        </w:p>
        <w:p w14:paraId="44CE5351"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77" w:history="1">
            <w:r w:rsidRPr="00EE19E5">
              <w:rPr>
                <w:rStyle w:val="Hyperlink"/>
                <w:noProof/>
              </w:rPr>
              <w:t>1.4.</w:t>
            </w:r>
            <w:r>
              <w:rPr>
                <w:rFonts w:asciiTheme="minorHAnsi" w:eastAsiaTheme="minorEastAsia" w:hAnsiTheme="minorHAnsi" w:cstheme="minorBidi"/>
                <w:noProof/>
                <w:lang w:eastAsia="en-AU"/>
              </w:rPr>
              <w:tab/>
            </w:r>
            <w:r w:rsidRPr="00EE19E5">
              <w:rPr>
                <w:rStyle w:val="Hyperlink"/>
                <w:noProof/>
              </w:rPr>
              <w:t>Dosage forms and strengths</w:t>
            </w:r>
            <w:r>
              <w:rPr>
                <w:noProof/>
                <w:webHidden/>
              </w:rPr>
              <w:tab/>
            </w:r>
            <w:r>
              <w:rPr>
                <w:noProof/>
                <w:webHidden/>
              </w:rPr>
              <w:fldChar w:fldCharType="begin"/>
            </w:r>
            <w:r>
              <w:rPr>
                <w:noProof/>
                <w:webHidden/>
              </w:rPr>
              <w:instrText xml:space="preserve"> PAGEREF _Toc532480077 \h </w:instrText>
            </w:r>
            <w:r>
              <w:rPr>
                <w:noProof/>
                <w:webHidden/>
              </w:rPr>
            </w:r>
            <w:r>
              <w:rPr>
                <w:noProof/>
                <w:webHidden/>
              </w:rPr>
              <w:fldChar w:fldCharType="separate"/>
            </w:r>
            <w:r>
              <w:rPr>
                <w:noProof/>
                <w:webHidden/>
              </w:rPr>
              <w:t>8</w:t>
            </w:r>
            <w:r>
              <w:rPr>
                <w:noProof/>
                <w:webHidden/>
              </w:rPr>
              <w:fldChar w:fldCharType="end"/>
            </w:r>
          </w:hyperlink>
        </w:p>
        <w:p w14:paraId="3A5F2936"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78" w:history="1">
            <w:r w:rsidRPr="00EE19E5">
              <w:rPr>
                <w:rStyle w:val="Hyperlink"/>
                <w:noProof/>
              </w:rPr>
              <w:t>1.5.</w:t>
            </w:r>
            <w:r>
              <w:rPr>
                <w:rFonts w:asciiTheme="minorHAnsi" w:eastAsiaTheme="minorEastAsia" w:hAnsiTheme="minorHAnsi" w:cstheme="minorBidi"/>
                <w:noProof/>
                <w:lang w:eastAsia="en-AU"/>
              </w:rPr>
              <w:tab/>
            </w:r>
            <w:r w:rsidRPr="00EE19E5">
              <w:rPr>
                <w:rStyle w:val="Hyperlink"/>
                <w:noProof/>
              </w:rPr>
              <w:t>Dosage and administration</w:t>
            </w:r>
            <w:r>
              <w:rPr>
                <w:noProof/>
                <w:webHidden/>
              </w:rPr>
              <w:tab/>
            </w:r>
            <w:r>
              <w:rPr>
                <w:noProof/>
                <w:webHidden/>
              </w:rPr>
              <w:fldChar w:fldCharType="begin"/>
            </w:r>
            <w:r>
              <w:rPr>
                <w:noProof/>
                <w:webHidden/>
              </w:rPr>
              <w:instrText xml:space="preserve"> PAGEREF _Toc532480078 \h </w:instrText>
            </w:r>
            <w:r>
              <w:rPr>
                <w:noProof/>
                <w:webHidden/>
              </w:rPr>
            </w:r>
            <w:r>
              <w:rPr>
                <w:noProof/>
                <w:webHidden/>
              </w:rPr>
              <w:fldChar w:fldCharType="separate"/>
            </w:r>
            <w:r>
              <w:rPr>
                <w:noProof/>
                <w:webHidden/>
              </w:rPr>
              <w:t>8</w:t>
            </w:r>
            <w:r>
              <w:rPr>
                <w:noProof/>
                <w:webHidden/>
              </w:rPr>
              <w:fldChar w:fldCharType="end"/>
            </w:r>
          </w:hyperlink>
        </w:p>
        <w:p w14:paraId="6FBCCDD6" w14:textId="77777777" w:rsidR="00C26A8B" w:rsidRDefault="00C26A8B">
          <w:pPr>
            <w:pStyle w:val="TOC2"/>
            <w:tabs>
              <w:tab w:val="left" w:pos="1100"/>
            </w:tabs>
            <w:rPr>
              <w:rFonts w:asciiTheme="minorHAnsi" w:eastAsiaTheme="minorEastAsia" w:hAnsiTheme="minorHAnsi" w:cstheme="minorBidi"/>
              <w:b w:val="0"/>
              <w:noProof/>
              <w:sz w:val="22"/>
              <w:lang w:eastAsia="en-AU"/>
            </w:rPr>
          </w:pPr>
          <w:hyperlink w:anchor="_Toc532480079" w:history="1">
            <w:r w:rsidRPr="00EE19E5">
              <w:rPr>
                <w:rStyle w:val="Hyperlink"/>
                <w:noProof/>
              </w:rPr>
              <w:t>2.</w:t>
            </w:r>
            <w:r>
              <w:rPr>
                <w:rFonts w:asciiTheme="minorHAnsi" w:eastAsiaTheme="minorEastAsia" w:hAnsiTheme="minorHAnsi" w:cstheme="minorBidi"/>
                <w:b w:val="0"/>
                <w:noProof/>
                <w:sz w:val="22"/>
                <w:lang w:eastAsia="en-AU"/>
              </w:rPr>
              <w:tab/>
            </w:r>
            <w:r w:rsidRPr="00EE19E5">
              <w:rPr>
                <w:rStyle w:val="Hyperlink"/>
                <w:noProof/>
              </w:rPr>
              <w:t>Background</w:t>
            </w:r>
            <w:r>
              <w:rPr>
                <w:noProof/>
                <w:webHidden/>
              </w:rPr>
              <w:tab/>
            </w:r>
            <w:r>
              <w:rPr>
                <w:noProof/>
                <w:webHidden/>
              </w:rPr>
              <w:fldChar w:fldCharType="begin"/>
            </w:r>
            <w:r>
              <w:rPr>
                <w:noProof/>
                <w:webHidden/>
              </w:rPr>
              <w:instrText xml:space="preserve"> PAGEREF _Toc532480079 \h </w:instrText>
            </w:r>
            <w:r>
              <w:rPr>
                <w:noProof/>
                <w:webHidden/>
              </w:rPr>
            </w:r>
            <w:r>
              <w:rPr>
                <w:noProof/>
                <w:webHidden/>
              </w:rPr>
              <w:fldChar w:fldCharType="separate"/>
            </w:r>
            <w:r>
              <w:rPr>
                <w:noProof/>
                <w:webHidden/>
              </w:rPr>
              <w:t>9</w:t>
            </w:r>
            <w:r>
              <w:rPr>
                <w:noProof/>
                <w:webHidden/>
              </w:rPr>
              <w:fldChar w:fldCharType="end"/>
            </w:r>
          </w:hyperlink>
        </w:p>
        <w:p w14:paraId="3931870D"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80" w:history="1">
            <w:r w:rsidRPr="00EE19E5">
              <w:rPr>
                <w:rStyle w:val="Hyperlink"/>
                <w:noProof/>
              </w:rPr>
              <w:t>2.1.</w:t>
            </w:r>
            <w:r>
              <w:rPr>
                <w:rFonts w:asciiTheme="minorHAnsi" w:eastAsiaTheme="minorEastAsia" w:hAnsiTheme="minorHAnsi" w:cstheme="minorBidi"/>
                <w:noProof/>
                <w:lang w:eastAsia="en-AU"/>
              </w:rPr>
              <w:tab/>
            </w:r>
            <w:r w:rsidRPr="00EE19E5">
              <w:rPr>
                <w:rStyle w:val="Hyperlink"/>
                <w:noProof/>
              </w:rPr>
              <w:t>Information on the condition being treated</w:t>
            </w:r>
            <w:r>
              <w:rPr>
                <w:noProof/>
                <w:webHidden/>
              </w:rPr>
              <w:tab/>
            </w:r>
            <w:r>
              <w:rPr>
                <w:noProof/>
                <w:webHidden/>
              </w:rPr>
              <w:fldChar w:fldCharType="begin"/>
            </w:r>
            <w:r>
              <w:rPr>
                <w:noProof/>
                <w:webHidden/>
              </w:rPr>
              <w:instrText xml:space="preserve"> PAGEREF _Toc532480080 \h </w:instrText>
            </w:r>
            <w:r>
              <w:rPr>
                <w:noProof/>
                <w:webHidden/>
              </w:rPr>
            </w:r>
            <w:r>
              <w:rPr>
                <w:noProof/>
                <w:webHidden/>
              </w:rPr>
              <w:fldChar w:fldCharType="separate"/>
            </w:r>
            <w:r>
              <w:rPr>
                <w:noProof/>
                <w:webHidden/>
              </w:rPr>
              <w:t>9</w:t>
            </w:r>
            <w:r>
              <w:rPr>
                <w:noProof/>
                <w:webHidden/>
              </w:rPr>
              <w:fldChar w:fldCharType="end"/>
            </w:r>
          </w:hyperlink>
        </w:p>
        <w:p w14:paraId="3C16BE63"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81" w:history="1">
            <w:r w:rsidRPr="00EE19E5">
              <w:rPr>
                <w:rStyle w:val="Hyperlink"/>
                <w:noProof/>
              </w:rPr>
              <w:t>2.2.</w:t>
            </w:r>
            <w:r>
              <w:rPr>
                <w:rFonts w:asciiTheme="minorHAnsi" w:eastAsiaTheme="minorEastAsia" w:hAnsiTheme="minorHAnsi" w:cstheme="minorBidi"/>
                <w:noProof/>
                <w:lang w:eastAsia="en-AU"/>
              </w:rPr>
              <w:tab/>
            </w:r>
            <w:r w:rsidRPr="00EE19E5">
              <w:rPr>
                <w:rStyle w:val="Hyperlink"/>
                <w:noProof/>
              </w:rPr>
              <w:t>Current treatment options</w:t>
            </w:r>
            <w:r>
              <w:rPr>
                <w:noProof/>
                <w:webHidden/>
              </w:rPr>
              <w:tab/>
            </w:r>
            <w:r>
              <w:rPr>
                <w:noProof/>
                <w:webHidden/>
              </w:rPr>
              <w:fldChar w:fldCharType="begin"/>
            </w:r>
            <w:r>
              <w:rPr>
                <w:noProof/>
                <w:webHidden/>
              </w:rPr>
              <w:instrText xml:space="preserve"> PAGEREF _Toc532480081 \h </w:instrText>
            </w:r>
            <w:r>
              <w:rPr>
                <w:noProof/>
                <w:webHidden/>
              </w:rPr>
            </w:r>
            <w:r>
              <w:rPr>
                <w:noProof/>
                <w:webHidden/>
              </w:rPr>
              <w:fldChar w:fldCharType="separate"/>
            </w:r>
            <w:r>
              <w:rPr>
                <w:noProof/>
                <w:webHidden/>
              </w:rPr>
              <w:t>10</w:t>
            </w:r>
            <w:r>
              <w:rPr>
                <w:noProof/>
                <w:webHidden/>
              </w:rPr>
              <w:fldChar w:fldCharType="end"/>
            </w:r>
          </w:hyperlink>
        </w:p>
        <w:p w14:paraId="4F92AC70"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82" w:history="1">
            <w:r w:rsidRPr="00EE19E5">
              <w:rPr>
                <w:rStyle w:val="Hyperlink"/>
                <w:noProof/>
              </w:rPr>
              <w:t>2.3.</w:t>
            </w:r>
            <w:r>
              <w:rPr>
                <w:rFonts w:asciiTheme="minorHAnsi" w:eastAsiaTheme="minorEastAsia" w:hAnsiTheme="minorHAnsi" w:cstheme="minorBidi"/>
                <w:noProof/>
                <w:lang w:eastAsia="en-AU"/>
              </w:rPr>
              <w:tab/>
            </w:r>
            <w:r w:rsidRPr="00EE19E5">
              <w:rPr>
                <w:rStyle w:val="Hyperlink"/>
                <w:noProof/>
              </w:rPr>
              <w:t>Clinical rationale</w:t>
            </w:r>
            <w:r>
              <w:rPr>
                <w:noProof/>
                <w:webHidden/>
              </w:rPr>
              <w:tab/>
            </w:r>
            <w:r>
              <w:rPr>
                <w:noProof/>
                <w:webHidden/>
              </w:rPr>
              <w:fldChar w:fldCharType="begin"/>
            </w:r>
            <w:r>
              <w:rPr>
                <w:noProof/>
                <w:webHidden/>
              </w:rPr>
              <w:instrText xml:space="preserve"> PAGEREF _Toc532480082 \h </w:instrText>
            </w:r>
            <w:r>
              <w:rPr>
                <w:noProof/>
                <w:webHidden/>
              </w:rPr>
            </w:r>
            <w:r>
              <w:rPr>
                <w:noProof/>
                <w:webHidden/>
              </w:rPr>
              <w:fldChar w:fldCharType="separate"/>
            </w:r>
            <w:r>
              <w:rPr>
                <w:noProof/>
                <w:webHidden/>
              </w:rPr>
              <w:t>11</w:t>
            </w:r>
            <w:r>
              <w:rPr>
                <w:noProof/>
                <w:webHidden/>
              </w:rPr>
              <w:fldChar w:fldCharType="end"/>
            </w:r>
          </w:hyperlink>
        </w:p>
        <w:p w14:paraId="48EE21AC"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83" w:history="1">
            <w:r w:rsidRPr="00EE19E5">
              <w:rPr>
                <w:rStyle w:val="Hyperlink"/>
                <w:noProof/>
              </w:rPr>
              <w:t>2.4.</w:t>
            </w:r>
            <w:r>
              <w:rPr>
                <w:rFonts w:asciiTheme="minorHAnsi" w:eastAsiaTheme="minorEastAsia" w:hAnsiTheme="minorHAnsi" w:cstheme="minorBidi"/>
                <w:noProof/>
                <w:lang w:eastAsia="en-AU"/>
              </w:rPr>
              <w:tab/>
            </w:r>
            <w:r w:rsidRPr="00EE19E5">
              <w:rPr>
                <w:rStyle w:val="Hyperlink"/>
                <w:noProof/>
              </w:rPr>
              <w:t>Formulation</w:t>
            </w:r>
            <w:r>
              <w:rPr>
                <w:noProof/>
                <w:webHidden/>
              </w:rPr>
              <w:tab/>
            </w:r>
            <w:r>
              <w:rPr>
                <w:noProof/>
                <w:webHidden/>
              </w:rPr>
              <w:fldChar w:fldCharType="begin"/>
            </w:r>
            <w:r>
              <w:rPr>
                <w:noProof/>
                <w:webHidden/>
              </w:rPr>
              <w:instrText xml:space="preserve"> PAGEREF _Toc532480083 \h </w:instrText>
            </w:r>
            <w:r>
              <w:rPr>
                <w:noProof/>
                <w:webHidden/>
              </w:rPr>
            </w:r>
            <w:r>
              <w:rPr>
                <w:noProof/>
                <w:webHidden/>
              </w:rPr>
              <w:fldChar w:fldCharType="separate"/>
            </w:r>
            <w:r>
              <w:rPr>
                <w:noProof/>
                <w:webHidden/>
              </w:rPr>
              <w:t>11</w:t>
            </w:r>
            <w:r>
              <w:rPr>
                <w:noProof/>
                <w:webHidden/>
              </w:rPr>
              <w:fldChar w:fldCharType="end"/>
            </w:r>
          </w:hyperlink>
        </w:p>
        <w:p w14:paraId="728EAD48"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84" w:history="1">
            <w:r w:rsidRPr="00EE19E5">
              <w:rPr>
                <w:rStyle w:val="Hyperlink"/>
                <w:noProof/>
              </w:rPr>
              <w:t>2.5.</w:t>
            </w:r>
            <w:r>
              <w:rPr>
                <w:rFonts w:asciiTheme="minorHAnsi" w:eastAsiaTheme="minorEastAsia" w:hAnsiTheme="minorHAnsi" w:cstheme="minorBidi"/>
                <w:noProof/>
                <w:lang w:eastAsia="en-AU"/>
              </w:rPr>
              <w:tab/>
            </w:r>
            <w:r w:rsidRPr="00EE19E5">
              <w:rPr>
                <w:rStyle w:val="Hyperlink"/>
                <w:noProof/>
              </w:rPr>
              <w:t>Regulatory history</w:t>
            </w:r>
            <w:r>
              <w:rPr>
                <w:noProof/>
                <w:webHidden/>
              </w:rPr>
              <w:tab/>
            </w:r>
            <w:r>
              <w:rPr>
                <w:noProof/>
                <w:webHidden/>
              </w:rPr>
              <w:fldChar w:fldCharType="begin"/>
            </w:r>
            <w:r>
              <w:rPr>
                <w:noProof/>
                <w:webHidden/>
              </w:rPr>
              <w:instrText xml:space="preserve"> PAGEREF _Toc532480084 \h </w:instrText>
            </w:r>
            <w:r>
              <w:rPr>
                <w:noProof/>
                <w:webHidden/>
              </w:rPr>
            </w:r>
            <w:r>
              <w:rPr>
                <w:noProof/>
                <w:webHidden/>
              </w:rPr>
              <w:fldChar w:fldCharType="separate"/>
            </w:r>
            <w:r>
              <w:rPr>
                <w:noProof/>
                <w:webHidden/>
              </w:rPr>
              <w:t>11</w:t>
            </w:r>
            <w:r>
              <w:rPr>
                <w:noProof/>
                <w:webHidden/>
              </w:rPr>
              <w:fldChar w:fldCharType="end"/>
            </w:r>
          </w:hyperlink>
        </w:p>
        <w:p w14:paraId="669A8F47"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85" w:history="1">
            <w:r w:rsidRPr="00EE19E5">
              <w:rPr>
                <w:rStyle w:val="Hyperlink"/>
                <w:noProof/>
              </w:rPr>
              <w:t>2.6.</w:t>
            </w:r>
            <w:r>
              <w:rPr>
                <w:rFonts w:asciiTheme="minorHAnsi" w:eastAsiaTheme="minorEastAsia" w:hAnsiTheme="minorHAnsi" w:cstheme="minorBidi"/>
                <w:noProof/>
                <w:lang w:eastAsia="en-AU"/>
              </w:rPr>
              <w:tab/>
            </w:r>
            <w:r w:rsidRPr="00EE19E5">
              <w:rPr>
                <w:rStyle w:val="Hyperlink"/>
                <w:noProof/>
              </w:rPr>
              <w:t>Evaluator’s commentary on the background information</w:t>
            </w:r>
            <w:r>
              <w:rPr>
                <w:noProof/>
                <w:webHidden/>
              </w:rPr>
              <w:tab/>
            </w:r>
            <w:r>
              <w:rPr>
                <w:noProof/>
                <w:webHidden/>
              </w:rPr>
              <w:fldChar w:fldCharType="begin"/>
            </w:r>
            <w:r>
              <w:rPr>
                <w:noProof/>
                <w:webHidden/>
              </w:rPr>
              <w:instrText xml:space="preserve"> PAGEREF _Toc532480085 \h </w:instrText>
            </w:r>
            <w:r>
              <w:rPr>
                <w:noProof/>
                <w:webHidden/>
              </w:rPr>
            </w:r>
            <w:r>
              <w:rPr>
                <w:noProof/>
                <w:webHidden/>
              </w:rPr>
              <w:fldChar w:fldCharType="separate"/>
            </w:r>
            <w:r>
              <w:rPr>
                <w:noProof/>
                <w:webHidden/>
              </w:rPr>
              <w:t>11</w:t>
            </w:r>
            <w:r>
              <w:rPr>
                <w:noProof/>
                <w:webHidden/>
              </w:rPr>
              <w:fldChar w:fldCharType="end"/>
            </w:r>
          </w:hyperlink>
        </w:p>
        <w:p w14:paraId="527774D4"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86" w:history="1">
            <w:r w:rsidRPr="00EE19E5">
              <w:rPr>
                <w:rStyle w:val="Hyperlink"/>
                <w:noProof/>
              </w:rPr>
              <w:t>2.7.</w:t>
            </w:r>
            <w:r>
              <w:rPr>
                <w:rFonts w:asciiTheme="minorHAnsi" w:eastAsiaTheme="minorEastAsia" w:hAnsiTheme="minorHAnsi" w:cstheme="minorBidi"/>
                <w:noProof/>
                <w:lang w:eastAsia="en-AU"/>
              </w:rPr>
              <w:tab/>
            </w:r>
            <w:r w:rsidRPr="00EE19E5">
              <w:rPr>
                <w:rStyle w:val="Hyperlink"/>
                <w:noProof/>
              </w:rPr>
              <w:t>Scope of the clinical dossier</w:t>
            </w:r>
            <w:r>
              <w:rPr>
                <w:noProof/>
                <w:webHidden/>
              </w:rPr>
              <w:tab/>
            </w:r>
            <w:r>
              <w:rPr>
                <w:noProof/>
                <w:webHidden/>
              </w:rPr>
              <w:fldChar w:fldCharType="begin"/>
            </w:r>
            <w:r>
              <w:rPr>
                <w:noProof/>
                <w:webHidden/>
              </w:rPr>
              <w:instrText xml:space="preserve"> PAGEREF _Toc532480086 \h </w:instrText>
            </w:r>
            <w:r>
              <w:rPr>
                <w:noProof/>
                <w:webHidden/>
              </w:rPr>
            </w:r>
            <w:r>
              <w:rPr>
                <w:noProof/>
                <w:webHidden/>
              </w:rPr>
              <w:fldChar w:fldCharType="separate"/>
            </w:r>
            <w:r>
              <w:rPr>
                <w:noProof/>
                <w:webHidden/>
              </w:rPr>
              <w:t>12</w:t>
            </w:r>
            <w:r>
              <w:rPr>
                <w:noProof/>
                <w:webHidden/>
              </w:rPr>
              <w:fldChar w:fldCharType="end"/>
            </w:r>
          </w:hyperlink>
        </w:p>
        <w:p w14:paraId="4BC9C148"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87" w:history="1">
            <w:r w:rsidRPr="00EE19E5">
              <w:rPr>
                <w:rStyle w:val="Hyperlink"/>
                <w:noProof/>
              </w:rPr>
              <w:t>2.8.</w:t>
            </w:r>
            <w:r>
              <w:rPr>
                <w:rFonts w:asciiTheme="minorHAnsi" w:eastAsiaTheme="minorEastAsia" w:hAnsiTheme="minorHAnsi" w:cstheme="minorBidi"/>
                <w:noProof/>
                <w:lang w:eastAsia="en-AU"/>
              </w:rPr>
              <w:tab/>
            </w:r>
            <w:r w:rsidRPr="00EE19E5">
              <w:rPr>
                <w:rStyle w:val="Hyperlink"/>
                <w:noProof/>
              </w:rPr>
              <w:t>Paediatric data</w:t>
            </w:r>
            <w:r>
              <w:rPr>
                <w:noProof/>
                <w:webHidden/>
              </w:rPr>
              <w:tab/>
            </w:r>
            <w:r>
              <w:rPr>
                <w:noProof/>
                <w:webHidden/>
              </w:rPr>
              <w:fldChar w:fldCharType="begin"/>
            </w:r>
            <w:r>
              <w:rPr>
                <w:noProof/>
                <w:webHidden/>
              </w:rPr>
              <w:instrText xml:space="preserve"> PAGEREF _Toc532480087 \h </w:instrText>
            </w:r>
            <w:r>
              <w:rPr>
                <w:noProof/>
                <w:webHidden/>
              </w:rPr>
            </w:r>
            <w:r>
              <w:rPr>
                <w:noProof/>
                <w:webHidden/>
              </w:rPr>
              <w:fldChar w:fldCharType="separate"/>
            </w:r>
            <w:r>
              <w:rPr>
                <w:noProof/>
                <w:webHidden/>
              </w:rPr>
              <w:t>12</w:t>
            </w:r>
            <w:r>
              <w:rPr>
                <w:noProof/>
                <w:webHidden/>
              </w:rPr>
              <w:fldChar w:fldCharType="end"/>
            </w:r>
          </w:hyperlink>
        </w:p>
        <w:p w14:paraId="1608BFF3"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88" w:history="1">
            <w:r w:rsidRPr="00EE19E5">
              <w:rPr>
                <w:rStyle w:val="Hyperlink"/>
                <w:noProof/>
              </w:rPr>
              <w:t>2.9.</w:t>
            </w:r>
            <w:r>
              <w:rPr>
                <w:rFonts w:asciiTheme="minorHAnsi" w:eastAsiaTheme="minorEastAsia" w:hAnsiTheme="minorHAnsi" w:cstheme="minorBidi"/>
                <w:noProof/>
                <w:lang w:eastAsia="en-AU"/>
              </w:rPr>
              <w:tab/>
            </w:r>
            <w:r w:rsidRPr="00EE19E5">
              <w:rPr>
                <w:rStyle w:val="Hyperlink"/>
                <w:noProof/>
              </w:rPr>
              <w:t>Good clinical practice</w:t>
            </w:r>
            <w:r>
              <w:rPr>
                <w:noProof/>
                <w:webHidden/>
              </w:rPr>
              <w:tab/>
            </w:r>
            <w:r>
              <w:rPr>
                <w:noProof/>
                <w:webHidden/>
              </w:rPr>
              <w:fldChar w:fldCharType="begin"/>
            </w:r>
            <w:r>
              <w:rPr>
                <w:noProof/>
                <w:webHidden/>
              </w:rPr>
              <w:instrText xml:space="preserve"> PAGEREF _Toc532480088 \h </w:instrText>
            </w:r>
            <w:r>
              <w:rPr>
                <w:noProof/>
                <w:webHidden/>
              </w:rPr>
            </w:r>
            <w:r>
              <w:rPr>
                <w:noProof/>
                <w:webHidden/>
              </w:rPr>
              <w:fldChar w:fldCharType="separate"/>
            </w:r>
            <w:r>
              <w:rPr>
                <w:noProof/>
                <w:webHidden/>
              </w:rPr>
              <w:t>12</w:t>
            </w:r>
            <w:r>
              <w:rPr>
                <w:noProof/>
                <w:webHidden/>
              </w:rPr>
              <w:fldChar w:fldCharType="end"/>
            </w:r>
          </w:hyperlink>
        </w:p>
        <w:p w14:paraId="68B88A1E"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89" w:history="1">
            <w:r w:rsidRPr="00EE19E5">
              <w:rPr>
                <w:rStyle w:val="Hyperlink"/>
                <w:noProof/>
              </w:rPr>
              <w:t>2.10.</w:t>
            </w:r>
            <w:r>
              <w:rPr>
                <w:rFonts w:asciiTheme="minorHAnsi" w:eastAsiaTheme="minorEastAsia" w:hAnsiTheme="minorHAnsi" w:cstheme="minorBidi"/>
                <w:noProof/>
                <w:lang w:eastAsia="en-AU"/>
              </w:rPr>
              <w:tab/>
            </w:r>
            <w:r w:rsidRPr="00EE19E5">
              <w:rPr>
                <w:rStyle w:val="Hyperlink"/>
                <w:noProof/>
              </w:rPr>
              <w:t>Evaluator’s commentary on the clinical dossier</w:t>
            </w:r>
            <w:r>
              <w:rPr>
                <w:noProof/>
                <w:webHidden/>
              </w:rPr>
              <w:tab/>
            </w:r>
            <w:r>
              <w:rPr>
                <w:noProof/>
                <w:webHidden/>
              </w:rPr>
              <w:fldChar w:fldCharType="begin"/>
            </w:r>
            <w:r>
              <w:rPr>
                <w:noProof/>
                <w:webHidden/>
              </w:rPr>
              <w:instrText xml:space="preserve"> PAGEREF _Toc532480089 \h </w:instrText>
            </w:r>
            <w:r>
              <w:rPr>
                <w:noProof/>
                <w:webHidden/>
              </w:rPr>
            </w:r>
            <w:r>
              <w:rPr>
                <w:noProof/>
                <w:webHidden/>
              </w:rPr>
              <w:fldChar w:fldCharType="separate"/>
            </w:r>
            <w:r>
              <w:rPr>
                <w:noProof/>
                <w:webHidden/>
              </w:rPr>
              <w:t>12</w:t>
            </w:r>
            <w:r>
              <w:rPr>
                <w:noProof/>
                <w:webHidden/>
              </w:rPr>
              <w:fldChar w:fldCharType="end"/>
            </w:r>
          </w:hyperlink>
        </w:p>
        <w:p w14:paraId="0A978D9F" w14:textId="77777777" w:rsidR="00C26A8B" w:rsidRDefault="00C26A8B">
          <w:pPr>
            <w:pStyle w:val="TOC2"/>
            <w:tabs>
              <w:tab w:val="left" w:pos="1100"/>
            </w:tabs>
            <w:rPr>
              <w:rFonts w:asciiTheme="minorHAnsi" w:eastAsiaTheme="minorEastAsia" w:hAnsiTheme="minorHAnsi" w:cstheme="minorBidi"/>
              <w:b w:val="0"/>
              <w:noProof/>
              <w:sz w:val="22"/>
              <w:lang w:eastAsia="en-AU"/>
            </w:rPr>
          </w:pPr>
          <w:hyperlink w:anchor="_Toc532480090" w:history="1">
            <w:r w:rsidRPr="00EE19E5">
              <w:rPr>
                <w:rStyle w:val="Hyperlink"/>
                <w:noProof/>
              </w:rPr>
              <w:t>3.</w:t>
            </w:r>
            <w:r>
              <w:rPr>
                <w:rFonts w:asciiTheme="minorHAnsi" w:eastAsiaTheme="minorEastAsia" w:hAnsiTheme="minorHAnsi" w:cstheme="minorBidi"/>
                <w:b w:val="0"/>
                <w:noProof/>
                <w:sz w:val="22"/>
                <w:lang w:eastAsia="en-AU"/>
              </w:rPr>
              <w:tab/>
            </w:r>
            <w:r w:rsidRPr="00EE19E5">
              <w:rPr>
                <w:rStyle w:val="Hyperlink"/>
                <w:noProof/>
              </w:rPr>
              <w:t>Pharmacokinetics (PK)</w:t>
            </w:r>
            <w:r>
              <w:rPr>
                <w:noProof/>
                <w:webHidden/>
              </w:rPr>
              <w:tab/>
            </w:r>
            <w:r>
              <w:rPr>
                <w:noProof/>
                <w:webHidden/>
              </w:rPr>
              <w:fldChar w:fldCharType="begin"/>
            </w:r>
            <w:r>
              <w:rPr>
                <w:noProof/>
                <w:webHidden/>
              </w:rPr>
              <w:instrText xml:space="preserve"> PAGEREF _Toc532480090 \h </w:instrText>
            </w:r>
            <w:r>
              <w:rPr>
                <w:noProof/>
                <w:webHidden/>
              </w:rPr>
            </w:r>
            <w:r>
              <w:rPr>
                <w:noProof/>
                <w:webHidden/>
              </w:rPr>
              <w:fldChar w:fldCharType="separate"/>
            </w:r>
            <w:r>
              <w:rPr>
                <w:noProof/>
                <w:webHidden/>
              </w:rPr>
              <w:t>12</w:t>
            </w:r>
            <w:r>
              <w:rPr>
                <w:noProof/>
                <w:webHidden/>
              </w:rPr>
              <w:fldChar w:fldCharType="end"/>
            </w:r>
          </w:hyperlink>
        </w:p>
        <w:p w14:paraId="7320D5BD" w14:textId="77777777" w:rsidR="00C26A8B" w:rsidRDefault="00C26A8B">
          <w:pPr>
            <w:pStyle w:val="TOC2"/>
            <w:tabs>
              <w:tab w:val="left" w:pos="1100"/>
            </w:tabs>
            <w:rPr>
              <w:rFonts w:asciiTheme="minorHAnsi" w:eastAsiaTheme="minorEastAsia" w:hAnsiTheme="minorHAnsi" w:cstheme="minorBidi"/>
              <w:b w:val="0"/>
              <w:noProof/>
              <w:sz w:val="22"/>
              <w:lang w:eastAsia="en-AU"/>
            </w:rPr>
          </w:pPr>
          <w:hyperlink w:anchor="_Toc532480091" w:history="1">
            <w:r w:rsidRPr="00EE19E5">
              <w:rPr>
                <w:rStyle w:val="Hyperlink"/>
                <w:noProof/>
              </w:rPr>
              <w:t>4.</w:t>
            </w:r>
            <w:r>
              <w:rPr>
                <w:rFonts w:asciiTheme="minorHAnsi" w:eastAsiaTheme="minorEastAsia" w:hAnsiTheme="minorHAnsi" w:cstheme="minorBidi"/>
                <w:b w:val="0"/>
                <w:noProof/>
                <w:sz w:val="22"/>
                <w:lang w:eastAsia="en-AU"/>
              </w:rPr>
              <w:tab/>
            </w:r>
            <w:r w:rsidRPr="00EE19E5">
              <w:rPr>
                <w:rStyle w:val="Hyperlink"/>
                <w:noProof/>
              </w:rPr>
              <w:t>Immunogenicity</w:t>
            </w:r>
            <w:r>
              <w:rPr>
                <w:noProof/>
                <w:webHidden/>
              </w:rPr>
              <w:tab/>
            </w:r>
            <w:r>
              <w:rPr>
                <w:noProof/>
                <w:webHidden/>
              </w:rPr>
              <w:fldChar w:fldCharType="begin"/>
            </w:r>
            <w:r>
              <w:rPr>
                <w:noProof/>
                <w:webHidden/>
              </w:rPr>
              <w:instrText xml:space="preserve"> PAGEREF _Toc532480091 \h </w:instrText>
            </w:r>
            <w:r>
              <w:rPr>
                <w:noProof/>
                <w:webHidden/>
              </w:rPr>
            </w:r>
            <w:r>
              <w:rPr>
                <w:noProof/>
                <w:webHidden/>
              </w:rPr>
              <w:fldChar w:fldCharType="separate"/>
            </w:r>
            <w:r>
              <w:rPr>
                <w:noProof/>
                <w:webHidden/>
              </w:rPr>
              <w:t>13</w:t>
            </w:r>
            <w:r>
              <w:rPr>
                <w:noProof/>
                <w:webHidden/>
              </w:rPr>
              <w:fldChar w:fldCharType="end"/>
            </w:r>
          </w:hyperlink>
        </w:p>
        <w:p w14:paraId="4DB4B0B7" w14:textId="77777777" w:rsidR="00C26A8B" w:rsidRDefault="00C26A8B">
          <w:pPr>
            <w:pStyle w:val="TOC2"/>
            <w:tabs>
              <w:tab w:val="left" w:pos="1100"/>
            </w:tabs>
            <w:rPr>
              <w:rFonts w:asciiTheme="minorHAnsi" w:eastAsiaTheme="minorEastAsia" w:hAnsiTheme="minorHAnsi" w:cstheme="minorBidi"/>
              <w:b w:val="0"/>
              <w:noProof/>
              <w:sz w:val="22"/>
              <w:lang w:eastAsia="en-AU"/>
            </w:rPr>
          </w:pPr>
          <w:hyperlink w:anchor="_Toc532480092" w:history="1">
            <w:r w:rsidRPr="00EE19E5">
              <w:rPr>
                <w:rStyle w:val="Hyperlink"/>
                <w:noProof/>
              </w:rPr>
              <w:t>5.</w:t>
            </w:r>
            <w:r>
              <w:rPr>
                <w:rFonts w:asciiTheme="minorHAnsi" w:eastAsiaTheme="minorEastAsia" w:hAnsiTheme="minorHAnsi" w:cstheme="minorBidi"/>
                <w:b w:val="0"/>
                <w:noProof/>
                <w:sz w:val="22"/>
                <w:lang w:eastAsia="en-AU"/>
              </w:rPr>
              <w:tab/>
            </w:r>
            <w:r w:rsidRPr="00EE19E5">
              <w:rPr>
                <w:rStyle w:val="Hyperlink"/>
                <w:noProof/>
              </w:rPr>
              <w:t>Dosage selection for the pivotal studies</w:t>
            </w:r>
            <w:r>
              <w:rPr>
                <w:noProof/>
                <w:webHidden/>
              </w:rPr>
              <w:tab/>
            </w:r>
            <w:r>
              <w:rPr>
                <w:noProof/>
                <w:webHidden/>
              </w:rPr>
              <w:fldChar w:fldCharType="begin"/>
            </w:r>
            <w:r>
              <w:rPr>
                <w:noProof/>
                <w:webHidden/>
              </w:rPr>
              <w:instrText xml:space="preserve"> PAGEREF _Toc532480092 \h </w:instrText>
            </w:r>
            <w:r>
              <w:rPr>
                <w:noProof/>
                <w:webHidden/>
              </w:rPr>
            </w:r>
            <w:r>
              <w:rPr>
                <w:noProof/>
                <w:webHidden/>
              </w:rPr>
              <w:fldChar w:fldCharType="separate"/>
            </w:r>
            <w:r>
              <w:rPr>
                <w:noProof/>
                <w:webHidden/>
              </w:rPr>
              <w:t>13</w:t>
            </w:r>
            <w:r>
              <w:rPr>
                <w:noProof/>
                <w:webHidden/>
              </w:rPr>
              <w:fldChar w:fldCharType="end"/>
            </w:r>
          </w:hyperlink>
        </w:p>
        <w:p w14:paraId="27EC3C77" w14:textId="77777777" w:rsidR="00C26A8B" w:rsidRDefault="00C26A8B">
          <w:pPr>
            <w:pStyle w:val="TOC2"/>
            <w:tabs>
              <w:tab w:val="left" w:pos="1100"/>
            </w:tabs>
            <w:rPr>
              <w:rFonts w:asciiTheme="minorHAnsi" w:eastAsiaTheme="minorEastAsia" w:hAnsiTheme="minorHAnsi" w:cstheme="minorBidi"/>
              <w:b w:val="0"/>
              <w:noProof/>
              <w:sz w:val="22"/>
              <w:lang w:eastAsia="en-AU"/>
            </w:rPr>
          </w:pPr>
          <w:hyperlink w:anchor="_Toc532480093" w:history="1">
            <w:r w:rsidRPr="00EE19E5">
              <w:rPr>
                <w:rStyle w:val="Hyperlink"/>
                <w:noProof/>
              </w:rPr>
              <w:t>6.</w:t>
            </w:r>
            <w:r>
              <w:rPr>
                <w:rFonts w:asciiTheme="minorHAnsi" w:eastAsiaTheme="minorEastAsia" w:hAnsiTheme="minorHAnsi" w:cstheme="minorBidi"/>
                <w:b w:val="0"/>
                <w:noProof/>
                <w:sz w:val="22"/>
                <w:lang w:eastAsia="en-AU"/>
              </w:rPr>
              <w:tab/>
            </w:r>
            <w:r w:rsidRPr="00EE19E5">
              <w:rPr>
                <w:rStyle w:val="Hyperlink"/>
                <w:noProof/>
              </w:rPr>
              <w:t>Clinical efficacy</w:t>
            </w:r>
            <w:r>
              <w:rPr>
                <w:noProof/>
                <w:webHidden/>
              </w:rPr>
              <w:tab/>
            </w:r>
            <w:r>
              <w:rPr>
                <w:noProof/>
                <w:webHidden/>
              </w:rPr>
              <w:fldChar w:fldCharType="begin"/>
            </w:r>
            <w:r>
              <w:rPr>
                <w:noProof/>
                <w:webHidden/>
              </w:rPr>
              <w:instrText xml:space="preserve"> PAGEREF _Toc532480093 \h </w:instrText>
            </w:r>
            <w:r>
              <w:rPr>
                <w:noProof/>
                <w:webHidden/>
              </w:rPr>
            </w:r>
            <w:r>
              <w:rPr>
                <w:noProof/>
                <w:webHidden/>
              </w:rPr>
              <w:fldChar w:fldCharType="separate"/>
            </w:r>
            <w:r>
              <w:rPr>
                <w:noProof/>
                <w:webHidden/>
              </w:rPr>
              <w:t>13</w:t>
            </w:r>
            <w:r>
              <w:rPr>
                <w:noProof/>
                <w:webHidden/>
              </w:rPr>
              <w:fldChar w:fldCharType="end"/>
            </w:r>
          </w:hyperlink>
        </w:p>
        <w:p w14:paraId="2CD86EDC"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94" w:history="1">
            <w:r w:rsidRPr="00EE19E5">
              <w:rPr>
                <w:rStyle w:val="Hyperlink"/>
                <w:noProof/>
              </w:rPr>
              <w:t>6.1.</w:t>
            </w:r>
            <w:r>
              <w:rPr>
                <w:rFonts w:asciiTheme="minorHAnsi" w:eastAsiaTheme="minorEastAsia" w:hAnsiTheme="minorHAnsi" w:cstheme="minorBidi"/>
                <w:noProof/>
                <w:lang w:eastAsia="en-AU"/>
              </w:rPr>
              <w:tab/>
            </w:r>
            <w:r w:rsidRPr="00EE19E5">
              <w:rPr>
                <w:rStyle w:val="Hyperlink"/>
                <w:noProof/>
              </w:rPr>
              <w:t>Studies providing evaluable efficacy data</w:t>
            </w:r>
            <w:r>
              <w:rPr>
                <w:noProof/>
                <w:webHidden/>
              </w:rPr>
              <w:tab/>
            </w:r>
            <w:r>
              <w:rPr>
                <w:noProof/>
                <w:webHidden/>
              </w:rPr>
              <w:fldChar w:fldCharType="begin"/>
            </w:r>
            <w:r>
              <w:rPr>
                <w:noProof/>
                <w:webHidden/>
              </w:rPr>
              <w:instrText xml:space="preserve"> PAGEREF _Toc532480094 \h </w:instrText>
            </w:r>
            <w:r>
              <w:rPr>
                <w:noProof/>
                <w:webHidden/>
              </w:rPr>
            </w:r>
            <w:r>
              <w:rPr>
                <w:noProof/>
                <w:webHidden/>
              </w:rPr>
              <w:fldChar w:fldCharType="separate"/>
            </w:r>
            <w:r>
              <w:rPr>
                <w:noProof/>
                <w:webHidden/>
              </w:rPr>
              <w:t>13</w:t>
            </w:r>
            <w:r>
              <w:rPr>
                <w:noProof/>
                <w:webHidden/>
              </w:rPr>
              <w:fldChar w:fldCharType="end"/>
            </w:r>
          </w:hyperlink>
        </w:p>
        <w:p w14:paraId="0621A84B"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95" w:history="1">
            <w:r w:rsidRPr="00EE19E5">
              <w:rPr>
                <w:rStyle w:val="Hyperlink"/>
                <w:noProof/>
              </w:rPr>
              <w:t>6.2.</w:t>
            </w:r>
            <w:r>
              <w:rPr>
                <w:rFonts w:asciiTheme="minorHAnsi" w:eastAsiaTheme="minorEastAsia" w:hAnsiTheme="minorHAnsi" w:cstheme="minorBidi"/>
                <w:noProof/>
                <w:lang w:eastAsia="en-AU"/>
              </w:rPr>
              <w:tab/>
            </w:r>
            <w:r w:rsidRPr="00EE19E5">
              <w:rPr>
                <w:rStyle w:val="Hyperlink"/>
                <w:noProof/>
              </w:rPr>
              <w:t>Pivotal or main efficacy studies</w:t>
            </w:r>
            <w:r>
              <w:rPr>
                <w:noProof/>
                <w:webHidden/>
              </w:rPr>
              <w:tab/>
            </w:r>
            <w:r>
              <w:rPr>
                <w:noProof/>
                <w:webHidden/>
              </w:rPr>
              <w:fldChar w:fldCharType="begin"/>
            </w:r>
            <w:r>
              <w:rPr>
                <w:noProof/>
                <w:webHidden/>
              </w:rPr>
              <w:instrText xml:space="preserve"> PAGEREF _Toc532480095 \h </w:instrText>
            </w:r>
            <w:r>
              <w:rPr>
                <w:noProof/>
                <w:webHidden/>
              </w:rPr>
            </w:r>
            <w:r>
              <w:rPr>
                <w:noProof/>
                <w:webHidden/>
              </w:rPr>
              <w:fldChar w:fldCharType="separate"/>
            </w:r>
            <w:r>
              <w:rPr>
                <w:noProof/>
                <w:webHidden/>
              </w:rPr>
              <w:t>13</w:t>
            </w:r>
            <w:r>
              <w:rPr>
                <w:noProof/>
                <w:webHidden/>
              </w:rPr>
              <w:fldChar w:fldCharType="end"/>
            </w:r>
          </w:hyperlink>
        </w:p>
        <w:p w14:paraId="54420BD4"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96" w:history="1">
            <w:r w:rsidRPr="00EE19E5">
              <w:rPr>
                <w:rStyle w:val="Hyperlink"/>
                <w:noProof/>
              </w:rPr>
              <w:t>6.3.</w:t>
            </w:r>
            <w:r>
              <w:rPr>
                <w:rFonts w:asciiTheme="minorHAnsi" w:eastAsiaTheme="minorEastAsia" w:hAnsiTheme="minorHAnsi" w:cstheme="minorBidi"/>
                <w:noProof/>
                <w:lang w:eastAsia="en-AU"/>
              </w:rPr>
              <w:tab/>
            </w:r>
            <w:r w:rsidRPr="00EE19E5">
              <w:rPr>
                <w:rStyle w:val="Hyperlink"/>
                <w:noProof/>
              </w:rPr>
              <w:t>Other efficacy studies</w:t>
            </w:r>
            <w:r>
              <w:rPr>
                <w:noProof/>
                <w:webHidden/>
              </w:rPr>
              <w:tab/>
            </w:r>
            <w:r>
              <w:rPr>
                <w:noProof/>
                <w:webHidden/>
              </w:rPr>
              <w:fldChar w:fldCharType="begin"/>
            </w:r>
            <w:r>
              <w:rPr>
                <w:noProof/>
                <w:webHidden/>
              </w:rPr>
              <w:instrText xml:space="preserve"> PAGEREF _Toc532480096 \h </w:instrText>
            </w:r>
            <w:r>
              <w:rPr>
                <w:noProof/>
                <w:webHidden/>
              </w:rPr>
            </w:r>
            <w:r>
              <w:rPr>
                <w:noProof/>
                <w:webHidden/>
              </w:rPr>
              <w:fldChar w:fldCharType="separate"/>
            </w:r>
            <w:r>
              <w:rPr>
                <w:noProof/>
                <w:webHidden/>
              </w:rPr>
              <w:t>33</w:t>
            </w:r>
            <w:r>
              <w:rPr>
                <w:noProof/>
                <w:webHidden/>
              </w:rPr>
              <w:fldChar w:fldCharType="end"/>
            </w:r>
          </w:hyperlink>
        </w:p>
        <w:p w14:paraId="04CCA1E8"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97" w:history="1">
            <w:r w:rsidRPr="00EE19E5">
              <w:rPr>
                <w:rStyle w:val="Hyperlink"/>
                <w:noProof/>
              </w:rPr>
              <w:t>6.4.</w:t>
            </w:r>
            <w:r>
              <w:rPr>
                <w:rFonts w:asciiTheme="minorHAnsi" w:eastAsiaTheme="minorEastAsia" w:hAnsiTheme="minorHAnsi" w:cstheme="minorBidi"/>
                <w:noProof/>
                <w:lang w:eastAsia="en-AU"/>
              </w:rPr>
              <w:tab/>
            </w:r>
            <w:r w:rsidRPr="00EE19E5">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_Toc532480097 \h </w:instrText>
            </w:r>
            <w:r>
              <w:rPr>
                <w:noProof/>
                <w:webHidden/>
              </w:rPr>
            </w:r>
            <w:r>
              <w:rPr>
                <w:noProof/>
                <w:webHidden/>
              </w:rPr>
              <w:fldChar w:fldCharType="separate"/>
            </w:r>
            <w:r>
              <w:rPr>
                <w:noProof/>
                <w:webHidden/>
              </w:rPr>
              <w:t>38</w:t>
            </w:r>
            <w:r>
              <w:rPr>
                <w:noProof/>
                <w:webHidden/>
              </w:rPr>
              <w:fldChar w:fldCharType="end"/>
            </w:r>
          </w:hyperlink>
        </w:p>
        <w:p w14:paraId="396BE53F"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098" w:history="1">
            <w:r w:rsidRPr="00EE19E5">
              <w:rPr>
                <w:rStyle w:val="Hyperlink"/>
                <w:noProof/>
              </w:rPr>
              <w:t>6.5.</w:t>
            </w:r>
            <w:r>
              <w:rPr>
                <w:rFonts w:asciiTheme="minorHAnsi" w:eastAsiaTheme="minorEastAsia" w:hAnsiTheme="minorHAnsi" w:cstheme="minorBidi"/>
                <w:noProof/>
                <w:lang w:eastAsia="en-AU"/>
              </w:rPr>
              <w:tab/>
            </w:r>
            <w:r w:rsidRPr="00EE19E5">
              <w:rPr>
                <w:rStyle w:val="Hyperlink"/>
                <w:noProof/>
              </w:rPr>
              <w:t>Evaluator’s conclusions on clinical efficacy</w:t>
            </w:r>
            <w:r>
              <w:rPr>
                <w:noProof/>
                <w:webHidden/>
              </w:rPr>
              <w:tab/>
            </w:r>
            <w:r>
              <w:rPr>
                <w:noProof/>
                <w:webHidden/>
              </w:rPr>
              <w:fldChar w:fldCharType="begin"/>
            </w:r>
            <w:r>
              <w:rPr>
                <w:noProof/>
                <w:webHidden/>
              </w:rPr>
              <w:instrText xml:space="preserve"> PAGEREF _Toc532480098 \h </w:instrText>
            </w:r>
            <w:r>
              <w:rPr>
                <w:noProof/>
                <w:webHidden/>
              </w:rPr>
            </w:r>
            <w:r>
              <w:rPr>
                <w:noProof/>
                <w:webHidden/>
              </w:rPr>
              <w:fldChar w:fldCharType="separate"/>
            </w:r>
            <w:r>
              <w:rPr>
                <w:noProof/>
                <w:webHidden/>
              </w:rPr>
              <w:t>38</w:t>
            </w:r>
            <w:r>
              <w:rPr>
                <w:noProof/>
                <w:webHidden/>
              </w:rPr>
              <w:fldChar w:fldCharType="end"/>
            </w:r>
          </w:hyperlink>
        </w:p>
        <w:p w14:paraId="7B4682EA" w14:textId="77777777" w:rsidR="00C26A8B" w:rsidRDefault="00C26A8B">
          <w:pPr>
            <w:pStyle w:val="TOC2"/>
            <w:tabs>
              <w:tab w:val="left" w:pos="1100"/>
            </w:tabs>
            <w:rPr>
              <w:rFonts w:asciiTheme="minorHAnsi" w:eastAsiaTheme="minorEastAsia" w:hAnsiTheme="minorHAnsi" w:cstheme="minorBidi"/>
              <w:b w:val="0"/>
              <w:noProof/>
              <w:sz w:val="22"/>
              <w:lang w:eastAsia="en-AU"/>
            </w:rPr>
          </w:pPr>
          <w:hyperlink w:anchor="_Toc532480099" w:history="1">
            <w:r w:rsidRPr="00EE19E5">
              <w:rPr>
                <w:rStyle w:val="Hyperlink"/>
                <w:noProof/>
              </w:rPr>
              <w:t>7.</w:t>
            </w:r>
            <w:r>
              <w:rPr>
                <w:rFonts w:asciiTheme="minorHAnsi" w:eastAsiaTheme="minorEastAsia" w:hAnsiTheme="minorHAnsi" w:cstheme="minorBidi"/>
                <w:b w:val="0"/>
                <w:noProof/>
                <w:sz w:val="22"/>
                <w:lang w:eastAsia="en-AU"/>
              </w:rPr>
              <w:tab/>
            </w:r>
            <w:r w:rsidRPr="00EE19E5">
              <w:rPr>
                <w:rStyle w:val="Hyperlink"/>
                <w:noProof/>
              </w:rPr>
              <w:t>Clinical safety</w:t>
            </w:r>
            <w:r>
              <w:rPr>
                <w:noProof/>
                <w:webHidden/>
              </w:rPr>
              <w:tab/>
            </w:r>
            <w:r>
              <w:rPr>
                <w:noProof/>
                <w:webHidden/>
              </w:rPr>
              <w:fldChar w:fldCharType="begin"/>
            </w:r>
            <w:r>
              <w:rPr>
                <w:noProof/>
                <w:webHidden/>
              </w:rPr>
              <w:instrText xml:space="preserve"> PAGEREF _Toc532480099 \h </w:instrText>
            </w:r>
            <w:r>
              <w:rPr>
                <w:noProof/>
                <w:webHidden/>
              </w:rPr>
            </w:r>
            <w:r>
              <w:rPr>
                <w:noProof/>
                <w:webHidden/>
              </w:rPr>
              <w:fldChar w:fldCharType="separate"/>
            </w:r>
            <w:r>
              <w:rPr>
                <w:noProof/>
                <w:webHidden/>
              </w:rPr>
              <w:t>39</w:t>
            </w:r>
            <w:r>
              <w:rPr>
                <w:noProof/>
                <w:webHidden/>
              </w:rPr>
              <w:fldChar w:fldCharType="end"/>
            </w:r>
          </w:hyperlink>
        </w:p>
        <w:p w14:paraId="5B1953D3"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00" w:history="1">
            <w:r w:rsidRPr="00EE19E5">
              <w:rPr>
                <w:rStyle w:val="Hyperlink"/>
                <w:noProof/>
              </w:rPr>
              <w:t>7.1.</w:t>
            </w:r>
            <w:r>
              <w:rPr>
                <w:rFonts w:asciiTheme="minorHAnsi" w:eastAsiaTheme="minorEastAsia" w:hAnsiTheme="minorHAnsi" w:cstheme="minorBidi"/>
                <w:noProof/>
                <w:lang w:eastAsia="en-AU"/>
              </w:rPr>
              <w:tab/>
            </w:r>
            <w:r w:rsidRPr="00EE19E5">
              <w:rPr>
                <w:rStyle w:val="Hyperlink"/>
                <w:noProof/>
              </w:rPr>
              <w:t>Methodology for safety assessment</w:t>
            </w:r>
            <w:r>
              <w:rPr>
                <w:noProof/>
                <w:webHidden/>
              </w:rPr>
              <w:tab/>
            </w:r>
            <w:r>
              <w:rPr>
                <w:noProof/>
                <w:webHidden/>
              </w:rPr>
              <w:fldChar w:fldCharType="begin"/>
            </w:r>
            <w:r>
              <w:rPr>
                <w:noProof/>
                <w:webHidden/>
              </w:rPr>
              <w:instrText xml:space="preserve"> PAGEREF _Toc532480100 \h </w:instrText>
            </w:r>
            <w:r>
              <w:rPr>
                <w:noProof/>
                <w:webHidden/>
              </w:rPr>
            </w:r>
            <w:r>
              <w:rPr>
                <w:noProof/>
                <w:webHidden/>
              </w:rPr>
              <w:fldChar w:fldCharType="separate"/>
            </w:r>
            <w:r>
              <w:rPr>
                <w:noProof/>
                <w:webHidden/>
              </w:rPr>
              <w:t>39</w:t>
            </w:r>
            <w:r>
              <w:rPr>
                <w:noProof/>
                <w:webHidden/>
              </w:rPr>
              <w:fldChar w:fldCharType="end"/>
            </w:r>
          </w:hyperlink>
        </w:p>
        <w:p w14:paraId="75B1B96A"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01" w:history="1">
            <w:r w:rsidRPr="00EE19E5">
              <w:rPr>
                <w:rStyle w:val="Hyperlink"/>
                <w:noProof/>
              </w:rPr>
              <w:t>7.2.</w:t>
            </w:r>
            <w:r>
              <w:rPr>
                <w:rFonts w:asciiTheme="minorHAnsi" w:eastAsiaTheme="minorEastAsia" w:hAnsiTheme="minorHAnsi" w:cstheme="minorBidi"/>
                <w:noProof/>
                <w:lang w:eastAsia="en-AU"/>
              </w:rPr>
              <w:tab/>
            </w:r>
            <w:r w:rsidRPr="00EE19E5">
              <w:rPr>
                <w:rStyle w:val="Hyperlink"/>
                <w:noProof/>
              </w:rPr>
              <w:t>Studies providing evaluable safety data</w:t>
            </w:r>
            <w:r>
              <w:rPr>
                <w:noProof/>
                <w:webHidden/>
              </w:rPr>
              <w:tab/>
            </w:r>
            <w:r>
              <w:rPr>
                <w:noProof/>
                <w:webHidden/>
              </w:rPr>
              <w:fldChar w:fldCharType="begin"/>
            </w:r>
            <w:r>
              <w:rPr>
                <w:noProof/>
                <w:webHidden/>
              </w:rPr>
              <w:instrText xml:space="preserve"> PAGEREF _Toc532480101 \h </w:instrText>
            </w:r>
            <w:r>
              <w:rPr>
                <w:noProof/>
                <w:webHidden/>
              </w:rPr>
            </w:r>
            <w:r>
              <w:rPr>
                <w:noProof/>
                <w:webHidden/>
              </w:rPr>
              <w:fldChar w:fldCharType="separate"/>
            </w:r>
            <w:r>
              <w:rPr>
                <w:noProof/>
                <w:webHidden/>
              </w:rPr>
              <w:t>41</w:t>
            </w:r>
            <w:r>
              <w:rPr>
                <w:noProof/>
                <w:webHidden/>
              </w:rPr>
              <w:fldChar w:fldCharType="end"/>
            </w:r>
          </w:hyperlink>
        </w:p>
        <w:p w14:paraId="3E2309B3"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02" w:history="1">
            <w:r w:rsidRPr="00EE19E5">
              <w:rPr>
                <w:rStyle w:val="Hyperlink"/>
                <w:noProof/>
              </w:rPr>
              <w:t>7.3.</w:t>
            </w:r>
            <w:r>
              <w:rPr>
                <w:rFonts w:asciiTheme="minorHAnsi" w:eastAsiaTheme="minorEastAsia" w:hAnsiTheme="minorHAnsi" w:cstheme="minorBidi"/>
                <w:noProof/>
                <w:lang w:eastAsia="en-AU"/>
              </w:rPr>
              <w:tab/>
            </w:r>
            <w:r w:rsidRPr="00EE19E5">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_Toc532480102 \h </w:instrText>
            </w:r>
            <w:r>
              <w:rPr>
                <w:noProof/>
                <w:webHidden/>
              </w:rPr>
            </w:r>
            <w:r>
              <w:rPr>
                <w:noProof/>
                <w:webHidden/>
              </w:rPr>
              <w:fldChar w:fldCharType="separate"/>
            </w:r>
            <w:r>
              <w:rPr>
                <w:noProof/>
                <w:webHidden/>
              </w:rPr>
              <w:t>41</w:t>
            </w:r>
            <w:r>
              <w:rPr>
                <w:noProof/>
                <w:webHidden/>
              </w:rPr>
              <w:fldChar w:fldCharType="end"/>
            </w:r>
          </w:hyperlink>
        </w:p>
        <w:p w14:paraId="6137EAF9"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03" w:history="1">
            <w:r w:rsidRPr="00EE19E5">
              <w:rPr>
                <w:rStyle w:val="Hyperlink"/>
                <w:noProof/>
              </w:rPr>
              <w:t>7.4.</w:t>
            </w:r>
            <w:r>
              <w:rPr>
                <w:rFonts w:asciiTheme="minorHAnsi" w:eastAsiaTheme="minorEastAsia" w:hAnsiTheme="minorHAnsi" w:cstheme="minorBidi"/>
                <w:noProof/>
                <w:lang w:eastAsia="en-AU"/>
              </w:rPr>
              <w:tab/>
            </w:r>
            <w:r w:rsidRPr="00EE19E5">
              <w:rPr>
                <w:rStyle w:val="Hyperlink"/>
                <w:noProof/>
              </w:rPr>
              <w:t>Patient exposure in children 6 to 35 months of age</w:t>
            </w:r>
            <w:r>
              <w:rPr>
                <w:noProof/>
                <w:webHidden/>
              </w:rPr>
              <w:tab/>
            </w:r>
            <w:r>
              <w:rPr>
                <w:noProof/>
                <w:webHidden/>
              </w:rPr>
              <w:fldChar w:fldCharType="begin"/>
            </w:r>
            <w:r>
              <w:rPr>
                <w:noProof/>
                <w:webHidden/>
              </w:rPr>
              <w:instrText xml:space="preserve"> PAGEREF _Toc532480103 \h </w:instrText>
            </w:r>
            <w:r>
              <w:rPr>
                <w:noProof/>
                <w:webHidden/>
              </w:rPr>
            </w:r>
            <w:r>
              <w:rPr>
                <w:noProof/>
                <w:webHidden/>
              </w:rPr>
              <w:fldChar w:fldCharType="separate"/>
            </w:r>
            <w:r>
              <w:rPr>
                <w:noProof/>
                <w:webHidden/>
              </w:rPr>
              <w:t>41</w:t>
            </w:r>
            <w:r>
              <w:rPr>
                <w:noProof/>
                <w:webHidden/>
              </w:rPr>
              <w:fldChar w:fldCharType="end"/>
            </w:r>
          </w:hyperlink>
        </w:p>
        <w:p w14:paraId="393E2F38"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04" w:history="1">
            <w:r w:rsidRPr="00EE19E5">
              <w:rPr>
                <w:rStyle w:val="Hyperlink"/>
                <w:noProof/>
              </w:rPr>
              <w:t>7.5.</w:t>
            </w:r>
            <w:r>
              <w:rPr>
                <w:rFonts w:asciiTheme="minorHAnsi" w:eastAsiaTheme="minorEastAsia" w:hAnsiTheme="minorHAnsi" w:cstheme="minorBidi"/>
                <w:noProof/>
                <w:lang w:eastAsia="en-AU"/>
              </w:rPr>
              <w:tab/>
            </w:r>
            <w:r w:rsidRPr="00EE19E5">
              <w:rPr>
                <w:rStyle w:val="Hyperlink"/>
                <w:noProof/>
              </w:rPr>
              <w:t>Adverse events</w:t>
            </w:r>
            <w:r>
              <w:rPr>
                <w:noProof/>
                <w:webHidden/>
              </w:rPr>
              <w:tab/>
            </w:r>
            <w:r>
              <w:rPr>
                <w:noProof/>
                <w:webHidden/>
              </w:rPr>
              <w:fldChar w:fldCharType="begin"/>
            </w:r>
            <w:r>
              <w:rPr>
                <w:noProof/>
                <w:webHidden/>
              </w:rPr>
              <w:instrText xml:space="preserve"> PAGEREF _Toc532480104 \h </w:instrText>
            </w:r>
            <w:r>
              <w:rPr>
                <w:noProof/>
                <w:webHidden/>
              </w:rPr>
            </w:r>
            <w:r>
              <w:rPr>
                <w:noProof/>
                <w:webHidden/>
              </w:rPr>
              <w:fldChar w:fldCharType="separate"/>
            </w:r>
            <w:r>
              <w:rPr>
                <w:noProof/>
                <w:webHidden/>
              </w:rPr>
              <w:t>42</w:t>
            </w:r>
            <w:r>
              <w:rPr>
                <w:noProof/>
                <w:webHidden/>
              </w:rPr>
              <w:fldChar w:fldCharType="end"/>
            </w:r>
          </w:hyperlink>
        </w:p>
        <w:p w14:paraId="21A64C3D"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05" w:history="1">
            <w:r w:rsidRPr="00EE19E5">
              <w:rPr>
                <w:rStyle w:val="Hyperlink"/>
                <w:noProof/>
              </w:rPr>
              <w:t>7.6.</w:t>
            </w:r>
            <w:r>
              <w:rPr>
                <w:rFonts w:asciiTheme="minorHAnsi" w:eastAsiaTheme="minorEastAsia" w:hAnsiTheme="minorHAnsi" w:cstheme="minorBidi"/>
                <w:noProof/>
                <w:lang w:eastAsia="en-AU"/>
              </w:rPr>
              <w:tab/>
            </w:r>
            <w:r w:rsidRPr="00EE19E5">
              <w:rPr>
                <w:rStyle w:val="Hyperlink"/>
                <w:noProof/>
              </w:rPr>
              <w:t>Issues with possible regulatory impact</w:t>
            </w:r>
            <w:r>
              <w:rPr>
                <w:noProof/>
                <w:webHidden/>
              </w:rPr>
              <w:tab/>
            </w:r>
            <w:r>
              <w:rPr>
                <w:noProof/>
                <w:webHidden/>
              </w:rPr>
              <w:fldChar w:fldCharType="begin"/>
            </w:r>
            <w:r>
              <w:rPr>
                <w:noProof/>
                <w:webHidden/>
              </w:rPr>
              <w:instrText xml:space="preserve"> PAGEREF _Toc532480105 \h </w:instrText>
            </w:r>
            <w:r>
              <w:rPr>
                <w:noProof/>
                <w:webHidden/>
              </w:rPr>
            </w:r>
            <w:r>
              <w:rPr>
                <w:noProof/>
                <w:webHidden/>
              </w:rPr>
              <w:fldChar w:fldCharType="separate"/>
            </w:r>
            <w:r>
              <w:rPr>
                <w:noProof/>
                <w:webHidden/>
              </w:rPr>
              <w:t>47</w:t>
            </w:r>
            <w:r>
              <w:rPr>
                <w:noProof/>
                <w:webHidden/>
              </w:rPr>
              <w:fldChar w:fldCharType="end"/>
            </w:r>
          </w:hyperlink>
        </w:p>
        <w:p w14:paraId="03C79249"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06" w:history="1">
            <w:r w:rsidRPr="00EE19E5">
              <w:rPr>
                <w:rStyle w:val="Hyperlink"/>
                <w:noProof/>
              </w:rPr>
              <w:t>7.7.</w:t>
            </w:r>
            <w:r>
              <w:rPr>
                <w:rFonts w:asciiTheme="minorHAnsi" w:eastAsiaTheme="minorEastAsia" w:hAnsiTheme="minorHAnsi" w:cstheme="minorBidi"/>
                <w:noProof/>
                <w:lang w:eastAsia="en-AU"/>
              </w:rPr>
              <w:tab/>
            </w:r>
            <w:r w:rsidRPr="00EE19E5">
              <w:rPr>
                <w:rStyle w:val="Hyperlink"/>
                <w:noProof/>
              </w:rPr>
              <w:t>Other safety issues</w:t>
            </w:r>
            <w:r>
              <w:rPr>
                <w:noProof/>
                <w:webHidden/>
              </w:rPr>
              <w:tab/>
            </w:r>
            <w:r>
              <w:rPr>
                <w:noProof/>
                <w:webHidden/>
              </w:rPr>
              <w:fldChar w:fldCharType="begin"/>
            </w:r>
            <w:r>
              <w:rPr>
                <w:noProof/>
                <w:webHidden/>
              </w:rPr>
              <w:instrText xml:space="preserve"> PAGEREF _Toc532480106 \h </w:instrText>
            </w:r>
            <w:r>
              <w:rPr>
                <w:noProof/>
                <w:webHidden/>
              </w:rPr>
            </w:r>
            <w:r>
              <w:rPr>
                <w:noProof/>
                <w:webHidden/>
              </w:rPr>
              <w:fldChar w:fldCharType="separate"/>
            </w:r>
            <w:r>
              <w:rPr>
                <w:noProof/>
                <w:webHidden/>
              </w:rPr>
              <w:t>47</w:t>
            </w:r>
            <w:r>
              <w:rPr>
                <w:noProof/>
                <w:webHidden/>
              </w:rPr>
              <w:fldChar w:fldCharType="end"/>
            </w:r>
          </w:hyperlink>
        </w:p>
        <w:p w14:paraId="1A43B0FF"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07" w:history="1">
            <w:r w:rsidRPr="00EE19E5">
              <w:rPr>
                <w:rStyle w:val="Hyperlink"/>
                <w:noProof/>
              </w:rPr>
              <w:t>7.8.</w:t>
            </w:r>
            <w:r>
              <w:rPr>
                <w:rFonts w:asciiTheme="minorHAnsi" w:eastAsiaTheme="minorEastAsia" w:hAnsiTheme="minorHAnsi" w:cstheme="minorBidi"/>
                <w:noProof/>
                <w:lang w:eastAsia="en-AU"/>
              </w:rPr>
              <w:tab/>
            </w:r>
            <w:r w:rsidRPr="00EE19E5">
              <w:rPr>
                <w:rStyle w:val="Hyperlink"/>
                <w:noProof/>
              </w:rPr>
              <w:t>Post marketing experience</w:t>
            </w:r>
            <w:r>
              <w:rPr>
                <w:noProof/>
                <w:webHidden/>
              </w:rPr>
              <w:tab/>
            </w:r>
            <w:r>
              <w:rPr>
                <w:noProof/>
                <w:webHidden/>
              </w:rPr>
              <w:fldChar w:fldCharType="begin"/>
            </w:r>
            <w:r>
              <w:rPr>
                <w:noProof/>
                <w:webHidden/>
              </w:rPr>
              <w:instrText xml:space="preserve"> PAGEREF _Toc532480107 \h </w:instrText>
            </w:r>
            <w:r>
              <w:rPr>
                <w:noProof/>
                <w:webHidden/>
              </w:rPr>
            </w:r>
            <w:r>
              <w:rPr>
                <w:noProof/>
                <w:webHidden/>
              </w:rPr>
              <w:fldChar w:fldCharType="separate"/>
            </w:r>
            <w:r>
              <w:rPr>
                <w:noProof/>
                <w:webHidden/>
              </w:rPr>
              <w:t>47</w:t>
            </w:r>
            <w:r>
              <w:rPr>
                <w:noProof/>
                <w:webHidden/>
              </w:rPr>
              <w:fldChar w:fldCharType="end"/>
            </w:r>
          </w:hyperlink>
        </w:p>
        <w:p w14:paraId="31E9DC23"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08" w:history="1">
            <w:r w:rsidRPr="00EE19E5">
              <w:rPr>
                <w:rStyle w:val="Hyperlink"/>
                <w:noProof/>
              </w:rPr>
              <w:t>7.9.</w:t>
            </w:r>
            <w:r>
              <w:rPr>
                <w:rFonts w:asciiTheme="minorHAnsi" w:eastAsiaTheme="minorEastAsia" w:hAnsiTheme="minorHAnsi" w:cstheme="minorBidi"/>
                <w:noProof/>
                <w:lang w:eastAsia="en-AU"/>
              </w:rPr>
              <w:tab/>
            </w:r>
            <w:r w:rsidRPr="00EE19E5">
              <w:rPr>
                <w:rStyle w:val="Hyperlink"/>
                <w:noProof/>
              </w:rPr>
              <w:t>Evaluator’s overall conclusions on clinical safety</w:t>
            </w:r>
            <w:r>
              <w:rPr>
                <w:noProof/>
                <w:webHidden/>
              </w:rPr>
              <w:tab/>
            </w:r>
            <w:r>
              <w:rPr>
                <w:noProof/>
                <w:webHidden/>
              </w:rPr>
              <w:fldChar w:fldCharType="begin"/>
            </w:r>
            <w:r>
              <w:rPr>
                <w:noProof/>
                <w:webHidden/>
              </w:rPr>
              <w:instrText xml:space="preserve"> PAGEREF _Toc532480108 \h </w:instrText>
            </w:r>
            <w:r>
              <w:rPr>
                <w:noProof/>
                <w:webHidden/>
              </w:rPr>
            </w:r>
            <w:r>
              <w:rPr>
                <w:noProof/>
                <w:webHidden/>
              </w:rPr>
              <w:fldChar w:fldCharType="separate"/>
            </w:r>
            <w:r>
              <w:rPr>
                <w:noProof/>
                <w:webHidden/>
              </w:rPr>
              <w:t>48</w:t>
            </w:r>
            <w:r>
              <w:rPr>
                <w:noProof/>
                <w:webHidden/>
              </w:rPr>
              <w:fldChar w:fldCharType="end"/>
            </w:r>
          </w:hyperlink>
        </w:p>
        <w:p w14:paraId="73AEF8B6" w14:textId="77777777" w:rsidR="00C26A8B" w:rsidRDefault="00C26A8B">
          <w:pPr>
            <w:pStyle w:val="TOC2"/>
            <w:tabs>
              <w:tab w:val="left" w:pos="1100"/>
            </w:tabs>
            <w:rPr>
              <w:rFonts w:asciiTheme="minorHAnsi" w:eastAsiaTheme="minorEastAsia" w:hAnsiTheme="minorHAnsi" w:cstheme="minorBidi"/>
              <w:b w:val="0"/>
              <w:noProof/>
              <w:sz w:val="22"/>
              <w:lang w:eastAsia="en-AU"/>
            </w:rPr>
          </w:pPr>
          <w:hyperlink w:anchor="_Toc532480109" w:history="1">
            <w:r w:rsidRPr="00EE19E5">
              <w:rPr>
                <w:rStyle w:val="Hyperlink"/>
                <w:noProof/>
              </w:rPr>
              <w:t>8.</w:t>
            </w:r>
            <w:r>
              <w:rPr>
                <w:rFonts w:asciiTheme="minorHAnsi" w:eastAsiaTheme="minorEastAsia" w:hAnsiTheme="minorHAnsi" w:cstheme="minorBidi"/>
                <w:b w:val="0"/>
                <w:noProof/>
                <w:sz w:val="22"/>
                <w:lang w:eastAsia="en-AU"/>
              </w:rPr>
              <w:tab/>
            </w:r>
            <w:r w:rsidRPr="00EE19E5">
              <w:rPr>
                <w:rStyle w:val="Hyperlink"/>
                <w:noProof/>
              </w:rPr>
              <w:t>First round benefit-risk assessment</w:t>
            </w:r>
            <w:r>
              <w:rPr>
                <w:noProof/>
                <w:webHidden/>
              </w:rPr>
              <w:tab/>
            </w:r>
            <w:r>
              <w:rPr>
                <w:noProof/>
                <w:webHidden/>
              </w:rPr>
              <w:fldChar w:fldCharType="begin"/>
            </w:r>
            <w:r>
              <w:rPr>
                <w:noProof/>
                <w:webHidden/>
              </w:rPr>
              <w:instrText xml:space="preserve"> PAGEREF _Toc532480109 \h </w:instrText>
            </w:r>
            <w:r>
              <w:rPr>
                <w:noProof/>
                <w:webHidden/>
              </w:rPr>
            </w:r>
            <w:r>
              <w:rPr>
                <w:noProof/>
                <w:webHidden/>
              </w:rPr>
              <w:fldChar w:fldCharType="separate"/>
            </w:r>
            <w:r>
              <w:rPr>
                <w:noProof/>
                <w:webHidden/>
              </w:rPr>
              <w:t>48</w:t>
            </w:r>
            <w:r>
              <w:rPr>
                <w:noProof/>
                <w:webHidden/>
              </w:rPr>
              <w:fldChar w:fldCharType="end"/>
            </w:r>
          </w:hyperlink>
        </w:p>
        <w:p w14:paraId="1A8861B2"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10" w:history="1">
            <w:r w:rsidRPr="00EE19E5">
              <w:rPr>
                <w:rStyle w:val="Hyperlink"/>
                <w:noProof/>
              </w:rPr>
              <w:t>8.1.</w:t>
            </w:r>
            <w:r>
              <w:rPr>
                <w:rFonts w:asciiTheme="minorHAnsi" w:eastAsiaTheme="minorEastAsia" w:hAnsiTheme="minorHAnsi" w:cstheme="minorBidi"/>
                <w:noProof/>
                <w:lang w:eastAsia="en-AU"/>
              </w:rPr>
              <w:tab/>
            </w:r>
            <w:r w:rsidRPr="00EE19E5">
              <w:rPr>
                <w:rStyle w:val="Hyperlink"/>
                <w:noProof/>
              </w:rPr>
              <w:t>First round assessment of benefits</w:t>
            </w:r>
            <w:r>
              <w:rPr>
                <w:noProof/>
                <w:webHidden/>
              </w:rPr>
              <w:tab/>
            </w:r>
            <w:r>
              <w:rPr>
                <w:noProof/>
                <w:webHidden/>
              </w:rPr>
              <w:fldChar w:fldCharType="begin"/>
            </w:r>
            <w:r>
              <w:rPr>
                <w:noProof/>
                <w:webHidden/>
              </w:rPr>
              <w:instrText xml:space="preserve"> PAGEREF _Toc532480110 \h </w:instrText>
            </w:r>
            <w:r>
              <w:rPr>
                <w:noProof/>
                <w:webHidden/>
              </w:rPr>
            </w:r>
            <w:r>
              <w:rPr>
                <w:noProof/>
                <w:webHidden/>
              </w:rPr>
              <w:fldChar w:fldCharType="separate"/>
            </w:r>
            <w:r>
              <w:rPr>
                <w:noProof/>
                <w:webHidden/>
              </w:rPr>
              <w:t>48</w:t>
            </w:r>
            <w:r>
              <w:rPr>
                <w:noProof/>
                <w:webHidden/>
              </w:rPr>
              <w:fldChar w:fldCharType="end"/>
            </w:r>
          </w:hyperlink>
        </w:p>
        <w:p w14:paraId="7D189BA3"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11" w:history="1">
            <w:r w:rsidRPr="00EE19E5">
              <w:rPr>
                <w:rStyle w:val="Hyperlink"/>
                <w:noProof/>
              </w:rPr>
              <w:t>8.2.</w:t>
            </w:r>
            <w:r>
              <w:rPr>
                <w:rFonts w:asciiTheme="minorHAnsi" w:eastAsiaTheme="minorEastAsia" w:hAnsiTheme="minorHAnsi" w:cstheme="minorBidi"/>
                <w:noProof/>
                <w:lang w:eastAsia="en-AU"/>
              </w:rPr>
              <w:tab/>
            </w:r>
            <w:r w:rsidRPr="00EE19E5">
              <w:rPr>
                <w:rStyle w:val="Hyperlink"/>
                <w:noProof/>
              </w:rPr>
              <w:t>First round assessment of risks</w:t>
            </w:r>
            <w:r>
              <w:rPr>
                <w:noProof/>
                <w:webHidden/>
              </w:rPr>
              <w:tab/>
            </w:r>
            <w:r>
              <w:rPr>
                <w:noProof/>
                <w:webHidden/>
              </w:rPr>
              <w:fldChar w:fldCharType="begin"/>
            </w:r>
            <w:r>
              <w:rPr>
                <w:noProof/>
                <w:webHidden/>
              </w:rPr>
              <w:instrText xml:space="preserve"> PAGEREF _Toc532480111 \h </w:instrText>
            </w:r>
            <w:r>
              <w:rPr>
                <w:noProof/>
                <w:webHidden/>
              </w:rPr>
            </w:r>
            <w:r>
              <w:rPr>
                <w:noProof/>
                <w:webHidden/>
              </w:rPr>
              <w:fldChar w:fldCharType="separate"/>
            </w:r>
            <w:r>
              <w:rPr>
                <w:noProof/>
                <w:webHidden/>
              </w:rPr>
              <w:t>49</w:t>
            </w:r>
            <w:r>
              <w:rPr>
                <w:noProof/>
                <w:webHidden/>
              </w:rPr>
              <w:fldChar w:fldCharType="end"/>
            </w:r>
          </w:hyperlink>
        </w:p>
        <w:p w14:paraId="3417C256"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12" w:history="1">
            <w:r w:rsidRPr="00EE19E5">
              <w:rPr>
                <w:rStyle w:val="Hyperlink"/>
                <w:noProof/>
              </w:rPr>
              <w:t>8.3.</w:t>
            </w:r>
            <w:r>
              <w:rPr>
                <w:rFonts w:asciiTheme="minorHAnsi" w:eastAsiaTheme="minorEastAsia" w:hAnsiTheme="minorHAnsi" w:cstheme="minorBidi"/>
                <w:noProof/>
                <w:lang w:eastAsia="en-AU"/>
              </w:rPr>
              <w:tab/>
            </w:r>
            <w:r w:rsidRPr="00EE19E5">
              <w:rPr>
                <w:rStyle w:val="Hyperlink"/>
                <w:noProof/>
              </w:rPr>
              <w:t>First round assessment of benefit-risk balance</w:t>
            </w:r>
            <w:r>
              <w:rPr>
                <w:noProof/>
                <w:webHidden/>
              </w:rPr>
              <w:tab/>
            </w:r>
            <w:r>
              <w:rPr>
                <w:noProof/>
                <w:webHidden/>
              </w:rPr>
              <w:fldChar w:fldCharType="begin"/>
            </w:r>
            <w:r>
              <w:rPr>
                <w:noProof/>
                <w:webHidden/>
              </w:rPr>
              <w:instrText xml:space="preserve"> PAGEREF _Toc532480112 \h </w:instrText>
            </w:r>
            <w:r>
              <w:rPr>
                <w:noProof/>
                <w:webHidden/>
              </w:rPr>
            </w:r>
            <w:r>
              <w:rPr>
                <w:noProof/>
                <w:webHidden/>
              </w:rPr>
              <w:fldChar w:fldCharType="separate"/>
            </w:r>
            <w:r>
              <w:rPr>
                <w:noProof/>
                <w:webHidden/>
              </w:rPr>
              <w:t>49</w:t>
            </w:r>
            <w:r>
              <w:rPr>
                <w:noProof/>
                <w:webHidden/>
              </w:rPr>
              <w:fldChar w:fldCharType="end"/>
            </w:r>
          </w:hyperlink>
        </w:p>
        <w:p w14:paraId="0E873C54"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13" w:history="1">
            <w:r w:rsidRPr="00EE19E5">
              <w:rPr>
                <w:rStyle w:val="Hyperlink"/>
                <w:noProof/>
              </w:rPr>
              <w:t>8.4.</w:t>
            </w:r>
            <w:r>
              <w:rPr>
                <w:rFonts w:asciiTheme="minorHAnsi" w:eastAsiaTheme="minorEastAsia" w:hAnsiTheme="minorHAnsi" w:cstheme="minorBidi"/>
                <w:noProof/>
                <w:lang w:eastAsia="en-AU"/>
              </w:rPr>
              <w:tab/>
            </w:r>
            <w:r w:rsidRPr="00EE19E5">
              <w:rPr>
                <w:rStyle w:val="Hyperlink"/>
                <w:noProof/>
              </w:rPr>
              <w:t>First round recommendation regarding authorisation</w:t>
            </w:r>
            <w:r>
              <w:rPr>
                <w:noProof/>
                <w:webHidden/>
              </w:rPr>
              <w:tab/>
            </w:r>
            <w:r>
              <w:rPr>
                <w:noProof/>
                <w:webHidden/>
              </w:rPr>
              <w:fldChar w:fldCharType="begin"/>
            </w:r>
            <w:r>
              <w:rPr>
                <w:noProof/>
                <w:webHidden/>
              </w:rPr>
              <w:instrText xml:space="preserve"> PAGEREF _Toc532480113 \h </w:instrText>
            </w:r>
            <w:r>
              <w:rPr>
                <w:noProof/>
                <w:webHidden/>
              </w:rPr>
            </w:r>
            <w:r>
              <w:rPr>
                <w:noProof/>
                <w:webHidden/>
              </w:rPr>
              <w:fldChar w:fldCharType="separate"/>
            </w:r>
            <w:r>
              <w:rPr>
                <w:noProof/>
                <w:webHidden/>
              </w:rPr>
              <w:t>49</w:t>
            </w:r>
            <w:r>
              <w:rPr>
                <w:noProof/>
                <w:webHidden/>
              </w:rPr>
              <w:fldChar w:fldCharType="end"/>
            </w:r>
          </w:hyperlink>
        </w:p>
        <w:p w14:paraId="7522293F" w14:textId="77777777" w:rsidR="00C26A8B" w:rsidRDefault="00C26A8B">
          <w:pPr>
            <w:pStyle w:val="TOC2"/>
            <w:tabs>
              <w:tab w:val="left" w:pos="1100"/>
            </w:tabs>
            <w:rPr>
              <w:rFonts w:asciiTheme="minorHAnsi" w:eastAsiaTheme="minorEastAsia" w:hAnsiTheme="minorHAnsi" w:cstheme="minorBidi"/>
              <w:b w:val="0"/>
              <w:noProof/>
              <w:sz w:val="22"/>
              <w:lang w:eastAsia="en-AU"/>
            </w:rPr>
          </w:pPr>
          <w:hyperlink w:anchor="_Toc532480114" w:history="1">
            <w:r w:rsidRPr="00EE19E5">
              <w:rPr>
                <w:rStyle w:val="Hyperlink"/>
                <w:noProof/>
              </w:rPr>
              <w:t>9.</w:t>
            </w:r>
            <w:r>
              <w:rPr>
                <w:rFonts w:asciiTheme="minorHAnsi" w:eastAsiaTheme="minorEastAsia" w:hAnsiTheme="minorHAnsi" w:cstheme="minorBidi"/>
                <w:b w:val="0"/>
                <w:noProof/>
                <w:sz w:val="22"/>
                <w:lang w:eastAsia="en-AU"/>
              </w:rPr>
              <w:tab/>
            </w:r>
            <w:r w:rsidRPr="00EE19E5">
              <w:rPr>
                <w:rStyle w:val="Hyperlink"/>
                <w:noProof/>
              </w:rPr>
              <w:t>Clinical questions</w:t>
            </w:r>
            <w:r>
              <w:rPr>
                <w:noProof/>
                <w:webHidden/>
              </w:rPr>
              <w:tab/>
            </w:r>
            <w:r>
              <w:rPr>
                <w:noProof/>
                <w:webHidden/>
              </w:rPr>
              <w:fldChar w:fldCharType="begin"/>
            </w:r>
            <w:r>
              <w:rPr>
                <w:noProof/>
                <w:webHidden/>
              </w:rPr>
              <w:instrText xml:space="preserve"> PAGEREF _Toc532480114 \h </w:instrText>
            </w:r>
            <w:r>
              <w:rPr>
                <w:noProof/>
                <w:webHidden/>
              </w:rPr>
            </w:r>
            <w:r>
              <w:rPr>
                <w:noProof/>
                <w:webHidden/>
              </w:rPr>
              <w:fldChar w:fldCharType="separate"/>
            </w:r>
            <w:r>
              <w:rPr>
                <w:noProof/>
                <w:webHidden/>
              </w:rPr>
              <w:t>49</w:t>
            </w:r>
            <w:r>
              <w:rPr>
                <w:noProof/>
                <w:webHidden/>
              </w:rPr>
              <w:fldChar w:fldCharType="end"/>
            </w:r>
          </w:hyperlink>
        </w:p>
        <w:p w14:paraId="3A9541B6"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15" w:history="1">
            <w:r w:rsidRPr="00EE19E5">
              <w:rPr>
                <w:rStyle w:val="Hyperlink"/>
                <w:noProof/>
              </w:rPr>
              <w:t>9.1.</w:t>
            </w:r>
            <w:r>
              <w:rPr>
                <w:rFonts w:asciiTheme="minorHAnsi" w:eastAsiaTheme="minorEastAsia" w:hAnsiTheme="minorHAnsi" w:cstheme="minorBidi"/>
                <w:noProof/>
                <w:lang w:eastAsia="en-AU"/>
              </w:rPr>
              <w:tab/>
            </w:r>
            <w:r w:rsidRPr="00EE19E5">
              <w:rPr>
                <w:rStyle w:val="Hyperlink"/>
                <w:noProof/>
              </w:rPr>
              <w:t>Second round evaluation</w:t>
            </w:r>
            <w:r>
              <w:rPr>
                <w:noProof/>
                <w:webHidden/>
              </w:rPr>
              <w:tab/>
            </w:r>
            <w:r>
              <w:rPr>
                <w:noProof/>
                <w:webHidden/>
              </w:rPr>
              <w:fldChar w:fldCharType="begin"/>
            </w:r>
            <w:r>
              <w:rPr>
                <w:noProof/>
                <w:webHidden/>
              </w:rPr>
              <w:instrText xml:space="preserve"> PAGEREF _Toc532480115 \h </w:instrText>
            </w:r>
            <w:r>
              <w:rPr>
                <w:noProof/>
                <w:webHidden/>
              </w:rPr>
            </w:r>
            <w:r>
              <w:rPr>
                <w:noProof/>
                <w:webHidden/>
              </w:rPr>
              <w:fldChar w:fldCharType="separate"/>
            </w:r>
            <w:r>
              <w:rPr>
                <w:noProof/>
                <w:webHidden/>
              </w:rPr>
              <w:t>49</w:t>
            </w:r>
            <w:r>
              <w:rPr>
                <w:noProof/>
                <w:webHidden/>
              </w:rPr>
              <w:fldChar w:fldCharType="end"/>
            </w:r>
          </w:hyperlink>
        </w:p>
        <w:p w14:paraId="0B06A548" w14:textId="77777777" w:rsidR="00C26A8B" w:rsidRDefault="00C26A8B">
          <w:pPr>
            <w:pStyle w:val="TOC2"/>
            <w:tabs>
              <w:tab w:val="left" w:pos="1320"/>
            </w:tabs>
            <w:rPr>
              <w:rFonts w:asciiTheme="minorHAnsi" w:eastAsiaTheme="minorEastAsia" w:hAnsiTheme="minorHAnsi" w:cstheme="minorBidi"/>
              <w:b w:val="0"/>
              <w:noProof/>
              <w:sz w:val="22"/>
              <w:lang w:eastAsia="en-AU"/>
            </w:rPr>
          </w:pPr>
          <w:hyperlink w:anchor="_Toc532480116" w:history="1">
            <w:r w:rsidRPr="00EE19E5">
              <w:rPr>
                <w:rStyle w:val="Hyperlink"/>
                <w:noProof/>
              </w:rPr>
              <w:t>10.</w:t>
            </w:r>
            <w:r>
              <w:rPr>
                <w:rFonts w:asciiTheme="minorHAnsi" w:eastAsiaTheme="minorEastAsia" w:hAnsiTheme="minorHAnsi" w:cstheme="minorBidi"/>
                <w:b w:val="0"/>
                <w:noProof/>
                <w:sz w:val="22"/>
                <w:lang w:eastAsia="en-AU"/>
              </w:rPr>
              <w:tab/>
            </w:r>
            <w:r w:rsidRPr="00EE19E5">
              <w:rPr>
                <w:rStyle w:val="Hyperlink"/>
                <w:noProof/>
              </w:rPr>
              <w:t>Second round benefit-risk assessment</w:t>
            </w:r>
            <w:r>
              <w:rPr>
                <w:noProof/>
                <w:webHidden/>
              </w:rPr>
              <w:tab/>
            </w:r>
            <w:r>
              <w:rPr>
                <w:noProof/>
                <w:webHidden/>
              </w:rPr>
              <w:fldChar w:fldCharType="begin"/>
            </w:r>
            <w:r>
              <w:rPr>
                <w:noProof/>
                <w:webHidden/>
              </w:rPr>
              <w:instrText xml:space="preserve"> PAGEREF _Toc532480116 \h </w:instrText>
            </w:r>
            <w:r>
              <w:rPr>
                <w:noProof/>
                <w:webHidden/>
              </w:rPr>
            </w:r>
            <w:r>
              <w:rPr>
                <w:noProof/>
                <w:webHidden/>
              </w:rPr>
              <w:fldChar w:fldCharType="separate"/>
            </w:r>
            <w:r>
              <w:rPr>
                <w:noProof/>
                <w:webHidden/>
              </w:rPr>
              <w:t>49</w:t>
            </w:r>
            <w:r>
              <w:rPr>
                <w:noProof/>
                <w:webHidden/>
              </w:rPr>
              <w:fldChar w:fldCharType="end"/>
            </w:r>
          </w:hyperlink>
        </w:p>
        <w:p w14:paraId="18FF7D8C"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17" w:history="1">
            <w:r w:rsidRPr="00EE19E5">
              <w:rPr>
                <w:rStyle w:val="Hyperlink"/>
                <w:noProof/>
              </w:rPr>
              <w:t>10.1.</w:t>
            </w:r>
            <w:r>
              <w:rPr>
                <w:rFonts w:asciiTheme="minorHAnsi" w:eastAsiaTheme="minorEastAsia" w:hAnsiTheme="minorHAnsi" w:cstheme="minorBidi"/>
                <w:noProof/>
                <w:lang w:eastAsia="en-AU"/>
              </w:rPr>
              <w:tab/>
            </w:r>
            <w:r w:rsidRPr="00EE19E5">
              <w:rPr>
                <w:rStyle w:val="Hyperlink"/>
                <w:noProof/>
              </w:rPr>
              <w:t>Second round assessment of benefits</w:t>
            </w:r>
            <w:r>
              <w:rPr>
                <w:noProof/>
                <w:webHidden/>
              </w:rPr>
              <w:tab/>
            </w:r>
            <w:r>
              <w:rPr>
                <w:noProof/>
                <w:webHidden/>
              </w:rPr>
              <w:fldChar w:fldCharType="begin"/>
            </w:r>
            <w:r>
              <w:rPr>
                <w:noProof/>
                <w:webHidden/>
              </w:rPr>
              <w:instrText xml:space="preserve"> PAGEREF _Toc532480117 \h </w:instrText>
            </w:r>
            <w:r>
              <w:rPr>
                <w:noProof/>
                <w:webHidden/>
              </w:rPr>
            </w:r>
            <w:r>
              <w:rPr>
                <w:noProof/>
                <w:webHidden/>
              </w:rPr>
              <w:fldChar w:fldCharType="separate"/>
            </w:r>
            <w:r>
              <w:rPr>
                <w:noProof/>
                <w:webHidden/>
              </w:rPr>
              <w:t>49</w:t>
            </w:r>
            <w:r>
              <w:rPr>
                <w:noProof/>
                <w:webHidden/>
              </w:rPr>
              <w:fldChar w:fldCharType="end"/>
            </w:r>
          </w:hyperlink>
        </w:p>
        <w:p w14:paraId="1C8014CA"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18" w:history="1">
            <w:r w:rsidRPr="00EE19E5">
              <w:rPr>
                <w:rStyle w:val="Hyperlink"/>
                <w:noProof/>
              </w:rPr>
              <w:t>10.2.</w:t>
            </w:r>
            <w:r>
              <w:rPr>
                <w:rFonts w:asciiTheme="minorHAnsi" w:eastAsiaTheme="minorEastAsia" w:hAnsiTheme="minorHAnsi" w:cstheme="minorBidi"/>
                <w:noProof/>
                <w:lang w:eastAsia="en-AU"/>
              </w:rPr>
              <w:tab/>
            </w:r>
            <w:r w:rsidRPr="00EE19E5">
              <w:rPr>
                <w:rStyle w:val="Hyperlink"/>
                <w:noProof/>
              </w:rPr>
              <w:t>Second round assessment of risks</w:t>
            </w:r>
            <w:r>
              <w:rPr>
                <w:noProof/>
                <w:webHidden/>
              </w:rPr>
              <w:tab/>
            </w:r>
            <w:r>
              <w:rPr>
                <w:noProof/>
                <w:webHidden/>
              </w:rPr>
              <w:fldChar w:fldCharType="begin"/>
            </w:r>
            <w:r>
              <w:rPr>
                <w:noProof/>
                <w:webHidden/>
              </w:rPr>
              <w:instrText xml:space="preserve"> PAGEREF _Toc532480118 \h </w:instrText>
            </w:r>
            <w:r>
              <w:rPr>
                <w:noProof/>
                <w:webHidden/>
              </w:rPr>
            </w:r>
            <w:r>
              <w:rPr>
                <w:noProof/>
                <w:webHidden/>
              </w:rPr>
              <w:fldChar w:fldCharType="separate"/>
            </w:r>
            <w:r>
              <w:rPr>
                <w:noProof/>
                <w:webHidden/>
              </w:rPr>
              <w:t>49</w:t>
            </w:r>
            <w:r>
              <w:rPr>
                <w:noProof/>
                <w:webHidden/>
              </w:rPr>
              <w:fldChar w:fldCharType="end"/>
            </w:r>
          </w:hyperlink>
        </w:p>
        <w:p w14:paraId="78AA544F"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19" w:history="1">
            <w:r w:rsidRPr="00EE19E5">
              <w:rPr>
                <w:rStyle w:val="Hyperlink"/>
                <w:noProof/>
              </w:rPr>
              <w:t>10.3.</w:t>
            </w:r>
            <w:r>
              <w:rPr>
                <w:rFonts w:asciiTheme="minorHAnsi" w:eastAsiaTheme="minorEastAsia" w:hAnsiTheme="minorHAnsi" w:cstheme="minorBidi"/>
                <w:noProof/>
                <w:lang w:eastAsia="en-AU"/>
              </w:rPr>
              <w:tab/>
            </w:r>
            <w:r w:rsidRPr="00EE19E5">
              <w:rPr>
                <w:rStyle w:val="Hyperlink"/>
                <w:noProof/>
              </w:rPr>
              <w:t>Second round assessment of benefit-risk balance</w:t>
            </w:r>
            <w:r>
              <w:rPr>
                <w:noProof/>
                <w:webHidden/>
              </w:rPr>
              <w:tab/>
            </w:r>
            <w:r>
              <w:rPr>
                <w:noProof/>
                <w:webHidden/>
              </w:rPr>
              <w:fldChar w:fldCharType="begin"/>
            </w:r>
            <w:r>
              <w:rPr>
                <w:noProof/>
                <w:webHidden/>
              </w:rPr>
              <w:instrText xml:space="preserve"> PAGEREF _Toc532480119 \h </w:instrText>
            </w:r>
            <w:r>
              <w:rPr>
                <w:noProof/>
                <w:webHidden/>
              </w:rPr>
            </w:r>
            <w:r>
              <w:rPr>
                <w:noProof/>
                <w:webHidden/>
              </w:rPr>
              <w:fldChar w:fldCharType="separate"/>
            </w:r>
            <w:r>
              <w:rPr>
                <w:noProof/>
                <w:webHidden/>
              </w:rPr>
              <w:t>50</w:t>
            </w:r>
            <w:r>
              <w:rPr>
                <w:noProof/>
                <w:webHidden/>
              </w:rPr>
              <w:fldChar w:fldCharType="end"/>
            </w:r>
          </w:hyperlink>
        </w:p>
        <w:p w14:paraId="39714D1E" w14:textId="77777777" w:rsidR="00C26A8B" w:rsidRDefault="00C26A8B">
          <w:pPr>
            <w:pStyle w:val="TOC3"/>
            <w:tabs>
              <w:tab w:val="left" w:pos="1760"/>
            </w:tabs>
            <w:rPr>
              <w:rFonts w:asciiTheme="minorHAnsi" w:eastAsiaTheme="minorEastAsia" w:hAnsiTheme="minorHAnsi" w:cstheme="minorBidi"/>
              <w:noProof/>
              <w:lang w:eastAsia="en-AU"/>
            </w:rPr>
          </w:pPr>
          <w:hyperlink w:anchor="_Toc532480120" w:history="1">
            <w:r w:rsidRPr="00EE19E5">
              <w:rPr>
                <w:rStyle w:val="Hyperlink"/>
                <w:noProof/>
              </w:rPr>
              <w:t>10.4.</w:t>
            </w:r>
            <w:r>
              <w:rPr>
                <w:rFonts w:asciiTheme="minorHAnsi" w:eastAsiaTheme="minorEastAsia" w:hAnsiTheme="minorHAnsi" w:cstheme="minorBidi"/>
                <w:noProof/>
                <w:lang w:eastAsia="en-AU"/>
              </w:rPr>
              <w:tab/>
            </w:r>
            <w:r w:rsidRPr="00EE19E5">
              <w:rPr>
                <w:rStyle w:val="Hyperlink"/>
                <w:noProof/>
              </w:rPr>
              <w:t>Second round recommendation regarding authorisation</w:t>
            </w:r>
            <w:r>
              <w:rPr>
                <w:noProof/>
                <w:webHidden/>
              </w:rPr>
              <w:tab/>
            </w:r>
            <w:r>
              <w:rPr>
                <w:noProof/>
                <w:webHidden/>
              </w:rPr>
              <w:fldChar w:fldCharType="begin"/>
            </w:r>
            <w:r>
              <w:rPr>
                <w:noProof/>
                <w:webHidden/>
              </w:rPr>
              <w:instrText xml:space="preserve"> PAGEREF _Toc532480120 \h </w:instrText>
            </w:r>
            <w:r>
              <w:rPr>
                <w:noProof/>
                <w:webHidden/>
              </w:rPr>
            </w:r>
            <w:r>
              <w:rPr>
                <w:noProof/>
                <w:webHidden/>
              </w:rPr>
              <w:fldChar w:fldCharType="separate"/>
            </w:r>
            <w:r>
              <w:rPr>
                <w:noProof/>
                <w:webHidden/>
              </w:rPr>
              <w:t>50</w:t>
            </w:r>
            <w:r>
              <w:rPr>
                <w:noProof/>
                <w:webHidden/>
              </w:rPr>
              <w:fldChar w:fldCharType="end"/>
            </w:r>
          </w:hyperlink>
        </w:p>
        <w:p w14:paraId="4FCC273F" w14:textId="77777777" w:rsidR="003A7F6C" w:rsidRPr="00B811C6" w:rsidRDefault="004F4AF5" w:rsidP="00B811C6">
          <w:pPr>
            <w:pStyle w:val="TOC2"/>
          </w:pPr>
          <w:r>
            <w:fldChar w:fldCharType="end"/>
          </w:r>
        </w:p>
      </w:sdtContent>
    </w:sdt>
    <w:bookmarkStart w:id="3" w:name="_Toc314842482" w:displacedByCustomXml="prev"/>
    <w:p w14:paraId="6DB82FD2" w14:textId="77777777" w:rsidR="00025502" w:rsidRDefault="00025502">
      <w:pPr>
        <w:spacing w:before="0" w:after="200" w:line="0" w:lineRule="auto"/>
        <w:sectPr w:rsidR="00025502"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bookmarkStart w:id="4" w:name="_Toc351716269"/>
      <w:bookmarkStart w:id="5" w:name="_Toc351718881"/>
      <w:bookmarkStart w:id="6" w:name="_Toc355338616"/>
    </w:p>
    <w:p w14:paraId="3DA04C39" w14:textId="77777777" w:rsidR="00586F98" w:rsidRDefault="00586F98" w:rsidP="00586F98">
      <w:pPr>
        <w:pStyle w:val="Heading2"/>
        <w:numPr>
          <w:ilvl w:val="0"/>
          <w:numId w:val="0"/>
        </w:numPr>
      </w:pPr>
      <w:bookmarkStart w:id="7" w:name="_Toc532480072"/>
      <w:r>
        <w:lastRenderedPageBreak/>
        <w:t xml:space="preserve">List of </w:t>
      </w:r>
      <w:r w:rsidR="00F30851">
        <w:t xml:space="preserve">common </w:t>
      </w:r>
      <w:r>
        <w:t>abbreviations</w:t>
      </w:r>
      <w:bookmarkEnd w:id="4"/>
      <w:bookmarkEnd w:id="5"/>
      <w:bookmarkEnd w:id="6"/>
      <w:bookmarkEnd w:id="7"/>
    </w:p>
    <w:tbl>
      <w:tblPr>
        <w:tblStyle w:val="TableTGAblue"/>
        <w:tblW w:w="8720" w:type="dxa"/>
        <w:tblLayout w:type="fixed"/>
        <w:tblLook w:val="04A0" w:firstRow="1" w:lastRow="0" w:firstColumn="1" w:lastColumn="0" w:noHBand="0" w:noVBand="1"/>
        <w:tblDescription w:val="List of common abbreviations"/>
      </w:tblPr>
      <w:tblGrid>
        <w:gridCol w:w="2235"/>
        <w:gridCol w:w="6485"/>
      </w:tblGrid>
      <w:tr w:rsidR="00F30851" w:rsidRPr="004D3BAF" w14:paraId="45339809" w14:textId="77777777" w:rsidTr="000255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4998E9C5" w14:textId="77777777" w:rsidR="00F30851" w:rsidRPr="004D3BAF" w:rsidRDefault="00F30851" w:rsidP="00F30851">
            <w:r w:rsidRPr="004D3BAF">
              <w:t>Abbreviation</w:t>
            </w:r>
          </w:p>
        </w:tc>
        <w:tc>
          <w:tcPr>
            <w:tcW w:w="6485" w:type="dxa"/>
          </w:tcPr>
          <w:p w14:paraId="0A4CF3DA" w14:textId="77777777" w:rsidR="00F30851" w:rsidRPr="004D3BAF" w:rsidRDefault="00F30851" w:rsidP="00F30851">
            <w:pPr>
              <w:cnfStyle w:val="100000000000" w:firstRow="1" w:lastRow="0" w:firstColumn="0" w:lastColumn="0" w:oddVBand="0" w:evenVBand="0" w:oddHBand="0" w:evenHBand="0" w:firstRowFirstColumn="0" w:firstRowLastColumn="0" w:lastRowFirstColumn="0" w:lastRowLastColumn="0"/>
            </w:pPr>
            <w:r w:rsidRPr="004D3BAF">
              <w:t>Meaning</w:t>
            </w:r>
          </w:p>
        </w:tc>
      </w:tr>
      <w:tr w:rsidR="00F30851" w:rsidRPr="000E2E3F" w14:paraId="4E20D30E"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675C60B1" w14:textId="77777777" w:rsidR="00F30851" w:rsidRPr="000E2E3F" w:rsidRDefault="00F30851" w:rsidP="00F30851">
            <w:r w:rsidRPr="000E2E3F">
              <w:rPr>
                <w:rFonts w:cs="Calibri"/>
                <w:color w:val="000000"/>
              </w:rPr>
              <w:t>AE</w:t>
            </w:r>
          </w:p>
        </w:tc>
        <w:tc>
          <w:tcPr>
            <w:tcW w:w="6485" w:type="dxa"/>
          </w:tcPr>
          <w:p w14:paraId="5DF654D2"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pPr>
            <w:r w:rsidRPr="000E2E3F">
              <w:rPr>
                <w:rFonts w:cs="Calibri"/>
                <w:color w:val="000000"/>
              </w:rPr>
              <w:t>Adverse event</w:t>
            </w:r>
          </w:p>
        </w:tc>
      </w:tr>
      <w:tr w:rsidR="00F30851" w:rsidRPr="000E2E3F" w14:paraId="061559EF"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5C4DA6F6" w14:textId="77777777" w:rsidR="00F30851" w:rsidRPr="000E2E3F" w:rsidRDefault="00F30851" w:rsidP="00F30851">
            <w:pPr>
              <w:rPr>
                <w:rFonts w:cs="ArialNarrow"/>
              </w:rPr>
            </w:pPr>
            <w:r w:rsidRPr="000E2E3F">
              <w:t>AESIs</w:t>
            </w:r>
          </w:p>
        </w:tc>
        <w:tc>
          <w:tcPr>
            <w:tcW w:w="6485" w:type="dxa"/>
          </w:tcPr>
          <w:p w14:paraId="2A0B1445"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t xml:space="preserve">Adverse events of special interest </w:t>
            </w:r>
          </w:p>
        </w:tc>
      </w:tr>
      <w:tr w:rsidR="00F30851" w:rsidRPr="000E2E3F" w14:paraId="4FD4FB36"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7C27E882" w14:textId="79DB108B" w:rsidR="00F30851" w:rsidRPr="000E2E3F" w:rsidRDefault="00F30851" w:rsidP="00F30851">
            <w:pPr>
              <w:rPr>
                <w:rFonts w:cs="ArialNarrow"/>
              </w:rPr>
            </w:pPr>
            <w:r w:rsidRPr="000E2E3F">
              <w:rPr>
                <w:rFonts w:eastAsiaTheme="minorHAnsi" w:cs="Arial"/>
              </w:rPr>
              <w:t>AIVC</w:t>
            </w:r>
          </w:p>
        </w:tc>
        <w:tc>
          <w:tcPr>
            <w:tcW w:w="6485" w:type="dxa"/>
          </w:tcPr>
          <w:p w14:paraId="220FB665"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eastAsiaTheme="minorHAnsi" w:cs="Cambria"/>
                <w:color w:val="000000"/>
              </w:rPr>
            </w:pPr>
            <w:r w:rsidRPr="000E2E3F">
              <w:rPr>
                <w:rFonts w:eastAsiaTheme="minorHAnsi" w:cs="Arial"/>
              </w:rPr>
              <w:t>Australian Influenza Vaccine Committee</w:t>
            </w:r>
          </w:p>
        </w:tc>
      </w:tr>
      <w:tr w:rsidR="00F30851" w:rsidRPr="000E2E3F" w14:paraId="3D8E0B80"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38B61B23" w14:textId="77777777" w:rsidR="00F30851" w:rsidRPr="000E2E3F" w:rsidRDefault="00F30851" w:rsidP="00F30851">
            <w:pPr>
              <w:rPr>
                <w:rFonts w:cs="ArialNarrow"/>
              </w:rPr>
            </w:pPr>
            <w:r w:rsidRPr="000E2E3F">
              <w:rPr>
                <w:rFonts w:cs="ArialNarrow"/>
              </w:rPr>
              <w:t>AOM</w:t>
            </w:r>
          </w:p>
        </w:tc>
        <w:tc>
          <w:tcPr>
            <w:tcW w:w="6485" w:type="dxa"/>
          </w:tcPr>
          <w:p w14:paraId="3D3BE35C"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eastAsiaTheme="minorHAnsi" w:cs="Cambria"/>
                <w:color w:val="000000"/>
              </w:rPr>
            </w:pPr>
            <w:r w:rsidRPr="000E2E3F">
              <w:rPr>
                <w:rFonts w:eastAsiaTheme="minorHAnsi" w:cs="Cambria"/>
                <w:color w:val="000000"/>
              </w:rPr>
              <w:t>Acute otitis media</w:t>
            </w:r>
          </w:p>
        </w:tc>
      </w:tr>
      <w:tr w:rsidR="00F30851" w:rsidRPr="000E2E3F" w14:paraId="4DF75EF7"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0D5C077E" w14:textId="77777777" w:rsidR="00F30851" w:rsidRPr="000E2E3F" w:rsidRDefault="00F30851" w:rsidP="00F30851">
            <w:pPr>
              <w:rPr>
                <w:rFonts w:cs="ArialNarrow"/>
              </w:rPr>
            </w:pPr>
            <w:r w:rsidRPr="000E2E3F">
              <w:rPr>
                <w:rFonts w:cs="ArialNarrow"/>
              </w:rPr>
              <w:t>ASA</w:t>
            </w:r>
          </w:p>
        </w:tc>
        <w:tc>
          <w:tcPr>
            <w:tcW w:w="6485" w:type="dxa"/>
          </w:tcPr>
          <w:p w14:paraId="1E982605"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eastAsiaTheme="minorHAnsi" w:cs="Cambria"/>
                <w:color w:val="000000"/>
              </w:rPr>
              <w:t xml:space="preserve">Australian-specific annex </w:t>
            </w:r>
          </w:p>
        </w:tc>
      </w:tr>
      <w:tr w:rsidR="00F30851" w:rsidRPr="000E2E3F" w14:paraId="75E12A5C"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2602F8B5" w14:textId="77777777" w:rsidR="00F30851" w:rsidRPr="000E2E3F" w:rsidRDefault="00F30851" w:rsidP="00F30851">
            <w:pPr>
              <w:rPr>
                <w:rFonts w:cs="ArialNarrow"/>
              </w:rPr>
            </w:pPr>
            <w:r>
              <w:rPr>
                <w:rFonts w:cs="ArialNarrow"/>
              </w:rPr>
              <w:t>ATP-E</w:t>
            </w:r>
          </w:p>
        </w:tc>
        <w:tc>
          <w:tcPr>
            <w:tcW w:w="6485" w:type="dxa"/>
          </w:tcPr>
          <w:p w14:paraId="5B0BFC76"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Pr>
                <w:rFonts w:cs="ArialNarrow"/>
              </w:rPr>
              <w:t>A</w:t>
            </w:r>
            <w:r w:rsidRPr="0082696E">
              <w:rPr>
                <w:rFonts w:cs="ArialNarrow"/>
              </w:rPr>
              <w:t>ccording-to</w:t>
            </w:r>
            <w:r>
              <w:rPr>
                <w:rFonts w:cs="ArialNarrow"/>
              </w:rPr>
              <w:t>-</w:t>
            </w:r>
            <w:r w:rsidRPr="0082696E">
              <w:rPr>
                <w:rFonts w:cs="ArialNarrow"/>
              </w:rPr>
              <w:t>protocol efficacy</w:t>
            </w:r>
          </w:p>
        </w:tc>
      </w:tr>
      <w:tr w:rsidR="00F30851" w:rsidRPr="000E2E3F" w14:paraId="4218759B"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5A22F00D" w14:textId="77777777" w:rsidR="00F30851" w:rsidRPr="000E2E3F" w:rsidRDefault="00F30851" w:rsidP="00F30851">
            <w:pPr>
              <w:rPr>
                <w:rFonts w:cs="ArialNarrow"/>
              </w:rPr>
            </w:pPr>
            <w:r w:rsidRPr="000E2E3F">
              <w:rPr>
                <w:rFonts w:cs="ArialNarrow"/>
              </w:rPr>
              <w:t>CBER</w:t>
            </w:r>
          </w:p>
        </w:tc>
        <w:tc>
          <w:tcPr>
            <w:tcW w:w="6485" w:type="dxa"/>
          </w:tcPr>
          <w:p w14:paraId="095FFA78" w14:textId="77777777" w:rsidR="00F30851" w:rsidRPr="000E2E3F" w:rsidRDefault="005879FC" w:rsidP="00F30851">
            <w:pPr>
              <w:cnfStyle w:val="000000000000" w:firstRow="0" w:lastRow="0" w:firstColumn="0" w:lastColumn="0" w:oddVBand="0" w:evenVBand="0" w:oddHBand="0" w:evenHBand="0" w:firstRowFirstColumn="0" w:firstRowLastColumn="0" w:lastRowFirstColumn="0" w:lastRowLastColumn="0"/>
              <w:rPr>
                <w:rFonts w:cs="ArialNarrow"/>
              </w:rPr>
            </w:pPr>
            <w:r>
              <w:rPr>
                <w:rFonts w:cs="ArialNarrow"/>
              </w:rPr>
              <w:t>Centre</w:t>
            </w:r>
            <w:r w:rsidR="00F30851" w:rsidRPr="000E2E3F">
              <w:rPr>
                <w:rFonts w:cs="ArialNarrow"/>
              </w:rPr>
              <w:t xml:space="preserve"> for Biologics Evaluation and Research</w:t>
            </w:r>
          </w:p>
        </w:tc>
      </w:tr>
      <w:tr w:rsidR="00F30851" w:rsidRPr="000E2E3F" w14:paraId="06B7E1EF"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3F649500" w14:textId="3C82778E" w:rsidR="00F30851" w:rsidRPr="000E2E3F" w:rsidRDefault="00F30851" w:rsidP="00025502">
            <w:pPr>
              <w:rPr>
                <w:rFonts w:cs="ArialNarrow"/>
              </w:rPr>
            </w:pPr>
            <w:r w:rsidRPr="000E2E3F">
              <w:rPr>
                <w:rFonts w:cs="ArialNarrow"/>
              </w:rPr>
              <w:t>CDC</w:t>
            </w:r>
          </w:p>
        </w:tc>
        <w:tc>
          <w:tcPr>
            <w:tcW w:w="6485" w:type="dxa"/>
          </w:tcPr>
          <w:p w14:paraId="10B4E4BD" w14:textId="77777777" w:rsidR="00F30851" w:rsidRPr="000E2E3F" w:rsidRDefault="005879FC" w:rsidP="00F30851">
            <w:pPr>
              <w:cnfStyle w:val="000000000000" w:firstRow="0" w:lastRow="0" w:firstColumn="0" w:lastColumn="0" w:oddVBand="0" w:evenVBand="0" w:oddHBand="0" w:evenHBand="0" w:firstRowFirstColumn="0" w:firstRowLastColumn="0" w:lastRowFirstColumn="0" w:lastRowLastColumn="0"/>
              <w:rPr>
                <w:rFonts w:cs="ArialNarrow"/>
              </w:rPr>
            </w:pPr>
            <w:r>
              <w:rPr>
                <w:rFonts w:cs="ArialNarrow"/>
              </w:rPr>
              <w:t>Centre</w:t>
            </w:r>
            <w:r w:rsidR="00F30851" w:rsidRPr="000E2E3F">
              <w:rPr>
                <w:rFonts w:cs="ArialNarrow"/>
              </w:rPr>
              <w:t>s of Disease Control and Prevention</w:t>
            </w:r>
          </w:p>
        </w:tc>
      </w:tr>
      <w:tr w:rsidR="00F30851" w:rsidRPr="000E2E3F" w14:paraId="60096B5F"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576334F0" w14:textId="77777777" w:rsidR="00F30851" w:rsidRPr="000E2E3F" w:rsidRDefault="00F30851" w:rsidP="00F30851">
            <w:pPr>
              <w:rPr>
                <w:rFonts w:cs="Calibri"/>
                <w:color w:val="000000"/>
              </w:rPr>
            </w:pPr>
            <w:r>
              <w:rPr>
                <w:rFonts w:cs="ArialNarrow"/>
              </w:rPr>
              <w:t>CHMP</w:t>
            </w:r>
          </w:p>
        </w:tc>
        <w:tc>
          <w:tcPr>
            <w:tcW w:w="6485" w:type="dxa"/>
          </w:tcPr>
          <w:p w14:paraId="13F2ADFC"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Committee for Medicinal Products for Human Use</w:t>
            </w:r>
          </w:p>
        </w:tc>
      </w:tr>
      <w:tr w:rsidR="00F30851" w:rsidRPr="000E2E3F" w14:paraId="6DA0D5B9"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6468F8A5" w14:textId="453C1CBA" w:rsidR="00F30851" w:rsidRPr="000E2E3F" w:rsidRDefault="00025502" w:rsidP="00F30851">
            <w:pPr>
              <w:rPr>
                <w:rFonts w:cs="ArialNarrow"/>
              </w:rPr>
            </w:pPr>
            <w:r>
              <w:rPr>
                <w:rFonts w:cs="ArialNarrow"/>
              </w:rPr>
              <w:t>CI</w:t>
            </w:r>
          </w:p>
        </w:tc>
        <w:tc>
          <w:tcPr>
            <w:tcW w:w="6485" w:type="dxa"/>
          </w:tcPr>
          <w:p w14:paraId="2A17C9AE"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Calibri"/>
                <w:color w:val="000000"/>
              </w:rPr>
            </w:pPr>
            <w:r w:rsidRPr="000E2E3F">
              <w:rPr>
                <w:rFonts w:cs="ArialNarrow"/>
              </w:rPr>
              <w:t>Confidence Interval</w:t>
            </w:r>
          </w:p>
        </w:tc>
      </w:tr>
      <w:tr w:rsidR="00F30851" w:rsidRPr="000E2E3F" w14:paraId="7574B135"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4E341F47" w14:textId="77777777" w:rsidR="00F30851" w:rsidRPr="000E2E3F" w:rsidRDefault="00F30851" w:rsidP="00F30851">
            <w:pPr>
              <w:rPr>
                <w:rFonts w:cs="ArialNarrow"/>
              </w:rPr>
            </w:pPr>
            <w:r w:rsidRPr="000E2E3F">
              <w:rPr>
                <w:rFonts w:cs="ArialNarrow"/>
              </w:rPr>
              <w:t>D-QIV</w:t>
            </w:r>
          </w:p>
        </w:tc>
        <w:tc>
          <w:tcPr>
            <w:tcW w:w="6485" w:type="dxa"/>
          </w:tcPr>
          <w:p w14:paraId="40A0D769" w14:textId="77777777" w:rsidR="00F30851" w:rsidRPr="000E2E3F" w:rsidRDefault="00F30851" w:rsidP="002A4D92">
            <w:pPr>
              <w:cnfStyle w:val="000000000000" w:firstRow="0" w:lastRow="0" w:firstColumn="0" w:lastColumn="0" w:oddVBand="0" w:evenVBand="0" w:oddHBand="0" w:evenHBand="0" w:firstRowFirstColumn="0" w:firstRowLastColumn="0" w:lastRowFirstColumn="0" w:lastRowLastColumn="0"/>
              <w:rPr>
                <w:rFonts w:cs="ArialNarrow"/>
                <w:vertAlign w:val="superscript"/>
              </w:rPr>
            </w:pPr>
            <w:r w:rsidRPr="000E2E3F">
              <w:rPr>
                <w:rFonts w:cs="ArialNarrow"/>
              </w:rPr>
              <w:t>Fluarix Tetra</w:t>
            </w:r>
          </w:p>
        </w:tc>
      </w:tr>
      <w:tr w:rsidR="00F30851" w:rsidRPr="000E2E3F" w14:paraId="05556101"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18BF24D5" w14:textId="77777777" w:rsidR="00F30851" w:rsidRPr="000E2E3F" w:rsidRDefault="00F30851" w:rsidP="00F30851">
            <w:pPr>
              <w:rPr>
                <w:rFonts w:cs="ArialNarrow"/>
              </w:rPr>
            </w:pPr>
            <w:r w:rsidRPr="001E2ADB">
              <w:rPr>
                <w:rFonts w:cs="ArialNarrow"/>
              </w:rPr>
              <w:t>ELISA</w:t>
            </w:r>
          </w:p>
        </w:tc>
        <w:tc>
          <w:tcPr>
            <w:tcW w:w="6485" w:type="dxa"/>
          </w:tcPr>
          <w:p w14:paraId="77F4CC7A"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Pr>
                <w:rFonts w:cs="ArialNarrow"/>
              </w:rPr>
              <w:t xml:space="preserve">Enzyme </w:t>
            </w:r>
            <w:r w:rsidRPr="001E2ADB">
              <w:rPr>
                <w:rFonts w:cs="ArialNarrow"/>
              </w:rPr>
              <w:t xml:space="preserve">linked immunosorbent assay </w:t>
            </w:r>
          </w:p>
        </w:tc>
      </w:tr>
      <w:tr w:rsidR="00F30851" w:rsidRPr="000C52D5" w14:paraId="2ED028B0"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3777206E" w14:textId="77777777" w:rsidR="00F30851" w:rsidRPr="000E2E3F" w:rsidRDefault="00F30851" w:rsidP="00F30851">
            <w:pPr>
              <w:rPr>
                <w:rFonts w:cs="ArialNarrow"/>
              </w:rPr>
            </w:pPr>
            <w:r>
              <w:rPr>
                <w:rFonts w:cs="ArialNarrow"/>
              </w:rPr>
              <w:t>ESS</w:t>
            </w:r>
          </w:p>
        </w:tc>
        <w:tc>
          <w:tcPr>
            <w:tcW w:w="6485" w:type="dxa"/>
          </w:tcPr>
          <w:p w14:paraId="7023F739" w14:textId="77777777" w:rsidR="00F30851" w:rsidRPr="000C52D5"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C52D5">
              <w:rPr>
                <w:rFonts w:cstheme="majorHAnsi"/>
                <w:lang w:eastAsia="ja-JP"/>
              </w:rPr>
              <w:t>Enhanced safety surveillance</w:t>
            </w:r>
          </w:p>
        </w:tc>
      </w:tr>
      <w:tr w:rsidR="00F30851" w:rsidRPr="000E2E3F" w14:paraId="69EBDBF6"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02B5BFD5" w14:textId="77777777" w:rsidR="00F30851" w:rsidRPr="000E2E3F" w:rsidRDefault="00F30851" w:rsidP="00F30851">
            <w:pPr>
              <w:rPr>
                <w:rFonts w:cs="ArialNarrow"/>
              </w:rPr>
            </w:pPr>
            <w:r w:rsidRPr="000E2E3F">
              <w:rPr>
                <w:rFonts w:cs="ArialNarrow"/>
              </w:rPr>
              <w:t>EU</w:t>
            </w:r>
          </w:p>
        </w:tc>
        <w:tc>
          <w:tcPr>
            <w:tcW w:w="6485" w:type="dxa"/>
          </w:tcPr>
          <w:p w14:paraId="118D0455"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European Union</w:t>
            </w:r>
          </w:p>
        </w:tc>
      </w:tr>
      <w:tr w:rsidR="00F30851" w:rsidRPr="000E2E3F" w14:paraId="7A3EAF19"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18626E38" w14:textId="77777777" w:rsidR="00F30851" w:rsidRPr="000E2E3F" w:rsidRDefault="00F30851" w:rsidP="00F30851">
            <w:pPr>
              <w:rPr>
                <w:rFonts w:cs="Calibri"/>
                <w:color w:val="000000"/>
              </w:rPr>
            </w:pPr>
            <w:r w:rsidRPr="000E2E3F">
              <w:rPr>
                <w:rFonts w:cs="ArialNarrow"/>
              </w:rPr>
              <w:t>FDA</w:t>
            </w:r>
          </w:p>
        </w:tc>
        <w:tc>
          <w:tcPr>
            <w:tcW w:w="6485" w:type="dxa"/>
          </w:tcPr>
          <w:p w14:paraId="132B2BDE"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Food and Drug Administration</w:t>
            </w:r>
          </w:p>
        </w:tc>
      </w:tr>
      <w:tr w:rsidR="00F84712" w:rsidRPr="000E2E3F" w14:paraId="4E412FDA"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51D04EE9" w14:textId="77777777" w:rsidR="00F84712" w:rsidRPr="000E2E3F" w:rsidRDefault="00F84712" w:rsidP="00F84712">
            <w:pPr>
              <w:rPr>
                <w:rFonts w:cs="ArialNarrow"/>
              </w:rPr>
            </w:pPr>
            <w:r>
              <w:rPr>
                <w:rFonts w:cs="ArialNarrow"/>
              </w:rPr>
              <w:t>Fluarix Tetra IP</w:t>
            </w:r>
          </w:p>
        </w:tc>
        <w:tc>
          <w:tcPr>
            <w:tcW w:w="6485" w:type="dxa"/>
          </w:tcPr>
          <w:p w14:paraId="3F703229" w14:textId="77777777" w:rsidR="00F84712" w:rsidRPr="000E2E3F" w:rsidRDefault="00F84712" w:rsidP="00F30851">
            <w:pPr>
              <w:cnfStyle w:val="000000000000" w:firstRow="0" w:lastRow="0" w:firstColumn="0" w:lastColumn="0" w:oddVBand="0" w:evenVBand="0" w:oddHBand="0" w:evenHBand="0" w:firstRowFirstColumn="0" w:firstRowLastColumn="0" w:lastRowFirstColumn="0" w:lastRowLastColumn="0"/>
              <w:rPr>
                <w:rFonts w:cs="ArialNarrow"/>
              </w:rPr>
            </w:pPr>
            <w:r w:rsidRPr="00F84712">
              <w:rPr>
                <w:rFonts w:cs="ArialNarrow"/>
              </w:rPr>
              <w:t>Fluarix Tetra</w:t>
            </w:r>
            <w:r>
              <w:rPr>
                <w:rFonts w:cs="ArialNarrow"/>
              </w:rPr>
              <w:t xml:space="preserve"> from investigational process (IP)</w:t>
            </w:r>
          </w:p>
        </w:tc>
      </w:tr>
      <w:tr w:rsidR="00F84712" w:rsidRPr="000E2E3F" w14:paraId="618BAA88"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35D599AF" w14:textId="77777777" w:rsidR="00F84712" w:rsidRPr="000E2E3F" w:rsidRDefault="00F84712" w:rsidP="00F30851">
            <w:pPr>
              <w:rPr>
                <w:rFonts w:cs="ArialNarrow"/>
              </w:rPr>
            </w:pPr>
            <w:r>
              <w:rPr>
                <w:rFonts w:cs="ArialNarrow"/>
              </w:rPr>
              <w:t>Fluarix Tetra LP</w:t>
            </w:r>
          </w:p>
        </w:tc>
        <w:tc>
          <w:tcPr>
            <w:tcW w:w="6485" w:type="dxa"/>
          </w:tcPr>
          <w:p w14:paraId="5E75A018" w14:textId="77777777" w:rsidR="00F84712" w:rsidRPr="000E2E3F" w:rsidRDefault="00F84712" w:rsidP="00F30851">
            <w:pPr>
              <w:cnfStyle w:val="000000000000" w:firstRow="0" w:lastRow="0" w:firstColumn="0" w:lastColumn="0" w:oddVBand="0" w:evenVBand="0" w:oddHBand="0" w:evenHBand="0" w:firstRowFirstColumn="0" w:firstRowLastColumn="0" w:lastRowFirstColumn="0" w:lastRowLastColumn="0"/>
              <w:rPr>
                <w:rFonts w:cs="ArialNarrow"/>
              </w:rPr>
            </w:pPr>
            <w:r w:rsidRPr="00F84712">
              <w:rPr>
                <w:rFonts w:cs="ArialNarrow"/>
              </w:rPr>
              <w:t>Fluarix Tetra</w:t>
            </w:r>
            <w:r>
              <w:rPr>
                <w:rFonts w:cs="ArialNarrow"/>
              </w:rPr>
              <w:t xml:space="preserve"> from licensed process (LP)</w:t>
            </w:r>
          </w:p>
        </w:tc>
      </w:tr>
      <w:tr w:rsidR="00F30851" w:rsidRPr="000E2E3F" w14:paraId="67A81147"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461A203D" w14:textId="77777777" w:rsidR="00F30851" w:rsidRPr="000E2E3F" w:rsidRDefault="00F30851" w:rsidP="00F30851">
            <w:pPr>
              <w:rPr>
                <w:rFonts w:cs="ArialNarrow"/>
              </w:rPr>
            </w:pPr>
            <w:r w:rsidRPr="000E2E3F">
              <w:rPr>
                <w:rFonts w:cs="ArialNarrow"/>
              </w:rPr>
              <w:t>GBS</w:t>
            </w:r>
          </w:p>
        </w:tc>
        <w:tc>
          <w:tcPr>
            <w:tcW w:w="6485" w:type="dxa"/>
          </w:tcPr>
          <w:p w14:paraId="73538F29"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Guillain Barré syndrome</w:t>
            </w:r>
          </w:p>
        </w:tc>
      </w:tr>
      <w:tr w:rsidR="00F30851" w:rsidRPr="000E2E3F" w14:paraId="0BC3B9A4"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35ABB486" w14:textId="77777777" w:rsidR="00F30851" w:rsidRPr="000E2E3F" w:rsidRDefault="00F30851" w:rsidP="00F30851">
            <w:pPr>
              <w:rPr>
                <w:rFonts w:cs="Calibri"/>
                <w:color w:val="000000"/>
              </w:rPr>
            </w:pPr>
            <w:r w:rsidRPr="000E2E3F">
              <w:rPr>
                <w:rFonts w:cs="ArialNarrow"/>
              </w:rPr>
              <w:t>GCP</w:t>
            </w:r>
          </w:p>
        </w:tc>
        <w:tc>
          <w:tcPr>
            <w:tcW w:w="6485" w:type="dxa"/>
          </w:tcPr>
          <w:p w14:paraId="17394975"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Good Clinical Practice</w:t>
            </w:r>
          </w:p>
        </w:tc>
      </w:tr>
      <w:tr w:rsidR="00F30851" w:rsidRPr="000E2E3F" w14:paraId="0F6E64B6"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6EB57B87" w14:textId="77777777" w:rsidR="00F30851" w:rsidRPr="000E2E3F" w:rsidRDefault="00F30851" w:rsidP="00F30851">
            <w:pPr>
              <w:rPr>
                <w:rFonts w:cs="Calibri"/>
              </w:rPr>
            </w:pPr>
            <w:r w:rsidRPr="000E2E3F">
              <w:rPr>
                <w:rFonts w:cs="ArialNarrow"/>
              </w:rPr>
              <w:t>GMTs</w:t>
            </w:r>
          </w:p>
        </w:tc>
        <w:tc>
          <w:tcPr>
            <w:tcW w:w="6485" w:type="dxa"/>
          </w:tcPr>
          <w:p w14:paraId="4350D7AA"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Geometric Mean Titres</w:t>
            </w:r>
          </w:p>
        </w:tc>
      </w:tr>
      <w:tr w:rsidR="00F30851" w:rsidRPr="000E2E3F" w14:paraId="0A7E91D4"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191A4654" w14:textId="26E24BCF" w:rsidR="00F30851" w:rsidRPr="000E2E3F" w:rsidRDefault="00025502" w:rsidP="00F30851">
            <w:pPr>
              <w:rPr>
                <w:rFonts w:cs="Calibri"/>
              </w:rPr>
            </w:pPr>
            <w:proofErr w:type="spellStart"/>
            <w:r w:rsidRPr="000E2E3F">
              <w:rPr>
                <w:rFonts w:cs="Calibri"/>
              </w:rPr>
              <w:t>G</w:t>
            </w:r>
            <w:r w:rsidR="00F30851" w:rsidRPr="000E2E3F">
              <w:rPr>
                <w:rFonts w:cs="Calibri"/>
              </w:rPr>
              <w:t>p</w:t>
            </w:r>
            <w:proofErr w:type="spellEnd"/>
          </w:p>
        </w:tc>
        <w:tc>
          <w:tcPr>
            <w:tcW w:w="6485" w:type="dxa"/>
          </w:tcPr>
          <w:p w14:paraId="2008BE70"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Group</w:t>
            </w:r>
          </w:p>
        </w:tc>
      </w:tr>
      <w:tr w:rsidR="00F30851" w:rsidRPr="000E2E3F" w14:paraId="524210CC"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34AD1BE7" w14:textId="77777777" w:rsidR="00F30851" w:rsidRPr="000E2E3F" w:rsidRDefault="00F30851" w:rsidP="00F30851">
            <w:pPr>
              <w:rPr>
                <w:rFonts w:cs="Calibri"/>
                <w:i/>
                <w:iCs/>
              </w:rPr>
            </w:pPr>
            <w:r w:rsidRPr="000E2E3F">
              <w:rPr>
                <w:rFonts w:cs="ArialNarrow"/>
              </w:rPr>
              <w:t>HA</w:t>
            </w:r>
          </w:p>
        </w:tc>
        <w:tc>
          <w:tcPr>
            <w:tcW w:w="6485" w:type="dxa"/>
          </w:tcPr>
          <w:p w14:paraId="701434FF"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Haemagglutinin</w:t>
            </w:r>
          </w:p>
        </w:tc>
      </w:tr>
      <w:tr w:rsidR="00F30851" w:rsidRPr="000E2E3F" w14:paraId="7DF92884"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4B8B4D2E" w14:textId="77777777" w:rsidR="00F30851" w:rsidRPr="000E2E3F" w:rsidRDefault="00F30851" w:rsidP="00F30851">
            <w:pPr>
              <w:rPr>
                <w:rFonts w:cs="Calibri"/>
                <w:i/>
                <w:iCs/>
              </w:rPr>
            </w:pPr>
            <w:r w:rsidRPr="000E2E3F">
              <w:rPr>
                <w:rFonts w:cs="ArialNarrow"/>
              </w:rPr>
              <w:t>HI</w:t>
            </w:r>
          </w:p>
        </w:tc>
        <w:tc>
          <w:tcPr>
            <w:tcW w:w="6485" w:type="dxa"/>
          </w:tcPr>
          <w:p w14:paraId="3A1CCD34"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Haemagglutination Inhibition</w:t>
            </w:r>
          </w:p>
        </w:tc>
      </w:tr>
      <w:tr w:rsidR="00F30851" w:rsidRPr="0082696E" w14:paraId="0B58C532"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5A944DFB" w14:textId="77777777" w:rsidR="00F30851" w:rsidRPr="0082696E" w:rsidRDefault="00F30851" w:rsidP="00F30851">
            <w:pPr>
              <w:rPr>
                <w:rFonts w:cs="ArialNarrow"/>
              </w:rPr>
            </w:pPr>
            <w:r w:rsidRPr="0082696E">
              <w:rPr>
                <w:rFonts w:cs="ArialNarrow"/>
              </w:rPr>
              <w:t>ICH</w:t>
            </w:r>
          </w:p>
        </w:tc>
        <w:tc>
          <w:tcPr>
            <w:tcW w:w="6485" w:type="dxa"/>
          </w:tcPr>
          <w:p w14:paraId="0680841B"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82696E">
              <w:rPr>
                <w:rFonts w:cs="ArialNarrow"/>
              </w:rPr>
              <w:t>International Conference on Harmonization</w:t>
            </w:r>
          </w:p>
        </w:tc>
      </w:tr>
      <w:tr w:rsidR="00F30851" w:rsidRPr="0082696E" w14:paraId="2063A47D"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6791CA48" w14:textId="5282FF3E" w:rsidR="00F30851" w:rsidRPr="0082696E" w:rsidRDefault="00F30851" w:rsidP="00025502">
            <w:pPr>
              <w:rPr>
                <w:rFonts w:cs="ArialNarrow"/>
              </w:rPr>
            </w:pPr>
            <w:r w:rsidRPr="0082696E">
              <w:rPr>
                <w:rFonts w:cs="ArialNarrow"/>
              </w:rPr>
              <w:lastRenderedPageBreak/>
              <w:t>ILI</w:t>
            </w:r>
          </w:p>
        </w:tc>
        <w:tc>
          <w:tcPr>
            <w:tcW w:w="6485" w:type="dxa"/>
          </w:tcPr>
          <w:p w14:paraId="5F0A120F"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Calibri"/>
                <w:color w:val="000000"/>
              </w:rPr>
            </w:pPr>
            <w:r w:rsidRPr="0082696E">
              <w:rPr>
                <w:rFonts w:cs="ArialNarrow"/>
              </w:rPr>
              <w:t>Influenza like Infection</w:t>
            </w:r>
          </w:p>
        </w:tc>
      </w:tr>
      <w:tr w:rsidR="00F30851" w:rsidRPr="0082696E" w14:paraId="12743F4B"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29AA1D7D" w14:textId="0686CC76" w:rsidR="00F30851" w:rsidRPr="0082696E" w:rsidRDefault="00F30851" w:rsidP="00025502">
            <w:pPr>
              <w:rPr>
                <w:rFonts w:cs="ArialNarrow"/>
              </w:rPr>
            </w:pPr>
            <w:r w:rsidRPr="0082696E">
              <w:rPr>
                <w:rFonts w:cs="ArialNarrow"/>
              </w:rPr>
              <w:t>IM</w:t>
            </w:r>
          </w:p>
        </w:tc>
        <w:tc>
          <w:tcPr>
            <w:tcW w:w="6485" w:type="dxa"/>
          </w:tcPr>
          <w:p w14:paraId="7E3A0239"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Calibri"/>
                <w:color w:val="000000"/>
              </w:rPr>
            </w:pPr>
            <w:r w:rsidRPr="0082696E">
              <w:rPr>
                <w:rFonts w:cs="ArialNarrow"/>
              </w:rPr>
              <w:t>Intramuscular</w:t>
            </w:r>
          </w:p>
        </w:tc>
      </w:tr>
      <w:tr w:rsidR="00F30851" w:rsidRPr="0082696E" w14:paraId="48F81CF1"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10ACDA05" w14:textId="77777777" w:rsidR="00F30851" w:rsidRPr="0082696E" w:rsidRDefault="00F30851" w:rsidP="00F30851">
            <w:pPr>
              <w:rPr>
                <w:rFonts w:cs="ArialNarrow"/>
              </w:rPr>
            </w:pPr>
            <w:r w:rsidRPr="0082696E">
              <w:rPr>
                <w:rFonts w:cs="ArialNarrow"/>
              </w:rPr>
              <w:t>ITT</w:t>
            </w:r>
          </w:p>
        </w:tc>
        <w:tc>
          <w:tcPr>
            <w:tcW w:w="6485" w:type="dxa"/>
          </w:tcPr>
          <w:p w14:paraId="5234A704"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82696E">
              <w:rPr>
                <w:rFonts w:cs="ArialNarrow"/>
              </w:rPr>
              <w:t>Intention to treat</w:t>
            </w:r>
          </w:p>
        </w:tc>
      </w:tr>
      <w:tr w:rsidR="00F30851" w:rsidRPr="0082696E" w14:paraId="5B23C77D"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717B373E" w14:textId="77777777" w:rsidR="00F30851" w:rsidRPr="0082696E" w:rsidRDefault="00F30851" w:rsidP="00F30851">
            <w:pPr>
              <w:rPr>
                <w:rFonts w:cs="ArialNarrow"/>
              </w:rPr>
            </w:pPr>
            <w:r w:rsidRPr="0082696E">
              <w:rPr>
                <w:rFonts w:cs="ArialNarrow"/>
              </w:rPr>
              <w:t>LAR</w:t>
            </w:r>
          </w:p>
        </w:tc>
        <w:tc>
          <w:tcPr>
            <w:tcW w:w="6485" w:type="dxa"/>
          </w:tcPr>
          <w:p w14:paraId="1F0342BB"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Pr>
                <w:rFonts w:eastAsia="TimesNewRoman" w:cs="TimesNewRoman"/>
              </w:rPr>
              <w:t>L</w:t>
            </w:r>
            <w:r w:rsidRPr="0082696E">
              <w:rPr>
                <w:rFonts w:eastAsia="TimesNewRoman" w:cs="TimesNewRoman"/>
              </w:rPr>
              <w:t>egally authorised representative.</w:t>
            </w:r>
          </w:p>
        </w:tc>
      </w:tr>
      <w:tr w:rsidR="00F30851" w:rsidRPr="0082696E" w14:paraId="4178BAFE"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06A8F229" w14:textId="77777777" w:rsidR="00F30851" w:rsidRPr="0082696E" w:rsidRDefault="00F30851" w:rsidP="00F30851">
            <w:pPr>
              <w:rPr>
                <w:rFonts w:cs="ArialNarrow"/>
              </w:rPr>
            </w:pPr>
            <w:r w:rsidRPr="0082696E">
              <w:rPr>
                <w:rFonts w:cs="ArialNarrow"/>
              </w:rPr>
              <w:t>LRI</w:t>
            </w:r>
          </w:p>
        </w:tc>
        <w:tc>
          <w:tcPr>
            <w:tcW w:w="6485" w:type="dxa"/>
          </w:tcPr>
          <w:p w14:paraId="1A5ECA04"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82696E">
              <w:rPr>
                <w:rFonts w:cs="ArialNarrow"/>
              </w:rPr>
              <w:t>Low respiratory infection</w:t>
            </w:r>
          </w:p>
        </w:tc>
      </w:tr>
      <w:tr w:rsidR="00F30851" w:rsidRPr="0082696E" w14:paraId="4F5B06E5"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4FAA7D50" w14:textId="7C5E83A9" w:rsidR="00F30851" w:rsidRPr="0082696E" w:rsidRDefault="00F30851" w:rsidP="00025502">
            <w:pPr>
              <w:rPr>
                <w:rFonts w:cs="ArialNarrow"/>
              </w:rPr>
            </w:pPr>
            <w:r w:rsidRPr="0082696E">
              <w:rPr>
                <w:rFonts w:cs="ArialNarrow"/>
              </w:rPr>
              <w:t>MEDRA</w:t>
            </w:r>
          </w:p>
        </w:tc>
        <w:tc>
          <w:tcPr>
            <w:tcW w:w="6485" w:type="dxa"/>
          </w:tcPr>
          <w:p w14:paraId="5A963423"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Calibri"/>
                <w:color w:val="000000"/>
              </w:rPr>
            </w:pPr>
            <w:r w:rsidRPr="0082696E">
              <w:rPr>
                <w:rFonts w:cs="ArialNarrow"/>
              </w:rPr>
              <w:t>Medical Dictionary for Regulatory Activities</w:t>
            </w:r>
          </w:p>
        </w:tc>
      </w:tr>
      <w:tr w:rsidR="00F30851" w:rsidRPr="000E2E3F" w14:paraId="1070566F"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72245368" w14:textId="77777777" w:rsidR="00F30851" w:rsidRPr="000E2E3F" w:rsidRDefault="00F30851" w:rsidP="00F30851">
            <w:pPr>
              <w:rPr>
                <w:rFonts w:cs="ArialNarrow"/>
              </w:rPr>
            </w:pPr>
            <w:r w:rsidRPr="000E2E3F">
              <w:rPr>
                <w:rFonts w:cs="ArialNarrow"/>
              </w:rPr>
              <w:t>MAVs</w:t>
            </w:r>
          </w:p>
        </w:tc>
        <w:tc>
          <w:tcPr>
            <w:tcW w:w="6485" w:type="dxa"/>
          </w:tcPr>
          <w:p w14:paraId="76A0C346"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Pr>
                <w:rFonts w:cs="ArialNarrow"/>
              </w:rPr>
              <w:t>M</w:t>
            </w:r>
            <w:r w:rsidRPr="000E2E3F">
              <w:rPr>
                <w:rFonts w:cs="ArialNarrow"/>
              </w:rPr>
              <w:t>edically attended visits</w:t>
            </w:r>
          </w:p>
        </w:tc>
      </w:tr>
      <w:tr w:rsidR="00F30851" w:rsidRPr="000E2E3F" w14:paraId="01716187"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40B0997F" w14:textId="77777777" w:rsidR="00F30851" w:rsidRPr="000E2E3F" w:rsidRDefault="00F30851" w:rsidP="00F30851">
            <w:pPr>
              <w:rPr>
                <w:rFonts w:cs="ArialNarrow"/>
              </w:rPr>
            </w:pPr>
            <w:r w:rsidRPr="000E2E3F">
              <w:rPr>
                <w:rFonts w:eastAsia="TimesNewRoman" w:cs="TimesNewRoman"/>
              </w:rPr>
              <w:t>MGI</w:t>
            </w:r>
          </w:p>
        </w:tc>
        <w:tc>
          <w:tcPr>
            <w:tcW w:w="6485" w:type="dxa"/>
          </w:tcPr>
          <w:p w14:paraId="51FD6751"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eastAsia="TimesNewRoman" w:cs="TimesNewRoman"/>
              </w:rPr>
              <w:t>Mean geometric increase</w:t>
            </w:r>
          </w:p>
        </w:tc>
      </w:tr>
      <w:tr w:rsidR="00F30851" w:rsidRPr="000E2E3F" w14:paraId="6E113E4A"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75B71603" w14:textId="77777777" w:rsidR="00F30851" w:rsidRPr="000E2E3F" w:rsidRDefault="00F30851" w:rsidP="00F30851">
            <w:pPr>
              <w:rPr>
                <w:rFonts w:cs="ArialNarrow"/>
              </w:rPr>
            </w:pPr>
            <w:r w:rsidRPr="00013AAC">
              <w:rPr>
                <w:rFonts w:cs="ArialNarrow"/>
              </w:rPr>
              <w:t>PBRER</w:t>
            </w:r>
          </w:p>
        </w:tc>
        <w:tc>
          <w:tcPr>
            <w:tcW w:w="6485" w:type="dxa"/>
          </w:tcPr>
          <w:p w14:paraId="0BD4641C"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13AAC">
              <w:rPr>
                <w:rFonts w:cs="ArialNarrow"/>
              </w:rPr>
              <w:t>Period Benefit Risk Evaluation Report</w:t>
            </w:r>
          </w:p>
        </w:tc>
      </w:tr>
      <w:tr w:rsidR="00F30851" w:rsidRPr="000E2E3F" w14:paraId="09DA786B"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268F9EF6" w14:textId="146CEB13" w:rsidR="00F30851" w:rsidRPr="000E2E3F" w:rsidRDefault="00025502" w:rsidP="00F30851">
            <w:pPr>
              <w:rPr>
                <w:rFonts w:cs="ArialNarrow"/>
              </w:rPr>
            </w:pPr>
            <w:r>
              <w:rPr>
                <w:rFonts w:cs="ArialNarrow"/>
              </w:rPr>
              <w:t>PI</w:t>
            </w:r>
          </w:p>
        </w:tc>
        <w:tc>
          <w:tcPr>
            <w:tcW w:w="6485" w:type="dxa"/>
          </w:tcPr>
          <w:p w14:paraId="6ED2036E"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Prescribing Information</w:t>
            </w:r>
          </w:p>
        </w:tc>
      </w:tr>
      <w:tr w:rsidR="00F30851" w:rsidRPr="000E2E3F" w14:paraId="5129E6D0"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1D4A5240" w14:textId="3182F592" w:rsidR="00F30851" w:rsidRPr="000E2E3F" w:rsidRDefault="00F30851" w:rsidP="00025502">
            <w:pPr>
              <w:rPr>
                <w:rFonts w:cs="Calibri"/>
              </w:rPr>
            </w:pPr>
            <w:proofErr w:type="spellStart"/>
            <w:r w:rsidRPr="000E2E3F">
              <w:t>pIMDs</w:t>
            </w:r>
            <w:proofErr w:type="spellEnd"/>
          </w:p>
        </w:tc>
        <w:tc>
          <w:tcPr>
            <w:tcW w:w="6485" w:type="dxa"/>
          </w:tcPr>
          <w:p w14:paraId="47422FA0"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t>potential Immune-Mediated-Diseases</w:t>
            </w:r>
          </w:p>
        </w:tc>
      </w:tr>
      <w:tr w:rsidR="00F30851" w:rsidRPr="000E2E3F" w14:paraId="136C1606"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4F88A3A9" w14:textId="77777777" w:rsidR="00F30851" w:rsidRPr="000E2E3F" w:rsidRDefault="00F30851" w:rsidP="00F30851">
            <w:pPr>
              <w:rPr>
                <w:rFonts w:cs="Calibri"/>
              </w:rPr>
            </w:pPr>
            <w:r w:rsidRPr="000E2E3F">
              <w:rPr>
                <w:rFonts w:cs="Calibri"/>
              </w:rPr>
              <w:t>PP</w:t>
            </w:r>
          </w:p>
        </w:tc>
        <w:tc>
          <w:tcPr>
            <w:tcW w:w="6485" w:type="dxa"/>
          </w:tcPr>
          <w:p w14:paraId="47FB6C07"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Per protocol</w:t>
            </w:r>
          </w:p>
        </w:tc>
      </w:tr>
      <w:tr w:rsidR="00F30851" w:rsidRPr="000E2E3F" w14:paraId="00BCC610"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3495909D" w14:textId="77777777" w:rsidR="00F30851" w:rsidRPr="000E2E3F" w:rsidRDefault="00F30851" w:rsidP="00F30851">
            <w:pPr>
              <w:rPr>
                <w:rFonts w:cs="Calibri"/>
              </w:rPr>
            </w:pPr>
            <w:r w:rsidRPr="000E2E3F">
              <w:rPr>
                <w:rFonts w:cs="Calibri"/>
              </w:rPr>
              <w:t>PT</w:t>
            </w:r>
          </w:p>
        </w:tc>
        <w:tc>
          <w:tcPr>
            <w:tcW w:w="6485" w:type="dxa"/>
          </w:tcPr>
          <w:p w14:paraId="68D9A5DC"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pPr>
            <w:r w:rsidRPr="000E2E3F">
              <w:t>Preferred Term</w:t>
            </w:r>
          </w:p>
        </w:tc>
      </w:tr>
      <w:tr w:rsidR="00F30851" w:rsidRPr="000E2E3F" w14:paraId="0DDC35CC"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6506FED2" w14:textId="77777777" w:rsidR="00F30851" w:rsidRPr="000E2E3F" w:rsidRDefault="00F30851" w:rsidP="00F30851">
            <w:pPr>
              <w:rPr>
                <w:rFonts w:cs="Calibri"/>
              </w:rPr>
            </w:pPr>
            <w:r w:rsidRPr="000E2E3F">
              <w:rPr>
                <w:rFonts w:cs="Calibri"/>
              </w:rPr>
              <w:t>QIV</w:t>
            </w:r>
          </w:p>
        </w:tc>
        <w:tc>
          <w:tcPr>
            <w:tcW w:w="6485" w:type="dxa"/>
          </w:tcPr>
          <w:p w14:paraId="586AA22B"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t>Quadrivalent inactivated Influenza Vaccine</w:t>
            </w:r>
          </w:p>
        </w:tc>
      </w:tr>
      <w:tr w:rsidR="00F30851" w:rsidRPr="000E2E3F" w14:paraId="4FFC731B"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54089558" w14:textId="77777777" w:rsidR="00F30851" w:rsidRPr="000E2E3F" w:rsidRDefault="00F30851" w:rsidP="00F30851">
            <w:pPr>
              <w:rPr>
                <w:rFonts w:cs="ArialNarrow"/>
              </w:rPr>
            </w:pPr>
            <w:r w:rsidRPr="000E2E3F">
              <w:rPr>
                <w:rFonts w:cs="ArialNarrow"/>
              </w:rPr>
              <w:t>RMP</w:t>
            </w:r>
          </w:p>
        </w:tc>
        <w:tc>
          <w:tcPr>
            <w:tcW w:w="6485" w:type="dxa"/>
          </w:tcPr>
          <w:p w14:paraId="685640AF"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Risk Management Plan</w:t>
            </w:r>
          </w:p>
        </w:tc>
      </w:tr>
      <w:tr w:rsidR="00F30851" w:rsidRPr="000E2E3F" w14:paraId="32BC3271"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22D8C47A" w14:textId="77777777" w:rsidR="00F30851" w:rsidRPr="000E2E3F" w:rsidRDefault="00F30851" w:rsidP="00F30851">
            <w:pPr>
              <w:rPr>
                <w:rFonts w:cs="ArialNarrow"/>
              </w:rPr>
            </w:pPr>
            <w:r>
              <w:rPr>
                <w:rFonts w:cs="ArialNarrow"/>
              </w:rPr>
              <w:t>RRA</w:t>
            </w:r>
          </w:p>
        </w:tc>
        <w:tc>
          <w:tcPr>
            <w:tcW w:w="6485" w:type="dxa"/>
          </w:tcPr>
          <w:p w14:paraId="70F644D9"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674821">
              <w:rPr>
                <w:rFonts w:cs="ArialNarrow"/>
              </w:rPr>
              <w:t>Recruitment/Randomisation agreement</w:t>
            </w:r>
          </w:p>
        </w:tc>
      </w:tr>
      <w:tr w:rsidR="00F30851" w:rsidRPr="000E2E3F" w14:paraId="1ADF38FA"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78E7EB65" w14:textId="77777777" w:rsidR="00F30851" w:rsidRPr="000E2E3F" w:rsidRDefault="00F30851" w:rsidP="00F30851">
            <w:pPr>
              <w:rPr>
                <w:rFonts w:cs="ArialNarrow"/>
              </w:rPr>
            </w:pPr>
            <w:r>
              <w:rPr>
                <w:rFonts w:cs="ArialNarrow"/>
              </w:rPr>
              <w:t>RT-PCR</w:t>
            </w:r>
          </w:p>
        </w:tc>
        <w:tc>
          <w:tcPr>
            <w:tcW w:w="6485" w:type="dxa"/>
          </w:tcPr>
          <w:p w14:paraId="743E736E"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674821">
              <w:rPr>
                <w:rFonts w:cs="ArialNarrow"/>
              </w:rPr>
              <w:t>Reverse Transcription Polymerase Chain Reaction</w:t>
            </w:r>
          </w:p>
        </w:tc>
      </w:tr>
      <w:tr w:rsidR="00F30851" w:rsidRPr="000E2E3F" w14:paraId="4A5C29BC"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00998599" w14:textId="6A2448FA" w:rsidR="00F30851" w:rsidRPr="000E2E3F" w:rsidRDefault="00025502" w:rsidP="00F30851">
            <w:pPr>
              <w:rPr>
                <w:rFonts w:cs="ArialNarrow"/>
              </w:rPr>
            </w:pPr>
            <w:r>
              <w:rPr>
                <w:rFonts w:cs="ArialNarrow"/>
              </w:rPr>
              <w:t>SAE</w:t>
            </w:r>
          </w:p>
        </w:tc>
        <w:tc>
          <w:tcPr>
            <w:tcW w:w="6485" w:type="dxa"/>
          </w:tcPr>
          <w:p w14:paraId="1CA6E998"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Calibri"/>
                <w:color w:val="000000"/>
              </w:rPr>
            </w:pPr>
            <w:r w:rsidRPr="000E2E3F">
              <w:rPr>
                <w:rFonts w:cs="ArialNarrow"/>
              </w:rPr>
              <w:t>Serious Adverse Event</w:t>
            </w:r>
          </w:p>
        </w:tc>
      </w:tr>
      <w:tr w:rsidR="00F30851" w:rsidRPr="000E2E3F" w14:paraId="139BF388"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4CB9FB82" w14:textId="0D1098CF" w:rsidR="00F30851" w:rsidRPr="000E2E3F" w:rsidRDefault="00F30851" w:rsidP="00025502">
            <w:pPr>
              <w:rPr>
                <w:rFonts w:cs="ArialNarrow"/>
              </w:rPr>
            </w:pPr>
            <w:r w:rsidRPr="000E2E3F">
              <w:rPr>
                <w:rFonts w:cs="ArialNarrow"/>
              </w:rPr>
              <w:t>SCR</w:t>
            </w:r>
          </w:p>
        </w:tc>
        <w:tc>
          <w:tcPr>
            <w:tcW w:w="6485" w:type="dxa"/>
          </w:tcPr>
          <w:p w14:paraId="15F28318"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Calibri"/>
                <w:color w:val="000000"/>
              </w:rPr>
            </w:pPr>
            <w:r w:rsidRPr="000E2E3F">
              <w:rPr>
                <w:rFonts w:cs="ArialNarrow"/>
              </w:rPr>
              <w:t>Seroconversion Rate</w:t>
            </w:r>
          </w:p>
        </w:tc>
      </w:tr>
      <w:tr w:rsidR="00F30851" w:rsidRPr="000E2E3F" w14:paraId="6AEA07C7"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60DA6AA4" w14:textId="77777777" w:rsidR="00F30851" w:rsidRPr="000E2E3F" w:rsidRDefault="00F30851" w:rsidP="00F30851">
            <w:pPr>
              <w:rPr>
                <w:rFonts w:cs="ArialNarrow"/>
              </w:rPr>
            </w:pPr>
            <w:r w:rsidRPr="000E2E3F">
              <w:rPr>
                <w:rFonts w:cs="ArialNarrow"/>
              </w:rPr>
              <w:t>SD</w:t>
            </w:r>
          </w:p>
        </w:tc>
        <w:tc>
          <w:tcPr>
            <w:tcW w:w="6485" w:type="dxa"/>
          </w:tcPr>
          <w:p w14:paraId="363A054C"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Pr>
                <w:rFonts w:cs="ArialNarrow"/>
              </w:rPr>
              <w:t>S</w:t>
            </w:r>
            <w:r w:rsidRPr="000E2E3F">
              <w:rPr>
                <w:rFonts w:cs="ArialNarrow"/>
              </w:rPr>
              <w:t>tandard deviation</w:t>
            </w:r>
          </w:p>
        </w:tc>
      </w:tr>
      <w:tr w:rsidR="00F30851" w:rsidRPr="000E2E3F" w14:paraId="6F4D59AB"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2F394EF6" w14:textId="77777777" w:rsidR="00F30851" w:rsidRPr="000E2E3F" w:rsidRDefault="00F30851" w:rsidP="00F30851">
            <w:pPr>
              <w:rPr>
                <w:rFonts w:cs="ArialNarrow"/>
              </w:rPr>
            </w:pPr>
            <w:r w:rsidRPr="000E2E3F">
              <w:rPr>
                <w:rFonts w:cs="ArialNarrow"/>
              </w:rPr>
              <w:t>SH</w:t>
            </w:r>
          </w:p>
        </w:tc>
        <w:tc>
          <w:tcPr>
            <w:tcW w:w="6485" w:type="dxa"/>
          </w:tcPr>
          <w:p w14:paraId="4496FBF9"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Southern Hemisphere</w:t>
            </w:r>
          </w:p>
        </w:tc>
      </w:tr>
      <w:tr w:rsidR="00F30851" w:rsidRPr="000E2E3F" w14:paraId="2A97CAF8"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0575E9A3" w14:textId="50C2E596" w:rsidR="00F30851" w:rsidRPr="000E2E3F" w:rsidRDefault="00F30851" w:rsidP="00025502">
            <w:pPr>
              <w:rPr>
                <w:rFonts w:cs="ArialNarrow"/>
              </w:rPr>
            </w:pPr>
            <w:r w:rsidRPr="000E2E3F">
              <w:rPr>
                <w:rFonts w:cs="ArialNarrow"/>
              </w:rPr>
              <w:t>SOC</w:t>
            </w:r>
          </w:p>
        </w:tc>
        <w:tc>
          <w:tcPr>
            <w:tcW w:w="6485" w:type="dxa"/>
          </w:tcPr>
          <w:p w14:paraId="1790D714"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Calibri"/>
                <w:color w:val="222222"/>
              </w:rPr>
            </w:pPr>
            <w:r w:rsidRPr="000E2E3F">
              <w:rPr>
                <w:rFonts w:cs="ArialNarrow"/>
              </w:rPr>
              <w:t>System Organ Class</w:t>
            </w:r>
          </w:p>
        </w:tc>
      </w:tr>
      <w:tr w:rsidR="00F30851" w:rsidRPr="000E2E3F" w14:paraId="457318CF"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1C52687C" w14:textId="77777777" w:rsidR="00F30851" w:rsidRPr="000E2E3F" w:rsidRDefault="00F30851" w:rsidP="00F30851">
            <w:pPr>
              <w:rPr>
                <w:rFonts w:cs="Calibri"/>
                <w:color w:val="222222"/>
              </w:rPr>
            </w:pPr>
            <w:r w:rsidRPr="000E2E3F">
              <w:rPr>
                <w:rFonts w:cs="ArialNarrow"/>
              </w:rPr>
              <w:t>SPR</w:t>
            </w:r>
          </w:p>
        </w:tc>
        <w:tc>
          <w:tcPr>
            <w:tcW w:w="6485" w:type="dxa"/>
          </w:tcPr>
          <w:p w14:paraId="207F0F1A"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Seroprotection Rate</w:t>
            </w:r>
          </w:p>
        </w:tc>
      </w:tr>
      <w:tr w:rsidR="00F30851" w:rsidRPr="000E2E3F" w14:paraId="2D86BA29"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6B8B9829" w14:textId="77777777" w:rsidR="00F30851" w:rsidRPr="000E2E3F" w:rsidRDefault="00F30851" w:rsidP="00F30851">
            <w:pPr>
              <w:rPr>
                <w:rFonts w:cs="ArialNarrow"/>
              </w:rPr>
            </w:pPr>
            <w:r w:rsidRPr="000E2E3F">
              <w:rPr>
                <w:rFonts w:cs="ArialNarrow"/>
              </w:rPr>
              <w:t>TGA</w:t>
            </w:r>
          </w:p>
        </w:tc>
        <w:tc>
          <w:tcPr>
            <w:tcW w:w="6485" w:type="dxa"/>
          </w:tcPr>
          <w:p w14:paraId="65594A5D" w14:textId="77777777" w:rsidR="00F30851" w:rsidRPr="000E2E3F"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0E2E3F">
              <w:rPr>
                <w:rFonts w:cs="ArialNarrow"/>
              </w:rPr>
              <w:t>Therapeutic Goods Administration</w:t>
            </w:r>
          </w:p>
        </w:tc>
      </w:tr>
      <w:tr w:rsidR="00F30851" w:rsidRPr="0082696E" w14:paraId="64985D0F"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24A091B6" w14:textId="77777777" w:rsidR="00F30851" w:rsidRPr="0082696E" w:rsidRDefault="00F30851" w:rsidP="00F30851">
            <w:pPr>
              <w:rPr>
                <w:rFonts w:cs="ArialNarrow"/>
              </w:rPr>
            </w:pPr>
            <w:r w:rsidRPr="0082696E">
              <w:rPr>
                <w:rFonts w:cs="ArialNarrow"/>
              </w:rPr>
              <w:t>TRAE</w:t>
            </w:r>
          </w:p>
        </w:tc>
        <w:tc>
          <w:tcPr>
            <w:tcW w:w="6485" w:type="dxa"/>
          </w:tcPr>
          <w:p w14:paraId="3F02AC4A"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Pr>
                <w:rFonts w:eastAsia="TimesNewRoman" w:cs="TimesNewRoman"/>
              </w:rPr>
              <w:t>T</w:t>
            </w:r>
            <w:r w:rsidRPr="0082696E">
              <w:rPr>
                <w:rFonts w:eastAsia="TimesNewRoman" w:cs="TimesNewRoman"/>
              </w:rPr>
              <w:t>reatment-related adverse event</w:t>
            </w:r>
          </w:p>
        </w:tc>
      </w:tr>
      <w:tr w:rsidR="00F30851" w:rsidRPr="0082696E" w14:paraId="794568D5"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443701E8" w14:textId="77777777" w:rsidR="00F30851" w:rsidRPr="0082696E" w:rsidRDefault="00F30851" w:rsidP="00F30851">
            <w:pPr>
              <w:rPr>
                <w:rFonts w:cs="ArialNarrow"/>
              </w:rPr>
            </w:pPr>
            <w:r w:rsidRPr="0082696E">
              <w:rPr>
                <w:rFonts w:eastAsia="TimesNewRoman" w:cs="TimesNewRoman"/>
              </w:rPr>
              <w:lastRenderedPageBreak/>
              <w:t>TVC</w:t>
            </w:r>
          </w:p>
        </w:tc>
        <w:tc>
          <w:tcPr>
            <w:tcW w:w="6485" w:type="dxa"/>
          </w:tcPr>
          <w:p w14:paraId="0D510BFC"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eastAsia="TimesNewRoman" w:cs="TimesNewRoman"/>
              </w:rPr>
            </w:pPr>
            <w:r>
              <w:rPr>
                <w:rFonts w:eastAsia="TimesNewRoman" w:cs="TimesNewRoman"/>
              </w:rPr>
              <w:t>T</w:t>
            </w:r>
            <w:r w:rsidRPr="0082696E">
              <w:rPr>
                <w:rFonts w:eastAsia="TimesNewRoman" w:cs="TimesNewRoman"/>
              </w:rPr>
              <w:t xml:space="preserve">he total vaccinated cohort </w:t>
            </w:r>
          </w:p>
        </w:tc>
      </w:tr>
      <w:tr w:rsidR="00F30851" w:rsidRPr="0082696E" w14:paraId="433DD5D9"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76D3AC9C" w14:textId="77777777" w:rsidR="00F30851" w:rsidRPr="0082696E" w:rsidRDefault="00F30851" w:rsidP="00F30851">
            <w:pPr>
              <w:rPr>
                <w:rFonts w:cs="ArialNarrow"/>
              </w:rPr>
            </w:pPr>
            <w:r>
              <w:rPr>
                <w:rFonts w:cs="ArialNarrow"/>
              </w:rPr>
              <w:t>URTI</w:t>
            </w:r>
          </w:p>
        </w:tc>
        <w:tc>
          <w:tcPr>
            <w:tcW w:w="6485" w:type="dxa"/>
          </w:tcPr>
          <w:p w14:paraId="3191D8FB"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Pr>
                <w:rFonts w:cs="ArialNarrow"/>
              </w:rPr>
              <w:t>Upper respiratory tract infection</w:t>
            </w:r>
          </w:p>
        </w:tc>
      </w:tr>
      <w:tr w:rsidR="00F30851" w:rsidRPr="0082696E" w14:paraId="7EE85296"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3641B64E" w14:textId="77777777" w:rsidR="00F30851" w:rsidRPr="0082696E" w:rsidRDefault="00F30851" w:rsidP="00F30851">
            <w:pPr>
              <w:rPr>
                <w:rFonts w:cs="Calibri"/>
                <w:color w:val="000000"/>
              </w:rPr>
            </w:pPr>
            <w:r w:rsidRPr="0082696E">
              <w:rPr>
                <w:rFonts w:cs="ArialNarrow"/>
              </w:rPr>
              <w:t>US</w:t>
            </w:r>
          </w:p>
        </w:tc>
        <w:tc>
          <w:tcPr>
            <w:tcW w:w="6485" w:type="dxa"/>
          </w:tcPr>
          <w:p w14:paraId="11FBAB53"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82696E">
              <w:rPr>
                <w:rFonts w:cs="ArialNarrow"/>
              </w:rPr>
              <w:t>United States</w:t>
            </w:r>
          </w:p>
        </w:tc>
      </w:tr>
      <w:tr w:rsidR="00F30851" w:rsidRPr="0082696E" w14:paraId="79F8EBCD"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31B5309D" w14:textId="77777777" w:rsidR="00F30851" w:rsidRPr="0082696E" w:rsidRDefault="00F30851" w:rsidP="00F30851">
            <w:pPr>
              <w:rPr>
                <w:rFonts w:cs="ArialNarrow"/>
              </w:rPr>
            </w:pPr>
            <w:r w:rsidRPr="0082696E">
              <w:rPr>
                <w:rFonts w:cs="ArialNarrow"/>
              </w:rPr>
              <w:t>VE</w:t>
            </w:r>
          </w:p>
        </w:tc>
        <w:tc>
          <w:tcPr>
            <w:tcW w:w="6485" w:type="dxa"/>
          </w:tcPr>
          <w:p w14:paraId="0F16D513"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82696E">
              <w:rPr>
                <w:rFonts w:cs="ArialNarrow"/>
              </w:rPr>
              <w:t>Vaccine Efficacy</w:t>
            </w:r>
          </w:p>
        </w:tc>
      </w:tr>
      <w:tr w:rsidR="00F30851" w:rsidRPr="0082696E" w14:paraId="1F30F21C"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5D7B16A0" w14:textId="77777777" w:rsidR="00F30851" w:rsidRPr="0082696E" w:rsidRDefault="00F30851" w:rsidP="00F30851">
            <w:pPr>
              <w:rPr>
                <w:rFonts w:cs="ArialNarrow"/>
              </w:rPr>
            </w:pPr>
            <w:r w:rsidRPr="0082696E">
              <w:t>VRBPAC</w:t>
            </w:r>
          </w:p>
        </w:tc>
        <w:tc>
          <w:tcPr>
            <w:tcW w:w="6485" w:type="dxa"/>
          </w:tcPr>
          <w:p w14:paraId="561FDB67"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rPr>
                <w:rFonts w:cs="ArialNarrow"/>
              </w:rPr>
            </w:pPr>
            <w:r w:rsidRPr="0082696E">
              <w:t xml:space="preserve">Vaccines and Related Biological Products Advisory Committee </w:t>
            </w:r>
          </w:p>
        </w:tc>
      </w:tr>
      <w:tr w:rsidR="00F30851" w:rsidRPr="0082696E" w14:paraId="63531AD7" w14:textId="77777777" w:rsidTr="00025502">
        <w:tc>
          <w:tcPr>
            <w:cnfStyle w:val="001000000000" w:firstRow="0" w:lastRow="0" w:firstColumn="1" w:lastColumn="0" w:oddVBand="0" w:evenVBand="0" w:oddHBand="0" w:evenHBand="0" w:firstRowFirstColumn="0" w:firstRowLastColumn="0" w:lastRowFirstColumn="0" w:lastRowLastColumn="0"/>
            <w:tcW w:w="2235" w:type="dxa"/>
          </w:tcPr>
          <w:p w14:paraId="33C4E108" w14:textId="77777777" w:rsidR="00F30851" w:rsidRPr="0082696E" w:rsidRDefault="00F30851" w:rsidP="00F30851">
            <w:pPr>
              <w:rPr>
                <w:rFonts w:cs="Calibri"/>
                <w:color w:val="000000"/>
              </w:rPr>
            </w:pPr>
            <w:r w:rsidRPr="0082696E">
              <w:rPr>
                <w:rFonts w:cs="ArialNarrow"/>
              </w:rPr>
              <w:t>WHO</w:t>
            </w:r>
          </w:p>
        </w:tc>
        <w:tc>
          <w:tcPr>
            <w:tcW w:w="6485" w:type="dxa"/>
          </w:tcPr>
          <w:p w14:paraId="22F9C6FA" w14:textId="77777777" w:rsidR="00F30851" w:rsidRPr="0082696E" w:rsidRDefault="00F30851" w:rsidP="00F30851">
            <w:pPr>
              <w:cnfStyle w:val="000000000000" w:firstRow="0" w:lastRow="0" w:firstColumn="0" w:lastColumn="0" w:oddVBand="0" w:evenVBand="0" w:oddHBand="0" w:evenHBand="0" w:firstRowFirstColumn="0" w:firstRowLastColumn="0" w:lastRowFirstColumn="0" w:lastRowLastColumn="0"/>
            </w:pPr>
            <w:r w:rsidRPr="0082696E">
              <w:rPr>
                <w:rFonts w:cs="ArialNarrow"/>
              </w:rPr>
              <w:t>World Health Organisation</w:t>
            </w:r>
          </w:p>
        </w:tc>
      </w:tr>
    </w:tbl>
    <w:p w14:paraId="4D73E453" w14:textId="77777777" w:rsidR="00ED5BF0" w:rsidRDefault="00ED5BF0">
      <w:pPr>
        <w:spacing w:before="0" w:after="200" w:line="0" w:lineRule="auto"/>
        <w:sectPr w:rsidR="00ED5BF0" w:rsidSect="008D770F">
          <w:pgSz w:w="11906" w:h="16838" w:code="9"/>
          <w:pgMar w:top="1440" w:right="1440" w:bottom="1440" w:left="1440" w:header="907" w:footer="216" w:gutter="0"/>
          <w:cols w:space="708"/>
          <w:docGrid w:linePitch="360"/>
        </w:sectPr>
      </w:pPr>
      <w:bookmarkStart w:id="8" w:name="_Toc501608164"/>
      <w:bookmarkEnd w:id="3"/>
      <w:bookmarkEnd w:id="1"/>
      <w:bookmarkEnd w:id="0"/>
    </w:p>
    <w:p w14:paraId="6D10CCD3" w14:textId="77777777" w:rsidR="00F30851" w:rsidRDefault="00F30851" w:rsidP="00F30851">
      <w:pPr>
        <w:pStyle w:val="Heading2"/>
        <w:rPr>
          <w:lang w:eastAsia="en-AU"/>
        </w:rPr>
      </w:pPr>
      <w:bookmarkStart w:id="9" w:name="_Toc532480073"/>
      <w:r w:rsidRPr="00F30851">
        <w:lastRenderedPageBreak/>
        <w:t>Submission</w:t>
      </w:r>
      <w:r>
        <w:rPr>
          <w:lang w:eastAsia="en-AU"/>
        </w:rPr>
        <w:t xml:space="preserve"> details</w:t>
      </w:r>
      <w:bookmarkEnd w:id="8"/>
      <w:bookmarkEnd w:id="9"/>
    </w:p>
    <w:p w14:paraId="388EBBFB" w14:textId="77777777" w:rsidR="00F30851" w:rsidRDefault="00F30851" w:rsidP="00F30851">
      <w:pPr>
        <w:pStyle w:val="Heading3"/>
      </w:pPr>
      <w:bookmarkStart w:id="10" w:name="_Toc501608165"/>
      <w:bookmarkStart w:id="11" w:name="_Toc532480074"/>
      <w:r>
        <w:t>Identifying information</w:t>
      </w:r>
      <w:bookmarkEnd w:id="10"/>
      <w:bookmarkEnd w:id="11"/>
    </w:p>
    <w:tbl>
      <w:tblPr>
        <w:tblStyle w:val="TableGrid"/>
        <w:tblW w:w="9358" w:type="dxa"/>
        <w:tblLook w:val="04A0" w:firstRow="1" w:lastRow="0" w:firstColumn="1" w:lastColumn="0" w:noHBand="0" w:noVBand="1"/>
        <w:tblDescription w:val="Identifying information"/>
      </w:tblPr>
      <w:tblGrid>
        <w:gridCol w:w="4592"/>
        <w:gridCol w:w="4766"/>
      </w:tblGrid>
      <w:tr w:rsidR="00F30851" w14:paraId="477880B3" w14:textId="77777777" w:rsidTr="00ED5BF0">
        <w:trPr>
          <w:trHeight w:val="203"/>
        </w:trPr>
        <w:tc>
          <w:tcPr>
            <w:tcW w:w="4592" w:type="dxa"/>
            <w:shd w:val="clear" w:color="auto" w:fill="006CA8"/>
          </w:tcPr>
          <w:p w14:paraId="56CE5370" w14:textId="77777777" w:rsidR="00F30851" w:rsidRPr="00FF0211" w:rsidRDefault="00F30851" w:rsidP="00FF0211">
            <w:pPr>
              <w:rPr>
                <w:b/>
                <w:color w:val="FFFFFF" w:themeColor="background1"/>
              </w:rPr>
            </w:pPr>
            <w:r w:rsidRPr="00FF0211">
              <w:rPr>
                <w:b/>
                <w:color w:val="FFFFFF" w:themeColor="background1"/>
              </w:rPr>
              <w:t>Submission number</w:t>
            </w:r>
          </w:p>
        </w:tc>
        <w:tc>
          <w:tcPr>
            <w:tcW w:w="4766" w:type="dxa"/>
          </w:tcPr>
          <w:p w14:paraId="4463E5ED" w14:textId="77777777" w:rsidR="00F30851" w:rsidRPr="00F30851" w:rsidRDefault="00F30851" w:rsidP="00FF0211">
            <w:pPr>
              <w:rPr>
                <w:rFonts w:asciiTheme="minorHAnsi" w:hAnsiTheme="minorHAnsi"/>
              </w:rPr>
            </w:pPr>
            <w:r w:rsidRPr="00F30851">
              <w:rPr>
                <w:rFonts w:asciiTheme="minorHAnsi" w:eastAsiaTheme="minorHAnsi" w:hAnsiTheme="minorHAnsi" w:cs="Arial"/>
                <w:bCs/>
              </w:rPr>
              <w:t>PM-2017-01036-1-2</w:t>
            </w:r>
          </w:p>
        </w:tc>
      </w:tr>
      <w:tr w:rsidR="00F30851" w:rsidRPr="00567C38" w14:paraId="085FFFD7" w14:textId="77777777" w:rsidTr="00ED5BF0">
        <w:trPr>
          <w:trHeight w:val="260"/>
        </w:trPr>
        <w:tc>
          <w:tcPr>
            <w:tcW w:w="4592" w:type="dxa"/>
            <w:shd w:val="clear" w:color="auto" w:fill="006CA8"/>
          </w:tcPr>
          <w:p w14:paraId="74EE376E" w14:textId="77777777" w:rsidR="00F30851" w:rsidRPr="00FF0211" w:rsidRDefault="00F30851" w:rsidP="00FF0211">
            <w:pPr>
              <w:rPr>
                <w:b/>
                <w:color w:val="FFFFFF" w:themeColor="background1"/>
              </w:rPr>
            </w:pPr>
            <w:r w:rsidRPr="00FF0211">
              <w:rPr>
                <w:b/>
                <w:color w:val="FFFFFF" w:themeColor="background1"/>
              </w:rPr>
              <w:t>Sponsor</w:t>
            </w:r>
          </w:p>
        </w:tc>
        <w:tc>
          <w:tcPr>
            <w:tcW w:w="4766" w:type="dxa"/>
          </w:tcPr>
          <w:p w14:paraId="71D16015" w14:textId="77777777" w:rsidR="00F30851" w:rsidRPr="00884727" w:rsidRDefault="00F30851" w:rsidP="00FF0211">
            <w:pPr>
              <w:rPr>
                <w:rFonts w:asciiTheme="minorHAnsi" w:eastAsia="Calibri,Bold" w:hAnsiTheme="minorHAnsi" w:cs="Calibri"/>
                <w:color w:val="000000"/>
              </w:rPr>
            </w:pPr>
            <w:r w:rsidRPr="00884727">
              <w:rPr>
                <w:rFonts w:asciiTheme="minorHAnsi" w:hAnsiTheme="minorHAnsi"/>
              </w:rPr>
              <w:t>GlaxoSmithKline (GSK) Australia Pty Ltd</w:t>
            </w:r>
          </w:p>
        </w:tc>
      </w:tr>
      <w:tr w:rsidR="00F30851" w14:paraId="35981A6E" w14:textId="77777777" w:rsidTr="00ED5BF0">
        <w:trPr>
          <w:trHeight w:val="260"/>
        </w:trPr>
        <w:tc>
          <w:tcPr>
            <w:tcW w:w="4592" w:type="dxa"/>
            <w:shd w:val="clear" w:color="auto" w:fill="006CA8"/>
          </w:tcPr>
          <w:p w14:paraId="65E69878" w14:textId="77777777" w:rsidR="00F30851" w:rsidRPr="00FF0211" w:rsidRDefault="00F30851" w:rsidP="00FF0211">
            <w:pPr>
              <w:rPr>
                <w:b/>
                <w:color w:val="FFFFFF" w:themeColor="background1"/>
              </w:rPr>
            </w:pPr>
            <w:r w:rsidRPr="00FF0211">
              <w:rPr>
                <w:b/>
                <w:color w:val="FFFFFF" w:themeColor="background1"/>
              </w:rPr>
              <w:t>Trade name</w:t>
            </w:r>
          </w:p>
        </w:tc>
        <w:tc>
          <w:tcPr>
            <w:tcW w:w="4766" w:type="dxa"/>
          </w:tcPr>
          <w:p w14:paraId="5A742ABA" w14:textId="77777777" w:rsidR="00F30851" w:rsidRPr="00F30851" w:rsidRDefault="00943514" w:rsidP="00FF0211">
            <w:pPr>
              <w:rPr>
                <w:rFonts w:asciiTheme="minorHAnsi" w:hAnsiTheme="minorHAnsi"/>
              </w:rPr>
            </w:pPr>
            <w:r>
              <w:rPr>
                <w:rFonts w:asciiTheme="minorHAnsi" w:hAnsiTheme="minorHAnsi"/>
              </w:rPr>
              <w:t>Fluarix Tetra</w:t>
            </w:r>
          </w:p>
        </w:tc>
      </w:tr>
      <w:tr w:rsidR="00F30851" w14:paraId="1783E099" w14:textId="77777777" w:rsidTr="00ED5BF0">
        <w:trPr>
          <w:trHeight w:val="260"/>
        </w:trPr>
        <w:tc>
          <w:tcPr>
            <w:tcW w:w="4592" w:type="dxa"/>
            <w:shd w:val="clear" w:color="auto" w:fill="006CA8"/>
          </w:tcPr>
          <w:p w14:paraId="273AC747" w14:textId="77777777" w:rsidR="00F30851" w:rsidRPr="00FF0211" w:rsidRDefault="00F30851" w:rsidP="00FF0211">
            <w:pPr>
              <w:rPr>
                <w:b/>
                <w:color w:val="FFFFFF" w:themeColor="background1"/>
              </w:rPr>
            </w:pPr>
            <w:r w:rsidRPr="00FF0211">
              <w:rPr>
                <w:b/>
                <w:color w:val="FFFFFF" w:themeColor="background1"/>
              </w:rPr>
              <w:t>Active substance</w:t>
            </w:r>
          </w:p>
        </w:tc>
        <w:tc>
          <w:tcPr>
            <w:tcW w:w="4766" w:type="dxa"/>
          </w:tcPr>
          <w:p w14:paraId="14FBB60D" w14:textId="77777777" w:rsidR="00F30851" w:rsidRPr="00F30851" w:rsidRDefault="00F30851" w:rsidP="00FF0211">
            <w:pPr>
              <w:rPr>
                <w:rFonts w:asciiTheme="minorHAnsi" w:hAnsiTheme="minorHAnsi"/>
              </w:rPr>
            </w:pPr>
            <w:r w:rsidRPr="00F30851">
              <w:rPr>
                <w:rFonts w:asciiTheme="minorHAnsi" w:hAnsiTheme="minorHAnsi"/>
              </w:rPr>
              <w:t>Influenza virus haemagglutinin (x 4)</w:t>
            </w:r>
          </w:p>
        </w:tc>
      </w:tr>
    </w:tbl>
    <w:p w14:paraId="394C192F" w14:textId="77777777" w:rsidR="00F30851" w:rsidRDefault="00F30851" w:rsidP="00F30851">
      <w:pPr>
        <w:pStyle w:val="Heading3"/>
      </w:pPr>
      <w:bookmarkStart w:id="12" w:name="_Toc501608166"/>
      <w:bookmarkStart w:id="13" w:name="_Toc532480075"/>
      <w:r>
        <w:t>Submission type</w:t>
      </w:r>
      <w:bookmarkEnd w:id="12"/>
      <w:bookmarkEnd w:id="13"/>
    </w:p>
    <w:p w14:paraId="7F091D52" w14:textId="3791E429" w:rsidR="00BC74DF" w:rsidRDefault="00F30851" w:rsidP="00943514">
      <w:r w:rsidRPr="00532C1C">
        <w:t xml:space="preserve">This is </w:t>
      </w:r>
      <w:r w:rsidR="00B923FE" w:rsidRPr="00532C1C">
        <w:t>an</w:t>
      </w:r>
      <w:r w:rsidRPr="00532C1C">
        <w:t xml:space="preserve"> application to extend the indication for </w:t>
      </w:r>
      <w:r>
        <w:t>G</w:t>
      </w:r>
      <w:r w:rsidR="00884727">
        <w:t>laxo</w:t>
      </w:r>
      <w:r>
        <w:t>S</w:t>
      </w:r>
      <w:r w:rsidR="00884727">
        <w:t>mith</w:t>
      </w:r>
      <w:r>
        <w:t>K</w:t>
      </w:r>
      <w:r w:rsidR="00884727">
        <w:t>line</w:t>
      </w:r>
      <w:r w:rsidRPr="00532C1C">
        <w:t xml:space="preserve"> Australia Pty Ltd’s inactivated Quadrivalent Influenza Vaccine (</w:t>
      </w:r>
      <w:r w:rsidR="00943514">
        <w:t>Fluarix Tetra</w:t>
      </w:r>
      <w:r w:rsidRPr="00532C1C">
        <w:t xml:space="preserve">) (D-QIV) for active immunisation of adults and children from 3 years of age, to adults and children </w:t>
      </w:r>
      <w:r w:rsidRPr="00943514">
        <w:t>from 6 months of age</w:t>
      </w:r>
      <w:r w:rsidR="00ED5BF0">
        <w:t>.</w:t>
      </w:r>
    </w:p>
    <w:p w14:paraId="390BA572" w14:textId="1AEFDD4A" w:rsidR="00F30851" w:rsidRPr="00943514" w:rsidRDefault="00943514" w:rsidP="00943514">
      <w:r w:rsidRPr="00943514">
        <w:rPr>
          <w:rFonts w:cs="Arial"/>
        </w:rPr>
        <w:t>The sponsor</w:t>
      </w:r>
      <w:r w:rsidR="00F30851" w:rsidRPr="00943514">
        <w:rPr>
          <w:rFonts w:cs="Arial"/>
        </w:rPr>
        <w:t xml:space="preserve"> has submitted the data in support of </w:t>
      </w:r>
      <w:r>
        <w:rPr>
          <w:rFonts w:cs="Arial"/>
        </w:rPr>
        <w:t>this application</w:t>
      </w:r>
      <w:r w:rsidR="00F30851" w:rsidRPr="00943514">
        <w:rPr>
          <w:rFonts w:cs="Arial"/>
        </w:rPr>
        <w:t xml:space="preserve"> from the Pivotal </w:t>
      </w:r>
      <w:r w:rsidRPr="00943514">
        <w:rPr>
          <w:rFonts w:cs="Arial"/>
        </w:rPr>
        <w:t>Study D-QIV-</w:t>
      </w:r>
      <w:r w:rsidR="00F30851" w:rsidRPr="00943514">
        <w:rPr>
          <w:rFonts w:cs="Arial"/>
        </w:rPr>
        <w:t xml:space="preserve">004, a </w:t>
      </w:r>
      <w:r w:rsidRPr="00943514">
        <w:rPr>
          <w:rFonts w:cs="Arial"/>
        </w:rPr>
        <w:t>Phase III</w:t>
      </w:r>
      <w:r w:rsidR="00F30851" w:rsidRPr="00943514">
        <w:rPr>
          <w:rFonts w:cs="Arial"/>
        </w:rPr>
        <w:t>, observer blind, randomised efficacy study with non-influenza vaccine controls that enrolled a total of 12,046 subjects (</w:t>
      </w:r>
      <w:r w:rsidR="005879FC">
        <w:rPr>
          <w:rFonts w:cs="Arial"/>
        </w:rPr>
        <w:t>6 to 35</w:t>
      </w:r>
      <w:r w:rsidR="00F30851" w:rsidRPr="00943514">
        <w:rPr>
          <w:rFonts w:cs="Arial"/>
        </w:rPr>
        <w:t xml:space="preserve"> months of age) in five independent cohorts.</w:t>
      </w:r>
    </w:p>
    <w:p w14:paraId="4F78AFA4" w14:textId="77777777" w:rsidR="00BC74DF" w:rsidRDefault="00F30851" w:rsidP="00943514">
      <w:pPr>
        <w:rPr>
          <w:rFonts w:cs="Arial"/>
        </w:rPr>
      </w:pPr>
      <w:r w:rsidRPr="00943514">
        <w:rPr>
          <w:rFonts w:cs="Arial"/>
        </w:rPr>
        <w:t>In addition, data from two</w:t>
      </w:r>
      <w:r w:rsidR="00943514" w:rsidRPr="00943514">
        <w:rPr>
          <w:rFonts w:cs="Arial"/>
        </w:rPr>
        <w:t xml:space="preserve"> </w:t>
      </w:r>
      <w:r w:rsidRPr="00943514">
        <w:rPr>
          <w:rFonts w:cs="Arial"/>
        </w:rPr>
        <w:t>supporting studies are in</w:t>
      </w:r>
      <w:r w:rsidR="00943514" w:rsidRPr="00943514">
        <w:rPr>
          <w:rFonts w:cs="Arial"/>
        </w:rPr>
        <w:t>cluded in</w:t>
      </w:r>
      <w:r w:rsidR="00943514">
        <w:rPr>
          <w:rFonts w:cs="Arial"/>
        </w:rPr>
        <w:t xml:space="preserve"> this application.</w:t>
      </w:r>
    </w:p>
    <w:p w14:paraId="16DD6EC7" w14:textId="77777777" w:rsidR="00BC74DF" w:rsidRDefault="00F30851" w:rsidP="00943514">
      <w:pPr>
        <w:pStyle w:val="ListBullet"/>
      </w:pPr>
      <w:r w:rsidRPr="00943514">
        <w:t xml:space="preserve">The </w:t>
      </w:r>
      <w:r w:rsidR="00943514" w:rsidRPr="00943514">
        <w:t>Phase III</w:t>
      </w:r>
      <w:r w:rsidRPr="00943514">
        <w:t xml:space="preserve"> </w:t>
      </w:r>
      <w:r w:rsidR="00943514" w:rsidRPr="00943514">
        <w:t>Study D-QIV-</w:t>
      </w:r>
      <w:r w:rsidRPr="00943514">
        <w:t xml:space="preserve">009, an extension to D-QIV-004 designed to evaluate the adequacy of the immunological priming of children </w:t>
      </w:r>
      <w:r w:rsidR="005879FC">
        <w:t>6 to 35</w:t>
      </w:r>
      <w:r w:rsidRPr="00943514">
        <w:t xml:space="preserve"> months of age.</w:t>
      </w:r>
    </w:p>
    <w:p w14:paraId="4AA55824" w14:textId="77777777" w:rsidR="00BC74DF" w:rsidRDefault="00F30851" w:rsidP="00943514">
      <w:pPr>
        <w:pStyle w:val="ListBullet"/>
      </w:pPr>
      <w:r w:rsidRPr="00943514">
        <w:t xml:space="preserve">The </w:t>
      </w:r>
      <w:r w:rsidR="00943514" w:rsidRPr="00943514">
        <w:t>Phase III</w:t>
      </w:r>
      <w:r w:rsidRPr="00943514">
        <w:t xml:space="preserve">, double-blind, randomised, multicentre </w:t>
      </w:r>
      <w:r w:rsidR="00943514" w:rsidRPr="00943514">
        <w:t>Study D-QIV-</w:t>
      </w:r>
      <w:r w:rsidRPr="00943514">
        <w:t>015 assessed the safety and</w:t>
      </w:r>
      <w:r w:rsidR="00943514" w:rsidRPr="00943514">
        <w:t xml:space="preserve"> </w:t>
      </w:r>
      <w:r w:rsidRPr="00943514">
        <w:t xml:space="preserve">immunogenicity of </w:t>
      </w:r>
      <w:r w:rsidR="00943514" w:rsidRPr="00943514">
        <w:t>Fluarix Tetra</w:t>
      </w:r>
      <w:r w:rsidRPr="00943514">
        <w:t xml:space="preserve"> manufactured with a new process, in which the downstream processes were harmonised for al</w:t>
      </w:r>
      <w:r w:rsidR="00FF0211">
        <w:t>l monovalent bulks. This study wa</w:t>
      </w:r>
      <w:r w:rsidRPr="00943514">
        <w:t xml:space="preserve">s </w:t>
      </w:r>
      <w:r w:rsidR="00FF0211">
        <w:t>under evaluation by the TGA at the time of this evaluation</w:t>
      </w:r>
      <w:r w:rsidRPr="00943514">
        <w:t xml:space="preserve">. While D-QIV-015 included 3 age cohorts, only results for the </w:t>
      </w:r>
      <w:r w:rsidR="005879FC">
        <w:t>6 to 35</w:t>
      </w:r>
      <w:r w:rsidRPr="00943514">
        <w:t xml:space="preserve"> months cohort (n=940) are described in this submission.</w:t>
      </w:r>
    </w:p>
    <w:p w14:paraId="56000472" w14:textId="47EF83F0" w:rsidR="00F30851" w:rsidRDefault="00F30851" w:rsidP="00943514">
      <w:pPr>
        <w:pStyle w:val="Heading3"/>
      </w:pPr>
      <w:bookmarkStart w:id="14" w:name="_Toc501608167"/>
      <w:bookmarkStart w:id="15" w:name="_Toc532480076"/>
      <w:r>
        <w:t>Drug class and therapeutic indication</w:t>
      </w:r>
      <w:bookmarkEnd w:id="14"/>
      <w:bookmarkEnd w:id="15"/>
    </w:p>
    <w:p w14:paraId="59B765E0" w14:textId="77777777" w:rsidR="00F30851" w:rsidRPr="00C2729B" w:rsidRDefault="00F30851" w:rsidP="00C2729B">
      <w:r w:rsidRPr="00C2729B">
        <w:t xml:space="preserve">This is an inactivated quadrivalent influenza vaccine containing influenza haemagglutinin antigens: Type A (H1N1)-like virus; Type A (H3N2)-like virus; Type B (Victoria lineage) and Type B (Yamagata lineage). The potency of the vaccine is expressed as the concentration of HA antigen, although neuraminidase antigen is also present. The target concentration is 15 </w:t>
      </w:r>
      <w:r w:rsidR="00C2729B" w:rsidRPr="00C2729B">
        <w:t>µ</w:t>
      </w:r>
      <w:r w:rsidRPr="00C2729B">
        <w:t>g HA per strain.</w:t>
      </w:r>
    </w:p>
    <w:p w14:paraId="6BCC21C2" w14:textId="77777777" w:rsidR="00F30851" w:rsidRDefault="00F30851" w:rsidP="00C2729B">
      <w:pPr>
        <w:pStyle w:val="Heading3"/>
      </w:pPr>
      <w:bookmarkStart w:id="16" w:name="_Toc501608168"/>
      <w:bookmarkStart w:id="17" w:name="_Toc532480077"/>
      <w:r>
        <w:t>Dosage forms and strengths</w:t>
      </w:r>
      <w:bookmarkEnd w:id="16"/>
      <w:bookmarkEnd w:id="17"/>
    </w:p>
    <w:p w14:paraId="7D69B48C" w14:textId="12B4B539" w:rsidR="00BC74DF" w:rsidRDefault="00943514" w:rsidP="00F30851">
      <w:pPr>
        <w:spacing w:before="0" w:after="0" w:line="240" w:lineRule="auto"/>
        <w:rPr>
          <w:rFonts w:asciiTheme="minorHAnsi" w:hAnsiTheme="minorHAnsi" w:cs="ArialMT"/>
        </w:rPr>
      </w:pPr>
      <w:r>
        <w:rPr>
          <w:rFonts w:asciiTheme="minorHAnsi" w:hAnsiTheme="minorHAnsi" w:cs="ArialMT"/>
        </w:rPr>
        <w:t>Fluarix Tetra</w:t>
      </w:r>
      <w:r w:rsidR="00F30851" w:rsidRPr="00246D43">
        <w:rPr>
          <w:rFonts w:asciiTheme="minorHAnsi" w:hAnsiTheme="minorHAnsi" w:cs="ArialMT"/>
        </w:rPr>
        <w:t xml:space="preserve"> is a quadrivalent influenza vaccine (surface antigen, inactivated) consisting</w:t>
      </w:r>
      <w:r w:rsidR="00C2729B">
        <w:rPr>
          <w:rFonts w:asciiTheme="minorHAnsi" w:hAnsiTheme="minorHAnsi" w:cs="ArialMT"/>
        </w:rPr>
        <w:t xml:space="preserve"> </w:t>
      </w:r>
      <w:r w:rsidR="00F30851" w:rsidRPr="00246D43">
        <w:rPr>
          <w:rFonts w:asciiTheme="minorHAnsi" w:hAnsiTheme="minorHAnsi" w:cs="ArialMT"/>
        </w:rPr>
        <w:t>of a</w:t>
      </w:r>
      <w:r w:rsidR="00D719EF">
        <w:rPr>
          <w:rFonts w:asciiTheme="minorHAnsi" w:hAnsiTheme="minorHAnsi" w:cs="ArialMT"/>
        </w:rPr>
        <w:t xml:space="preserve"> colourless, slightly opalescent</w:t>
      </w:r>
      <w:r w:rsidR="00F30851" w:rsidRPr="00246D43">
        <w:rPr>
          <w:rFonts w:asciiTheme="minorHAnsi" w:hAnsiTheme="minorHAnsi" w:cs="ArialMT"/>
        </w:rPr>
        <w:t xml:space="preserve"> aqueous suspension packed in pre-filled syringes each containing 0.5 mL. The vaccine</w:t>
      </w:r>
      <w:r w:rsidR="00C2729B">
        <w:rPr>
          <w:rFonts w:asciiTheme="minorHAnsi" w:hAnsiTheme="minorHAnsi" w:cs="ArialMT"/>
        </w:rPr>
        <w:t xml:space="preserve"> </w:t>
      </w:r>
      <w:r w:rsidR="00F30851" w:rsidRPr="00246D43">
        <w:rPr>
          <w:rFonts w:asciiTheme="minorHAnsi" w:hAnsiTheme="minorHAnsi" w:cs="ArialMT"/>
        </w:rPr>
        <w:t>contains predominantly HA of four strains (2 x ‘A’; 2 x ‘B’) of influenza virus.</w:t>
      </w:r>
    </w:p>
    <w:p w14:paraId="2A4EEAF8" w14:textId="443341A2" w:rsidR="00F30851" w:rsidRDefault="00F30851" w:rsidP="00C2729B">
      <w:pPr>
        <w:pStyle w:val="Heading3"/>
      </w:pPr>
      <w:bookmarkStart w:id="18" w:name="_Toc501608169"/>
      <w:bookmarkStart w:id="19" w:name="_Toc532480078"/>
      <w:r>
        <w:t>Dosage and administration</w:t>
      </w:r>
      <w:bookmarkEnd w:id="18"/>
      <w:bookmarkEnd w:id="19"/>
    </w:p>
    <w:p w14:paraId="3098EFAE" w14:textId="36076F95" w:rsidR="00F30851" w:rsidRDefault="00F30851" w:rsidP="00F30851">
      <w:pPr>
        <w:spacing w:before="0" w:after="0"/>
        <w:rPr>
          <w:rFonts w:asciiTheme="minorHAnsi" w:hAnsiTheme="minorHAnsi"/>
        </w:rPr>
      </w:pPr>
      <w:r w:rsidRPr="00246D43">
        <w:rPr>
          <w:rFonts w:asciiTheme="minorHAnsi" w:hAnsiTheme="minorHAnsi" w:cs="ArialMT"/>
        </w:rPr>
        <w:t>Single 0.</w:t>
      </w:r>
      <w:r w:rsidR="00C2729B">
        <w:rPr>
          <w:rFonts w:asciiTheme="minorHAnsi" w:hAnsiTheme="minorHAnsi" w:cs="ArialMT"/>
        </w:rPr>
        <w:t>5 mL</w:t>
      </w:r>
      <w:r w:rsidRPr="00246D43">
        <w:rPr>
          <w:rFonts w:asciiTheme="minorHAnsi" w:hAnsiTheme="minorHAnsi" w:cs="ArialMT"/>
        </w:rPr>
        <w:t xml:space="preserve"> dose annually intramuscularly (IM), </w:t>
      </w:r>
      <w:r w:rsidRPr="00246D43">
        <w:rPr>
          <w:rFonts w:asciiTheme="minorHAnsi" w:hAnsiTheme="minorHAnsi"/>
        </w:rPr>
        <w:t>for the prevention of influenza caused by Influenza Virus, Types A and B</w:t>
      </w:r>
      <w:r w:rsidR="00D719EF">
        <w:rPr>
          <w:rFonts w:asciiTheme="minorHAnsi" w:hAnsiTheme="minorHAnsi"/>
        </w:rPr>
        <w:t xml:space="preserve">, contained in the vaccine, </w:t>
      </w:r>
      <w:r w:rsidRPr="00246D43">
        <w:rPr>
          <w:rFonts w:asciiTheme="minorHAnsi" w:hAnsiTheme="minorHAnsi"/>
        </w:rPr>
        <w:t>in persons aged ≥6 months of age.</w:t>
      </w:r>
    </w:p>
    <w:p w14:paraId="762FB9E7" w14:textId="77777777" w:rsidR="00D719EF" w:rsidRDefault="00D719EF" w:rsidP="00D719EF">
      <w:pPr>
        <w:rPr>
          <w:color w:val="000000"/>
        </w:rPr>
      </w:pPr>
      <w:r w:rsidRPr="00180488">
        <w:rPr>
          <w:color w:val="000000"/>
        </w:rPr>
        <w:lastRenderedPageBreak/>
        <w:t xml:space="preserve">Children </w:t>
      </w:r>
      <w:r>
        <w:rPr>
          <w:color w:val="000000"/>
        </w:rPr>
        <w:t>6 months</w:t>
      </w:r>
      <w:r w:rsidRPr="0043385C">
        <w:rPr>
          <w:color w:val="000000"/>
        </w:rPr>
        <w:t xml:space="preserve"> </w:t>
      </w:r>
      <w:r w:rsidRPr="00180488">
        <w:rPr>
          <w:color w:val="000000"/>
        </w:rPr>
        <w:t xml:space="preserve">to </w:t>
      </w:r>
      <w:r>
        <w:rPr>
          <w:color w:val="000000"/>
        </w:rPr>
        <w:t xml:space="preserve">less than 9 years of age </w:t>
      </w:r>
      <w:r w:rsidRPr="00180488">
        <w:rPr>
          <w:color w:val="000000"/>
        </w:rPr>
        <w:t xml:space="preserve">who have not previously been vaccinated against influenza should receive a second </w:t>
      </w:r>
      <w:r>
        <w:rPr>
          <w:color w:val="000000"/>
        </w:rPr>
        <w:t>dose</w:t>
      </w:r>
      <w:r w:rsidRPr="00180488">
        <w:rPr>
          <w:color w:val="000000"/>
        </w:rPr>
        <w:t xml:space="preserve"> of 0.5 ml after an interval of at least 4 weeks.</w:t>
      </w:r>
    </w:p>
    <w:p w14:paraId="1A41050D" w14:textId="77777777" w:rsidR="00F30851" w:rsidRDefault="00F30851" w:rsidP="00C2729B">
      <w:pPr>
        <w:pStyle w:val="Heading2"/>
      </w:pPr>
      <w:bookmarkStart w:id="20" w:name="_Toc501608171"/>
      <w:bookmarkStart w:id="21" w:name="_Toc532480079"/>
      <w:r>
        <w:t>Background</w:t>
      </w:r>
      <w:bookmarkEnd w:id="20"/>
      <w:bookmarkEnd w:id="21"/>
    </w:p>
    <w:p w14:paraId="4B6B733A" w14:textId="77777777" w:rsidR="00F30851" w:rsidRDefault="00F30851" w:rsidP="00C2729B">
      <w:pPr>
        <w:pStyle w:val="Heading3"/>
      </w:pPr>
      <w:bookmarkStart w:id="22" w:name="_Toc501608172"/>
      <w:bookmarkStart w:id="23" w:name="_Toc532480080"/>
      <w:r w:rsidRPr="00E709B3">
        <w:t>Information on the condition being treated</w:t>
      </w:r>
      <w:bookmarkEnd w:id="22"/>
      <w:bookmarkEnd w:id="23"/>
    </w:p>
    <w:p w14:paraId="4D66B32F" w14:textId="77777777" w:rsidR="00BC74DF" w:rsidRDefault="00C2729B" w:rsidP="00C2729B">
      <w:pPr>
        <w:rPr>
          <w:rFonts w:eastAsia="TimesNewRomanPSMT" w:cs="TimesNewRomanPSMT"/>
        </w:rPr>
      </w:pPr>
      <w:r>
        <w:t xml:space="preserve">Influenza, </w:t>
      </w:r>
      <w:r w:rsidRPr="005B0AF4">
        <w:t>a respiratory orthomyxovirus, is a seasonal in</w:t>
      </w:r>
      <w:r>
        <w:t xml:space="preserve">fectious disease that occurs in </w:t>
      </w:r>
      <w:r w:rsidRPr="005B0AF4">
        <w:t>epidemics throughout the northern and southern hemisphere</w:t>
      </w:r>
      <w:r>
        <w:t xml:space="preserve"> </w:t>
      </w:r>
      <w:r w:rsidRPr="005B0AF4">
        <w:t xml:space="preserve">winter months, and leads to considerable morbidity and mortality globally in all age </w:t>
      </w:r>
      <w:r>
        <w:t>group</w:t>
      </w:r>
      <w:r w:rsidRPr="005B0AF4">
        <w:t xml:space="preserve">s. </w:t>
      </w:r>
      <w:r w:rsidRPr="006F6CFF">
        <w:rPr>
          <w:rFonts w:eastAsia="TimesNewRomanPSMT" w:cs="TimesNewRomanPSMT"/>
        </w:rPr>
        <w:t>Young</w:t>
      </w:r>
      <w:r>
        <w:rPr>
          <w:rFonts w:eastAsia="TimesNewRomanPSMT" w:cs="TimesNewRomanPSMT"/>
        </w:rPr>
        <w:t xml:space="preserve"> </w:t>
      </w:r>
      <w:r w:rsidRPr="006F6CFF">
        <w:rPr>
          <w:rFonts w:eastAsia="TimesNewRomanPSMT" w:cs="TimesNewRomanPSMT"/>
        </w:rPr>
        <w:t xml:space="preserve">children, particularly </w:t>
      </w:r>
      <w:r>
        <w:rPr>
          <w:rFonts w:eastAsia="TimesNewRomanPSMT" w:cs="TimesNewRomanPSMT"/>
        </w:rPr>
        <w:t xml:space="preserve">those </w:t>
      </w:r>
      <w:r w:rsidRPr="006F6CFF">
        <w:rPr>
          <w:rFonts w:eastAsia="TimesNewRomanPSMT" w:cs="TimesNewRomanPSMT"/>
        </w:rPr>
        <w:t>younger than 2 years of age, are among the groups with the highest</w:t>
      </w:r>
      <w:r>
        <w:rPr>
          <w:rFonts w:eastAsia="TimesNewRomanPSMT" w:cs="TimesNewRomanPSMT"/>
        </w:rPr>
        <w:t xml:space="preserve"> </w:t>
      </w:r>
      <w:r w:rsidRPr="006F6CFF">
        <w:rPr>
          <w:rFonts w:eastAsia="TimesNewRomanPSMT" w:cs="TimesNewRomanPSMT"/>
        </w:rPr>
        <w:t>risk of influenza complications.</w:t>
      </w:r>
      <w:r>
        <w:rPr>
          <w:rStyle w:val="FootnoteReference"/>
          <w:rFonts w:eastAsia="TimesNewRomanPSMT" w:cs="TimesNewRomanPSMT"/>
        </w:rPr>
        <w:footnoteReference w:id="1"/>
      </w:r>
      <w:r w:rsidRPr="006F6CFF">
        <w:rPr>
          <w:rFonts w:eastAsia="TimesNewRomanPSMT" w:cs="TimesNewRomanPSMT"/>
        </w:rPr>
        <w:t xml:space="preserve"> A meta-analysis study of 63 datasets from</w:t>
      </w:r>
      <w:r>
        <w:t xml:space="preserve"> </w:t>
      </w:r>
      <w:r w:rsidRPr="006F6CFF">
        <w:rPr>
          <w:rFonts w:eastAsia="TimesNewRomanPSMT" w:cs="TimesNewRomanPSMT"/>
        </w:rPr>
        <w:t>42 countries showe</w:t>
      </w:r>
      <w:r>
        <w:rPr>
          <w:rFonts w:eastAsia="TimesNewRomanPSMT" w:cs="TimesNewRomanPSMT"/>
        </w:rPr>
        <w:t>d that among children hospitalis</w:t>
      </w:r>
      <w:r w:rsidRPr="006F6CFF">
        <w:rPr>
          <w:rFonts w:eastAsia="TimesNewRomanPSMT" w:cs="TimesNewRomanPSMT"/>
        </w:rPr>
        <w:t>ed with respiratory illness, the</w:t>
      </w:r>
      <w:r>
        <w:t xml:space="preserve"> </w:t>
      </w:r>
      <w:r w:rsidRPr="006F6CFF">
        <w:rPr>
          <w:rFonts w:eastAsia="TimesNewRomanPSMT" w:cs="TimesNewRomanPSMT"/>
        </w:rPr>
        <w:t>percentage of children with influenza varied from 5% in those &lt;6 months, to 16% among</w:t>
      </w:r>
      <w:r>
        <w:t xml:space="preserve"> </w:t>
      </w:r>
      <w:r w:rsidRPr="006F6CFF">
        <w:rPr>
          <w:rFonts w:eastAsia="TimesNewRomanPSMT" w:cs="TimesNewRomanPSMT"/>
        </w:rPr>
        <w:t>children 5</w:t>
      </w:r>
      <w:r>
        <w:rPr>
          <w:rFonts w:eastAsia="TimesNewRomanPSMT" w:cs="TimesNewRomanPSMT"/>
        </w:rPr>
        <w:t xml:space="preserve"> to </w:t>
      </w:r>
      <w:r w:rsidRPr="006F6CFF">
        <w:rPr>
          <w:rFonts w:eastAsia="TimesNewRomanPSMT" w:cs="TimesNewRomanPSMT"/>
        </w:rPr>
        <w:t>17 years of age.</w:t>
      </w:r>
      <w:r>
        <w:rPr>
          <w:rStyle w:val="FootnoteReference"/>
          <w:rFonts w:eastAsia="TimesNewRomanPSMT" w:cs="TimesNewRomanPSMT"/>
        </w:rPr>
        <w:footnoteReference w:id="2"/>
      </w:r>
      <w:r w:rsidRPr="006F6CFF">
        <w:rPr>
          <w:rFonts w:eastAsia="TimesNewRomanPSMT" w:cs="TimesNewRomanPSMT"/>
        </w:rPr>
        <w:t xml:space="preserve"> The pooled estimate of influenza associated</w:t>
      </w:r>
      <w:r>
        <w:t xml:space="preserve"> </w:t>
      </w:r>
      <w:r>
        <w:rPr>
          <w:rFonts w:eastAsia="TimesNewRomanPSMT" w:cs="TimesNewRomanPSMT"/>
        </w:rPr>
        <w:t>hospitalis</w:t>
      </w:r>
      <w:r w:rsidRPr="006F6CFF">
        <w:rPr>
          <w:rFonts w:eastAsia="TimesNewRomanPSMT" w:cs="TimesNewRomanPSMT"/>
        </w:rPr>
        <w:t>ation among children &lt;5 year was 7.4% of all respiratory hospitali</w:t>
      </w:r>
      <w:r>
        <w:rPr>
          <w:rFonts w:eastAsia="TimesNewRomanPSMT" w:cs="TimesNewRomanPSMT"/>
        </w:rPr>
        <w:t>s</w:t>
      </w:r>
      <w:r w:rsidRPr="006F6CFF">
        <w:rPr>
          <w:rFonts w:eastAsia="TimesNewRomanPSMT" w:cs="TimesNewRomanPSMT"/>
        </w:rPr>
        <w:t>ations,</w:t>
      </w:r>
      <w:r>
        <w:t xml:space="preserve"> </w:t>
      </w:r>
      <w:r w:rsidRPr="006F6CFF">
        <w:rPr>
          <w:rFonts w:eastAsia="TimesNewRomanPSMT" w:cs="TimesNewRomanPSMT"/>
        </w:rPr>
        <w:t>ranging from 4.6% (95% confidence interval [CI]: 2.8-7.4%) in the Americas to 8.5%</w:t>
      </w:r>
      <w:r>
        <w:t xml:space="preserve"> </w:t>
      </w:r>
      <w:r w:rsidRPr="006F6CFF">
        <w:rPr>
          <w:rFonts w:eastAsia="TimesNewRomanPSMT" w:cs="TimesNewRomanPSMT"/>
        </w:rPr>
        <w:t>(95% CI: 6.2-8.8%) in Southeast Asia.</w:t>
      </w:r>
    </w:p>
    <w:p w14:paraId="7DAEDEB5" w14:textId="5B4050C0" w:rsidR="00C2729B" w:rsidRPr="00330638" w:rsidRDefault="00C2729B" w:rsidP="00C2729B">
      <w:pPr>
        <w:rPr>
          <w:rFonts w:cs="TimesNewRoman"/>
        </w:rPr>
      </w:pPr>
      <w:r w:rsidRPr="00330638">
        <w:t xml:space="preserve">Influenza A </w:t>
      </w:r>
      <w:r>
        <w:t>and</w:t>
      </w:r>
      <w:r w:rsidRPr="00330638">
        <w:t xml:space="preserve"> B cause most </w:t>
      </w:r>
      <w:r>
        <w:t xml:space="preserve">of </w:t>
      </w:r>
      <w:r w:rsidRPr="00330638">
        <w:t xml:space="preserve">human disease. Influenza A viruses are divided into subtypes based on two viral external proteins, haemagglutinin (HA) and neuraminidase (NA). </w:t>
      </w:r>
      <w:r w:rsidRPr="00330638">
        <w:rPr>
          <w:rFonts w:cs="TimesNewRoman"/>
        </w:rPr>
        <w:t>Of the influenza A virus subtypes, A/H3N2 and A/H1N1 subtypes are clinically the most important. Influenza type B viruses show extensive variation in antigenicity. Influenza B viruses are separated into two distinct genetic lineages, Yamagata and Victoria. In terms of infection</w:t>
      </w:r>
      <w:r w:rsidR="00B923FE">
        <w:rPr>
          <w:rFonts w:cs="TimesNewRoman"/>
        </w:rPr>
        <w:t>s</w:t>
      </w:r>
      <w:r w:rsidRPr="00330638">
        <w:rPr>
          <w:rFonts w:cs="TimesNewRoman"/>
        </w:rPr>
        <w:t xml:space="preserve">, influenza </w:t>
      </w:r>
      <w:r w:rsidR="00B923FE" w:rsidRPr="00330638">
        <w:rPr>
          <w:rFonts w:cs="TimesNewRoman"/>
        </w:rPr>
        <w:t>types A viruses have</w:t>
      </w:r>
      <w:r w:rsidRPr="00330638">
        <w:rPr>
          <w:rFonts w:cs="TimesNewRoman"/>
        </w:rPr>
        <w:t xml:space="preserve"> been isolated from several non-human species, including birds, horses and swine whereas influenza type B viruses almost exclusively affect humans. High levels of virus type-specific antibodies are associated with protection from disease due to infections with homologous and closely related influenza virus strains.</w:t>
      </w:r>
      <w:bookmarkStart w:id="24" w:name="_Ref523302760"/>
      <w:r>
        <w:rPr>
          <w:rStyle w:val="FootnoteReference"/>
          <w:rFonts w:cs="TimesNewRoman"/>
        </w:rPr>
        <w:footnoteReference w:id="3"/>
      </w:r>
      <w:bookmarkEnd w:id="24"/>
      <w:r>
        <w:rPr>
          <w:rStyle w:val="FootnoteReference"/>
          <w:rFonts w:cs="TimesNewRoman"/>
        </w:rPr>
        <w:footnoteReference w:id="4"/>
      </w:r>
      <w:r w:rsidRPr="00330638">
        <w:t xml:space="preserve"> </w:t>
      </w:r>
      <w:r w:rsidRPr="00330638">
        <w:rPr>
          <w:rFonts w:cs="TimesNewRoman"/>
        </w:rPr>
        <w:t>Novel influenza strains arise from antigenic drift due to point mutation and recombination events that occur during viral replication. These events result in the emergence of new strains of the influenza virus capable of causing epidemics, as pre-existing antibodies resulting from previous virus exposure or vaccination are generally not cross-protective.</w:t>
      </w:r>
      <w:r w:rsidRPr="009D59A0">
        <w:rPr>
          <w:rFonts w:cs="TimesNewRoman"/>
          <w:vertAlign w:val="superscript"/>
        </w:rPr>
        <w:fldChar w:fldCharType="begin"/>
      </w:r>
      <w:r w:rsidRPr="009D59A0">
        <w:rPr>
          <w:rFonts w:cs="TimesNewRoman"/>
          <w:vertAlign w:val="superscript"/>
        </w:rPr>
        <w:instrText xml:space="preserve"> NOTEREF _Ref523302760 \h </w:instrText>
      </w:r>
      <w:r>
        <w:rPr>
          <w:rFonts w:cs="TimesNewRoman"/>
          <w:vertAlign w:val="superscript"/>
        </w:rPr>
        <w:instrText xml:space="preserve"> \* MERGEFORMAT </w:instrText>
      </w:r>
      <w:r w:rsidRPr="009D59A0">
        <w:rPr>
          <w:rFonts w:cs="TimesNewRoman"/>
          <w:vertAlign w:val="superscript"/>
        </w:rPr>
      </w:r>
      <w:r w:rsidRPr="009D59A0">
        <w:rPr>
          <w:rFonts w:cs="TimesNewRoman"/>
          <w:vertAlign w:val="superscript"/>
        </w:rPr>
        <w:fldChar w:fldCharType="separate"/>
      </w:r>
      <w:r w:rsidR="00BC74DF">
        <w:rPr>
          <w:rFonts w:cs="TimesNewRoman"/>
          <w:vertAlign w:val="superscript"/>
        </w:rPr>
        <w:t>3</w:t>
      </w:r>
      <w:r w:rsidRPr="009D59A0">
        <w:rPr>
          <w:rFonts w:cs="TimesNewRoman"/>
          <w:vertAlign w:val="superscript"/>
        </w:rPr>
        <w:fldChar w:fldCharType="end"/>
      </w:r>
      <w:r w:rsidRPr="00330638">
        <w:rPr>
          <w:rFonts w:cs="TimesNewRoman"/>
        </w:rPr>
        <w:t xml:space="preserve"> While influenza type A is capable of major antigenic shifts when a novel HA emerges from re-assortment with an animal influenza virus, influenza B is generally more stable. When a new subtype of influenza virus emerges, all individuals are susceptible to infection except those who have lived through earlier epidemics with a related virus subtype. Infection produces immunity to the specific virus; however, the length and extent of immunity is dependent on the degree of antigenic shift, the number of previous infections and the immune status of the individual.</w:t>
      </w:r>
      <w:r>
        <w:rPr>
          <w:rStyle w:val="FootnoteReference"/>
          <w:rFonts w:cs="TimesNewRoman"/>
        </w:rPr>
        <w:footnoteReference w:id="5"/>
      </w:r>
    </w:p>
    <w:p w14:paraId="38A2CCDA" w14:textId="77777777" w:rsidR="00C2729B" w:rsidRPr="008074B0" w:rsidRDefault="00C2729B" w:rsidP="00C2729B">
      <w:pPr>
        <w:rPr>
          <w:rFonts w:cs="TimesNewRoman"/>
        </w:rPr>
      </w:pPr>
      <w:r w:rsidRPr="005B0AF4">
        <w:rPr>
          <w:rFonts w:cs="TimesNewRoman"/>
        </w:rPr>
        <w:t>Influenza epidemics have been associated with the circulation of type A/H3N2, type A/H1N1</w:t>
      </w:r>
      <w:r>
        <w:rPr>
          <w:rFonts w:cs="TimesNewRoman"/>
        </w:rPr>
        <w:t xml:space="preserve"> </w:t>
      </w:r>
      <w:r w:rsidRPr="005B0AF4">
        <w:rPr>
          <w:rFonts w:cs="TimesNewRoman"/>
        </w:rPr>
        <w:t>and type B viruses, either individually or together. Two genetically distinct lineages of influenza</w:t>
      </w:r>
      <w:r>
        <w:rPr>
          <w:rFonts w:cs="TimesNewRoman"/>
        </w:rPr>
        <w:t xml:space="preserve"> </w:t>
      </w:r>
      <w:r w:rsidRPr="005B0AF4">
        <w:rPr>
          <w:rFonts w:cs="TimesNewRoman"/>
        </w:rPr>
        <w:lastRenderedPageBreak/>
        <w:t>B viruses have co-circulated since 1985.</w:t>
      </w:r>
      <w:r>
        <w:rPr>
          <w:rStyle w:val="FootnoteReference"/>
          <w:rFonts w:cs="TimesNewRoman"/>
        </w:rPr>
        <w:footnoteReference w:id="6"/>
      </w:r>
      <w:r w:rsidRPr="005B0AF4">
        <w:rPr>
          <w:rFonts w:cs="TimesNewRoman"/>
        </w:rPr>
        <w:t xml:space="preserve"> The burden of infection is largely on</w:t>
      </w:r>
      <w:r>
        <w:rPr>
          <w:rFonts w:cs="TimesNewRoman"/>
        </w:rPr>
        <w:t xml:space="preserve"> </w:t>
      </w:r>
      <w:r w:rsidRPr="005B0AF4">
        <w:rPr>
          <w:rFonts w:cs="TimesNewRoman"/>
        </w:rPr>
        <w:t>school age children, young adults, and the elderly.</w:t>
      </w:r>
      <w:r>
        <w:rPr>
          <w:rStyle w:val="FootnoteReference"/>
          <w:rFonts w:cs="TimesNewRoman"/>
        </w:rPr>
        <w:footnoteReference w:id="7"/>
      </w:r>
      <w:r w:rsidRPr="005B0AF4">
        <w:rPr>
          <w:rFonts w:cs="TimesNewRoman"/>
        </w:rPr>
        <w:t xml:space="preserve"> In the US, B viruses</w:t>
      </w:r>
      <w:r>
        <w:rPr>
          <w:rFonts w:cs="TimesNewRoman"/>
        </w:rPr>
        <w:t xml:space="preserve"> </w:t>
      </w:r>
      <w:r w:rsidRPr="005B0AF4">
        <w:rPr>
          <w:rFonts w:cs="TimesNewRoman"/>
        </w:rPr>
        <w:t>account for 24% of positive specimens and 34% of reported paediatric influenza deaths</w:t>
      </w:r>
      <w:r>
        <w:rPr>
          <w:rStyle w:val="FootnoteReference"/>
          <w:rFonts w:cs="TimesNewRoman"/>
        </w:rPr>
        <w:footnoteReference w:id="8"/>
      </w:r>
      <w:r>
        <w:rPr>
          <w:rFonts w:cs="TimesNewRoman"/>
        </w:rPr>
        <w:t xml:space="preserve">, however </w:t>
      </w:r>
      <w:r w:rsidRPr="005B0AF4">
        <w:rPr>
          <w:rFonts w:eastAsia="TimesNewRomanPSMT" w:cs="TimesNewRomanPSMT"/>
        </w:rPr>
        <w:t>the incidence can vary</w:t>
      </w:r>
      <w:r>
        <w:rPr>
          <w:rFonts w:cs="TimesNewRoman"/>
        </w:rPr>
        <w:t xml:space="preserve"> </w:t>
      </w:r>
      <w:r w:rsidRPr="005B0AF4">
        <w:rPr>
          <w:rFonts w:eastAsia="TimesNewRomanPSMT" w:cs="TimesNewRomanPSMT"/>
        </w:rPr>
        <w:t>dramatically between influenza seasons (ra</w:t>
      </w:r>
      <w:r>
        <w:rPr>
          <w:rFonts w:eastAsia="TimesNewRomanPSMT" w:cs="TimesNewRomanPSMT"/>
        </w:rPr>
        <w:t>nge 1%-60%)</w:t>
      </w:r>
      <w:r w:rsidRPr="005B0AF4">
        <w:rPr>
          <w:rFonts w:eastAsia="TimesNewRomanPSMT" w:cs="TimesNewRomanPSMT"/>
        </w:rPr>
        <w:t>.</w:t>
      </w:r>
      <w:r>
        <w:rPr>
          <w:rStyle w:val="FootnoteReference"/>
          <w:rFonts w:eastAsia="TimesNewRomanPSMT" w:cs="TimesNewRomanPSMT"/>
        </w:rPr>
        <w:footnoteReference w:id="9"/>
      </w:r>
      <w:r w:rsidRPr="005B0AF4">
        <w:rPr>
          <w:rFonts w:eastAsia="TimesNewRomanPSMT" w:cs="TimesNewRomanPSMT"/>
        </w:rPr>
        <w:t xml:space="preserve"> The</w:t>
      </w:r>
      <w:r>
        <w:rPr>
          <w:rFonts w:cs="TimesNewRoman"/>
        </w:rPr>
        <w:t xml:space="preserve"> </w:t>
      </w:r>
      <w:r w:rsidRPr="005B0AF4">
        <w:rPr>
          <w:rFonts w:eastAsia="TimesNewRomanPSMT" w:cs="TimesNewRomanPSMT"/>
        </w:rPr>
        <w:t>burden of influenza B appears to be the highest for children and young adults with a</w:t>
      </w:r>
      <w:r>
        <w:rPr>
          <w:rFonts w:cs="TimesNewRoman"/>
        </w:rPr>
        <w:t xml:space="preserve"> </w:t>
      </w:r>
      <w:r w:rsidRPr="005B0AF4">
        <w:rPr>
          <w:rFonts w:eastAsia="TimesNewRomanPSMT" w:cs="TimesNewRomanPSMT"/>
        </w:rPr>
        <w:t>relative high incidence as compared to the type A strains</w:t>
      </w:r>
      <w:r>
        <w:rPr>
          <w:rFonts w:eastAsia="TimesNewRomanPSMT" w:cs="TimesNewRomanPSMT"/>
        </w:rPr>
        <w:t>.</w:t>
      </w:r>
      <w:r>
        <w:rPr>
          <w:rStyle w:val="FootnoteReference"/>
          <w:rFonts w:eastAsia="TimesNewRomanPSMT" w:cs="TimesNewRomanPSMT"/>
        </w:rPr>
        <w:footnoteReference w:id="10"/>
      </w:r>
      <w:r>
        <w:rPr>
          <w:rStyle w:val="FootnoteReference"/>
          <w:rFonts w:eastAsia="TimesNewRomanPSMT" w:cs="TimesNewRomanPSMT"/>
        </w:rPr>
        <w:footnoteReference w:id="11"/>
      </w:r>
      <w:r>
        <w:rPr>
          <w:rFonts w:cs="TimesNewRoman"/>
        </w:rPr>
        <w:t xml:space="preserve"> </w:t>
      </w:r>
      <w:r w:rsidRPr="005B0AF4">
        <w:rPr>
          <w:rFonts w:eastAsia="TimesNewRomanPSMT" w:cs="TimesNewRomanPSMT"/>
        </w:rPr>
        <w:t xml:space="preserve">Influenza B causes morbidity and mortality in all age </w:t>
      </w:r>
      <w:r>
        <w:rPr>
          <w:rFonts w:eastAsia="TimesNewRomanPSMT" w:cs="TimesNewRomanPSMT"/>
        </w:rPr>
        <w:t>group</w:t>
      </w:r>
      <w:r w:rsidRPr="005B0AF4">
        <w:rPr>
          <w:rFonts w:eastAsia="TimesNewRomanPSMT" w:cs="TimesNewRomanPSMT"/>
        </w:rPr>
        <w:t>s, however in children it</w:t>
      </w:r>
      <w:r>
        <w:rPr>
          <w:rFonts w:cs="TimesNewRoman"/>
        </w:rPr>
        <w:t xml:space="preserve"> </w:t>
      </w:r>
      <w:r w:rsidRPr="005B0AF4">
        <w:rPr>
          <w:rFonts w:eastAsia="TimesNewRomanPSMT" w:cs="TimesNewRomanPSMT"/>
        </w:rPr>
        <w:t xml:space="preserve">appears to be a disproportionate cause of influenza related </w:t>
      </w:r>
      <w:r>
        <w:rPr>
          <w:rFonts w:eastAsia="TimesNewRomanPSMT" w:cs="TimesNewRomanPSMT"/>
        </w:rPr>
        <w:t>hospitalisation</w:t>
      </w:r>
      <w:r w:rsidRPr="005B0AF4">
        <w:rPr>
          <w:rFonts w:eastAsia="TimesNewRomanPSMT" w:cs="TimesNewRomanPSMT"/>
        </w:rPr>
        <w:t>s and deaths</w:t>
      </w:r>
      <w:r>
        <w:rPr>
          <w:rFonts w:cs="TimesNewRoman"/>
        </w:rPr>
        <w:t xml:space="preserve"> </w:t>
      </w:r>
      <w:r w:rsidRPr="005B0AF4">
        <w:rPr>
          <w:rFonts w:eastAsia="TimesNewRomanPSMT" w:cs="TimesNewRomanPSMT"/>
        </w:rPr>
        <w:t>compared to the type A strains.</w:t>
      </w:r>
      <w:r>
        <w:rPr>
          <w:rStyle w:val="FootnoteReference"/>
          <w:rFonts w:eastAsia="TimesNewRomanPSMT" w:cs="TimesNewRomanPSMT"/>
        </w:rPr>
        <w:footnoteReference w:id="12"/>
      </w:r>
    </w:p>
    <w:p w14:paraId="58998DDA" w14:textId="77777777" w:rsidR="00F30851" w:rsidRDefault="00F30851" w:rsidP="00C2729B">
      <w:pPr>
        <w:pStyle w:val="Heading3"/>
      </w:pPr>
      <w:bookmarkStart w:id="25" w:name="_Toc501608173"/>
      <w:bookmarkStart w:id="26" w:name="_Toc532480081"/>
      <w:r>
        <w:t>Current treatment options</w:t>
      </w:r>
      <w:bookmarkEnd w:id="25"/>
      <w:bookmarkEnd w:id="26"/>
    </w:p>
    <w:p w14:paraId="15E3C90D" w14:textId="77777777" w:rsidR="00C2729B" w:rsidRPr="007D447E" w:rsidRDefault="00C2729B" w:rsidP="00C2729B">
      <w:r>
        <w:rPr>
          <w:rFonts w:eastAsiaTheme="minorHAnsi" w:cs="ArialMT"/>
          <w:color w:val="262626"/>
        </w:rPr>
        <w:t>According to the WHO,</w:t>
      </w:r>
      <w:r w:rsidRPr="00592550">
        <w:rPr>
          <w:rFonts w:eastAsiaTheme="minorHAnsi" w:cs="ArialMT"/>
          <w:color w:val="262626"/>
        </w:rPr>
        <w:t xml:space="preserve"> </w:t>
      </w:r>
      <w:r>
        <w:t>a</w:t>
      </w:r>
      <w:r w:rsidRPr="006F6CFF">
        <w:t>nnual influenza vaccination is currently the most</w:t>
      </w:r>
      <w:r>
        <w:t xml:space="preserve"> </w:t>
      </w:r>
      <w:r w:rsidRPr="006F6CFF">
        <w:t>effective means of controlling influenza and preventing its complications, including</w:t>
      </w:r>
      <w:r>
        <w:t xml:space="preserve"> mortality</w:t>
      </w:r>
      <w:r w:rsidRPr="006F6CFF">
        <w:t>.</w:t>
      </w:r>
      <w:r>
        <w:rPr>
          <w:rStyle w:val="FootnoteReference"/>
        </w:rPr>
        <w:footnoteReference w:id="13"/>
      </w:r>
      <w:r w:rsidRPr="006F6CFF">
        <w:t xml:space="preserve"> Children also play an important role in the spread of the disease</w:t>
      </w:r>
      <w:r>
        <w:rPr>
          <w:rStyle w:val="FootnoteReference"/>
        </w:rPr>
        <w:footnoteReference w:id="14"/>
      </w:r>
      <w:r>
        <w:t xml:space="preserve"> </w:t>
      </w:r>
      <w:r w:rsidRPr="006F6CFF">
        <w:t>and immunizing young children against influenza contributes to the</w:t>
      </w:r>
      <w:r>
        <w:t xml:space="preserve"> </w:t>
      </w:r>
      <w:r w:rsidRPr="006F6CFF">
        <w:t>protection of the overall community as a result of ‘herd immunity’.</w:t>
      </w:r>
      <w:r>
        <w:rPr>
          <w:rStyle w:val="FootnoteReference"/>
        </w:rPr>
        <w:footnoteReference w:id="15"/>
      </w:r>
    </w:p>
    <w:p w14:paraId="5EA4BDEE" w14:textId="77777777" w:rsidR="00F30851" w:rsidRPr="007D447E" w:rsidRDefault="00C2729B" w:rsidP="00C2729B">
      <w:pPr>
        <w:autoSpaceDE w:val="0"/>
        <w:autoSpaceDN w:val="0"/>
        <w:adjustRightInd w:val="0"/>
        <w:spacing w:before="0" w:after="0" w:line="240" w:lineRule="auto"/>
        <w:rPr>
          <w:rFonts w:asciiTheme="minorHAnsi" w:hAnsiTheme="minorHAnsi"/>
        </w:rPr>
      </w:pPr>
      <w:r>
        <w:t xml:space="preserve">In summary, the </w:t>
      </w:r>
      <w:r w:rsidRPr="006F6CFF">
        <w:t>WHO considers children 6</w:t>
      </w:r>
      <w:r>
        <w:t xml:space="preserve"> to </w:t>
      </w:r>
      <w:r w:rsidRPr="006F6CFF">
        <w:t>59 months of age as a risk group for seasonal influenza.</w:t>
      </w:r>
      <w:r>
        <w:rPr>
          <w:rStyle w:val="FootnoteReference"/>
        </w:rPr>
        <w:footnoteReference w:id="16"/>
      </w:r>
      <w:r w:rsidRPr="006F6CFF">
        <w:t xml:space="preserve"> </w:t>
      </w:r>
      <w:r>
        <w:t>Hence, r</w:t>
      </w:r>
      <w:r w:rsidRPr="006F6CFF">
        <w:t>outine annual influenza vaccination for all persons</w:t>
      </w:r>
      <w:r>
        <w:t xml:space="preserve"> </w:t>
      </w:r>
      <w:r w:rsidRPr="006F6CFF">
        <w:t>≥ 6 months of age who do not have contraindications is recommended in the US and</w:t>
      </w:r>
      <w:r>
        <w:t xml:space="preserve"> </w:t>
      </w:r>
      <w:r w:rsidRPr="006F6CFF">
        <w:t>Canada in the universal mass vaccination program</w:t>
      </w:r>
      <w:r>
        <w:t>me</w:t>
      </w:r>
      <w:r w:rsidRPr="006F6CFF">
        <w:t>.</w:t>
      </w:r>
      <w:r>
        <w:rPr>
          <w:rStyle w:val="FootnoteReference"/>
        </w:rPr>
        <w:footnoteReference w:id="17"/>
      </w:r>
      <w:r>
        <w:rPr>
          <w:rStyle w:val="FootnoteReference"/>
        </w:rPr>
        <w:footnoteReference w:id="18"/>
      </w:r>
      <w:r w:rsidRPr="006F6CFF">
        <w:t xml:space="preserve"> In the</w:t>
      </w:r>
      <w:r>
        <w:t xml:space="preserve"> </w:t>
      </w:r>
      <w:r w:rsidRPr="006F6CFF">
        <w:t>UK, seasonal influenza vaccination is recommended for all children aged 2-17 years.</w:t>
      </w:r>
      <w:r>
        <w:rPr>
          <w:rStyle w:val="FootnoteReference"/>
        </w:rPr>
        <w:footnoteReference w:id="19"/>
      </w:r>
      <w:r w:rsidRPr="006F6CFF">
        <w:t xml:space="preserve"> Extending the age indication of </w:t>
      </w:r>
      <w:r>
        <w:t>Fluarix Tetra</w:t>
      </w:r>
      <w:r w:rsidRPr="006F6CFF">
        <w:t xml:space="preserve"> to </w:t>
      </w:r>
      <w:r>
        <w:t>≥</w:t>
      </w:r>
      <w:r w:rsidRPr="006F6CFF">
        <w:t>6 months will, therefore, contribute to meet the medical need for influenza prevention through</w:t>
      </w:r>
      <w:r>
        <w:t xml:space="preserve"> </w:t>
      </w:r>
      <w:r w:rsidRPr="006F6CFF">
        <w:t xml:space="preserve">vaccination in the </w:t>
      </w:r>
      <w:r>
        <w:t>6 to 35 months age group.</w:t>
      </w:r>
    </w:p>
    <w:p w14:paraId="711734DD" w14:textId="77777777" w:rsidR="00F30851" w:rsidRDefault="00F30851" w:rsidP="00C2729B">
      <w:pPr>
        <w:pStyle w:val="Heading3"/>
      </w:pPr>
      <w:bookmarkStart w:id="27" w:name="_Toc501608174"/>
      <w:bookmarkStart w:id="28" w:name="_Toc532480082"/>
      <w:r>
        <w:lastRenderedPageBreak/>
        <w:t>Clinical rationale</w:t>
      </w:r>
      <w:bookmarkEnd w:id="27"/>
      <w:bookmarkEnd w:id="28"/>
    </w:p>
    <w:p w14:paraId="22540796" w14:textId="77777777" w:rsidR="00F30851" w:rsidRDefault="00F30851" w:rsidP="00F30851">
      <w:pPr>
        <w:autoSpaceDE w:val="0"/>
        <w:autoSpaceDN w:val="0"/>
        <w:adjustRightInd w:val="0"/>
        <w:spacing w:before="0" w:after="0" w:line="240" w:lineRule="auto"/>
        <w:rPr>
          <w:rFonts w:asciiTheme="minorHAnsi" w:eastAsiaTheme="minorHAnsi" w:hAnsiTheme="minorHAnsi" w:cs="ArialMT"/>
          <w:color w:val="262626"/>
        </w:rPr>
      </w:pPr>
      <w:r>
        <w:rPr>
          <w:rFonts w:asciiTheme="minorHAnsi" w:eastAsia="TimesNewRomanPSMT" w:hAnsiTheme="minorHAnsi" w:cs="TimesNewRomanPSMT"/>
        </w:rPr>
        <w:t>The clinical rationale is outlined above</w:t>
      </w:r>
      <w:r w:rsidR="00C2729B">
        <w:rPr>
          <w:rFonts w:asciiTheme="minorHAnsi" w:eastAsia="TimesNewRomanPSMT" w:hAnsiTheme="minorHAnsi" w:cs="TimesNewRomanPSMT"/>
        </w:rPr>
        <w:t xml:space="preserve"> in sections 2.1 and 2.2</w:t>
      </w:r>
      <w:r w:rsidR="00C2729B" w:rsidRPr="00C2729B">
        <w:t xml:space="preserve"> </w:t>
      </w:r>
      <w:r w:rsidR="00C2729B">
        <w:t xml:space="preserve">In summary, the </w:t>
      </w:r>
      <w:r w:rsidR="00C2729B" w:rsidRPr="006F6CFF">
        <w:t>WHO considers children 6</w:t>
      </w:r>
      <w:r w:rsidR="00C2729B">
        <w:t xml:space="preserve"> to </w:t>
      </w:r>
      <w:r w:rsidR="00C2729B" w:rsidRPr="006F6CFF">
        <w:t>59 months of age as a risk group for seasonal influenza.</w:t>
      </w:r>
      <w:r w:rsidR="00C2729B">
        <w:rPr>
          <w:rStyle w:val="FootnoteReference"/>
        </w:rPr>
        <w:footnoteReference w:id="20"/>
      </w:r>
      <w:r w:rsidR="00C2729B" w:rsidRPr="006F6CFF">
        <w:t xml:space="preserve"> </w:t>
      </w:r>
      <w:r w:rsidR="00C2729B">
        <w:t>Hence, r</w:t>
      </w:r>
      <w:r w:rsidR="00C2729B" w:rsidRPr="006F6CFF">
        <w:t>outine annual influenza vaccination for all persons</w:t>
      </w:r>
      <w:r w:rsidR="00C2729B">
        <w:t xml:space="preserve"> </w:t>
      </w:r>
      <w:r w:rsidR="00C2729B" w:rsidRPr="006F6CFF">
        <w:t>≥ 6 months of age who do not have contraindications is recommended in the US and</w:t>
      </w:r>
      <w:r w:rsidR="00C2729B">
        <w:t xml:space="preserve"> </w:t>
      </w:r>
      <w:r w:rsidR="00C2729B" w:rsidRPr="006F6CFF">
        <w:t>Canada in the universal mass vaccination program</w:t>
      </w:r>
      <w:r w:rsidR="00C2729B">
        <w:t>me</w:t>
      </w:r>
      <w:r w:rsidR="00C2729B" w:rsidRPr="006F6CFF">
        <w:t>.</w:t>
      </w:r>
      <w:r w:rsidR="00C2729B">
        <w:rPr>
          <w:rStyle w:val="FootnoteReference"/>
        </w:rPr>
        <w:footnoteReference w:id="21"/>
      </w:r>
      <w:r w:rsidR="00C2729B">
        <w:rPr>
          <w:rStyle w:val="FootnoteReference"/>
        </w:rPr>
        <w:footnoteReference w:id="22"/>
      </w:r>
      <w:r w:rsidR="00C2729B" w:rsidRPr="006F6CFF">
        <w:t xml:space="preserve"> In the</w:t>
      </w:r>
      <w:r w:rsidR="00C2729B">
        <w:t xml:space="preserve"> </w:t>
      </w:r>
      <w:r w:rsidR="00C2729B" w:rsidRPr="006F6CFF">
        <w:t>UK, seasonal influenza vaccination is recommended for all children aged 2-17 years.</w:t>
      </w:r>
      <w:r w:rsidR="00C2729B">
        <w:rPr>
          <w:rStyle w:val="FootnoteReference"/>
        </w:rPr>
        <w:footnoteReference w:id="23"/>
      </w:r>
      <w:r w:rsidR="00C2729B" w:rsidRPr="006F6CFF">
        <w:t xml:space="preserve"> Extending the age indication of </w:t>
      </w:r>
      <w:r w:rsidR="00C2729B">
        <w:t>Fluarix Tetra</w:t>
      </w:r>
      <w:r w:rsidR="00C2729B" w:rsidRPr="006F6CFF">
        <w:t xml:space="preserve"> to </w:t>
      </w:r>
      <w:r w:rsidR="00C2729B">
        <w:t>≥</w:t>
      </w:r>
      <w:r w:rsidR="00C2729B" w:rsidRPr="006F6CFF">
        <w:t>6 months will, therefore, contribute to meet the medical need for influenza prevention through</w:t>
      </w:r>
      <w:r w:rsidR="00C2729B">
        <w:t xml:space="preserve"> </w:t>
      </w:r>
      <w:r w:rsidR="00C2729B" w:rsidRPr="006F6CFF">
        <w:t xml:space="preserve">vaccination in the </w:t>
      </w:r>
      <w:r w:rsidR="00C2729B">
        <w:t>6 to 35</w:t>
      </w:r>
      <w:r w:rsidR="00C2729B" w:rsidRPr="006F6CFF">
        <w:t xml:space="preserve"> months age group.</w:t>
      </w:r>
    </w:p>
    <w:p w14:paraId="0CB3BE5E" w14:textId="77777777" w:rsidR="00F30851" w:rsidRDefault="00F30851" w:rsidP="00C2729B">
      <w:pPr>
        <w:pStyle w:val="Heading3"/>
      </w:pPr>
      <w:bookmarkStart w:id="29" w:name="_Toc501608175"/>
      <w:bookmarkStart w:id="30" w:name="_Toc532480083"/>
      <w:r>
        <w:t>Formulation</w:t>
      </w:r>
      <w:bookmarkEnd w:id="29"/>
      <w:bookmarkEnd w:id="30"/>
    </w:p>
    <w:p w14:paraId="669ACA74" w14:textId="77777777" w:rsidR="00F30851" w:rsidRPr="00246D43" w:rsidRDefault="00F30851" w:rsidP="00C2729B">
      <w:pPr>
        <w:pStyle w:val="Heading4"/>
      </w:pPr>
      <w:r w:rsidRPr="00246D43">
        <w:t>Formulation development</w:t>
      </w:r>
    </w:p>
    <w:p w14:paraId="5B55A7B8" w14:textId="77777777" w:rsidR="00F30851" w:rsidRPr="002A65D5" w:rsidRDefault="00F30851" w:rsidP="00C2729B">
      <w:r w:rsidRPr="00246D43">
        <w:t xml:space="preserve">Each 0.5 mL vaccine dose contains 15 </w:t>
      </w:r>
      <w:r w:rsidR="00C2729B">
        <w:t>µ</w:t>
      </w:r>
      <w:r w:rsidRPr="00246D43">
        <w:t xml:space="preserve">g </w:t>
      </w:r>
      <w:r>
        <w:t xml:space="preserve">HA </w:t>
      </w:r>
      <w:r w:rsidRPr="00246D43">
        <w:t>of each of four influenza</w:t>
      </w:r>
      <w:r>
        <w:t xml:space="preserve"> </w:t>
      </w:r>
      <w:r w:rsidRPr="00246D43">
        <w:t>strains in phosphate buffered saline. The vaccine preparation also contains polysorbate</w:t>
      </w:r>
      <w:r>
        <w:t xml:space="preserve"> </w:t>
      </w:r>
      <w:r w:rsidRPr="00246D43">
        <w:t>80, octoxinol 10, α-tocopheryl hydrogen succinate, sodium chloride, disodium phosphate</w:t>
      </w:r>
      <w:r>
        <w:t xml:space="preserve"> </w:t>
      </w:r>
      <w:r w:rsidRPr="00246D43">
        <w:t>dodecahydrate, potassium dihydrogen phosphate, potassium chloride, magnesium</w:t>
      </w:r>
      <w:r>
        <w:t xml:space="preserve"> </w:t>
      </w:r>
      <w:r w:rsidRPr="00246D43">
        <w:t xml:space="preserve">chloride hexahydrate, water for injections. Residual amounts of ovalbumin ≤0.05 </w:t>
      </w:r>
      <w:r w:rsidR="00C2729B">
        <w:t>µg</w:t>
      </w:r>
      <w:r w:rsidRPr="00246D43">
        <w:t xml:space="preserve"> and</w:t>
      </w:r>
      <w:r>
        <w:t xml:space="preserve"> </w:t>
      </w:r>
      <w:r w:rsidRPr="00246D43">
        <w:t xml:space="preserve">formaldehyde ≤5 </w:t>
      </w:r>
      <w:r w:rsidR="00C2729B">
        <w:t>µg</w:t>
      </w:r>
      <w:r w:rsidRPr="00246D43">
        <w:t>, but also traces of gentamicin sulphate, hydrocortisone, and sodium</w:t>
      </w:r>
      <w:r>
        <w:t xml:space="preserve"> deoxycholate from the </w:t>
      </w:r>
      <w:r w:rsidRPr="00246D43">
        <w:t>manufacturing process may be present.</w:t>
      </w:r>
      <w:r w:rsidRPr="00EB062D">
        <w:t xml:space="preserve"> The type and amount of viral an</w:t>
      </w:r>
      <w:r>
        <w:t xml:space="preserve">tigens in </w:t>
      </w:r>
      <w:r w:rsidR="00943514">
        <w:t>Fluarix Tetra</w:t>
      </w:r>
      <w:r>
        <w:t xml:space="preserve"> </w:t>
      </w:r>
      <w:r w:rsidRPr="00EB062D">
        <w:t>conform to the annual requirements</w:t>
      </w:r>
      <w:r>
        <w:t xml:space="preserve"> </w:t>
      </w:r>
      <w:r w:rsidRPr="00EB062D">
        <w:t>of the Australian Influenza Vaccine Committee and the New Zealand Ministry of</w:t>
      </w:r>
      <w:r>
        <w:t xml:space="preserve"> </w:t>
      </w:r>
      <w:r w:rsidRPr="00EB062D">
        <w:t>Health.</w:t>
      </w:r>
    </w:p>
    <w:p w14:paraId="0010270C" w14:textId="77777777" w:rsidR="00F30851" w:rsidRDefault="00F30851" w:rsidP="00C2729B">
      <w:pPr>
        <w:pStyle w:val="Heading4"/>
      </w:pPr>
      <w:r>
        <w:t>Excipients</w:t>
      </w:r>
    </w:p>
    <w:p w14:paraId="06B6ABBD" w14:textId="77777777" w:rsidR="00F30851" w:rsidRDefault="00F30851" w:rsidP="00F30851">
      <w:pPr>
        <w:rPr>
          <w:lang w:eastAsia="ja-JP"/>
        </w:rPr>
      </w:pPr>
      <w:r>
        <w:rPr>
          <w:lang w:eastAsia="ja-JP"/>
        </w:rPr>
        <w:t xml:space="preserve">All excipients used in the manufacture of </w:t>
      </w:r>
      <w:r w:rsidRPr="00EB062D">
        <w:rPr>
          <w:rFonts w:asciiTheme="minorHAnsi" w:eastAsiaTheme="minorHAnsi" w:hAnsiTheme="minorHAnsi" w:cs="Arial"/>
        </w:rPr>
        <w:t xml:space="preserve">Fluarix Tetra </w:t>
      </w:r>
      <w:r>
        <w:rPr>
          <w:lang w:eastAsia="ja-JP"/>
        </w:rPr>
        <w:t>are in compliance with the BP and/or Ph. Eur. and/or USP monographs.</w:t>
      </w:r>
      <w:r w:rsidRPr="00246D43">
        <w:t xml:space="preserve"> </w:t>
      </w:r>
      <w:r>
        <w:rPr>
          <w:lang w:eastAsia="ja-JP"/>
        </w:rPr>
        <w:t xml:space="preserve">The manufacture of this product includes exposure to bovine derived materials. No evidence exists that any case of vCJD (considered to be the human form of bovine spongiform encephalopathy) has resulted from the administration of any vaccine product. </w:t>
      </w:r>
      <w:r w:rsidR="00943514">
        <w:rPr>
          <w:lang w:eastAsia="ja-JP"/>
        </w:rPr>
        <w:t>Fluarix Tetra</w:t>
      </w:r>
      <w:r>
        <w:rPr>
          <w:lang w:eastAsia="ja-JP"/>
        </w:rPr>
        <w:t xml:space="preserve"> meets the WHO requirements for biological substances and influenza vaccines and the European Pharmacopoeia requirements for influenza vaccines.</w:t>
      </w:r>
    </w:p>
    <w:p w14:paraId="28E723DE" w14:textId="77777777" w:rsidR="00F30851" w:rsidRPr="00530F83" w:rsidRDefault="00F30851" w:rsidP="003836A3">
      <w:pPr>
        <w:pStyle w:val="Heading3"/>
        <w:numPr>
          <w:ilvl w:val="1"/>
          <w:numId w:val="5"/>
        </w:numPr>
      </w:pPr>
      <w:bookmarkStart w:id="31" w:name="_Toc501608176"/>
      <w:bookmarkStart w:id="32" w:name="_Toc532480084"/>
      <w:r>
        <w:t>Regulatory history</w:t>
      </w:r>
      <w:bookmarkEnd w:id="31"/>
      <w:bookmarkEnd w:id="32"/>
    </w:p>
    <w:p w14:paraId="4657B13E" w14:textId="77777777" w:rsidR="00F30851" w:rsidRDefault="00F30851" w:rsidP="003836A3">
      <w:pPr>
        <w:pStyle w:val="Heading4"/>
        <w:numPr>
          <w:ilvl w:val="2"/>
          <w:numId w:val="5"/>
        </w:numPr>
      </w:pPr>
      <w:r>
        <w:t>Australian regulatory history</w:t>
      </w:r>
    </w:p>
    <w:p w14:paraId="2D3764A0" w14:textId="56506B2A" w:rsidR="00F30851" w:rsidRPr="00EB062D" w:rsidRDefault="00F30851" w:rsidP="00F30851">
      <w:pPr>
        <w:autoSpaceDE w:val="0"/>
        <w:autoSpaceDN w:val="0"/>
        <w:adjustRightInd w:val="0"/>
        <w:spacing w:before="0" w:after="0" w:line="240" w:lineRule="auto"/>
        <w:rPr>
          <w:rFonts w:asciiTheme="minorHAnsi" w:eastAsiaTheme="minorHAnsi" w:hAnsiTheme="minorHAnsi" w:cs="Arial"/>
        </w:rPr>
      </w:pPr>
      <w:r w:rsidRPr="00EB062D">
        <w:rPr>
          <w:rFonts w:asciiTheme="minorHAnsi" w:eastAsia="TimesNewRomanPSMT" w:hAnsiTheme="minorHAnsi" w:cs="TimesNewRomanPSMT"/>
        </w:rPr>
        <w:t>The clinical development plan for adults and children has been designed according to the guideline for new vaccines (</w:t>
      </w:r>
      <w:r w:rsidR="00CE366D">
        <w:rPr>
          <w:rFonts w:asciiTheme="minorHAnsi" w:eastAsia="TimesNewRomanPSMT" w:hAnsiTheme="minorHAnsi" w:cs="TimesNewRomanPSMT"/>
        </w:rPr>
        <w:t>EMEA/CHMP/VWWP/164653/2005</w:t>
      </w:r>
      <w:r w:rsidRPr="00EB062D">
        <w:rPr>
          <w:rFonts w:asciiTheme="minorHAnsi" w:eastAsia="TimesNewRomanPSMT" w:hAnsiTheme="minorHAnsi" w:cs="TimesNewRomanPSMT"/>
        </w:rPr>
        <w:t>), which has been adopted by the TGA.</w:t>
      </w:r>
      <w:r w:rsidR="00943514">
        <w:rPr>
          <w:rFonts w:asciiTheme="minorHAnsi" w:eastAsia="TimesNewRomanPSMT" w:hAnsiTheme="minorHAnsi" w:cs="TimesNewRomanPSMT"/>
        </w:rPr>
        <w:t xml:space="preserve"> </w:t>
      </w:r>
      <w:r w:rsidRPr="00EB062D">
        <w:rPr>
          <w:rFonts w:asciiTheme="minorHAnsi" w:eastAsiaTheme="minorHAnsi" w:hAnsiTheme="minorHAnsi" w:cs="Arial"/>
        </w:rPr>
        <w:t>Fluarix Tetra is approved in children aged ≥3</w:t>
      </w:r>
      <w:r w:rsidR="00CE366D">
        <w:rPr>
          <w:rFonts w:asciiTheme="minorHAnsi" w:eastAsiaTheme="minorHAnsi" w:hAnsiTheme="minorHAnsi" w:cs="Arial"/>
        </w:rPr>
        <w:t xml:space="preserve"> years </w:t>
      </w:r>
      <w:r w:rsidRPr="00EB062D">
        <w:rPr>
          <w:rFonts w:asciiTheme="minorHAnsi" w:eastAsiaTheme="minorHAnsi" w:hAnsiTheme="minorHAnsi" w:cs="Arial"/>
        </w:rPr>
        <w:t>of age and adults.</w:t>
      </w:r>
    </w:p>
    <w:p w14:paraId="411C2471" w14:textId="77777777" w:rsidR="00F30851" w:rsidRDefault="00F30851" w:rsidP="00EE7481">
      <w:pPr>
        <w:pStyle w:val="Heading3"/>
      </w:pPr>
      <w:bookmarkStart w:id="33" w:name="_Toc501608177"/>
      <w:bookmarkStart w:id="34" w:name="_Toc532480085"/>
      <w:r>
        <w:t>Evaluator’s commentary on the background information</w:t>
      </w:r>
      <w:bookmarkEnd w:id="33"/>
      <w:bookmarkEnd w:id="34"/>
    </w:p>
    <w:p w14:paraId="6FAEE67A" w14:textId="77777777" w:rsidR="00F30851" w:rsidRDefault="00F30851" w:rsidP="00EE7481">
      <w:pPr>
        <w:rPr>
          <w:lang w:eastAsia="ja-JP"/>
        </w:rPr>
      </w:pPr>
      <w:r w:rsidRPr="00EB062D">
        <w:rPr>
          <w:lang w:eastAsia="ja-JP"/>
        </w:rPr>
        <w:t xml:space="preserve">This background information provides the rationale for this product including why </w:t>
      </w:r>
      <w:r w:rsidR="00943514">
        <w:rPr>
          <w:lang w:eastAsia="ja-JP"/>
        </w:rPr>
        <w:t>the sponsor</w:t>
      </w:r>
      <w:r w:rsidRPr="00EB062D">
        <w:rPr>
          <w:lang w:eastAsia="ja-JP"/>
        </w:rPr>
        <w:t xml:space="preserve"> is seeking extension of its use to children aged ≥6 months of age.</w:t>
      </w:r>
    </w:p>
    <w:p w14:paraId="23CCD7F3" w14:textId="77777777" w:rsidR="00F30851" w:rsidRDefault="00F30851" w:rsidP="00EE7481">
      <w:pPr>
        <w:pStyle w:val="Heading3"/>
      </w:pPr>
      <w:bookmarkStart w:id="35" w:name="_Toc501608178"/>
      <w:bookmarkStart w:id="36" w:name="_Toc532480086"/>
      <w:r>
        <w:lastRenderedPageBreak/>
        <w:t>Scope of the clinical dossier</w:t>
      </w:r>
      <w:bookmarkEnd w:id="35"/>
      <w:bookmarkEnd w:id="36"/>
    </w:p>
    <w:p w14:paraId="0485420C" w14:textId="77777777" w:rsidR="00F30851" w:rsidRPr="00C9101D" w:rsidRDefault="00F30851" w:rsidP="00F30851">
      <w:pPr>
        <w:spacing w:before="0" w:after="0"/>
        <w:rPr>
          <w:rFonts w:asciiTheme="minorHAnsi" w:hAnsiTheme="minorHAnsi"/>
        </w:rPr>
      </w:pPr>
      <w:r w:rsidRPr="00C9101D">
        <w:rPr>
          <w:rFonts w:asciiTheme="minorHAnsi" w:hAnsiTheme="minorHAnsi"/>
        </w:rPr>
        <w:t>The submission contained the following clinical information:</w:t>
      </w:r>
    </w:p>
    <w:p w14:paraId="074385C1" w14:textId="4E1C90CA" w:rsidR="00F30851" w:rsidRDefault="00EE7481" w:rsidP="00EE7481">
      <w:pPr>
        <w:pStyle w:val="ListBullet"/>
        <w:rPr>
          <w:b/>
        </w:rPr>
      </w:pPr>
      <w:r w:rsidRPr="00EE7481">
        <w:rPr>
          <w:i/>
        </w:rPr>
        <w:t>P</w:t>
      </w:r>
      <w:r w:rsidR="00F30851" w:rsidRPr="00EE7481">
        <w:rPr>
          <w:i/>
        </w:rPr>
        <w:t>ivotal</w:t>
      </w:r>
      <w:r w:rsidR="00F30851" w:rsidRPr="00EE7481">
        <w:t xml:space="preserve">: </w:t>
      </w:r>
      <w:r w:rsidR="00A22FC5">
        <w:t>D-QIV</w:t>
      </w:r>
      <w:r w:rsidR="00F30851" w:rsidRPr="00EE7481">
        <w:t>-004 (115345):</w:t>
      </w:r>
      <w:r w:rsidR="00F30851" w:rsidRPr="00EB062D">
        <w:rPr>
          <w:b/>
        </w:rPr>
        <w:t xml:space="preserve"> </w:t>
      </w:r>
      <w:r w:rsidR="00F30851" w:rsidRPr="00E12B8C">
        <w:t xml:space="preserve">A </w:t>
      </w:r>
      <w:r w:rsidR="00943514">
        <w:t>Phase III</w:t>
      </w:r>
      <w:r w:rsidR="00F30851" w:rsidRPr="00E12B8C">
        <w:t>, observer-blind, randomised, multi-country, non-influenza vaccine comparator-controlled study to demonstrate the efficacy of GlaxoSmithKline Vaccines’ quadrivalent seasonal influenza candidate vaccine GSK2321138A (</w:t>
      </w:r>
      <w:r w:rsidR="00E278CC">
        <w:t>Fluarix Tetra</w:t>
      </w:r>
      <w:r w:rsidR="00F30851" w:rsidRPr="00E12B8C">
        <w:t>), administered intramuscularly in children 6 to 35 months of age.</w:t>
      </w:r>
    </w:p>
    <w:p w14:paraId="446EE3DA" w14:textId="72EACFF5" w:rsidR="00F30851" w:rsidRPr="00EE7481" w:rsidRDefault="00EE7481" w:rsidP="00946337">
      <w:pPr>
        <w:pStyle w:val="ListBullet"/>
        <w:numPr>
          <w:ilvl w:val="0"/>
          <w:numId w:val="1"/>
        </w:numPr>
      </w:pPr>
      <w:r w:rsidRPr="00EE7481">
        <w:rPr>
          <w:i/>
        </w:rPr>
        <w:t>S</w:t>
      </w:r>
      <w:r w:rsidR="00F30851" w:rsidRPr="00EE7481">
        <w:rPr>
          <w:i/>
        </w:rPr>
        <w:t>upporting</w:t>
      </w:r>
      <w:r>
        <w:t>:</w:t>
      </w:r>
      <w:r w:rsidR="00F30851" w:rsidRPr="00DA19B6">
        <w:t xml:space="preserve"> </w:t>
      </w:r>
      <w:r w:rsidR="00A22FC5" w:rsidRPr="00A22FC5">
        <w:t>D-QIV-</w:t>
      </w:r>
      <w:r w:rsidR="00F30851" w:rsidRPr="00EE7481">
        <w:t>009 EXT 004 (116023)</w:t>
      </w:r>
      <w:r w:rsidR="003B3632">
        <w:t xml:space="preserve"> </w:t>
      </w:r>
      <w:r w:rsidR="003B3632" w:rsidRPr="00DA1487">
        <w:t xml:space="preserve">A phase III, open-label, multicentre study to evaluate the immunogenicity, safety and reactogenicity of a revaccination dose of </w:t>
      </w:r>
      <w:r w:rsidR="003B3632" w:rsidRPr="00B0346C">
        <w:t xml:space="preserve">GlaxoSmithKline Vaccines’ quadrivalent seasonal influenza candidate vaccine </w:t>
      </w:r>
      <w:r w:rsidR="003B3632" w:rsidRPr="00C203C7">
        <w:t>Fluarix Tetra</w:t>
      </w:r>
      <w:r w:rsidR="003B3632">
        <w:t xml:space="preserve"> administered to</w:t>
      </w:r>
      <w:r w:rsidR="003B3632" w:rsidRPr="00DA1487">
        <w:t xml:space="preserve"> children who previously participated in study </w:t>
      </w:r>
      <w:r w:rsidR="003B3632" w:rsidRPr="00B0346C">
        <w:t>D-QIV-004 (115345)</w:t>
      </w:r>
      <w:r w:rsidR="00ED5BF0">
        <w:t>.</w:t>
      </w:r>
    </w:p>
    <w:p w14:paraId="6D27F883" w14:textId="38EB6CD3" w:rsidR="00F30851" w:rsidRPr="00A22FC5" w:rsidRDefault="00EE7481" w:rsidP="00EE7481">
      <w:pPr>
        <w:pStyle w:val="ListBullet"/>
        <w:rPr>
          <w:rFonts w:eastAsia="TimesNewRoman" w:cs="TimesNewRoman"/>
        </w:rPr>
      </w:pPr>
      <w:r w:rsidRPr="00EE7481">
        <w:rPr>
          <w:i/>
        </w:rPr>
        <w:t>S</w:t>
      </w:r>
      <w:r w:rsidR="00F30851" w:rsidRPr="00EE7481">
        <w:rPr>
          <w:i/>
        </w:rPr>
        <w:t>upporting</w:t>
      </w:r>
      <w:r w:rsidR="00F30851" w:rsidRPr="00EE7481">
        <w:t xml:space="preserve">: </w:t>
      </w:r>
      <w:r w:rsidR="00A22FC5" w:rsidRPr="00A22FC5">
        <w:t>D-QIV-</w:t>
      </w:r>
      <w:r w:rsidR="00F30851" w:rsidRPr="00EE7481">
        <w:t>015 (201251) (</w:t>
      </w:r>
      <w:r w:rsidR="005879FC">
        <w:t>6 to 35</w:t>
      </w:r>
      <w:r w:rsidR="00F30851" w:rsidRPr="00EE7481">
        <w:t xml:space="preserve"> months cohort). </w:t>
      </w:r>
      <w:r w:rsidR="00F30851" w:rsidRPr="00EE7481">
        <w:rPr>
          <w:rFonts w:eastAsia="TimesNewRoman" w:cs="TimesNewRoman"/>
        </w:rPr>
        <w:t>A Phase III, double-blind, randomized, multi</w:t>
      </w:r>
      <w:r w:rsidR="005879FC">
        <w:rPr>
          <w:rFonts w:eastAsia="TimesNewRoman" w:cs="TimesNewRoman"/>
        </w:rPr>
        <w:t>centre</w:t>
      </w:r>
      <w:r w:rsidR="00F30851" w:rsidRPr="00EE7481">
        <w:rPr>
          <w:rFonts w:eastAsia="TimesNewRoman" w:cs="TimesNewRoman"/>
        </w:rPr>
        <w:t xml:space="preserve"> study to assess safety and immunogenicity of GlaxoSmithKline Biologicals’ Quadrivalent Split Virion Influenza Vaccine (GSK2321138A)</w:t>
      </w:r>
      <w:r w:rsidR="00F37CB0">
        <w:rPr>
          <w:rFonts w:eastAsia="TimesNewRoman" w:cs="TimesNewRoman"/>
        </w:rPr>
        <w:t>, Fluarix Tetra,</w:t>
      </w:r>
      <w:r w:rsidR="00F30851" w:rsidRPr="00EE7481">
        <w:rPr>
          <w:rFonts w:eastAsia="TimesNewRoman" w:cs="TimesNewRoman"/>
        </w:rPr>
        <w:t xml:space="preserve"> manufactured with a new process, in adults aged 18 to 49 years and in children aged 6 months to 17 years. This study is currently in review by the TGA </w:t>
      </w:r>
      <w:r w:rsidRPr="00EE7481">
        <w:rPr>
          <w:rFonts w:eastAsia="TimesNewRoman" w:cs="TimesNewRoman"/>
        </w:rPr>
        <w:t>[</w:t>
      </w:r>
      <w:r w:rsidRPr="00EE7481">
        <w:t>for another submission]</w:t>
      </w:r>
      <w:r w:rsidR="00F30851" w:rsidRPr="00EE7481">
        <w:t>.</w:t>
      </w:r>
    </w:p>
    <w:p w14:paraId="31759D05" w14:textId="2785B921" w:rsidR="00A22FC5" w:rsidRPr="00097FFE" w:rsidRDefault="00A22FC5" w:rsidP="00A22FC5">
      <w:pPr>
        <w:pStyle w:val="ListBullet"/>
        <w:numPr>
          <w:ilvl w:val="0"/>
          <w:numId w:val="0"/>
        </w:numPr>
      </w:pPr>
      <w:r w:rsidRPr="00097FFE">
        <w:t>Study D-QIV-015 was included in this submission to support extrapolation of Study D-QIV-004 and Study D-QIV-009 study data generated with Fluarix Tetra manufactured according to the previous process</w:t>
      </w:r>
      <w:r>
        <w:t xml:space="preserve"> (</w:t>
      </w:r>
      <w:r w:rsidR="00627B66">
        <w:t>licensed process [LP] at the time studies -004 and -009 were conducted</w:t>
      </w:r>
      <w:r>
        <w:t>)</w:t>
      </w:r>
      <w:r w:rsidRPr="00097FFE">
        <w:t xml:space="preserve">, to Fluarix Tetra manufactured according to the new harmonised process </w:t>
      </w:r>
      <w:r>
        <w:t>(</w:t>
      </w:r>
      <w:r w:rsidR="00627B66">
        <w:t xml:space="preserve">investigational process (IP) at the time of the studies, but is now the </w:t>
      </w:r>
      <w:r>
        <w:t xml:space="preserve">licensed process </w:t>
      </w:r>
      <w:r w:rsidR="00627B66">
        <w:t>having replaced the previous process</w:t>
      </w:r>
      <w:r>
        <w:t xml:space="preserve">) </w:t>
      </w:r>
      <w:r w:rsidRPr="00097FFE">
        <w:t>in children 6 to 35 months of age.</w:t>
      </w:r>
    </w:p>
    <w:p w14:paraId="0815A428" w14:textId="77777777" w:rsidR="00F30851" w:rsidRDefault="00F30851" w:rsidP="00EE7481">
      <w:pPr>
        <w:pStyle w:val="Heading3"/>
      </w:pPr>
      <w:bookmarkStart w:id="37" w:name="_Toc501608179"/>
      <w:bookmarkStart w:id="38" w:name="_Toc532480087"/>
      <w:r>
        <w:t>Paediatric data</w:t>
      </w:r>
      <w:bookmarkEnd w:id="37"/>
      <w:bookmarkEnd w:id="38"/>
    </w:p>
    <w:p w14:paraId="4147561E" w14:textId="77777777" w:rsidR="00F30851" w:rsidRDefault="00F30851" w:rsidP="00EE7481">
      <w:r w:rsidRPr="00EB062D">
        <w:t xml:space="preserve">This </w:t>
      </w:r>
      <w:r w:rsidR="00EE7481">
        <w:t>a</w:t>
      </w:r>
      <w:r w:rsidRPr="00EB062D">
        <w:t xml:space="preserve">pplication seeks to extend the indication for use of </w:t>
      </w:r>
      <w:r w:rsidR="00943514">
        <w:rPr>
          <w:rFonts w:asciiTheme="minorHAnsi" w:eastAsiaTheme="minorHAnsi" w:hAnsiTheme="minorHAnsi" w:cs="Cambria"/>
          <w:color w:val="000000"/>
        </w:rPr>
        <w:t>Fluarix Tetra</w:t>
      </w:r>
      <w:r w:rsidRPr="00EB062D">
        <w:rPr>
          <w:rFonts w:asciiTheme="minorHAnsi" w:eastAsiaTheme="minorHAnsi" w:hAnsiTheme="minorHAnsi" w:cs="Cambria"/>
          <w:color w:val="000000"/>
        </w:rPr>
        <w:t xml:space="preserve"> </w:t>
      </w:r>
      <w:r w:rsidRPr="00EB062D">
        <w:t>to children aged 6 months of age or older.</w:t>
      </w:r>
    </w:p>
    <w:p w14:paraId="68BF9097" w14:textId="77777777" w:rsidR="00F30851" w:rsidRDefault="00F30851" w:rsidP="00EE7481">
      <w:pPr>
        <w:pStyle w:val="Heading3"/>
      </w:pPr>
      <w:bookmarkStart w:id="39" w:name="_Toc501608180"/>
      <w:bookmarkStart w:id="40" w:name="_Toc532480088"/>
      <w:r>
        <w:t>Good clinical practice</w:t>
      </w:r>
      <w:bookmarkEnd w:id="39"/>
      <w:bookmarkEnd w:id="40"/>
    </w:p>
    <w:p w14:paraId="181AECF1" w14:textId="77777777" w:rsidR="00F30851" w:rsidRPr="00712878" w:rsidRDefault="00F30851" w:rsidP="00EE7481">
      <w:r w:rsidRPr="00712878">
        <w:rPr>
          <w:rStyle w:val="searchurl"/>
          <w:rFonts w:asciiTheme="minorHAnsi" w:hAnsiTheme="minorHAnsi" w:cs="Calibri"/>
        </w:rPr>
        <w:t>Approvals to undertake the clinical studies were obtained from appropriately constituted institutional ethics committees/independent research boards, in accordance with the relevant national guidelines and regulations applicable.</w:t>
      </w:r>
      <w:r>
        <w:rPr>
          <w:rStyle w:val="searchurl"/>
          <w:rFonts w:asciiTheme="minorHAnsi" w:hAnsiTheme="minorHAnsi" w:cs="Calibri"/>
        </w:rPr>
        <w:t xml:space="preserve"> The studies presented in </w:t>
      </w:r>
      <w:r w:rsidR="00943514">
        <w:rPr>
          <w:rStyle w:val="searchurl"/>
          <w:rFonts w:asciiTheme="minorHAnsi" w:hAnsiTheme="minorHAnsi" w:cs="Calibri"/>
        </w:rPr>
        <w:t>this application</w:t>
      </w:r>
      <w:r>
        <w:rPr>
          <w:rStyle w:val="searchurl"/>
          <w:rFonts w:asciiTheme="minorHAnsi" w:hAnsiTheme="minorHAnsi" w:cs="Calibri"/>
        </w:rPr>
        <w:t xml:space="preserve"> were conducted in accordance with GCP.</w:t>
      </w:r>
    </w:p>
    <w:p w14:paraId="5C00853C" w14:textId="77777777" w:rsidR="00F30851" w:rsidRPr="009A141C" w:rsidRDefault="00F30851" w:rsidP="00EE7481">
      <w:pPr>
        <w:pStyle w:val="Heading3"/>
      </w:pPr>
      <w:bookmarkStart w:id="41" w:name="_Toc501608181"/>
      <w:bookmarkStart w:id="42" w:name="_Toc355338639"/>
      <w:bookmarkStart w:id="43" w:name="_Toc532480089"/>
      <w:r>
        <w:t xml:space="preserve">Evaluator’s </w:t>
      </w:r>
      <w:r w:rsidRPr="00EE7481">
        <w:t>commentary</w:t>
      </w:r>
      <w:r>
        <w:t xml:space="preserve"> on the clinical dossier</w:t>
      </w:r>
      <w:bookmarkEnd w:id="41"/>
      <w:bookmarkEnd w:id="43"/>
    </w:p>
    <w:p w14:paraId="0CF3C030" w14:textId="77777777" w:rsidR="00BC74DF" w:rsidRDefault="00F30851" w:rsidP="00EE7481">
      <w:pPr>
        <w:rPr>
          <w:rFonts w:ascii="Arial" w:eastAsiaTheme="minorHAnsi" w:hAnsi="Arial" w:cs="Arial"/>
        </w:rPr>
      </w:pPr>
      <w:r>
        <w:t>T</w:t>
      </w:r>
      <w:r w:rsidRPr="005B0AF4">
        <w:t xml:space="preserve">he main objectives of the quadrivalent </w:t>
      </w:r>
      <w:r>
        <w:t xml:space="preserve">paediatric </w:t>
      </w:r>
      <w:r w:rsidRPr="005B0AF4">
        <w:t>clinical development</w:t>
      </w:r>
      <w:r>
        <w:t xml:space="preserve"> </w:t>
      </w:r>
      <w:r w:rsidRPr="005B0AF4">
        <w:t>program</w:t>
      </w:r>
      <w:r>
        <w:t>me</w:t>
      </w:r>
      <w:r w:rsidRPr="005B0AF4">
        <w:t xml:space="preserve"> </w:t>
      </w:r>
      <w:r>
        <w:t>was</w:t>
      </w:r>
      <w:r w:rsidRPr="005B0AF4">
        <w:t xml:space="preserve"> to demonstrate that the candidate </w:t>
      </w:r>
      <w:r>
        <w:rPr>
          <w:rFonts w:eastAsiaTheme="minorHAnsi" w:cs="Arial"/>
        </w:rPr>
        <w:t xml:space="preserve">quadrivalent influenza vaccine </w:t>
      </w:r>
      <w:r>
        <w:t>was effective, immunogenic and safe in children aged 6 months of age or older.</w:t>
      </w:r>
    </w:p>
    <w:p w14:paraId="08FF6DBF" w14:textId="77F4FF51" w:rsidR="00F30851" w:rsidRDefault="00F30851" w:rsidP="00EE7481">
      <w:pPr>
        <w:pStyle w:val="Heading2"/>
      </w:pPr>
      <w:bookmarkStart w:id="44" w:name="_Toc501608182"/>
      <w:bookmarkStart w:id="45" w:name="_Toc532480090"/>
      <w:r>
        <w:t>Pharmacokinetics</w:t>
      </w:r>
      <w:bookmarkEnd w:id="42"/>
      <w:r>
        <w:t xml:space="preserve"> (PK)</w:t>
      </w:r>
      <w:bookmarkEnd w:id="44"/>
      <w:bookmarkEnd w:id="45"/>
    </w:p>
    <w:p w14:paraId="4A21DFA6" w14:textId="77777777" w:rsidR="00F30851" w:rsidRPr="005F09CC" w:rsidRDefault="00F30851" w:rsidP="00F30851">
      <w:pPr>
        <w:autoSpaceDE w:val="0"/>
        <w:autoSpaceDN w:val="0"/>
        <w:adjustRightInd w:val="0"/>
        <w:spacing w:before="0" w:after="0" w:line="240" w:lineRule="auto"/>
        <w:rPr>
          <w:rFonts w:asciiTheme="minorHAnsi" w:eastAsiaTheme="minorHAnsi" w:hAnsiTheme="minorHAnsi" w:cs="Arial"/>
          <w:color w:val="000000"/>
        </w:rPr>
      </w:pPr>
      <w:r w:rsidRPr="008B5AB4">
        <w:rPr>
          <w:rFonts w:asciiTheme="minorHAnsi" w:eastAsiaTheme="minorHAnsi" w:hAnsiTheme="minorHAnsi" w:cs="Arial"/>
          <w:color w:val="000000"/>
        </w:rPr>
        <w:t xml:space="preserve">With respect to the nature of the product, clinical pharmacology data have not been assessed. The constituents of the vaccine itself are phagocytosed at the site of injection. Therefore, specific interaction or </w:t>
      </w:r>
      <w:r>
        <w:rPr>
          <w:rFonts w:asciiTheme="minorHAnsi" w:eastAsiaTheme="minorHAnsi" w:hAnsiTheme="minorHAnsi" w:cs="Arial"/>
          <w:color w:val="000000"/>
        </w:rPr>
        <w:t>PK</w:t>
      </w:r>
      <w:r w:rsidRPr="008B5AB4">
        <w:rPr>
          <w:rFonts w:asciiTheme="minorHAnsi" w:eastAsiaTheme="minorHAnsi" w:hAnsiTheme="minorHAnsi" w:cs="Arial"/>
          <w:color w:val="000000"/>
        </w:rPr>
        <w:t xml:space="preserve"> studies have not been carried out in man.</w:t>
      </w:r>
    </w:p>
    <w:p w14:paraId="108DC40A" w14:textId="77777777" w:rsidR="00F30851" w:rsidRDefault="00F30851" w:rsidP="00EE7481">
      <w:pPr>
        <w:pStyle w:val="Heading2"/>
      </w:pPr>
      <w:bookmarkStart w:id="46" w:name="_Toc501608183"/>
      <w:bookmarkStart w:id="47" w:name="_Toc532480091"/>
      <w:r>
        <w:lastRenderedPageBreak/>
        <w:t>Immunogenicity</w:t>
      </w:r>
      <w:bookmarkEnd w:id="46"/>
      <w:bookmarkEnd w:id="47"/>
    </w:p>
    <w:p w14:paraId="465AAB8F" w14:textId="77777777" w:rsidR="00BC74DF" w:rsidRDefault="00F30851" w:rsidP="00EE7481">
      <w:r>
        <w:t>Clinical e</w:t>
      </w:r>
      <w:r w:rsidRPr="00D03E47">
        <w:t>fficacy</w:t>
      </w:r>
      <w:r>
        <w:t>/immunogenicity</w:t>
      </w:r>
      <w:r w:rsidRPr="00D03E47">
        <w:t xml:space="preserve"> and safety data arising from the pivotal </w:t>
      </w:r>
      <w:r w:rsidRPr="00EE7481">
        <w:t>study (</w:t>
      </w:r>
      <w:r w:rsidRPr="00EE7481">
        <w:rPr>
          <w:rFonts w:asciiTheme="minorHAnsi" w:eastAsiaTheme="minorHAnsi" w:hAnsiTheme="minorHAnsi" w:cs="Tahoma"/>
        </w:rPr>
        <w:t>D-QIV-004</w:t>
      </w:r>
      <w:r w:rsidRPr="00EE7481">
        <w:t>) is summarised in Section 6.0 and Section 7.0 respectively of this application.</w:t>
      </w:r>
    </w:p>
    <w:p w14:paraId="72AB6DDD" w14:textId="7E20AB5B" w:rsidR="00F30851" w:rsidRDefault="00F30851" w:rsidP="00EE7481">
      <w:pPr>
        <w:pStyle w:val="Heading2"/>
      </w:pPr>
      <w:bookmarkStart w:id="48" w:name="_Toc501608184"/>
      <w:bookmarkStart w:id="49" w:name="_Toc532480092"/>
      <w:r>
        <w:t xml:space="preserve">Dosage selection </w:t>
      </w:r>
      <w:r w:rsidRPr="00EE7481">
        <w:t>for</w:t>
      </w:r>
      <w:r>
        <w:t xml:space="preserve"> the pivotal studies</w:t>
      </w:r>
      <w:bookmarkEnd w:id="48"/>
      <w:bookmarkEnd w:id="49"/>
    </w:p>
    <w:p w14:paraId="4E28359C" w14:textId="77777777" w:rsidR="00BC74DF" w:rsidRDefault="00F30851" w:rsidP="00EE7481">
      <w:r w:rsidRPr="0065542C">
        <w:t xml:space="preserve">The dose of </w:t>
      </w:r>
      <w:r w:rsidRPr="0065542C">
        <w:rPr>
          <w:rFonts w:asciiTheme="minorHAnsi" w:eastAsiaTheme="minorHAnsi" w:hAnsiTheme="minorHAnsi" w:cs="Arial"/>
        </w:rPr>
        <w:t>Fluarix Tetra</w:t>
      </w:r>
      <w:r w:rsidR="00B923FE">
        <w:rPr>
          <w:rFonts w:asciiTheme="minorHAnsi" w:eastAsiaTheme="minorHAnsi" w:hAnsiTheme="minorHAnsi" w:cs="Arial"/>
        </w:rPr>
        <w:t xml:space="preserve"> </w:t>
      </w:r>
      <w:r w:rsidR="00B923FE">
        <w:t xml:space="preserve">used in the pivotal </w:t>
      </w:r>
      <w:r w:rsidR="00B923FE" w:rsidRPr="00B923FE">
        <w:t>paediatric S</w:t>
      </w:r>
      <w:r w:rsidRPr="00B923FE">
        <w:t xml:space="preserve">tudy </w:t>
      </w:r>
      <w:r w:rsidR="00B923FE" w:rsidRPr="00B923FE">
        <w:t>D-QIV</w:t>
      </w:r>
      <w:r w:rsidRPr="00B923FE">
        <w:rPr>
          <w:rFonts w:asciiTheme="minorHAnsi" w:hAnsiTheme="minorHAnsi"/>
        </w:rPr>
        <w:t xml:space="preserve">-004 </w:t>
      </w:r>
      <w:r w:rsidRPr="00B923FE">
        <w:t xml:space="preserve">was the same as that approved for use in the current indication of children from 3 years of age and adults </w:t>
      </w:r>
      <w:r w:rsidR="00EE7481" w:rsidRPr="00B923FE">
        <w:t>that is,</w:t>
      </w:r>
      <w:r w:rsidRPr="00B923FE">
        <w:t xml:space="preserve"> single dose of 0.</w:t>
      </w:r>
      <w:r w:rsidR="00C2729B" w:rsidRPr="00B923FE">
        <w:t>5 mL</w:t>
      </w:r>
      <w:r w:rsidRPr="00B923FE">
        <w:t xml:space="preserve"> IM.</w:t>
      </w:r>
    </w:p>
    <w:p w14:paraId="3C1302DA" w14:textId="1F745D33" w:rsidR="00F30851" w:rsidRPr="00522C45" w:rsidRDefault="00F30851" w:rsidP="00EE7481">
      <w:pPr>
        <w:pStyle w:val="Heading2"/>
      </w:pPr>
      <w:bookmarkStart w:id="50" w:name="_Toc501608185"/>
      <w:bookmarkStart w:id="51" w:name="_Toc532480093"/>
      <w:r>
        <w:t>Clinical efficacy</w:t>
      </w:r>
      <w:bookmarkEnd w:id="50"/>
      <w:bookmarkEnd w:id="51"/>
    </w:p>
    <w:p w14:paraId="6E16F397" w14:textId="77777777" w:rsidR="00BC74DF" w:rsidRDefault="00F30851" w:rsidP="00F30851">
      <w:pPr>
        <w:autoSpaceDE w:val="0"/>
        <w:autoSpaceDN w:val="0"/>
        <w:adjustRightInd w:val="0"/>
        <w:spacing w:before="0" w:after="0" w:line="240" w:lineRule="auto"/>
        <w:rPr>
          <w:rFonts w:asciiTheme="minorHAnsi" w:eastAsiaTheme="minorHAnsi" w:hAnsiTheme="minorHAnsi" w:cs="Tahoma"/>
        </w:rPr>
      </w:pPr>
      <w:r w:rsidRPr="00EE7481">
        <w:rPr>
          <w:rFonts w:asciiTheme="minorHAnsi" w:hAnsiTheme="minorHAnsi"/>
        </w:rPr>
        <w:t xml:space="preserve">In most influenza vaccine studies the derived immunogenicity data (for example HI titre) is used as a surrogate for clinical efficacy. </w:t>
      </w:r>
      <w:r w:rsidRPr="00EE7481">
        <w:rPr>
          <w:rFonts w:asciiTheme="minorHAnsi" w:hAnsiTheme="minorHAnsi" w:cs="TimesNewRoman"/>
        </w:rPr>
        <w:t xml:space="preserve">However, </w:t>
      </w:r>
      <w:r w:rsidRPr="00EE7481">
        <w:rPr>
          <w:rFonts w:asciiTheme="minorHAnsi" w:eastAsiaTheme="minorHAnsi" w:hAnsiTheme="minorHAnsi" w:cs="Tahoma"/>
        </w:rPr>
        <w:t xml:space="preserve">in the pivotal </w:t>
      </w:r>
      <w:r w:rsidR="00943514" w:rsidRPr="00EE7481">
        <w:rPr>
          <w:rFonts w:asciiTheme="minorHAnsi" w:eastAsiaTheme="minorHAnsi" w:hAnsiTheme="minorHAnsi" w:cs="Tahoma"/>
        </w:rPr>
        <w:t>Study D-QIV-</w:t>
      </w:r>
      <w:r w:rsidRPr="00EE7481">
        <w:rPr>
          <w:rFonts w:asciiTheme="minorHAnsi" w:eastAsiaTheme="minorHAnsi" w:hAnsiTheme="minorHAnsi" w:cs="Tahoma"/>
        </w:rPr>
        <w:t>004, the study was designed as a true</w:t>
      </w:r>
      <w:r>
        <w:rPr>
          <w:rFonts w:asciiTheme="minorHAnsi" w:eastAsiaTheme="minorHAnsi" w:hAnsiTheme="minorHAnsi" w:cs="Tahoma"/>
        </w:rPr>
        <w:t xml:space="preserve"> clinical endpoint study, powered to assess the protection offered by Fluarix Tetra against PCR proven influenza virus infection; with changes in HI titres captured as secondary immunogenicity endpoints in a subset of participants.</w:t>
      </w:r>
    </w:p>
    <w:p w14:paraId="6F069F11" w14:textId="779D7178" w:rsidR="00F30851" w:rsidRPr="001133C5" w:rsidRDefault="00F30851" w:rsidP="00EE7481">
      <w:pPr>
        <w:pStyle w:val="Heading3"/>
      </w:pPr>
      <w:bookmarkStart w:id="52" w:name="_Toc501608186"/>
      <w:bookmarkStart w:id="53" w:name="_Ref271037274"/>
      <w:bookmarkStart w:id="54" w:name="_Toc272414652"/>
      <w:bookmarkStart w:id="55" w:name="_Toc290888500"/>
      <w:bookmarkStart w:id="56" w:name="_Toc416353716"/>
      <w:bookmarkStart w:id="57" w:name="_Toc421005269"/>
      <w:bookmarkStart w:id="58" w:name="_Toc432079151"/>
      <w:bookmarkStart w:id="59" w:name="_Toc432080724"/>
      <w:bookmarkStart w:id="60" w:name="_Toc532480094"/>
      <w:r w:rsidRPr="00545B14">
        <w:t xml:space="preserve">Studies providing evaluable </w:t>
      </w:r>
      <w:r>
        <w:t>efficacy</w:t>
      </w:r>
      <w:r w:rsidRPr="00545B14">
        <w:t xml:space="preserve"> data</w:t>
      </w:r>
      <w:bookmarkEnd w:id="52"/>
      <w:bookmarkEnd w:id="60"/>
    </w:p>
    <w:p w14:paraId="6BC60210" w14:textId="77777777" w:rsidR="00BC74DF" w:rsidRDefault="00F30851" w:rsidP="00EE7481">
      <w:r>
        <w:t>These include the pivotal study</w:t>
      </w:r>
      <w:r w:rsidRPr="00EB062D">
        <w:t xml:space="preserve"> </w:t>
      </w:r>
      <w:r w:rsidR="0072094D" w:rsidRPr="0072094D">
        <w:t>D-QIV-</w:t>
      </w:r>
      <w:r w:rsidRPr="00EB062D">
        <w:t>004 (115345)</w:t>
      </w:r>
      <w:r>
        <w:t xml:space="preserve">. Supporting efficacy data was provided by </w:t>
      </w:r>
      <w:r w:rsidR="0072094D" w:rsidRPr="0072094D">
        <w:t>D-QIV-</w:t>
      </w:r>
      <w:r w:rsidRPr="00AC685F">
        <w:t>009 EXT 004 (116023)</w:t>
      </w:r>
      <w:r>
        <w:t xml:space="preserve"> and </w:t>
      </w:r>
      <w:r w:rsidR="0072094D" w:rsidRPr="0072094D">
        <w:t>D-QIV-</w:t>
      </w:r>
      <w:r w:rsidRPr="00AC685F">
        <w:t>015 (201251)</w:t>
      </w:r>
      <w:r>
        <w:t xml:space="preserve"> </w:t>
      </w:r>
      <w:r w:rsidRPr="00AC685F">
        <w:t>(</w:t>
      </w:r>
      <w:r w:rsidR="005879FC">
        <w:t>6 to 35</w:t>
      </w:r>
      <w:r>
        <w:t xml:space="preserve"> </w:t>
      </w:r>
      <w:r w:rsidRPr="00AC685F">
        <w:t>months</w:t>
      </w:r>
      <w:r>
        <w:t xml:space="preserve"> </w:t>
      </w:r>
      <w:r w:rsidRPr="00AC685F">
        <w:t>cohort)</w:t>
      </w:r>
      <w:r>
        <w:t>.</w:t>
      </w:r>
    </w:p>
    <w:p w14:paraId="6D058617" w14:textId="018BD062" w:rsidR="00F30851" w:rsidRPr="00E12B8C" w:rsidRDefault="00F30851" w:rsidP="00EE7481">
      <w:pPr>
        <w:pStyle w:val="Heading3"/>
      </w:pPr>
      <w:bookmarkStart w:id="61" w:name="_Toc501608187"/>
      <w:bookmarkStart w:id="62" w:name="_Toc532480095"/>
      <w:r w:rsidRPr="005632DC">
        <w:t>Pivotal or main efficacy studies</w:t>
      </w:r>
      <w:bookmarkEnd w:id="53"/>
      <w:bookmarkEnd w:id="54"/>
      <w:bookmarkEnd w:id="55"/>
      <w:bookmarkEnd w:id="56"/>
      <w:bookmarkEnd w:id="57"/>
      <w:bookmarkEnd w:id="58"/>
      <w:bookmarkEnd w:id="59"/>
      <w:bookmarkEnd w:id="61"/>
      <w:bookmarkEnd w:id="62"/>
    </w:p>
    <w:p w14:paraId="07F6238F" w14:textId="72603ECD" w:rsidR="00F30851" w:rsidRPr="005F09CC" w:rsidRDefault="00EE7481" w:rsidP="00650FFB">
      <w:pPr>
        <w:pStyle w:val="Heading4"/>
      </w:pPr>
      <w:r>
        <w:t xml:space="preserve">Study </w:t>
      </w:r>
      <w:r w:rsidR="00F30851" w:rsidRPr="00E12B8C">
        <w:t>115345 (</w:t>
      </w:r>
      <w:r w:rsidR="00650FFB" w:rsidRPr="00650FFB">
        <w:t>D-QIV-</w:t>
      </w:r>
      <w:r w:rsidR="00F30851" w:rsidRPr="00E12B8C">
        <w:t>004 PRI)</w:t>
      </w:r>
      <w:r w:rsidR="00F30851" w:rsidRPr="005043B2">
        <w:t xml:space="preserve">: </w:t>
      </w:r>
      <w:r w:rsidR="00F30851" w:rsidRPr="00E12B8C">
        <w:t xml:space="preserve">A </w:t>
      </w:r>
      <w:r w:rsidR="00943514">
        <w:t>Phase III</w:t>
      </w:r>
      <w:r w:rsidR="00F30851" w:rsidRPr="00E12B8C">
        <w:t>, observer-blind, randomised, multi-country, non-influenza vaccine comparator-controlled study to demonstrate the efficacy of GlaxoSmithKline Vaccines’ quadrivalent seasonal influenza candidate vaccine GSK2321138A (</w:t>
      </w:r>
      <w:r w:rsidR="00E278CC">
        <w:t>Fluarix Tetra</w:t>
      </w:r>
      <w:r w:rsidR="00F30851" w:rsidRPr="00E12B8C">
        <w:t>), administered intramuscularly in children 6 to 35 months of age.</w:t>
      </w:r>
    </w:p>
    <w:p w14:paraId="08BEDA87" w14:textId="77777777" w:rsidR="00F30851" w:rsidRPr="00965167" w:rsidRDefault="00F30851" w:rsidP="00EE7481">
      <w:pPr>
        <w:pStyle w:val="Heading5"/>
      </w:pPr>
      <w:r w:rsidRPr="005632DC">
        <w:t>Study design, objectives, locations and dates</w:t>
      </w:r>
    </w:p>
    <w:p w14:paraId="7FA4F13F" w14:textId="63DF809A" w:rsidR="00BC74DF" w:rsidRDefault="00F30851" w:rsidP="007E3752">
      <w:r w:rsidRPr="00FE46E5">
        <w:t xml:space="preserve">Study design: </w:t>
      </w:r>
      <w:r>
        <w:t xml:space="preserve">The objectives of this Phase III efficacy study was </w:t>
      </w:r>
      <w:r w:rsidRPr="0061069B">
        <w:t xml:space="preserve">to demonstrate </w:t>
      </w:r>
      <w:r>
        <w:t xml:space="preserve">the </w:t>
      </w:r>
      <w:r w:rsidRPr="0061069B">
        <w:t xml:space="preserve">efficacy of the </w:t>
      </w:r>
      <w:r w:rsidR="00FF0211" w:rsidRPr="00FF0211">
        <w:t xml:space="preserve">Fluarix Tetra </w:t>
      </w:r>
      <w:r w:rsidRPr="0061069B">
        <w:t xml:space="preserve">vaccine </w:t>
      </w:r>
      <w:r w:rsidR="007E3752">
        <w:t>versus</w:t>
      </w:r>
      <w:r w:rsidRPr="0061069B">
        <w:t xml:space="preserve"> non-influenza vaccine controls in the prevention of RT-PCR</w:t>
      </w:r>
      <w:r>
        <w:t xml:space="preserve"> </w:t>
      </w:r>
      <w:r w:rsidRPr="0061069B">
        <w:t>confirmed</w:t>
      </w:r>
      <w:r>
        <w:t xml:space="preserve"> moderate-to-severe influenza A and</w:t>
      </w:r>
      <w:r w:rsidRPr="0061069B">
        <w:t>/or B disease and any influenza A and/or</w:t>
      </w:r>
      <w:r w:rsidR="00ED5BF0">
        <w:t xml:space="preserve"> </w:t>
      </w:r>
      <w:r>
        <w:t xml:space="preserve">B disease in children aged </w:t>
      </w:r>
      <w:r w:rsidR="005879FC">
        <w:t>6 to 35</w:t>
      </w:r>
      <w:r>
        <w:t xml:space="preserve"> months of age. Participants were randomis</w:t>
      </w:r>
      <w:r w:rsidRPr="0061069B">
        <w:t xml:space="preserve">ed 1:1 between </w:t>
      </w:r>
      <w:r w:rsidR="00E278CC">
        <w:t>Fluarix Tetra</w:t>
      </w:r>
      <w:r w:rsidRPr="0061069B">
        <w:t xml:space="preserve"> and the control group (receiving a licensed pneumococcal polysaccharide</w:t>
      </w:r>
      <w:r w:rsidR="007E3752">
        <w:t xml:space="preserve"> </w:t>
      </w:r>
      <w:r w:rsidRPr="0061069B">
        <w:t>conjugated vaccine in children aged &lt;12 months or a licensed inactivated hepatitis A</w:t>
      </w:r>
      <w:r w:rsidR="007E3752">
        <w:t xml:space="preserve"> </w:t>
      </w:r>
      <w:r w:rsidRPr="0061069B">
        <w:t>va</w:t>
      </w:r>
      <w:r>
        <w:t>ccine /</w:t>
      </w:r>
      <w:r w:rsidRPr="0061069B">
        <w:t>a licensed varicella virus vaccine in children ≥12 months).</w:t>
      </w:r>
    </w:p>
    <w:p w14:paraId="752C6367" w14:textId="2649FE13" w:rsidR="00F30851" w:rsidRPr="0061069B" w:rsidRDefault="007E3752" w:rsidP="007E3752">
      <w:r>
        <w:t>Vaccine un-primed</w:t>
      </w:r>
      <w:r w:rsidR="00F30851" w:rsidRPr="0061069B">
        <w:t xml:space="preserve"> subjects </w:t>
      </w:r>
      <w:r w:rsidR="00E94B96">
        <w:t>(</w:t>
      </w:r>
      <w:r w:rsidR="00F30851">
        <w:t>=</w:t>
      </w:r>
      <w:r w:rsidR="00F30851" w:rsidRPr="0061069B">
        <w:t xml:space="preserve"> have not previously received at least </w:t>
      </w:r>
      <w:r>
        <w:t>2 doses</w:t>
      </w:r>
      <w:r w:rsidR="00F30851" w:rsidRPr="0061069B">
        <w:t xml:space="preserve"> of</w:t>
      </w:r>
      <w:r w:rsidR="00F30851">
        <w:t xml:space="preserve"> </w:t>
      </w:r>
      <w:r w:rsidR="00F30851" w:rsidRPr="0061069B">
        <w:t>seasonal influenza vaccin</w:t>
      </w:r>
      <w:r w:rsidR="00F30851">
        <w:t>e, separated by 28 days or more</w:t>
      </w:r>
      <w:r w:rsidR="00E94B96">
        <w:t>)</w:t>
      </w:r>
      <w:r w:rsidR="00F30851" w:rsidRPr="0061069B">
        <w:t xml:space="preserve"> </w:t>
      </w:r>
      <w:r w:rsidR="00F30851">
        <w:t>received</w:t>
      </w:r>
      <w:r w:rsidR="00F30851" w:rsidRPr="0061069B">
        <w:t xml:space="preserve"> </w:t>
      </w:r>
      <w:r w:rsidR="00F30851">
        <w:t>2</w:t>
      </w:r>
      <w:r w:rsidR="00F30851" w:rsidRPr="0061069B">
        <w:t xml:space="preserve"> doses of </w:t>
      </w:r>
      <w:r w:rsidR="00E278CC">
        <w:t>Fluarix Tetra</w:t>
      </w:r>
      <w:r w:rsidR="00F30851" w:rsidRPr="0061069B">
        <w:t xml:space="preserve"> or non-influenza vaccine control at an </w:t>
      </w:r>
      <w:r>
        <w:t>approximately</w:t>
      </w:r>
      <w:r w:rsidR="00F93BD0">
        <w:t xml:space="preserve"> </w:t>
      </w:r>
      <w:r w:rsidR="00F30851" w:rsidRPr="0061069B">
        <w:t>28 day interval. Giving</w:t>
      </w:r>
      <w:r w:rsidR="00F30851">
        <w:t xml:space="preserve"> 2 </w:t>
      </w:r>
      <w:r w:rsidR="00F30851" w:rsidRPr="0061069B">
        <w:t>doses approximately one month apart is standard practice for all inactivated influenza</w:t>
      </w:r>
      <w:r w:rsidR="00F30851">
        <w:t xml:space="preserve"> </w:t>
      </w:r>
      <w:r w:rsidR="00F30851" w:rsidRPr="0061069B">
        <w:t>vaccines given to this age group if they are receiving influenza vaccination for the first</w:t>
      </w:r>
      <w:r w:rsidR="00F30851">
        <w:t xml:space="preserve"> </w:t>
      </w:r>
      <w:r w:rsidR="00F30851" w:rsidRPr="0061069B">
        <w:t>time, in most countries where vaccinations are recommended for healthy children or</w:t>
      </w:r>
      <w:r w:rsidR="00F30851">
        <w:t xml:space="preserve"> </w:t>
      </w:r>
      <w:r w:rsidR="00F30851" w:rsidRPr="0061069B">
        <w:t>c</w:t>
      </w:r>
      <w:r w:rsidR="00F30851">
        <w:t>hildren with underlying disease. All</w:t>
      </w:r>
      <w:r w:rsidR="00F30851" w:rsidRPr="0061069B">
        <w:t xml:space="preserve"> eligible children below 12 months will be considered as vaccine</w:t>
      </w:r>
      <w:r w:rsidR="00F30851">
        <w:t xml:space="preserve"> </w:t>
      </w:r>
      <w:r w:rsidR="00F30851" w:rsidRPr="0061069B">
        <w:t>un</w:t>
      </w:r>
      <w:r>
        <w:t>-</w:t>
      </w:r>
      <w:r w:rsidR="00F30851" w:rsidRPr="0061069B">
        <w:t>primed.</w:t>
      </w:r>
      <w:r w:rsidR="00F30851">
        <w:t xml:space="preserve"> </w:t>
      </w:r>
      <w:r w:rsidR="00F30851" w:rsidRPr="0061069B">
        <w:t>All children age</w:t>
      </w:r>
      <w:r w:rsidR="00F30851">
        <w:t>d &lt;12 months in the control</w:t>
      </w:r>
      <w:r w:rsidR="00CE366D">
        <w:t xml:space="preserve"> group </w:t>
      </w:r>
      <w:r w:rsidR="00F30851" w:rsidRPr="0061069B">
        <w:t>will receive two doses of</w:t>
      </w:r>
      <w:r w:rsidR="00F30851">
        <w:t xml:space="preserve"> </w:t>
      </w:r>
      <w:r w:rsidR="00F30851" w:rsidRPr="0061069B">
        <w:t>pneumococcal polysaccharide conjugate vaccine (Prevenar13) at Day 0 and Day 28</w:t>
      </w:r>
      <w:r w:rsidR="00F30851">
        <w:t xml:space="preserve"> </w:t>
      </w:r>
      <w:r w:rsidR="00F30851" w:rsidRPr="0061069B">
        <w:t>during the study. An ad</w:t>
      </w:r>
      <w:r w:rsidR="00F30851">
        <w:t>ditional dose of Prevenar13 will</w:t>
      </w:r>
      <w:r w:rsidR="00F30851" w:rsidRPr="0061069B">
        <w:t xml:space="preserve"> be given after study completion. In countries with recommendation for universal vaccination </w:t>
      </w:r>
      <w:r w:rsidR="00F30851" w:rsidRPr="0061069B">
        <w:lastRenderedPageBreak/>
        <w:t>against</w:t>
      </w:r>
      <w:r w:rsidR="00F30851">
        <w:t xml:space="preserve"> </w:t>
      </w:r>
      <w:r w:rsidR="00F30851" w:rsidRPr="0061069B">
        <w:t>pneumococcal infection during first year of life, the enrolment in the study will be limited</w:t>
      </w:r>
      <w:r w:rsidR="00F30851">
        <w:t xml:space="preserve"> by age</w:t>
      </w:r>
      <w:r w:rsidR="00CE366D">
        <w:t xml:space="preserve"> group </w:t>
      </w:r>
      <w:r w:rsidR="00F30851" w:rsidRPr="0061069B">
        <w:t xml:space="preserve">from </w:t>
      </w:r>
      <w:r w:rsidR="00F30851">
        <w:t>≥12 months</w:t>
      </w:r>
      <w:r w:rsidR="00F30851" w:rsidRPr="0061069B">
        <w:t>.</w:t>
      </w:r>
    </w:p>
    <w:p w14:paraId="1240C2FE" w14:textId="77777777" w:rsidR="00BC74DF" w:rsidRDefault="007E3752" w:rsidP="007E3752">
      <w:r>
        <w:t>Vaccine primed</w:t>
      </w:r>
      <w:r w:rsidR="00F30851">
        <w:t xml:space="preserve"> subjects </w:t>
      </w:r>
      <w:r w:rsidR="00D50E4A">
        <w:t>(</w:t>
      </w:r>
      <w:r w:rsidR="00E94B96">
        <w:t xml:space="preserve">= </w:t>
      </w:r>
      <w:r w:rsidR="00F30851" w:rsidRPr="0061069B">
        <w:t xml:space="preserve">have previously received at least </w:t>
      </w:r>
      <w:r>
        <w:t>2 doses</w:t>
      </w:r>
      <w:r w:rsidR="00F30851" w:rsidRPr="0061069B">
        <w:t xml:space="preserve"> of seasonal</w:t>
      </w:r>
      <w:r w:rsidR="00F30851">
        <w:t xml:space="preserve"> </w:t>
      </w:r>
      <w:r w:rsidR="00F30851" w:rsidRPr="0061069B">
        <w:t>influenza vaccin</w:t>
      </w:r>
      <w:r w:rsidR="00F30851">
        <w:t>e, separated by 28 days or more</w:t>
      </w:r>
      <w:r w:rsidR="00D50E4A">
        <w:t>)</w:t>
      </w:r>
      <w:r w:rsidR="00F30851">
        <w:t xml:space="preserve"> were to </w:t>
      </w:r>
      <w:r w:rsidR="00F30851" w:rsidRPr="0061069B">
        <w:t xml:space="preserve">receive a single dose of </w:t>
      </w:r>
      <w:r w:rsidR="00E278CC">
        <w:t>Fluarix Tetra</w:t>
      </w:r>
      <w:r w:rsidR="00F30851" w:rsidRPr="0061069B">
        <w:t>,</w:t>
      </w:r>
      <w:r w:rsidR="00F30851">
        <w:t xml:space="preserve"> </w:t>
      </w:r>
      <w:r w:rsidR="00F30851" w:rsidRPr="0061069B">
        <w:t>or one dose of non</w:t>
      </w:r>
      <w:r>
        <w:t>-</w:t>
      </w:r>
      <w:r w:rsidR="00F30851" w:rsidRPr="0061069B">
        <w:t>influenza</w:t>
      </w:r>
      <w:r w:rsidR="00F30851">
        <w:t xml:space="preserve"> </w:t>
      </w:r>
      <w:r w:rsidR="00F30851" w:rsidRPr="0061069B">
        <w:t>vaccine control.</w:t>
      </w:r>
      <w:r w:rsidR="00F30851">
        <w:t xml:space="preserve"> </w:t>
      </w:r>
      <w:r>
        <w:t>Vaccine primed</w:t>
      </w:r>
      <w:r w:rsidR="00F30851" w:rsidRPr="0061069B">
        <w:t xml:space="preserve"> subjects aged ≥12 m</w:t>
      </w:r>
      <w:r w:rsidR="00F30851">
        <w:t>onths in the control</w:t>
      </w:r>
      <w:r w:rsidR="00CE366D">
        <w:t xml:space="preserve"> group </w:t>
      </w:r>
      <w:r w:rsidR="00F30851">
        <w:t xml:space="preserve">were to </w:t>
      </w:r>
      <w:r w:rsidR="00F30851" w:rsidRPr="0061069B">
        <w:t>receive one dose of</w:t>
      </w:r>
      <w:r w:rsidR="00F30851">
        <w:t xml:space="preserve"> </w:t>
      </w:r>
      <w:r w:rsidR="00F30851" w:rsidRPr="0061069B">
        <w:t>Hepatitis A vaccine (Havrix) as a non-influenza vaccine control and an additional booster</w:t>
      </w:r>
      <w:r w:rsidR="00F30851">
        <w:t xml:space="preserve"> </w:t>
      </w:r>
      <w:r w:rsidR="00F30851" w:rsidRPr="0061069B">
        <w:t>dose of this vaccine after study completion</w:t>
      </w:r>
      <w:r w:rsidR="00F30851">
        <w:t xml:space="preserve">. </w:t>
      </w:r>
      <w:r>
        <w:t>Vaccine un-primed</w:t>
      </w:r>
      <w:r w:rsidR="00F30851" w:rsidRPr="0061069B">
        <w:t xml:space="preserve"> subjects ≥12 months of age (with respect to 2-dose influenza</w:t>
      </w:r>
      <w:r w:rsidR="00F30851">
        <w:t xml:space="preserve"> </w:t>
      </w:r>
      <w:r w:rsidR="00F30851" w:rsidRPr="0061069B">
        <w:t>vaccina</w:t>
      </w:r>
      <w:r w:rsidR="00F30851">
        <w:t>tion) in the control</w:t>
      </w:r>
      <w:r w:rsidR="00CE366D">
        <w:t xml:space="preserve"> group </w:t>
      </w:r>
      <w:r w:rsidR="00F30851">
        <w:t xml:space="preserve">were to </w:t>
      </w:r>
      <w:r w:rsidR="00F30851" w:rsidRPr="0061069B">
        <w:t>receive one dose of Havrix at Day 0 and one dose</w:t>
      </w:r>
      <w:r w:rsidR="00F30851">
        <w:t xml:space="preserve"> </w:t>
      </w:r>
      <w:r w:rsidR="00F30851" w:rsidRPr="0061069B">
        <w:t>of a varicella vaccine at Day 28 during the study. A booster dose of Havrix an</w:t>
      </w:r>
      <w:r w:rsidR="00F30851">
        <w:t>d, if applicable</w:t>
      </w:r>
      <w:r w:rsidR="00F30851" w:rsidRPr="0061069B">
        <w:t>, one dos</w:t>
      </w:r>
      <w:r w:rsidR="00F30851">
        <w:t>e of the varicella vaccine w</w:t>
      </w:r>
      <w:r>
        <w:t>as</w:t>
      </w:r>
      <w:r w:rsidR="00F30851">
        <w:t xml:space="preserve"> to </w:t>
      </w:r>
      <w:r w:rsidR="00F30851" w:rsidRPr="0061069B">
        <w:t>b</w:t>
      </w:r>
      <w:r w:rsidR="00F30851">
        <w:t>e given after study completion.</w:t>
      </w:r>
    </w:p>
    <w:p w14:paraId="660692C9" w14:textId="77777777" w:rsidR="00BC74DF" w:rsidRDefault="00F30851" w:rsidP="007E3752">
      <w:r w:rsidRPr="0061069B">
        <w:t xml:space="preserve">This design </w:t>
      </w:r>
      <w:r>
        <w:t>(</w:t>
      </w:r>
      <w:r w:rsidRPr="00C92BDF">
        <w:t>Figure 1</w:t>
      </w:r>
      <w:r>
        <w:t xml:space="preserve">) </w:t>
      </w:r>
      <w:r w:rsidRPr="0061069B">
        <w:t>allows observer-blind efficac</w:t>
      </w:r>
      <w:r>
        <w:t xml:space="preserve">y evaluation of </w:t>
      </w:r>
      <w:r w:rsidR="00E278CC">
        <w:t>Fluarix Tetra</w:t>
      </w:r>
      <w:r>
        <w:t xml:space="preserve"> </w:t>
      </w:r>
      <w:r w:rsidR="007E3752">
        <w:t>versus</w:t>
      </w:r>
      <w:r w:rsidRPr="0061069B">
        <w:t xml:space="preserve"> Havrix/a</w:t>
      </w:r>
      <w:r>
        <w:t xml:space="preserve"> </w:t>
      </w:r>
      <w:r w:rsidRPr="0061069B">
        <w:t xml:space="preserve">varicella vaccine in subjects aged ≥12 months and </w:t>
      </w:r>
      <w:r w:rsidR="00E278CC">
        <w:t>Fluarix Tetra</w:t>
      </w:r>
      <w:r>
        <w:t xml:space="preserve"> </w:t>
      </w:r>
      <w:r w:rsidR="007E3752">
        <w:t>versus</w:t>
      </w:r>
      <w:r w:rsidRPr="0061069B">
        <w:t xml:space="preserve"> Prevenar13 in</w:t>
      </w:r>
      <w:r>
        <w:t xml:space="preserve"> subjects aged &lt;12 months</w:t>
      </w:r>
      <w:r w:rsidRPr="0061069B">
        <w:t>.</w:t>
      </w:r>
      <w:r>
        <w:t xml:space="preserve"> As children &lt;</w:t>
      </w:r>
      <w:r w:rsidRPr="0061069B">
        <w:t>12 months from the control</w:t>
      </w:r>
      <w:r>
        <w:t xml:space="preserve"> </w:t>
      </w:r>
      <w:r w:rsidRPr="0061069B">
        <w:t>group will receive the pneumococcal vaccine Prevenar13 which might interfere in the</w:t>
      </w:r>
      <w:r>
        <w:t xml:space="preserve"> </w:t>
      </w:r>
      <w:r w:rsidRPr="0061069B">
        <w:t>evaluation of V</w:t>
      </w:r>
      <w:r>
        <w:t xml:space="preserve">accine </w:t>
      </w:r>
      <w:r w:rsidRPr="0061069B">
        <w:t>E</w:t>
      </w:r>
      <w:r>
        <w:t>fficacy (VE)</w:t>
      </w:r>
      <w:r w:rsidRPr="0061069B">
        <w:t xml:space="preserve"> of </w:t>
      </w:r>
      <w:r w:rsidR="00E278CC">
        <w:t>Fluarix Tetra</w:t>
      </w:r>
      <w:r w:rsidRPr="0061069B">
        <w:t xml:space="preserve"> in the prevention of any cause </w:t>
      </w:r>
      <w:r w:rsidRPr="00C92BDF">
        <w:t xml:space="preserve">acute otitis media </w:t>
      </w:r>
      <w:r>
        <w:t>(</w:t>
      </w:r>
      <w:r w:rsidRPr="0061069B">
        <w:t>AOM</w:t>
      </w:r>
      <w:r>
        <w:t>)</w:t>
      </w:r>
      <w:r w:rsidRPr="0061069B">
        <w:t xml:space="preserve"> and </w:t>
      </w:r>
      <w:r w:rsidRPr="00C92BDF">
        <w:t xml:space="preserve">lower respiratory illness </w:t>
      </w:r>
      <w:r>
        <w:t>(</w:t>
      </w:r>
      <w:r w:rsidRPr="0061069B">
        <w:t>LRI</w:t>
      </w:r>
      <w:r>
        <w:t>)</w:t>
      </w:r>
      <w:r w:rsidRPr="0061069B">
        <w:t>, the</w:t>
      </w:r>
      <w:r>
        <w:t xml:space="preserve"> </w:t>
      </w:r>
      <w:r w:rsidRPr="0061069B">
        <w:t>analysis of these parameters will be limited to children aged from 12 to 35 months.</w:t>
      </w:r>
      <w:r>
        <w:t xml:space="preserve"> </w:t>
      </w:r>
      <w:r w:rsidRPr="0061069B">
        <w:t>In the present</w:t>
      </w:r>
      <w:r>
        <w:t xml:space="preserve"> </w:t>
      </w:r>
      <w:r w:rsidRPr="0061069B">
        <w:t>study, all cases considered as a possible consequence of an influenza virus attack (</w:t>
      </w:r>
      <w:r w:rsidR="007E3752">
        <w:t>for example,</w:t>
      </w:r>
      <w:r>
        <w:t xml:space="preserve"> </w:t>
      </w:r>
      <w:r w:rsidRPr="0061069B">
        <w:t>AOM or LRI) will be collected independently of ILI</w:t>
      </w:r>
      <w:r>
        <w:t>, to allow for afebrile AOM</w:t>
      </w:r>
      <w:r w:rsidRPr="0061069B">
        <w:t>.</w:t>
      </w:r>
    </w:p>
    <w:p w14:paraId="59379F16" w14:textId="5985331C" w:rsidR="00F30851" w:rsidRDefault="00F30851" w:rsidP="007E3752">
      <w:pPr>
        <w:pStyle w:val="FigureTitle"/>
      </w:pPr>
      <w:r w:rsidRPr="00AE314C">
        <w:t>Figure 1: Study design of D-QIV-004</w:t>
      </w:r>
    </w:p>
    <w:p w14:paraId="45DEE516" w14:textId="77777777" w:rsidR="007E3752" w:rsidRPr="00526AC8" w:rsidRDefault="007E3752" w:rsidP="00486721">
      <w:r>
        <w:rPr>
          <w:noProof/>
          <w:lang w:eastAsia="en-AU"/>
        </w:rPr>
        <w:drawing>
          <wp:inline distT="0" distB="0" distL="0" distR="0" wp14:anchorId="3F5D55C9" wp14:editId="7AB0C9AC">
            <wp:extent cx="3912337" cy="4229972"/>
            <wp:effectExtent l="0" t="0" r="0" b="0"/>
            <wp:docPr id="3" name="Picture 3" descr="Study design of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3912988" cy="4230676"/>
                    </a:xfrm>
                    <a:prstGeom prst="rect">
                      <a:avLst/>
                    </a:prstGeom>
                  </pic:spPr>
                </pic:pic>
              </a:graphicData>
            </a:graphic>
          </wp:inline>
        </w:drawing>
      </w:r>
    </w:p>
    <w:p w14:paraId="13074B85" w14:textId="77777777" w:rsidR="00F30851" w:rsidRPr="003E262A" w:rsidRDefault="007E3752" w:rsidP="007E3752">
      <w:pPr>
        <w:pStyle w:val="Heading5"/>
        <w:rPr>
          <w:rFonts w:eastAsia="TimesNewRoman"/>
        </w:rPr>
      </w:pPr>
      <w:r>
        <w:rPr>
          <w:rFonts w:eastAsia="TimesNewRoman"/>
        </w:rPr>
        <w:t>Co-Primary objective(s)</w:t>
      </w:r>
    </w:p>
    <w:p w14:paraId="19E8EE95" w14:textId="77777777" w:rsidR="00F30851" w:rsidRDefault="00F30851" w:rsidP="007E3752">
      <w:pPr>
        <w:pStyle w:val="Numberbullet0"/>
      </w:pPr>
      <w:r w:rsidRPr="003E262A">
        <w:t xml:space="preserve">To evaluate the efficacy of </w:t>
      </w:r>
      <w:r w:rsidR="00E278CC">
        <w:t>Fluarix Tetra</w:t>
      </w:r>
      <w:r w:rsidRPr="003E262A">
        <w:t xml:space="preserve"> in the prevention of </w:t>
      </w:r>
      <w:r>
        <w:t xml:space="preserve">RT-PCR </w:t>
      </w:r>
      <w:r w:rsidRPr="00E278CC">
        <w:t>confirmed moderate-to-severe influenza (Table 1) A and/or B disease due to any seasonal influen</w:t>
      </w:r>
      <w:r w:rsidRPr="003E262A">
        <w:t xml:space="preserve">za strain, when compared to non-influenza vaccine controls </w:t>
      </w:r>
      <w:r>
        <w:t>in children aged 6 to 35 months;</w:t>
      </w:r>
    </w:p>
    <w:p w14:paraId="181585A0" w14:textId="77777777" w:rsidR="00F30851" w:rsidRPr="003E262A" w:rsidRDefault="00F30851" w:rsidP="00E278CC">
      <w:pPr>
        <w:pStyle w:val="Heading6"/>
        <w:rPr>
          <w:rFonts w:eastAsia="TimesNewRoman"/>
        </w:rPr>
      </w:pPr>
      <w:r w:rsidRPr="003E262A">
        <w:rPr>
          <w:rFonts w:eastAsia="TimesNewRoman"/>
        </w:rPr>
        <w:lastRenderedPageBreak/>
        <w:t>Criterion to be used for this co-primary objective</w:t>
      </w:r>
    </w:p>
    <w:p w14:paraId="0CB40725" w14:textId="77777777" w:rsidR="00F30851" w:rsidRDefault="00F30851" w:rsidP="00E278CC">
      <w:pPr>
        <w:pStyle w:val="Numberbullet0"/>
        <w:numPr>
          <w:ilvl w:val="0"/>
          <w:numId w:val="0"/>
        </w:numPr>
        <w:ind w:left="425"/>
      </w:pPr>
      <w:r w:rsidRPr="003E262A">
        <w:t xml:space="preserve">The efficacy of the </w:t>
      </w:r>
      <w:r w:rsidR="00E278CC">
        <w:t>Fluarix Tetra</w:t>
      </w:r>
      <w:r w:rsidRPr="003E262A">
        <w:t xml:space="preserve"> vaccine will be demonstrated if the LL of the two</w:t>
      </w:r>
      <w:r>
        <w:t>-</w:t>
      </w:r>
      <w:r w:rsidRPr="003E262A">
        <w:t>sided</w:t>
      </w:r>
      <w:r w:rsidR="007E3752">
        <w:t xml:space="preserve"> </w:t>
      </w:r>
      <w:r>
        <w:t>97.5% CI for VE</w:t>
      </w:r>
      <w:r w:rsidR="00943514">
        <w:t xml:space="preserve"> </w:t>
      </w:r>
      <w:r>
        <w:t>is &gt;</w:t>
      </w:r>
      <w:r w:rsidRPr="003E262A">
        <w:t>25%</w:t>
      </w:r>
    </w:p>
    <w:p w14:paraId="7182DCDF" w14:textId="77777777" w:rsidR="00F30851" w:rsidRPr="003E262A" w:rsidRDefault="00F30851" w:rsidP="007E3752">
      <w:pPr>
        <w:pStyle w:val="Numberbullet0"/>
      </w:pPr>
      <w:r w:rsidRPr="003E262A">
        <w:t xml:space="preserve">To evaluate the efficacy of </w:t>
      </w:r>
      <w:r w:rsidR="00E278CC">
        <w:t>Fluarix Tetra</w:t>
      </w:r>
      <w:r w:rsidRPr="003E262A">
        <w:t xml:space="preserve"> in the prevention of RT-PCR confirmed influenza A and/or B</w:t>
      </w:r>
      <w:r>
        <w:t xml:space="preserve"> </w:t>
      </w:r>
      <w:r w:rsidRPr="003E262A">
        <w:t xml:space="preserve">disease of </w:t>
      </w:r>
      <w:r w:rsidRPr="00E278CC">
        <w:t>any severity</w:t>
      </w:r>
      <w:r w:rsidRPr="003E262A">
        <w:t xml:space="preserve"> due to any seasonal influenza strain when compared to non-influenza vaccine</w:t>
      </w:r>
      <w:r>
        <w:t xml:space="preserve"> controls in children aged </w:t>
      </w:r>
      <w:r w:rsidR="005879FC">
        <w:t>6 to 35</w:t>
      </w:r>
      <w:r w:rsidRPr="003E262A">
        <w:t xml:space="preserve"> months.</w:t>
      </w:r>
    </w:p>
    <w:p w14:paraId="44604D53" w14:textId="77777777" w:rsidR="00E278CC" w:rsidRDefault="00F30851" w:rsidP="00E278CC">
      <w:pPr>
        <w:pStyle w:val="Heading6"/>
        <w:rPr>
          <w:rFonts w:eastAsia="TimesNewRoman"/>
        </w:rPr>
      </w:pPr>
      <w:r w:rsidRPr="003E262A">
        <w:rPr>
          <w:rFonts w:eastAsia="TimesNewRoman"/>
        </w:rPr>
        <w:t>Criterion to be used for this co-primary objective</w:t>
      </w:r>
    </w:p>
    <w:p w14:paraId="3D833BCC" w14:textId="77777777" w:rsidR="00F30851" w:rsidRDefault="00F30851" w:rsidP="00F30851">
      <w:pPr>
        <w:autoSpaceDE w:val="0"/>
        <w:autoSpaceDN w:val="0"/>
        <w:adjustRightInd w:val="0"/>
        <w:spacing w:before="0" w:after="0" w:line="240" w:lineRule="auto"/>
        <w:ind w:left="227"/>
        <w:rPr>
          <w:rFonts w:asciiTheme="minorHAnsi" w:eastAsia="TimesNewRoman" w:hAnsiTheme="minorHAnsi" w:cs="TimesNewRoman"/>
        </w:rPr>
      </w:pPr>
      <w:r w:rsidRPr="003E262A">
        <w:rPr>
          <w:rFonts w:asciiTheme="minorHAnsi" w:eastAsia="TimesNewRoman" w:hAnsiTheme="minorHAnsi" w:cs="TimesNewRoman"/>
        </w:rPr>
        <w:t xml:space="preserve">The efficacy of the </w:t>
      </w:r>
      <w:r w:rsidR="00E278CC">
        <w:rPr>
          <w:rFonts w:asciiTheme="minorHAnsi" w:eastAsia="TimesNewRoman" w:hAnsiTheme="minorHAnsi" w:cs="TimesNewRoman"/>
        </w:rPr>
        <w:t>Fluarix Tetra</w:t>
      </w:r>
      <w:r w:rsidRPr="003E262A">
        <w:rPr>
          <w:rFonts w:asciiTheme="minorHAnsi" w:eastAsia="TimesNewRoman" w:hAnsiTheme="minorHAnsi" w:cs="TimesNewRoman"/>
        </w:rPr>
        <w:t xml:space="preserve"> vaccine will be demonstrated if the LL of the two</w:t>
      </w:r>
      <w:r w:rsidR="00E278CC">
        <w:rPr>
          <w:rFonts w:asciiTheme="minorHAnsi" w:eastAsia="TimesNewRoman" w:hAnsiTheme="minorHAnsi" w:cs="TimesNewRoman"/>
        </w:rPr>
        <w:t>-</w:t>
      </w:r>
      <w:r w:rsidRPr="003E262A">
        <w:rPr>
          <w:rFonts w:asciiTheme="minorHAnsi" w:eastAsia="TimesNewRoman" w:hAnsiTheme="minorHAnsi" w:cs="TimesNewRoman"/>
        </w:rPr>
        <w:t>sided</w:t>
      </w:r>
      <w:r>
        <w:rPr>
          <w:rFonts w:asciiTheme="minorHAnsi" w:eastAsia="TimesNewRoman" w:hAnsiTheme="minorHAnsi" w:cs="TimesNewRoman"/>
          <w:b/>
        </w:rPr>
        <w:t xml:space="preserve"> </w:t>
      </w:r>
      <w:r w:rsidRPr="003E262A">
        <w:rPr>
          <w:rFonts w:asciiTheme="minorHAnsi" w:eastAsia="TimesNewRoman" w:hAnsiTheme="minorHAnsi" w:cs="TimesNewRoman"/>
        </w:rPr>
        <w:t xml:space="preserve">97.5% CI for VE is </w:t>
      </w:r>
      <w:r>
        <w:rPr>
          <w:rFonts w:asciiTheme="minorHAnsi" w:eastAsia="TimesNewRoman" w:hAnsiTheme="minorHAnsi" w:cs="TimesNewRoman"/>
        </w:rPr>
        <w:t>&gt;</w:t>
      </w:r>
      <w:r w:rsidRPr="003E262A">
        <w:rPr>
          <w:rFonts w:asciiTheme="minorHAnsi" w:eastAsia="TimesNewRoman" w:hAnsiTheme="minorHAnsi" w:cs="TimesNewRoman"/>
        </w:rPr>
        <w:t>15%.</w:t>
      </w:r>
    </w:p>
    <w:p w14:paraId="6E99E85C" w14:textId="77777777" w:rsidR="00F30851" w:rsidRPr="003E262A" w:rsidRDefault="00F30851" w:rsidP="00E278CC">
      <w:pPr>
        <w:pStyle w:val="Heading5"/>
        <w:rPr>
          <w:rFonts w:eastAsiaTheme="minorHAnsi"/>
        </w:rPr>
      </w:pPr>
      <w:r w:rsidRPr="003E262A">
        <w:rPr>
          <w:rFonts w:eastAsiaTheme="minorHAnsi"/>
        </w:rPr>
        <w:t>Secondary</w:t>
      </w:r>
      <w:r>
        <w:rPr>
          <w:rFonts w:eastAsiaTheme="minorHAnsi"/>
        </w:rPr>
        <w:t xml:space="preserve"> objectives</w:t>
      </w:r>
    </w:p>
    <w:p w14:paraId="2173F6CD" w14:textId="77777777" w:rsidR="005E57AC" w:rsidRPr="005E57AC" w:rsidRDefault="00F30851" w:rsidP="005E57AC">
      <w:pPr>
        <w:pStyle w:val="Heading6"/>
        <w:rPr>
          <w:rStyle w:val="Heading6Char"/>
          <w:rFonts w:eastAsiaTheme="minorHAnsi"/>
          <w:bCs/>
          <w:i/>
        </w:rPr>
      </w:pPr>
      <w:r w:rsidRPr="005E57AC">
        <w:rPr>
          <w:rStyle w:val="Heading6Char"/>
          <w:rFonts w:eastAsiaTheme="minorHAnsi"/>
          <w:bCs/>
          <w:i/>
        </w:rPr>
        <w:t>Efficacy</w:t>
      </w:r>
    </w:p>
    <w:p w14:paraId="78CFE72B" w14:textId="77777777" w:rsidR="00F30851" w:rsidRPr="0071087B" w:rsidRDefault="00F30851" w:rsidP="00F30851">
      <w:pPr>
        <w:autoSpaceDE w:val="0"/>
        <w:autoSpaceDN w:val="0"/>
        <w:adjustRightInd w:val="0"/>
        <w:spacing w:before="0" w:after="0" w:line="240" w:lineRule="auto"/>
        <w:ind w:left="227"/>
        <w:rPr>
          <w:rFonts w:asciiTheme="minorHAnsi" w:eastAsiaTheme="minorHAnsi" w:hAnsiTheme="minorHAnsi"/>
          <w:b/>
        </w:rPr>
      </w:pPr>
      <w:r w:rsidRPr="003E262A">
        <w:rPr>
          <w:rFonts w:asciiTheme="minorHAnsi" w:eastAsiaTheme="minorHAnsi" w:hAnsiTheme="minorHAnsi"/>
        </w:rPr>
        <w:t xml:space="preserve">To evaluate the efficacy of </w:t>
      </w:r>
      <w:r w:rsidR="00E278CC">
        <w:rPr>
          <w:rFonts w:asciiTheme="minorHAnsi" w:eastAsiaTheme="minorHAnsi" w:hAnsiTheme="minorHAnsi"/>
        </w:rPr>
        <w:t>Fluarix Tetra</w:t>
      </w:r>
      <w:r w:rsidRPr="003E262A">
        <w:rPr>
          <w:rFonts w:asciiTheme="minorHAnsi" w:eastAsiaTheme="minorHAnsi" w:hAnsiTheme="minorHAnsi"/>
        </w:rPr>
        <w:t xml:space="preserve"> in the prevention of:</w:t>
      </w:r>
    </w:p>
    <w:p w14:paraId="3EF0F38F" w14:textId="77777777" w:rsidR="00BC74DF" w:rsidRDefault="00F30851" w:rsidP="00E278CC">
      <w:pPr>
        <w:pStyle w:val="ListBullet"/>
      </w:pPr>
      <w:r>
        <w:t xml:space="preserve">LRI </w:t>
      </w:r>
      <w:r w:rsidRPr="003E262A">
        <w:t xml:space="preserve">associated with RT-PCR confirmed influenza A and/or B, </w:t>
      </w:r>
      <w:r w:rsidR="007E3752">
        <w:t>versus</w:t>
      </w:r>
      <w:r w:rsidRPr="003E262A">
        <w:rPr>
          <w:rFonts w:asciiTheme="minorHAnsi" w:eastAsiaTheme="minorHAnsi" w:hAnsiTheme="minorHAnsi"/>
        </w:rPr>
        <w:t xml:space="preserve"> non-influenza vaccine controls.</w:t>
      </w:r>
    </w:p>
    <w:p w14:paraId="26D6030B" w14:textId="77777777" w:rsidR="00BC74DF" w:rsidRDefault="00F30851" w:rsidP="00E278CC">
      <w:pPr>
        <w:pStyle w:val="ListBullet"/>
      </w:pPr>
      <w:r>
        <w:rPr>
          <w:rFonts w:asciiTheme="minorHAnsi" w:eastAsiaTheme="minorHAnsi" w:hAnsiTheme="minorHAnsi"/>
        </w:rPr>
        <w:t>Culture confirmed moderate-to-</w:t>
      </w:r>
      <w:r w:rsidRPr="003E262A">
        <w:rPr>
          <w:rFonts w:asciiTheme="minorHAnsi" w:eastAsiaTheme="minorHAnsi" w:hAnsiTheme="minorHAnsi"/>
        </w:rPr>
        <w:t>severe infl</w:t>
      </w:r>
      <w:r>
        <w:rPr>
          <w:rFonts w:asciiTheme="minorHAnsi" w:eastAsiaTheme="minorHAnsi" w:hAnsiTheme="minorHAnsi"/>
        </w:rPr>
        <w:t xml:space="preserve">uenza A and/or B disease due to </w:t>
      </w:r>
      <w:r w:rsidRPr="0071087B">
        <w:rPr>
          <w:rFonts w:asciiTheme="minorHAnsi" w:eastAsiaTheme="minorHAnsi" w:hAnsiTheme="minorHAnsi"/>
        </w:rPr>
        <w:t>antigenically-matching influenza strains when compared to non-influenza vaccine controls.</w:t>
      </w:r>
    </w:p>
    <w:p w14:paraId="658D346C" w14:textId="3CBC820D" w:rsidR="00F30851" w:rsidRPr="00C92BDF" w:rsidRDefault="00F30851" w:rsidP="00E278CC">
      <w:pPr>
        <w:pStyle w:val="ListBullet"/>
        <w:rPr>
          <w:rFonts w:asciiTheme="minorHAnsi" w:eastAsiaTheme="minorHAnsi" w:hAnsiTheme="minorHAnsi"/>
        </w:rPr>
      </w:pPr>
      <w:r w:rsidRPr="003E262A">
        <w:rPr>
          <w:rFonts w:asciiTheme="minorHAnsi" w:eastAsiaTheme="minorHAnsi" w:hAnsiTheme="minorHAnsi"/>
        </w:rPr>
        <w:t>Culture confirmed influenza A and/or B disease of any severity due to antigenically-matching</w:t>
      </w:r>
      <w:r>
        <w:rPr>
          <w:rFonts w:asciiTheme="minorHAnsi" w:eastAsiaTheme="minorHAnsi" w:hAnsiTheme="minorHAnsi"/>
        </w:rPr>
        <w:t xml:space="preserve"> </w:t>
      </w:r>
      <w:r w:rsidRPr="003E262A">
        <w:rPr>
          <w:rFonts w:asciiTheme="minorHAnsi" w:eastAsiaTheme="minorHAnsi" w:hAnsiTheme="minorHAnsi"/>
        </w:rPr>
        <w:t>influenza strains when compared to non-influenza vaccine controls.</w:t>
      </w:r>
    </w:p>
    <w:p w14:paraId="75210CFD" w14:textId="77777777" w:rsidR="00F30851" w:rsidRPr="00526AC8" w:rsidRDefault="00F30851" w:rsidP="00E278CC">
      <w:pPr>
        <w:pStyle w:val="ListBullet"/>
        <w:rPr>
          <w:rFonts w:asciiTheme="minorHAnsi" w:eastAsiaTheme="minorHAnsi" w:hAnsiTheme="minorHAnsi"/>
        </w:rPr>
      </w:pPr>
      <w:r w:rsidRPr="0071087B">
        <w:rPr>
          <w:rFonts w:asciiTheme="minorHAnsi" w:eastAsiaTheme="minorHAnsi" w:hAnsiTheme="minorHAnsi"/>
        </w:rPr>
        <w:t xml:space="preserve">Culture confirmed </w:t>
      </w:r>
      <w:r>
        <w:rPr>
          <w:rFonts w:asciiTheme="minorHAnsi" w:eastAsiaTheme="minorHAnsi" w:hAnsiTheme="minorHAnsi"/>
        </w:rPr>
        <w:t xml:space="preserve">moderate-to-severe </w:t>
      </w:r>
      <w:r w:rsidRPr="0071087B">
        <w:rPr>
          <w:rFonts w:asciiTheme="minorHAnsi" w:eastAsiaTheme="minorHAnsi" w:hAnsiTheme="minorHAnsi"/>
        </w:rPr>
        <w:t>influenza A and/or B disease due to any seasonal influenza strain, when compared to non-influenza vaccine control.</w:t>
      </w:r>
    </w:p>
    <w:p w14:paraId="0FFC4C7C" w14:textId="77777777" w:rsidR="00F30851" w:rsidRPr="00526AC8" w:rsidRDefault="00F30851" w:rsidP="00E278CC">
      <w:pPr>
        <w:pStyle w:val="ListBullet"/>
        <w:rPr>
          <w:rFonts w:asciiTheme="minorHAnsi" w:eastAsiaTheme="minorHAnsi" w:hAnsiTheme="minorHAnsi"/>
        </w:rPr>
      </w:pPr>
      <w:r w:rsidRPr="003E262A">
        <w:rPr>
          <w:rFonts w:asciiTheme="minorHAnsi" w:eastAsiaTheme="minorHAnsi" w:hAnsiTheme="minorHAnsi"/>
        </w:rPr>
        <w:t>Culture confirmed influenza A and/or B disease of any severity due to any seasonal influenza strain,</w:t>
      </w:r>
      <w:r>
        <w:rPr>
          <w:rFonts w:asciiTheme="minorHAnsi" w:eastAsiaTheme="minorHAnsi" w:hAnsiTheme="minorHAnsi"/>
        </w:rPr>
        <w:t xml:space="preserve"> </w:t>
      </w:r>
      <w:r w:rsidRPr="003E262A">
        <w:rPr>
          <w:rFonts w:asciiTheme="minorHAnsi" w:eastAsiaTheme="minorHAnsi" w:hAnsiTheme="minorHAnsi"/>
        </w:rPr>
        <w:t>when compared to non-influenza vaccine controls.</w:t>
      </w:r>
    </w:p>
    <w:p w14:paraId="5D0EED36" w14:textId="77777777" w:rsidR="00F30851" w:rsidRPr="00526AC8" w:rsidRDefault="00F30851" w:rsidP="00E278CC">
      <w:pPr>
        <w:pStyle w:val="ListBullet"/>
        <w:rPr>
          <w:rFonts w:asciiTheme="minorHAnsi" w:eastAsiaTheme="minorHAnsi" w:hAnsiTheme="minorHAnsi"/>
        </w:rPr>
      </w:pPr>
      <w:r>
        <w:rPr>
          <w:rFonts w:asciiTheme="minorHAnsi" w:eastAsiaTheme="minorHAnsi" w:hAnsiTheme="minorHAnsi"/>
        </w:rPr>
        <w:t xml:space="preserve">AOM </w:t>
      </w:r>
      <w:r w:rsidRPr="003E262A">
        <w:rPr>
          <w:rFonts w:asciiTheme="minorHAnsi" w:eastAsiaTheme="minorHAnsi" w:hAnsiTheme="minorHAnsi"/>
        </w:rPr>
        <w:t>associated with RT-PCR confirmed infl</w:t>
      </w:r>
      <w:r>
        <w:rPr>
          <w:rFonts w:asciiTheme="minorHAnsi" w:eastAsiaTheme="minorHAnsi" w:hAnsiTheme="minorHAnsi"/>
        </w:rPr>
        <w:t xml:space="preserve">uenza A and/or B, </w:t>
      </w:r>
      <w:r w:rsidR="007E3752">
        <w:rPr>
          <w:rFonts w:asciiTheme="minorHAnsi" w:eastAsiaTheme="minorHAnsi" w:hAnsiTheme="minorHAnsi"/>
        </w:rPr>
        <w:t>versus</w:t>
      </w:r>
      <w:r>
        <w:rPr>
          <w:rFonts w:asciiTheme="minorHAnsi" w:eastAsiaTheme="minorHAnsi" w:hAnsiTheme="minorHAnsi"/>
        </w:rPr>
        <w:t xml:space="preserve"> </w:t>
      </w:r>
      <w:r w:rsidRPr="003E262A">
        <w:rPr>
          <w:rFonts w:asciiTheme="minorHAnsi" w:eastAsiaTheme="minorHAnsi" w:hAnsiTheme="minorHAnsi"/>
        </w:rPr>
        <w:t>non-influenza vaccine controls.</w:t>
      </w:r>
    </w:p>
    <w:p w14:paraId="20AF2B5A" w14:textId="77777777" w:rsidR="00F30851" w:rsidRPr="006B712C" w:rsidRDefault="00F30851" w:rsidP="00E278CC">
      <w:pPr>
        <w:pStyle w:val="ListBullet"/>
        <w:rPr>
          <w:rFonts w:asciiTheme="minorHAnsi" w:eastAsiaTheme="minorHAnsi" w:hAnsiTheme="minorHAnsi"/>
        </w:rPr>
      </w:pPr>
      <w:r w:rsidRPr="003E262A">
        <w:rPr>
          <w:rFonts w:asciiTheme="minorHAnsi" w:eastAsiaTheme="minorHAnsi" w:hAnsiTheme="minorHAnsi"/>
        </w:rPr>
        <w:t>RT-PCR confirmed severe influenza A and/or B disease, when compared to non-</w:t>
      </w:r>
      <w:r w:rsidRPr="006B712C">
        <w:rPr>
          <w:rFonts w:asciiTheme="minorHAnsi" w:eastAsiaTheme="minorHAnsi" w:hAnsiTheme="minorHAnsi"/>
        </w:rPr>
        <w:t>influenza vaccine controls.</w:t>
      </w:r>
    </w:p>
    <w:p w14:paraId="7B1EE366" w14:textId="77777777" w:rsidR="005E57AC" w:rsidRPr="005E57AC" w:rsidRDefault="00F30851" w:rsidP="005E57AC">
      <w:pPr>
        <w:pStyle w:val="Heading6"/>
        <w:rPr>
          <w:rStyle w:val="Heading6Char"/>
          <w:rFonts w:eastAsiaTheme="minorHAnsi"/>
          <w:bCs/>
          <w:i/>
        </w:rPr>
      </w:pPr>
      <w:r w:rsidRPr="005E57AC">
        <w:rPr>
          <w:rStyle w:val="Heading6Char"/>
          <w:rFonts w:eastAsiaTheme="minorHAnsi"/>
          <w:bCs/>
          <w:i/>
        </w:rPr>
        <w:t>Immunogenicity</w:t>
      </w:r>
    </w:p>
    <w:p w14:paraId="4D3A9313" w14:textId="77777777" w:rsidR="00BC74DF" w:rsidRDefault="00F30851" w:rsidP="005E57AC">
      <w:r w:rsidRPr="004D3BAF">
        <w:t xml:space="preserve">To evaluate the immunogenicity of </w:t>
      </w:r>
      <w:r w:rsidR="00E278CC">
        <w:t>Fluarix Tetra</w:t>
      </w:r>
      <w:r w:rsidRPr="004D3BAF">
        <w:t xml:space="preserve"> in terms of HI antibody response 28 days after completion of vaccination in an immunogenicity (immuno) sub</w:t>
      </w:r>
      <w:r w:rsidR="00D50E4A">
        <w:t>-</w:t>
      </w:r>
      <w:r w:rsidRPr="004D3BAF">
        <w:t>cohort</w:t>
      </w:r>
      <w:r w:rsidRPr="004D3BAF">
        <w:rPr>
          <w:rFonts w:eastAsiaTheme="minorHAnsi"/>
          <w:b/>
        </w:rPr>
        <w:t xml:space="preserve"> </w:t>
      </w:r>
      <w:r w:rsidRPr="004D3BAF">
        <w:t xml:space="preserve">of subjects. The immuno sub-cohort will include </w:t>
      </w:r>
      <w:r w:rsidR="007E3752">
        <w:t>approximately</w:t>
      </w:r>
      <w:r w:rsidR="00D50E4A">
        <w:t xml:space="preserve"> </w:t>
      </w:r>
      <w:r w:rsidRPr="004D3BAF">
        <w:t xml:space="preserve">600 subjects from </w:t>
      </w:r>
      <w:r w:rsidR="00E278CC">
        <w:t>C</w:t>
      </w:r>
      <w:r w:rsidRPr="004D3BAF">
        <w:t>ohorts 1 and</w:t>
      </w:r>
      <w:r>
        <w:t xml:space="preserve"> </w:t>
      </w:r>
      <w:r w:rsidRPr="004D3BAF">
        <w:t>2 (</w:t>
      </w:r>
      <w:r w:rsidR="00E278CC">
        <w:t xml:space="preserve">approximately </w:t>
      </w:r>
      <w:r w:rsidRPr="004D3BAF">
        <w:t xml:space="preserve">400 subjects in the </w:t>
      </w:r>
      <w:r w:rsidR="00E278CC">
        <w:t>Fluarix Tetra</w:t>
      </w:r>
      <w:r w:rsidRPr="004D3BAF">
        <w:t xml:space="preserve"> </w:t>
      </w:r>
      <w:r>
        <w:t>g</w:t>
      </w:r>
      <w:r w:rsidR="00E278CC">
        <w:t>rou</w:t>
      </w:r>
      <w:r>
        <w:t>p</w:t>
      </w:r>
      <w:r w:rsidRPr="004D3BAF">
        <w:t xml:space="preserve">, </w:t>
      </w:r>
      <w:r w:rsidR="007E3752">
        <w:t>approximately</w:t>
      </w:r>
      <w:r w:rsidR="00D50E4A">
        <w:t xml:space="preserve"> </w:t>
      </w:r>
      <w:r w:rsidRPr="004D3BAF">
        <w:t>200 subjects</w:t>
      </w:r>
      <w:r>
        <w:t xml:space="preserve"> </w:t>
      </w:r>
      <w:r w:rsidRPr="004D3BAF">
        <w:t xml:space="preserve">in the control </w:t>
      </w:r>
      <w:r>
        <w:t>g</w:t>
      </w:r>
      <w:r w:rsidR="00E278CC">
        <w:t>rou</w:t>
      </w:r>
      <w:r>
        <w:t>p</w:t>
      </w:r>
      <w:r w:rsidRPr="004D3BAF">
        <w:t xml:space="preserve">) and </w:t>
      </w:r>
      <w:r w:rsidR="00E278CC">
        <w:t>approximately</w:t>
      </w:r>
      <w:r w:rsidR="00F93BD0">
        <w:t xml:space="preserve"> </w:t>
      </w:r>
      <w:r w:rsidRPr="004D3BAF">
        <w:t>150 subjects (half of the subjects from the</w:t>
      </w:r>
      <w:r>
        <w:t xml:space="preserve"> </w:t>
      </w:r>
      <w:r w:rsidR="00E278CC">
        <w:t>Fluarix Tetra</w:t>
      </w:r>
      <w:r w:rsidR="00CE366D">
        <w:t xml:space="preserve"> group </w:t>
      </w:r>
      <w:r w:rsidRPr="004D3BAF">
        <w:t>and half of the subjects from the control</w:t>
      </w:r>
      <w:r w:rsidR="00E278CC">
        <w:t xml:space="preserve"> group)</w:t>
      </w:r>
      <w:r w:rsidRPr="004D3BAF">
        <w:t xml:space="preserve"> from </w:t>
      </w:r>
      <w:r w:rsidR="00E278CC">
        <w:t>C</w:t>
      </w:r>
      <w:r w:rsidRPr="004D3BAF">
        <w:t>ohort 3. In</w:t>
      </w:r>
      <w:r>
        <w:t xml:space="preserve"> </w:t>
      </w:r>
      <w:r w:rsidRPr="004D3BAF">
        <w:t>addition, up to 50 subjects per participating country (half of the subjects from the</w:t>
      </w:r>
      <w:r>
        <w:t xml:space="preserve"> </w:t>
      </w:r>
      <w:r w:rsidR="00E278CC">
        <w:t>Fluarix Tetra</w:t>
      </w:r>
      <w:r w:rsidR="00CE366D">
        <w:t xml:space="preserve"> group </w:t>
      </w:r>
      <w:r w:rsidRPr="004D3BAF">
        <w:t>and half of the subjects from the control</w:t>
      </w:r>
      <w:r w:rsidR="00E278CC">
        <w:t xml:space="preserve"> group)</w:t>
      </w:r>
      <w:r w:rsidRPr="004D3BAF">
        <w:t xml:space="preserve"> from cohort 4 and</w:t>
      </w:r>
      <w:r>
        <w:t xml:space="preserve"> </w:t>
      </w:r>
      <w:r w:rsidRPr="004D3BAF">
        <w:t>any additional cohort will be included in the immuno sub-cohor</w:t>
      </w:r>
      <w:r>
        <w:t xml:space="preserve">t. Standard derived variables are </w:t>
      </w:r>
      <w:r w:rsidRPr="00237B47">
        <w:t>Geometric Mean Titres (GMTs) of HI antibody titres at</w:t>
      </w:r>
      <w:r>
        <w:t xml:space="preserve"> Days 0 and 28/56; </w:t>
      </w:r>
      <w:r w:rsidRPr="00237B47">
        <w:t>Seroposit</w:t>
      </w:r>
      <w:r>
        <w:t xml:space="preserve">ivity rates at Days 0 and 28/56; </w:t>
      </w:r>
      <w:r w:rsidRPr="00237B47">
        <w:t>Seroconversion rates (SCR)</w:t>
      </w:r>
      <w:r>
        <w:t xml:space="preserve"> at Day 28/56; </w:t>
      </w:r>
      <w:r w:rsidRPr="00237B47">
        <w:t>Mean geometric increase (MGI)</w:t>
      </w:r>
      <w:r w:rsidR="00943514">
        <w:t xml:space="preserve"> </w:t>
      </w:r>
      <w:r>
        <w:t xml:space="preserve">at Day 28/56; </w:t>
      </w:r>
      <w:r w:rsidRPr="00237B47">
        <w:t>Seroprotection rates (SPR)</w:t>
      </w:r>
      <w:r w:rsidR="00943514">
        <w:t xml:space="preserve"> </w:t>
      </w:r>
      <w:r w:rsidRPr="00237B47">
        <w:t>at Days 0 and 28/56</w:t>
      </w:r>
      <w:r>
        <w:t>.</w:t>
      </w:r>
    </w:p>
    <w:p w14:paraId="7C1060E5" w14:textId="7B3F7A0F" w:rsidR="00F30851" w:rsidRPr="00237B47" w:rsidRDefault="00F30851" w:rsidP="005E57AC">
      <w:pPr>
        <w:rPr>
          <w:b/>
        </w:rPr>
      </w:pPr>
      <w:r w:rsidRPr="005E57AC">
        <w:rPr>
          <w:i/>
        </w:rPr>
        <w:t>Key: SCR</w:t>
      </w:r>
      <w:r w:rsidRPr="00285C2D">
        <w:t xml:space="preserve"> is defined as the </w:t>
      </w:r>
      <w:r>
        <w:t xml:space="preserve">% </w:t>
      </w:r>
      <w:r w:rsidRPr="00285C2D">
        <w:t xml:space="preserve">of vaccinees </w:t>
      </w:r>
      <w:r>
        <w:t>with a pre-vaccination titre &lt;</w:t>
      </w:r>
      <w:r w:rsidRPr="00285C2D">
        <w:t>1:10</w:t>
      </w:r>
      <w:r>
        <w:t xml:space="preserve"> and a post-vaccination titre ≥</w:t>
      </w:r>
      <w:r w:rsidRPr="00285C2D">
        <w:t>1:40 or a</w:t>
      </w:r>
      <w:r>
        <w:t xml:space="preserve"> </w:t>
      </w:r>
      <w:r w:rsidRPr="00285C2D">
        <w:t>pre-vaccination ti</w:t>
      </w:r>
      <w:r>
        <w:t>tre ≥</w:t>
      </w:r>
      <w:r w:rsidRPr="00285C2D">
        <w:t xml:space="preserve">1:10 and </w:t>
      </w:r>
      <w:r>
        <w:t>≥</w:t>
      </w:r>
      <w:r w:rsidRPr="00285C2D">
        <w:t>four-fold increase in</w:t>
      </w:r>
      <w:r>
        <w:t xml:space="preserve"> </w:t>
      </w:r>
      <w:r w:rsidRPr="00285C2D">
        <w:t>post-vaccination titre.</w:t>
      </w:r>
      <w:r>
        <w:rPr>
          <w:b/>
        </w:rPr>
        <w:t xml:space="preserve"> </w:t>
      </w:r>
      <w:r w:rsidRPr="005E57AC">
        <w:rPr>
          <w:i/>
        </w:rPr>
        <w:t>MGI</w:t>
      </w:r>
      <w:r w:rsidRPr="00285C2D">
        <w:t xml:space="preserve"> is defined as the fold increase in serum HI GMTs postvaccination</w:t>
      </w:r>
      <w:r>
        <w:t xml:space="preserve"> </w:t>
      </w:r>
      <w:r w:rsidRPr="00285C2D">
        <w:t>compared to pre-</w:t>
      </w:r>
      <w:r w:rsidRPr="0082696E">
        <w:t>vaccination.</w:t>
      </w:r>
      <w:r>
        <w:rPr>
          <w:b/>
        </w:rPr>
        <w:t xml:space="preserve"> </w:t>
      </w:r>
      <w:r w:rsidRPr="005E57AC">
        <w:rPr>
          <w:i/>
        </w:rPr>
        <w:t>SPR</w:t>
      </w:r>
      <w:r w:rsidRPr="0082696E">
        <w:t xml:space="preserve"> is defined as the percentage of vaccinees with a serum HI titre ≥1:40 </w:t>
      </w:r>
      <w:r>
        <w:t xml:space="preserve">= threshold for </w:t>
      </w:r>
      <w:r w:rsidRPr="0082696E">
        <w:t>indicating protection in adults. SPR will be also presented as the percentage of vaccines with a serum HI titre ≥1:80 and ≥1:160.</w:t>
      </w:r>
    </w:p>
    <w:p w14:paraId="1B623E49" w14:textId="77777777" w:rsidR="00F30851" w:rsidRPr="00A8437E" w:rsidRDefault="00F30851" w:rsidP="005E57AC">
      <w:pPr>
        <w:pStyle w:val="Heading6"/>
        <w:rPr>
          <w:rFonts w:eastAsia="TimesNewRoman"/>
        </w:rPr>
      </w:pPr>
      <w:r w:rsidRPr="0082696E">
        <w:rPr>
          <w:rFonts w:eastAsia="TimesNewRoman"/>
        </w:rPr>
        <w:lastRenderedPageBreak/>
        <w:t>Reactogenicity/safety</w:t>
      </w:r>
    </w:p>
    <w:p w14:paraId="22FC2B32" w14:textId="77777777" w:rsidR="00F30851" w:rsidRPr="0082696E" w:rsidRDefault="00F30851" w:rsidP="00E278CC">
      <w:pPr>
        <w:pStyle w:val="ListBullet"/>
      </w:pPr>
      <w:r>
        <w:t xml:space="preserve">To evaluate </w:t>
      </w:r>
      <w:r w:rsidRPr="0082696E">
        <w:t xml:space="preserve">reactogenicity of </w:t>
      </w:r>
      <w:r w:rsidR="00E278CC">
        <w:t>Fluarix Tetra</w:t>
      </w:r>
      <w:r w:rsidRPr="0082696E">
        <w:t xml:space="preserve"> and non-influenza vaccine controls in terms of solicited local and general adverse events (AEs) during 7 days after each vaccination and unsolicited symptoms during 28 days after each vaccination.</w:t>
      </w:r>
    </w:p>
    <w:p w14:paraId="3F11EB3D" w14:textId="77777777" w:rsidR="00F30851" w:rsidRPr="0082696E" w:rsidRDefault="00F30851" w:rsidP="00E278CC">
      <w:pPr>
        <w:pStyle w:val="ListBullet"/>
      </w:pPr>
      <w:r>
        <w:t xml:space="preserve">To evaluate </w:t>
      </w:r>
      <w:r w:rsidRPr="0082696E">
        <w:t xml:space="preserve">safety of </w:t>
      </w:r>
      <w:r w:rsidR="00E278CC">
        <w:t>Fluarix Tetra</w:t>
      </w:r>
      <w:r w:rsidRPr="0082696E">
        <w:t xml:space="preserve"> and non-influenza vaccine controls in terms of AEs with medically attended visits (MAVs), serious adverse events (SAEs) and potential Immune-Mediated-Diseases (pIMDs) during the</w:t>
      </w:r>
      <w:r>
        <w:t xml:space="preserve"> entire study period (6-8 m</w:t>
      </w:r>
      <w:r w:rsidRPr="0082696E">
        <w:t>ths after study start).</w:t>
      </w:r>
    </w:p>
    <w:p w14:paraId="2D7A6757" w14:textId="77777777" w:rsidR="00F30851" w:rsidRPr="003A49CC" w:rsidRDefault="00F30851" w:rsidP="005E57AC">
      <w:pPr>
        <w:pStyle w:val="Heading5"/>
        <w:rPr>
          <w:rFonts w:eastAsia="TimesNewRoman"/>
        </w:rPr>
      </w:pPr>
      <w:r w:rsidRPr="003A49CC">
        <w:rPr>
          <w:rFonts w:eastAsia="TimesNewRoman"/>
        </w:rPr>
        <w:t>Exploratory endpoints</w:t>
      </w:r>
    </w:p>
    <w:p w14:paraId="4BDB48D3" w14:textId="77777777" w:rsidR="00F30851" w:rsidRPr="004D3BAF" w:rsidRDefault="00F30851" w:rsidP="005E57AC">
      <w:pPr>
        <w:pStyle w:val="Heading6"/>
        <w:rPr>
          <w:rFonts w:eastAsia="TimesNewRoman"/>
        </w:rPr>
      </w:pPr>
      <w:r w:rsidRPr="004D3BAF">
        <w:rPr>
          <w:rFonts w:eastAsia="TimesNewRoman"/>
        </w:rPr>
        <w:t>Efficacy</w:t>
      </w:r>
    </w:p>
    <w:p w14:paraId="3685A6C9" w14:textId="77777777" w:rsidR="00F30851" w:rsidRPr="004D3BAF" w:rsidRDefault="00F30851" w:rsidP="003836A3">
      <w:pPr>
        <w:pStyle w:val="Numberbullet0"/>
        <w:numPr>
          <w:ilvl w:val="0"/>
          <w:numId w:val="16"/>
        </w:numPr>
      </w:pPr>
      <w:r>
        <w:t xml:space="preserve">To evaluate the </w:t>
      </w:r>
      <w:r w:rsidRPr="004D3BAF">
        <w:t xml:space="preserve">efficacy of </w:t>
      </w:r>
      <w:r w:rsidR="00E278CC">
        <w:t>Fluarix Tetra</w:t>
      </w:r>
      <w:r w:rsidRPr="004D3BAF">
        <w:t xml:space="preserve"> in the prevention of RT-PCR confirmed</w:t>
      </w:r>
      <w:r>
        <w:t xml:space="preserve"> mild (= </w:t>
      </w:r>
      <w:r w:rsidRPr="00A8437E">
        <w:t xml:space="preserve">not fulfilling the definition of moderate-to-severe influenza </w:t>
      </w:r>
      <w:r w:rsidRPr="004D3BAF">
        <w:t>A and/or</w:t>
      </w:r>
      <w:r>
        <w:t xml:space="preserve"> B)</w:t>
      </w:r>
      <w:r w:rsidRPr="004D3BAF">
        <w:t>.</w:t>
      </w:r>
    </w:p>
    <w:p w14:paraId="405C4895" w14:textId="77777777" w:rsidR="00F30851" w:rsidRPr="0071087B" w:rsidRDefault="00F30851" w:rsidP="005E57AC">
      <w:pPr>
        <w:pStyle w:val="Numberbullet0"/>
      </w:pPr>
      <w:r>
        <w:t xml:space="preserve">To evaluate the </w:t>
      </w:r>
      <w:r w:rsidRPr="004D3BAF">
        <w:t xml:space="preserve">efficacy of </w:t>
      </w:r>
      <w:r w:rsidR="00E278CC">
        <w:t>Fluarix Tetra</w:t>
      </w:r>
      <w:r w:rsidRPr="004D3BAF">
        <w:t xml:space="preserve"> in the prevention of RT-PCR confirmed any</w:t>
      </w:r>
      <w:r>
        <w:t xml:space="preserve"> </w:t>
      </w:r>
      <w:r w:rsidRPr="004D3BAF">
        <w:t>dis</w:t>
      </w:r>
      <w:r>
        <w:t xml:space="preserve">ease, mild disease and moderate-to-severe </w:t>
      </w:r>
      <w:r w:rsidRPr="004D3BAF">
        <w:t>disease by influenza A type, A</w:t>
      </w:r>
      <w:r>
        <w:t xml:space="preserve"> </w:t>
      </w:r>
      <w:r w:rsidRPr="004D3BAF">
        <w:t>subtype and influenza B type and B lineage.</w:t>
      </w:r>
    </w:p>
    <w:p w14:paraId="2F59549F" w14:textId="77777777" w:rsidR="00F30851" w:rsidRPr="004D3BAF" w:rsidRDefault="00F30851" w:rsidP="005E57AC">
      <w:pPr>
        <w:pStyle w:val="Numberbullet0"/>
      </w:pPr>
      <w:r w:rsidRPr="004D3BAF">
        <w:t xml:space="preserve">To evaluate the efficacy of </w:t>
      </w:r>
      <w:r w:rsidR="00E278CC">
        <w:t>Fluarix Tetra</w:t>
      </w:r>
      <w:r w:rsidRPr="004D3BAF">
        <w:t xml:space="preserve"> in the prevention of RT-PCR confirmed any</w:t>
      </w:r>
      <w:r>
        <w:t xml:space="preserve"> disease and moderate-to-severe </w:t>
      </w:r>
      <w:r w:rsidRPr="004D3BAF">
        <w:t>influenza A and/or B disease, when compared to</w:t>
      </w:r>
      <w:r>
        <w:t xml:space="preserve"> </w:t>
      </w:r>
      <w:r w:rsidRPr="004D3BAF">
        <w:t>Non-influenza vaccine controls, by age</w:t>
      </w:r>
      <w:r w:rsidR="00CE366D">
        <w:t xml:space="preserve"> group </w:t>
      </w:r>
      <w:r w:rsidRPr="004D3BAF">
        <w:t>and vaccine-priming status.</w:t>
      </w:r>
    </w:p>
    <w:p w14:paraId="542C0FEB" w14:textId="77777777" w:rsidR="00BC74DF" w:rsidRDefault="00F30851" w:rsidP="005E57AC">
      <w:pPr>
        <w:pStyle w:val="Numberbullet0"/>
      </w:pPr>
      <w:r w:rsidRPr="004D3BAF">
        <w:t xml:space="preserve">To evaluate the efficacy of </w:t>
      </w:r>
      <w:r w:rsidR="00E278CC">
        <w:t>Fluarix Tetra</w:t>
      </w:r>
      <w:r>
        <w:t>, in children aged 12-</w:t>
      </w:r>
      <w:r w:rsidRPr="004D3BAF">
        <w:t>35 months, during the</w:t>
      </w:r>
      <w:r>
        <w:t xml:space="preserve"> </w:t>
      </w:r>
      <w:r w:rsidRPr="004D3BAF">
        <w:t>influenza activity period in each country, when compared to non-influenza vaccine</w:t>
      </w:r>
      <w:r>
        <w:t xml:space="preserve"> </w:t>
      </w:r>
      <w:r w:rsidRPr="004D3BAF">
        <w:t>controls, in the prevention of:</w:t>
      </w:r>
      <w:r>
        <w:t xml:space="preserve"> </w:t>
      </w:r>
      <w:r w:rsidRPr="00A8437E">
        <w:t>ILIs,</w:t>
      </w:r>
      <w:r>
        <w:t xml:space="preserve"> </w:t>
      </w:r>
      <w:r w:rsidRPr="00A8437E">
        <w:t>AOM</w:t>
      </w:r>
      <w:r w:rsidR="005E57AC">
        <w:t xml:space="preserve"> and</w:t>
      </w:r>
      <w:r>
        <w:t xml:space="preserve"> </w:t>
      </w:r>
      <w:r w:rsidRPr="00A8437E">
        <w:t>LRI</w:t>
      </w:r>
    </w:p>
    <w:p w14:paraId="3285B290" w14:textId="5B2922E2" w:rsidR="00F30851" w:rsidRPr="004D3BAF" w:rsidRDefault="00F30851" w:rsidP="005E57AC">
      <w:pPr>
        <w:pStyle w:val="Numberbullet0"/>
      </w:pPr>
      <w:r w:rsidRPr="004D3BAF">
        <w:t>To describe clinical symptoms / signs of RT-PCR-confirmed any, mild and moderate</w:t>
      </w:r>
      <w:r>
        <w:t>-to-</w:t>
      </w:r>
      <w:r w:rsidRPr="004D3BAF">
        <w:t>severe influenza disease and associated day-care/school absenteeism and</w:t>
      </w:r>
      <w:r>
        <w:t xml:space="preserve"> </w:t>
      </w:r>
      <w:r w:rsidRPr="004D3BAF">
        <w:t>parent(s)/LAR(s) workdays lost, i</w:t>
      </w:r>
      <w:r>
        <w:t xml:space="preserve">n the </w:t>
      </w:r>
      <w:r w:rsidR="00E278CC">
        <w:t>Fluarix Tetra</w:t>
      </w:r>
      <w:r>
        <w:t xml:space="preserve"> and </w:t>
      </w:r>
      <w:r w:rsidR="005E57AC">
        <w:t>control group</w:t>
      </w:r>
      <w:r w:rsidRPr="004D3BAF">
        <w:t>.</w:t>
      </w:r>
    </w:p>
    <w:p w14:paraId="4E2005CB" w14:textId="77777777" w:rsidR="00F30851" w:rsidRPr="004D3BAF" w:rsidRDefault="00F30851" w:rsidP="005E57AC">
      <w:pPr>
        <w:pStyle w:val="Numberbullet0"/>
      </w:pPr>
      <w:r w:rsidRPr="004D3BAF">
        <w:t>To evaluate health care utilization associated with RT-PCR confirmed any, mild and</w:t>
      </w:r>
      <w:r>
        <w:t xml:space="preserve"> moderate-to-</w:t>
      </w:r>
      <w:r w:rsidRPr="004D3BAF">
        <w:t xml:space="preserve">severe influenza disease in the </w:t>
      </w:r>
      <w:r w:rsidR="00E278CC">
        <w:t>Fluarix Tetra</w:t>
      </w:r>
      <w:r w:rsidRPr="004D3BAF">
        <w:t xml:space="preserve"> and </w:t>
      </w:r>
      <w:r w:rsidR="005E57AC">
        <w:t>control group</w:t>
      </w:r>
      <w:r w:rsidRPr="004D3BAF">
        <w:t>.</w:t>
      </w:r>
    </w:p>
    <w:p w14:paraId="6C0F650C" w14:textId="77777777" w:rsidR="00BC74DF" w:rsidRDefault="00F30851" w:rsidP="005E57AC">
      <w:pPr>
        <w:pStyle w:val="Numberbullet0"/>
      </w:pPr>
      <w:r w:rsidRPr="004D3BAF">
        <w:t xml:space="preserve">To explore potential immunologic correlates of protection 28 days </w:t>
      </w:r>
      <w:r>
        <w:t>post-</w:t>
      </w:r>
      <w:r w:rsidRPr="004D3BAF">
        <w:t>vaccination.</w:t>
      </w:r>
    </w:p>
    <w:p w14:paraId="1D91F749" w14:textId="396B7FB7" w:rsidR="00F30851" w:rsidRPr="004D3BAF" w:rsidRDefault="00F30851" w:rsidP="005E57AC">
      <w:pPr>
        <w:pStyle w:val="Heading6"/>
        <w:rPr>
          <w:rFonts w:eastAsia="TimesNewRoman"/>
        </w:rPr>
      </w:pPr>
      <w:r w:rsidRPr="004D3BAF">
        <w:rPr>
          <w:rFonts w:eastAsia="TimesNewRoman"/>
        </w:rPr>
        <w:t>Epidemiology</w:t>
      </w:r>
    </w:p>
    <w:p w14:paraId="03C86AB0" w14:textId="77777777" w:rsidR="00F30851" w:rsidRPr="004D3BAF" w:rsidRDefault="00F30851" w:rsidP="003836A3">
      <w:pPr>
        <w:pStyle w:val="Numberbullet0"/>
        <w:numPr>
          <w:ilvl w:val="0"/>
          <w:numId w:val="17"/>
        </w:numPr>
      </w:pPr>
      <w:r w:rsidRPr="004D3BAF">
        <w:t>To assess the presence of R</w:t>
      </w:r>
      <w:r>
        <w:t xml:space="preserve">espiratory </w:t>
      </w:r>
      <w:r w:rsidRPr="004D3BAF">
        <w:t>S</w:t>
      </w:r>
      <w:r>
        <w:t xml:space="preserve">yncytial </w:t>
      </w:r>
      <w:r w:rsidRPr="004D3BAF">
        <w:t>V</w:t>
      </w:r>
      <w:r>
        <w:t>irus</w:t>
      </w:r>
      <w:r w:rsidRPr="004D3BAF">
        <w:t xml:space="preserve"> and/or other respiratory pathogens in swabs collected</w:t>
      </w:r>
      <w:r>
        <w:t xml:space="preserve"> </w:t>
      </w:r>
      <w:r w:rsidRPr="004D3BAF">
        <w:t>at the onset of ILI/LRI/AOM episo</w:t>
      </w:r>
      <w:r>
        <w:t xml:space="preserve">de in </w:t>
      </w:r>
      <w:r w:rsidR="00E278CC">
        <w:t>Fluarix Tetra</w:t>
      </w:r>
      <w:r>
        <w:t xml:space="preserve"> and </w:t>
      </w:r>
      <w:r w:rsidR="005E57AC">
        <w:t>control group</w:t>
      </w:r>
      <w:r w:rsidRPr="004D3BAF">
        <w:t>s</w:t>
      </w:r>
    </w:p>
    <w:p w14:paraId="3AB19A22" w14:textId="77777777" w:rsidR="00F30851" w:rsidRPr="00A8437E" w:rsidRDefault="00F30851" w:rsidP="005E57AC">
      <w:pPr>
        <w:pStyle w:val="Numberbullet0"/>
      </w:pPr>
      <w:r w:rsidRPr="004D3BAF">
        <w:t>To explore pre-vaccination RSV seropositivity status</w:t>
      </w:r>
      <w:r>
        <w:t xml:space="preserve"> in children in </w:t>
      </w:r>
      <w:r w:rsidRPr="004D3BAF">
        <w:t xml:space="preserve">the </w:t>
      </w:r>
      <w:r>
        <w:t xml:space="preserve">immune </w:t>
      </w:r>
      <w:r w:rsidRPr="004D3BAF">
        <w:t>sub-cohort.</w:t>
      </w:r>
    </w:p>
    <w:p w14:paraId="4A72ED08" w14:textId="77777777" w:rsidR="00F30851" w:rsidRPr="00AC3661" w:rsidRDefault="00F30851" w:rsidP="005E57AC">
      <w:pPr>
        <w:pStyle w:val="Heading6"/>
        <w:rPr>
          <w:rFonts w:eastAsia="TimesNewRoman"/>
        </w:rPr>
      </w:pPr>
      <w:r w:rsidRPr="00AC3661">
        <w:rPr>
          <w:rFonts w:eastAsia="TimesNewRoman"/>
        </w:rPr>
        <w:t>Reactogenicity and Safety</w:t>
      </w:r>
    </w:p>
    <w:p w14:paraId="35FC2E37" w14:textId="77777777" w:rsidR="00F30851" w:rsidRPr="005E57AC" w:rsidRDefault="00F30851" w:rsidP="005E57AC">
      <w:r w:rsidRPr="005E57AC">
        <w:rPr>
          <w:i/>
        </w:rPr>
        <w:t>Solicited local and general symptoms</w:t>
      </w:r>
      <w:r w:rsidRPr="005E57AC">
        <w:t>: Occurrence, intensity and duration of each local solicited AE and general solicited AE within 7 days (Day 0-Day 6) after each vaccination.</w:t>
      </w:r>
    </w:p>
    <w:p w14:paraId="2685B372" w14:textId="77777777" w:rsidR="00F30851" w:rsidRPr="005E57AC" w:rsidRDefault="00F30851" w:rsidP="005E57AC">
      <w:r w:rsidRPr="005E57AC">
        <w:rPr>
          <w:i/>
        </w:rPr>
        <w:t>Unsolicited AEs</w:t>
      </w:r>
      <w:r w:rsidRPr="005E57AC">
        <w:t>: Occurrence, intensity and relationship to vaccination of unsolicited AEs within 28 days (Day 0- Day 27) after each vaccination.</w:t>
      </w:r>
    </w:p>
    <w:p w14:paraId="7241F07B" w14:textId="77777777" w:rsidR="00F30851" w:rsidRPr="005E57AC" w:rsidRDefault="00F30851" w:rsidP="005E57AC">
      <w:r w:rsidRPr="005E57AC">
        <w:rPr>
          <w:i/>
        </w:rPr>
        <w:t>AEs with MAV</w:t>
      </w:r>
      <w:r w:rsidRPr="005E57AC">
        <w:t>: Occurrence, intensity and relationship to vaccination of AEs with MAV during the entire study period.</w:t>
      </w:r>
    </w:p>
    <w:p w14:paraId="66B3973E" w14:textId="77777777" w:rsidR="00F30851" w:rsidRPr="005E57AC" w:rsidRDefault="00F30851" w:rsidP="005E57AC">
      <w:r w:rsidRPr="005E57AC">
        <w:rPr>
          <w:i/>
        </w:rPr>
        <w:t>SAEs:</w:t>
      </w:r>
      <w:r w:rsidRPr="005E57AC">
        <w:t xml:space="preserve"> Occurrence and relationship to vaccination of SAEs during the entire study period.</w:t>
      </w:r>
    </w:p>
    <w:p w14:paraId="12BE0968" w14:textId="77777777" w:rsidR="00F30851" w:rsidRPr="005E57AC" w:rsidRDefault="00F30851" w:rsidP="005E57AC">
      <w:r w:rsidRPr="005E57AC">
        <w:rPr>
          <w:i/>
        </w:rPr>
        <w:t>pIMDs</w:t>
      </w:r>
      <w:r w:rsidRPr="005E57AC">
        <w:t>: Occurrence, intensity and relationship to vaccination of pIMDs during the entire study period.</w:t>
      </w:r>
    </w:p>
    <w:p w14:paraId="1F7B9321" w14:textId="77777777" w:rsidR="00F30851" w:rsidRPr="005E57AC" w:rsidRDefault="00F30851" w:rsidP="005E57AC">
      <w:r w:rsidRPr="005E57AC">
        <w:rPr>
          <w:i/>
        </w:rPr>
        <w:t>Locations:</w:t>
      </w:r>
      <w:r w:rsidRPr="005E57AC">
        <w:t xml:space="preserve"> n=106 in 13 countries: Bangladesh, Belgium, Czech Republic, Honduras, India Dominican Republic, Lebanon, Philippines, Poland, Spain, Thailand, Turkey, and UK.</w:t>
      </w:r>
    </w:p>
    <w:p w14:paraId="62C8233E" w14:textId="77777777" w:rsidR="00F30851" w:rsidRPr="005E57AC" w:rsidRDefault="00F30851" w:rsidP="005E57AC">
      <w:r w:rsidRPr="005E57AC">
        <w:rPr>
          <w:i/>
        </w:rPr>
        <w:lastRenderedPageBreak/>
        <w:t>Dates</w:t>
      </w:r>
      <w:r w:rsidRPr="005E57AC">
        <w:t>: First enrollment: 01-Oct-2011; last visit: 31-Dec-2014. Data lock point: 13-Jul-2016. Study report 05-Dec-2016, errors identified and Amended report provided 22-Feb-2017.</w:t>
      </w:r>
    </w:p>
    <w:p w14:paraId="32FCDB97" w14:textId="77777777" w:rsidR="00F30851" w:rsidRPr="005E57AC" w:rsidRDefault="00F30851" w:rsidP="005E57AC">
      <w:r w:rsidRPr="005E57AC">
        <w:rPr>
          <w:i/>
        </w:rPr>
        <w:t>Protocols</w:t>
      </w:r>
      <w:r w:rsidRPr="005E57AC">
        <w:t>: Amendment 1: Final: 08-Jul-2011; Amendment 2: Final: 27-Oct-2011; Amendment 3: Final: 21-Jun-2012; Amendment 4: Final: 04-Apr-2013; Amendment 5: Final: 30-Jul-2014.</w:t>
      </w:r>
    </w:p>
    <w:p w14:paraId="2980F012" w14:textId="77777777" w:rsidR="00F30851" w:rsidRPr="005E57AC" w:rsidRDefault="00F30851" w:rsidP="005E57AC">
      <w:r w:rsidRPr="005E57AC">
        <w:rPr>
          <w:i/>
        </w:rPr>
        <w:t>Duration of the study</w:t>
      </w:r>
      <w:r w:rsidRPr="005E57AC">
        <w:t xml:space="preserve">: For each subject, study duration was </w:t>
      </w:r>
      <w:r w:rsidR="00E278CC" w:rsidRPr="005E57AC">
        <w:t>approximately</w:t>
      </w:r>
      <w:r w:rsidR="00385315">
        <w:t xml:space="preserve"> </w:t>
      </w:r>
      <w:r w:rsidRPr="005E57AC">
        <w:t>6-8 months (minimum 6 months after the first vaccination until the end of safety follow-up contact but not earlier than the end of the influenza surveillance period‡).</w:t>
      </w:r>
    </w:p>
    <w:p w14:paraId="5286AF91" w14:textId="77777777" w:rsidR="00F30851" w:rsidRPr="005E57AC" w:rsidRDefault="00F30851" w:rsidP="005E57AC">
      <w:r w:rsidRPr="005E57AC">
        <w:t>‡ Surveillance for ILIs and consequences of influenza virus attack was to start 14 days after last vaccination for each subject and continue until end of influenza activity period.</w:t>
      </w:r>
      <w:r w:rsidR="00943514" w:rsidRPr="005E57AC">
        <w:t xml:space="preserve"> </w:t>
      </w:r>
      <w:r w:rsidRPr="005E57AC">
        <w:t>Date of the end of surveillance was 30 Apr 2012 for all cohort 1countries, 31 Oct 2012 for all cohort 2 countries, 30 Apr 2013 for cohort 3 countries, 31 Oct 2013 for Dominican Republic and Thailand and 15 Nov 2013 in Honduras, Bangladesh, Philippines in Cohort 4, and 31 Oct 2014 for all Cohort 5 countries.</w:t>
      </w:r>
    </w:p>
    <w:p w14:paraId="140A1D07" w14:textId="77777777" w:rsidR="00F30851" w:rsidRDefault="00F30851" w:rsidP="005E57AC">
      <w:pPr>
        <w:pStyle w:val="Tabletitle"/>
      </w:pPr>
      <w:r w:rsidRPr="00AE314C">
        <w:t>Table 1</w:t>
      </w:r>
      <w:r w:rsidR="005E57AC">
        <w:t>:</w:t>
      </w:r>
      <w:r w:rsidRPr="00AE314C">
        <w:t xml:space="preserve"> Definition of </w:t>
      </w:r>
      <w:r w:rsidR="005E57AC">
        <w:t>‘</w:t>
      </w:r>
      <w:r w:rsidRPr="00AE314C">
        <w:t>Moderate to Severe</w:t>
      </w:r>
      <w:r w:rsidR="005E57AC">
        <w:t>’</w:t>
      </w:r>
      <w:r w:rsidRPr="00AE314C">
        <w:t xml:space="preserve"> and </w:t>
      </w:r>
      <w:r w:rsidR="005E57AC">
        <w:t>‘</w:t>
      </w:r>
      <w:r w:rsidRPr="00AE314C">
        <w:t>Severe</w:t>
      </w:r>
      <w:r w:rsidR="005E57AC">
        <w:t>’</w:t>
      </w:r>
      <w:r w:rsidRPr="00AE314C">
        <w:t xml:space="preserve"> Influenza in D-QIV-004</w:t>
      </w:r>
    </w:p>
    <w:p w14:paraId="630856BB" w14:textId="77777777" w:rsidR="005E57AC" w:rsidRPr="005E57AC" w:rsidRDefault="005E57AC" w:rsidP="005E57AC">
      <w:r>
        <w:rPr>
          <w:noProof/>
          <w:lang w:eastAsia="en-AU"/>
        </w:rPr>
        <w:drawing>
          <wp:inline distT="0" distB="0" distL="0" distR="0" wp14:anchorId="6B35BA87" wp14:editId="542BB403">
            <wp:extent cx="4739524" cy="1877662"/>
            <wp:effectExtent l="19050" t="19050" r="23495" b="27940"/>
            <wp:docPr id="4" name="Picture 4" descr="Table 1: Definition of ‘Moderate to Severe’ and ‘Severe’ Influenza in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2532" t="5138" r="1949" b="2739"/>
                    <a:stretch/>
                  </pic:blipFill>
                  <pic:spPr bwMode="auto">
                    <a:xfrm>
                      <a:off x="0" y="0"/>
                      <a:ext cx="4737671" cy="18769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F41ED2" w14:textId="77777777" w:rsidR="00F30851" w:rsidRPr="005632DC" w:rsidRDefault="00F30851" w:rsidP="005E57AC">
      <w:pPr>
        <w:pStyle w:val="Heading5"/>
      </w:pPr>
      <w:r w:rsidRPr="005632DC">
        <w:t>Inclusion and exclusion criteria</w:t>
      </w:r>
    </w:p>
    <w:p w14:paraId="1D4F44CB" w14:textId="77777777" w:rsidR="00F30851" w:rsidRPr="00E576CD" w:rsidRDefault="00F30851" w:rsidP="009A76DE">
      <w:pPr>
        <w:ind w:left="227"/>
      </w:pPr>
      <w:r w:rsidRPr="009A76DE">
        <w:rPr>
          <w:rFonts w:eastAsiaTheme="minorHAnsi" w:cs="TimesNewRoman,Bold"/>
          <w:bCs/>
          <w:i/>
        </w:rPr>
        <w:t>Inclusion Criteria:</w:t>
      </w:r>
      <w:r w:rsidR="00943514">
        <w:rPr>
          <w:rFonts w:eastAsiaTheme="minorHAnsi" w:cs="TimesNewRoman,Bold"/>
          <w:b/>
          <w:bCs/>
        </w:rPr>
        <w:t xml:space="preserve"> </w:t>
      </w:r>
      <w:r w:rsidRPr="00E576CD">
        <w:t>Subjects who the investigator believed that their parents/ le</w:t>
      </w:r>
      <w:r>
        <w:t>gally authorised representative (</w:t>
      </w:r>
      <w:r w:rsidRPr="00E576CD">
        <w:t>LAR(s)</w:t>
      </w:r>
      <w:r>
        <w:t>)</w:t>
      </w:r>
      <w:r w:rsidRPr="00E576CD">
        <w:t xml:space="preserve"> could and would</w:t>
      </w:r>
      <w:r>
        <w:t xml:space="preserve"> </w:t>
      </w:r>
      <w:r w:rsidRPr="00E576CD">
        <w:t>comply with the requirements of the protocol (</w:t>
      </w:r>
      <w:r w:rsidR="007E3752">
        <w:t>for example,</w:t>
      </w:r>
      <w:r w:rsidRPr="00E576CD">
        <w:t xml:space="preserve"> safety reporting, reporting an ILI</w:t>
      </w:r>
    </w:p>
    <w:p w14:paraId="050EE5CF" w14:textId="77777777" w:rsidR="00F30851" w:rsidRPr="00E576CD" w:rsidRDefault="00F30851" w:rsidP="009A76DE">
      <w:pPr>
        <w:ind w:left="227"/>
      </w:pPr>
      <w:r w:rsidRPr="00E576CD">
        <w:t>or MAV which might have included using internet, being available for follow-up</w:t>
      </w:r>
      <w:r>
        <w:t xml:space="preserve"> contacts); </w:t>
      </w:r>
      <w:r w:rsidRPr="00E576CD">
        <w:t>male or female between, and including, 6 and 35 months of age at the time of first</w:t>
      </w:r>
      <w:r>
        <w:t xml:space="preserve"> </w:t>
      </w:r>
      <w:r w:rsidRPr="00E576CD">
        <w:t>vaccination; children were eligible regardless of h</w:t>
      </w:r>
      <w:r>
        <w:t xml:space="preserve">istory of influenza vaccination; </w:t>
      </w:r>
      <w:r w:rsidRPr="00E576CD">
        <w:t>Written informed consent obtained from the p</w:t>
      </w:r>
      <w:r>
        <w:t xml:space="preserve">arent(s) /LAR(s) of the subject; </w:t>
      </w:r>
      <w:r w:rsidRPr="00E576CD">
        <w:t>Subjects in stable health as determined by medical history and clinical examination</w:t>
      </w:r>
      <w:r>
        <w:t xml:space="preserve"> </w:t>
      </w:r>
      <w:r w:rsidRPr="00E576CD">
        <w:t>before entering into the study.</w:t>
      </w:r>
    </w:p>
    <w:p w14:paraId="2792E34F" w14:textId="77777777" w:rsidR="00F30851" w:rsidRPr="00E576CD" w:rsidRDefault="00F30851" w:rsidP="009A76DE">
      <w:pPr>
        <w:ind w:left="227"/>
      </w:pPr>
      <w:r w:rsidRPr="009A76DE">
        <w:rPr>
          <w:i/>
        </w:rPr>
        <w:t>Exclusion criteria:</w:t>
      </w:r>
      <w:r>
        <w:t xml:space="preserve"> </w:t>
      </w:r>
      <w:r w:rsidRPr="00E576CD">
        <w:t xml:space="preserve">Participation in a previous </w:t>
      </w:r>
      <w:r w:rsidR="0072094D" w:rsidRPr="0072094D">
        <w:t>D-QIV-</w:t>
      </w:r>
      <w:r>
        <w:t xml:space="preserve">004 study (115345) cohort; </w:t>
      </w:r>
      <w:r w:rsidRPr="00E576CD">
        <w:t>Child in care</w:t>
      </w:r>
      <w:r>
        <w:t>;</w:t>
      </w:r>
      <w:r w:rsidRPr="00E576CD">
        <w:t xml:space="preserve"> Use of any investigational or non-registered product (drug or vaccine) other than the</w:t>
      </w:r>
      <w:r>
        <w:t xml:space="preserve"> </w:t>
      </w:r>
      <w:r w:rsidRPr="00E576CD">
        <w:t>study vaccines within 30 days preceding the first dose of study vaccine, or planned</w:t>
      </w:r>
      <w:r>
        <w:t xml:space="preserve"> </w:t>
      </w:r>
      <w:r w:rsidRPr="00E576CD">
        <w:t>use durin</w:t>
      </w:r>
      <w:r>
        <w:t xml:space="preserve">g the study period; </w:t>
      </w:r>
      <w:r w:rsidRPr="00E576CD">
        <w:t>Prior receipt of any influenza vaccine (registered or investigational) within 6 months</w:t>
      </w:r>
      <w:r>
        <w:t xml:space="preserve"> </w:t>
      </w:r>
      <w:r w:rsidRPr="00E576CD">
        <w:t>preceding the first dose of study vaccine, or planned use of such vaccines during the</w:t>
      </w:r>
      <w:r>
        <w:t xml:space="preserve"> study period; </w:t>
      </w:r>
      <w:r w:rsidRPr="00E576CD">
        <w:t>Children with underlying illness who were at risk of complications of influenza and</w:t>
      </w:r>
      <w:r>
        <w:t xml:space="preserve"> </w:t>
      </w:r>
      <w:r w:rsidRPr="00E576CD">
        <w:t>for whom yearly (seasonal) influenza vaccination was recommended in their</w:t>
      </w:r>
      <w:r>
        <w:t xml:space="preserve"> respective country; </w:t>
      </w:r>
      <w:r w:rsidRPr="00E576CD">
        <w:t>Any confirmed or suspected immunosuppressive or immunodeficient condition</w:t>
      </w:r>
      <w:r>
        <w:t xml:space="preserve"> </w:t>
      </w:r>
      <w:r w:rsidRPr="00E576CD">
        <w:t>(including HIV), based on medical history and phy</w:t>
      </w:r>
      <w:r>
        <w:t xml:space="preserve">sical examination (no lab testing required); </w:t>
      </w:r>
      <w:r w:rsidRPr="00E576CD">
        <w:t>Chronic administration (</w:t>
      </w:r>
      <w:r>
        <w:t>&gt;</w:t>
      </w:r>
      <w:r w:rsidRPr="00E576CD">
        <w:t>14 days in total) of</w:t>
      </w:r>
      <w:r>
        <w:t xml:space="preserve"> </w:t>
      </w:r>
      <w:r w:rsidRPr="00E576CD">
        <w:t>immunosuppressants or other immune modifying drugs within six months prior to</w:t>
      </w:r>
      <w:r>
        <w:t xml:space="preserve"> </w:t>
      </w:r>
      <w:r w:rsidRPr="00E576CD">
        <w:t>the first vaccine dose. For corticosteroids, this was to mean a dose equivalent to</w:t>
      </w:r>
      <w:r>
        <w:t xml:space="preserve"> either ≥</w:t>
      </w:r>
      <w:r w:rsidRPr="00E576CD">
        <w:t>0.5 mg/kg of body weight or maximum of 10 mg/day of prednisone or</w:t>
      </w:r>
      <w:r>
        <w:t xml:space="preserve"> equivalent. </w:t>
      </w:r>
      <w:r w:rsidRPr="00E576CD">
        <w:t xml:space="preserve">Administration of immunoglobulins and/ or any blood </w:t>
      </w:r>
      <w:r w:rsidRPr="00E576CD">
        <w:lastRenderedPageBreak/>
        <w:t>products within 3 months</w:t>
      </w:r>
      <w:r>
        <w:t xml:space="preserve"> </w:t>
      </w:r>
      <w:r w:rsidRPr="00E576CD">
        <w:t>preceding the first dose of study vaccine or planned administration during the study</w:t>
      </w:r>
      <w:r>
        <w:t xml:space="preserve"> </w:t>
      </w:r>
      <w:r w:rsidRPr="00E576CD">
        <w:t>period</w:t>
      </w:r>
      <w:r>
        <w:t xml:space="preserve">; </w:t>
      </w:r>
      <w:r w:rsidRPr="00E576CD">
        <w:t>Any known or suspected allergy to any constituent of influenza vaccines (including</w:t>
      </w:r>
      <w:r>
        <w:t xml:space="preserve"> egg</w:t>
      </w:r>
      <w:r w:rsidRPr="00E576CD">
        <w:t>), non-influenza vaccine comparators (including neomycin) and latex; a</w:t>
      </w:r>
      <w:r>
        <w:t xml:space="preserve"> </w:t>
      </w:r>
      <w:r w:rsidRPr="00E576CD">
        <w:t>history of anaphylactic-type reaction to consumption of eggs; or a history of severe</w:t>
      </w:r>
      <w:r>
        <w:t xml:space="preserve"> </w:t>
      </w:r>
      <w:r w:rsidRPr="00E576CD">
        <w:t>adverse re</w:t>
      </w:r>
      <w:r>
        <w:t xml:space="preserve">action to a previous vaccination; </w:t>
      </w:r>
      <w:r w:rsidRPr="00E576CD">
        <w:t>Any contraindication to intramuscular injection</w:t>
      </w:r>
      <w:r>
        <w:t xml:space="preserve">; </w:t>
      </w:r>
      <w:r w:rsidRPr="00E576CD">
        <w:t>Acute dise</w:t>
      </w:r>
      <w:r>
        <w:t xml:space="preserve">ase and/or fever at the time of </w:t>
      </w:r>
      <w:r w:rsidRPr="00E576CD">
        <w:t>enrolment</w:t>
      </w:r>
      <w:r>
        <w:t>.</w:t>
      </w:r>
      <w:r w:rsidRPr="00E576CD">
        <w:t xml:space="preserve"> Any other condition which in the opinion of the </w:t>
      </w:r>
      <w:r w:rsidR="00B923FE">
        <w:t>i</w:t>
      </w:r>
      <w:r w:rsidRPr="00E576CD">
        <w:t>nvestigator prevented the subject</w:t>
      </w:r>
      <w:r>
        <w:t xml:space="preserve"> </w:t>
      </w:r>
      <w:r w:rsidRPr="00E576CD">
        <w:t>from participating in the study</w:t>
      </w:r>
      <w:r w:rsidR="009A76DE">
        <w:t>.</w:t>
      </w:r>
    </w:p>
    <w:p w14:paraId="49270E83" w14:textId="77777777" w:rsidR="00F30851" w:rsidRPr="00E576CD" w:rsidRDefault="00F30851" w:rsidP="009A76DE">
      <w:pPr>
        <w:ind w:left="227"/>
      </w:pPr>
      <w:r w:rsidRPr="009A76DE">
        <w:rPr>
          <w:i/>
        </w:rPr>
        <w:t>Additional criteria for children ≥12 months of age</w:t>
      </w:r>
      <w:r w:rsidRPr="00E576CD">
        <w:t>:</w:t>
      </w:r>
      <w:r>
        <w:t xml:space="preserve"> </w:t>
      </w:r>
      <w:r w:rsidRPr="00E576CD">
        <w:t xml:space="preserve">Prior receipt of </w:t>
      </w:r>
      <w:r>
        <w:t>any licensed varicella vaccine (but, f</w:t>
      </w:r>
      <w:r w:rsidRPr="00E576CD">
        <w:t>or countries with varicella vaccine administered as 2-dose schedule, prior receipt of a</w:t>
      </w:r>
      <w:r>
        <w:t xml:space="preserve"> </w:t>
      </w:r>
      <w:r w:rsidRPr="00E576CD">
        <w:t xml:space="preserve">single dose of a varicella vaccine was allowed if administered </w:t>
      </w:r>
      <w:r>
        <w:t>≥</w:t>
      </w:r>
      <w:r w:rsidRPr="00E576CD">
        <w:t>2 weeks before the</w:t>
      </w:r>
      <w:r>
        <w:t xml:space="preserve"> first study vaccination) </w:t>
      </w:r>
      <w:r w:rsidRPr="00E576CD">
        <w:t>or any licensed hepatitis A vaccine or</w:t>
      </w:r>
      <w:r>
        <w:t xml:space="preserve"> </w:t>
      </w:r>
      <w:r w:rsidRPr="00E576CD">
        <w:t>planned use of these vaccines during the study period. Other routine registered</w:t>
      </w:r>
      <w:r>
        <w:t xml:space="preserve"> </w:t>
      </w:r>
      <w:r w:rsidRPr="00E576CD">
        <w:t>childh</w:t>
      </w:r>
      <w:r>
        <w:t xml:space="preserve">ood vaccinations were permitted; </w:t>
      </w:r>
      <w:r w:rsidRPr="00E576CD">
        <w:t>Any history of h</w:t>
      </w:r>
      <w:r>
        <w:t>epatitis A or varicella disease</w:t>
      </w:r>
      <w:r w:rsidRPr="00E576CD">
        <w:t>.</w:t>
      </w:r>
    </w:p>
    <w:p w14:paraId="7A6495FF" w14:textId="77777777" w:rsidR="00F30851" w:rsidRPr="00380EC7" w:rsidRDefault="00F30851" w:rsidP="009A76DE">
      <w:pPr>
        <w:ind w:left="227"/>
      </w:pPr>
      <w:r w:rsidRPr="009A76DE">
        <w:rPr>
          <w:i/>
        </w:rPr>
        <w:t>Additional criteria for children 6 - 11 months of age in countries without universal mass vaccination recommendation for pneumococcal vaccine:</w:t>
      </w:r>
      <w:r>
        <w:t xml:space="preserve"> </w:t>
      </w:r>
      <w:r w:rsidRPr="00E576CD">
        <w:t>Prior receipt of any pneumococcal conjugated vaccine or planned use of this vaccine</w:t>
      </w:r>
      <w:r>
        <w:t xml:space="preserve"> </w:t>
      </w:r>
      <w:r w:rsidRPr="00E576CD">
        <w:t>during the study period. Other routine registered childhood vaccinations were</w:t>
      </w:r>
      <w:r>
        <w:t xml:space="preserve"> </w:t>
      </w:r>
      <w:r w:rsidRPr="00E576CD">
        <w:t>permitted.</w:t>
      </w:r>
    </w:p>
    <w:p w14:paraId="7FDB52BE" w14:textId="77777777" w:rsidR="00F30851" w:rsidRDefault="00F30851" w:rsidP="009A76DE">
      <w:pPr>
        <w:pStyle w:val="Heading5"/>
      </w:pPr>
      <w:r w:rsidRPr="005632DC">
        <w:t>Study treatments</w:t>
      </w:r>
    </w:p>
    <w:p w14:paraId="1C022DA6" w14:textId="77777777" w:rsidR="00F30851" w:rsidRPr="006319BA" w:rsidRDefault="00F30851" w:rsidP="009A76DE">
      <w:pPr>
        <w:pStyle w:val="Heading6"/>
        <w:rPr>
          <w:rFonts w:eastAsia="TimesNewRoman"/>
        </w:rPr>
      </w:pPr>
      <w:r w:rsidRPr="006319BA">
        <w:rPr>
          <w:rFonts w:eastAsia="TimesNewRoman"/>
        </w:rPr>
        <w:t>Study vaccine, dose,</w:t>
      </w:r>
      <w:r>
        <w:rPr>
          <w:rFonts w:eastAsia="TimesNewRoman"/>
        </w:rPr>
        <w:t xml:space="preserve"> mode of administration</w:t>
      </w:r>
    </w:p>
    <w:p w14:paraId="2F303491" w14:textId="77777777" w:rsidR="00BC74DF" w:rsidRDefault="007E3752" w:rsidP="009A76DE">
      <w:pPr>
        <w:pStyle w:val="ListBullet"/>
      </w:pPr>
      <w:r>
        <w:t>Vaccine primed</w:t>
      </w:r>
      <w:r w:rsidR="00F30851" w:rsidRPr="006319BA">
        <w:t xml:space="preserve"> subjects</w:t>
      </w:r>
      <w:r w:rsidR="00F30851">
        <w:t xml:space="preserve"> </w:t>
      </w:r>
      <w:r w:rsidR="00B923FE">
        <w:t xml:space="preserve">that are </w:t>
      </w:r>
      <w:r w:rsidR="00F30851">
        <w:t xml:space="preserve">≥12 months of age: one IM injection of </w:t>
      </w:r>
      <w:r w:rsidR="00E278CC">
        <w:t>Fluarix Tetra</w:t>
      </w:r>
      <w:r w:rsidR="00F30851" w:rsidRPr="006319BA">
        <w:t xml:space="preserve"> into the</w:t>
      </w:r>
      <w:r w:rsidR="00F30851">
        <w:t xml:space="preserve"> deltoid†</w:t>
      </w:r>
      <w:r w:rsidR="00F30851" w:rsidRPr="006319BA">
        <w:t xml:space="preserve"> muscle at Day 0</w:t>
      </w:r>
      <w:r w:rsidR="00F30851">
        <w:t>.</w:t>
      </w:r>
    </w:p>
    <w:p w14:paraId="3A4EE6C6" w14:textId="25A467D6" w:rsidR="00F30851" w:rsidRDefault="007E3752" w:rsidP="009A76DE">
      <w:pPr>
        <w:pStyle w:val="ListBullet"/>
      </w:pPr>
      <w:r>
        <w:t>Vaccine un-primed</w:t>
      </w:r>
      <w:r w:rsidR="00F30851" w:rsidRPr="006319BA">
        <w:t xml:space="preserve"> subjects ≥12 months</w:t>
      </w:r>
      <w:r w:rsidR="00F30851">
        <w:t xml:space="preserve"> of age</w:t>
      </w:r>
      <w:r w:rsidR="00F30851" w:rsidRPr="006319BA">
        <w:t>: two IM injection</w:t>
      </w:r>
      <w:r w:rsidR="00F30851">
        <w:t xml:space="preserve">s of </w:t>
      </w:r>
      <w:r w:rsidR="00E278CC">
        <w:t>Fluarix Tetra</w:t>
      </w:r>
      <w:r w:rsidR="00F30851">
        <w:t xml:space="preserve"> into the deltoid†</w:t>
      </w:r>
      <w:r w:rsidR="00F30851" w:rsidRPr="006319BA">
        <w:t xml:space="preserve"> muscle at</w:t>
      </w:r>
      <w:r w:rsidR="00F30851">
        <w:t xml:space="preserve"> </w:t>
      </w:r>
      <w:r w:rsidR="00F30851" w:rsidRPr="006319BA">
        <w:t>Day 0 and at Day 28.</w:t>
      </w:r>
    </w:p>
    <w:p w14:paraId="7FF80B39" w14:textId="77777777" w:rsidR="00F30851" w:rsidRPr="006319BA" w:rsidRDefault="00F30851" w:rsidP="009A76DE">
      <w:pPr>
        <w:pStyle w:val="ListBullet"/>
      </w:pPr>
      <w:r w:rsidRPr="006319BA">
        <w:t>Subjects &lt;12 months</w:t>
      </w:r>
      <w:r>
        <w:t xml:space="preserve"> of age</w:t>
      </w:r>
      <w:r w:rsidRPr="006319BA">
        <w:t>: two IM i</w:t>
      </w:r>
      <w:r>
        <w:t xml:space="preserve">njections of </w:t>
      </w:r>
      <w:r w:rsidR="00E278CC">
        <w:t>Fluarix Tetra</w:t>
      </w:r>
      <w:r>
        <w:t xml:space="preserve"> into </w:t>
      </w:r>
      <w:r w:rsidRPr="006319BA">
        <w:t>anterolateral thigh.</w:t>
      </w:r>
    </w:p>
    <w:p w14:paraId="69D38CFB" w14:textId="77777777" w:rsidR="00F30851" w:rsidRPr="0071643A" w:rsidRDefault="00F30851" w:rsidP="009A76DE">
      <w:pPr>
        <w:rPr>
          <w:lang w:eastAsia="ja-JP"/>
        </w:rPr>
      </w:pPr>
      <w:r w:rsidRPr="0071643A">
        <w:rPr>
          <w:lang w:eastAsia="ja-JP"/>
        </w:rPr>
        <w:t>†</w:t>
      </w:r>
      <w:r w:rsidRPr="0071643A">
        <w:t xml:space="preserve"> </w:t>
      </w:r>
      <w:r w:rsidR="00B923FE" w:rsidRPr="0071643A">
        <w:rPr>
          <w:lang w:eastAsia="ja-JP"/>
        </w:rPr>
        <w:t>If</w:t>
      </w:r>
      <w:r w:rsidRPr="0071643A">
        <w:rPr>
          <w:lang w:eastAsia="ja-JP"/>
        </w:rPr>
        <w:t xml:space="preserve"> muscle size was adequate, otherwise into the anterolateral area of the thigh.</w:t>
      </w:r>
    </w:p>
    <w:p w14:paraId="73D45C03" w14:textId="77777777" w:rsidR="009A76DE" w:rsidRDefault="00F30851" w:rsidP="009A76DE">
      <w:pPr>
        <w:pStyle w:val="Heading6"/>
        <w:rPr>
          <w:rFonts w:eastAsia="TimesNewRoman"/>
        </w:rPr>
      </w:pPr>
      <w:r w:rsidRPr="006319BA">
        <w:rPr>
          <w:rFonts w:eastAsia="TimesNewRoman"/>
        </w:rPr>
        <w:t>Vaccine composition /dose /lot number</w:t>
      </w:r>
    </w:p>
    <w:p w14:paraId="34DACF55" w14:textId="77777777" w:rsidR="00F30851" w:rsidRPr="003708ED" w:rsidRDefault="00F30851" w:rsidP="009A76DE">
      <w:pPr>
        <w:rPr>
          <w:b/>
        </w:rPr>
      </w:pPr>
      <w:r w:rsidRPr="006319BA">
        <w:t xml:space="preserve">The </w:t>
      </w:r>
      <w:r w:rsidR="00E278CC">
        <w:t>Fluarix Tetra</w:t>
      </w:r>
      <w:r w:rsidRPr="006319BA">
        <w:t xml:space="preserve"> contained </w:t>
      </w:r>
      <w:r>
        <w:t>60 μg HA</w:t>
      </w:r>
      <w:r w:rsidRPr="006319BA">
        <w:t xml:space="preserve">, </w:t>
      </w:r>
      <w:r w:rsidR="00EE7481">
        <w:t>that is,</w:t>
      </w:r>
      <w:r w:rsidRPr="006319BA">
        <w:t xml:space="preserve"> 15 μg each of the A/H1N1, A/H3N2,</w:t>
      </w:r>
      <w:r>
        <w:rPr>
          <w:b/>
        </w:rPr>
        <w:t xml:space="preserve"> </w:t>
      </w:r>
      <w:r w:rsidRPr="006319BA">
        <w:t xml:space="preserve">B/Yamagata and B/Victoria strains in a total injected volume of 0.50 </w:t>
      </w:r>
      <w:r>
        <w:t xml:space="preserve">mL/dose. Strains included in the </w:t>
      </w:r>
      <w:r w:rsidRPr="006319BA">
        <w:t xml:space="preserve">vaccines used during the different seasons in this study followed WHO recommendation. </w:t>
      </w:r>
      <w:r>
        <w:rPr>
          <w:sz w:val="20"/>
          <w:szCs w:val="20"/>
        </w:rPr>
        <w:t xml:space="preserve">The lot nos. </w:t>
      </w:r>
      <w:r w:rsidRPr="0071643A">
        <w:rPr>
          <w:sz w:val="20"/>
          <w:szCs w:val="20"/>
        </w:rPr>
        <w:t>were DFLBA014A1 (Cohort 1), DFLBA018A (Co</w:t>
      </w:r>
      <w:r>
        <w:rPr>
          <w:sz w:val="20"/>
          <w:szCs w:val="20"/>
        </w:rPr>
        <w:t>hort 2), DFLBA020B (Cohort 3 &amp;</w:t>
      </w:r>
      <w:r w:rsidRPr="0071643A">
        <w:rPr>
          <w:sz w:val="20"/>
          <w:szCs w:val="20"/>
        </w:rPr>
        <w:t xml:space="preserve"> 4), DFLBA021A (Cohort 4), AFLBA001A and AFLBA002AB (Cohort 5).</w:t>
      </w:r>
    </w:p>
    <w:p w14:paraId="4950CD9D" w14:textId="75190478" w:rsidR="00F30851" w:rsidRDefault="00F30851" w:rsidP="009A76DE">
      <w:pPr>
        <w:pStyle w:val="Heading6"/>
        <w:rPr>
          <w:lang w:eastAsia="ja-JP"/>
        </w:rPr>
      </w:pPr>
      <w:r>
        <w:rPr>
          <w:lang w:eastAsia="ja-JP"/>
        </w:rPr>
        <w:t>Control vaccines,</w:t>
      </w:r>
      <w:r w:rsidRPr="005103BF">
        <w:rPr>
          <w:lang w:eastAsia="ja-JP"/>
        </w:rPr>
        <w:t xml:space="preserve"> </w:t>
      </w:r>
      <w:r w:rsidR="00486721" w:rsidRPr="005103BF">
        <w:rPr>
          <w:lang w:eastAsia="ja-JP"/>
        </w:rPr>
        <w:t>dose and mode of administration</w:t>
      </w:r>
    </w:p>
    <w:p w14:paraId="3BECE2CB" w14:textId="77777777" w:rsidR="00F30851" w:rsidRPr="003E262A" w:rsidRDefault="00F30851" w:rsidP="00F30851">
      <w:pPr>
        <w:spacing w:before="0" w:after="0"/>
        <w:ind w:left="227"/>
        <w:rPr>
          <w:rFonts w:asciiTheme="minorHAnsi" w:hAnsiTheme="minorHAnsi"/>
          <w:lang w:eastAsia="ja-JP"/>
        </w:rPr>
      </w:pPr>
      <w:r w:rsidRPr="003E262A">
        <w:rPr>
          <w:rFonts w:asciiTheme="minorHAnsi" w:hAnsiTheme="minorHAnsi"/>
          <w:lang w:eastAsia="ja-JP"/>
        </w:rPr>
        <w:t>Four vaccines used as active non-influenza</w:t>
      </w:r>
      <w:r>
        <w:rPr>
          <w:rFonts w:asciiTheme="minorHAnsi" w:hAnsiTheme="minorHAnsi"/>
          <w:lang w:eastAsia="ja-JP"/>
        </w:rPr>
        <w:t xml:space="preserve"> </w:t>
      </w:r>
      <w:r w:rsidRPr="003E262A">
        <w:rPr>
          <w:rFonts w:asciiTheme="minorHAnsi" w:hAnsiTheme="minorHAnsi"/>
          <w:lang w:eastAsia="ja-JP"/>
        </w:rPr>
        <w:t>vaccine controls:</w:t>
      </w:r>
    </w:p>
    <w:p w14:paraId="09C548A9" w14:textId="77777777" w:rsidR="00F30851" w:rsidRPr="003E262A" w:rsidRDefault="00F30851" w:rsidP="009A76DE">
      <w:pPr>
        <w:pStyle w:val="ListBullet"/>
        <w:rPr>
          <w:lang w:eastAsia="ja-JP"/>
        </w:rPr>
      </w:pPr>
      <w:r w:rsidRPr="003E262A">
        <w:rPr>
          <w:lang w:eastAsia="ja-JP"/>
        </w:rPr>
        <w:t>GSK Biologicals’ licensed He</w:t>
      </w:r>
      <w:r>
        <w:rPr>
          <w:lang w:eastAsia="ja-JP"/>
        </w:rPr>
        <w:t>patitis A virus vaccine, Havrix;</w:t>
      </w:r>
      <w:r w:rsidRPr="005C750F">
        <w:t xml:space="preserve"> </w:t>
      </w:r>
      <w:r w:rsidR="009A76DE">
        <w:t>e</w:t>
      </w:r>
      <w:r w:rsidRPr="005C750F">
        <w:rPr>
          <w:lang w:eastAsia="ja-JP"/>
        </w:rPr>
        <w:t xml:space="preserve">ach 0.5 mL dose </w:t>
      </w:r>
      <w:r>
        <w:rPr>
          <w:lang w:eastAsia="ja-JP"/>
        </w:rPr>
        <w:t>contained</w:t>
      </w:r>
      <w:r w:rsidRPr="005C750F">
        <w:rPr>
          <w:lang w:eastAsia="ja-JP"/>
        </w:rPr>
        <w:t xml:space="preserve"> 720 EL.U. of viral antigen (Hepatitis A virus strain HM175) adsorbed onto 0.25 mg of aluminium hy</w:t>
      </w:r>
      <w:r>
        <w:rPr>
          <w:lang w:eastAsia="ja-JP"/>
        </w:rPr>
        <w:t xml:space="preserve">droxide. </w:t>
      </w:r>
      <w:r w:rsidRPr="0071643A">
        <w:rPr>
          <w:sz w:val="20"/>
          <w:szCs w:val="20"/>
          <w:lang w:eastAsia="ja-JP"/>
        </w:rPr>
        <w:t>The lot nos. were AHAVB525A (Cohort 1), AHAVB567D (Cohort 2), AHAVB603A (Cohort 3), AHAVB573F (Cohort 4), AHAVB675A (Cohort 5) and AHAVB761A (Cohort 5).</w:t>
      </w:r>
    </w:p>
    <w:p w14:paraId="708136BC" w14:textId="77777777" w:rsidR="00F30851" w:rsidRDefault="00F30851" w:rsidP="009A76DE">
      <w:pPr>
        <w:pStyle w:val="ListBullet"/>
        <w:rPr>
          <w:lang w:eastAsia="ja-JP"/>
        </w:rPr>
      </w:pPr>
      <w:r w:rsidRPr="003E262A">
        <w:rPr>
          <w:lang w:eastAsia="ja-JP"/>
        </w:rPr>
        <w:t>GSK Biologicals’ licensed varicella virus li</w:t>
      </w:r>
      <w:r>
        <w:rPr>
          <w:lang w:eastAsia="ja-JP"/>
        </w:rPr>
        <w:t>ve attenuated vaccine, Varilrix;</w:t>
      </w:r>
      <w:r w:rsidRPr="005C750F">
        <w:t xml:space="preserve"> </w:t>
      </w:r>
      <w:r w:rsidR="009A76DE">
        <w:t>e</w:t>
      </w:r>
      <w:r w:rsidRPr="005C750F">
        <w:rPr>
          <w:lang w:eastAsia="ja-JP"/>
        </w:rPr>
        <w:t xml:space="preserve">ach 0.5 mL dose of Varilrix contained at least 103.3 plaque-forming units of the varicella-zoster virus. </w:t>
      </w:r>
      <w:r w:rsidRPr="0071643A">
        <w:rPr>
          <w:sz w:val="20"/>
          <w:szCs w:val="20"/>
          <w:lang w:eastAsia="ja-JP"/>
        </w:rPr>
        <w:t xml:space="preserve">The lot </w:t>
      </w:r>
      <w:r>
        <w:rPr>
          <w:sz w:val="20"/>
          <w:szCs w:val="20"/>
          <w:lang w:eastAsia="ja-JP"/>
        </w:rPr>
        <w:t xml:space="preserve">nos. were AVARB356AZ (Cohort 1 &amp; </w:t>
      </w:r>
      <w:r w:rsidRPr="0071643A">
        <w:rPr>
          <w:sz w:val="20"/>
          <w:szCs w:val="20"/>
          <w:lang w:eastAsia="ja-JP"/>
        </w:rPr>
        <w:t>2), AVARB396AZ (Cohort 2), AVARB413AZ (Cohort 3), AVARB447AY (Cohort 4), AVARB509AZ (Cohort 5), AVARB513AZ (Cohort 5), AVARB451AZ (Cohort 5) and AVARB495AZ (Cohort 5).</w:t>
      </w:r>
    </w:p>
    <w:p w14:paraId="281DC51B" w14:textId="77777777" w:rsidR="00F30851" w:rsidRPr="000B7087" w:rsidRDefault="00F30851" w:rsidP="009A76DE">
      <w:pPr>
        <w:pStyle w:val="ListBullet"/>
        <w:rPr>
          <w:lang w:eastAsia="ja-JP"/>
        </w:rPr>
      </w:pPr>
      <w:r w:rsidRPr="003E262A">
        <w:rPr>
          <w:lang w:eastAsia="ja-JP"/>
        </w:rPr>
        <w:t>Sanofi Pasteur MSD’s licensed varicella virus l</w:t>
      </w:r>
      <w:r>
        <w:rPr>
          <w:lang w:eastAsia="ja-JP"/>
        </w:rPr>
        <w:t xml:space="preserve">ive vaccine, Varivax/ProVarivax. </w:t>
      </w:r>
      <w:r w:rsidRPr="005C750F">
        <w:t xml:space="preserve">Each 0.5 mL dose of </w:t>
      </w:r>
      <w:r w:rsidRPr="005C750F">
        <w:rPr>
          <w:rFonts w:cs="TimesNewRoman,Italic"/>
          <w:i/>
          <w:iCs/>
        </w:rPr>
        <w:t xml:space="preserve">Varivax/ProVarivax </w:t>
      </w:r>
      <w:r w:rsidRPr="005C750F">
        <w:t>contained a minimum of 1350 plaque-forming units of</w:t>
      </w:r>
      <w:r>
        <w:rPr>
          <w:lang w:eastAsia="ja-JP"/>
        </w:rPr>
        <w:t xml:space="preserve"> </w:t>
      </w:r>
      <w:r w:rsidRPr="005C750F">
        <w:t xml:space="preserve">Oka/Merck varicella virus. </w:t>
      </w:r>
      <w:r>
        <w:rPr>
          <w:sz w:val="20"/>
          <w:szCs w:val="20"/>
        </w:rPr>
        <w:t xml:space="preserve">The lot nos. </w:t>
      </w:r>
      <w:r w:rsidRPr="0071643A">
        <w:rPr>
          <w:sz w:val="20"/>
          <w:szCs w:val="20"/>
        </w:rPr>
        <w:t>were DEXTA414AY (NPO6420)(Cohort 1), DEXTA444AY (G019895) (Cohort 3)</w:t>
      </w:r>
      <w:r>
        <w:rPr>
          <w:lang w:eastAsia="ja-JP"/>
        </w:rPr>
        <w:t xml:space="preserve"> </w:t>
      </w:r>
      <w:r w:rsidRPr="009A76DE">
        <w:rPr>
          <w:rFonts w:asciiTheme="minorHAnsi" w:hAnsiTheme="minorHAnsi"/>
          <w:i/>
          <w:lang w:eastAsia="ja-JP"/>
        </w:rPr>
        <w:t>and,</w:t>
      </w:r>
    </w:p>
    <w:p w14:paraId="191F6B90" w14:textId="77777777" w:rsidR="00F30851" w:rsidRPr="00522C45" w:rsidRDefault="00B923FE" w:rsidP="009A76DE">
      <w:pPr>
        <w:pStyle w:val="ListBullet"/>
        <w:rPr>
          <w:rFonts w:asciiTheme="minorHAnsi" w:hAnsiTheme="minorHAnsi"/>
          <w:lang w:eastAsia="ja-JP"/>
        </w:rPr>
      </w:pPr>
      <w:r>
        <w:rPr>
          <w:rFonts w:asciiTheme="minorHAnsi" w:hAnsiTheme="minorHAnsi"/>
          <w:lang w:eastAsia="ja-JP"/>
        </w:rPr>
        <w:lastRenderedPageBreak/>
        <w:t>P</w:t>
      </w:r>
      <w:r w:rsidR="00F30851" w:rsidRPr="003E262A">
        <w:rPr>
          <w:rFonts w:asciiTheme="minorHAnsi" w:hAnsiTheme="minorHAnsi"/>
          <w:lang w:eastAsia="ja-JP"/>
        </w:rPr>
        <w:t>fizer’ licensed pneumococcal polysaccharide conjugate vaccine, Prevenar13.</w:t>
      </w:r>
      <w:r w:rsidR="00F30851">
        <w:rPr>
          <w:rFonts w:asciiTheme="minorHAnsi" w:hAnsiTheme="minorHAnsi"/>
          <w:lang w:eastAsia="ja-JP"/>
        </w:rPr>
        <w:t xml:space="preserve"> </w:t>
      </w:r>
      <w:r w:rsidR="00F30851" w:rsidRPr="005C750F">
        <w:rPr>
          <w:rFonts w:asciiTheme="minorHAnsi" w:eastAsia="TimesNewRoman" w:hAnsiTheme="minorHAnsi" w:cs="TimesNewRoman"/>
        </w:rPr>
        <w:t xml:space="preserve">Each 0.5 mL dose of </w:t>
      </w:r>
      <w:r w:rsidR="00F30851" w:rsidRPr="005C750F">
        <w:rPr>
          <w:rFonts w:asciiTheme="minorHAnsi" w:eastAsia="TimesNewRoman" w:hAnsiTheme="minorHAnsi" w:cs="TimesNewRoman,Italic"/>
          <w:i/>
          <w:iCs/>
        </w:rPr>
        <w:t xml:space="preserve">Prevenar13 </w:t>
      </w:r>
      <w:r w:rsidR="00F30851" w:rsidRPr="005C750F">
        <w:rPr>
          <w:rFonts w:asciiTheme="minorHAnsi" w:eastAsia="TimesNewRoman" w:hAnsiTheme="minorHAnsi" w:cs="TimesNewRoman"/>
        </w:rPr>
        <w:t>consisted of pneumococcal polysaccharide serotypes 1, 3, 4, 5, 6A, 6B</w:t>
      </w:r>
      <w:r w:rsidR="00F30851">
        <w:rPr>
          <w:rFonts w:asciiTheme="minorHAnsi" w:eastAsia="TimesNewRoman" w:hAnsiTheme="minorHAnsi" w:cs="TimesNewRoman"/>
        </w:rPr>
        <w:t xml:space="preserve">, 7F, 9V, 14, 18C, 19A, 19F, </w:t>
      </w:r>
      <w:r w:rsidR="00F30851" w:rsidRPr="005C750F">
        <w:rPr>
          <w:rFonts w:asciiTheme="minorHAnsi" w:eastAsia="TimesNewRoman" w:hAnsiTheme="minorHAnsi" w:cs="TimesNewRoman"/>
        </w:rPr>
        <w:t xml:space="preserve">23F, conjugated to CRM197 carrier protein and adsorbed on aluminium phosphate (0.125 mg aluminium). </w:t>
      </w:r>
      <w:r w:rsidR="00F30851" w:rsidRPr="0071643A">
        <w:rPr>
          <w:rFonts w:asciiTheme="minorHAnsi" w:eastAsia="TimesNewRoman" w:hAnsiTheme="minorHAnsi" w:cs="TimesNewRoman"/>
          <w:sz w:val="20"/>
          <w:szCs w:val="20"/>
        </w:rPr>
        <w:t>The lot n</w:t>
      </w:r>
      <w:r w:rsidR="00F30851">
        <w:rPr>
          <w:rFonts w:asciiTheme="minorHAnsi" w:eastAsia="TimesNewRoman" w:hAnsiTheme="minorHAnsi" w:cs="TimesNewRoman"/>
          <w:sz w:val="20"/>
          <w:szCs w:val="20"/>
        </w:rPr>
        <w:t xml:space="preserve">os. </w:t>
      </w:r>
      <w:r w:rsidR="00F30851" w:rsidRPr="0071643A">
        <w:rPr>
          <w:rFonts w:asciiTheme="minorHAnsi" w:eastAsia="TimesNewRoman" w:hAnsiTheme="minorHAnsi" w:cs="TimesNewRoman"/>
          <w:sz w:val="20"/>
          <w:szCs w:val="20"/>
        </w:rPr>
        <w:t>were DEXTA407AZ (F08783) (Cohort 1 and Cohort 2), DEXTA412AZ (F14427) (Cohort 2), DEXTA424AZ (F40144) (Cohort 2), DEXTA407AX (F08783) (Cohort 3) DEXTA431AY (F54377) (Cohort 3 and Cohort 4), DEXTA472AZ (G59985) (Cohort 4), and DEXTA492AZ (H07583) (Cohort 5).</w:t>
      </w:r>
    </w:p>
    <w:p w14:paraId="656E231D" w14:textId="77777777" w:rsidR="00F30851" w:rsidRDefault="00F30851" w:rsidP="009A76DE">
      <w:pPr>
        <w:pStyle w:val="Tabletitle"/>
      </w:pPr>
      <w:r w:rsidRPr="00AE314C">
        <w:rPr>
          <w:lang w:eastAsia="ja-JP"/>
        </w:rPr>
        <w:t>Table 2</w:t>
      </w:r>
      <w:r w:rsidR="009A76DE">
        <w:rPr>
          <w:lang w:eastAsia="ja-JP"/>
        </w:rPr>
        <w:t>:</w:t>
      </w:r>
      <w:r w:rsidRPr="00AE314C">
        <w:rPr>
          <w:lang w:eastAsia="ja-JP"/>
        </w:rPr>
        <w:t xml:space="preserve"> Study treatment schedule in </w:t>
      </w:r>
      <w:r w:rsidRPr="00AE314C">
        <w:t>D-QIV-004</w:t>
      </w:r>
    </w:p>
    <w:p w14:paraId="4D460B64" w14:textId="77777777" w:rsidR="009A76DE" w:rsidRPr="009A76DE" w:rsidRDefault="009A76DE" w:rsidP="009A76DE">
      <w:r>
        <w:rPr>
          <w:noProof/>
          <w:lang w:eastAsia="en-AU"/>
        </w:rPr>
        <w:drawing>
          <wp:inline distT="0" distB="0" distL="0" distR="0" wp14:anchorId="7DCB70EA" wp14:editId="4C59CB2E">
            <wp:extent cx="5019675" cy="2381250"/>
            <wp:effectExtent l="0" t="0" r="9525" b="0"/>
            <wp:docPr id="5" name="Picture 5" descr="Table 2: Study treatment schedule in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019675" cy="2381250"/>
                    </a:xfrm>
                    <a:prstGeom prst="rect">
                      <a:avLst/>
                    </a:prstGeom>
                  </pic:spPr>
                </pic:pic>
              </a:graphicData>
            </a:graphic>
          </wp:inline>
        </w:drawing>
      </w:r>
    </w:p>
    <w:p w14:paraId="132FDED6" w14:textId="77777777" w:rsidR="00F30851" w:rsidRDefault="00F30851" w:rsidP="009A76DE">
      <w:pPr>
        <w:pStyle w:val="Tabletitle"/>
      </w:pPr>
      <w:r w:rsidRPr="00AE314C">
        <w:rPr>
          <w:lang w:eastAsia="ja-JP"/>
        </w:rPr>
        <w:t>Table 3</w:t>
      </w:r>
      <w:r w:rsidR="009A76DE">
        <w:rPr>
          <w:lang w:eastAsia="ja-JP"/>
        </w:rPr>
        <w:t>:</w:t>
      </w:r>
      <w:r w:rsidRPr="00AE314C">
        <w:rPr>
          <w:lang w:eastAsia="ja-JP"/>
        </w:rPr>
        <w:t xml:space="preserve"> Overview of strains included in the influenza vaccines – pivotal </w:t>
      </w:r>
      <w:r w:rsidR="00943514">
        <w:rPr>
          <w:lang w:eastAsia="ja-JP"/>
        </w:rPr>
        <w:t>Study D-QIV-</w:t>
      </w:r>
      <w:r w:rsidRPr="00AE314C">
        <w:t>004</w:t>
      </w:r>
    </w:p>
    <w:p w14:paraId="2E84739C" w14:textId="77777777" w:rsidR="009A76DE" w:rsidRPr="009A76DE" w:rsidRDefault="009A76DE" w:rsidP="009A76DE">
      <w:r>
        <w:rPr>
          <w:noProof/>
          <w:lang w:eastAsia="en-AU"/>
        </w:rPr>
        <w:drawing>
          <wp:inline distT="0" distB="0" distL="0" distR="0" wp14:anchorId="2131CC55" wp14:editId="0E78AC0E">
            <wp:extent cx="5151353" cy="2762287"/>
            <wp:effectExtent l="0" t="0" r="0" b="0"/>
            <wp:docPr id="6" name="Picture 6" descr="Overview of strains included in the influenza vaccines – pivotal Study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4281"/>
                    <a:stretch/>
                  </pic:blipFill>
                  <pic:spPr bwMode="auto">
                    <a:xfrm>
                      <a:off x="0" y="0"/>
                      <a:ext cx="5151283" cy="2762250"/>
                    </a:xfrm>
                    <a:prstGeom prst="rect">
                      <a:avLst/>
                    </a:prstGeom>
                    <a:ln>
                      <a:noFill/>
                    </a:ln>
                    <a:extLst>
                      <a:ext uri="{53640926-AAD7-44D8-BBD7-CCE9431645EC}">
                        <a14:shadowObscured xmlns:a14="http://schemas.microsoft.com/office/drawing/2010/main"/>
                      </a:ext>
                    </a:extLst>
                  </pic:spPr>
                </pic:pic>
              </a:graphicData>
            </a:graphic>
          </wp:inline>
        </w:drawing>
      </w:r>
    </w:p>
    <w:p w14:paraId="2A540688" w14:textId="77777777" w:rsidR="00F30851" w:rsidRDefault="00F30851" w:rsidP="009A76DE">
      <w:pPr>
        <w:pStyle w:val="Heading5"/>
      </w:pPr>
      <w:r w:rsidRPr="005632DC">
        <w:t>Efficacy variables and outcomes</w:t>
      </w:r>
    </w:p>
    <w:p w14:paraId="748B6798" w14:textId="77777777" w:rsidR="00F30851" w:rsidRPr="00DD0F52" w:rsidRDefault="00F30851" w:rsidP="009A76DE">
      <w:pPr>
        <w:pStyle w:val="Heading6"/>
        <w:rPr>
          <w:rFonts w:eastAsia="TimesNewRoman,BoldItalic"/>
        </w:rPr>
      </w:pPr>
      <w:r>
        <w:rPr>
          <w:rFonts w:eastAsia="TimesNewRoman,BoldItalic"/>
        </w:rPr>
        <w:t>Clinical efficacy variables d</w:t>
      </w:r>
      <w:r w:rsidRPr="00DD0F52">
        <w:rPr>
          <w:rFonts w:eastAsia="TimesNewRoman,BoldItalic"/>
        </w:rPr>
        <w:t>efinitions f</w:t>
      </w:r>
      <w:r w:rsidR="009A76DE">
        <w:rPr>
          <w:rFonts w:eastAsia="TimesNewRoman,BoldItalic"/>
        </w:rPr>
        <w:t>or the investigator’s judgement</w:t>
      </w:r>
    </w:p>
    <w:p w14:paraId="23122A68" w14:textId="77777777" w:rsidR="00F30851" w:rsidRPr="003B78DF" w:rsidRDefault="00F30851" w:rsidP="009A76DE">
      <w:pPr>
        <w:pStyle w:val="ListBullet"/>
      </w:pPr>
      <w:r w:rsidRPr="0001728B">
        <w:rPr>
          <w:rFonts w:eastAsia="TimesNewRoman,BoldItalic" w:cs="TimesNewRoman,Bold"/>
          <w:bCs/>
          <w:i/>
        </w:rPr>
        <w:t>ILI</w:t>
      </w:r>
      <w:r>
        <w:rPr>
          <w:rFonts w:eastAsia="TimesNewRoman,BoldItalic" w:cs="TimesNewRoman,Bold"/>
          <w:b/>
          <w:bCs/>
        </w:rPr>
        <w:t xml:space="preserve"> </w:t>
      </w:r>
      <w:r>
        <w:t>defined by a) temperature ≥</w:t>
      </w:r>
      <w:r w:rsidRPr="003B78DF">
        <w:t>38.0° C</w:t>
      </w:r>
      <w:r>
        <w:t xml:space="preserve"> </w:t>
      </w:r>
      <w:r w:rsidRPr="003B78DF">
        <w:t>(any route) and b) at least one of the following: cough, runny nose, nasal congestion</w:t>
      </w:r>
      <w:r>
        <w:t xml:space="preserve"> </w:t>
      </w:r>
      <w:r w:rsidRPr="003B78DF">
        <w:t>or breathing difficulty.</w:t>
      </w:r>
    </w:p>
    <w:p w14:paraId="0AF198BF" w14:textId="77777777" w:rsidR="00F30851" w:rsidRPr="003B78DF" w:rsidRDefault="00F30851" w:rsidP="009A76DE">
      <w:pPr>
        <w:pStyle w:val="ListBullet"/>
      </w:pPr>
      <w:r w:rsidRPr="0001728B">
        <w:rPr>
          <w:rFonts w:eastAsia="TimesNewRoman,BoldItalic" w:cs="TimesNewRoman,Bold"/>
          <w:bCs/>
          <w:i/>
        </w:rPr>
        <w:t xml:space="preserve">LRI </w:t>
      </w:r>
      <w:r w:rsidRPr="003B78DF">
        <w:t>include cases of physician-diagnosed pneumonia,</w:t>
      </w:r>
      <w:r>
        <w:t xml:space="preserve"> </w:t>
      </w:r>
      <w:r w:rsidRPr="003B78DF">
        <w:t>lower respiratory tract infection, bronchiolitis</w:t>
      </w:r>
      <w:r>
        <w:t>, bronchitis and croup</w:t>
      </w:r>
      <w:r w:rsidRPr="003B78DF">
        <w:t>.</w:t>
      </w:r>
    </w:p>
    <w:p w14:paraId="717D9D5E" w14:textId="77777777" w:rsidR="00F30851" w:rsidRPr="00F34CD6" w:rsidRDefault="00F30851" w:rsidP="009A76DE">
      <w:pPr>
        <w:pStyle w:val="ListBullet"/>
      </w:pPr>
      <w:r w:rsidRPr="0001728B">
        <w:rPr>
          <w:rFonts w:eastAsia="TimesNewRoman,BoldItalic" w:cs="TimesNewRoman,Bold"/>
          <w:bCs/>
          <w:i/>
        </w:rPr>
        <w:t>AOM</w:t>
      </w:r>
      <w:r w:rsidRPr="003B78DF">
        <w:t>: include cases of physician-diagnosed otitis media.</w:t>
      </w:r>
    </w:p>
    <w:p w14:paraId="7B0B1203" w14:textId="77777777" w:rsidR="00F30851" w:rsidRPr="003B78DF" w:rsidRDefault="00F30851" w:rsidP="009A76DE">
      <w:pPr>
        <w:pStyle w:val="Heading6"/>
        <w:rPr>
          <w:rFonts w:eastAsia="TimesNewRoman,BoldItalic"/>
        </w:rPr>
      </w:pPr>
      <w:r w:rsidRPr="003B78DF">
        <w:rPr>
          <w:rFonts w:eastAsia="TimesNewRoman,BoldItalic"/>
        </w:rPr>
        <w:lastRenderedPageBreak/>
        <w:t>Definitions fo</w:t>
      </w:r>
      <w:r w:rsidR="009A76DE">
        <w:rPr>
          <w:rFonts w:eastAsia="TimesNewRoman,BoldItalic"/>
        </w:rPr>
        <w:t>r statistical analysis purposes</w:t>
      </w:r>
    </w:p>
    <w:p w14:paraId="72BEE876" w14:textId="77777777" w:rsidR="00F30851" w:rsidRPr="003B78DF" w:rsidRDefault="00F30851" w:rsidP="009A76DE">
      <w:pPr>
        <w:pStyle w:val="ListBullet"/>
      </w:pPr>
      <w:r w:rsidRPr="0001728B">
        <w:rPr>
          <w:rFonts w:eastAsia="TimesNewRoman,BoldItalic" w:cs="TimesNewRoman,Bold"/>
          <w:bCs/>
          <w:i/>
        </w:rPr>
        <w:t>Validated AOM</w:t>
      </w:r>
      <w:r w:rsidRPr="003B78DF">
        <w:t>: defined as a visually abnormal tympanic membrane suggesting an effusion in the middle ear cavity (as</w:t>
      </w:r>
      <w:r>
        <w:t xml:space="preserve"> </w:t>
      </w:r>
      <w:r w:rsidRPr="003B78DF">
        <w:t>per a physician’s judgment), concomitant with at least one of the following signs</w:t>
      </w:r>
      <w:r>
        <w:t xml:space="preserve"> </w:t>
      </w:r>
      <w:r w:rsidRPr="003B78DF">
        <w:t>and/or symptoms of acute inf</w:t>
      </w:r>
      <w:r>
        <w:t>ection: fever (temperature of</w:t>
      </w:r>
      <w:r w:rsidR="00943514">
        <w:t xml:space="preserve"> </w:t>
      </w:r>
      <w:r>
        <w:t>≥</w:t>
      </w:r>
      <w:r w:rsidRPr="003B78DF">
        <w:t>37.5°C, by any route),</w:t>
      </w:r>
      <w:r>
        <w:t xml:space="preserve"> </w:t>
      </w:r>
      <w:r w:rsidRPr="003B78DF">
        <w:t>earache, irritability, diarrh</w:t>
      </w:r>
      <w:r>
        <w:t>o</w:t>
      </w:r>
      <w:r w:rsidRPr="003B78DF">
        <w:t>ea, vomiting, acute otorrh</w:t>
      </w:r>
      <w:r>
        <w:t>o</w:t>
      </w:r>
      <w:r w:rsidRPr="003B78DF">
        <w:t>ea, or other symptoms of</w:t>
      </w:r>
      <w:r>
        <w:t xml:space="preserve"> </w:t>
      </w:r>
      <w:r w:rsidRPr="003B78DF">
        <w:t>respiratory infection.</w:t>
      </w:r>
    </w:p>
    <w:p w14:paraId="20E8DBF3" w14:textId="77777777" w:rsidR="00F30851" w:rsidRDefault="00F30851" w:rsidP="009A76DE">
      <w:pPr>
        <w:pStyle w:val="ListBullet"/>
      </w:pPr>
      <w:r w:rsidRPr="0001728B">
        <w:rPr>
          <w:rFonts w:eastAsia="TimesNewRoman,BoldItalic" w:cs="TimesNewRoman,Bold"/>
          <w:bCs/>
          <w:i/>
        </w:rPr>
        <w:t>Recurrent AOM</w:t>
      </w:r>
      <w:r w:rsidRPr="003B78DF">
        <w:rPr>
          <w:rFonts w:eastAsia="TimesNewRoman,BoldItalic" w:cs="TimesNewRoman,Bold"/>
          <w:b/>
          <w:bCs/>
        </w:rPr>
        <w:t xml:space="preserve"> </w:t>
      </w:r>
      <w:r w:rsidRPr="003B78DF">
        <w:t>was defined as three or more distinct and well documented</w:t>
      </w:r>
      <w:r>
        <w:t xml:space="preserve"> </w:t>
      </w:r>
      <w:r w:rsidRPr="003B78DF">
        <w:t>episodes of AOM, as recorded in the medical history of the subject.</w:t>
      </w:r>
    </w:p>
    <w:p w14:paraId="204AAE1B" w14:textId="77777777" w:rsidR="00F30851" w:rsidRPr="003B78DF" w:rsidRDefault="00F30851" w:rsidP="009A76DE">
      <w:pPr>
        <w:pStyle w:val="ListBullet"/>
      </w:pPr>
      <w:r w:rsidRPr="0001728B">
        <w:rPr>
          <w:rFonts w:eastAsiaTheme="minorHAnsi" w:cs="TimesNewRoman,Bold"/>
          <w:bCs/>
          <w:i/>
          <w:color w:val="000000"/>
        </w:rPr>
        <w:t>RT-PCR confirmed influenza disease</w:t>
      </w:r>
      <w:r w:rsidRPr="003B78DF">
        <w:rPr>
          <w:color w:val="000000"/>
        </w:rPr>
        <w:t>: An episode of ILI or a consequence of influenza virus attack (</w:t>
      </w:r>
      <w:r w:rsidR="007E3752">
        <w:rPr>
          <w:color w:val="000000"/>
        </w:rPr>
        <w:t>for example,</w:t>
      </w:r>
      <w:r w:rsidRPr="003B78DF">
        <w:rPr>
          <w:color w:val="000000"/>
        </w:rPr>
        <w:t xml:space="preserve"> AOM or LRI), occurring after the administration of the study vaccine during the influenza surveillance period for which a nasal swab specimen yields influenza virus A and/or B by RT-PCR analysis.</w:t>
      </w:r>
    </w:p>
    <w:p w14:paraId="6C05F774" w14:textId="77777777" w:rsidR="00F30851" w:rsidRPr="003B78DF" w:rsidRDefault="00F30851" w:rsidP="009A76DE">
      <w:pPr>
        <w:pStyle w:val="ListBullet"/>
      </w:pPr>
      <w:r w:rsidRPr="0001728B">
        <w:rPr>
          <w:rFonts w:eastAsiaTheme="minorHAnsi" w:cs="TimesNewRoman,Bold"/>
          <w:bCs/>
          <w:i/>
          <w:color w:val="000000"/>
        </w:rPr>
        <w:t>Culture-confirmed influenza disease</w:t>
      </w:r>
      <w:r w:rsidRPr="003B78DF">
        <w:rPr>
          <w:rFonts w:eastAsiaTheme="minorHAnsi" w:cs="TimesNewRoman,Bold"/>
          <w:b/>
          <w:bCs/>
          <w:color w:val="000000"/>
        </w:rPr>
        <w:t xml:space="preserve">: </w:t>
      </w:r>
      <w:r w:rsidRPr="003B78DF">
        <w:rPr>
          <w:color w:val="000000"/>
        </w:rPr>
        <w:t>An episode of ILI or a consequence of influenza virus attack (</w:t>
      </w:r>
      <w:r w:rsidR="007E3752">
        <w:rPr>
          <w:color w:val="000000"/>
        </w:rPr>
        <w:t>for example,</w:t>
      </w:r>
      <w:r w:rsidRPr="003B78DF">
        <w:rPr>
          <w:color w:val="000000"/>
        </w:rPr>
        <w:t xml:space="preserve"> AOM or LRI), occurring after the administration of the study vaccine during the influenza surveillance period for which a nasal swab specimen yields influenza virus A and/or B by viral culture analysis.</w:t>
      </w:r>
    </w:p>
    <w:p w14:paraId="3BF31F71" w14:textId="77777777" w:rsidR="00F30851" w:rsidRPr="003B78DF" w:rsidRDefault="00F30851" w:rsidP="009A76DE">
      <w:pPr>
        <w:pStyle w:val="ListBullet"/>
      </w:pPr>
      <w:r w:rsidRPr="0001728B">
        <w:rPr>
          <w:rFonts w:eastAsiaTheme="minorHAnsi" w:cs="TimesNewRoman,Bold"/>
          <w:bCs/>
          <w:i/>
          <w:color w:val="000000"/>
        </w:rPr>
        <w:t>Moderate-to-severe influenza</w:t>
      </w:r>
      <w:r w:rsidRPr="003B78DF">
        <w:rPr>
          <w:rFonts w:eastAsiaTheme="minorHAnsi" w:cs="TimesNewRoman,Bold"/>
          <w:b/>
          <w:bCs/>
          <w:color w:val="000000"/>
        </w:rPr>
        <w:t xml:space="preserve"> </w:t>
      </w:r>
      <w:r w:rsidRPr="003B78DF">
        <w:rPr>
          <w:color w:val="000000"/>
        </w:rPr>
        <w:t xml:space="preserve">and </w:t>
      </w:r>
      <w:r w:rsidRPr="0001728B">
        <w:rPr>
          <w:rFonts w:eastAsiaTheme="minorHAnsi" w:cs="TimesNewRoman,Bold"/>
          <w:bCs/>
          <w:i/>
          <w:color w:val="000000"/>
        </w:rPr>
        <w:t>severe influenza</w:t>
      </w:r>
      <w:r w:rsidRPr="003B78DF">
        <w:rPr>
          <w:rFonts w:eastAsiaTheme="minorHAnsi" w:cs="TimesNewRoman,Bold"/>
          <w:b/>
          <w:bCs/>
          <w:color w:val="000000"/>
        </w:rPr>
        <w:t xml:space="preserve"> </w:t>
      </w:r>
      <w:r w:rsidRPr="003B78DF">
        <w:rPr>
          <w:color w:val="000000"/>
        </w:rPr>
        <w:t xml:space="preserve">are a subset of </w:t>
      </w:r>
      <w:r w:rsidR="005E57AC">
        <w:rPr>
          <w:color w:val="000000"/>
        </w:rPr>
        <w:t>‘</w:t>
      </w:r>
      <w:r w:rsidRPr="003B78DF">
        <w:rPr>
          <w:color w:val="000000"/>
        </w:rPr>
        <w:t>any</w:t>
      </w:r>
      <w:r w:rsidR="005E57AC">
        <w:rPr>
          <w:color w:val="000000"/>
        </w:rPr>
        <w:t>’</w:t>
      </w:r>
      <w:r w:rsidRPr="003B78DF">
        <w:rPr>
          <w:color w:val="000000"/>
        </w:rPr>
        <w:t xml:space="preserve"> RT-PCR</w:t>
      </w:r>
      <w:r>
        <w:rPr>
          <w:color w:val="000000"/>
        </w:rPr>
        <w:t xml:space="preserve"> </w:t>
      </w:r>
      <w:r w:rsidRPr="003B78DF">
        <w:rPr>
          <w:color w:val="000000"/>
        </w:rPr>
        <w:t>confirmed influenza disease</w:t>
      </w:r>
    </w:p>
    <w:p w14:paraId="790A0717" w14:textId="77777777" w:rsidR="00F30851" w:rsidRPr="003B78DF" w:rsidRDefault="00F30851" w:rsidP="009A76DE">
      <w:pPr>
        <w:pStyle w:val="ListBullet"/>
      </w:pPr>
      <w:r w:rsidRPr="0001728B">
        <w:rPr>
          <w:i/>
          <w:color w:val="000000"/>
        </w:rPr>
        <w:t>Health care utilization</w:t>
      </w:r>
      <w:r w:rsidRPr="003B78DF">
        <w:rPr>
          <w:b/>
          <w:color w:val="000000"/>
        </w:rPr>
        <w:t>:</w:t>
      </w:r>
      <w:r w:rsidRPr="003B78DF">
        <w:rPr>
          <w:color w:val="000000"/>
        </w:rPr>
        <w:t xml:space="preserve"> hospitalisation, emergency care visit, visit to or by medical</w:t>
      </w:r>
      <w:r>
        <w:rPr>
          <w:color w:val="000000"/>
        </w:rPr>
        <w:t xml:space="preserve"> </w:t>
      </w:r>
      <w:r w:rsidRPr="003B78DF">
        <w:rPr>
          <w:color w:val="000000"/>
        </w:rPr>
        <w:t>specialist, unscheduled or scheduled visit to or by General Practitioner / Paediatrician, use of antibiotics (orally or parenteral), antipyretics and antiviral therapy, linked to the ILI episode, AOM or LRI.</w:t>
      </w:r>
    </w:p>
    <w:p w14:paraId="10BF03C8" w14:textId="77777777" w:rsidR="00F30851" w:rsidRPr="00B96675" w:rsidRDefault="00F30851" w:rsidP="009A76DE">
      <w:pPr>
        <w:pStyle w:val="ListBullet"/>
      </w:pPr>
      <w:r w:rsidRPr="0001728B">
        <w:rPr>
          <w:i/>
          <w:color w:val="000000"/>
        </w:rPr>
        <w:t>Duration of ILI/LRI-episode</w:t>
      </w:r>
      <w:r w:rsidRPr="003B78DF">
        <w:rPr>
          <w:color w:val="000000"/>
        </w:rPr>
        <w:t xml:space="preserve">: from the first day with fever (temperature of ≥38.0°C, by any route) and at least one respiratory </w:t>
      </w:r>
      <w:r w:rsidRPr="00B96675">
        <w:rPr>
          <w:color w:val="000000"/>
        </w:rPr>
        <w:t>symptom (cough, runny nose, nasal congestion or breathing difficulty) until the event resolution defined as the first day when the following conditions were met simultaneously: temperature ≤37.5°C with no fever reducers used, other symptoms (cough, runny nose / nasal congestion, vomiting and feels unwell) either absent or mild, and a return of the child to normal activitie</w:t>
      </w:r>
      <w:r>
        <w:rPr>
          <w:color w:val="000000"/>
        </w:rPr>
        <w:t>s</w:t>
      </w:r>
      <w:r w:rsidRPr="00B96675">
        <w:rPr>
          <w:color w:val="000000"/>
        </w:rPr>
        <w:t>. If fever (temperature of ≥ 38.0°C, by any route) reappeared or other symptoms (cough, runny nose, nasal congestion or breathing difficulty) worsened to moderate or severe levels within 7 days after ILI onset, the duration of the episode was to be calculated until the first time that the above listed conditions were met after worsening of these symptoms. In this case, the investigator was to judge if the previous episode had resolved and this event was to constitute a new episode.</w:t>
      </w:r>
    </w:p>
    <w:p w14:paraId="0B00BE0A" w14:textId="77777777" w:rsidR="00F30851" w:rsidRPr="003B78DF" w:rsidRDefault="00F30851" w:rsidP="009A76DE">
      <w:pPr>
        <w:pStyle w:val="ListBullet"/>
      </w:pPr>
      <w:r w:rsidRPr="0001728B">
        <w:rPr>
          <w:i/>
          <w:color w:val="000000"/>
        </w:rPr>
        <w:t>Duration of AOM</w:t>
      </w:r>
      <w:r w:rsidRPr="00B96675">
        <w:rPr>
          <w:color w:val="000000"/>
        </w:rPr>
        <w:t>: from first day of otitis symptoms until resolution defined as first day when the following conditions were met simultaneously: temperature ≤37.5 C with no fever reducers used, other symptoms (ear tugging, increasing crying, fussiness,</w:t>
      </w:r>
      <w:r w:rsidRPr="003B78DF">
        <w:rPr>
          <w:color w:val="000000"/>
        </w:rPr>
        <w:t xml:space="preserve"> disturbed sleep, decreased play and eating less) absent or most of them</w:t>
      </w:r>
      <w:r>
        <w:rPr>
          <w:color w:val="000000"/>
        </w:rPr>
        <w:t xml:space="preserve"> </w:t>
      </w:r>
      <w:r w:rsidRPr="003B78DF">
        <w:rPr>
          <w:color w:val="000000"/>
        </w:rPr>
        <w:t>absent with a maximum of 2 of them qualified</w:t>
      </w:r>
      <w:r>
        <w:rPr>
          <w:color w:val="000000"/>
        </w:rPr>
        <w:t xml:space="preserve"> as mild</w:t>
      </w:r>
      <w:r w:rsidRPr="003B78DF">
        <w:rPr>
          <w:color w:val="000000"/>
        </w:rPr>
        <w:t>. A new episode was only to be taken into account after the</w:t>
      </w:r>
      <w:r>
        <w:rPr>
          <w:color w:val="000000"/>
        </w:rPr>
        <w:t xml:space="preserve"> </w:t>
      </w:r>
      <w:r w:rsidRPr="003B78DF">
        <w:rPr>
          <w:color w:val="000000"/>
        </w:rPr>
        <w:t>resolution of the previous one, as judged by the investigator.</w:t>
      </w:r>
    </w:p>
    <w:p w14:paraId="368749D2" w14:textId="77777777" w:rsidR="00F30851" w:rsidRPr="00ED6B99" w:rsidRDefault="00F30851" w:rsidP="009A76DE">
      <w:pPr>
        <w:pStyle w:val="ListBullet"/>
      </w:pPr>
      <w:r w:rsidRPr="0001728B">
        <w:rPr>
          <w:i/>
          <w:color w:val="000000"/>
        </w:rPr>
        <w:t xml:space="preserve">Attendance to </w:t>
      </w:r>
      <w:r w:rsidR="0001728B">
        <w:rPr>
          <w:i/>
          <w:color w:val="000000"/>
        </w:rPr>
        <w:t>D</w:t>
      </w:r>
      <w:r w:rsidRPr="0001728B">
        <w:rPr>
          <w:i/>
          <w:color w:val="000000"/>
        </w:rPr>
        <w:t>ay</w:t>
      </w:r>
      <w:r w:rsidR="0001728B">
        <w:rPr>
          <w:i/>
          <w:color w:val="000000"/>
        </w:rPr>
        <w:t xml:space="preserve"> </w:t>
      </w:r>
      <w:r w:rsidRPr="0001728B">
        <w:rPr>
          <w:i/>
          <w:color w:val="000000"/>
        </w:rPr>
        <w:t>care centre/school</w:t>
      </w:r>
      <w:r w:rsidRPr="00B96675">
        <w:rPr>
          <w:color w:val="000000"/>
        </w:rPr>
        <w:t xml:space="preserve"> was defined as exposed to 3 or more nonfamily</w:t>
      </w:r>
      <w:r>
        <w:rPr>
          <w:color w:val="000000"/>
        </w:rPr>
        <w:t xml:space="preserve"> members &lt;</w:t>
      </w:r>
      <w:r w:rsidRPr="00B96675">
        <w:rPr>
          <w:color w:val="000000"/>
        </w:rPr>
        <w:t>5 years for at least 10 hours a week.</w:t>
      </w:r>
    </w:p>
    <w:p w14:paraId="7F27BC00" w14:textId="73B9B1AE" w:rsidR="00F30851" w:rsidRPr="002E0374" w:rsidRDefault="00F30851" w:rsidP="00D020B2">
      <w:pPr>
        <w:pStyle w:val="Heading6"/>
        <w:rPr>
          <w:rFonts w:eastAsia="TimesNewRoman,BoldItalic"/>
        </w:rPr>
      </w:pPr>
      <w:r w:rsidRPr="002E0374">
        <w:rPr>
          <w:rFonts w:eastAsia="TimesNewRoman,BoldItalic"/>
        </w:rPr>
        <w:t xml:space="preserve">Methods </w:t>
      </w:r>
      <w:r w:rsidR="00486721" w:rsidRPr="002E0374">
        <w:rPr>
          <w:rFonts w:eastAsia="TimesNewRoman,BoldItalic"/>
        </w:rPr>
        <w:t>used to evaluate immunogenicity/efficacy</w:t>
      </w:r>
    </w:p>
    <w:p w14:paraId="32644D7A" w14:textId="77777777" w:rsidR="00F30851" w:rsidRPr="000B7087" w:rsidRDefault="00F30851" w:rsidP="009A76DE">
      <w:pPr>
        <w:rPr>
          <w:rFonts w:asciiTheme="minorHAnsi" w:eastAsia="TimesNewRoman,BoldItalic" w:hAnsiTheme="minorHAnsi" w:cs="TimesNewRoman,BoldItalic"/>
          <w:iCs/>
        </w:rPr>
      </w:pPr>
      <w:r>
        <w:rPr>
          <w:rFonts w:asciiTheme="minorHAnsi" w:eastAsia="TimesNewRoman,BoldItalic" w:hAnsiTheme="minorHAnsi" w:cs="TimesNewRoman,BoldItalic"/>
          <w:iCs/>
        </w:rPr>
        <w:t>V</w:t>
      </w:r>
      <w:r w:rsidRPr="000B7087">
        <w:rPr>
          <w:rFonts w:asciiTheme="minorHAnsi" w:eastAsia="TimesNewRoman,BoldItalic" w:hAnsiTheme="minorHAnsi" w:cs="TimesNewRoman,BoldItalic"/>
          <w:iCs/>
        </w:rPr>
        <w:t>iral RNA isolated from nasal swabs was amplified and subjected to quantitative RT-PCR identification of influenza A or B. Influenza A confirmed samples were subjected to further RT-PCR characterisation to</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sub-classify into A/H1N1 or A/H3N2 strains. Influenza B</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confirmed samples were subjected to further RT-PCR characterisation. However, an</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additional DNA sequencing step was needed to further classify into B/Victoria or</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B/Yamagata lineages, since the two B lineages could not be distinguished by sizing</w:t>
      </w:r>
      <w:r>
        <w:rPr>
          <w:rFonts w:asciiTheme="minorHAnsi" w:eastAsia="TimesNewRoman,BoldItalic" w:hAnsiTheme="minorHAnsi" w:cs="TimesNewRoman,BoldItalic"/>
          <w:iCs/>
        </w:rPr>
        <w:t xml:space="preserve"> alone</w:t>
      </w:r>
      <w:r w:rsidRPr="000B7087">
        <w:rPr>
          <w:rFonts w:asciiTheme="minorHAnsi" w:eastAsia="TimesNewRoman,BoldItalic" w:hAnsiTheme="minorHAnsi" w:cs="TimesNewRoman,BoldItalic"/>
          <w:iCs/>
        </w:rPr>
        <w:t>.</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 xml:space="preserve">Nasal swabs confirmed for the </w:t>
      </w:r>
      <w:r w:rsidRPr="000B7087">
        <w:rPr>
          <w:rFonts w:asciiTheme="minorHAnsi" w:eastAsia="TimesNewRoman,BoldItalic" w:hAnsiTheme="minorHAnsi" w:cs="TimesNewRoman,BoldItalic"/>
          <w:iCs/>
        </w:rPr>
        <w:lastRenderedPageBreak/>
        <w:t>presence of influenza A or B by RT-PCR were sent to</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Quest laboratory for viral culture confirmation (secondary efficacy endpoint) of influenza</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A and or B by immu</w:t>
      </w:r>
      <w:r>
        <w:rPr>
          <w:rFonts w:asciiTheme="minorHAnsi" w:eastAsia="TimesNewRoman,BoldItalic" w:hAnsiTheme="minorHAnsi" w:cs="TimesNewRoman,BoldItalic"/>
          <w:iCs/>
        </w:rPr>
        <w:t>nostaining</w:t>
      </w:r>
      <w:r w:rsidRPr="000B7087">
        <w:rPr>
          <w:rFonts w:asciiTheme="minorHAnsi" w:eastAsia="TimesNewRoman,BoldItalic" w:hAnsiTheme="minorHAnsi" w:cs="TimesNewRoman,BoldItalic"/>
          <w:iCs/>
        </w:rPr>
        <w:t>.</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An aliquot of each sample confirmed for the presence of influenza A or B by RT-PCR</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 xml:space="preserve">(regardless of cell culture results), was forwarded </w:t>
      </w:r>
      <w:r w:rsidR="00B923FE">
        <w:rPr>
          <w:rFonts w:asciiTheme="minorHAnsi" w:eastAsia="TimesNewRoman,BoldItalic" w:hAnsiTheme="minorHAnsi" w:cs="TimesNewRoman,BoldItalic"/>
          <w:iCs/>
        </w:rPr>
        <w:t>[information redacted]</w:t>
      </w:r>
      <w:r w:rsidRPr="000B7087">
        <w:rPr>
          <w:rFonts w:asciiTheme="minorHAnsi" w:eastAsia="TimesNewRoman,BoldItalic" w:hAnsiTheme="minorHAnsi" w:cs="TimesNewRoman,BoldItalic"/>
          <w:iCs/>
        </w:rPr>
        <w:t xml:space="preserve"> for antigenic</w:t>
      </w:r>
      <w:r>
        <w:rPr>
          <w:rFonts w:asciiTheme="minorHAnsi" w:eastAsia="TimesNewRoman,BoldItalic" w:hAnsiTheme="minorHAnsi" w:cs="TimesNewRoman,BoldItalic"/>
          <w:iCs/>
        </w:rPr>
        <w:t xml:space="preserve"> characterisation</w:t>
      </w:r>
      <w:r w:rsidRPr="000B7087">
        <w:rPr>
          <w:rFonts w:asciiTheme="minorHAnsi" w:eastAsia="TimesNewRoman,BoldItalic" w:hAnsiTheme="minorHAnsi" w:cs="TimesNewRoman,BoldItalic"/>
          <w:iCs/>
        </w:rPr>
        <w:t>. Viral supernatant samples received from Quest</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were independently expanded in viral cultures and then subjected to antigenic</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characterisation (secondary efficacy endpoint). The results of RT-PCR/sequencing for A</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strain type and B lineage sub-cla</w:t>
      </w:r>
      <w:r>
        <w:rPr>
          <w:rFonts w:asciiTheme="minorHAnsi" w:eastAsia="TimesNewRoman,BoldItalic" w:hAnsiTheme="minorHAnsi" w:cs="TimesNewRoman,BoldItalic"/>
          <w:iCs/>
        </w:rPr>
        <w:t xml:space="preserve">ssification </w:t>
      </w:r>
      <w:r w:rsidRPr="000B7087">
        <w:rPr>
          <w:rFonts w:asciiTheme="minorHAnsi" w:eastAsia="TimesNewRoman,BoldItalic" w:hAnsiTheme="minorHAnsi" w:cs="TimesNewRoman,BoldItalic"/>
          <w:iCs/>
        </w:rPr>
        <w:t>were used to determine which</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 xml:space="preserve">specific antigenic assay had to be performed by </w:t>
      </w:r>
      <w:r w:rsidR="00B923FE">
        <w:rPr>
          <w:rFonts w:asciiTheme="minorHAnsi" w:eastAsia="TimesNewRoman,BoldItalic" w:hAnsiTheme="minorHAnsi" w:cs="TimesNewRoman,BoldItalic"/>
          <w:iCs/>
        </w:rPr>
        <w:t>[information redacted]</w:t>
      </w:r>
      <w:r w:rsidRPr="000B7087">
        <w:rPr>
          <w:rFonts w:asciiTheme="minorHAnsi" w:eastAsia="TimesNewRoman,BoldItalic" w:hAnsiTheme="minorHAnsi" w:cs="TimesNewRoman,BoldItalic"/>
          <w:iCs/>
        </w:rPr>
        <w:t xml:space="preserve"> for a given sample.</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Therefore, samples identified as A/H1N1 or A/H3N2 by RT-PCR were then assessed for</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antigen characterisation using A/H1N1 HI assay or A/H3N2 Virospot MN assay,</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respectively. Similarly, samples identified as B/Victoria or B/Yamagata by RTPCR/</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sequencing were then assessed for antigen characterisation using B/Victoria HI</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assay or B/Yamagata HI assay, respectively. For each of the A and B lineage strains, the</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results were reported as either ‘vaccine strain matched’ or ‘vaccine strain non-matched.’</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Note that samples that were negative for either influenza A or B culture confirmation by</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immunostaining (at Quest), could</w:t>
      </w:r>
      <w:r>
        <w:rPr>
          <w:rFonts w:asciiTheme="minorHAnsi" w:eastAsia="TimesNewRoman,BoldItalic" w:hAnsiTheme="minorHAnsi" w:cs="TimesNewRoman,BoldItalic"/>
          <w:iCs/>
        </w:rPr>
        <w:t xml:space="preserve"> contribute to the cell culture </w:t>
      </w:r>
      <w:r w:rsidRPr="000B7087">
        <w:rPr>
          <w:rFonts w:asciiTheme="minorHAnsi" w:eastAsia="TimesNewRoman,BoldItalic" w:hAnsiTheme="minorHAnsi" w:cs="TimesNewRoman,BoldItalic"/>
          <w:iCs/>
        </w:rPr>
        <w:t>confirmed endpoint if</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viral culture supernatants reached a significant virus titre to be evaluated with antigenic</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typing assay.</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For example, the following decision algorithm would be used to identify a sample as</w:t>
      </w:r>
      <w:r>
        <w:rPr>
          <w:rFonts w:asciiTheme="minorHAnsi" w:eastAsia="TimesNewRoman,BoldItalic" w:hAnsiTheme="minorHAnsi" w:cs="TimesNewRoman,BoldItalic"/>
          <w:iCs/>
        </w:rPr>
        <w:t xml:space="preserve"> </w:t>
      </w:r>
      <w:r w:rsidRPr="000B7087">
        <w:rPr>
          <w:rFonts w:asciiTheme="minorHAnsi" w:eastAsia="TimesNewRoman,BoldItalic" w:hAnsiTheme="minorHAnsi" w:cs="TimesNewRoman,BoldItalic"/>
          <w:iCs/>
        </w:rPr>
        <w:t>A/H1N1 (similarly for A/H3N2, B/Victoria, or B/Yamagata):</w:t>
      </w:r>
    </w:p>
    <w:p w14:paraId="4CFD165D" w14:textId="77777777" w:rsidR="00F30851" w:rsidRPr="000B7087" w:rsidRDefault="00F30851" w:rsidP="009A76DE">
      <w:pPr>
        <w:rPr>
          <w:rFonts w:asciiTheme="minorHAnsi" w:eastAsia="TimesNewRoman,BoldItalic" w:hAnsiTheme="minorHAnsi" w:cs="TimesNewRoman,BoldItalic"/>
          <w:iCs/>
        </w:rPr>
      </w:pPr>
      <w:r w:rsidRPr="000B7087">
        <w:rPr>
          <w:rFonts w:asciiTheme="minorHAnsi" w:eastAsia="TimesNewRoman,BoldItalic" w:hAnsiTheme="minorHAnsi" w:cs="TimesNewRoman,BoldItalic"/>
          <w:iCs/>
        </w:rPr>
        <w:t xml:space="preserve">Sample identified as culture-confirmed </w:t>
      </w:r>
      <w:r w:rsidRPr="00D020B2">
        <w:rPr>
          <w:rFonts w:asciiTheme="minorHAnsi" w:eastAsia="TimesNewRoman,BoldItalic" w:hAnsiTheme="minorHAnsi" w:cs="TimesNewRoman,BoldItalic"/>
          <w:i/>
          <w:iCs/>
        </w:rPr>
        <w:t>vaccine matched</w:t>
      </w:r>
      <w:r w:rsidRPr="000B7087">
        <w:rPr>
          <w:rFonts w:asciiTheme="minorHAnsi" w:eastAsia="TimesNewRoman,BoldItalic" w:hAnsiTheme="minorHAnsi" w:cs="TimesNewRoman,BoldItalic"/>
          <w:iCs/>
        </w:rPr>
        <w:t xml:space="preserve"> A/H1N1 strain:</w:t>
      </w:r>
    </w:p>
    <w:p w14:paraId="244FCDD8" w14:textId="77777777" w:rsidR="00F30851" w:rsidRPr="000B7087" w:rsidRDefault="00F30851" w:rsidP="009A76DE">
      <w:pPr>
        <w:pStyle w:val="ListBullet"/>
      </w:pPr>
      <w:r w:rsidRPr="000B7087">
        <w:t>RT-PCR confirmed as A/H1N1,</w:t>
      </w:r>
    </w:p>
    <w:p w14:paraId="2498AC11" w14:textId="77777777" w:rsidR="00F30851" w:rsidRPr="000B7087" w:rsidRDefault="009A76DE" w:rsidP="009A76DE">
      <w:pPr>
        <w:pStyle w:val="ListBullet"/>
      </w:pPr>
      <w:r>
        <w:t>C</w:t>
      </w:r>
      <w:r w:rsidR="00F30851" w:rsidRPr="000B7087">
        <w:t>ulture confirmed as A or negative at Quest (immunostaining), and</w:t>
      </w:r>
    </w:p>
    <w:p w14:paraId="100DBE6D" w14:textId="77777777" w:rsidR="00F30851" w:rsidRPr="000B7087" w:rsidRDefault="009A76DE" w:rsidP="009A76DE">
      <w:pPr>
        <w:pStyle w:val="ListBullet"/>
      </w:pPr>
      <w:r>
        <w:t>I</w:t>
      </w:r>
      <w:r w:rsidR="00F30851" w:rsidRPr="000B7087">
        <w:t>dentified by antigenic characterisation as vaccine-matched</w:t>
      </w:r>
      <w:r w:rsidR="00F30851">
        <w:t xml:space="preserve"> </w:t>
      </w:r>
      <w:r w:rsidR="00F30851" w:rsidRPr="000B7087">
        <w:t>A/H1N1.</w:t>
      </w:r>
    </w:p>
    <w:p w14:paraId="7A4F228D" w14:textId="77777777" w:rsidR="00F30851" w:rsidRPr="000B7087" w:rsidRDefault="00F30851" w:rsidP="00F30851">
      <w:pPr>
        <w:autoSpaceDE w:val="0"/>
        <w:autoSpaceDN w:val="0"/>
        <w:adjustRightInd w:val="0"/>
        <w:spacing w:before="0" w:after="0" w:line="240" w:lineRule="auto"/>
        <w:rPr>
          <w:rFonts w:asciiTheme="minorHAnsi" w:eastAsia="TimesNewRoman,BoldItalic" w:hAnsiTheme="minorHAnsi" w:cs="TimesNewRoman,BoldItalic"/>
          <w:bCs/>
          <w:iCs/>
        </w:rPr>
      </w:pPr>
      <w:r w:rsidRPr="000B7087">
        <w:rPr>
          <w:rFonts w:asciiTheme="minorHAnsi" w:eastAsia="TimesNewRoman,BoldItalic" w:hAnsiTheme="minorHAnsi" w:cs="TimesNewRoman,BoldItalic"/>
          <w:bCs/>
          <w:iCs/>
        </w:rPr>
        <w:t xml:space="preserve">Sample identified as culture-confirmed </w:t>
      </w:r>
      <w:r w:rsidRPr="00D020B2">
        <w:rPr>
          <w:rFonts w:asciiTheme="minorHAnsi" w:eastAsia="TimesNewRoman,BoldItalic" w:hAnsiTheme="minorHAnsi" w:cs="TimesNewRoman,BoldItalic"/>
          <w:bCs/>
          <w:i/>
          <w:iCs/>
        </w:rPr>
        <w:t>vaccine non-matched (drifted)</w:t>
      </w:r>
      <w:r w:rsidRPr="000B7087">
        <w:rPr>
          <w:rFonts w:asciiTheme="minorHAnsi" w:eastAsia="TimesNewRoman,BoldItalic" w:hAnsiTheme="minorHAnsi" w:cs="TimesNewRoman,BoldItalic"/>
          <w:bCs/>
          <w:iCs/>
        </w:rPr>
        <w:t xml:space="preserve"> A/H1N1</w:t>
      </w:r>
      <w:r>
        <w:rPr>
          <w:rFonts w:asciiTheme="minorHAnsi" w:eastAsia="TimesNewRoman,BoldItalic" w:hAnsiTheme="minorHAnsi" w:cs="TimesNewRoman,BoldItalic"/>
          <w:bCs/>
          <w:iCs/>
        </w:rPr>
        <w:t xml:space="preserve"> </w:t>
      </w:r>
      <w:r w:rsidRPr="000B7087">
        <w:rPr>
          <w:rFonts w:asciiTheme="minorHAnsi" w:eastAsia="TimesNewRoman,BoldItalic" w:hAnsiTheme="minorHAnsi" w:cs="TimesNewRoman,BoldItalic"/>
          <w:bCs/>
          <w:iCs/>
        </w:rPr>
        <w:t>strain:</w:t>
      </w:r>
    </w:p>
    <w:p w14:paraId="48ED7BF3" w14:textId="77777777" w:rsidR="00F30851" w:rsidRDefault="00F30851" w:rsidP="00D020B2">
      <w:pPr>
        <w:pStyle w:val="ListBullet"/>
      </w:pPr>
      <w:r w:rsidRPr="000B7087">
        <w:t>RT-PCR confirmed as A/H1N1,</w:t>
      </w:r>
      <w:r>
        <w:t xml:space="preserve"> </w:t>
      </w:r>
      <w:r w:rsidRPr="000B7087">
        <w:t>culture confirmed as A or negative confirmation at Quest (immunostaining), and</w:t>
      </w:r>
    </w:p>
    <w:p w14:paraId="59B8F583" w14:textId="77777777" w:rsidR="00F30851" w:rsidRPr="000B7087" w:rsidRDefault="00D020B2" w:rsidP="00D020B2">
      <w:pPr>
        <w:pStyle w:val="ListBullet"/>
      </w:pPr>
      <w:r>
        <w:t>I</w:t>
      </w:r>
      <w:r w:rsidR="00F30851" w:rsidRPr="000B7087">
        <w:t>dentified by antigenic characterisation as vaccine non-matched for A/H1N1.</w:t>
      </w:r>
    </w:p>
    <w:p w14:paraId="27AF936F" w14:textId="77777777" w:rsidR="00F30851" w:rsidRPr="00D020B2" w:rsidRDefault="00F30851" w:rsidP="00D020B2">
      <w:r w:rsidRPr="00D020B2">
        <w:t>Table 4 summarises the methods for influenza detection and typing from nasal mucus swabs, conducted at a GSK Biologicals laboratory or validated lab designated by GSK Biologicals.</w:t>
      </w:r>
    </w:p>
    <w:p w14:paraId="15B7D1EF" w14:textId="77777777" w:rsidR="00F30851" w:rsidRDefault="00F30851" w:rsidP="00D020B2">
      <w:pPr>
        <w:pStyle w:val="Tabletitle"/>
      </w:pPr>
      <w:r w:rsidRPr="00AE314C">
        <w:t>Table 4</w:t>
      </w:r>
      <w:r w:rsidR="00D020B2">
        <w:t>:</w:t>
      </w:r>
      <w:r w:rsidRPr="00AE314C">
        <w:t xml:space="preserve"> Influenza detection, typing and viral culture</w:t>
      </w:r>
    </w:p>
    <w:p w14:paraId="47FD71AD" w14:textId="77777777" w:rsidR="00D020B2" w:rsidRPr="00D020B2" w:rsidRDefault="00D020B2" w:rsidP="00D020B2">
      <w:r>
        <w:rPr>
          <w:noProof/>
          <w:lang w:eastAsia="en-AU"/>
        </w:rPr>
        <w:drawing>
          <wp:inline distT="0" distB="0" distL="0" distR="0" wp14:anchorId="466D4587" wp14:editId="1D61EBA1">
            <wp:extent cx="4837245" cy="2254173"/>
            <wp:effectExtent l="0" t="0" r="1905" b="0"/>
            <wp:docPr id="7" name="Picture 7" descr="Table 4: Influenza detection, typing and vir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837924" cy="2254490"/>
                    </a:xfrm>
                    <a:prstGeom prst="rect">
                      <a:avLst/>
                    </a:prstGeom>
                  </pic:spPr>
                </pic:pic>
              </a:graphicData>
            </a:graphic>
          </wp:inline>
        </w:drawing>
      </w:r>
    </w:p>
    <w:p w14:paraId="60FEC7FF" w14:textId="77777777" w:rsidR="00D020B2" w:rsidRDefault="00F30851" w:rsidP="00D020B2">
      <w:pPr>
        <w:pStyle w:val="Heading6"/>
        <w:rPr>
          <w:rFonts w:eastAsia="TimesNewRoman,BoldItalic"/>
        </w:rPr>
      </w:pPr>
      <w:r w:rsidRPr="000B7087">
        <w:rPr>
          <w:rFonts w:eastAsia="TimesNewRoman,BoldItalic"/>
        </w:rPr>
        <w:t>Quantitative RT-qPCR assay for influenza detection</w:t>
      </w:r>
    </w:p>
    <w:p w14:paraId="294B6CC9" w14:textId="77777777" w:rsidR="00F30851" w:rsidRPr="00FB30A4" w:rsidRDefault="00F30851" w:rsidP="00D020B2">
      <w:pPr>
        <w:rPr>
          <w:b/>
        </w:rPr>
      </w:pPr>
      <w:r>
        <w:t xml:space="preserve">Viral RNA from 200 </w:t>
      </w:r>
      <w:r>
        <w:sym w:font="Symbol" w:char="F06D"/>
      </w:r>
      <w:r>
        <w:t xml:space="preserve">L of the clinical sample </w:t>
      </w:r>
      <w:r w:rsidRPr="000B7087">
        <w:t>extracted using the MagNA Pure LC</w:t>
      </w:r>
      <w:r>
        <w:t xml:space="preserve"> </w:t>
      </w:r>
      <w:r w:rsidRPr="000B7087">
        <w:t>Instrument and MagNA Pure LC Total Nucleic Acid</w:t>
      </w:r>
      <w:r>
        <w:t xml:space="preserve"> Isolation Kit. Purified RNA eluted in a final volume of 50</w:t>
      </w:r>
      <w:r>
        <w:sym w:font="Symbol" w:char="F06D"/>
      </w:r>
      <w:r w:rsidRPr="000B7087">
        <w:t>L. R</w:t>
      </w:r>
      <w:r>
        <w:t xml:space="preserve">NA from the clinical sample </w:t>
      </w:r>
      <w:r w:rsidRPr="000B7087">
        <w:t>amplified and</w:t>
      </w:r>
      <w:r>
        <w:t xml:space="preserve"> </w:t>
      </w:r>
      <w:r w:rsidRPr="000B7087">
        <w:t xml:space="preserve">detected using the specific primers and </w:t>
      </w:r>
      <w:r w:rsidRPr="000B7087">
        <w:lastRenderedPageBreak/>
        <w:t>probes (designed in the Matrix gene) for FLU-A</w:t>
      </w:r>
      <w:r>
        <w:t xml:space="preserve"> </w:t>
      </w:r>
      <w:r w:rsidRPr="000B7087">
        <w:t>and FLU-B RNA with the help of ABI PRISM 7900 HT Sequence Detection System 96-Well Block Module (Applied Bios</w:t>
      </w:r>
      <w:r>
        <w:t xml:space="preserve">ystems). Viral load values </w:t>
      </w:r>
      <w:r w:rsidRPr="000B7087">
        <w:t>quantified and the</w:t>
      </w:r>
      <w:r>
        <w:t xml:space="preserve"> </w:t>
      </w:r>
      <w:r w:rsidRPr="000B7087">
        <w:t>sample considered positive when the viral load was equal to or above the</w:t>
      </w:r>
      <w:r>
        <w:t xml:space="preserve"> </w:t>
      </w:r>
      <w:r w:rsidRPr="000B7087">
        <w:t xml:space="preserve">assay cut-off set at the limit of detection. Several </w:t>
      </w:r>
      <w:r>
        <w:t xml:space="preserve">standard control steps used </w:t>
      </w:r>
      <w:r w:rsidRPr="000B7087">
        <w:t>to monitor any pot</w:t>
      </w:r>
      <w:r>
        <w:t>ential contamination</w:t>
      </w:r>
      <w:r w:rsidRPr="000B7087">
        <w:t>.</w:t>
      </w:r>
    </w:p>
    <w:p w14:paraId="4D992B1E" w14:textId="77777777" w:rsidR="00D020B2" w:rsidRDefault="00F30851" w:rsidP="00D020B2">
      <w:pPr>
        <w:pStyle w:val="Heading6"/>
        <w:rPr>
          <w:rFonts w:eastAsia="TimesNewRoman,BoldItalic"/>
        </w:rPr>
      </w:pPr>
      <w:r w:rsidRPr="000B7087">
        <w:rPr>
          <w:rFonts w:eastAsia="TimesNewRoman,BoldItalic"/>
        </w:rPr>
        <w:t>Viral culture confirmation (immunostaining for influenza A and B)</w:t>
      </w:r>
    </w:p>
    <w:p w14:paraId="0817FE69" w14:textId="77777777" w:rsidR="00F30851" w:rsidRPr="00FB30A4" w:rsidRDefault="00F30851" w:rsidP="00D020B2">
      <w:pPr>
        <w:rPr>
          <w:b/>
        </w:rPr>
      </w:pPr>
      <w:r w:rsidRPr="000B7087">
        <w:t>One Rhesus Monkey Kidney and one Madin-Darby Canine Kidney (MDCKSIAT1)</w:t>
      </w:r>
      <w:r>
        <w:t xml:space="preserve"> </w:t>
      </w:r>
      <w:r w:rsidRPr="000B7087">
        <w:t xml:space="preserve">tissue culture were inoculated with </w:t>
      </w:r>
      <w:r w:rsidR="007E3752">
        <w:t>approximately</w:t>
      </w:r>
      <w:r w:rsidR="00F93BD0">
        <w:t xml:space="preserve"> </w:t>
      </w:r>
      <w:r w:rsidRPr="000B7087">
        <w:t>0.3 mL of nasal swab</w:t>
      </w:r>
      <w:r>
        <w:t xml:space="preserve"> specimens confirmed </w:t>
      </w:r>
      <w:r w:rsidRPr="000B7087">
        <w:t>influenza A or B by RT-PCR</w:t>
      </w:r>
      <w:r>
        <w:t xml:space="preserve"> positive</w:t>
      </w:r>
      <w:r w:rsidRPr="000B7087">
        <w:t>. Tissue cultures</w:t>
      </w:r>
      <w:r>
        <w:t xml:space="preserve"> </w:t>
      </w:r>
      <w:r w:rsidRPr="000B7087">
        <w:t>incubated at 33-36º</w:t>
      </w:r>
      <w:r>
        <w:t xml:space="preserve">C for up to 2 weeks followed by </w:t>
      </w:r>
      <w:r w:rsidRPr="000B7087">
        <w:t>examination</w:t>
      </w:r>
      <w:r>
        <w:t xml:space="preserve"> for cytopathic effects</w:t>
      </w:r>
      <w:r w:rsidRPr="000B7087">
        <w:t>. If a CPE was observed, a slide was prepared for staining</w:t>
      </w:r>
      <w:r>
        <w:t xml:space="preserve"> </w:t>
      </w:r>
      <w:r w:rsidRPr="000B7087">
        <w:t>with anti-influenza A and B fluorescent antibodies and read under a fluorescent</w:t>
      </w:r>
      <w:r>
        <w:t xml:space="preserve"> microscope. </w:t>
      </w:r>
      <w:r w:rsidRPr="000B7087">
        <w:t>Positive/negative influenza A/B isolation was then recorded.</w:t>
      </w:r>
    </w:p>
    <w:p w14:paraId="1B87B3D3" w14:textId="77777777" w:rsidR="00D020B2" w:rsidRDefault="00F30851" w:rsidP="00D020B2">
      <w:pPr>
        <w:pStyle w:val="Heading6"/>
        <w:rPr>
          <w:rFonts w:eastAsia="TimesNewRoman,BoldItalic"/>
        </w:rPr>
      </w:pPr>
      <w:r w:rsidRPr="000B7087">
        <w:rPr>
          <w:rFonts w:eastAsia="TimesNewRoman,BoldItalic"/>
        </w:rPr>
        <w:t>Antigenic influenza strain typing methodology (from viral culture supernatants)</w:t>
      </w:r>
    </w:p>
    <w:p w14:paraId="400A698A" w14:textId="77777777" w:rsidR="00F30851" w:rsidRPr="00C51833" w:rsidRDefault="00F30851" w:rsidP="00D020B2">
      <w:pPr>
        <w:rPr>
          <w:rFonts w:asciiTheme="minorHAnsi" w:eastAsia="TimesNewRoman,BoldItalic" w:hAnsiTheme="minorHAnsi" w:cs="TimesNewRoman,BoldItalic"/>
          <w:bCs/>
          <w:iCs/>
        </w:rPr>
      </w:pPr>
      <w:r w:rsidRPr="000B7087">
        <w:t>The MDCK-STAT1/RMK culture supernatants of specimens found positive by RT-PCR</w:t>
      </w:r>
      <w:r>
        <w:t xml:space="preserve"> </w:t>
      </w:r>
      <w:r w:rsidRPr="000B7087">
        <w:t xml:space="preserve">were transferred from </w:t>
      </w:r>
      <w:r w:rsidR="000B015D">
        <w:t>[information redacted]</w:t>
      </w:r>
      <w:r w:rsidRPr="000B7087">
        <w:t xml:space="preserve"> and further evaluated.</w:t>
      </w:r>
      <w:r>
        <w:t xml:space="preserve"> </w:t>
      </w:r>
      <w:r w:rsidR="000B015D">
        <w:t>[information redacted]</w:t>
      </w:r>
      <w:r w:rsidRPr="000B7087">
        <w:t xml:space="preserve"> performed three culture amplifications of the virus on MDCK cells to</w:t>
      </w:r>
      <w:r>
        <w:t xml:space="preserve"> </w:t>
      </w:r>
      <w:r w:rsidRPr="000B7087">
        <w:t>generate suffic</w:t>
      </w:r>
      <w:r>
        <w:t xml:space="preserve">ient material for the subtyping </w:t>
      </w:r>
      <w:r w:rsidRPr="000B7087">
        <w:t>assays. A/H1N1, B/Victoria and</w:t>
      </w:r>
      <w:r>
        <w:t xml:space="preserve"> </w:t>
      </w:r>
      <w:r w:rsidRPr="000B7087">
        <w:t>B</w:t>
      </w:r>
      <w:r>
        <w:t xml:space="preserve">/Yamagata antigenic typing </w:t>
      </w:r>
      <w:r w:rsidRPr="000B7087">
        <w:t>done with the HI assay. The conventional HI assay</w:t>
      </w:r>
      <w:r>
        <w:t xml:space="preserve"> </w:t>
      </w:r>
      <w:r w:rsidRPr="000B7087">
        <w:t>could not be used for influenza A/H3N2 strain typing due to emergence of H3N2 strains</w:t>
      </w:r>
      <w:r>
        <w:t xml:space="preserve"> </w:t>
      </w:r>
      <w:r w:rsidRPr="000B7087">
        <w:t>with impaired haemagglutination p</w:t>
      </w:r>
      <w:r>
        <w:t>henotype during the study</w:t>
      </w:r>
      <w:r w:rsidRPr="000B7087">
        <w:t xml:space="preserve">. </w:t>
      </w:r>
      <w:r>
        <w:t>A</w:t>
      </w:r>
      <w:r w:rsidRPr="000B7087">
        <w:t>n</w:t>
      </w:r>
      <w:r>
        <w:t xml:space="preserve"> </w:t>
      </w:r>
      <w:r w:rsidRPr="000B7087">
        <w:t>alternative assay was developed and validated for A/H3N2 strain typing. This</w:t>
      </w:r>
      <w:r>
        <w:t xml:space="preserve"> </w:t>
      </w:r>
      <w:r w:rsidRPr="000B7087">
        <w:t>new method was based on an MN assay reve</w:t>
      </w:r>
      <w:r>
        <w:t xml:space="preserve">aled with an NP-antibody = </w:t>
      </w:r>
      <w:r w:rsidRPr="000B7087">
        <w:t>Virospot MN assay.</w:t>
      </w:r>
      <w:r w:rsidR="00943514">
        <w:t xml:space="preserve"> </w:t>
      </w:r>
      <w:r w:rsidRPr="000B7087">
        <w:t>Details of the stand</w:t>
      </w:r>
      <w:r>
        <w:t xml:space="preserve">ard operating procedures </w:t>
      </w:r>
      <w:r w:rsidRPr="000B7087">
        <w:t>and validation reports for the</w:t>
      </w:r>
      <w:r>
        <w:t xml:space="preserve"> </w:t>
      </w:r>
      <w:r w:rsidRPr="000B7087">
        <w:t xml:space="preserve">efficacy assays </w:t>
      </w:r>
      <w:r w:rsidRPr="00D020B2">
        <w:t>performed in D-QIV-00</w:t>
      </w:r>
      <w:r w:rsidRPr="002A4D92">
        <w:t>4</w:t>
      </w:r>
      <w:r w:rsidRPr="000B7087">
        <w:t xml:space="preserve"> </w:t>
      </w:r>
      <w:r w:rsidR="00D020B2">
        <w:t>were provided.</w:t>
      </w:r>
    </w:p>
    <w:p w14:paraId="6A7F9C56" w14:textId="47DEBC96" w:rsidR="00D020B2" w:rsidRDefault="00F30851" w:rsidP="00D020B2">
      <w:pPr>
        <w:pStyle w:val="Heading6"/>
        <w:rPr>
          <w:rFonts w:eastAsiaTheme="minorHAnsi"/>
        </w:rPr>
      </w:pPr>
      <w:proofErr w:type="spellStart"/>
      <w:r w:rsidRPr="000B7087">
        <w:rPr>
          <w:rFonts w:eastAsiaTheme="minorHAnsi"/>
        </w:rPr>
        <w:t>Haemagglutination</w:t>
      </w:r>
      <w:proofErr w:type="spellEnd"/>
      <w:r w:rsidRPr="000B7087">
        <w:rPr>
          <w:rFonts w:eastAsiaTheme="minorHAnsi"/>
        </w:rPr>
        <w:t xml:space="preserve"> </w:t>
      </w:r>
      <w:r w:rsidR="00486721" w:rsidRPr="000B7087">
        <w:rPr>
          <w:rFonts w:eastAsiaTheme="minorHAnsi"/>
        </w:rPr>
        <w:t>inhibition assay</w:t>
      </w:r>
    </w:p>
    <w:p w14:paraId="3C9D7AD7" w14:textId="77777777" w:rsidR="00F30851" w:rsidRPr="00AE314C" w:rsidRDefault="00F30851" w:rsidP="00D020B2">
      <w:pPr>
        <w:rPr>
          <w:b/>
        </w:rPr>
      </w:pPr>
      <w:r w:rsidRPr="00423360">
        <w:t>HI antibodies measured on thawed frozen serum samples in paired serum</w:t>
      </w:r>
      <w:r>
        <w:t xml:space="preserve"> </w:t>
      </w:r>
      <w:r w:rsidRPr="00423360">
        <w:t>specimens</w:t>
      </w:r>
      <w:r>
        <w:t xml:space="preserve"> using WHO and CDC endorsed methods. Subjects with titres below detection</w:t>
      </w:r>
      <w:r w:rsidR="00D020B2">
        <w:t xml:space="preserve"> </w:t>
      </w:r>
      <w:r w:rsidRPr="00423360">
        <w:t xml:space="preserve">(1:10) </w:t>
      </w:r>
      <w:r>
        <w:t xml:space="preserve">=seronegative, those with demonstrable titre (≥1:10) = </w:t>
      </w:r>
      <w:r w:rsidRPr="00423360">
        <w:t xml:space="preserve">seropositive. A titre </w:t>
      </w:r>
      <w:r>
        <w:t>≥</w:t>
      </w:r>
      <w:r w:rsidRPr="00423360">
        <w:t>1:40 to a specific</w:t>
      </w:r>
      <w:r>
        <w:t xml:space="preserve"> </w:t>
      </w:r>
      <w:r w:rsidRPr="00423360">
        <w:t xml:space="preserve">influenza virus strain </w:t>
      </w:r>
      <w:r>
        <w:t xml:space="preserve">is </w:t>
      </w:r>
      <w:r w:rsidRPr="00423360">
        <w:t>consi</w:t>
      </w:r>
      <w:r>
        <w:t xml:space="preserve">dered </w:t>
      </w:r>
      <w:r w:rsidR="005E57AC">
        <w:t>‘</w:t>
      </w:r>
      <w:r>
        <w:t>seroprotective</w:t>
      </w:r>
      <w:r w:rsidR="005E57AC">
        <w:t>’</w:t>
      </w:r>
      <w:r>
        <w:t xml:space="preserve"> </w:t>
      </w:r>
      <w:r w:rsidR="00EE7481">
        <w:t>that is,</w:t>
      </w:r>
      <w:r>
        <w:t xml:space="preserve"> </w:t>
      </w:r>
      <w:r w:rsidRPr="00423360">
        <w:t>may be</w:t>
      </w:r>
      <w:r>
        <w:t xml:space="preserve"> </w:t>
      </w:r>
      <w:r w:rsidRPr="00423360">
        <w:t>associated with up to 50% protection against influenza disease due to the same virus</w:t>
      </w:r>
      <w:r>
        <w:t xml:space="preserve"> strain, </w:t>
      </w:r>
      <w:r w:rsidRPr="00AE314C">
        <w:t>relative to a titre &lt;1:10.</w:t>
      </w:r>
    </w:p>
    <w:p w14:paraId="007E5DA8" w14:textId="57E9907D" w:rsidR="00D020B2" w:rsidRDefault="00F30851" w:rsidP="00D020B2">
      <w:pPr>
        <w:pStyle w:val="Heading6"/>
        <w:rPr>
          <w:rFonts w:eastAsiaTheme="minorHAnsi"/>
        </w:rPr>
      </w:pPr>
      <w:proofErr w:type="spellStart"/>
      <w:r w:rsidRPr="00AE314C">
        <w:rPr>
          <w:rFonts w:eastAsiaTheme="minorHAnsi"/>
        </w:rPr>
        <w:t>Microneutralisation</w:t>
      </w:r>
      <w:proofErr w:type="spellEnd"/>
      <w:r w:rsidRPr="00AE314C">
        <w:rPr>
          <w:rFonts w:eastAsiaTheme="minorHAnsi"/>
        </w:rPr>
        <w:t xml:space="preserve"> </w:t>
      </w:r>
      <w:r w:rsidR="00486721">
        <w:rPr>
          <w:rFonts w:eastAsiaTheme="minorHAnsi"/>
        </w:rPr>
        <w:t>a</w:t>
      </w:r>
      <w:r w:rsidRPr="00AE314C">
        <w:rPr>
          <w:rFonts w:eastAsiaTheme="minorHAnsi"/>
        </w:rPr>
        <w:t>ssay</w:t>
      </w:r>
    </w:p>
    <w:p w14:paraId="0ADB9774" w14:textId="77777777" w:rsidR="00F30851" w:rsidRPr="00AE314C" w:rsidRDefault="00F30851" w:rsidP="00D020B2">
      <w:pPr>
        <w:rPr>
          <w:rFonts w:eastAsiaTheme="minorHAnsi" w:cs="Arial,Bold"/>
          <w:b/>
          <w:bCs/>
        </w:rPr>
      </w:pPr>
      <w:r w:rsidRPr="00AE314C">
        <w:t xml:space="preserve">The 50% neutralisation titre of a serum was calculated as the GMT between the highest serum dilution able to totally neutralise the virus and the next serum dilution where viruses remained detectable. Each serum sample was tested once. The assay cut-off values for each specific strain </w:t>
      </w:r>
      <w:r w:rsidR="00E96CE3">
        <w:t>were</w:t>
      </w:r>
      <w:r w:rsidRPr="00AE314C">
        <w:t xml:space="preserve"> provided.</w:t>
      </w:r>
    </w:p>
    <w:p w14:paraId="254DF112" w14:textId="0ED21239" w:rsidR="00E96CE3" w:rsidRDefault="00F30851" w:rsidP="00E96CE3">
      <w:pPr>
        <w:pStyle w:val="Heading6"/>
        <w:rPr>
          <w:rFonts w:eastAsiaTheme="minorHAnsi"/>
        </w:rPr>
      </w:pPr>
      <w:r w:rsidRPr="00423360">
        <w:rPr>
          <w:rFonts w:eastAsiaTheme="minorHAnsi"/>
        </w:rPr>
        <w:t xml:space="preserve">Neuraminidase </w:t>
      </w:r>
      <w:r w:rsidR="00486721" w:rsidRPr="00423360">
        <w:rPr>
          <w:rFonts w:eastAsiaTheme="minorHAnsi"/>
        </w:rPr>
        <w:t>inhibition assay</w:t>
      </w:r>
    </w:p>
    <w:p w14:paraId="3A25F9CC" w14:textId="77777777" w:rsidR="00F30851" w:rsidRDefault="00F30851" w:rsidP="00F30851">
      <w:pPr>
        <w:autoSpaceDE w:val="0"/>
        <w:autoSpaceDN w:val="0"/>
        <w:adjustRightInd w:val="0"/>
        <w:spacing w:before="0" w:after="0" w:line="240" w:lineRule="auto"/>
        <w:rPr>
          <w:rFonts w:asciiTheme="minorHAnsi" w:eastAsia="TimesNewRoman,BoldItalic" w:hAnsiTheme="minorHAnsi" w:cs="TimesNewRoman,BoldItalic"/>
          <w:b/>
          <w:bCs/>
          <w:i/>
          <w:iCs/>
        </w:rPr>
      </w:pPr>
      <w:r>
        <w:rPr>
          <w:rFonts w:asciiTheme="minorHAnsi" w:eastAsia="TimesNewRoman" w:hAnsiTheme="minorHAnsi" w:cs="TimesNewRoman"/>
        </w:rPr>
        <w:t>D</w:t>
      </w:r>
      <w:r w:rsidRPr="00423360">
        <w:rPr>
          <w:rFonts w:asciiTheme="minorHAnsi" w:eastAsia="TimesNewRoman" w:hAnsiTheme="minorHAnsi" w:cs="TimesNewRoman"/>
        </w:rPr>
        <w:t>etermined using an e</w:t>
      </w:r>
      <w:r>
        <w:rPr>
          <w:rFonts w:asciiTheme="minorHAnsi" w:eastAsia="TimesNewRoman" w:hAnsiTheme="minorHAnsi" w:cs="TimesNewRoman"/>
        </w:rPr>
        <w:t>nzyme-linked lectin assay</w:t>
      </w:r>
      <w:r w:rsidRPr="00423360">
        <w:rPr>
          <w:rFonts w:asciiTheme="minorHAnsi" w:eastAsia="TimesNewRoman" w:hAnsiTheme="minorHAnsi" w:cs="TimesNewRoman"/>
        </w:rPr>
        <w:t>. The NI titre of a serum was measured by</w:t>
      </w:r>
      <w:r>
        <w:rPr>
          <w:rFonts w:asciiTheme="minorHAnsi" w:eastAsia="TimesNewRoman" w:hAnsiTheme="minorHAnsi" w:cs="TimesNewRoman"/>
        </w:rPr>
        <w:t xml:space="preserve"> </w:t>
      </w:r>
      <w:r w:rsidRPr="00423360">
        <w:rPr>
          <w:rFonts w:asciiTheme="minorHAnsi" w:eastAsia="TimesNewRoman" w:hAnsiTheme="minorHAnsi" w:cs="TimesNewRoman"/>
        </w:rPr>
        <w:t>mixing a fixed amount of neuraminidase with serial dilutions of serum and was set as the</w:t>
      </w:r>
      <w:r>
        <w:rPr>
          <w:rFonts w:asciiTheme="minorHAnsi" w:eastAsia="TimesNewRoman" w:hAnsiTheme="minorHAnsi" w:cs="TimesNewRoman"/>
        </w:rPr>
        <w:t xml:space="preserve"> </w:t>
      </w:r>
      <w:r w:rsidRPr="00423360">
        <w:rPr>
          <w:rFonts w:asciiTheme="minorHAnsi" w:eastAsia="TimesNewRoman" w:hAnsiTheme="minorHAnsi" w:cs="TimesNewRoman"/>
        </w:rPr>
        <w:t>reciprocal of the serum dilution reducing the colorimetric signal resulting from</w:t>
      </w:r>
      <w:r>
        <w:rPr>
          <w:rFonts w:asciiTheme="minorHAnsi" w:eastAsia="TimesNewRoman" w:hAnsiTheme="minorHAnsi" w:cs="TimesNewRoman"/>
        </w:rPr>
        <w:t xml:space="preserve"> </w:t>
      </w:r>
      <w:r w:rsidRPr="00423360">
        <w:rPr>
          <w:rFonts w:asciiTheme="minorHAnsi" w:eastAsia="TimesNewRoman" w:hAnsiTheme="minorHAnsi" w:cs="TimesNewRoman"/>
        </w:rPr>
        <w:t xml:space="preserve">desialylation by 50%. The assay cut-off values used for each specific strain </w:t>
      </w:r>
      <w:r w:rsidR="00E96CE3">
        <w:rPr>
          <w:rFonts w:asciiTheme="minorHAnsi" w:eastAsia="TimesNewRoman" w:hAnsiTheme="minorHAnsi" w:cs="TimesNewRoman"/>
        </w:rPr>
        <w:t>were</w:t>
      </w:r>
      <w:r w:rsidRPr="00423360">
        <w:rPr>
          <w:rFonts w:asciiTheme="minorHAnsi" w:eastAsia="TimesNewRoman" w:hAnsiTheme="minorHAnsi" w:cs="TimesNewRoman"/>
        </w:rPr>
        <w:t xml:space="preserve"> provided</w:t>
      </w:r>
      <w:r w:rsidR="00E96CE3">
        <w:rPr>
          <w:rFonts w:asciiTheme="minorHAnsi" w:eastAsia="TimesNewRoman" w:hAnsiTheme="minorHAnsi" w:cs="TimesNewRoman"/>
        </w:rPr>
        <w:t>.</w:t>
      </w:r>
    </w:p>
    <w:p w14:paraId="5DECD66B" w14:textId="77777777" w:rsidR="00F30851" w:rsidRPr="00E22FBA" w:rsidRDefault="00F30851" w:rsidP="00E96CE3">
      <w:pPr>
        <w:pStyle w:val="Heading5"/>
      </w:pPr>
      <w:r w:rsidRPr="00E22FBA">
        <w:t>Randomisation and blinding methods</w:t>
      </w:r>
    </w:p>
    <w:p w14:paraId="61EABE28" w14:textId="77777777" w:rsidR="00E96CE3" w:rsidRDefault="00F30851" w:rsidP="00E96CE3">
      <w:pPr>
        <w:pStyle w:val="Heading6"/>
        <w:rPr>
          <w:rFonts w:eastAsia="TimesNewRoman"/>
        </w:rPr>
      </w:pPr>
      <w:r w:rsidRPr="00E22FBA">
        <w:rPr>
          <w:rFonts w:eastAsia="TimesNewRoman"/>
        </w:rPr>
        <w:t>Randomisation</w:t>
      </w:r>
    </w:p>
    <w:p w14:paraId="058DE4F8" w14:textId="77777777" w:rsidR="00F30851" w:rsidRPr="00E22FBA" w:rsidRDefault="00F30851" w:rsidP="00F30851">
      <w:pPr>
        <w:autoSpaceDE w:val="0"/>
        <w:autoSpaceDN w:val="0"/>
        <w:adjustRightInd w:val="0"/>
        <w:spacing w:before="0" w:after="0" w:line="240" w:lineRule="auto"/>
        <w:rPr>
          <w:rFonts w:asciiTheme="minorHAnsi" w:eastAsia="TimesNewRoman" w:hAnsiTheme="minorHAnsi" w:cs="TimesNewRoman"/>
        </w:rPr>
      </w:pPr>
      <w:r>
        <w:rPr>
          <w:rFonts w:asciiTheme="minorHAnsi" w:eastAsia="TimesNewRoman" w:hAnsiTheme="minorHAnsi" w:cs="TimesNewRoman"/>
        </w:rPr>
        <w:t xml:space="preserve">Subject numbers </w:t>
      </w:r>
      <w:r w:rsidRPr="00E22FBA">
        <w:rPr>
          <w:rFonts w:asciiTheme="minorHAnsi" w:eastAsia="TimesNewRoman" w:hAnsiTheme="minorHAnsi" w:cs="TimesNewRoman"/>
        </w:rPr>
        <w:t>assigned</w:t>
      </w:r>
      <w:r>
        <w:rPr>
          <w:rFonts w:asciiTheme="minorHAnsi" w:eastAsia="TimesNewRoman" w:hAnsiTheme="minorHAnsi" w:cs="TimesNewRoman"/>
        </w:rPr>
        <w:t xml:space="preserve"> sequentially. </w:t>
      </w:r>
      <w:r w:rsidRPr="00674821">
        <w:rPr>
          <w:rFonts w:asciiTheme="minorHAnsi" w:eastAsia="TimesNewRoman" w:hAnsiTheme="minorHAnsi" w:cs="TimesNewRoman"/>
        </w:rPr>
        <w:t xml:space="preserve">The randomisation was performed at GSK Biologicals, Belgium, using MATEX, a program developed for use in SAS® (Cary, NC, US) by GSK Biologicals. </w:t>
      </w:r>
      <w:r w:rsidRPr="00E22FBA">
        <w:rPr>
          <w:rFonts w:asciiTheme="minorHAnsi" w:eastAsia="TimesNewRoman" w:hAnsiTheme="minorHAnsi" w:cs="TimesNewRoman"/>
        </w:rPr>
        <w:t>The enrolment was to be performed to ensure the distribution of the population across the</w:t>
      </w:r>
      <w:r>
        <w:rPr>
          <w:rFonts w:asciiTheme="minorHAnsi" w:eastAsia="TimesNewRoman" w:hAnsiTheme="minorHAnsi" w:cs="TimesNewRoman"/>
        </w:rPr>
        <w:t xml:space="preserve"> three </w:t>
      </w:r>
      <w:r w:rsidR="00E96CE3">
        <w:rPr>
          <w:rFonts w:asciiTheme="minorHAnsi" w:eastAsia="TimesNewRoman" w:hAnsiTheme="minorHAnsi" w:cs="TimesNewRoman"/>
        </w:rPr>
        <w:t>age groups</w:t>
      </w:r>
      <w:r>
        <w:rPr>
          <w:rFonts w:asciiTheme="minorHAnsi" w:eastAsia="TimesNewRoman" w:hAnsiTheme="minorHAnsi" w:cs="TimesNewRoman"/>
        </w:rPr>
        <w:t xml:space="preserve"> (6-11 months, 12-23 months, </w:t>
      </w:r>
      <w:r w:rsidR="000B015D">
        <w:rPr>
          <w:rFonts w:asciiTheme="minorHAnsi" w:eastAsia="TimesNewRoman" w:hAnsiTheme="minorHAnsi" w:cs="TimesNewRoman"/>
        </w:rPr>
        <w:t>and 24</w:t>
      </w:r>
      <w:r>
        <w:rPr>
          <w:rFonts w:asciiTheme="minorHAnsi" w:eastAsia="TimesNewRoman" w:hAnsiTheme="minorHAnsi" w:cs="TimesNewRoman"/>
        </w:rPr>
        <w:t>-</w:t>
      </w:r>
      <w:r w:rsidRPr="00E22FBA">
        <w:rPr>
          <w:rFonts w:asciiTheme="minorHAnsi" w:eastAsia="TimesNewRoman" w:hAnsiTheme="minorHAnsi" w:cs="TimesNewRoman"/>
        </w:rPr>
        <w:t>35 months)</w:t>
      </w:r>
      <w:r>
        <w:rPr>
          <w:rFonts w:asciiTheme="minorHAnsi" w:eastAsia="TimesNewRoman" w:hAnsiTheme="minorHAnsi" w:cs="TimesNewRoman"/>
        </w:rPr>
        <w:t xml:space="preserve">. </w:t>
      </w:r>
      <w:r w:rsidRPr="00E22FBA">
        <w:rPr>
          <w:rFonts w:asciiTheme="minorHAnsi" w:eastAsia="TimesNewRoman" w:hAnsiTheme="minorHAnsi" w:cs="TimesNewRoman"/>
        </w:rPr>
        <w:t>The treatment allocation at the investigator site was performed using a central</w:t>
      </w:r>
      <w:r>
        <w:rPr>
          <w:rFonts w:asciiTheme="minorHAnsi" w:eastAsia="TimesNewRoman" w:hAnsiTheme="minorHAnsi" w:cs="TimesNewRoman"/>
        </w:rPr>
        <w:t xml:space="preserve"> </w:t>
      </w:r>
      <w:r w:rsidRPr="00E22FBA">
        <w:rPr>
          <w:rFonts w:asciiTheme="minorHAnsi" w:eastAsia="TimesNewRoman" w:hAnsiTheme="minorHAnsi" w:cs="TimesNewRoman"/>
        </w:rPr>
        <w:t>randomi</w:t>
      </w:r>
      <w:r>
        <w:rPr>
          <w:rFonts w:asciiTheme="minorHAnsi" w:eastAsia="TimesNewRoman" w:hAnsiTheme="minorHAnsi" w:cs="TimesNewRoman"/>
        </w:rPr>
        <w:t>sation system on internet</w:t>
      </w:r>
      <w:r w:rsidRPr="00E22FBA">
        <w:rPr>
          <w:rFonts w:asciiTheme="minorHAnsi" w:eastAsia="TimesNewRoman" w:hAnsiTheme="minorHAnsi" w:cs="TimesNewRoman"/>
        </w:rPr>
        <w:t>. The treatment numbers were to be allocated by</w:t>
      </w:r>
      <w:r>
        <w:rPr>
          <w:rFonts w:asciiTheme="minorHAnsi" w:eastAsia="TimesNewRoman" w:hAnsiTheme="minorHAnsi" w:cs="TimesNewRoman"/>
        </w:rPr>
        <w:t xml:space="preserve"> </w:t>
      </w:r>
      <w:r w:rsidRPr="00E22FBA">
        <w:rPr>
          <w:rFonts w:asciiTheme="minorHAnsi" w:eastAsia="TimesNewRoman" w:hAnsiTheme="minorHAnsi" w:cs="TimesNewRoman"/>
        </w:rPr>
        <w:t>dose.</w:t>
      </w:r>
      <w:r>
        <w:rPr>
          <w:rFonts w:asciiTheme="minorHAnsi" w:eastAsia="TimesNewRoman" w:hAnsiTheme="minorHAnsi" w:cs="TimesNewRoman"/>
        </w:rPr>
        <w:t xml:space="preserve"> </w:t>
      </w:r>
      <w:r w:rsidRPr="00E22FBA">
        <w:rPr>
          <w:rFonts w:asciiTheme="minorHAnsi" w:eastAsia="TimesNewRoman" w:hAnsiTheme="minorHAnsi" w:cs="TimesNewRoman"/>
        </w:rPr>
        <w:t xml:space="preserve">The randomisation algorithm was to use a </w:t>
      </w:r>
      <w:r w:rsidRPr="00E22FBA">
        <w:rPr>
          <w:rFonts w:asciiTheme="minorHAnsi" w:eastAsia="TimesNewRoman" w:hAnsiTheme="minorHAnsi" w:cs="TimesNewRoman"/>
        </w:rPr>
        <w:lastRenderedPageBreak/>
        <w:t>minimisation procedure accounting for:</w:t>
      </w:r>
      <w:r>
        <w:rPr>
          <w:rFonts w:asciiTheme="minorHAnsi" w:eastAsia="TimesNewRoman" w:hAnsiTheme="minorHAnsi" w:cs="TimesNewRoman"/>
        </w:rPr>
        <w:t xml:space="preserve"> </w:t>
      </w:r>
      <w:r w:rsidRPr="00CA0608">
        <w:rPr>
          <w:rFonts w:asciiTheme="minorHAnsi" w:eastAsia="TimesNewRoman" w:hAnsiTheme="minorHAnsi" w:cs="TimesNewRoman"/>
        </w:rPr>
        <w:t>country,</w:t>
      </w:r>
      <w:r>
        <w:rPr>
          <w:rFonts w:asciiTheme="minorHAnsi" w:eastAsia="TimesNewRoman" w:hAnsiTheme="minorHAnsi" w:cs="TimesNewRoman"/>
        </w:rPr>
        <w:t xml:space="preserve"> </w:t>
      </w:r>
      <w:r w:rsidRPr="00CA0608">
        <w:rPr>
          <w:rFonts w:asciiTheme="minorHAnsi" w:eastAsia="TimesNewRoman" w:hAnsiTheme="minorHAnsi" w:cs="TimesNewRoman"/>
        </w:rPr>
        <w:t>centre,</w:t>
      </w:r>
      <w:r>
        <w:rPr>
          <w:rFonts w:asciiTheme="minorHAnsi" w:eastAsia="TimesNewRoman" w:hAnsiTheme="minorHAnsi" w:cs="TimesNewRoman"/>
        </w:rPr>
        <w:t xml:space="preserve"> </w:t>
      </w:r>
      <w:r w:rsidRPr="00CA0608">
        <w:rPr>
          <w:rFonts w:asciiTheme="minorHAnsi" w:eastAsia="TimesNewRoman" w:hAnsiTheme="minorHAnsi" w:cs="TimesNewRoman"/>
        </w:rPr>
        <w:t>age,</w:t>
      </w:r>
      <w:r>
        <w:rPr>
          <w:rFonts w:asciiTheme="minorHAnsi" w:eastAsia="TimesNewRoman" w:hAnsiTheme="minorHAnsi" w:cs="TimesNewRoman"/>
        </w:rPr>
        <w:t xml:space="preserve"> </w:t>
      </w:r>
      <w:r w:rsidRPr="00CA0608">
        <w:rPr>
          <w:rFonts w:asciiTheme="minorHAnsi" w:eastAsia="TimesNewRoman" w:hAnsiTheme="minorHAnsi" w:cs="TimesNewRoman"/>
        </w:rPr>
        <w:t>prior influenza vaccine primin</w:t>
      </w:r>
      <w:r>
        <w:rPr>
          <w:rFonts w:asciiTheme="minorHAnsi" w:eastAsia="TimesNewRoman" w:hAnsiTheme="minorHAnsi" w:cs="TimesNewRoman"/>
        </w:rPr>
        <w:t>g status</w:t>
      </w:r>
      <w:r w:rsidRPr="00CA0608">
        <w:rPr>
          <w:rFonts w:asciiTheme="minorHAnsi" w:eastAsia="TimesNewRoman" w:hAnsiTheme="minorHAnsi" w:cs="TimesNewRoman"/>
        </w:rPr>
        <w:t>,</w:t>
      </w:r>
      <w:r>
        <w:rPr>
          <w:rFonts w:asciiTheme="minorHAnsi" w:eastAsia="TimesNewRoman" w:hAnsiTheme="minorHAnsi" w:cs="TimesNewRoman"/>
        </w:rPr>
        <w:t xml:space="preserve"> </w:t>
      </w:r>
      <w:r w:rsidRPr="00CA0608">
        <w:rPr>
          <w:rFonts w:asciiTheme="minorHAnsi" w:eastAsia="TimesNewRoman" w:hAnsiTheme="minorHAnsi" w:cs="TimesNewRoman"/>
        </w:rPr>
        <w:t xml:space="preserve">attendance to day-care centre/school (defined </w:t>
      </w:r>
      <w:r>
        <w:rPr>
          <w:rFonts w:asciiTheme="minorHAnsi" w:eastAsia="TimesNewRoman" w:hAnsiTheme="minorHAnsi" w:cs="TimesNewRoman"/>
        </w:rPr>
        <w:t>in the protocol)</w:t>
      </w:r>
      <w:r w:rsidRPr="00CA0608">
        <w:rPr>
          <w:rFonts w:asciiTheme="minorHAnsi" w:eastAsia="TimesNewRoman" w:hAnsiTheme="minorHAnsi" w:cs="TimesNewRoman"/>
        </w:rPr>
        <w:t>,</w:t>
      </w:r>
      <w:r>
        <w:rPr>
          <w:rFonts w:asciiTheme="minorHAnsi" w:eastAsia="TimesNewRoman" w:hAnsiTheme="minorHAnsi" w:cs="TimesNewRoman"/>
        </w:rPr>
        <w:t xml:space="preserve"> </w:t>
      </w:r>
      <w:r w:rsidRPr="00CA0608">
        <w:rPr>
          <w:rFonts w:asciiTheme="minorHAnsi" w:eastAsia="TimesNewRoman" w:hAnsiTheme="minorHAnsi" w:cs="TimesNewRoman"/>
        </w:rPr>
        <w:t>history of recurrent AOM (</w:t>
      </w:r>
      <w:r>
        <w:rPr>
          <w:rFonts w:asciiTheme="minorHAnsi" w:eastAsia="TimesNewRoman" w:hAnsiTheme="minorHAnsi" w:cs="TimesNewRoman"/>
        </w:rPr>
        <w:t>≥</w:t>
      </w:r>
      <w:r w:rsidRPr="00CA0608">
        <w:rPr>
          <w:rFonts w:asciiTheme="minorHAnsi" w:eastAsia="TimesNewRoman" w:hAnsiTheme="minorHAnsi" w:cs="TimesNewRoman"/>
        </w:rPr>
        <w:t xml:space="preserve">3 or more distinct and well documented </w:t>
      </w:r>
      <w:r>
        <w:rPr>
          <w:rFonts w:asciiTheme="minorHAnsi" w:eastAsia="TimesNewRoman" w:hAnsiTheme="minorHAnsi" w:cs="TimesNewRoman"/>
        </w:rPr>
        <w:t>episodes</w:t>
      </w:r>
      <w:r w:rsidRPr="00CA0608">
        <w:rPr>
          <w:rFonts w:asciiTheme="minorHAnsi" w:eastAsia="TimesNewRoman" w:hAnsiTheme="minorHAnsi" w:cs="TimesNewRoman"/>
        </w:rPr>
        <w:t>) and</w:t>
      </w:r>
      <w:r>
        <w:rPr>
          <w:rFonts w:asciiTheme="minorHAnsi" w:eastAsia="TimesNewRoman" w:hAnsiTheme="minorHAnsi" w:cs="TimesNewRoman"/>
        </w:rPr>
        <w:t xml:space="preserve"> </w:t>
      </w:r>
      <w:r w:rsidRPr="00CA0608">
        <w:rPr>
          <w:rFonts w:asciiTheme="minorHAnsi" w:eastAsia="TimesNewRoman" w:hAnsiTheme="minorHAnsi" w:cs="TimesNewRoman"/>
        </w:rPr>
        <w:t>history of vaccination with conjugated pneumococcal vaccine (</w:t>
      </w:r>
      <w:r>
        <w:rPr>
          <w:rFonts w:asciiTheme="minorHAnsi" w:eastAsia="TimesNewRoman" w:hAnsiTheme="minorHAnsi" w:cs="TimesNewRoman"/>
        </w:rPr>
        <w:t>≥3 doses</w:t>
      </w:r>
      <w:r w:rsidRPr="00CA0608">
        <w:rPr>
          <w:rFonts w:asciiTheme="minorHAnsi" w:eastAsia="TimesNewRoman" w:hAnsiTheme="minorHAnsi" w:cs="TimesNewRoman"/>
        </w:rPr>
        <w:t>).</w:t>
      </w:r>
      <w:r>
        <w:rPr>
          <w:rFonts w:asciiTheme="minorHAnsi" w:eastAsia="TimesNewRoman" w:hAnsiTheme="minorHAnsi" w:cs="TimesNewRoman"/>
        </w:rPr>
        <w:t xml:space="preserve"> </w:t>
      </w:r>
      <w:r w:rsidRPr="00E22FBA">
        <w:rPr>
          <w:rFonts w:asciiTheme="minorHAnsi" w:eastAsia="TimesNewRoman" w:hAnsiTheme="minorHAnsi" w:cs="TimesNewRoman"/>
        </w:rPr>
        <w:t>Minimisation factors had equal weight in the minimisation algorithm.</w:t>
      </w:r>
      <w:r>
        <w:rPr>
          <w:rFonts w:asciiTheme="minorHAnsi" w:eastAsia="TimesNewRoman" w:hAnsiTheme="minorHAnsi" w:cs="TimesNewRoman"/>
        </w:rPr>
        <w:t xml:space="preserve"> </w:t>
      </w:r>
      <w:r w:rsidRPr="00E22FBA">
        <w:rPr>
          <w:rFonts w:asciiTheme="minorHAnsi" w:eastAsia="TimesNewRoman" w:hAnsiTheme="minorHAnsi" w:cs="TimesNewRoman"/>
        </w:rPr>
        <w:t>Subjects were enrolled into the immune sub-cohort from pre-defined centres. For Cohorts</w:t>
      </w:r>
      <w:r>
        <w:rPr>
          <w:rFonts w:asciiTheme="minorHAnsi" w:eastAsia="TimesNewRoman" w:hAnsiTheme="minorHAnsi" w:cs="TimesNewRoman"/>
        </w:rPr>
        <w:t xml:space="preserve"> </w:t>
      </w:r>
      <w:r w:rsidRPr="00E22FBA">
        <w:rPr>
          <w:rFonts w:asciiTheme="minorHAnsi" w:eastAsia="TimesNewRoman" w:hAnsiTheme="minorHAnsi" w:cs="TimesNewRoman"/>
        </w:rPr>
        <w:t xml:space="preserve">1 and 2 the subjects were enrolled into the </w:t>
      </w:r>
      <w:r w:rsidR="00E278CC">
        <w:rPr>
          <w:rFonts w:asciiTheme="minorHAnsi" w:eastAsia="TimesNewRoman" w:hAnsiTheme="minorHAnsi" w:cs="TimesNewRoman"/>
        </w:rPr>
        <w:t>Fluarix Tetra</w:t>
      </w:r>
      <w:r w:rsidRPr="00E22FBA">
        <w:rPr>
          <w:rFonts w:asciiTheme="minorHAnsi" w:eastAsia="TimesNewRoman" w:hAnsiTheme="minorHAnsi" w:cs="TimesNewRoman"/>
        </w:rPr>
        <w:t xml:space="preserve"> and </w:t>
      </w:r>
      <w:r w:rsidR="00E96CE3">
        <w:rPr>
          <w:rFonts w:asciiTheme="minorHAnsi" w:eastAsia="TimesNewRoman" w:hAnsiTheme="minorHAnsi" w:cs="TimesNewRoman"/>
        </w:rPr>
        <w:t>control groups</w:t>
      </w:r>
      <w:r w:rsidRPr="00E22FBA">
        <w:rPr>
          <w:rFonts w:asciiTheme="minorHAnsi" w:eastAsia="TimesNewRoman" w:hAnsiTheme="minorHAnsi" w:cs="TimesNewRoman"/>
        </w:rPr>
        <w:t xml:space="preserve"> with a ratio of</w:t>
      </w:r>
      <w:r>
        <w:rPr>
          <w:rFonts w:asciiTheme="minorHAnsi" w:eastAsia="TimesNewRoman" w:hAnsiTheme="minorHAnsi" w:cs="TimesNewRoman"/>
        </w:rPr>
        <w:t xml:space="preserve"> </w:t>
      </w:r>
      <w:r w:rsidRPr="00E22FBA">
        <w:rPr>
          <w:rFonts w:asciiTheme="minorHAnsi" w:eastAsia="TimesNewRoman" w:hAnsiTheme="minorHAnsi" w:cs="TimesNewRoman"/>
        </w:rPr>
        <w:t>2:1, for Cohorts 3 and 4 this ratio was 1:1. A balanced distribution between treatment</w:t>
      </w:r>
      <w:r>
        <w:rPr>
          <w:rFonts w:asciiTheme="minorHAnsi" w:eastAsia="TimesNewRoman" w:hAnsiTheme="minorHAnsi" w:cs="TimesNewRoman"/>
        </w:rPr>
        <w:t xml:space="preserve"> g</w:t>
      </w:r>
      <w:r w:rsidR="000B015D">
        <w:rPr>
          <w:rFonts w:asciiTheme="minorHAnsi" w:eastAsia="TimesNewRoman" w:hAnsiTheme="minorHAnsi" w:cs="TimesNewRoman"/>
        </w:rPr>
        <w:t>rou</w:t>
      </w:r>
      <w:r>
        <w:rPr>
          <w:rFonts w:asciiTheme="minorHAnsi" w:eastAsia="TimesNewRoman" w:hAnsiTheme="minorHAnsi" w:cs="TimesNewRoman"/>
        </w:rPr>
        <w:t>p</w:t>
      </w:r>
      <w:r w:rsidRPr="00E22FBA">
        <w:rPr>
          <w:rFonts w:asciiTheme="minorHAnsi" w:eastAsia="TimesNewRoman" w:hAnsiTheme="minorHAnsi" w:cs="TimesNewRoman"/>
        </w:rPr>
        <w:t xml:space="preserve">s and across the two </w:t>
      </w:r>
      <w:r w:rsidR="00E96CE3">
        <w:rPr>
          <w:rFonts w:asciiTheme="minorHAnsi" w:eastAsia="TimesNewRoman" w:hAnsiTheme="minorHAnsi" w:cs="TimesNewRoman"/>
        </w:rPr>
        <w:t>age groups</w:t>
      </w:r>
      <w:r w:rsidRPr="00E22FBA">
        <w:rPr>
          <w:rFonts w:asciiTheme="minorHAnsi" w:eastAsia="TimesNewRoman" w:hAnsiTheme="minorHAnsi" w:cs="TimesNewRoman"/>
        </w:rPr>
        <w:t xml:space="preserve"> (6 - 23 months and 24 - 35 months) for the entire</w:t>
      </w:r>
      <w:r>
        <w:rPr>
          <w:rFonts w:asciiTheme="minorHAnsi" w:eastAsia="TimesNewRoman" w:hAnsiTheme="minorHAnsi" w:cs="TimesNewRoman"/>
        </w:rPr>
        <w:t xml:space="preserve"> </w:t>
      </w:r>
      <w:r w:rsidRPr="00E22FBA">
        <w:rPr>
          <w:rFonts w:asciiTheme="minorHAnsi" w:eastAsia="TimesNewRoman" w:hAnsiTheme="minorHAnsi" w:cs="TimesNewRoman"/>
        </w:rPr>
        <w:t>immuno sub-cohort was managed using SBIR application.</w:t>
      </w:r>
    </w:p>
    <w:p w14:paraId="2F95A8CE" w14:textId="77777777" w:rsidR="00E96CE3" w:rsidRDefault="00F30851" w:rsidP="00E96CE3">
      <w:pPr>
        <w:pStyle w:val="Heading6"/>
        <w:rPr>
          <w:rFonts w:eastAsiaTheme="minorHAnsi"/>
        </w:rPr>
      </w:pPr>
      <w:r w:rsidRPr="00E22FBA">
        <w:rPr>
          <w:rFonts w:eastAsiaTheme="minorHAnsi"/>
        </w:rPr>
        <w:t>Blinding</w:t>
      </w:r>
    </w:p>
    <w:p w14:paraId="1B79AED8" w14:textId="77777777" w:rsidR="00F30851" w:rsidRPr="00D8458C" w:rsidRDefault="00F30851" w:rsidP="00E96CE3">
      <w:pPr>
        <w:rPr>
          <w:rFonts w:eastAsiaTheme="minorHAnsi" w:cs="Arial,Bold"/>
          <w:b/>
          <w:bCs/>
        </w:rPr>
      </w:pPr>
      <w:r w:rsidRPr="00E22FBA">
        <w:t>Data was collected in an observer-blind manner</w:t>
      </w:r>
      <w:r>
        <w:t xml:space="preserve"> </w:t>
      </w:r>
      <w:r w:rsidR="00EE7481">
        <w:t>that is,</w:t>
      </w:r>
      <w:r>
        <w:t xml:space="preserve"> </w:t>
      </w:r>
      <w:r w:rsidRPr="00E22FBA">
        <w:t>the</w:t>
      </w:r>
      <w:r>
        <w:t xml:space="preserve"> </w:t>
      </w:r>
      <w:r w:rsidRPr="00E22FBA">
        <w:t>parent(s)/LAR(s) or guardian, and those responsible</w:t>
      </w:r>
      <w:r>
        <w:t xml:space="preserve"> </w:t>
      </w:r>
      <w:r w:rsidRPr="00E22FBA">
        <w:t>for the evaluation of any study endpoint</w:t>
      </w:r>
      <w:r w:rsidR="00E96CE3">
        <w:t>s</w:t>
      </w:r>
      <w:r w:rsidRPr="00E22FBA">
        <w:t xml:space="preserve"> (</w:t>
      </w:r>
      <w:r w:rsidR="007E3752">
        <w:t>for example,</w:t>
      </w:r>
      <w:r w:rsidRPr="00E22FBA">
        <w:t xml:space="preserve"> safety, reactogenicit</w:t>
      </w:r>
      <w:r>
        <w:t>y</w:t>
      </w:r>
      <w:r w:rsidR="00E96CE3">
        <w:t xml:space="preserve"> and</w:t>
      </w:r>
      <w:r>
        <w:t xml:space="preserve"> </w:t>
      </w:r>
      <w:r w:rsidRPr="00E22FBA">
        <w:t>efficacy) were</w:t>
      </w:r>
      <w:r>
        <w:t xml:space="preserve"> all </w:t>
      </w:r>
      <w:r w:rsidRPr="00E22FBA">
        <w:t xml:space="preserve">unaware of which vaccine was administered. </w:t>
      </w:r>
      <w:r>
        <w:t>This was achieved by</w:t>
      </w:r>
      <w:r w:rsidRPr="00E22FBA">
        <w:t xml:space="preserve"> vaccine preparation and</w:t>
      </w:r>
      <w:r>
        <w:t xml:space="preserve"> </w:t>
      </w:r>
      <w:r w:rsidRPr="00E22FBA">
        <w:t>administration by author</w:t>
      </w:r>
      <w:r>
        <w:t xml:space="preserve">ised medical personnel who did not </w:t>
      </w:r>
      <w:r w:rsidRPr="00E22FBA">
        <w:t>participate in any of the study clinical evaluation assays.</w:t>
      </w:r>
      <w:r>
        <w:t xml:space="preserve"> In addition, </w:t>
      </w:r>
      <w:r w:rsidRPr="00E22FBA">
        <w:t>serological data were</w:t>
      </w:r>
      <w:r>
        <w:t xml:space="preserve"> only made available at the end of the study, to avoid inadvertent unblinding.</w:t>
      </w:r>
    </w:p>
    <w:p w14:paraId="26355D4D" w14:textId="77777777" w:rsidR="00F30851" w:rsidRPr="009D4A4C" w:rsidRDefault="00F30851" w:rsidP="00E96CE3">
      <w:pPr>
        <w:pStyle w:val="Heading5"/>
      </w:pPr>
      <w:r w:rsidRPr="009D4A4C">
        <w:t>Analysis populations</w:t>
      </w:r>
    </w:p>
    <w:p w14:paraId="68491BBA" w14:textId="77777777" w:rsidR="00F30851" w:rsidRPr="00E96CE3" w:rsidDel="0081373E" w:rsidRDefault="00F30851" w:rsidP="00E96CE3">
      <w:r w:rsidRPr="00E96CE3">
        <w:t xml:space="preserve">In D-QIV-004, subjects aged </w:t>
      </w:r>
      <w:r w:rsidR="005879FC">
        <w:t>6 to 35</w:t>
      </w:r>
      <w:r w:rsidRPr="00E96CE3">
        <w:t xml:space="preserve"> months were enrolled in 5 independent cohorts over 5</w:t>
      </w:r>
      <w:r w:rsidR="00E96CE3">
        <w:t xml:space="preserve"> </w:t>
      </w:r>
      <w:r w:rsidRPr="00E96CE3">
        <w:t>influenza seasons to ensure the required number of cases of RT-PCR confirmed influenza</w:t>
      </w:r>
      <w:r w:rsidR="00E96CE3">
        <w:t xml:space="preserve"> </w:t>
      </w:r>
      <w:r w:rsidRPr="00E96CE3">
        <w:t>disease due to seasonal strains (Table 3). In all studies, the TVC included all subjects with at ≥1 vaccine administration documented. In D-QIV-004 an According-to-protocol cohort for analysis of efficacy (ATP-E) and an ATP-E - Time to event were defined. The ATP-E cohort included all eligible subjects from the TVC, who met all inclusion and exclusion criteria, who had received study vaccine(s) according to their random assignment, for whom the administration site of the study vaccine was known, who had not received any non-protocol influenza vaccine</w:t>
      </w:r>
      <w:r w:rsidR="00E96CE3">
        <w:t xml:space="preserve"> </w:t>
      </w:r>
      <w:r w:rsidRPr="00E96CE3">
        <w:t>during the relevant analysis interval, who had not received any investigational or nonregistered</w:t>
      </w:r>
      <w:r w:rsidR="00E96CE3">
        <w:t xml:space="preserve"> </w:t>
      </w:r>
      <w:r w:rsidRPr="00E96CE3">
        <w:t>product other than the study vaccine during the relevant analysis interval, for whom the randomisation code had not been broken or for whom inadvertent unblinding had not occurred, who started their influenza surveillance period, who did not meet any of the criteria for elimination from an ATP analysis during the study and who had a swab collected during the window (0-7 days) of episode onset. The ATP-E - Time to event cohort used the same elimination criteria as for the ATP-E cohort to include all eligible subjects. But, the only difference was subjects were censored as of the date that they met any of the censoring criteria pre-defined in the SAP (</w:t>
      </w:r>
      <w:r w:rsidR="007E3752" w:rsidRPr="00E96CE3">
        <w:t>for example,</w:t>
      </w:r>
      <w:r w:rsidRPr="00E96CE3">
        <w:t xml:space="preserve"> subjects who received a vaccine or medication forbidden in the protocol or for whom the randomisation code was broken) before occurrence of the first clinical vaccine efficacy endpoint event</w:t>
      </w:r>
      <w:r w:rsidRPr="00E96CE3">
        <w:rPr>
          <w:rFonts w:ascii="TimesNewRoman"/>
          <w:sz w:val="24"/>
          <w:szCs w:val="24"/>
        </w:rPr>
        <w:t>.</w:t>
      </w:r>
      <w:r w:rsidRPr="00E96CE3">
        <w:t xml:space="preserve"> In all studies, an ATP cohort (sub</w:t>
      </w:r>
      <w:r w:rsidR="00E96CE3">
        <w:t xml:space="preserve"> </w:t>
      </w:r>
      <w:r w:rsidRPr="00E96CE3">
        <w:t>cohort in D-QIV-004) for analysis of immunogenicity was defined and included all eligible subjects from the TVC who met the inclusion and exclusion criteria, did not met a criterion for elimination/exclusion from an ATP analysis and with immunogenicity endpoint measures available for ≥1 study vaccine strain.</w:t>
      </w:r>
    </w:p>
    <w:p w14:paraId="57B996B8" w14:textId="77777777" w:rsidR="00F30851" w:rsidRPr="003B78DF" w:rsidRDefault="00F30851" w:rsidP="00E96CE3">
      <w:pPr>
        <w:pStyle w:val="Heading5"/>
      </w:pPr>
      <w:r w:rsidRPr="003B78DF" w:rsidDel="0081373E">
        <w:t>S</w:t>
      </w:r>
      <w:r w:rsidRPr="003B78DF">
        <w:t>ample size</w:t>
      </w:r>
    </w:p>
    <w:p w14:paraId="05D7FD1E" w14:textId="77777777" w:rsidR="00F30851" w:rsidRPr="003B78DF" w:rsidRDefault="00F30851" w:rsidP="00F30851">
      <w:pPr>
        <w:autoSpaceDE w:val="0"/>
        <w:autoSpaceDN w:val="0"/>
        <w:adjustRightInd w:val="0"/>
        <w:spacing w:before="0" w:after="0" w:line="240" w:lineRule="auto"/>
        <w:rPr>
          <w:rFonts w:asciiTheme="minorHAnsi" w:eastAsia="TimesNewRoman" w:hAnsiTheme="minorHAnsi" w:cs="TimesNewRoman"/>
          <w:color w:val="000000"/>
        </w:rPr>
      </w:pPr>
      <w:r w:rsidRPr="003B78DF">
        <w:rPr>
          <w:rFonts w:asciiTheme="minorHAnsi" w:eastAsia="TimesNewRoman" w:hAnsiTheme="minorHAnsi" w:cs="TimesNewRoman"/>
          <w:color w:val="000000"/>
        </w:rPr>
        <w:t>GSK calculated the initial sample size for the study based on true efficacy assumptions of</w:t>
      </w:r>
    </w:p>
    <w:p w14:paraId="4A162D6E" w14:textId="77777777" w:rsidR="00F30851" w:rsidRPr="00F34CD6" w:rsidRDefault="00F30851" w:rsidP="00F30851">
      <w:pPr>
        <w:autoSpaceDE w:val="0"/>
        <w:autoSpaceDN w:val="0"/>
        <w:adjustRightInd w:val="0"/>
        <w:spacing w:before="0" w:after="0" w:line="240" w:lineRule="auto"/>
        <w:rPr>
          <w:rFonts w:asciiTheme="minorHAnsi" w:eastAsia="TimesNewRoman" w:hAnsiTheme="minorHAnsi" w:cs="TimesNewRoman"/>
        </w:rPr>
      </w:pPr>
      <w:r w:rsidRPr="003B78DF">
        <w:rPr>
          <w:rFonts w:asciiTheme="minorHAnsi" w:eastAsia="TimesNewRoman" w:hAnsiTheme="minorHAnsi" w:cs="TimesNewRoman"/>
          <w:color w:val="000000"/>
        </w:rPr>
        <w:t xml:space="preserve">40%. A recent </w:t>
      </w:r>
      <w:r w:rsidRPr="003B78DF">
        <w:rPr>
          <w:rFonts w:asciiTheme="minorHAnsi" w:eastAsia="TimesNewRoman" w:hAnsiTheme="minorHAnsi" w:cs="TimesNewRoman"/>
          <w:color w:val="000000" w:themeColor="text1"/>
        </w:rPr>
        <w:t>study</w:t>
      </w:r>
      <w:r w:rsidR="00E96CE3">
        <w:rPr>
          <w:rStyle w:val="FootnoteReference"/>
          <w:rFonts w:asciiTheme="minorHAnsi" w:eastAsia="TimesNewRoman" w:hAnsiTheme="minorHAnsi" w:cs="TimesNewRoman"/>
          <w:color w:val="000000" w:themeColor="text1"/>
        </w:rPr>
        <w:footnoteReference w:id="24"/>
      </w:r>
      <w:r w:rsidRPr="003B78DF">
        <w:rPr>
          <w:rFonts w:asciiTheme="minorHAnsi" w:eastAsia="TimesNewRoman" w:hAnsiTheme="minorHAnsi" w:cs="TimesNewRoman"/>
          <w:color w:val="000000" w:themeColor="text1"/>
        </w:rPr>
        <w:t xml:space="preserve"> </w:t>
      </w:r>
      <w:r w:rsidRPr="003B78DF">
        <w:rPr>
          <w:rFonts w:asciiTheme="minorHAnsi" w:eastAsia="TimesNewRoman" w:hAnsiTheme="minorHAnsi" w:cs="TimesNewRoman"/>
          <w:color w:val="000000"/>
        </w:rPr>
        <w:t>demonstrated</w:t>
      </w:r>
      <w:r w:rsidRPr="00DD0F52">
        <w:rPr>
          <w:rFonts w:asciiTheme="minorHAnsi" w:eastAsia="TimesNewRoman" w:hAnsiTheme="minorHAnsi" w:cs="TimesNewRoman"/>
          <w:color w:val="000000"/>
        </w:rPr>
        <w:t xml:space="preserve"> 43% (95% CI, 15-61) efficacy of</w:t>
      </w:r>
      <w:r>
        <w:rPr>
          <w:rFonts w:asciiTheme="minorHAnsi" w:eastAsia="TimesNewRoman" w:hAnsiTheme="minorHAnsi" w:cs="TimesNewRoman"/>
          <w:color w:val="000000"/>
        </w:rPr>
        <w:t xml:space="preserve"> </w:t>
      </w:r>
      <w:r w:rsidRPr="00DD0F52">
        <w:rPr>
          <w:rFonts w:asciiTheme="minorHAnsi" w:eastAsia="TimesNewRoman" w:hAnsiTheme="minorHAnsi" w:cs="TimesNewRoman"/>
          <w:color w:val="000000"/>
        </w:rPr>
        <w:t>European licensed TIVs against PCR-confirmed influenza in 6 month to &lt;72 month old</w:t>
      </w:r>
      <w:r>
        <w:rPr>
          <w:rFonts w:asciiTheme="minorHAnsi" w:eastAsia="TimesNewRoman" w:hAnsiTheme="minorHAnsi" w:cs="TimesNewRoman"/>
          <w:color w:val="000000"/>
        </w:rPr>
        <w:t xml:space="preserve"> </w:t>
      </w:r>
      <w:r w:rsidRPr="00DD0F52">
        <w:rPr>
          <w:rFonts w:asciiTheme="minorHAnsi" w:eastAsia="TimesNewRoman" w:hAnsiTheme="minorHAnsi" w:cs="TimesNewRoman"/>
          <w:color w:val="000000"/>
        </w:rPr>
        <w:t xml:space="preserve">children. With a 1:1 allocation between </w:t>
      </w:r>
      <w:r w:rsidR="00E278CC">
        <w:rPr>
          <w:rFonts w:asciiTheme="minorHAnsi" w:eastAsia="TimesNewRoman" w:hAnsiTheme="minorHAnsi" w:cs="TimesNewRoman"/>
          <w:color w:val="000000"/>
        </w:rPr>
        <w:t>Fluarix Tetra</w:t>
      </w:r>
      <w:r w:rsidRPr="00DD0F52">
        <w:rPr>
          <w:rFonts w:asciiTheme="minorHAnsi" w:eastAsia="TimesNewRoman" w:hAnsiTheme="minorHAnsi" w:cs="TimesNewRoman"/>
          <w:color w:val="000000"/>
        </w:rPr>
        <w:t xml:space="preserve"> and </w:t>
      </w:r>
      <w:r w:rsidR="005E57AC">
        <w:rPr>
          <w:rFonts w:asciiTheme="minorHAnsi" w:eastAsia="TimesNewRoman" w:hAnsiTheme="minorHAnsi" w:cs="TimesNewRoman"/>
          <w:color w:val="000000"/>
        </w:rPr>
        <w:t>control group</w:t>
      </w:r>
      <w:r w:rsidRPr="00DD0F52">
        <w:rPr>
          <w:rFonts w:asciiTheme="minorHAnsi" w:eastAsia="TimesNewRoman" w:hAnsiTheme="minorHAnsi" w:cs="TimesNewRoman"/>
          <w:color w:val="000000"/>
        </w:rPr>
        <w:t>, and an assumed</w:t>
      </w:r>
      <w:r>
        <w:rPr>
          <w:rFonts w:asciiTheme="minorHAnsi" w:eastAsia="TimesNewRoman" w:hAnsiTheme="minorHAnsi" w:cs="TimesNewRoman"/>
          <w:color w:val="000000"/>
        </w:rPr>
        <w:t xml:space="preserve"> true VE of 40%, </w:t>
      </w:r>
      <w:r w:rsidR="007E3752">
        <w:rPr>
          <w:rFonts w:asciiTheme="minorHAnsi" w:eastAsia="TimesNewRoman" w:hAnsiTheme="minorHAnsi" w:cs="TimesNewRoman"/>
          <w:color w:val="000000"/>
        </w:rPr>
        <w:t>approximately</w:t>
      </w:r>
      <w:r w:rsidR="00F93BD0">
        <w:rPr>
          <w:rFonts w:asciiTheme="minorHAnsi" w:eastAsia="TimesNewRoman" w:hAnsiTheme="minorHAnsi" w:cs="TimesNewRoman"/>
          <w:color w:val="000000"/>
        </w:rPr>
        <w:t xml:space="preserve"> </w:t>
      </w:r>
      <w:r w:rsidRPr="00DD0F52">
        <w:rPr>
          <w:rFonts w:asciiTheme="minorHAnsi" w:eastAsia="TimesNewRoman" w:hAnsiTheme="minorHAnsi" w:cs="TimesNewRoman"/>
          <w:color w:val="000000"/>
        </w:rPr>
        <w:t>536 RT-PCR confirmed influenza cases due to influenza</w:t>
      </w:r>
      <w:r>
        <w:rPr>
          <w:rFonts w:asciiTheme="minorHAnsi" w:eastAsia="TimesNewRoman" w:hAnsiTheme="minorHAnsi" w:cs="TimesNewRoman"/>
          <w:color w:val="000000"/>
        </w:rPr>
        <w:t xml:space="preserve"> </w:t>
      </w:r>
      <w:r w:rsidRPr="00DD0F52">
        <w:rPr>
          <w:rFonts w:asciiTheme="minorHAnsi" w:eastAsia="TimesNewRoman" w:hAnsiTheme="minorHAnsi" w:cs="TimesNewRoman"/>
          <w:color w:val="000000"/>
        </w:rPr>
        <w:t xml:space="preserve">A and B strains were needed to demonstrate with </w:t>
      </w:r>
      <w:r>
        <w:rPr>
          <w:rFonts w:asciiTheme="minorHAnsi" w:eastAsia="TimesNewRoman" w:hAnsiTheme="minorHAnsi" w:cs="TimesNewRoman"/>
          <w:color w:val="000000"/>
        </w:rPr>
        <w:t>90% power that the LL</w:t>
      </w:r>
      <w:r w:rsidRPr="00DD0F52">
        <w:rPr>
          <w:rFonts w:asciiTheme="minorHAnsi" w:eastAsia="TimesNewRoman" w:hAnsiTheme="minorHAnsi" w:cs="TimesNewRoman"/>
          <w:color w:val="000000"/>
        </w:rPr>
        <w:t xml:space="preserve"> of</w:t>
      </w:r>
      <w:r>
        <w:rPr>
          <w:rFonts w:asciiTheme="minorHAnsi" w:eastAsia="TimesNewRoman" w:hAnsiTheme="minorHAnsi" w:cs="TimesNewRoman"/>
          <w:color w:val="000000"/>
        </w:rPr>
        <w:t xml:space="preserve"> </w:t>
      </w:r>
      <w:r w:rsidRPr="00DD0F52">
        <w:rPr>
          <w:rFonts w:asciiTheme="minorHAnsi" w:eastAsia="TimesNewRoman" w:hAnsiTheme="minorHAnsi" w:cs="TimesNewRoman"/>
          <w:color w:val="000000"/>
        </w:rPr>
        <w:t>the two</w:t>
      </w:r>
      <w:r>
        <w:rPr>
          <w:rFonts w:asciiTheme="minorHAnsi" w:eastAsia="TimesNewRoman" w:hAnsiTheme="minorHAnsi" w:cs="TimesNewRoman"/>
          <w:color w:val="000000"/>
        </w:rPr>
        <w:t>-sided 95% CI</w:t>
      </w:r>
      <w:r w:rsidRPr="00DD0F52">
        <w:rPr>
          <w:rFonts w:asciiTheme="minorHAnsi" w:eastAsia="TimesNewRoman" w:hAnsiTheme="minorHAnsi" w:cs="TimesNewRoman"/>
          <w:color w:val="000000"/>
        </w:rPr>
        <w:t xml:space="preserve"> for the VE is </w:t>
      </w:r>
      <w:r>
        <w:rPr>
          <w:rFonts w:asciiTheme="minorHAnsi" w:eastAsia="TimesNewRoman" w:hAnsiTheme="minorHAnsi" w:cs="TimesNewRoman"/>
          <w:color w:val="000000"/>
        </w:rPr>
        <w:t>&gt;</w:t>
      </w:r>
      <w:r w:rsidRPr="00DD0F52">
        <w:rPr>
          <w:rFonts w:asciiTheme="minorHAnsi" w:eastAsia="TimesNewRoman" w:hAnsiTheme="minorHAnsi" w:cs="TimesNewRoman"/>
          <w:color w:val="000000"/>
        </w:rPr>
        <w:t xml:space="preserve">20%. Considering a conservative influenza virus attack rate of 9% in the </w:t>
      </w:r>
      <w:r w:rsidR="005E57AC">
        <w:rPr>
          <w:rFonts w:asciiTheme="minorHAnsi" w:eastAsia="TimesNewRoman" w:hAnsiTheme="minorHAnsi" w:cs="TimesNewRoman"/>
          <w:color w:val="000000"/>
        </w:rPr>
        <w:t>control group</w:t>
      </w:r>
      <w:r w:rsidRPr="00DD0F52">
        <w:rPr>
          <w:rFonts w:asciiTheme="minorHAnsi" w:eastAsia="TimesNewRoman" w:hAnsiTheme="minorHAnsi" w:cs="TimesNewRoman"/>
          <w:color w:val="000000"/>
        </w:rPr>
        <w:t>, and an estimated 10% non-</w:t>
      </w:r>
      <w:r w:rsidRPr="00DD0F52">
        <w:rPr>
          <w:rFonts w:asciiTheme="minorHAnsi" w:eastAsia="TimesNewRoman" w:hAnsiTheme="minorHAnsi" w:cs="TimesNewRoman"/>
          <w:color w:val="000000"/>
        </w:rPr>
        <w:lastRenderedPageBreak/>
        <w:t>evaluable su</w:t>
      </w:r>
      <w:r>
        <w:rPr>
          <w:rFonts w:asciiTheme="minorHAnsi" w:eastAsia="TimesNewRoman" w:hAnsiTheme="minorHAnsi" w:cs="TimesNewRoman"/>
          <w:color w:val="000000"/>
        </w:rPr>
        <w:t xml:space="preserve">bjects, </w:t>
      </w:r>
      <w:r w:rsidR="007E3752">
        <w:rPr>
          <w:rFonts w:asciiTheme="minorHAnsi" w:eastAsia="TimesNewRoman" w:hAnsiTheme="minorHAnsi" w:cs="TimesNewRoman"/>
          <w:color w:val="000000"/>
        </w:rPr>
        <w:t>approximately</w:t>
      </w:r>
      <w:r w:rsidR="00385315">
        <w:rPr>
          <w:rFonts w:asciiTheme="minorHAnsi" w:eastAsia="TimesNewRoman" w:hAnsiTheme="minorHAnsi" w:cs="TimesNewRoman"/>
          <w:color w:val="000000"/>
        </w:rPr>
        <w:t xml:space="preserve"> </w:t>
      </w:r>
      <w:r w:rsidRPr="00DD0F52">
        <w:rPr>
          <w:rFonts w:asciiTheme="minorHAnsi" w:eastAsia="TimesNewRoman" w:hAnsiTheme="minorHAnsi" w:cs="TimesNewRoman"/>
          <w:color w:val="000000"/>
        </w:rPr>
        <w:t>8,</w:t>
      </w:r>
      <w:r w:rsidR="00E96CE3">
        <w:rPr>
          <w:rFonts w:asciiTheme="minorHAnsi" w:eastAsia="TimesNewRoman" w:hAnsiTheme="minorHAnsi" w:cs="TimesNewRoman"/>
          <w:color w:val="000000"/>
        </w:rPr>
        <w:t xml:space="preserve"> </w:t>
      </w:r>
      <w:r w:rsidRPr="00DD0F52">
        <w:rPr>
          <w:rFonts w:asciiTheme="minorHAnsi" w:eastAsia="TimesNewRoman" w:hAnsiTheme="minorHAnsi" w:cs="TimesNewRoman"/>
          <w:color w:val="000000"/>
        </w:rPr>
        <w:t>200 subjects (4,100 per treatment</w:t>
      </w:r>
      <w:r w:rsidR="00E278CC">
        <w:rPr>
          <w:rFonts w:asciiTheme="minorHAnsi" w:eastAsia="TimesNewRoman" w:hAnsiTheme="minorHAnsi" w:cs="TimesNewRoman"/>
          <w:color w:val="000000"/>
        </w:rPr>
        <w:t xml:space="preserve"> group)</w:t>
      </w:r>
      <w:r w:rsidRPr="00DD0F52">
        <w:rPr>
          <w:rFonts w:asciiTheme="minorHAnsi" w:eastAsia="TimesNewRoman" w:hAnsiTheme="minorHAnsi" w:cs="TimesNewRoman"/>
        </w:rPr>
        <w:t xml:space="preserve"> needed to be recruited to reach the requi</w:t>
      </w:r>
      <w:r>
        <w:rPr>
          <w:rFonts w:asciiTheme="minorHAnsi" w:eastAsia="TimesNewRoman" w:hAnsiTheme="minorHAnsi" w:cs="TimesNewRoman"/>
        </w:rPr>
        <w:t xml:space="preserve">red number of cases </w:t>
      </w:r>
      <w:r w:rsidRPr="00DD0F52">
        <w:rPr>
          <w:rFonts w:asciiTheme="minorHAnsi" w:eastAsia="TimesNewRoman" w:hAnsiTheme="minorHAnsi" w:cs="TimesNewRoman"/>
        </w:rPr>
        <w:t>of RT-PCR</w:t>
      </w:r>
      <w:r>
        <w:rPr>
          <w:rFonts w:asciiTheme="minorHAnsi" w:eastAsia="TimesNewRoman" w:hAnsiTheme="minorHAnsi" w:cs="TimesNewRoman"/>
          <w:color w:val="000000"/>
        </w:rPr>
        <w:t xml:space="preserve"> </w:t>
      </w:r>
      <w:r w:rsidRPr="00DD0F52">
        <w:rPr>
          <w:rFonts w:asciiTheme="minorHAnsi" w:eastAsia="TimesNewRoman" w:hAnsiTheme="minorHAnsi" w:cs="TimesNewRoman"/>
        </w:rPr>
        <w:t>confirmed influenza i</w:t>
      </w:r>
      <w:r>
        <w:rPr>
          <w:rFonts w:asciiTheme="minorHAnsi" w:eastAsia="TimesNewRoman" w:hAnsiTheme="minorHAnsi" w:cs="TimesNewRoman"/>
        </w:rPr>
        <w:t xml:space="preserve">llness due to influenza A/B </w:t>
      </w:r>
      <w:r w:rsidRPr="00DD0F52">
        <w:rPr>
          <w:rFonts w:asciiTheme="minorHAnsi" w:eastAsia="TimesNewRoman" w:hAnsiTheme="minorHAnsi" w:cs="TimesNewRoman"/>
        </w:rPr>
        <w:t>strains.</w:t>
      </w:r>
      <w:r>
        <w:rPr>
          <w:rFonts w:asciiTheme="minorHAnsi" w:eastAsia="TimesNewRoman" w:hAnsiTheme="minorHAnsi" w:cs="TimesNewRoman"/>
          <w:color w:val="000000"/>
        </w:rPr>
        <w:t xml:space="preserve"> </w:t>
      </w:r>
      <w:r w:rsidRPr="00DD0F52">
        <w:rPr>
          <w:rFonts w:asciiTheme="minorHAnsi" w:eastAsia="TimesNewRoman" w:hAnsiTheme="minorHAnsi" w:cs="TimesNewRoman"/>
        </w:rPr>
        <w:t>Acquisition of new data in a p</w:t>
      </w:r>
      <w:r>
        <w:rPr>
          <w:rFonts w:asciiTheme="minorHAnsi" w:eastAsia="TimesNewRoman" w:hAnsiTheme="minorHAnsi" w:cs="TimesNewRoman"/>
        </w:rPr>
        <w:t>a</w:t>
      </w:r>
      <w:r w:rsidRPr="00DD0F52">
        <w:rPr>
          <w:rFonts w:asciiTheme="minorHAnsi" w:eastAsia="TimesNewRoman" w:hAnsiTheme="minorHAnsi" w:cs="TimesNewRoman"/>
        </w:rPr>
        <w:t>ediatric populat</w:t>
      </w:r>
      <w:r>
        <w:rPr>
          <w:rFonts w:asciiTheme="minorHAnsi" w:eastAsia="TimesNewRoman" w:hAnsiTheme="minorHAnsi" w:cs="TimesNewRoman"/>
        </w:rPr>
        <w:t>ion (children from 3-</w:t>
      </w:r>
      <w:r w:rsidRPr="00DD0F52">
        <w:rPr>
          <w:rFonts w:asciiTheme="minorHAnsi" w:eastAsia="TimesNewRoman" w:hAnsiTheme="minorHAnsi" w:cs="TimesNewRoman"/>
        </w:rPr>
        <w:t>8 years old)</w:t>
      </w:r>
      <w:r>
        <w:rPr>
          <w:rFonts w:asciiTheme="minorHAnsi" w:eastAsia="TimesNewRoman" w:hAnsiTheme="minorHAnsi" w:cs="TimesNewRoman"/>
          <w:color w:val="000000"/>
        </w:rPr>
        <w:t xml:space="preserve"> </w:t>
      </w:r>
      <w:r w:rsidRPr="00DD0F52">
        <w:rPr>
          <w:rFonts w:asciiTheme="minorHAnsi" w:eastAsia="TimesNewRoman" w:hAnsiTheme="minorHAnsi" w:cs="TimesNewRoman"/>
        </w:rPr>
        <w:t>originating from an efficacy trial using GSK’s Q-QIV vaccine offered the opportunity to</w:t>
      </w:r>
      <w:r>
        <w:rPr>
          <w:rFonts w:asciiTheme="minorHAnsi" w:eastAsia="TimesNewRoman" w:hAnsiTheme="minorHAnsi" w:cs="TimesNewRoman"/>
        </w:rPr>
        <w:t xml:space="preserve"> </w:t>
      </w:r>
      <w:r w:rsidRPr="00DD0F52">
        <w:rPr>
          <w:rFonts w:asciiTheme="minorHAnsi" w:eastAsia="TimesNewRoman" w:hAnsiTheme="minorHAnsi" w:cs="TimesNewRoman"/>
        </w:rPr>
        <w:t xml:space="preserve">validate the use of </w:t>
      </w:r>
      <w:r>
        <w:rPr>
          <w:rFonts w:asciiTheme="minorHAnsi" w:eastAsia="TimesNewRoman" w:hAnsiTheme="minorHAnsi" w:cs="TimesNewRoman"/>
        </w:rPr>
        <w:t xml:space="preserve">moderate-to-severe </w:t>
      </w:r>
      <w:r w:rsidRPr="00DD0F52">
        <w:rPr>
          <w:rFonts w:asciiTheme="minorHAnsi" w:eastAsia="TimesNewRoman" w:hAnsiTheme="minorHAnsi" w:cs="TimesNewRoman"/>
        </w:rPr>
        <w:t xml:space="preserve">influenza disease as </w:t>
      </w:r>
      <w:r>
        <w:rPr>
          <w:rFonts w:asciiTheme="minorHAnsi" w:eastAsia="TimesNewRoman" w:hAnsiTheme="minorHAnsi" w:cs="TimesNewRoman"/>
        </w:rPr>
        <w:t xml:space="preserve">a meaningful clinical </w:t>
      </w:r>
      <w:r w:rsidRPr="00DD0F52">
        <w:rPr>
          <w:rFonts w:asciiTheme="minorHAnsi" w:eastAsia="TimesNewRoman" w:hAnsiTheme="minorHAnsi" w:cs="TimesNewRoman"/>
        </w:rPr>
        <w:t xml:space="preserve">endpoint for </w:t>
      </w:r>
      <w:r w:rsidRPr="00E96CE3">
        <w:rPr>
          <w:rFonts w:asciiTheme="minorHAnsi" w:eastAsia="TimesNewRoman" w:hAnsiTheme="minorHAnsi" w:cs="TimesNewRoman"/>
        </w:rPr>
        <w:t>the D-QIV- 004</w:t>
      </w:r>
      <w:r w:rsidRPr="00F34CD6">
        <w:rPr>
          <w:rFonts w:asciiTheme="minorHAnsi" w:eastAsia="TimesNewRoman" w:hAnsiTheme="minorHAnsi" w:cs="TimesNewRoman"/>
          <w:b/>
        </w:rPr>
        <w:t xml:space="preserve"> </w:t>
      </w:r>
      <w:r>
        <w:rPr>
          <w:rFonts w:asciiTheme="minorHAnsi" w:eastAsia="TimesNewRoman" w:hAnsiTheme="minorHAnsi" w:cs="TimesNewRoman"/>
        </w:rPr>
        <w:t>study</w:t>
      </w:r>
      <w:r w:rsidRPr="00DD0F52">
        <w:rPr>
          <w:rFonts w:asciiTheme="minorHAnsi" w:eastAsia="TimesNewRoman" w:hAnsiTheme="minorHAnsi" w:cs="TimesNewRoman"/>
        </w:rPr>
        <w:t xml:space="preserve">. Assuming a true VE of 55% against RT-PCR confirmed </w:t>
      </w:r>
      <w:r>
        <w:rPr>
          <w:rFonts w:asciiTheme="minorHAnsi" w:eastAsia="TimesNewRoman" w:hAnsiTheme="minorHAnsi" w:cs="TimesNewRoman"/>
        </w:rPr>
        <w:t xml:space="preserve">moderate-to-severe </w:t>
      </w:r>
      <w:r w:rsidRPr="00DD0F52">
        <w:rPr>
          <w:rFonts w:asciiTheme="minorHAnsi" w:eastAsia="TimesNewRoman" w:hAnsiTheme="minorHAnsi" w:cs="TimesNewRoman"/>
        </w:rPr>
        <w:t>influenza A</w:t>
      </w:r>
      <w:r>
        <w:rPr>
          <w:rFonts w:asciiTheme="minorHAnsi" w:eastAsia="TimesNewRoman" w:hAnsiTheme="minorHAnsi" w:cs="TimesNewRoman"/>
        </w:rPr>
        <w:t xml:space="preserve"> </w:t>
      </w:r>
      <w:r w:rsidRPr="00DD0F52">
        <w:rPr>
          <w:rFonts w:asciiTheme="minorHAnsi" w:eastAsia="TimesNewRoman" w:hAnsiTheme="minorHAnsi" w:cs="TimesNewRoman"/>
        </w:rPr>
        <w:t>and/or B disease, 240 cases will be needed to demonstrate with 93% power that the LL of</w:t>
      </w:r>
      <w:r>
        <w:rPr>
          <w:rFonts w:asciiTheme="minorHAnsi" w:eastAsia="TimesNewRoman" w:hAnsiTheme="minorHAnsi" w:cs="TimesNewRoman"/>
        </w:rPr>
        <w:t xml:space="preserve"> </w:t>
      </w:r>
      <w:r w:rsidRPr="00DD0F52">
        <w:rPr>
          <w:rFonts w:asciiTheme="minorHAnsi" w:eastAsia="TimesNewRoman" w:hAnsiTheme="minorHAnsi" w:cs="TimesNewRoman"/>
        </w:rPr>
        <w:t xml:space="preserve">the two-sided 97.5% CI of </w:t>
      </w:r>
      <w:r w:rsidR="002A4D92" w:rsidRPr="002A4D92">
        <w:rPr>
          <w:rFonts w:asciiTheme="minorHAnsi" w:eastAsia="TimesNewRoman" w:hAnsiTheme="minorHAnsi" w:cs="TimesNewRoman"/>
        </w:rPr>
        <w:t xml:space="preserve">Fluarix Tetra </w:t>
      </w:r>
      <w:r w:rsidRPr="00DD0F52">
        <w:rPr>
          <w:rFonts w:asciiTheme="minorHAnsi" w:eastAsia="TimesNewRoman" w:hAnsiTheme="minorHAnsi" w:cs="TimesNewRoman"/>
        </w:rPr>
        <w:t xml:space="preserve">efficacy is </w:t>
      </w:r>
      <w:r>
        <w:rPr>
          <w:rFonts w:asciiTheme="minorHAnsi" w:eastAsia="TimesNewRoman" w:hAnsiTheme="minorHAnsi" w:cs="TimesNewRoman"/>
        </w:rPr>
        <w:t>&gt;</w:t>
      </w:r>
      <w:r w:rsidRPr="00DD0F52">
        <w:rPr>
          <w:rFonts w:asciiTheme="minorHAnsi" w:eastAsia="TimesNewRoman" w:hAnsiTheme="minorHAnsi" w:cs="TimesNewRoman"/>
        </w:rPr>
        <w:t>25%; assuming a true VE of 35%</w:t>
      </w:r>
      <w:r>
        <w:rPr>
          <w:rFonts w:asciiTheme="minorHAnsi" w:eastAsia="TimesNewRoman" w:hAnsiTheme="minorHAnsi" w:cs="TimesNewRoman"/>
        </w:rPr>
        <w:t xml:space="preserve"> </w:t>
      </w:r>
      <w:r w:rsidRPr="00DD0F52">
        <w:rPr>
          <w:rFonts w:asciiTheme="minorHAnsi" w:eastAsia="TimesNewRoman" w:hAnsiTheme="minorHAnsi" w:cs="TimesNewRoman"/>
        </w:rPr>
        <w:t>against any RT-PCR confirmed influenza A and/or B disease, 702 cases will be needed to</w:t>
      </w:r>
      <w:r>
        <w:rPr>
          <w:rFonts w:asciiTheme="minorHAnsi" w:eastAsia="TimesNewRoman" w:hAnsiTheme="minorHAnsi" w:cs="TimesNewRoman"/>
        </w:rPr>
        <w:t xml:space="preserve"> </w:t>
      </w:r>
      <w:r w:rsidRPr="00DD0F52">
        <w:rPr>
          <w:rFonts w:asciiTheme="minorHAnsi" w:eastAsia="TimesNewRoman" w:hAnsiTheme="minorHAnsi" w:cs="TimesNewRoman"/>
        </w:rPr>
        <w:t xml:space="preserve">demonstrate with 90% power that a LL of the two-sided 97.5% CI of </w:t>
      </w:r>
      <w:r w:rsidR="002A4D92" w:rsidRPr="002A4D92">
        <w:rPr>
          <w:rFonts w:asciiTheme="minorHAnsi" w:eastAsia="TimesNewRoman" w:hAnsiTheme="minorHAnsi" w:cs="TimesNewRoman"/>
        </w:rPr>
        <w:t xml:space="preserve">Fluarix Tetra </w:t>
      </w:r>
      <w:r w:rsidRPr="00DD0F52">
        <w:rPr>
          <w:rFonts w:asciiTheme="minorHAnsi" w:eastAsia="TimesNewRoman" w:hAnsiTheme="minorHAnsi" w:cs="TimesNewRoman"/>
        </w:rPr>
        <w:t>efficacy</w:t>
      </w:r>
      <w:r>
        <w:rPr>
          <w:rFonts w:asciiTheme="minorHAnsi" w:eastAsia="TimesNewRoman" w:hAnsiTheme="minorHAnsi" w:cs="TimesNewRoman"/>
        </w:rPr>
        <w:t xml:space="preserve"> </w:t>
      </w:r>
      <w:r w:rsidRPr="00DD0F52">
        <w:rPr>
          <w:rFonts w:asciiTheme="minorHAnsi" w:eastAsia="TimesNewRoman" w:hAnsiTheme="minorHAnsi" w:cs="TimesNewRoman"/>
        </w:rPr>
        <w:t xml:space="preserve">is </w:t>
      </w:r>
      <w:r>
        <w:rPr>
          <w:rFonts w:asciiTheme="minorHAnsi" w:eastAsia="TimesNewRoman" w:hAnsiTheme="minorHAnsi" w:cs="TimesNewRoman"/>
        </w:rPr>
        <w:t>&gt;</w:t>
      </w:r>
      <w:r w:rsidRPr="00DD0F52">
        <w:rPr>
          <w:rFonts w:asciiTheme="minorHAnsi" w:eastAsia="TimesNewRoman" w:hAnsiTheme="minorHAnsi" w:cs="TimesNewRoman"/>
        </w:rPr>
        <w:t>15%.</w:t>
      </w:r>
    </w:p>
    <w:p w14:paraId="4FD9C461" w14:textId="77777777" w:rsidR="00F30851" w:rsidRPr="005C62D7" w:rsidRDefault="00F30851" w:rsidP="00E96CE3">
      <w:r w:rsidRPr="00DD0F52">
        <w:t xml:space="preserve">Considering occurrence of RT-PCR confirmed </w:t>
      </w:r>
      <w:r>
        <w:t xml:space="preserve">moderate-to-severe </w:t>
      </w:r>
      <w:r w:rsidRPr="00DD0F52">
        <w:t>influenza cases of</w:t>
      </w:r>
      <w:r>
        <w:t xml:space="preserve"> </w:t>
      </w:r>
      <w:r w:rsidRPr="00DD0F52">
        <w:t xml:space="preserve">3.5% in the </w:t>
      </w:r>
      <w:r w:rsidR="005E57AC">
        <w:t>control group</w:t>
      </w:r>
      <w:r w:rsidRPr="00DD0F52">
        <w:t>, occurrence of RT-PCR confirmed influenza of any intensity of</w:t>
      </w:r>
      <w:r>
        <w:t xml:space="preserve"> </w:t>
      </w:r>
      <w:r w:rsidRPr="00DD0F52">
        <w:t xml:space="preserve">9% in the </w:t>
      </w:r>
      <w:r w:rsidR="005E57AC">
        <w:t>control group</w:t>
      </w:r>
      <w:r w:rsidRPr="00DD0F52">
        <w:t xml:space="preserve">, and an estimated 10% non-evaluable subjects, </w:t>
      </w:r>
      <w:r w:rsidR="007E3752">
        <w:t>approximately</w:t>
      </w:r>
      <w:r w:rsidR="00F93BD0">
        <w:t xml:space="preserve"> </w:t>
      </w:r>
      <w:r w:rsidRPr="00DD0F52">
        <w:t>10,</w:t>
      </w:r>
      <w:r w:rsidR="00E96CE3">
        <w:t xml:space="preserve"> </w:t>
      </w:r>
      <w:r w:rsidRPr="00DD0F52">
        <w:t>500 subjects with a maximum of 12,000 subjects (</w:t>
      </w:r>
      <w:r w:rsidR="007E3752">
        <w:t>approximately</w:t>
      </w:r>
      <w:r w:rsidR="00385315">
        <w:t xml:space="preserve"> </w:t>
      </w:r>
      <w:r w:rsidRPr="00DD0F52">
        <w:t>5,</w:t>
      </w:r>
      <w:r w:rsidR="000B015D">
        <w:t xml:space="preserve"> </w:t>
      </w:r>
      <w:r w:rsidRPr="00DD0F52">
        <w:t>250 per treatment</w:t>
      </w:r>
      <w:r w:rsidR="00CE366D">
        <w:t xml:space="preserve"> group </w:t>
      </w:r>
      <w:r w:rsidRPr="00DD0F52">
        <w:t>with a maximum of 6,000 per</w:t>
      </w:r>
      <w:r w:rsidR="00E278CC">
        <w:t xml:space="preserve"> group)</w:t>
      </w:r>
      <w:r w:rsidRPr="00DD0F52">
        <w:t xml:space="preserve"> will be recruited into additional independent</w:t>
      </w:r>
      <w:r>
        <w:t xml:space="preserve"> </w:t>
      </w:r>
      <w:r w:rsidRPr="00DD0F52">
        <w:t>cohorts to reach the required number of case</w:t>
      </w:r>
      <w:r>
        <w:t>s. The analysis of efficacy was to</w:t>
      </w:r>
      <w:r w:rsidRPr="00DD0F52">
        <w:t xml:space="preserve"> be event-driven, with at least 255 and 744 cases of moderate</w:t>
      </w:r>
      <w:r>
        <w:t>-to-</w:t>
      </w:r>
      <w:r w:rsidRPr="00DD0F52">
        <w:t>severe disease and any intensity disease respectively, confirmed by RT-PCR due to</w:t>
      </w:r>
      <w:r>
        <w:t xml:space="preserve"> </w:t>
      </w:r>
      <w:r w:rsidRPr="00DD0F52">
        <w:t xml:space="preserve">any seasonal strain, to ensure achieving at least 240 cases of </w:t>
      </w:r>
      <w:r>
        <w:t xml:space="preserve">moderate-to-severe </w:t>
      </w:r>
      <w:r w:rsidRPr="00DD0F52">
        <w:t>RT-PCR</w:t>
      </w:r>
      <w:r>
        <w:t xml:space="preserve"> </w:t>
      </w:r>
      <w:r w:rsidRPr="00DD0F52">
        <w:t>confirmed influenza disease and at least 702 cases of RT-PCR confirmed influenza</w:t>
      </w:r>
      <w:r>
        <w:t xml:space="preserve"> </w:t>
      </w:r>
      <w:r w:rsidRPr="00DD0F52">
        <w:t>disease (any) in the according-to-protocol cohort.</w:t>
      </w:r>
      <w:r>
        <w:t xml:space="preserve"> </w:t>
      </w:r>
      <w:r w:rsidRPr="005C62D7">
        <w:t xml:space="preserve">Cohort 1: In the Northern Hemisphere (NH), recruitment started Oct 2011 and 1777 subjects were to be </w:t>
      </w:r>
      <w:r>
        <w:t xml:space="preserve">recruited; </w:t>
      </w:r>
      <w:r w:rsidRPr="005C62D7">
        <w:t xml:space="preserve">Cohort 2: In subtropical countries, recruitment started Apr 2012 and 2539 subjects were to be </w:t>
      </w:r>
      <w:r>
        <w:t xml:space="preserve">recruited; </w:t>
      </w:r>
      <w:r w:rsidRPr="005C62D7">
        <w:t xml:space="preserve">Cohort 3: In the NH, recruitment started in Oct 2012 and 1564 subjects were to be </w:t>
      </w:r>
      <w:r>
        <w:t xml:space="preserve">recruited; </w:t>
      </w:r>
      <w:r w:rsidRPr="005C62D7">
        <w:t>Cohort 4 and additional independent cohorts: Additional subjects (up to 12,000) will be recruited to reach the required number of cases of RT-PCR confirmed influenza disease (any and moderate to severe) for the event-triggered analysis. This might include NH countries end of 2013 and subtropical countries beginning of 2014 to reach the required number of events to trigger the analysis.</w:t>
      </w:r>
    </w:p>
    <w:p w14:paraId="704F9AE5" w14:textId="77777777" w:rsidR="00F30851" w:rsidRPr="00423360" w:rsidRDefault="00F30851" w:rsidP="00E96CE3">
      <w:pPr>
        <w:pStyle w:val="Heading5"/>
      </w:pPr>
      <w:r w:rsidRPr="00423360">
        <w:t>Statistical methods</w:t>
      </w:r>
    </w:p>
    <w:p w14:paraId="38F64558" w14:textId="77777777" w:rsidR="00F30851" w:rsidRPr="00DD0F52" w:rsidRDefault="00F30851" w:rsidP="00E96CE3">
      <w:pPr>
        <w:pStyle w:val="Heading6"/>
        <w:rPr>
          <w:rFonts w:eastAsia="TimesNewRoman,BoldItalic"/>
        </w:rPr>
      </w:pPr>
      <w:r w:rsidRPr="00DD0F52">
        <w:rPr>
          <w:rFonts w:eastAsia="TimesNewRoman,BoldItalic"/>
        </w:rPr>
        <w:t>Analysis of demographics/baseline characteristics</w:t>
      </w:r>
    </w:p>
    <w:p w14:paraId="5ACF0813" w14:textId="77777777" w:rsidR="00F30851" w:rsidRPr="00004DF2" w:rsidRDefault="00F30851" w:rsidP="00E96CE3">
      <w:r w:rsidRPr="00DD0F52">
        <w:t>Cohorts for analysis and withdrawal status were summarised overall and per</w:t>
      </w:r>
      <w:r w:rsidR="007C384B">
        <w:t xml:space="preserve"> group.</w:t>
      </w:r>
      <w:r w:rsidRPr="00DD0F52">
        <w:t xml:space="preserve"> The distribution of</w:t>
      </w:r>
      <w:r>
        <w:t xml:space="preserve"> </w:t>
      </w:r>
      <w:r w:rsidRPr="00DD0F52">
        <w:t>subjects among study centres was tabulated as a whole and per</w:t>
      </w:r>
      <w:r w:rsidR="00CE366D">
        <w:t xml:space="preserve"> group </w:t>
      </w:r>
      <w:r w:rsidRPr="00DD0F52">
        <w:t>and classified subjects into</w:t>
      </w:r>
      <w:r>
        <w:t xml:space="preserve"> </w:t>
      </w:r>
      <w:r w:rsidRPr="00DD0F52">
        <w:t>disposition categories, including subjects who entered, completed, or withdrew from the study.</w:t>
      </w:r>
      <w:r>
        <w:t xml:space="preserve"> </w:t>
      </w:r>
      <w:r w:rsidRPr="00DD0F52">
        <w:t>Demographic characteristics at first vaccine dose of each</w:t>
      </w:r>
      <w:r>
        <w:t xml:space="preserve"> </w:t>
      </w:r>
      <w:r w:rsidRPr="00DD0F52">
        <w:t>study cohort and living environment parameters (day care utilisation, family situation and exposure to</w:t>
      </w:r>
      <w:r>
        <w:t xml:space="preserve"> </w:t>
      </w:r>
      <w:r w:rsidRPr="00DD0F52">
        <w:t>passive smoking) were tabulated overall and per</w:t>
      </w:r>
      <w:r w:rsidR="007C384B">
        <w:t xml:space="preserve"> group.</w:t>
      </w:r>
      <w:r w:rsidRPr="00DD0F52">
        <w:t xml:space="preserve"> History of influenza and pneumococcal vaccination</w:t>
      </w:r>
      <w:r>
        <w:t xml:space="preserve"> </w:t>
      </w:r>
      <w:r w:rsidRPr="00DD0F52">
        <w:t>since birth and his</w:t>
      </w:r>
      <w:r>
        <w:t xml:space="preserve">tory of recurrent AOM were </w:t>
      </w:r>
      <w:r w:rsidRPr="00DD0F52">
        <w:t>tabulated overall and per</w:t>
      </w:r>
      <w:r w:rsidR="007C384B">
        <w:t xml:space="preserve"> group.</w:t>
      </w:r>
      <w:r>
        <w:t xml:space="preserve"> </w:t>
      </w:r>
      <w:r w:rsidRPr="00DD0F52">
        <w:t>Demographic characteristics at first vaccine dose were</w:t>
      </w:r>
      <w:r>
        <w:t xml:space="preserve"> </w:t>
      </w:r>
      <w:r w:rsidRPr="00DD0F52">
        <w:t>presented by age category, priming status, geographical ancestry, gender, country and cohort.</w:t>
      </w:r>
    </w:p>
    <w:p w14:paraId="5375A934" w14:textId="77777777" w:rsidR="00F30851" w:rsidRPr="00DD0F52" w:rsidRDefault="00F30851" w:rsidP="00E96CE3">
      <w:pPr>
        <w:pStyle w:val="Heading6"/>
        <w:rPr>
          <w:rFonts w:eastAsia="TimesNewRoman,BoldItalic"/>
        </w:rPr>
      </w:pPr>
      <w:r w:rsidRPr="00DD0F52">
        <w:rPr>
          <w:rFonts w:eastAsia="TimesNewRoman,BoldItalic"/>
        </w:rPr>
        <w:t>Analysis of efficacy</w:t>
      </w:r>
    </w:p>
    <w:p w14:paraId="63E903BC" w14:textId="77777777" w:rsidR="00F30851" w:rsidRPr="00DD0F52" w:rsidRDefault="00F30851" w:rsidP="00E96CE3">
      <w:r w:rsidRPr="00DD0F52">
        <w:t xml:space="preserve">The primary analysis and all confirmatory </w:t>
      </w:r>
      <w:r>
        <w:t xml:space="preserve">VE </w:t>
      </w:r>
      <w:r w:rsidRPr="00DD0F52">
        <w:t>analyses were based on the according-to</w:t>
      </w:r>
      <w:r>
        <w:t>-</w:t>
      </w:r>
      <w:r w:rsidRPr="00DD0F52">
        <w:t>protocol</w:t>
      </w:r>
      <w:r>
        <w:t xml:space="preserve"> </w:t>
      </w:r>
      <w:r w:rsidRPr="00DD0F52">
        <w:t>efficacy (ATP-E) - Time to Event cohort. All descriptive efficacy tables were based on the ATP-E</w:t>
      </w:r>
      <w:r>
        <w:t xml:space="preserve"> </w:t>
      </w:r>
      <w:r w:rsidRPr="00DD0F52">
        <w:t xml:space="preserve">cohort. A secondary analysis based </w:t>
      </w:r>
      <w:r>
        <w:t>on the TVC</w:t>
      </w:r>
      <w:r w:rsidRPr="00DD0F52">
        <w:t xml:space="preserve"> was performed to complement the</w:t>
      </w:r>
      <w:r>
        <w:t xml:space="preserve"> </w:t>
      </w:r>
      <w:r w:rsidRPr="00DD0F52">
        <w:t>ATP analysis. The time-to-event methodology based on a proportional hazard model was used for all</w:t>
      </w:r>
      <w:r>
        <w:t xml:space="preserve"> </w:t>
      </w:r>
      <w:r w:rsidRPr="00DD0F52">
        <w:t>vaccine efficacy analyses. Diagnostics were performed to check whether the assumption of proportionality</w:t>
      </w:r>
      <w:r>
        <w:t xml:space="preserve"> </w:t>
      </w:r>
      <w:r w:rsidRPr="00DD0F52">
        <w:t>was fulfilled. In case of evidence that this assumption wasn’t satisfied, a non-parametric analysis was done.</w:t>
      </w:r>
    </w:p>
    <w:p w14:paraId="7D4126F3" w14:textId="77777777" w:rsidR="00F30851" w:rsidRPr="00674821" w:rsidRDefault="00F30851" w:rsidP="00E96CE3">
      <w:pPr>
        <w:pStyle w:val="Heading6"/>
        <w:rPr>
          <w:rFonts w:eastAsia="TimesNewRoman,BoldItalic"/>
        </w:rPr>
      </w:pPr>
      <w:r w:rsidRPr="00674821">
        <w:rPr>
          <w:rFonts w:eastAsia="TimesNewRoman,BoldItalic"/>
        </w:rPr>
        <w:t>Analysis of primary efficacy endpoints</w:t>
      </w:r>
    </w:p>
    <w:p w14:paraId="47802872" w14:textId="77777777" w:rsidR="00F30851" w:rsidRPr="00674821" w:rsidRDefault="00F30851" w:rsidP="00E96CE3">
      <w:r w:rsidRPr="00674821">
        <w:t>Attack rates and VE with 97.5% CI were tabulated for primary efficacy endpoints and the pre-specified</w:t>
      </w:r>
      <w:r>
        <w:t xml:space="preserve"> </w:t>
      </w:r>
      <w:r w:rsidRPr="00674821">
        <w:t>statistical success criteria used for evaluation of the end-points were:</w:t>
      </w:r>
    </w:p>
    <w:p w14:paraId="1A9C741C" w14:textId="77777777" w:rsidR="00F30851" w:rsidRDefault="00F30851" w:rsidP="00E96CE3">
      <w:pPr>
        <w:pStyle w:val="ListBullet"/>
      </w:pPr>
      <w:r w:rsidRPr="00674821">
        <w:lastRenderedPageBreak/>
        <w:t xml:space="preserve">The efficacy of </w:t>
      </w:r>
      <w:r w:rsidR="00E278CC">
        <w:t>Fluarix Tetra</w:t>
      </w:r>
      <w:r w:rsidRPr="00674821">
        <w:t xml:space="preserve"> in protecting against RT-PCR confirmed moderate-to-severe</w:t>
      </w:r>
      <w:r>
        <w:t xml:space="preserve"> </w:t>
      </w:r>
      <w:r w:rsidRPr="00674821">
        <w:t>influenza</w:t>
      </w:r>
      <w:r>
        <w:t xml:space="preserve"> </w:t>
      </w:r>
      <w:r w:rsidRPr="00674821">
        <w:t>disease due to any seasonal strain of influenza A and/or B was demonstrated if the LL of the two-sided</w:t>
      </w:r>
      <w:r>
        <w:t xml:space="preserve"> </w:t>
      </w:r>
      <w:r w:rsidRPr="00674821">
        <w:t xml:space="preserve">97.5% CI of VE was </w:t>
      </w:r>
      <w:r>
        <w:t>&gt;</w:t>
      </w:r>
      <w:r w:rsidRPr="00674821">
        <w:t>25%.</w:t>
      </w:r>
    </w:p>
    <w:p w14:paraId="7F1F0FB7" w14:textId="77777777" w:rsidR="00F30851" w:rsidRPr="00674821" w:rsidRDefault="00F30851" w:rsidP="00E96CE3">
      <w:pPr>
        <w:pStyle w:val="ListBullet"/>
      </w:pPr>
      <w:r w:rsidRPr="00674821">
        <w:t xml:space="preserve">The efficacy of </w:t>
      </w:r>
      <w:r w:rsidR="00E278CC">
        <w:t>Fluarix Tetra</w:t>
      </w:r>
      <w:r w:rsidRPr="00674821">
        <w:t xml:space="preserve"> in protecting against RT-PCR confirmed influenza disease of any severity</w:t>
      </w:r>
      <w:r>
        <w:t xml:space="preserve"> </w:t>
      </w:r>
      <w:r w:rsidRPr="00674821">
        <w:t>due to any seasonal strain of influenza A and/or B was demonstrated if the LL of the two-sided 97.5%</w:t>
      </w:r>
      <w:r>
        <w:t xml:space="preserve"> </w:t>
      </w:r>
      <w:r w:rsidRPr="00674821">
        <w:t xml:space="preserve">CI of VE was </w:t>
      </w:r>
      <w:r>
        <w:t>&gt;</w:t>
      </w:r>
      <w:r w:rsidRPr="00674821">
        <w:t>15%.</w:t>
      </w:r>
    </w:p>
    <w:p w14:paraId="65AACC80" w14:textId="77777777" w:rsidR="00F30851" w:rsidRPr="00DD0F52" w:rsidRDefault="00F30851" w:rsidP="00E96CE3">
      <w:pPr>
        <w:pStyle w:val="Heading6"/>
        <w:rPr>
          <w:rFonts w:eastAsia="TimesNewRoman,BoldItalic"/>
        </w:rPr>
      </w:pPr>
      <w:r w:rsidRPr="00DD0F52">
        <w:rPr>
          <w:rFonts w:eastAsia="TimesNewRoman,BoldItalic"/>
        </w:rPr>
        <w:t>Analysis of secondary efficacy endpoints</w:t>
      </w:r>
    </w:p>
    <w:p w14:paraId="64742F6D" w14:textId="77777777" w:rsidR="00F30851" w:rsidRPr="00DD0F52" w:rsidRDefault="00F30851" w:rsidP="00E96CE3">
      <w:r w:rsidRPr="00DD0F52">
        <w:t>The secondary efficacy objectives were evaluated sequentially with an alpha level of 2.5% (one-sided or</w:t>
      </w:r>
      <w:r>
        <w:t xml:space="preserve"> </w:t>
      </w:r>
      <w:r w:rsidRPr="00DD0F52">
        <w:t>95% CI). The pre-specified statistical success criteria were:</w:t>
      </w:r>
    </w:p>
    <w:p w14:paraId="584C5C23" w14:textId="77777777" w:rsidR="00F30851" w:rsidRDefault="00F30851" w:rsidP="00E96CE3">
      <w:pPr>
        <w:pStyle w:val="ListBullet"/>
      </w:pPr>
      <w:r w:rsidRPr="00674821">
        <w:t xml:space="preserve">The efficacy of </w:t>
      </w:r>
      <w:r w:rsidR="00E278CC">
        <w:t>Fluarix Tetra</w:t>
      </w:r>
      <w:r w:rsidRPr="00674821">
        <w:t xml:space="preserve"> in protecting against LRI associated with RT-PCR confirmed influenza A</w:t>
      </w:r>
      <w:r>
        <w:t xml:space="preserve"> </w:t>
      </w:r>
      <w:r w:rsidRPr="00674821">
        <w:t xml:space="preserve">and/or B infection was demonstrated if the LL of the two-sided 95% CI of VE was </w:t>
      </w:r>
      <w:r>
        <w:t>&gt;</w:t>
      </w:r>
      <w:r w:rsidRPr="00674821">
        <w:t>15%.</w:t>
      </w:r>
    </w:p>
    <w:p w14:paraId="04778801" w14:textId="77777777" w:rsidR="00F30851" w:rsidRDefault="00F30851" w:rsidP="00E96CE3">
      <w:pPr>
        <w:pStyle w:val="ListBullet"/>
      </w:pPr>
      <w:r w:rsidRPr="00674821">
        <w:t xml:space="preserve">The efficacy of </w:t>
      </w:r>
      <w:r w:rsidR="00E278CC">
        <w:t>Fluarix Tetra</w:t>
      </w:r>
      <w:r w:rsidRPr="00674821">
        <w:t xml:space="preserve"> in protecting against culture-confirmed moderate-to-severe</w:t>
      </w:r>
      <w:r w:rsidR="00E96CE3">
        <w:t xml:space="preserve"> </w:t>
      </w:r>
      <w:r w:rsidRPr="00674821">
        <w:t>influenza A</w:t>
      </w:r>
      <w:r>
        <w:t xml:space="preserve"> </w:t>
      </w:r>
      <w:r w:rsidRPr="00674821">
        <w:t>and/or B disease due to antigenically matching influenza strains was demonstrated if the LL of the</w:t>
      </w:r>
      <w:r>
        <w:t xml:space="preserve"> </w:t>
      </w:r>
      <w:r w:rsidRPr="00674821">
        <w:t>t</w:t>
      </w:r>
      <w:r>
        <w:t>wo-sided 95% CI of VE was &gt;</w:t>
      </w:r>
      <w:r w:rsidRPr="00674821">
        <w:t>15%.</w:t>
      </w:r>
    </w:p>
    <w:p w14:paraId="78A9474E" w14:textId="77777777" w:rsidR="00F30851" w:rsidRDefault="00F30851" w:rsidP="00E96CE3">
      <w:pPr>
        <w:pStyle w:val="ListBullet"/>
      </w:pPr>
      <w:r w:rsidRPr="00674821">
        <w:t xml:space="preserve">The efficacy of </w:t>
      </w:r>
      <w:r w:rsidR="00E278CC">
        <w:t>Fluarix Tetra</w:t>
      </w:r>
      <w:r w:rsidRPr="00674821">
        <w:t xml:space="preserve"> in protecting against any culture-confirmed influenza A and/or B disease</w:t>
      </w:r>
      <w:r>
        <w:t xml:space="preserve"> </w:t>
      </w:r>
      <w:r w:rsidRPr="00674821">
        <w:t>due to antigenically matching influenza strains was demonstrated if the LL of the two-sided 95% CI of</w:t>
      </w:r>
      <w:r>
        <w:t xml:space="preserve"> VE was &gt;</w:t>
      </w:r>
      <w:r w:rsidRPr="00674821">
        <w:t>15%.</w:t>
      </w:r>
    </w:p>
    <w:p w14:paraId="11217D57" w14:textId="77777777" w:rsidR="00F30851" w:rsidRDefault="00F30851" w:rsidP="00E96CE3">
      <w:pPr>
        <w:pStyle w:val="ListBullet"/>
      </w:pPr>
      <w:r w:rsidRPr="00674821">
        <w:t xml:space="preserve">The efficacy of </w:t>
      </w:r>
      <w:r w:rsidR="00E278CC">
        <w:t>Fluarix Tetra</w:t>
      </w:r>
      <w:r w:rsidRPr="00674821">
        <w:t xml:space="preserve"> in protecting against culture-confirmed moderate-to-severe</w:t>
      </w:r>
      <w:r>
        <w:t xml:space="preserve"> </w:t>
      </w:r>
      <w:r w:rsidRPr="00674821">
        <w:t>influenza A</w:t>
      </w:r>
      <w:r>
        <w:t xml:space="preserve"> </w:t>
      </w:r>
      <w:r w:rsidRPr="00674821">
        <w:t>and/or B disease due to any seasonal influenza strain was demonstrated if the LL of the two-sided 95%</w:t>
      </w:r>
      <w:r>
        <w:t xml:space="preserve"> </w:t>
      </w:r>
      <w:r w:rsidRPr="00674821">
        <w:t xml:space="preserve">CI of VE was </w:t>
      </w:r>
      <w:r>
        <w:t>&gt;</w:t>
      </w:r>
      <w:r w:rsidRPr="00674821">
        <w:t>15%.</w:t>
      </w:r>
    </w:p>
    <w:p w14:paraId="4CD22BC6" w14:textId="77777777" w:rsidR="00F30851" w:rsidRDefault="00F30851" w:rsidP="00E96CE3">
      <w:pPr>
        <w:pStyle w:val="ListBullet"/>
      </w:pPr>
      <w:r w:rsidRPr="00674821">
        <w:t xml:space="preserve">The efficacy of </w:t>
      </w:r>
      <w:r w:rsidR="00E278CC">
        <w:t>Fluarix Tetra</w:t>
      </w:r>
      <w:r w:rsidRPr="00674821">
        <w:t xml:space="preserve"> in protecting against any culture-confirmed influenza A and/or B disease</w:t>
      </w:r>
      <w:r>
        <w:t xml:space="preserve"> </w:t>
      </w:r>
      <w:r w:rsidRPr="00674821">
        <w:t>due to any seasonal influenza strain was demonstrated if the LL of the two-sided 95% CI of VE was</w:t>
      </w:r>
      <w:r>
        <w:t xml:space="preserve"> &gt;</w:t>
      </w:r>
      <w:r w:rsidRPr="00674821">
        <w:t>10%.</w:t>
      </w:r>
    </w:p>
    <w:p w14:paraId="35E63B79" w14:textId="77777777" w:rsidR="00F30851" w:rsidRDefault="00F30851" w:rsidP="00E96CE3">
      <w:pPr>
        <w:pStyle w:val="ListBullet"/>
      </w:pPr>
      <w:r w:rsidRPr="00674821">
        <w:t xml:space="preserve">The efficacy of </w:t>
      </w:r>
      <w:r w:rsidR="00E278CC">
        <w:t>Fluarix Tetra</w:t>
      </w:r>
      <w:r w:rsidRPr="00674821">
        <w:t xml:space="preserve"> in protecting against AOM associated with RT-PCR confirmed influenza</w:t>
      </w:r>
      <w:r>
        <w:t xml:space="preserve"> </w:t>
      </w:r>
      <w:r w:rsidRPr="00674821">
        <w:t>A and/or B infection due to any seasonal influenza strain was demonstrated if the LL of the two-sided</w:t>
      </w:r>
      <w:r>
        <w:t xml:space="preserve"> </w:t>
      </w:r>
      <w:r w:rsidRPr="00674821">
        <w:t xml:space="preserve">95% CI of VE was </w:t>
      </w:r>
      <w:r>
        <w:t>&gt;</w:t>
      </w:r>
      <w:r w:rsidRPr="00674821">
        <w:t>10%.</w:t>
      </w:r>
    </w:p>
    <w:p w14:paraId="5C84640D" w14:textId="77777777" w:rsidR="00F30851" w:rsidRPr="00ED6B99" w:rsidRDefault="00F30851" w:rsidP="00E96CE3">
      <w:pPr>
        <w:pStyle w:val="ListBullet"/>
      </w:pPr>
      <w:r w:rsidRPr="00674821">
        <w:t xml:space="preserve">The efficacy of </w:t>
      </w:r>
      <w:r w:rsidR="00E278CC">
        <w:t>Fluarix Tetra</w:t>
      </w:r>
      <w:r w:rsidRPr="00674821">
        <w:t xml:space="preserve"> in protecting against RT-PCR confirmed severe influenza A and/or B</w:t>
      </w:r>
      <w:r>
        <w:t xml:space="preserve"> </w:t>
      </w:r>
      <w:r w:rsidRPr="00674821">
        <w:t>disease due to any seasonal influenza strain was demonstrated if the LL of the two-sided 95% CI of</w:t>
      </w:r>
      <w:r>
        <w:t xml:space="preserve"> </w:t>
      </w:r>
      <w:r w:rsidRPr="00674821">
        <w:t xml:space="preserve">VE was </w:t>
      </w:r>
      <w:r>
        <w:t>&gt;</w:t>
      </w:r>
      <w:r w:rsidRPr="00674821">
        <w:t>15%.</w:t>
      </w:r>
    </w:p>
    <w:p w14:paraId="5DFF316B" w14:textId="77777777" w:rsidR="00F30851" w:rsidRDefault="00F30851" w:rsidP="00BC74DF">
      <w:pPr>
        <w:pStyle w:val="FigureTitle"/>
        <w:rPr>
          <w:rFonts w:eastAsiaTheme="minorHAnsi" w:cs="Arial,Bold"/>
          <w:bCs/>
        </w:rPr>
      </w:pPr>
      <w:r w:rsidRPr="00AE314C">
        <w:lastRenderedPageBreak/>
        <w:t>Figure 2</w:t>
      </w:r>
      <w:r w:rsidR="003836A3">
        <w:t xml:space="preserve">: </w:t>
      </w:r>
      <w:r w:rsidRPr="00AE314C">
        <w:t xml:space="preserve">Final </w:t>
      </w:r>
      <w:r w:rsidRPr="00BC74DF">
        <w:t>analysis</w:t>
      </w:r>
      <w:r w:rsidRPr="00AE314C">
        <w:t xml:space="preserve"> of efficacy objectives in </w:t>
      </w:r>
      <w:r w:rsidRPr="00AE314C">
        <w:rPr>
          <w:rFonts w:eastAsiaTheme="minorHAnsi" w:cs="Arial,Bold"/>
          <w:bCs/>
        </w:rPr>
        <w:t>D-QIV-004</w:t>
      </w:r>
    </w:p>
    <w:p w14:paraId="2217C8E3" w14:textId="77777777" w:rsidR="003836A3" w:rsidRPr="00AE314C" w:rsidRDefault="003836A3" w:rsidP="00486721">
      <w:r>
        <w:rPr>
          <w:noProof/>
          <w:lang w:eastAsia="en-AU"/>
        </w:rPr>
        <w:drawing>
          <wp:inline distT="0" distB="0" distL="0" distR="0" wp14:anchorId="51811554" wp14:editId="419A0817">
            <wp:extent cx="4429125" cy="3641208"/>
            <wp:effectExtent l="0" t="0" r="0" b="0"/>
            <wp:docPr id="9" name="Picture 9" descr="Final analysis of efficacy objectives in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t="1584"/>
                    <a:stretch/>
                  </pic:blipFill>
                  <pic:spPr bwMode="auto">
                    <a:xfrm>
                      <a:off x="0" y="0"/>
                      <a:ext cx="4435189" cy="3646193"/>
                    </a:xfrm>
                    <a:prstGeom prst="rect">
                      <a:avLst/>
                    </a:prstGeom>
                    <a:ln>
                      <a:noFill/>
                    </a:ln>
                    <a:extLst>
                      <a:ext uri="{53640926-AAD7-44D8-BBD7-CCE9431645EC}">
                        <a14:shadowObscured xmlns:a14="http://schemas.microsoft.com/office/drawing/2010/main"/>
                      </a:ext>
                    </a:extLst>
                  </pic:spPr>
                </pic:pic>
              </a:graphicData>
            </a:graphic>
          </wp:inline>
        </w:drawing>
      </w:r>
    </w:p>
    <w:p w14:paraId="05827F57" w14:textId="77777777" w:rsidR="00A06C4B" w:rsidRDefault="00F30851" w:rsidP="00A06C4B">
      <w:pPr>
        <w:pStyle w:val="Heading6"/>
        <w:rPr>
          <w:rFonts w:eastAsia="TimesNewRoman,BoldItalic"/>
        </w:rPr>
      </w:pPr>
      <w:r w:rsidRPr="00E22FBA">
        <w:rPr>
          <w:rFonts w:eastAsia="TimesNewRoman,BoldItalic"/>
        </w:rPr>
        <w:t>Analysis of immunogenicity</w:t>
      </w:r>
    </w:p>
    <w:p w14:paraId="7A5BDC08" w14:textId="77777777" w:rsidR="00F30851" w:rsidRPr="00004DF2" w:rsidRDefault="00F30851" w:rsidP="00A06C4B">
      <w:pPr>
        <w:rPr>
          <w:rFonts w:eastAsia="TimesNewRoman,BoldItalic" w:cs="TimesNewRoman,BoldItalic"/>
          <w:b/>
          <w:bCs/>
          <w:i/>
          <w:iCs/>
        </w:rPr>
      </w:pPr>
      <w:r w:rsidRPr="00E22FBA">
        <w:t>The primary analysis was based on the ATP cohort for analysis of immunogenicity and was performed on</w:t>
      </w:r>
      <w:r>
        <w:t xml:space="preserve"> </w:t>
      </w:r>
      <w:r w:rsidRPr="00E22FBA">
        <w:t>the subjects from the immuno sub-cohort for each vaccine strain, overall (all cohorts pooled) and by</w:t>
      </w:r>
      <w:r>
        <w:t xml:space="preserve"> </w:t>
      </w:r>
      <w:r w:rsidRPr="00E22FBA">
        <w:t>cohort. Since the percentage of subjects excluded from the ATP cohort for analysis of immunogenicity was</w:t>
      </w:r>
      <w:r>
        <w:t xml:space="preserve"> </w:t>
      </w:r>
      <w:r w:rsidRPr="00E22FBA">
        <w:t>greater than 5%, a second analysis based on the TVC was performed to complement the ATP analysis, as</w:t>
      </w:r>
      <w:r>
        <w:t xml:space="preserve"> </w:t>
      </w:r>
      <w:r w:rsidRPr="00E22FBA">
        <w:t xml:space="preserve">per </w:t>
      </w:r>
      <w:r>
        <w:t>the statistical analysis plan</w:t>
      </w:r>
      <w:r w:rsidRPr="00E22FBA">
        <w:t>.</w:t>
      </w:r>
    </w:p>
    <w:p w14:paraId="31151E49" w14:textId="77777777" w:rsidR="00A06C4B" w:rsidRDefault="00F30851" w:rsidP="00A06C4B">
      <w:pPr>
        <w:pStyle w:val="Heading6"/>
        <w:rPr>
          <w:rFonts w:eastAsia="TimesNewRoman,BoldItalic"/>
        </w:rPr>
      </w:pPr>
      <w:r w:rsidRPr="00E22FBA">
        <w:rPr>
          <w:rFonts w:eastAsia="TimesNewRoman,BoldItalic"/>
        </w:rPr>
        <w:t>Within groups assessment</w:t>
      </w:r>
    </w:p>
    <w:p w14:paraId="1237A845" w14:textId="77777777" w:rsidR="00F30851" w:rsidRPr="00CF1739" w:rsidRDefault="00F30851" w:rsidP="00A06C4B">
      <w:pPr>
        <w:rPr>
          <w:rFonts w:eastAsia="TimesNewRoman,BoldItalic" w:cs="TimesNewRoman,BoldItalic"/>
          <w:b/>
          <w:bCs/>
          <w:i/>
          <w:iCs/>
        </w:rPr>
      </w:pPr>
      <w:r w:rsidRPr="00E22FBA">
        <w:t>For the humoral response in terms of HI antibodies for all vaccine strains, the following parameters were</w:t>
      </w:r>
      <w:r>
        <w:t xml:space="preserve"> </w:t>
      </w:r>
      <w:r w:rsidRPr="00E22FBA">
        <w:t>calculated by</w:t>
      </w:r>
      <w:r w:rsidR="00CE366D">
        <w:t xml:space="preserve"> group </w:t>
      </w:r>
      <w:r w:rsidRPr="00E22FBA">
        <w:t>for subjects from the immuno sub-cohort:</w:t>
      </w:r>
      <w:r>
        <w:rPr>
          <w:rFonts w:eastAsia="TimesNewRoman,BoldItalic" w:cs="TimesNewRoman,BoldItalic"/>
          <w:b/>
          <w:bCs/>
          <w:i/>
          <w:iCs/>
        </w:rPr>
        <w:t xml:space="preserve"> </w:t>
      </w:r>
      <w:r w:rsidRPr="00CF1739">
        <w:t>GMT of HI at Day 0 and at Day 28/56 with 95% CI</w:t>
      </w:r>
      <w:r>
        <w:rPr>
          <w:rFonts w:eastAsia="TimesNewRoman,BoldItalic" w:cs="TimesNewRoman,BoldItalic"/>
          <w:b/>
          <w:bCs/>
          <w:i/>
          <w:iCs/>
        </w:rPr>
        <w:t xml:space="preserve">; </w:t>
      </w:r>
      <w:r w:rsidRPr="00CF1739">
        <w:t>SCR at Day 28/56 with 95% CI</w:t>
      </w:r>
      <w:r>
        <w:rPr>
          <w:rFonts w:eastAsia="TimesNewRoman,BoldItalic" w:cs="TimesNewRoman,BoldItalic"/>
          <w:b/>
          <w:bCs/>
          <w:i/>
          <w:iCs/>
        </w:rPr>
        <w:t xml:space="preserve">; </w:t>
      </w:r>
      <w:r w:rsidRPr="00CF1739">
        <w:t>MGI at Day 28/56 with 95% CI</w:t>
      </w:r>
      <w:r>
        <w:rPr>
          <w:rFonts w:eastAsia="TimesNewRoman,BoldItalic" w:cs="TimesNewRoman,BoldItalic"/>
          <w:b/>
          <w:bCs/>
          <w:i/>
          <w:iCs/>
        </w:rPr>
        <w:t xml:space="preserve">; </w:t>
      </w:r>
      <w:r w:rsidRPr="00CF1739">
        <w:t>SPR at Day 0 and at Day 28/56 with exact 95% CI.</w:t>
      </w:r>
      <w:r>
        <w:rPr>
          <w:rFonts w:eastAsia="TimesNewRoman,BoldItalic" w:cs="TimesNewRoman,BoldItalic"/>
          <w:b/>
          <w:bCs/>
          <w:i/>
          <w:iCs/>
        </w:rPr>
        <w:t xml:space="preserve"> </w:t>
      </w:r>
      <w:r w:rsidRPr="00CF1739">
        <w:t>For the humoral response in terms of neutralising and anti-neuraminidase antibodies, the</w:t>
      </w:r>
      <w:r w:rsidR="00943514">
        <w:t xml:space="preserve"> </w:t>
      </w:r>
      <w:r w:rsidRPr="00CF1739">
        <w:t>following parameters were calculated, by</w:t>
      </w:r>
      <w:r w:rsidR="007C384B">
        <w:t xml:space="preserve"> group,</w:t>
      </w:r>
      <w:r w:rsidRPr="00CF1739">
        <w:t xml:space="preserve"> for a subset of subjects from the immuno sub-cohort: Seropositivity and GMTs at Days 0 and at Day 28/56 with 95% CI; Vaccine response rate (VRR) at Day 28/56 with 95% CI; MGI at Day 28/56 with 95% CI.</w:t>
      </w:r>
    </w:p>
    <w:p w14:paraId="7C3F190F" w14:textId="77777777" w:rsidR="00F30851" w:rsidRPr="00E22FBA" w:rsidRDefault="00F30851" w:rsidP="00A06C4B">
      <w:pPr>
        <w:pStyle w:val="Heading6"/>
        <w:rPr>
          <w:rFonts w:eastAsia="TimesNewRoman,BoldItalic"/>
        </w:rPr>
      </w:pPr>
      <w:r w:rsidRPr="00E22FBA">
        <w:rPr>
          <w:rFonts w:eastAsia="TimesNewRoman,BoldItalic"/>
        </w:rPr>
        <w:t>Analysis of safety</w:t>
      </w:r>
    </w:p>
    <w:p w14:paraId="1BB144EB" w14:textId="77777777" w:rsidR="00F30851" w:rsidRDefault="00F30851" w:rsidP="00A06C4B">
      <w:r w:rsidRPr="00E22FBA">
        <w:t>The primary analysis was performed on the TVC.</w:t>
      </w:r>
      <w:r>
        <w:t xml:space="preserve"> </w:t>
      </w:r>
      <w:r w:rsidRPr="00E22FBA">
        <w:t xml:space="preserve">The </w:t>
      </w:r>
      <w:r>
        <w:t>%</w:t>
      </w:r>
      <w:r w:rsidRPr="00E22FBA">
        <w:t xml:space="preserve"> of subjects with </w:t>
      </w:r>
      <w:r>
        <w:t xml:space="preserve">≥1 </w:t>
      </w:r>
      <w:r w:rsidRPr="00E22FBA">
        <w:t xml:space="preserve">local AE (solicited and unsolicited), with </w:t>
      </w:r>
      <w:r w:rsidRPr="00004DF2">
        <w:t xml:space="preserve">≥1 </w:t>
      </w:r>
      <w:r w:rsidRPr="00E22FBA">
        <w:t>general</w:t>
      </w:r>
      <w:r>
        <w:t xml:space="preserve"> AE (solicited/</w:t>
      </w:r>
      <w:r w:rsidRPr="00E22FBA">
        <w:t>unsolicited) and with any AE (solicited and unsolicited) during the 7</w:t>
      </w:r>
      <w:r w:rsidR="00A06C4B">
        <w:t xml:space="preserve"> day </w:t>
      </w:r>
      <w:r w:rsidRPr="00E22FBA">
        <w:t>follow-up</w:t>
      </w:r>
      <w:r>
        <w:t xml:space="preserve"> </w:t>
      </w:r>
      <w:r w:rsidRPr="00E22FBA">
        <w:t xml:space="preserve">period were tabulated with their exact 95% CIs after each vaccine dose and overall. The </w:t>
      </w:r>
      <w:r>
        <w:t>%</w:t>
      </w:r>
      <w:r w:rsidRPr="00E22FBA">
        <w:t xml:space="preserve"> of</w:t>
      </w:r>
      <w:r>
        <w:t xml:space="preserve"> doses followed by </w:t>
      </w:r>
      <w:r w:rsidRPr="00004DF2">
        <w:t xml:space="preserve">≥1 </w:t>
      </w:r>
      <w:r>
        <w:t>local AE (solicited/</w:t>
      </w:r>
      <w:r w:rsidRPr="00E22FBA">
        <w:t>unsolicited), by at least one general AE (solicited</w:t>
      </w:r>
      <w:r>
        <w:t>/</w:t>
      </w:r>
      <w:r w:rsidRPr="00E22FBA">
        <w:t>unsolicite</w:t>
      </w:r>
      <w:r>
        <w:t>d) and by any AE (solicited/</w:t>
      </w:r>
      <w:r w:rsidRPr="00E22FBA">
        <w:t>unsolicited) were tabulated in the same table.</w:t>
      </w:r>
      <w:r>
        <w:t xml:space="preserve"> </w:t>
      </w:r>
      <w:r w:rsidRPr="00E22FBA">
        <w:t xml:space="preserve">The same tabulation was done for subjects with </w:t>
      </w:r>
      <w:r>
        <w:t xml:space="preserve">≥1 local </w:t>
      </w:r>
      <w:r w:rsidRPr="00E22FBA">
        <w:t>solicited</w:t>
      </w:r>
      <w:r>
        <w:t xml:space="preserve"> </w:t>
      </w:r>
      <w:r w:rsidRPr="00E22FBA">
        <w:t xml:space="preserve">AE, with </w:t>
      </w:r>
      <w:r w:rsidRPr="00004DF2">
        <w:t xml:space="preserve">≥1 </w:t>
      </w:r>
      <w:r w:rsidRPr="00E22FBA">
        <w:t>general</w:t>
      </w:r>
      <w:r>
        <w:t xml:space="preserve"> </w:t>
      </w:r>
      <w:r w:rsidRPr="00E22FBA">
        <w:t>solicited AE and with any solicited AE during the 7</w:t>
      </w:r>
      <w:r w:rsidR="00A06C4B">
        <w:t xml:space="preserve"> day </w:t>
      </w:r>
      <w:r w:rsidRPr="00E22FBA">
        <w:t>solicited follow-up period.</w:t>
      </w:r>
      <w:r>
        <w:t xml:space="preserve"> </w:t>
      </w:r>
      <w:r w:rsidRPr="00E22FBA">
        <w:t xml:space="preserve">The same tabulation was also done for </w:t>
      </w:r>
      <w:r w:rsidR="00A06C4B">
        <w:t>Grade 3</w:t>
      </w:r>
      <w:r w:rsidRPr="00E22FBA">
        <w:t xml:space="preserve"> AEs, related AEs and </w:t>
      </w:r>
      <w:r w:rsidR="00A06C4B">
        <w:t>Grade 3</w:t>
      </w:r>
      <w:r w:rsidRPr="00E22FBA">
        <w:t xml:space="preserve"> related AEs.</w:t>
      </w:r>
      <w:r>
        <w:t xml:space="preserve"> </w:t>
      </w:r>
      <w:r w:rsidRPr="00E22FBA">
        <w:t xml:space="preserve">The </w:t>
      </w:r>
      <w:r>
        <w:t>%</w:t>
      </w:r>
      <w:r w:rsidRPr="00E22FBA">
        <w:t xml:space="preserve"> of subjects reporting each individual solicited local (any, </w:t>
      </w:r>
      <w:r w:rsidR="00A06C4B">
        <w:t>Grade 3</w:t>
      </w:r>
      <w:r w:rsidRPr="00E22FBA">
        <w:t xml:space="preserve"> and medically attended)</w:t>
      </w:r>
      <w:r>
        <w:t xml:space="preserve"> </w:t>
      </w:r>
      <w:r w:rsidRPr="00E22FBA">
        <w:t xml:space="preserve">and general (any, </w:t>
      </w:r>
      <w:r w:rsidR="00A06C4B">
        <w:t>Grade 3</w:t>
      </w:r>
      <w:r w:rsidRPr="00E22FBA">
        <w:t xml:space="preserve">, related, </w:t>
      </w:r>
      <w:r w:rsidR="00A06C4B">
        <w:t>Grade 3</w:t>
      </w:r>
      <w:r w:rsidRPr="00E22FBA">
        <w:t xml:space="preserve"> related and medically attended) AE during the 7</w:t>
      </w:r>
      <w:r w:rsidR="00A06C4B">
        <w:t xml:space="preserve"> day </w:t>
      </w:r>
      <w:r w:rsidRPr="00E22FBA">
        <w:t>solicited</w:t>
      </w:r>
      <w:r>
        <w:t xml:space="preserve"> </w:t>
      </w:r>
      <w:r w:rsidRPr="00E22FBA">
        <w:t xml:space="preserve">follow-up period were tabulated with exact 95% CI. The </w:t>
      </w:r>
      <w:r>
        <w:t>%</w:t>
      </w:r>
      <w:r w:rsidRPr="00E22FBA">
        <w:t xml:space="preserve"> of doses followed </w:t>
      </w:r>
      <w:r w:rsidRPr="00E22FBA">
        <w:lastRenderedPageBreak/>
        <w:t>by each individual</w:t>
      </w:r>
      <w:r>
        <w:t xml:space="preserve"> </w:t>
      </w:r>
      <w:r w:rsidRPr="00E22FBA">
        <w:t>solicited local and general AE were tabulated, with exact 95% CI. Occurrence of fever was reported per</w:t>
      </w:r>
      <w:r>
        <w:t xml:space="preserve"> </w:t>
      </w:r>
      <w:r w:rsidRPr="00E22FBA">
        <w:t xml:space="preserve">0.5°C cumulative increments starting from 38°C by any route. The </w:t>
      </w:r>
      <w:r>
        <w:t>%</w:t>
      </w:r>
      <w:r w:rsidRPr="00E22FBA">
        <w:t xml:space="preserve"> of subjects with </w:t>
      </w:r>
      <w:r w:rsidRPr="000D477B">
        <w:t xml:space="preserve">≥1 </w:t>
      </w:r>
      <w:r w:rsidRPr="00E22FBA">
        <w:t>report of unsolicited AE classified by the Medical Dictionary for Regulatory Activities (MedDRA) and</w:t>
      </w:r>
      <w:r>
        <w:t xml:space="preserve"> </w:t>
      </w:r>
      <w:r w:rsidRPr="00E22FBA">
        <w:t>reported up t</w:t>
      </w:r>
      <w:r>
        <w:t xml:space="preserve">o 28 days after vaccination </w:t>
      </w:r>
      <w:r w:rsidRPr="00E22FBA">
        <w:t>tabulated with exact 95% CI. The same tabulation was</w:t>
      </w:r>
      <w:r>
        <w:t xml:space="preserve"> </w:t>
      </w:r>
      <w:r w:rsidRPr="00E22FBA">
        <w:t xml:space="preserve">performed for </w:t>
      </w:r>
      <w:r w:rsidR="00A06C4B">
        <w:t>Grade 3</w:t>
      </w:r>
      <w:r w:rsidRPr="00E22FBA">
        <w:t xml:space="preserve"> unsolicited AEs, for unsolicited AEs with a relationship to vaccination and </w:t>
      </w:r>
      <w:r w:rsidR="00A06C4B">
        <w:t>Grade 3</w:t>
      </w:r>
      <w:r>
        <w:t xml:space="preserve"> </w:t>
      </w:r>
      <w:r w:rsidRPr="00E22FBA">
        <w:t>unsolicited AEs with relationship to vaccination.</w:t>
      </w:r>
      <w:r>
        <w:t xml:space="preserve"> </w:t>
      </w:r>
      <w:r w:rsidRPr="00E22FBA">
        <w:t xml:space="preserve">The </w:t>
      </w:r>
      <w:r>
        <w:t>%</w:t>
      </w:r>
      <w:r w:rsidRPr="00E22FBA">
        <w:t xml:space="preserve"> of subjects and </w:t>
      </w:r>
      <w:r>
        <w:t>%</w:t>
      </w:r>
      <w:r w:rsidRPr="00E22FBA">
        <w:t xml:space="preserve"> of doses reporting A</w:t>
      </w:r>
      <w:r>
        <w:t xml:space="preserve">Es resulting in a MAV were </w:t>
      </w:r>
      <w:r w:rsidRPr="00E22FBA">
        <w:t>tabulated.</w:t>
      </w:r>
      <w:r>
        <w:t xml:space="preserve"> </w:t>
      </w:r>
      <w:r w:rsidRPr="00E22FBA">
        <w:t>AEs</w:t>
      </w:r>
      <w:r>
        <w:t xml:space="preserve"> with MAVs, SAEs and pIMDs </w:t>
      </w:r>
      <w:r w:rsidRPr="00E22FBA">
        <w:t>collected and summarised throu</w:t>
      </w:r>
      <w:r>
        <w:t>ghout the study duration</w:t>
      </w:r>
      <w:r w:rsidRPr="00E22FBA">
        <w:t>.</w:t>
      </w:r>
    </w:p>
    <w:p w14:paraId="7AADB792" w14:textId="77777777" w:rsidR="00F30851" w:rsidRPr="00576A03" w:rsidRDefault="00A06C4B" w:rsidP="00A06C4B">
      <w:pPr>
        <w:pStyle w:val="Heading5"/>
      </w:pPr>
      <w:r>
        <w:t>Participant flow</w:t>
      </w:r>
    </w:p>
    <w:p w14:paraId="756851D3" w14:textId="4147E41A" w:rsidR="00031B43" w:rsidRDefault="00F30851" w:rsidP="00031B43">
      <w:pPr>
        <w:pStyle w:val="Heading6"/>
        <w:rPr>
          <w:rFonts w:eastAsiaTheme="minorHAnsi"/>
        </w:rPr>
      </w:pPr>
      <w:r w:rsidRPr="00DD0F52">
        <w:rPr>
          <w:rFonts w:eastAsiaTheme="minorHAnsi"/>
        </w:rPr>
        <w:t xml:space="preserve">Study </w:t>
      </w:r>
      <w:r w:rsidR="00486721">
        <w:rPr>
          <w:rFonts w:eastAsiaTheme="minorHAnsi"/>
        </w:rPr>
        <w:t>p</w:t>
      </w:r>
      <w:r w:rsidRPr="00DD0F52">
        <w:rPr>
          <w:rFonts w:eastAsiaTheme="minorHAnsi"/>
        </w:rPr>
        <w:t>opulation</w:t>
      </w:r>
    </w:p>
    <w:p w14:paraId="3E17FA2C" w14:textId="77777777" w:rsidR="00F30851" w:rsidRPr="00947C34" w:rsidRDefault="00F30851" w:rsidP="00F30851">
      <w:pPr>
        <w:autoSpaceDE w:val="0"/>
        <w:autoSpaceDN w:val="0"/>
        <w:adjustRightInd w:val="0"/>
        <w:spacing w:before="0" w:after="0" w:line="240" w:lineRule="auto"/>
        <w:rPr>
          <w:rFonts w:asciiTheme="minorHAnsi" w:eastAsiaTheme="minorHAnsi" w:hAnsiTheme="minorHAnsi" w:cs="TimesNewRoman,Bold"/>
          <w:b/>
          <w:bCs/>
        </w:rPr>
      </w:pPr>
      <w:r w:rsidRPr="00DD0F52">
        <w:rPr>
          <w:rFonts w:asciiTheme="minorHAnsi" w:eastAsia="TimesNewRoman" w:hAnsiTheme="minorHAnsi" w:cs="TimesNewRoman"/>
        </w:rPr>
        <w:t xml:space="preserve">TVC </w:t>
      </w:r>
      <w:r>
        <w:rPr>
          <w:rFonts w:asciiTheme="minorHAnsi" w:eastAsia="TimesNewRoman" w:hAnsiTheme="minorHAnsi" w:cs="TimesNewRoman"/>
        </w:rPr>
        <w:t>=</w:t>
      </w:r>
      <w:r w:rsidRPr="00DD0F52">
        <w:rPr>
          <w:rFonts w:asciiTheme="minorHAnsi" w:eastAsia="TimesNewRoman" w:hAnsiTheme="minorHAnsi" w:cs="TimesNewRoman"/>
        </w:rPr>
        <w:t xml:space="preserve"> 12,018 subje</w:t>
      </w:r>
      <w:r>
        <w:rPr>
          <w:rFonts w:asciiTheme="minorHAnsi" w:eastAsia="TimesNewRoman" w:hAnsiTheme="minorHAnsi" w:cs="TimesNewRoman"/>
        </w:rPr>
        <w:t xml:space="preserve">cts (6,006 in the </w:t>
      </w:r>
      <w:r w:rsidR="00E278CC">
        <w:rPr>
          <w:rFonts w:asciiTheme="minorHAnsi" w:eastAsia="TimesNewRoman" w:hAnsiTheme="minorHAnsi" w:cs="TimesNewRoman"/>
        </w:rPr>
        <w:t>Fluarix Tetra</w:t>
      </w:r>
      <w:r w:rsidR="00CE366D">
        <w:rPr>
          <w:rFonts w:asciiTheme="minorHAnsi" w:eastAsia="TimesNewRoman" w:hAnsiTheme="minorHAnsi" w:cs="TimesNewRoman"/>
        </w:rPr>
        <w:t xml:space="preserve"> group </w:t>
      </w:r>
      <w:r>
        <w:rPr>
          <w:rFonts w:asciiTheme="minorHAnsi" w:eastAsia="TimesNewRoman" w:hAnsiTheme="minorHAnsi" w:cs="TimesNewRoman"/>
        </w:rPr>
        <w:t xml:space="preserve">and 6,012 in the </w:t>
      </w:r>
      <w:r w:rsidR="005E57AC">
        <w:rPr>
          <w:rFonts w:asciiTheme="minorHAnsi" w:eastAsia="TimesNewRoman" w:hAnsiTheme="minorHAnsi" w:cs="TimesNewRoman"/>
        </w:rPr>
        <w:t>control group</w:t>
      </w:r>
      <w:r w:rsidRPr="00DD0F52">
        <w:rPr>
          <w:rFonts w:asciiTheme="minorHAnsi" w:eastAsia="TimesNewRoman" w:hAnsiTheme="minorHAnsi" w:cs="TimesNewRoman"/>
        </w:rPr>
        <w:t>. Ou</w:t>
      </w:r>
      <w:r>
        <w:rPr>
          <w:rFonts w:asciiTheme="minorHAnsi" w:eastAsia="TimesNewRoman" w:hAnsiTheme="minorHAnsi" w:cs="TimesNewRoman"/>
        </w:rPr>
        <w:t xml:space="preserve">t </w:t>
      </w:r>
      <w:r w:rsidRPr="00DD0F52">
        <w:rPr>
          <w:rFonts w:asciiTheme="minorHAnsi" w:eastAsia="TimesNewRoman" w:hAnsiTheme="minorHAnsi" w:cs="TimesNewRoman"/>
        </w:rPr>
        <w:t xml:space="preserve">of these, 11,205 subjects (5604 </w:t>
      </w:r>
      <w:r w:rsidR="00E278CC">
        <w:rPr>
          <w:rFonts w:asciiTheme="minorHAnsi" w:eastAsia="TimesNewRoman" w:hAnsiTheme="minorHAnsi" w:cs="TimesNewRoman"/>
        </w:rPr>
        <w:t>Fluarix Tetra</w:t>
      </w:r>
      <w:r w:rsidRPr="00DD0F52">
        <w:rPr>
          <w:rFonts w:asciiTheme="minorHAnsi" w:eastAsia="TimesNewRoman" w:hAnsiTheme="minorHAnsi" w:cs="TimesNewRoman"/>
        </w:rPr>
        <w:t xml:space="preserve"> and 5601 Control) were included in the ATP-E cohort, 11404</w:t>
      </w:r>
      <w:r>
        <w:rPr>
          <w:rFonts w:asciiTheme="minorHAnsi" w:eastAsiaTheme="minorHAnsi" w:hAnsiTheme="minorHAnsi" w:cs="TimesNewRoman,Bold"/>
          <w:b/>
          <w:bCs/>
        </w:rPr>
        <w:t xml:space="preserve"> </w:t>
      </w:r>
      <w:r w:rsidRPr="00DD0F52">
        <w:rPr>
          <w:rFonts w:asciiTheme="minorHAnsi" w:eastAsia="TimesNewRoman" w:hAnsiTheme="minorHAnsi" w:cs="TimesNewRoman"/>
        </w:rPr>
        <w:t xml:space="preserve">subjects (5707 </w:t>
      </w:r>
      <w:r w:rsidR="00E278CC">
        <w:rPr>
          <w:rFonts w:asciiTheme="minorHAnsi" w:eastAsia="TimesNewRoman" w:hAnsiTheme="minorHAnsi" w:cs="TimesNewRoman"/>
        </w:rPr>
        <w:t>Fluarix Tetra</w:t>
      </w:r>
      <w:r w:rsidRPr="00DD0F52">
        <w:rPr>
          <w:rFonts w:asciiTheme="minorHAnsi" w:eastAsia="TimesNewRoman" w:hAnsiTheme="minorHAnsi" w:cs="TimesNewRoman"/>
        </w:rPr>
        <w:t xml:space="preserve"> and 5697 Control) were included in the ATP-E - Time to event cohort, and</w:t>
      </w:r>
      <w:r>
        <w:rPr>
          <w:rFonts w:asciiTheme="minorHAnsi" w:eastAsia="TimesNewRoman" w:hAnsiTheme="minorHAnsi" w:cs="TimesNewRoman"/>
        </w:rPr>
        <w:t xml:space="preserve"> </w:t>
      </w:r>
      <w:r w:rsidRPr="00DD0F52">
        <w:rPr>
          <w:rFonts w:asciiTheme="minorHAnsi" w:eastAsia="TimesNewRoman" w:hAnsiTheme="minorHAnsi" w:cs="TimesNewRoman"/>
        </w:rPr>
        <w:t>11,612 subjects (96</w:t>
      </w:r>
      <w:r>
        <w:rPr>
          <w:rFonts w:asciiTheme="minorHAnsi" w:eastAsia="TimesNewRoman" w:hAnsiTheme="minorHAnsi" w:cs="TimesNewRoman"/>
        </w:rPr>
        <w:t xml:space="preserve">.6%) (5,808 in the </w:t>
      </w:r>
      <w:r w:rsidR="00E278CC">
        <w:rPr>
          <w:rFonts w:asciiTheme="minorHAnsi" w:eastAsia="TimesNewRoman" w:hAnsiTheme="minorHAnsi" w:cs="TimesNewRoman"/>
        </w:rPr>
        <w:t>Fluarix Tetra</w:t>
      </w:r>
      <w:r w:rsidR="00CE366D">
        <w:rPr>
          <w:rFonts w:asciiTheme="minorHAnsi" w:eastAsia="TimesNewRoman" w:hAnsiTheme="minorHAnsi" w:cs="TimesNewRoman"/>
        </w:rPr>
        <w:t xml:space="preserve"> group </w:t>
      </w:r>
      <w:r>
        <w:rPr>
          <w:rFonts w:asciiTheme="minorHAnsi" w:eastAsia="TimesNewRoman" w:hAnsiTheme="minorHAnsi" w:cs="TimesNewRoman"/>
        </w:rPr>
        <w:t>and 5,804 in the control</w:t>
      </w:r>
      <w:r w:rsidR="00E278CC">
        <w:rPr>
          <w:rFonts w:asciiTheme="minorHAnsi" w:eastAsia="TimesNewRoman" w:hAnsiTheme="minorHAnsi" w:cs="TimesNewRoman"/>
        </w:rPr>
        <w:t xml:space="preserve"> group)</w:t>
      </w:r>
      <w:r w:rsidRPr="00DD0F52">
        <w:rPr>
          <w:rFonts w:asciiTheme="minorHAnsi" w:eastAsia="TimesNewRoman" w:hAnsiTheme="minorHAnsi" w:cs="TimesNewRoman"/>
        </w:rPr>
        <w:t xml:space="preserve"> completed the</w:t>
      </w:r>
      <w:r>
        <w:rPr>
          <w:rFonts w:asciiTheme="minorHAnsi" w:eastAsia="TimesNewRoman" w:hAnsiTheme="minorHAnsi" w:cs="TimesNewRoman"/>
        </w:rPr>
        <w:t xml:space="preserve"> </w:t>
      </w:r>
      <w:r w:rsidRPr="00DD0F52">
        <w:rPr>
          <w:rFonts w:asciiTheme="minorHAnsi" w:eastAsia="TimesNewRoman" w:hAnsiTheme="minorHAnsi" w:cs="TimesNewRoman"/>
        </w:rPr>
        <w:t xml:space="preserve">study. From the 1578 subject (933 </w:t>
      </w:r>
      <w:r w:rsidR="00E278CC">
        <w:rPr>
          <w:rFonts w:asciiTheme="minorHAnsi" w:eastAsia="TimesNewRoman" w:hAnsiTheme="minorHAnsi" w:cs="TimesNewRoman"/>
        </w:rPr>
        <w:t>Fluarix Tetra</w:t>
      </w:r>
      <w:r w:rsidRPr="00DD0F52">
        <w:rPr>
          <w:rFonts w:asciiTheme="minorHAnsi" w:eastAsia="TimesNewRoman" w:hAnsiTheme="minorHAnsi" w:cs="TimesNewRoman"/>
        </w:rPr>
        <w:t xml:space="preserve"> and 645 Control) enrolled in the immuno sub-cohort, 1332</w:t>
      </w:r>
      <w:r>
        <w:rPr>
          <w:rFonts w:asciiTheme="minorHAnsi" w:eastAsia="TimesNewRoman" w:hAnsiTheme="minorHAnsi" w:cs="TimesNewRoman"/>
        </w:rPr>
        <w:t xml:space="preserve"> </w:t>
      </w:r>
      <w:r w:rsidRPr="00DD0F52">
        <w:rPr>
          <w:rFonts w:asciiTheme="minorHAnsi" w:eastAsia="TimesNewRoman" w:hAnsiTheme="minorHAnsi" w:cs="TimesNewRoman"/>
        </w:rPr>
        <w:t xml:space="preserve">subjects (753 </w:t>
      </w:r>
      <w:r w:rsidR="00E278CC">
        <w:rPr>
          <w:rFonts w:asciiTheme="minorHAnsi" w:eastAsia="TimesNewRoman" w:hAnsiTheme="minorHAnsi" w:cs="TimesNewRoman"/>
        </w:rPr>
        <w:t>Fluarix Tetra</w:t>
      </w:r>
      <w:r w:rsidRPr="00DD0F52">
        <w:rPr>
          <w:rFonts w:asciiTheme="minorHAnsi" w:eastAsia="TimesNewRoman" w:hAnsiTheme="minorHAnsi" w:cs="TimesNewRoman"/>
        </w:rPr>
        <w:t xml:space="preserve"> and 579 Control) were included in the ATP cohort for immunogenicity.</w:t>
      </w:r>
    </w:p>
    <w:p w14:paraId="38E540D4" w14:textId="77777777" w:rsidR="00F30851" w:rsidRPr="00576A03" w:rsidRDefault="00F30851" w:rsidP="00031B43">
      <w:pPr>
        <w:pStyle w:val="Heading5"/>
        <w:numPr>
          <w:ilvl w:val="3"/>
          <w:numId w:val="12"/>
        </w:numPr>
      </w:pPr>
      <w:r w:rsidRPr="00576A03">
        <w:t>Major protocol violations/deviations</w:t>
      </w:r>
    </w:p>
    <w:p w14:paraId="4DF4CC7F" w14:textId="77777777" w:rsidR="00F30851" w:rsidRPr="00F73250" w:rsidRDefault="00F30851" w:rsidP="00031B43">
      <w:r w:rsidRPr="00F73250">
        <w:t>During the conduct of the study, the following important deviations from GCP</w:t>
      </w:r>
      <w:r>
        <w:t xml:space="preserve"> </w:t>
      </w:r>
      <w:r w:rsidRPr="00F73250">
        <w:t>compliance were identified by GSK for which an elimination code was attributed to a</w:t>
      </w:r>
      <w:r>
        <w:t xml:space="preserve"> </w:t>
      </w:r>
      <w:r w:rsidRPr="00F73250">
        <w:t xml:space="preserve">subject. It is possible that one subject received </w:t>
      </w:r>
      <w:r w:rsidR="00031B43">
        <w:t>more than one elimination code.</w:t>
      </w:r>
    </w:p>
    <w:p w14:paraId="435608EA" w14:textId="77777777" w:rsidR="00031B43" w:rsidRDefault="00F30851" w:rsidP="00031B43">
      <w:pPr>
        <w:pStyle w:val="Heading6"/>
        <w:rPr>
          <w:rFonts w:eastAsia="TimesNewRoman"/>
        </w:rPr>
      </w:pPr>
      <w:r w:rsidRPr="00AE314C">
        <w:rPr>
          <w:rFonts w:eastAsia="TimesNewRoman"/>
        </w:rPr>
        <w:t>Deviations related to ICF</w:t>
      </w:r>
    </w:p>
    <w:p w14:paraId="56A0DE9C" w14:textId="77777777" w:rsidR="00F30851" w:rsidRPr="00AE314C" w:rsidRDefault="00F30851" w:rsidP="00031B43">
      <w:pPr>
        <w:rPr>
          <w:rFonts w:cs="TimesNewRoman,Bold"/>
          <w:b/>
          <w:bCs/>
        </w:rPr>
      </w:pPr>
      <w:r w:rsidRPr="00AE314C">
        <w:t>21 subj</w:t>
      </w:r>
      <w:r w:rsidR="00031B43">
        <w:t>ects related to an invalid ICF.</w:t>
      </w:r>
    </w:p>
    <w:p w14:paraId="7488EC32" w14:textId="77777777" w:rsidR="00031B43" w:rsidRDefault="00F30851" w:rsidP="00031B43">
      <w:pPr>
        <w:pStyle w:val="Heading6"/>
        <w:rPr>
          <w:rFonts w:eastAsiaTheme="minorHAnsi"/>
        </w:rPr>
      </w:pPr>
      <w:r w:rsidRPr="00AE314C">
        <w:rPr>
          <w:rFonts w:eastAsiaTheme="minorHAnsi"/>
        </w:rPr>
        <w:t>Deviations related to concomitant vaccination not allowed by the protocol</w:t>
      </w:r>
    </w:p>
    <w:p w14:paraId="43DA3F16" w14:textId="77777777" w:rsidR="00F30851" w:rsidRPr="00AE314C" w:rsidRDefault="00F30851" w:rsidP="00031B43">
      <w:pPr>
        <w:rPr>
          <w:rFonts w:cs="TimesNewRoman,Bold"/>
          <w:b/>
          <w:bCs/>
        </w:rPr>
      </w:pPr>
      <w:r w:rsidRPr="00AE314C">
        <w:t>1 subject received a vaccine during the study that was not allowed.</w:t>
      </w:r>
    </w:p>
    <w:p w14:paraId="26B311D3" w14:textId="77777777" w:rsidR="00031B43" w:rsidRDefault="00F30851" w:rsidP="00031B43">
      <w:pPr>
        <w:pStyle w:val="Heading6"/>
        <w:rPr>
          <w:rFonts w:eastAsiaTheme="minorHAnsi"/>
        </w:rPr>
      </w:pPr>
      <w:r w:rsidRPr="00AE314C">
        <w:rPr>
          <w:rFonts w:eastAsiaTheme="minorHAnsi"/>
        </w:rPr>
        <w:t>Deviations related to randomisation</w:t>
      </w:r>
    </w:p>
    <w:p w14:paraId="3EBF9588" w14:textId="77777777" w:rsidR="00F30851" w:rsidRPr="00AE314C" w:rsidRDefault="00F30851" w:rsidP="00031B43">
      <w:pPr>
        <w:rPr>
          <w:rFonts w:cs="TimesNewRoman,Bold"/>
          <w:b/>
          <w:bCs/>
        </w:rPr>
      </w:pPr>
      <w:r w:rsidRPr="00AE314C">
        <w:t>10 subjects received a code for randomisation failure.</w:t>
      </w:r>
    </w:p>
    <w:p w14:paraId="56D85FFE" w14:textId="77777777" w:rsidR="00031B43" w:rsidRDefault="00F30851" w:rsidP="00031B43">
      <w:pPr>
        <w:pStyle w:val="Heading6"/>
        <w:rPr>
          <w:rFonts w:eastAsiaTheme="minorHAnsi"/>
        </w:rPr>
      </w:pPr>
      <w:r w:rsidRPr="00AE314C">
        <w:rPr>
          <w:rFonts w:eastAsiaTheme="minorHAnsi"/>
        </w:rPr>
        <w:t>De</w:t>
      </w:r>
      <w:r w:rsidR="00031B43">
        <w:rPr>
          <w:rFonts w:eastAsiaTheme="minorHAnsi"/>
        </w:rPr>
        <w:t>viations related to unblinding</w:t>
      </w:r>
    </w:p>
    <w:p w14:paraId="45E76818" w14:textId="77777777" w:rsidR="00F30851" w:rsidRPr="00AE314C" w:rsidRDefault="00F30851" w:rsidP="00031B43">
      <w:pPr>
        <w:rPr>
          <w:rFonts w:eastAsia="TimesNewRoman" w:cs="TimesNewRoman"/>
          <w:color w:val="000000"/>
        </w:rPr>
      </w:pPr>
      <w:r w:rsidRPr="00AE314C">
        <w:t>224 subjects received a code for randomisation code broken.</w:t>
      </w:r>
    </w:p>
    <w:p w14:paraId="59912BDF" w14:textId="77777777" w:rsidR="00031B43" w:rsidRDefault="00F30851" w:rsidP="00031B43">
      <w:pPr>
        <w:pStyle w:val="Heading6"/>
        <w:rPr>
          <w:rFonts w:eastAsiaTheme="minorHAnsi"/>
        </w:rPr>
      </w:pPr>
      <w:r w:rsidRPr="00AE314C">
        <w:rPr>
          <w:rFonts w:eastAsiaTheme="minorHAnsi"/>
        </w:rPr>
        <w:t>Deviations related to vaccination not performed according to protocol</w:t>
      </w:r>
    </w:p>
    <w:p w14:paraId="314CEAF8" w14:textId="77777777" w:rsidR="00F30851" w:rsidRPr="00AE314C" w:rsidRDefault="00F30851" w:rsidP="00031B43">
      <w:pPr>
        <w:rPr>
          <w:rFonts w:cs="TimesNewRoman,Bold"/>
          <w:b/>
          <w:bCs/>
        </w:rPr>
      </w:pPr>
      <w:r w:rsidRPr="00AE314C">
        <w:t>5 subjects received a vaccine not compatible with the vaccine regimen.</w:t>
      </w:r>
    </w:p>
    <w:p w14:paraId="6EDF0794" w14:textId="77777777" w:rsidR="00031B43" w:rsidRDefault="00F30851" w:rsidP="00031B43">
      <w:pPr>
        <w:pStyle w:val="Heading6"/>
        <w:rPr>
          <w:rFonts w:eastAsiaTheme="minorHAnsi"/>
        </w:rPr>
      </w:pPr>
      <w:r w:rsidRPr="00AE314C">
        <w:rPr>
          <w:rFonts w:eastAsiaTheme="minorHAnsi"/>
        </w:rPr>
        <w:t>Deviations related to inclusion/exclusion criteria</w:t>
      </w:r>
    </w:p>
    <w:p w14:paraId="7D32B0A6" w14:textId="77777777" w:rsidR="00F30851" w:rsidRPr="00AE314C" w:rsidRDefault="00F30851" w:rsidP="00031B43">
      <w:pPr>
        <w:rPr>
          <w:rFonts w:eastAsia="TimesNewRoman" w:cs="TimesNewRoman"/>
        </w:rPr>
      </w:pPr>
      <w:r w:rsidRPr="00AE314C">
        <w:t>15 subjects encountered a violation of inclusion/exclusion criteria.</w:t>
      </w:r>
    </w:p>
    <w:p w14:paraId="1CAFC220" w14:textId="77777777" w:rsidR="00031B43" w:rsidRDefault="00F30851" w:rsidP="00031B43">
      <w:pPr>
        <w:pStyle w:val="Heading6"/>
        <w:rPr>
          <w:rFonts w:eastAsiaTheme="minorHAnsi"/>
        </w:rPr>
      </w:pPr>
      <w:r w:rsidRPr="00AE314C">
        <w:rPr>
          <w:rFonts w:eastAsiaTheme="minorHAnsi"/>
        </w:rPr>
        <w:t>Deviations related to administration of medication not allowed by the protocol</w:t>
      </w:r>
    </w:p>
    <w:p w14:paraId="1DB6F5CE" w14:textId="77777777" w:rsidR="00F30851" w:rsidRPr="00AE314C" w:rsidRDefault="00F30851" w:rsidP="00031B43">
      <w:pPr>
        <w:rPr>
          <w:rFonts w:cs="TimesNewRoman,Bold"/>
          <w:b/>
          <w:bCs/>
        </w:rPr>
      </w:pPr>
      <w:r w:rsidRPr="00AE314C">
        <w:t>4 subjects received a medication not allowed by the study protocol.</w:t>
      </w:r>
    </w:p>
    <w:p w14:paraId="0F00B1D0" w14:textId="77777777" w:rsidR="00031B43" w:rsidRDefault="00F30851" w:rsidP="00031B43">
      <w:pPr>
        <w:pStyle w:val="Heading6"/>
        <w:rPr>
          <w:rFonts w:eastAsiaTheme="minorHAnsi"/>
        </w:rPr>
      </w:pPr>
      <w:r w:rsidRPr="00AE314C">
        <w:rPr>
          <w:rFonts w:eastAsiaTheme="minorHAnsi"/>
        </w:rPr>
        <w:t>Deviations related to non-compliance to the vaccination schedule</w:t>
      </w:r>
    </w:p>
    <w:p w14:paraId="28B2211A" w14:textId="77777777" w:rsidR="00F30851" w:rsidRPr="00AE314C" w:rsidRDefault="00F30851" w:rsidP="00031B43">
      <w:pPr>
        <w:rPr>
          <w:rFonts w:cs="TimesNewRoman,Bold"/>
          <w:b/>
          <w:bCs/>
        </w:rPr>
      </w:pPr>
      <w:r w:rsidRPr="00AE314C">
        <w:rPr>
          <w:rFonts w:cs="TimesNewRoman,Bold"/>
          <w:bCs/>
        </w:rPr>
        <w:t xml:space="preserve">In </w:t>
      </w:r>
      <w:r w:rsidRPr="00AE314C">
        <w:t>248 subjects, the second vaccine dose was provided</w:t>
      </w:r>
      <w:r w:rsidRPr="00AE314C">
        <w:rPr>
          <w:rFonts w:cs="TimesNewRoman,Bold"/>
          <w:b/>
          <w:bCs/>
        </w:rPr>
        <w:t xml:space="preserve"> </w:t>
      </w:r>
      <w:r w:rsidRPr="00AE314C">
        <w:t>outside the allowed interval.</w:t>
      </w:r>
    </w:p>
    <w:p w14:paraId="54ACA02F" w14:textId="77777777" w:rsidR="00031B43" w:rsidRDefault="00F30851" w:rsidP="00031B43">
      <w:pPr>
        <w:pStyle w:val="Heading6"/>
        <w:rPr>
          <w:rFonts w:eastAsiaTheme="minorHAnsi"/>
        </w:rPr>
      </w:pPr>
      <w:r w:rsidRPr="00AE314C">
        <w:rPr>
          <w:rFonts w:eastAsiaTheme="minorHAnsi"/>
        </w:rPr>
        <w:t>Deviation related to blood samples</w:t>
      </w:r>
    </w:p>
    <w:p w14:paraId="7D8A1EAF" w14:textId="77777777" w:rsidR="00F30851" w:rsidRPr="00AE314C" w:rsidRDefault="00F30851" w:rsidP="00031B43">
      <w:r w:rsidRPr="00AE314C">
        <w:t xml:space="preserve">220 subjects did </w:t>
      </w:r>
      <w:r w:rsidR="00031B43">
        <w:t>not comply with blood-sampling.</w:t>
      </w:r>
    </w:p>
    <w:p w14:paraId="36C82A31" w14:textId="77777777" w:rsidR="00031B43" w:rsidRDefault="00F30851" w:rsidP="00031B43">
      <w:pPr>
        <w:pStyle w:val="Heading6"/>
        <w:rPr>
          <w:rFonts w:eastAsiaTheme="minorHAnsi"/>
        </w:rPr>
      </w:pPr>
      <w:r w:rsidRPr="00AE314C">
        <w:rPr>
          <w:rFonts w:eastAsiaTheme="minorHAnsi"/>
        </w:rPr>
        <w:t>Deviations related to drop-outs</w:t>
      </w:r>
    </w:p>
    <w:p w14:paraId="38077524" w14:textId="77777777" w:rsidR="00F30851" w:rsidRPr="00AE314C" w:rsidRDefault="00F30851" w:rsidP="00031B43">
      <w:pPr>
        <w:rPr>
          <w:rFonts w:cs="TimesNewRoman,Bold"/>
          <w:b/>
          <w:bCs/>
        </w:rPr>
      </w:pPr>
      <w:r w:rsidRPr="00AE314C">
        <w:t>9 subjects dropped-out before the start of the surveillance period.</w:t>
      </w:r>
      <w:r w:rsidRPr="00AE314C">
        <w:rPr>
          <w:rFonts w:cs="TimesNewRoman,Bold"/>
          <w:b/>
          <w:bCs/>
        </w:rPr>
        <w:t xml:space="preserve"> </w:t>
      </w:r>
      <w:r w:rsidRPr="00AE314C">
        <w:t>This elimination code was only applicable for efficacy analyses.</w:t>
      </w:r>
    </w:p>
    <w:p w14:paraId="1125A9AB" w14:textId="22336929" w:rsidR="00F30851" w:rsidRPr="009E4FF3" w:rsidRDefault="00F30851" w:rsidP="00031B43">
      <w:pPr>
        <w:pStyle w:val="Tabletitle"/>
      </w:pPr>
      <w:r w:rsidRPr="00AE314C">
        <w:lastRenderedPageBreak/>
        <w:t xml:space="preserve">Table </w:t>
      </w:r>
      <w:r w:rsidR="00DA7D36">
        <w:t>5</w:t>
      </w:r>
      <w:r w:rsidR="00031B43">
        <w:t>:</w:t>
      </w:r>
      <w:r w:rsidRPr="00AE314C">
        <w:t xml:space="preserve"> Summary of withdrawals, protocol violations and lost to follow-up in </w:t>
      </w:r>
      <w:r w:rsidRPr="00AE314C">
        <w:rPr>
          <w:rFonts w:eastAsiaTheme="minorHAnsi" w:cs="Arial,Bold"/>
          <w:bCs/>
        </w:rPr>
        <w:t>D-QIV-004</w:t>
      </w:r>
    </w:p>
    <w:p w14:paraId="6CEAB273" w14:textId="77777777" w:rsidR="00F30851" w:rsidRDefault="00031B43" w:rsidP="00F30851">
      <w:pPr>
        <w:autoSpaceDE w:val="0"/>
        <w:autoSpaceDN w:val="0"/>
        <w:adjustRightInd w:val="0"/>
        <w:spacing w:before="0" w:after="0" w:line="240" w:lineRule="auto"/>
        <w:rPr>
          <w:rFonts w:asciiTheme="minorHAnsi" w:eastAsia="TimesNewRoman" w:hAnsiTheme="minorHAnsi" w:cs="TimesNewRoman"/>
          <w:color w:val="000000"/>
        </w:rPr>
      </w:pPr>
      <w:r>
        <w:rPr>
          <w:noProof/>
          <w:lang w:eastAsia="en-AU"/>
        </w:rPr>
        <w:drawing>
          <wp:inline distT="0" distB="0" distL="0" distR="0" wp14:anchorId="2E2934DF" wp14:editId="65D7154C">
            <wp:extent cx="4062449" cy="2477510"/>
            <wp:effectExtent l="0" t="0" r="0" b="0"/>
            <wp:docPr id="10" name="Picture 10" descr="Table 5: Summary of withdrawals, protocol violations and lost to follow-up in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4059712" cy="2475841"/>
                    </a:xfrm>
                    <a:prstGeom prst="rect">
                      <a:avLst/>
                    </a:prstGeom>
                  </pic:spPr>
                </pic:pic>
              </a:graphicData>
            </a:graphic>
          </wp:inline>
        </w:drawing>
      </w:r>
    </w:p>
    <w:p w14:paraId="02CCE1DD" w14:textId="77777777" w:rsidR="00F30851" w:rsidRDefault="00F30851" w:rsidP="00031B43">
      <w:pPr>
        <w:pStyle w:val="Heading5"/>
      </w:pPr>
      <w:r w:rsidRPr="00EC3AE0">
        <w:t>Baseline data</w:t>
      </w:r>
    </w:p>
    <w:p w14:paraId="090186F9" w14:textId="77777777" w:rsidR="00F30851" w:rsidRPr="00031B43" w:rsidRDefault="00F30851" w:rsidP="00F30851">
      <w:pPr>
        <w:autoSpaceDE w:val="0"/>
        <w:autoSpaceDN w:val="0"/>
        <w:adjustRightInd w:val="0"/>
        <w:spacing w:before="0" w:after="0" w:line="240" w:lineRule="auto"/>
        <w:rPr>
          <w:rFonts w:asciiTheme="minorHAnsi" w:eastAsia="TimesNewRoman" w:hAnsiTheme="minorHAnsi" w:cs="TimesNewRoman"/>
        </w:rPr>
      </w:pPr>
      <w:r>
        <w:rPr>
          <w:rFonts w:asciiTheme="minorHAnsi" w:eastAsia="TimesNewRoman" w:hAnsiTheme="minorHAnsi" w:cs="TimesNewRoman"/>
        </w:rPr>
        <w:t>M</w:t>
      </w:r>
      <w:r w:rsidRPr="00264320">
        <w:rPr>
          <w:rFonts w:asciiTheme="minorHAnsi" w:eastAsia="TimesNewRoman" w:hAnsiTheme="minorHAnsi" w:cs="TimesNewRoman"/>
        </w:rPr>
        <w:t xml:space="preserve">ean age of the subjects </w:t>
      </w:r>
      <w:r w:rsidRPr="00031B43">
        <w:rPr>
          <w:rFonts w:asciiTheme="minorHAnsi" w:eastAsia="TimesNewRoman" w:hAnsiTheme="minorHAnsi" w:cs="TimesNewRoman"/>
        </w:rPr>
        <w:t>in the TVC (</w:t>
      </w:r>
      <w:r w:rsidRPr="00031B43">
        <w:t xml:space="preserve">Table </w:t>
      </w:r>
      <w:r w:rsidR="00031B43" w:rsidRPr="00031B43">
        <w:t>5</w:t>
      </w:r>
      <w:r w:rsidRPr="00031B43">
        <w:t xml:space="preserve">) </w:t>
      </w:r>
      <w:r w:rsidRPr="00031B43">
        <w:rPr>
          <w:rFonts w:asciiTheme="minorHAnsi" w:eastAsia="TimesNewRoman" w:hAnsiTheme="minorHAnsi" w:cs="TimesNewRoman"/>
        </w:rPr>
        <w:t xml:space="preserve">at vaccination dose 1 was 21.9 months in the </w:t>
      </w:r>
      <w:r w:rsidR="00E278CC" w:rsidRPr="00031B43">
        <w:rPr>
          <w:rFonts w:asciiTheme="minorHAnsi" w:eastAsia="TimesNewRoman" w:hAnsiTheme="minorHAnsi" w:cs="TimesNewRoman"/>
        </w:rPr>
        <w:t>Fluarix Tetra</w:t>
      </w:r>
      <w:r w:rsidR="00CE366D" w:rsidRPr="00031B43">
        <w:rPr>
          <w:rFonts w:asciiTheme="minorHAnsi" w:eastAsia="TimesNewRoman" w:hAnsiTheme="minorHAnsi" w:cs="TimesNewRoman"/>
        </w:rPr>
        <w:t xml:space="preserve"> group </w:t>
      </w:r>
      <w:r w:rsidRPr="00031B43">
        <w:rPr>
          <w:rFonts w:asciiTheme="minorHAnsi" w:eastAsia="TimesNewRoman" w:hAnsiTheme="minorHAnsi" w:cs="TimesNewRoman"/>
        </w:rPr>
        <w:t>and 21.8 months in the Control</w:t>
      </w:r>
      <w:r w:rsidR="007C384B">
        <w:rPr>
          <w:rFonts w:asciiTheme="minorHAnsi" w:eastAsia="TimesNewRoman" w:hAnsiTheme="minorHAnsi" w:cs="TimesNewRoman"/>
        </w:rPr>
        <w:t xml:space="preserve"> group,</w:t>
      </w:r>
      <w:r>
        <w:rPr>
          <w:rFonts w:asciiTheme="minorHAnsi" w:eastAsia="TimesNewRoman" w:hAnsiTheme="minorHAnsi" w:cs="TimesNewRoman"/>
        </w:rPr>
        <w:t xml:space="preserve"> with an approx.</w:t>
      </w:r>
      <w:r w:rsidRPr="00264320">
        <w:rPr>
          <w:rFonts w:asciiTheme="minorHAnsi" w:eastAsia="TimesNewRoman" w:hAnsiTheme="minorHAnsi" w:cs="TimesNewRoman"/>
        </w:rPr>
        <w:t xml:space="preserve"> equal distribution of males and females in</w:t>
      </w:r>
      <w:r>
        <w:rPr>
          <w:rFonts w:asciiTheme="minorHAnsi" w:eastAsia="TimesNewRoman" w:hAnsiTheme="minorHAnsi" w:cs="TimesNewRoman"/>
        </w:rPr>
        <w:t xml:space="preserve"> both g</w:t>
      </w:r>
      <w:r w:rsidR="00031B43">
        <w:rPr>
          <w:rFonts w:asciiTheme="minorHAnsi" w:eastAsia="TimesNewRoman" w:hAnsiTheme="minorHAnsi" w:cs="TimesNewRoman"/>
        </w:rPr>
        <w:t>rou</w:t>
      </w:r>
      <w:r w:rsidRPr="00264320">
        <w:rPr>
          <w:rFonts w:asciiTheme="minorHAnsi" w:eastAsia="TimesNewRoman" w:hAnsiTheme="minorHAnsi" w:cs="TimesNewRoman"/>
        </w:rPr>
        <w:t>ps. Most subjects were of South East</w:t>
      </w:r>
      <w:r>
        <w:rPr>
          <w:rFonts w:asciiTheme="minorHAnsi" w:eastAsia="TimesNewRoman" w:hAnsiTheme="minorHAnsi" w:cs="TimesNewRoman"/>
        </w:rPr>
        <w:t xml:space="preserve"> Asian (27.7% in both study g</w:t>
      </w:r>
      <w:r w:rsidR="000B015D">
        <w:rPr>
          <w:rFonts w:asciiTheme="minorHAnsi" w:eastAsia="TimesNewRoman" w:hAnsiTheme="minorHAnsi" w:cs="TimesNewRoman"/>
        </w:rPr>
        <w:t>rou</w:t>
      </w:r>
      <w:r w:rsidRPr="00264320">
        <w:rPr>
          <w:rFonts w:asciiTheme="minorHAnsi" w:eastAsia="TimesNewRoman" w:hAnsiTheme="minorHAnsi" w:cs="TimesNewRoman"/>
        </w:rPr>
        <w:t>ps), White - Caucasian /Europ</w:t>
      </w:r>
      <w:r>
        <w:rPr>
          <w:rFonts w:asciiTheme="minorHAnsi" w:eastAsia="TimesNewRoman" w:hAnsiTheme="minorHAnsi" w:cs="TimesNewRoman"/>
        </w:rPr>
        <w:t xml:space="preserve">ean (24.5% in the </w:t>
      </w:r>
      <w:r w:rsidR="00E278CC">
        <w:rPr>
          <w:rFonts w:asciiTheme="minorHAnsi" w:eastAsia="TimesNewRoman" w:hAnsiTheme="minorHAnsi" w:cs="TimesNewRoman"/>
        </w:rPr>
        <w:t>Fluarix Tetra</w:t>
      </w:r>
      <w:r w:rsidR="00CE366D">
        <w:rPr>
          <w:rFonts w:asciiTheme="minorHAnsi" w:eastAsia="TimesNewRoman" w:hAnsiTheme="minorHAnsi" w:cs="TimesNewRoman"/>
        </w:rPr>
        <w:t xml:space="preserve"> group </w:t>
      </w:r>
      <w:r w:rsidRPr="00264320">
        <w:rPr>
          <w:rFonts w:asciiTheme="minorHAnsi" w:eastAsia="TimesNewRoman" w:hAnsiTheme="minorHAnsi" w:cs="TimesNewRoman"/>
        </w:rPr>
        <w:t>and 24.7% in the Control</w:t>
      </w:r>
      <w:r w:rsidR="00E278CC">
        <w:rPr>
          <w:rFonts w:asciiTheme="minorHAnsi" w:eastAsia="TimesNewRoman" w:hAnsiTheme="minorHAnsi" w:cs="TimesNewRoman"/>
        </w:rPr>
        <w:t xml:space="preserve"> group)</w:t>
      </w:r>
      <w:r w:rsidRPr="00264320">
        <w:rPr>
          <w:rFonts w:asciiTheme="minorHAnsi" w:eastAsia="TimesNewRoman" w:hAnsiTheme="minorHAnsi" w:cs="TimesNewRoman"/>
        </w:rPr>
        <w:t xml:space="preserve"> or other heritage (27.3% in</w:t>
      </w:r>
      <w:r>
        <w:rPr>
          <w:rFonts w:asciiTheme="minorHAnsi" w:eastAsia="TimesNewRoman" w:hAnsiTheme="minorHAnsi" w:cs="TimesNewRoman"/>
        </w:rPr>
        <w:t xml:space="preserve"> </w:t>
      </w:r>
      <w:r w:rsidRPr="00264320">
        <w:rPr>
          <w:rFonts w:asciiTheme="minorHAnsi" w:eastAsia="TimesNewRoman" w:hAnsiTheme="minorHAnsi" w:cs="TimesNewRoman"/>
        </w:rPr>
        <w:t xml:space="preserve">both study </w:t>
      </w:r>
      <w:r>
        <w:rPr>
          <w:rFonts w:asciiTheme="minorHAnsi" w:eastAsia="TimesNewRoman" w:hAnsiTheme="minorHAnsi" w:cs="TimesNewRoman"/>
        </w:rPr>
        <w:t>g</w:t>
      </w:r>
      <w:r w:rsidR="000B015D">
        <w:rPr>
          <w:rFonts w:asciiTheme="minorHAnsi" w:eastAsia="TimesNewRoman" w:hAnsiTheme="minorHAnsi" w:cs="TimesNewRoman"/>
        </w:rPr>
        <w:t>rou</w:t>
      </w:r>
      <w:r>
        <w:rPr>
          <w:rFonts w:asciiTheme="minorHAnsi" w:eastAsia="TimesNewRoman" w:hAnsiTheme="minorHAnsi" w:cs="TimesNewRoman"/>
        </w:rPr>
        <w:t>p</w:t>
      </w:r>
      <w:r w:rsidRPr="00264320">
        <w:rPr>
          <w:rFonts w:asciiTheme="minorHAnsi" w:eastAsia="TimesNewRoman" w:hAnsiTheme="minorHAnsi" w:cs="TimesNewRoman"/>
        </w:rPr>
        <w:t>s).</w:t>
      </w:r>
      <w:r>
        <w:rPr>
          <w:rFonts w:asciiTheme="minorHAnsi" w:eastAsia="TimesNewRoman" w:hAnsiTheme="minorHAnsi" w:cs="TimesNewRoman"/>
        </w:rPr>
        <w:t xml:space="preserve"> </w:t>
      </w:r>
      <w:r>
        <w:t xml:space="preserve">Of the 12018 subjects in the TVC, 11921 subjects (5958 </w:t>
      </w:r>
      <w:r w:rsidR="00E278CC">
        <w:t>Fluarix Tetra</w:t>
      </w:r>
      <w:r>
        <w:t xml:space="preserve"> and 5963 Control)</w:t>
      </w:r>
      <w:r>
        <w:rPr>
          <w:rFonts w:asciiTheme="minorHAnsi" w:eastAsia="TimesNewRoman" w:hAnsiTheme="minorHAnsi" w:cs="TimesNewRoman"/>
        </w:rPr>
        <w:t xml:space="preserve"> </w:t>
      </w:r>
      <w:r>
        <w:t xml:space="preserve">were </w:t>
      </w:r>
      <w:r w:rsidR="005D2053">
        <w:t>un-primed</w:t>
      </w:r>
      <w:r>
        <w:t xml:space="preserve"> at enrolment, and 97 subjects (48 </w:t>
      </w:r>
      <w:r w:rsidR="00E278CC">
        <w:t>Fluarix Tetra</w:t>
      </w:r>
      <w:r>
        <w:t xml:space="preserve"> and 49 Control) were</w:t>
      </w:r>
      <w:r>
        <w:rPr>
          <w:rFonts w:asciiTheme="minorHAnsi" w:eastAsia="TimesNewRoman" w:hAnsiTheme="minorHAnsi" w:cs="TimesNewRoman"/>
        </w:rPr>
        <w:t xml:space="preserve"> </w:t>
      </w:r>
      <w:r>
        <w:t>primed, per protocol definition. In Bangladesh, India, Honduras, Belgium,</w:t>
      </w:r>
      <w:r>
        <w:rPr>
          <w:rFonts w:asciiTheme="minorHAnsi" w:eastAsia="TimesNewRoman" w:hAnsiTheme="minorHAnsi" w:cs="TimesNewRoman"/>
        </w:rPr>
        <w:t xml:space="preserve"> </w:t>
      </w:r>
      <w:r>
        <w:t>Czech Republic, Turkey, and the UK, only subjects</w:t>
      </w:r>
      <w:r w:rsidR="000B015D">
        <w:t xml:space="preserve"> that were</w:t>
      </w:r>
      <w:r>
        <w:t xml:space="preserve"> ≥12 months of age were enrolled. In the TVC, the mean age of the subjects at vaccination dose 1 was 21.9 months in the </w:t>
      </w:r>
      <w:r w:rsidR="00E278CC">
        <w:t>Fluarix Tetra</w:t>
      </w:r>
      <w:r w:rsidR="00CE366D">
        <w:t xml:space="preserve"> group </w:t>
      </w:r>
      <w:r>
        <w:t>and 21.8 months in the Control</w:t>
      </w:r>
      <w:r w:rsidR="007C384B">
        <w:t xml:space="preserve"> group,</w:t>
      </w:r>
      <w:r>
        <w:t xml:space="preserve"> with an approx. equal distribution of males and females in both. Overall, most subjects were of Asian (27.7% Asian - South East Asian, 17.6% Asian Central/South Asian), White -</w:t>
      </w:r>
      <w:r>
        <w:rPr>
          <w:rFonts w:asciiTheme="minorHAnsi" w:eastAsia="TimesNewRoman" w:hAnsiTheme="minorHAnsi" w:cs="TimesNewRoman"/>
        </w:rPr>
        <w:t xml:space="preserve"> </w:t>
      </w:r>
      <w:r>
        <w:t>Caucasian / European (24.6%) or other (mostly mixed race and Hispanic) heritage</w:t>
      </w:r>
      <w:r>
        <w:rPr>
          <w:rFonts w:asciiTheme="minorHAnsi" w:eastAsia="TimesNewRoman" w:hAnsiTheme="minorHAnsi" w:cs="TimesNewRoman"/>
        </w:rPr>
        <w:t xml:space="preserve"> </w:t>
      </w:r>
      <w:r>
        <w:t xml:space="preserve">(27.3%). Baseline demographics of the ATP Cohort are shown </w:t>
      </w:r>
      <w:r w:rsidRPr="00031B43">
        <w:t xml:space="preserve">in Table </w:t>
      </w:r>
      <w:r w:rsidR="00031B43" w:rsidRPr="00031B43">
        <w:t>6</w:t>
      </w:r>
      <w:r w:rsidRPr="00031B43">
        <w:t>.</w:t>
      </w:r>
    </w:p>
    <w:p w14:paraId="1AA3ADF7" w14:textId="7C347B94" w:rsidR="00F30851" w:rsidRDefault="00F30851" w:rsidP="00031B43">
      <w:pPr>
        <w:pStyle w:val="Tabletitle"/>
        <w:rPr>
          <w:rFonts w:asciiTheme="minorHAnsi" w:eastAsiaTheme="minorHAnsi" w:hAnsiTheme="minorHAnsi" w:cs="Arial,Bold"/>
          <w:bCs/>
        </w:rPr>
      </w:pPr>
      <w:r w:rsidRPr="00AE314C">
        <w:t xml:space="preserve">Table </w:t>
      </w:r>
      <w:r w:rsidR="00DA7D36">
        <w:t>6</w:t>
      </w:r>
      <w:r w:rsidR="00031B43">
        <w:t>:</w:t>
      </w:r>
      <w:r w:rsidR="00943514">
        <w:t xml:space="preserve"> </w:t>
      </w:r>
      <w:r w:rsidRPr="00AE314C">
        <w:t>Summary of demographic characteristics (Total vaccinated cohort)</w:t>
      </w:r>
      <w:r w:rsidRPr="00AE314C">
        <w:rPr>
          <w:rFonts w:asciiTheme="minorHAnsi" w:hAnsiTheme="minorHAnsi"/>
        </w:rPr>
        <w:t xml:space="preserve"> in </w:t>
      </w:r>
      <w:r w:rsidRPr="00AE314C">
        <w:rPr>
          <w:rFonts w:asciiTheme="minorHAnsi" w:eastAsiaTheme="minorHAnsi" w:hAnsiTheme="minorHAnsi" w:cs="Arial,Bold"/>
          <w:bCs/>
        </w:rPr>
        <w:t>D-QIV-004</w:t>
      </w:r>
    </w:p>
    <w:p w14:paraId="1455AD59" w14:textId="77777777" w:rsidR="00031B43" w:rsidRPr="00031B43" w:rsidRDefault="00031B43" w:rsidP="00031B43">
      <w:r>
        <w:rPr>
          <w:noProof/>
          <w:lang w:eastAsia="en-AU"/>
        </w:rPr>
        <w:drawing>
          <wp:inline distT="0" distB="0" distL="0" distR="0" wp14:anchorId="4E2B4C5E" wp14:editId="60B07EDC">
            <wp:extent cx="4278834" cy="2611756"/>
            <wp:effectExtent l="0" t="0" r="7620" b="0"/>
            <wp:docPr id="11" name="Picture 11" descr="Table 6: Summary of demographic characteristics (Total vaccinated cohort) in D-QIV-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4278338" cy="2611453"/>
                    </a:xfrm>
                    <a:prstGeom prst="rect">
                      <a:avLst/>
                    </a:prstGeom>
                  </pic:spPr>
                </pic:pic>
              </a:graphicData>
            </a:graphic>
          </wp:inline>
        </w:drawing>
      </w:r>
    </w:p>
    <w:p w14:paraId="35E7E4A5" w14:textId="044DC469" w:rsidR="00F30851" w:rsidRDefault="00F30851" w:rsidP="00031B43">
      <w:pPr>
        <w:pStyle w:val="Tabletitle"/>
        <w:rPr>
          <w:rFonts w:asciiTheme="minorHAnsi" w:eastAsiaTheme="minorHAnsi" w:hAnsiTheme="minorHAnsi" w:cs="Arial,Bold"/>
          <w:bCs/>
        </w:rPr>
      </w:pPr>
      <w:r w:rsidRPr="00AE314C">
        <w:lastRenderedPageBreak/>
        <w:t xml:space="preserve">Table </w:t>
      </w:r>
      <w:r w:rsidR="00DA7D36">
        <w:t>7</w:t>
      </w:r>
      <w:r w:rsidR="00031B43">
        <w:t>:</w:t>
      </w:r>
      <w:r w:rsidR="00943514">
        <w:t xml:space="preserve"> </w:t>
      </w:r>
      <w:r w:rsidRPr="00AE314C">
        <w:t>Summary of demographic characteristics (ATP cohort)</w:t>
      </w:r>
      <w:r w:rsidRPr="00AE314C">
        <w:rPr>
          <w:rFonts w:asciiTheme="minorHAnsi" w:hAnsiTheme="minorHAnsi"/>
        </w:rPr>
        <w:t xml:space="preserve"> in </w:t>
      </w:r>
      <w:r w:rsidRPr="00AE314C">
        <w:rPr>
          <w:rFonts w:asciiTheme="minorHAnsi" w:eastAsiaTheme="minorHAnsi" w:hAnsiTheme="minorHAnsi" w:cs="Arial,Bold"/>
          <w:bCs/>
        </w:rPr>
        <w:t>D-QIV-004</w:t>
      </w:r>
    </w:p>
    <w:p w14:paraId="1C3B5DB5" w14:textId="77777777" w:rsidR="00031B43" w:rsidRPr="00031B43" w:rsidRDefault="00031B43" w:rsidP="00031B43">
      <w:r>
        <w:rPr>
          <w:noProof/>
          <w:lang w:eastAsia="en-AU"/>
        </w:rPr>
        <w:drawing>
          <wp:inline distT="0" distB="0" distL="0" distR="0" wp14:anchorId="7FD22C18" wp14:editId="3CF2936C">
            <wp:extent cx="4404477" cy="2619299"/>
            <wp:effectExtent l="0" t="0" r="0" b="0"/>
            <wp:docPr id="12" name="Picture 12" descr="Summary of demographic characteristics (ATP cohort) in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4404417" cy="2619263"/>
                    </a:xfrm>
                    <a:prstGeom prst="rect">
                      <a:avLst/>
                    </a:prstGeom>
                  </pic:spPr>
                </pic:pic>
              </a:graphicData>
            </a:graphic>
          </wp:inline>
        </w:drawing>
      </w:r>
    </w:p>
    <w:p w14:paraId="2C8696C3" w14:textId="77777777" w:rsidR="00F30851" w:rsidRPr="00EC3AE0" w:rsidRDefault="00F30851" w:rsidP="00031B43">
      <w:pPr>
        <w:pStyle w:val="Heading5"/>
      </w:pPr>
      <w:r w:rsidRPr="00EC3AE0">
        <w:t>Results for the primary efficacy outcome</w:t>
      </w:r>
    </w:p>
    <w:p w14:paraId="42527E8C" w14:textId="77777777" w:rsidR="00031B43" w:rsidRDefault="00F30851" w:rsidP="00031B43">
      <w:pPr>
        <w:pStyle w:val="Heading6"/>
        <w:rPr>
          <w:rFonts w:eastAsia="TimesNewRoman,BoldItalic"/>
        </w:rPr>
      </w:pPr>
      <w:r w:rsidRPr="00F73250">
        <w:rPr>
          <w:rFonts w:eastAsia="TimesNewRoman,BoldItalic"/>
        </w:rPr>
        <w:t>Efficacy results</w:t>
      </w:r>
    </w:p>
    <w:p w14:paraId="71CD942D" w14:textId="77777777" w:rsidR="00F30851" w:rsidRPr="00847C4D" w:rsidRDefault="00F30851" w:rsidP="00031B43">
      <w:pPr>
        <w:rPr>
          <w:rFonts w:eastAsia="TimesNewRoman,BoldItalic" w:cs="TimesNewRoman,BoldItalic"/>
          <w:b/>
          <w:bCs/>
          <w:i/>
          <w:iCs/>
        </w:rPr>
      </w:pPr>
      <w:r w:rsidRPr="00F73250">
        <w:t>Both prima</w:t>
      </w:r>
      <w:r>
        <w:t>r</w:t>
      </w:r>
      <w:r w:rsidRPr="00F73250">
        <w:t>y confirmatory efficacy objectives were met. In the ATP-E - Time to event cohort, when</w:t>
      </w:r>
      <w:r>
        <w:rPr>
          <w:rFonts w:eastAsia="TimesNewRoman,BoldItalic" w:cs="TimesNewRoman,BoldItalic"/>
          <w:b/>
          <w:bCs/>
          <w:i/>
          <w:iCs/>
        </w:rPr>
        <w:t xml:space="preserve"> </w:t>
      </w:r>
      <w:r w:rsidRPr="00F73250">
        <w:t>compared to non-influenza vaccine controls in children 6 to 35 months:</w:t>
      </w:r>
    </w:p>
    <w:p w14:paraId="76BA81F3" w14:textId="77777777" w:rsidR="00F30851" w:rsidRPr="005775C3" w:rsidRDefault="00E278CC" w:rsidP="005775C3">
      <w:pPr>
        <w:pStyle w:val="ListBullet"/>
      </w:pPr>
      <w:r>
        <w:t>Fluarix Tetra</w:t>
      </w:r>
      <w:r w:rsidR="00F30851" w:rsidRPr="00847C4D">
        <w:t xml:space="preserve"> was efficacious in preventing RT-PCR confirmed moderate-to-severe influenza A and/or</w:t>
      </w:r>
      <w:r w:rsidR="00F30851">
        <w:t xml:space="preserve"> </w:t>
      </w:r>
      <w:r w:rsidR="00F30851" w:rsidRPr="00847C4D">
        <w:t xml:space="preserve">B disease due to any </w:t>
      </w:r>
      <w:r w:rsidR="00F30851" w:rsidRPr="005775C3">
        <w:t xml:space="preserve">seasonal strain; VE 63.2% (LL of 97.5% CI: 51.8%, </w:t>
      </w:r>
      <w:r w:rsidR="00EE7481" w:rsidRPr="005775C3">
        <w:t>that is,</w:t>
      </w:r>
      <w:r w:rsidR="00F30851" w:rsidRPr="005775C3">
        <w:t xml:space="preserve"> LL&gt; 25% pre-specified success criterion) (Table </w:t>
      </w:r>
      <w:r w:rsidR="005775C3" w:rsidRPr="005775C3">
        <w:t>7</w:t>
      </w:r>
      <w:r w:rsidR="00F30851" w:rsidRPr="005775C3">
        <w:t>)</w:t>
      </w:r>
      <w:r w:rsidR="005775C3">
        <w:t>.</w:t>
      </w:r>
    </w:p>
    <w:p w14:paraId="6C182E00" w14:textId="77777777" w:rsidR="00F30851" w:rsidRPr="005775C3" w:rsidRDefault="00E278CC" w:rsidP="005775C3">
      <w:pPr>
        <w:pStyle w:val="ListBullet"/>
      </w:pPr>
      <w:r w:rsidRPr="005775C3">
        <w:t>Fluarix Tetra</w:t>
      </w:r>
      <w:r w:rsidR="00F30851" w:rsidRPr="005775C3">
        <w:t xml:space="preserve"> was efficacious in preventing RT-PCR confirmed influenza A and/or B disease of any severity due to any seasonal strain; VE 49.8% (LL of 97.5% CI: 41.8%, </w:t>
      </w:r>
      <w:r w:rsidR="00EE7481" w:rsidRPr="005775C3">
        <w:t>that is,</w:t>
      </w:r>
      <w:r w:rsidR="00F30851" w:rsidRPr="005775C3">
        <w:t xml:space="preserve"> LL&gt; 15% prespecified success criterion) (Table </w:t>
      </w:r>
      <w:r w:rsidR="005775C3" w:rsidRPr="005775C3">
        <w:t>8</w:t>
      </w:r>
      <w:r w:rsidR="00F30851" w:rsidRPr="005775C3">
        <w:t>)</w:t>
      </w:r>
      <w:r w:rsidR="005775C3">
        <w:t>.</w:t>
      </w:r>
    </w:p>
    <w:p w14:paraId="76A9B766" w14:textId="30C4BE51" w:rsidR="00F30851" w:rsidRDefault="00F30851" w:rsidP="003D6F53">
      <w:pPr>
        <w:pStyle w:val="Tabletitle"/>
        <w:rPr>
          <w:rFonts w:eastAsiaTheme="minorHAnsi" w:cs="Arial,Bold"/>
        </w:rPr>
      </w:pPr>
      <w:r w:rsidRPr="00AE314C">
        <w:t xml:space="preserve">Table </w:t>
      </w:r>
      <w:r w:rsidR="00DA7D36">
        <w:t>8</w:t>
      </w:r>
      <w:r w:rsidR="005775C3">
        <w:t>:</w:t>
      </w:r>
      <w:r w:rsidRPr="00AE314C">
        <w:t xml:space="preserve"> Vaccine efficacy for RT-PCR confirmed moderate-to-severe influenza – confirmatory primary objective (ATP cohort for efficacy - Time to event) in </w:t>
      </w:r>
      <w:r w:rsidRPr="00AE314C">
        <w:rPr>
          <w:rFonts w:eastAsiaTheme="minorHAnsi" w:cs="Arial,Bold"/>
        </w:rPr>
        <w:t>D-QIV-004</w:t>
      </w:r>
    </w:p>
    <w:p w14:paraId="67EDB891" w14:textId="77777777" w:rsidR="005775C3" w:rsidRPr="009E4FF3" w:rsidRDefault="005775C3" w:rsidP="00F30851">
      <w:pPr>
        <w:autoSpaceDE w:val="0"/>
        <w:autoSpaceDN w:val="0"/>
        <w:adjustRightInd w:val="0"/>
        <w:spacing w:before="0" w:after="0" w:line="240" w:lineRule="auto"/>
        <w:rPr>
          <w:rFonts w:asciiTheme="minorHAnsi" w:eastAsia="ArialNarrow,Bold" w:hAnsiTheme="minorHAnsi" w:cs="ArialNarrow,Bold"/>
          <w:b/>
          <w:bCs/>
          <w:sz w:val="20"/>
          <w:szCs w:val="20"/>
        </w:rPr>
      </w:pPr>
      <w:r>
        <w:rPr>
          <w:noProof/>
          <w:lang w:eastAsia="en-AU"/>
        </w:rPr>
        <w:drawing>
          <wp:inline distT="0" distB="0" distL="0" distR="0" wp14:anchorId="410E7611" wp14:editId="62D4503A">
            <wp:extent cx="4636802" cy="1811443"/>
            <wp:effectExtent l="0" t="0" r="0" b="0"/>
            <wp:docPr id="13" name="Picture 13" descr="Vaccine efficacy for RT-PCR confirmed moderate-to-severe influenza – confirmatory primary objective (ATP cohort for efficacy - Time to event) in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t="1747"/>
                    <a:stretch/>
                  </pic:blipFill>
                  <pic:spPr bwMode="auto">
                    <a:xfrm>
                      <a:off x="0" y="0"/>
                      <a:ext cx="4639220" cy="1812388"/>
                    </a:xfrm>
                    <a:prstGeom prst="rect">
                      <a:avLst/>
                    </a:prstGeom>
                    <a:ln>
                      <a:noFill/>
                    </a:ln>
                    <a:extLst>
                      <a:ext uri="{53640926-AAD7-44D8-BBD7-CCE9431645EC}">
                        <a14:shadowObscured xmlns:a14="http://schemas.microsoft.com/office/drawing/2010/main"/>
                      </a:ext>
                    </a:extLst>
                  </pic:spPr>
                </pic:pic>
              </a:graphicData>
            </a:graphic>
          </wp:inline>
        </w:drawing>
      </w:r>
    </w:p>
    <w:p w14:paraId="25CE7DE6" w14:textId="763B9094" w:rsidR="00F30851" w:rsidRDefault="00F30851" w:rsidP="003D6F53">
      <w:pPr>
        <w:pStyle w:val="Tabletitle"/>
        <w:rPr>
          <w:rFonts w:eastAsiaTheme="minorHAnsi" w:cs="Arial,Bold"/>
        </w:rPr>
      </w:pPr>
      <w:r w:rsidRPr="00AE314C">
        <w:rPr>
          <w:rFonts w:eastAsia="TimesNewRoman" w:cs="TimesNewRoman"/>
        </w:rPr>
        <w:lastRenderedPageBreak/>
        <w:t xml:space="preserve">Table </w:t>
      </w:r>
      <w:r w:rsidR="00DA7D36">
        <w:rPr>
          <w:rFonts w:eastAsia="TimesNewRoman" w:cs="TimesNewRoman"/>
        </w:rPr>
        <w:t>9</w:t>
      </w:r>
      <w:r w:rsidR="005775C3">
        <w:rPr>
          <w:rFonts w:eastAsia="TimesNewRoman" w:cs="TimesNewRoman"/>
        </w:rPr>
        <w:t>:</w:t>
      </w:r>
      <w:r w:rsidRPr="00AE314C">
        <w:t xml:space="preserve"> Vaccine efficacy for RT-PCR confirmed influenza of any severity - confirmatory primary objective (ATP cohort for efficacy - Time to event) in </w:t>
      </w:r>
      <w:r w:rsidRPr="00AE314C">
        <w:rPr>
          <w:rFonts w:eastAsiaTheme="minorHAnsi" w:cs="Arial,Bold"/>
        </w:rPr>
        <w:t>D-QIV-004</w:t>
      </w:r>
    </w:p>
    <w:p w14:paraId="7DC0B79E" w14:textId="77777777" w:rsidR="005775C3" w:rsidRPr="00AE314C" w:rsidRDefault="005775C3" w:rsidP="00F30851">
      <w:pPr>
        <w:autoSpaceDE w:val="0"/>
        <w:autoSpaceDN w:val="0"/>
        <w:adjustRightInd w:val="0"/>
        <w:spacing w:before="0" w:after="0" w:line="240" w:lineRule="auto"/>
        <w:rPr>
          <w:rFonts w:asciiTheme="minorHAnsi" w:eastAsia="ArialNarrow,Bold" w:hAnsiTheme="minorHAnsi" w:cs="ArialNarrow,Bold"/>
          <w:b/>
          <w:bCs/>
          <w:sz w:val="20"/>
          <w:szCs w:val="20"/>
        </w:rPr>
      </w:pPr>
      <w:r>
        <w:rPr>
          <w:noProof/>
          <w:lang w:eastAsia="en-AU"/>
        </w:rPr>
        <w:drawing>
          <wp:inline distT="0" distB="0" distL="0" distR="0" wp14:anchorId="0616AA0C" wp14:editId="2E865432">
            <wp:extent cx="4941948" cy="2005800"/>
            <wp:effectExtent l="0" t="0" r="0" b="0"/>
            <wp:docPr id="14" name="Picture 14" descr="Vaccine efficacy for RT-PCR confirmed influenza of any severity - confirmatory primary objective (ATP cohort for efficacy - Time to event) in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942534" cy="2006038"/>
                    </a:xfrm>
                    <a:prstGeom prst="rect">
                      <a:avLst/>
                    </a:prstGeom>
                  </pic:spPr>
                </pic:pic>
              </a:graphicData>
            </a:graphic>
          </wp:inline>
        </w:drawing>
      </w:r>
    </w:p>
    <w:p w14:paraId="65512B25" w14:textId="77777777" w:rsidR="00F30851" w:rsidRPr="005632DC" w:rsidRDefault="00F30851" w:rsidP="005775C3">
      <w:pPr>
        <w:pStyle w:val="Heading5"/>
      </w:pPr>
      <w:r w:rsidRPr="005632DC">
        <w:t>Results for other efficacy outcomes</w:t>
      </w:r>
    </w:p>
    <w:p w14:paraId="75F1294B" w14:textId="77777777" w:rsidR="00F30851" w:rsidRDefault="00F30851" w:rsidP="005775C3">
      <w:r w:rsidRPr="00F73250">
        <w:t xml:space="preserve">All secondary confirmatory efficacy objectives (evaluated sequentially) were met, </w:t>
      </w:r>
      <w:r w:rsidRPr="005775C3">
        <w:t>except</w:t>
      </w:r>
      <w:r w:rsidRPr="00F73250">
        <w:t xml:space="preserve"> for the last</w:t>
      </w:r>
      <w:r>
        <w:t xml:space="preserve"> </w:t>
      </w:r>
      <w:r w:rsidRPr="00F73250">
        <w:t>secondary objective related to prevention of RT-PCR conf</w:t>
      </w:r>
      <w:r>
        <w:t xml:space="preserve">irmed severe influenza disease, because the </w:t>
      </w:r>
      <w:r w:rsidRPr="00F73250">
        <w:t>incidence of</w:t>
      </w:r>
      <w:r>
        <w:t xml:space="preserve"> </w:t>
      </w:r>
      <w:r w:rsidRPr="00F73250">
        <w:t>severe cases was too low for the analysis to be conclusive.</w:t>
      </w:r>
      <w:r>
        <w:t xml:space="preserve"> </w:t>
      </w:r>
      <w:r w:rsidRPr="00F73250">
        <w:t>In the ATP-E–Time to event, when compared to non-influenza va</w:t>
      </w:r>
      <w:r>
        <w:t xml:space="preserve">ccine controls in children </w:t>
      </w:r>
      <w:r w:rsidR="005879FC">
        <w:t>6 to 35</w:t>
      </w:r>
      <w:r w:rsidRPr="00F73250">
        <w:t xml:space="preserve"> months</w:t>
      </w:r>
      <w:r w:rsidR="005775C3">
        <w:t>:</w:t>
      </w:r>
    </w:p>
    <w:p w14:paraId="3FCA0FF1" w14:textId="77777777" w:rsidR="00F30851" w:rsidRPr="000426CA" w:rsidRDefault="00E278CC" w:rsidP="005775C3">
      <w:pPr>
        <w:pStyle w:val="ListBullet"/>
      </w:pPr>
      <w:r>
        <w:t>Fluarix Tetra</w:t>
      </w:r>
      <w:r w:rsidR="00F30851" w:rsidRPr="000426CA">
        <w:t xml:space="preserve"> was efficacious in the prevention of LRI associated with RT-PCR confirmed influenza A</w:t>
      </w:r>
      <w:r w:rsidR="00F30851">
        <w:t xml:space="preserve"> </w:t>
      </w:r>
      <w:r w:rsidR="00F30851" w:rsidRPr="000426CA">
        <w:t xml:space="preserve">and/or B; VE: 54.0 </w:t>
      </w:r>
      <w:r w:rsidR="00F30851">
        <w:t xml:space="preserve">% (LL of 95% CI: 28.9%, </w:t>
      </w:r>
      <w:r w:rsidR="00EE7481">
        <w:t>that is,</w:t>
      </w:r>
      <w:r w:rsidR="00F30851">
        <w:t xml:space="preserve"> &gt;</w:t>
      </w:r>
      <w:r w:rsidR="00F30851" w:rsidRPr="000426CA">
        <w:t>15% pre-specified success criterion).</w:t>
      </w:r>
    </w:p>
    <w:p w14:paraId="45D26765" w14:textId="77777777" w:rsidR="00F30851" w:rsidRPr="000426CA" w:rsidRDefault="00E278CC" w:rsidP="005775C3">
      <w:pPr>
        <w:pStyle w:val="ListBullet"/>
      </w:pPr>
      <w:r>
        <w:t>Fluarix Tetra</w:t>
      </w:r>
      <w:r w:rsidR="00F30851" w:rsidRPr="000426CA">
        <w:t xml:space="preserve"> was efficacious in the prevention of culture confirmed mo</w:t>
      </w:r>
      <w:r w:rsidR="00F30851">
        <w:t>derate-to-</w:t>
      </w:r>
      <w:r w:rsidR="00F30851" w:rsidRPr="000426CA">
        <w:t>severe</w:t>
      </w:r>
      <w:r w:rsidR="00F30851">
        <w:t xml:space="preserve"> </w:t>
      </w:r>
      <w:r w:rsidR="00F30851" w:rsidRPr="000426CA">
        <w:t>influenza A</w:t>
      </w:r>
      <w:r w:rsidR="00F30851">
        <w:t xml:space="preserve"> </w:t>
      </w:r>
      <w:r w:rsidR="00F30851" w:rsidRPr="000426CA">
        <w:t>and/or B disease due to antigenically-match</w:t>
      </w:r>
      <w:r w:rsidR="00F30851">
        <w:t xml:space="preserve">ing influenza strains; VE: 77.6% (LL of 95% CI: 64.3 %, </w:t>
      </w:r>
      <w:r w:rsidR="00EE7481">
        <w:t>that is,</w:t>
      </w:r>
      <w:r w:rsidR="00F30851">
        <w:t xml:space="preserve"> &gt;</w:t>
      </w:r>
      <w:r w:rsidR="00F30851" w:rsidRPr="000426CA">
        <w:t>15% pre-specified success criterion).</w:t>
      </w:r>
    </w:p>
    <w:p w14:paraId="33D5552D" w14:textId="77777777" w:rsidR="00F30851" w:rsidRPr="000426CA" w:rsidRDefault="00E278CC" w:rsidP="005775C3">
      <w:pPr>
        <w:pStyle w:val="ListBullet"/>
      </w:pPr>
      <w:r>
        <w:t>Fluarix Tetra</w:t>
      </w:r>
      <w:r w:rsidR="00F30851" w:rsidRPr="000426CA">
        <w:t xml:space="preserve"> was efficacious in the prevention of culture confirmed influenza A and/or B of any</w:t>
      </w:r>
      <w:r w:rsidR="00F30851">
        <w:t xml:space="preserve"> </w:t>
      </w:r>
      <w:r w:rsidR="00F30851" w:rsidRPr="000426CA">
        <w:t>severity due to antigenically-match</w:t>
      </w:r>
      <w:r w:rsidR="00F30851">
        <w:t>ing influenza strains; VE: 60.1</w:t>
      </w:r>
      <w:r w:rsidR="00F30851" w:rsidRPr="000426CA">
        <w:t>% (L</w:t>
      </w:r>
      <w:r w:rsidR="00F30851">
        <w:t xml:space="preserve">L of the 95% CI: 49.1 %, </w:t>
      </w:r>
      <w:r w:rsidR="00EE7481">
        <w:t>that is,</w:t>
      </w:r>
      <w:r w:rsidR="00F30851">
        <w:t xml:space="preserve"> &gt;</w:t>
      </w:r>
      <w:r w:rsidR="00F30851" w:rsidRPr="000426CA">
        <w:t>15% pre-specified success criterion).</w:t>
      </w:r>
    </w:p>
    <w:p w14:paraId="1A315DC4" w14:textId="77777777" w:rsidR="00F30851" w:rsidRPr="000426CA" w:rsidRDefault="00E278CC" w:rsidP="005775C3">
      <w:pPr>
        <w:pStyle w:val="ListBullet"/>
      </w:pPr>
      <w:r>
        <w:t>Fluarix Tetra</w:t>
      </w:r>
      <w:r w:rsidR="00F30851" w:rsidRPr="000426CA">
        <w:t xml:space="preserve"> was efficacious in the prevention of culture confirmed moderate-to-severe</w:t>
      </w:r>
      <w:r w:rsidR="00F30851">
        <w:t xml:space="preserve"> </w:t>
      </w:r>
      <w:r w:rsidR="00F30851" w:rsidRPr="000426CA">
        <w:t>influenza A and/or B disease due to any seaso</w:t>
      </w:r>
      <w:r w:rsidR="00F30851">
        <w:t>nal influenza strains; VE: 63.8</w:t>
      </w:r>
      <w:r w:rsidR="00F30851" w:rsidRPr="000426CA">
        <w:t>% (</w:t>
      </w:r>
      <w:r w:rsidR="00F30851">
        <w:t xml:space="preserve">LL of the 95% CI: 53.4%, </w:t>
      </w:r>
      <w:r w:rsidR="00EE7481">
        <w:t>that is,</w:t>
      </w:r>
      <w:r w:rsidR="00F30851">
        <w:t xml:space="preserve"> &gt;</w:t>
      </w:r>
      <w:r w:rsidR="00F30851" w:rsidRPr="000426CA">
        <w:t>15% pre-specified success criterion).</w:t>
      </w:r>
    </w:p>
    <w:p w14:paraId="72E6E771" w14:textId="77777777" w:rsidR="00F30851" w:rsidRPr="000426CA" w:rsidRDefault="00E278CC" w:rsidP="005775C3">
      <w:pPr>
        <w:pStyle w:val="ListBullet"/>
      </w:pPr>
      <w:r>
        <w:t>Fluarix Tetra</w:t>
      </w:r>
      <w:r w:rsidR="00F30851" w:rsidRPr="000426CA">
        <w:t xml:space="preserve"> was efficacious in the prevention of culture confirmed influenza A and/or B disease of any severity due to any seasonal influenza strai</w:t>
      </w:r>
      <w:r w:rsidR="00F30851">
        <w:t>ns; VE: 51.2</w:t>
      </w:r>
      <w:r w:rsidR="00F30851" w:rsidRPr="000426CA">
        <w:t>% (L</w:t>
      </w:r>
      <w:r w:rsidR="00F30851">
        <w:t xml:space="preserve">L of the 95% CI: 44.1 %, </w:t>
      </w:r>
      <w:r w:rsidR="00EE7481">
        <w:t>that is,</w:t>
      </w:r>
      <w:r w:rsidR="00F30851">
        <w:t xml:space="preserve"> &gt;</w:t>
      </w:r>
      <w:r w:rsidR="00F30851" w:rsidRPr="000426CA">
        <w:t>10% pre-specified success criterion).</w:t>
      </w:r>
    </w:p>
    <w:p w14:paraId="1F49BF95" w14:textId="77777777" w:rsidR="00F30851" w:rsidRPr="000426CA" w:rsidRDefault="00E278CC" w:rsidP="005775C3">
      <w:pPr>
        <w:pStyle w:val="ListBullet"/>
      </w:pPr>
      <w:r>
        <w:t>Fluarix Tetra</w:t>
      </w:r>
      <w:r w:rsidR="00F30851" w:rsidRPr="000426CA">
        <w:t xml:space="preserve"> was efficacious in the prevention of </w:t>
      </w:r>
      <w:r w:rsidR="00F30851">
        <w:t xml:space="preserve">AOM </w:t>
      </w:r>
      <w:r w:rsidR="00F30851" w:rsidRPr="000426CA">
        <w:t>associated with RT-PCR confirmed influenza A and/or B disease; VE: 56.6% (L</w:t>
      </w:r>
      <w:r w:rsidR="00F30851">
        <w:t xml:space="preserve">L of the 95% CI: 16.7 %, </w:t>
      </w:r>
      <w:r w:rsidR="00EE7481">
        <w:t>that is,</w:t>
      </w:r>
      <w:r w:rsidR="00F30851">
        <w:t xml:space="preserve"> &gt;</w:t>
      </w:r>
      <w:r w:rsidR="00F30851" w:rsidRPr="000426CA">
        <w:t>10% prespecified success criterion).</w:t>
      </w:r>
    </w:p>
    <w:p w14:paraId="6B476F66" w14:textId="77777777" w:rsidR="00F30851" w:rsidRPr="0073134C" w:rsidRDefault="00F30851" w:rsidP="005775C3">
      <w:pPr>
        <w:pStyle w:val="ListBullet"/>
      </w:pPr>
      <w:r w:rsidRPr="000426CA">
        <w:t xml:space="preserve">The analysis of </w:t>
      </w:r>
      <w:r w:rsidR="00E278CC">
        <w:t>Fluarix Tetra</w:t>
      </w:r>
      <w:r w:rsidRPr="000426CA">
        <w:t xml:space="preserve"> VE in the prevention of RT-P</w:t>
      </w:r>
      <w:r>
        <w:t xml:space="preserve">CR confirmed severe influenza A </w:t>
      </w:r>
      <w:r w:rsidRPr="000426CA">
        <w:t xml:space="preserve">and/or B was inconclusive; VE: 34.2% (LL of the 95% CI: -297.3%, </w:t>
      </w:r>
      <w:r w:rsidR="00EE7481">
        <w:t>that is,</w:t>
      </w:r>
      <w:r w:rsidRPr="000426CA">
        <w:t xml:space="preserve"> &lt;15% pre-specified success criterion).</w:t>
      </w:r>
    </w:p>
    <w:p w14:paraId="2E8985B4" w14:textId="6BE9B9CA" w:rsidR="00F30851" w:rsidRDefault="00F30851" w:rsidP="005775C3">
      <w:pPr>
        <w:pStyle w:val="Tabletitle"/>
        <w:rPr>
          <w:rFonts w:eastAsiaTheme="minorHAnsi" w:cs="Arial,Bold"/>
        </w:rPr>
      </w:pPr>
      <w:r w:rsidRPr="00AE314C">
        <w:rPr>
          <w:rFonts w:eastAsia="TimesNewRoman" w:cs="TimesNewRoman"/>
        </w:rPr>
        <w:lastRenderedPageBreak/>
        <w:t xml:space="preserve">Table </w:t>
      </w:r>
      <w:r w:rsidR="00DA7D36">
        <w:rPr>
          <w:rFonts w:eastAsia="TimesNewRoman" w:cs="TimesNewRoman"/>
        </w:rPr>
        <w:t>10</w:t>
      </w:r>
      <w:r w:rsidR="005775C3">
        <w:rPr>
          <w:rFonts w:eastAsia="TimesNewRoman" w:cs="TimesNewRoman"/>
        </w:rPr>
        <w:t>:</w:t>
      </w:r>
      <w:r w:rsidRPr="00AE314C">
        <w:t xml:space="preserve"> Vaccine efficacy for the seven secondary objectives - confirmatory secondary objectives (ATP cohort for efficacy - Time to event) in </w:t>
      </w:r>
      <w:r w:rsidRPr="00AE314C">
        <w:rPr>
          <w:rFonts w:eastAsiaTheme="minorHAnsi" w:cs="Arial,Bold"/>
        </w:rPr>
        <w:t>D-QIV-004</w:t>
      </w:r>
    </w:p>
    <w:p w14:paraId="6CDB28B9" w14:textId="77777777" w:rsidR="005775C3" w:rsidRPr="005775C3" w:rsidRDefault="005775C3" w:rsidP="005775C3">
      <w:r>
        <w:rPr>
          <w:noProof/>
          <w:lang w:eastAsia="en-AU"/>
        </w:rPr>
        <w:drawing>
          <wp:inline distT="0" distB="0" distL="0" distR="0" wp14:anchorId="7258C0BA" wp14:editId="51E6931C">
            <wp:extent cx="4362595" cy="2380784"/>
            <wp:effectExtent l="0" t="0" r="0" b="635"/>
            <wp:docPr id="15" name="Picture 15" descr="Vaccine efficacy for the seven secondary objectives - confirmatory secondary objectives (ATP cohort for efficacy - Time to event) in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65786" cy="2382525"/>
                    </a:xfrm>
                    <a:prstGeom prst="rect">
                      <a:avLst/>
                    </a:prstGeom>
                  </pic:spPr>
                </pic:pic>
              </a:graphicData>
            </a:graphic>
          </wp:inline>
        </w:drawing>
      </w:r>
    </w:p>
    <w:p w14:paraId="2EB63559" w14:textId="77777777" w:rsidR="00E835BC" w:rsidRDefault="00F30851" w:rsidP="00F30851">
      <w:pPr>
        <w:autoSpaceDE w:val="0"/>
        <w:autoSpaceDN w:val="0"/>
        <w:adjustRightInd w:val="0"/>
        <w:spacing w:before="0" w:after="0" w:line="240" w:lineRule="auto"/>
        <w:rPr>
          <w:rFonts w:asciiTheme="minorHAnsi" w:eastAsia="TimesNewRoman,BoldItalic" w:hAnsiTheme="minorHAnsi" w:cs="TimesNewRoman,BoldItalic"/>
          <w:b/>
          <w:bCs/>
          <w:i/>
          <w:iCs/>
        </w:rPr>
      </w:pPr>
      <w:r w:rsidRPr="003506A4">
        <w:rPr>
          <w:rFonts w:asciiTheme="minorHAnsi" w:eastAsia="TimesNewRoman,BoldItalic" w:hAnsiTheme="minorHAnsi" w:cs="TimesNewRoman,BoldItalic"/>
          <w:b/>
          <w:bCs/>
          <w:i/>
          <w:iCs/>
        </w:rPr>
        <w:t>Immunogenicity results</w:t>
      </w:r>
    </w:p>
    <w:p w14:paraId="1F295FCA" w14:textId="77777777" w:rsidR="00F30851" w:rsidRPr="00E835BC" w:rsidRDefault="00E278CC" w:rsidP="00E835BC">
      <w:pPr>
        <w:rPr>
          <w:rFonts w:eastAsia="TimesNewRoman,BoldItalic" w:cs="TimesNewRoman,BoldItalic"/>
          <w:bCs/>
          <w:i/>
          <w:iCs/>
        </w:rPr>
      </w:pPr>
      <w:r w:rsidRPr="00E835BC">
        <w:t>Fluarix Tetra</w:t>
      </w:r>
      <w:r w:rsidR="00F30851" w:rsidRPr="00E835BC">
        <w:t xml:space="preserve"> elicited a robust post-vaccination (28 days) immune response against all four strains contained in the vaccine. In the ATP cohort for immunogenicity (all cohorts pooled) (</w:t>
      </w:r>
      <w:r w:rsidR="00E835BC" w:rsidRPr="00E835BC">
        <w:t>s</w:t>
      </w:r>
      <w:r w:rsidR="00F30851" w:rsidRPr="00E835BC">
        <w:t>ee Tables 1</w:t>
      </w:r>
      <w:r w:rsidR="00E835BC" w:rsidRPr="00E835BC">
        <w:t>0</w:t>
      </w:r>
      <w:r w:rsidR="00F30851" w:rsidRPr="00E835BC">
        <w:t xml:space="preserve"> and 1</w:t>
      </w:r>
      <w:r w:rsidR="00E835BC" w:rsidRPr="00E835BC">
        <w:t>1</w:t>
      </w:r>
      <w:r w:rsidR="00F30851" w:rsidRPr="00E835BC">
        <w:t xml:space="preserve"> below):</w:t>
      </w:r>
    </w:p>
    <w:p w14:paraId="114C94AA" w14:textId="77777777" w:rsidR="00F30851" w:rsidRPr="000426CA" w:rsidRDefault="00F30851" w:rsidP="00E835BC">
      <w:pPr>
        <w:pStyle w:val="ListBullet"/>
      </w:pPr>
      <w:r w:rsidRPr="000426CA">
        <w:t>Pre-vaccination seropositivity rates were 26.9% (A/H1N1), 35.7% (A/H3N2), 27.5% (B/Victoria) and 18</w:t>
      </w:r>
      <w:r>
        <w:t xml:space="preserve">.0% (B/Yamagata) for </w:t>
      </w:r>
      <w:r w:rsidR="00E278CC">
        <w:t>Fluarix Tetra</w:t>
      </w:r>
      <w:r>
        <w:t xml:space="preserve">. Similar rates </w:t>
      </w:r>
      <w:r w:rsidRPr="000426CA">
        <w:t xml:space="preserve">observed in the </w:t>
      </w:r>
      <w:r w:rsidR="00E835BC">
        <w:t>control group.</w:t>
      </w:r>
      <w:r w:rsidRPr="000426CA">
        <w:t xml:space="preserve"> Pre</w:t>
      </w:r>
      <w:r w:rsidR="000B015D">
        <w:t xml:space="preserve"> </w:t>
      </w:r>
      <w:r w:rsidRPr="000426CA">
        <w:t xml:space="preserve">vaccination HI GMTs for </w:t>
      </w:r>
      <w:r w:rsidR="00E278CC">
        <w:t>Fluarix Tetra</w:t>
      </w:r>
      <w:r w:rsidRPr="000426CA">
        <w:t xml:space="preserve"> ranged from 7.3 to 11.9 across strains, and were very similar (7.3-13.4) for the </w:t>
      </w:r>
      <w:r w:rsidR="00E835BC">
        <w:t>control group.</w:t>
      </w:r>
    </w:p>
    <w:p w14:paraId="41EFEDC9" w14:textId="77777777" w:rsidR="00F30851" w:rsidRPr="000426CA" w:rsidRDefault="00F30851" w:rsidP="00E835BC">
      <w:pPr>
        <w:pStyle w:val="ListBullet"/>
      </w:pPr>
      <w:r w:rsidRPr="000426CA">
        <w:t>Post-vaccination seropositivity rates were 96.8% (A/H1N1), 98.3% (A/H3N2), 93.5% (B/Victoria) and</w:t>
      </w:r>
      <w:r>
        <w:t xml:space="preserve"> </w:t>
      </w:r>
      <w:r w:rsidRPr="000426CA">
        <w:t xml:space="preserve">95.5% (B/Yamagata) for </w:t>
      </w:r>
      <w:r w:rsidR="00E278CC">
        <w:t>Fluarix Tetra</w:t>
      </w:r>
      <w:r w:rsidRPr="000426CA">
        <w:t xml:space="preserve">, </w:t>
      </w:r>
      <w:r w:rsidR="007E3752">
        <w:t>versus</w:t>
      </w:r>
      <w:r w:rsidRPr="000426CA">
        <w:t xml:space="preserve"> 29.4%, 36.3%, 25.4%, and 18.7%, respectively, for the </w:t>
      </w:r>
      <w:r w:rsidR="00E835BC">
        <w:t>control group.</w:t>
      </w:r>
    </w:p>
    <w:p w14:paraId="2C82226B" w14:textId="77777777" w:rsidR="00F30851" w:rsidRPr="000426CA" w:rsidRDefault="00F30851" w:rsidP="00E835BC">
      <w:pPr>
        <w:pStyle w:val="ListBullet"/>
      </w:pPr>
      <w:r w:rsidRPr="000426CA">
        <w:t>Post-vaccination SCRs were 80.2% (A/H1N1), 68.8% (A/H3N2), 69.3% (B/Victoria) and 81.2</w:t>
      </w:r>
      <w:r>
        <w:t xml:space="preserve"> </w:t>
      </w:r>
      <w:r w:rsidRPr="000426CA">
        <w:t xml:space="preserve">(B/Yamagata) for </w:t>
      </w:r>
      <w:r w:rsidR="00E278CC">
        <w:t>Fluarix Tetra</w:t>
      </w:r>
      <w:r w:rsidRPr="000426CA">
        <w:t xml:space="preserve">, </w:t>
      </w:r>
      <w:r w:rsidR="007E3752">
        <w:t>versus</w:t>
      </w:r>
      <w:r w:rsidRPr="000426CA">
        <w:t xml:space="preserve"> 3.5%, 4.2%, 0.9%, and 2.3%, respectively, for the</w:t>
      </w:r>
      <w:r>
        <w:t xml:space="preserve"> </w:t>
      </w:r>
      <w:r w:rsidR="00E835BC">
        <w:t>control group.</w:t>
      </w:r>
    </w:p>
    <w:p w14:paraId="176F3A04" w14:textId="77777777" w:rsidR="00F30851" w:rsidRPr="000426CA" w:rsidRDefault="00F30851" w:rsidP="00E835BC">
      <w:pPr>
        <w:pStyle w:val="ListBullet"/>
      </w:pPr>
      <w:r w:rsidRPr="000426CA">
        <w:t xml:space="preserve">Post-vaccination SPRs for </w:t>
      </w:r>
      <w:r w:rsidR="00E278CC">
        <w:t>Fluarix Tetra</w:t>
      </w:r>
      <w:r w:rsidRPr="000426CA">
        <w:t xml:space="preserve"> were 85.1% (A/H1N1), 81.3% (A/H3N2), 71.9% (B/Victoria) and 84.7% (B/Yamagata), </w:t>
      </w:r>
      <w:r w:rsidR="007E3752">
        <w:t>versus</w:t>
      </w:r>
      <w:r w:rsidRPr="000426CA">
        <w:t xml:space="preserve"> 25.3%, 30.3%, 17.4%, and 11.1%, respectively, for the </w:t>
      </w:r>
      <w:r w:rsidR="00E835BC">
        <w:t>control group.</w:t>
      </w:r>
    </w:p>
    <w:p w14:paraId="21116872" w14:textId="77777777" w:rsidR="00F30851" w:rsidRPr="000426CA" w:rsidRDefault="00F30851" w:rsidP="00E835BC">
      <w:pPr>
        <w:pStyle w:val="ListBullet"/>
      </w:pPr>
      <w:r w:rsidRPr="000426CA">
        <w:t xml:space="preserve">Post-vaccination HI GMTs for the </w:t>
      </w:r>
      <w:r w:rsidR="00E278CC">
        <w:t>Fluarix Tetra</w:t>
      </w:r>
      <w:r w:rsidR="00CE366D">
        <w:t xml:space="preserve"> group </w:t>
      </w:r>
      <w:r w:rsidRPr="000426CA">
        <w:t xml:space="preserve">were 165.3 (A/H1N1), 132.1 (A/H3N2), 92.6 (B/Victoria) and 121.4 (B/Yamagata), </w:t>
      </w:r>
      <w:r w:rsidR="007E3752">
        <w:t>versus</w:t>
      </w:r>
      <w:r w:rsidRPr="000426CA">
        <w:t xml:space="preserve"> 12.6, 14.7, 9.2, a</w:t>
      </w:r>
      <w:r>
        <w:t xml:space="preserve">nd 7.6, respectively, for </w:t>
      </w:r>
      <w:r w:rsidR="00E835BC">
        <w:t>control group.</w:t>
      </w:r>
    </w:p>
    <w:p w14:paraId="33E0B1B6" w14:textId="77777777" w:rsidR="00F30851" w:rsidRPr="00450739" w:rsidRDefault="00F30851" w:rsidP="00E835BC">
      <w:pPr>
        <w:pStyle w:val="ListBullet"/>
      </w:pPr>
      <w:r w:rsidRPr="000426CA">
        <w:t xml:space="preserve">Post-vaccination MGIs for </w:t>
      </w:r>
      <w:r w:rsidR="00E278CC">
        <w:t>Fluarix Tetra</w:t>
      </w:r>
      <w:r w:rsidRPr="000426CA">
        <w:t xml:space="preserve"> were 14.0 (A/H1N1), 9.0 (A/H3N2), 9.3 (B/Victoria) and 16.7 (B/Yamagata), </w:t>
      </w:r>
      <w:r w:rsidR="007E3752">
        <w:t>versus</w:t>
      </w:r>
      <w:r w:rsidRPr="000426CA">
        <w:t xml:space="preserve"> post-vaccination MGIs of 1.1, 1.1, 1.0, and 1.1, respectively, for the </w:t>
      </w:r>
      <w:r w:rsidR="00E835BC">
        <w:t>control group.</w:t>
      </w:r>
    </w:p>
    <w:p w14:paraId="4E0E53DB" w14:textId="77777777" w:rsidR="00F30851" w:rsidRPr="00752500" w:rsidRDefault="00F30851" w:rsidP="00E835BC">
      <w:r w:rsidRPr="003506A4">
        <w:t xml:space="preserve">The </w:t>
      </w:r>
      <w:r>
        <w:t>post-vaccination immune responses</w:t>
      </w:r>
      <w:r w:rsidRPr="003506A4">
        <w:t xml:space="preserve"> in each of the 5 cohorts separately were comparable.</w:t>
      </w:r>
    </w:p>
    <w:p w14:paraId="16B3D001" w14:textId="5A256D88" w:rsidR="00F30851" w:rsidRDefault="00F30851" w:rsidP="00E835BC">
      <w:pPr>
        <w:pStyle w:val="Heading6"/>
        <w:rPr>
          <w:rFonts w:eastAsiaTheme="minorHAnsi"/>
        </w:rPr>
      </w:pPr>
      <w:r>
        <w:rPr>
          <w:rFonts w:eastAsiaTheme="minorHAnsi"/>
        </w:rPr>
        <w:t xml:space="preserve">Health </w:t>
      </w:r>
      <w:r w:rsidR="00486721">
        <w:rPr>
          <w:rFonts w:eastAsiaTheme="minorHAnsi"/>
        </w:rPr>
        <w:t>c</w:t>
      </w:r>
      <w:r>
        <w:rPr>
          <w:rFonts w:eastAsiaTheme="minorHAnsi"/>
        </w:rPr>
        <w:t>are utilisa</w:t>
      </w:r>
      <w:r w:rsidR="00E835BC">
        <w:rPr>
          <w:rFonts w:eastAsiaTheme="minorHAnsi"/>
        </w:rPr>
        <w:t>tion and missed days off D</w:t>
      </w:r>
      <w:r>
        <w:rPr>
          <w:rFonts w:eastAsiaTheme="minorHAnsi"/>
        </w:rPr>
        <w:t>ay</w:t>
      </w:r>
      <w:r w:rsidR="00E835BC">
        <w:rPr>
          <w:rFonts w:eastAsiaTheme="minorHAnsi"/>
        </w:rPr>
        <w:t xml:space="preserve"> </w:t>
      </w:r>
      <w:r>
        <w:rPr>
          <w:rFonts w:eastAsiaTheme="minorHAnsi"/>
        </w:rPr>
        <w:t>care/school and work for parents/LAR(s)</w:t>
      </w:r>
    </w:p>
    <w:p w14:paraId="0B3F68DE" w14:textId="77777777" w:rsidR="00F30851" w:rsidRPr="00DE28FA" w:rsidRDefault="00F30851" w:rsidP="00E835BC">
      <w:pPr>
        <w:rPr>
          <w:lang w:val="en-GB"/>
        </w:rPr>
      </w:pPr>
      <w:r w:rsidRPr="009F1970">
        <w:rPr>
          <w:lang w:val="en-GB"/>
        </w:rPr>
        <w:t xml:space="preserve">In the </w:t>
      </w:r>
      <w:r w:rsidR="00E278CC">
        <w:rPr>
          <w:lang w:val="en-GB"/>
        </w:rPr>
        <w:t>Fluarix Tetra</w:t>
      </w:r>
      <w:r w:rsidRPr="009F1970">
        <w:rPr>
          <w:lang w:val="en-GB"/>
        </w:rPr>
        <w:t xml:space="preserve"> group, the risk of visits to the GP or p</w:t>
      </w:r>
      <w:r>
        <w:rPr>
          <w:lang w:val="en-GB"/>
        </w:rPr>
        <w:t>a</w:t>
      </w:r>
      <w:r w:rsidRPr="009F1970">
        <w:rPr>
          <w:lang w:val="en-GB"/>
        </w:rPr>
        <w:t>ediatrician were reduced by 46</w:t>
      </w:r>
      <w:r>
        <w:rPr>
          <w:lang w:val="en-GB"/>
        </w:rPr>
        <w:t xml:space="preserve"> % (RR</w:t>
      </w:r>
      <w:r w:rsidRPr="009F1970">
        <w:rPr>
          <w:lang w:val="en-GB"/>
        </w:rPr>
        <w:t xml:space="preserve"> 0.54 [0.47-0.62]) and to the ER by 79% (RR 0.21 [0.09-0.51]) for</w:t>
      </w:r>
      <w:r>
        <w:rPr>
          <w:lang w:val="en-GB"/>
        </w:rPr>
        <w:t xml:space="preserve"> </w:t>
      </w:r>
      <w:r w:rsidRPr="009F1970">
        <w:rPr>
          <w:lang w:val="en-GB"/>
        </w:rPr>
        <w:t>RT-PCR confirmed influenza cases of any severity.</w:t>
      </w:r>
      <w:r>
        <w:rPr>
          <w:color w:val="0000FF"/>
          <w:lang w:val="en-GB"/>
        </w:rPr>
        <w:t xml:space="preserve"> </w:t>
      </w:r>
      <w:r>
        <w:rPr>
          <w:lang w:val="en-GB"/>
        </w:rPr>
        <w:t xml:space="preserve">In the </w:t>
      </w:r>
      <w:r w:rsidR="005879FC">
        <w:rPr>
          <w:lang w:val="en-GB"/>
        </w:rPr>
        <w:t>Tetra Fluarix group</w:t>
      </w:r>
      <w:r>
        <w:rPr>
          <w:lang w:val="en-GB"/>
        </w:rPr>
        <w:t xml:space="preserve">, the risk of GP or </w:t>
      </w:r>
      <w:r w:rsidRPr="009F1970">
        <w:rPr>
          <w:lang w:val="en-GB"/>
        </w:rPr>
        <w:t>p</w:t>
      </w:r>
      <w:r>
        <w:rPr>
          <w:lang w:val="en-GB"/>
        </w:rPr>
        <w:t>a</w:t>
      </w:r>
      <w:r w:rsidRPr="009F1970">
        <w:rPr>
          <w:lang w:val="en-GB"/>
        </w:rPr>
        <w:t>ediatrician visits and the risk of ER visits for</w:t>
      </w:r>
      <w:r>
        <w:rPr>
          <w:color w:val="0000FF"/>
          <w:lang w:val="en-GB"/>
        </w:rPr>
        <w:t xml:space="preserve"> </w:t>
      </w:r>
      <w:r w:rsidRPr="009F1970">
        <w:rPr>
          <w:lang w:val="en-GB"/>
        </w:rPr>
        <w:t>RT-PCR confirmed moderate</w:t>
      </w:r>
      <w:r>
        <w:rPr>
          <w:lang w:val="en-GB"/>
        </w:rPr>
        <w:t>-to-</w:t>
      </w:r>
      <w:r w:rsidRPr="009F1970">
        <w:rPr>
          <w:lang w:val="en-GB"/>
        </w:rPr>
        <w:t>severe influenza cases was reduced by 65%</w:t>
      </w:r>
      <w:r>
        <w:rPr>
          <w:lang w:val="en-GB"/>
        </w:rPr>
        <w:t xml:space="preserve"> </w:t>
      </w:r>
      <w:r w:rsidRPr="009F1970">
        <w:rPr>
          <w:lang w:val="en-GB"/>
        </w:rPr>
        <w:t>(RR 0.35[0.27-0.</w:t>
      </w:r>
      <w:r>
        <w:rPr>
          <w:lang w:val="en-GB"/>
        </w:rPr>
        <w:t>46]) and 80% (RR 0.20</w:t>
      </w:r>
      <w:r w:rsidRPr="009F1970">
        <w:rPr>
          <w:lang w:val="en-GB"/>
        </w:rPr>
        <w:t xml:space="preserve">[0.06-0.69]) respectively, </w:t>
      </w:r>
      <w:r w:rsidR="007E3752">
        <w:rPr>
          <w:lang w:val="en-GB"/>
        </w:rPr>
        <w:t>versus</w:t>
      </w:r>
      <w:r>
        <w:rPr>
          <w:lang w:val="en-GB"/>
        </w:rPr>
        <w:t xml:space="preserve"> the </w:t>
      </w:r>
      <w:r w:rsidR="005E57AC">
        <w:rPr>
          <w:lang w:val="en-GB"/>
        </w:rPr>
        <w:t>control group</w:t>
      </w:r>
      <w:r>
        <w:rPr>
          <w:lang w:val="en-GB"/>
        </w:rPr>
        <w:t xml:space="preserve">. The use of </w:t>
      </w:r>
      <w:r w:rsidR="00E278CC">
        <w:rPr>
          <w:lang w:val="en-GB"/>
        </w:rPr>
        <w:t>Fluarix Tetra</w:t>
      </w:r>
      <w:r>
        <w:rPr>
          <w:lang w:val="en-GB"/>
        </w:rPr>
        <w:t xml:space="preserve"> </w:t>
      </w:r>
      <w:r w:rsidRPr="009F1970">
        <w:rPr>
          <w:lang w:val="en-GB"/>
        </w:rPr>
        <w:t>reduced the risk of missing a day from paid work for</w:t>
      </w:r>
      <w:r>
        <w:rPr>
          <w:lang w:val="en-GB"/>
        </w:rPr>
        <w:t xml:space="preserve"> </w:t>
      </w:r>
      <w:r w:rsidRPr="009F1970">
        <w:rPr>
          <w:lang w:val="en-GB"/>
        </w:rPr>
        <w:t xml:space="preserve">parent(s)/LAR(s) by </w:t>
      </w:r>
      <w:r w:rsidRPr="009F1970">
        <w:rPr>
          <w:lang w:val="en-GB"/>
        </w:rPr>
        <w:lastRenderedPageBreak/>
        <w:t>53</w:t>
      </w:r>
      <w:r>
        <w:rPr>
          <w:lang w:val="en-GB"/>
        </w:rPr>
        <w:t xml:space="preserve">% (RR 0.47 [0.28-0.79]) or </w:t>
      </w:r>
      <w:r w:rsidR="00E835BC">
        <w:rPr>
          <w:lang w:val="en-GB"/>
        </w:rPr>
        <w:t>D</w:t>
      </w:r>
      <w:r w:rsidRPr="009F1970">
        <w:rPr>
          <w:lang w:val="en-GB"/>
        </w:rPr>
        <w:t>ay</w:t>
      </w:r>
      <w:r w:rsidR="00E835BC">
        <w:rPr>
          <w:lang w:val="en-GB"/>
        </w:rPr>
        <w:t xml:space="preserve"> </w:t>
      </w:r>
      <w:r w:rsidRPr="009F1970">
        <w:rPr>
          <w:lang w:val="en-GB"/>
        </w:rPr>
        <w:t>care/school for the child by</w:t>
      </w:r>
      <w:r>
        <w:rPr>
          <w:lang w:val="en-GB"/>
        </w:rPr>
        <w:t xml:space="preserve"> 57% (RR 0.43</w:t>
      </w:r>
      <w:r w:rsidRPr="009F1970">
        <w:rPr>
          <w:lang w:val="en-GB"/>
        </w:rPr>
        <w:t>[0.30-0.62]) for RT-PCR confirmed influe</w:t>
      </w:r>
      <w:r>
        <w:rPr>
          <w:lang w:val="en-GB"/>
        </w:rPr>
        <w:t>nza cases of any severity</w:t>
      </w:r>
      <w:r w:rsidRPr="009F1970">
        <w:rPr>
          <w:lang w:val="en-GB"/>
        </w:rPr>
        <w:t>.</w:t>
      </w:r>
      <w:r>
        <w:rPr>
          <w:lang w:val="en-GB"/>
        </w:rPr>
        <w:t xml:space="preserve"> The use of </w:t>
      </w:r>
      <w:r w:rsidR="00E278CC">
        <w:rPr>
          <w:lang w:val="en-GB"/>
        </w:rPr>
        <w:t>Fluarix Tetra</w:t>
      </w:r>
      <w:r>
        <w:rPr>
          <w:lang w:val="en-GB"/>
        </w:rPr>
        <w:t xml:space="preserve"> </w:t>
      </w:r>
      <w:r w:rsidRPr="009F1970">
        <w:rPr>
          <w:lang w:val="en-GB"/>
        </w:rPr>
        <w:t>reduced the risk of missing a day from paid work for</w:t>
      </w:r>
      <w:r>
        <w:rPr>
          <w:lang w:val="en-GB"/>
        </w:rPr>
        <w:t xml:space="preserve"> </w:t>
      </w:r>
      <w:r w:rsidRPr="009F1970">
        <w:rPr>
          <w:lang w:val="en-GB"/>
        </w:rPr>
        <w:t>parent(s)/LAR(s) by 65</w:t>
      </w:r>
      <w:r>
        <w:rPr>
          <w:lang w:val="en-GB"/>
        </w:rPr>
        <w:t xml:space="preserve">% (RR 0.35 [0.15-0.83]) or from </w:t>
      </w:r>
      <w:r w:rsidR="000B015D">
        <w:rPr>
          <w:lang w:val="en-GB"/>
        </w:rPr>
        <w:t>D</w:t>
      </w:r>
      <w:r w:rsidRPr="009F1970">
        <w:rPr>
          <w:lang w:val="en-GB"/>
        </w:rPr>
        <w:t>ay</w:t>
      </w:r>
      <w:r w:rsidR="000B015D">
        <w:rPr>
          <w:lang w:val="en-GB"/>
        </w:rPr>
        <w:t xml:space="preserve"> </w:t>
      </w:r>
      <w:r w:rsidRPr="009F1970">
        <w:rPr>
          <w:lang w:val="en-GB"/>
        </w:rPr>
        <w:t>care/school for the child by</w:t>
      </w:r>
      <w:r>
        <w:rPr>
          <w:lang w:val="en-GB"/>
        </w:rPr>
        <w:t xml:space="preserve"> 54% (RR 0.46</w:t>
      </w:r>
      <w:r w:rsidRPr="009F1970">
        <w:rPr>
          <w:lang w:val="en-GB"/>
        </w:rPr>
        <w:t>[0.27-0.77]</w:t>
      </w:r>
      <w:r>
        <w:rPr>
          <w:lang w:val="en-GB"/>
        </w:rPr>
        <w:t>) for RT-PCR confirmed moderate-to-</w:t>
      </w:r>
      <w:r w:rsidRPr="009F1970">
        <w:rPr>
          <w:lang w:val="en-GB"/>
        </w:rPr>
        <w:t>severe influenza cases</w:t>
      </w:r>
    </w:p>
    <w:p w14:paraId="1AA6D076" w14:textId="77777777" w:rsidR="00E835BC" w:rsidRDefault="00F30851" w:rsidP="00E835BC">
      <w:pPr>
        <w:pStyle w:val="Heading6"/>
        <w:rPr>
          <w:rFonts w:eastAsia="TimesNewRoman"/>
          <w:lang w:val="en-GB"/>
        </w:rPr>
      </w:pPr>
      <w:r w:rsidRPr="00DE28FA">
        <w:rPr>
          <w:rFonts w:eastAsia="TimesNewRoman"/>
          <w:lang w:val="en-GB"/>
        </w:rPr>
        <w:t>Use of adjunctive agents and/or antibiotics</w:t>
      </w:r>
    </w:p>
    <w:p w14:paraId="0C98011B" w14:textId="77777777" w:rsidR="00F30851" w:rsidRPr="00C34968" w:rsidRDefault="00F30851" w:rsidP="00F30851">
      <w:pPr>
        <w:autoSpaceDE w:val="0"/>
        <w:autoSpaceDN w:val="0"/>
        <w:adjustRightInd w:val="0"/>
        <w:spacing w:before="0" w:after="0" w:line="240" w:lineRule="auto"/>
        <w:rPr>
          <w:rFonts w:asciiTheme="minorHAnsi" w:eastAsia="TimesNewRoman" w:hAnsiTheme="minorHAnsi" w:cs="TimesNewRoman"/>
          <w:b/>
          <w:color w:val="000000"/>
          <w:lang w:val="en-GB"/>
        </w:rPr>
      </w:pPr>
      <w:r w:rsidRPr="009F1970">
        <w:rPr>
          <w:rFonts w:asciiTheme="minorHAnsi" w:eastAsia="TimesNewRoman" w:hAnsiTheme="minorHAnsi" w:cs="TimesNewRoman"/>
          <w:color w:val="000000"/>
          <w:lang w:val="en-GB"/>
        </w:rPr>
        <w:t xml:space="preserve">In the </w:t>
      </w:r>
      <w:r w:rsidR="00E278CC">
        <w:rPr>
          <w:rFonts w:asciiTheme="minorHAnsi" w:eastAsia="TimesNewRoman" w:hAnsiTheme="minorHAnsi" w:cs="TimesNewRoman"/>
          <w:color w:val="000000"/>
          <w:lang w:val="en-GB"/>
        </w:rPr>
        <w:t>Fluarix Tetra</w:t>
      </w:r>
      <w:r w:rsidRPr="009F1970">
        <w:rPr>
          <w:rFonts w:asciiTheme="minorHAnsi" w:eastAsia="TimesNewRoman" w:hAnsiTheme="minorHAnsi" w:cs="TimesNewRoman"/>
          <w:color w:val="000000"/>
          <w:lang w:val="en-GB"/>
        </w:rPr>
        <w:t xml:space="preserve"> group </w:t>
      </w:r>
      <w:r w:rsidR="007E3752">
        <w:rPr>
          <w:rFonts w:asciiTheme="minorHAnsi" w:eastAsia="TimesNewRoman" w:hAnsiTheme="minorHAnsi" w:cs="TimesNewRoman"/>
          <w:color w:val="000000"/>
          <w:lang w:val="en-GB"/>
        </w:rPr>
        <w:t>versus</w:t>
      </w:r>
      <w:r w:rsidRPr="009F1970">
        <w:rPr>
          <w:rFonts w:asciiTheme="minorHAnsi" w:eastAsia="TimesNewRoman" w:hAnsiTheme="minorHAnsi" w:cs="TimesNewRoman"/>
          <w:color w:val="000000"/>
          <w:lang w:val="en-GB"/>
        </w:rPr>
        <w:t xml:space="preserve"> </w:t>
      </w:r>
      <w:r w:rsidR="00E835BC">
        <w:rPr>
          <w:rFonts w:asciiTheme="minorHAnsi" w:eastAsia="TimesNewRoman" w:hAnsiTheme="minorHAnsi" w:cs="TimesNewRoman"/>
          <w:color w:val="000000"/>
          <w:lang w:val="en-GB"/>
        </w:rPr>
        <w:t>c</w:t>
      </w:r>
      <w:r w:rsidRPr="009F1970">
        <w:rPr>
          <w:rFonts w:asciiTheme="minorHAnsi" w:eastAsia="TimesNewRoman" w:hAnsiTheme="minorHAnsi" w:cs="TimesNewRoman"/>
          <w:color w:val="000000"/>
          <w:lang w:val="en-GB"/>
        </w:rPr>
        <w:t>ontrol group, there was less use of antipyretics</w:t>
      </w:r>
      <w:r>
        <w:rPr>
          <w:rFonts w:asciiTheme="minorHAnsi" w:eastAsia="TimesNewRoman" w:hAnsiTheme="minorHAnsi" w:cs="TimesNewRoman"/>
          <w:b/>
          <w:color w:val="000000"/>
          <w:lang w:val="en-GB"/>
        </w:rPr>
        <w:t xml:space="preserve"> </w:t>
      </w:r>
      <w:r w:rsidRPr="009F1970">
        <w:rPr>
          <w:rFonts w:asciiTheme="minorHAnsi" w:eastAsia="TimesNewRoman" w:hAnsiTheme="minorHAnsi" w:cs="TimesNewRoman"/>
          <w:color w:val="000000"/>
          <w:lang w:val="en-GB"/>
        </w:rPr>
        <w:t xml:space="preserve">(5.8% </w:t>
      </w:r>
      <w:r w:rsidR="007E3752">
        <w:rPr>
          <w:rFonts w:asciiTheme="minorHAnsi" w:eastAsia="TimesNewRoman" w:hAnsiTheme="minorHAnsi" w:cs="TimesNewRoman"/>
          <w:color w:val="000000"/>
          <w:lang w:val="en-GB"/>
        </w:rPr>
        <w:t>versus</w:t>
      </w:r>
      <w:r w:rsidRPr="009F1970">
        <w:rPr>
          <w:rFonts w:asciiTheme="minorHAnsi" w:eastAsia="TimesNewRoman" w:hAnsiTheme="minorHAnsi" w:cs="TimesNewRoman"/>
          <w:color w:val="000000"/>
          <w:lang w:val="en-GB"/>
        </w:rPr>
        <w:t xml:space="preserve"> 10.8%) and antibiotics (3% vs 5.9%) for RT-PCR confirmed influenza cases of</w:t>
      </w:r>
      <w:r>
        <w:rPr>
          <w:rFonts w:asciiTheme="minorHAnsi" w:eastAsia="TimesNewRoman" w:hAnsiTheme="minorHAnsi" w:cs="TimesNewRoman"/>
          <w:b/>
          <w:color w:val="000000"/>
          <w:lang w:val="en-GB"/>
        </w:rPr>
        <w:t xml:space="preserve"> </w:t>
      </w:r>
      <w:r>
        <w:rPr>
          <w:rFonts w:asciiTheme="minorHAnsi" w:eastAsia="TimesNewRoman" w:hAnsiTheme="minorHAnsi" w:cs="TimesNewRoman"/>
          <w:color w:val="000000"/>
          <w:lang w:val="en-GB"/>
        </w:rPr>
        <w:t xml:space="preserve">any severity, as well as for </w:t>
      </w:r>
      <w:r w:rsidRPr="009F1970">
        <w:rPr>
          <w:rFonts w:asciiTheme="minorHAnsi" w:eastAsia="TimesNewRoman" w:hAnsiTheme="minorHAnsi" w:cs="TimesNewRoman"/>
          <w:color w:val="000000"/>
          <w:lang w:val="en-GB"/>
        </w:rPr>
        <w:t>RT-PCR confirmed moderate to severe</w:t>
      </w:r>
      <w:r>
        <w:rPr>
          <w:rFonts w:asciiTheme="minorHAnsi" w:eastAsia="TimesNewRoman" w:hAnsiTheme="minorHAnsi" w:cs="TimesNewRoman"/>
          <w:color w:val="000000"/>
          <w:lang w:val="en-GB"/>
        </w:rPr>
        <w:t xml:space="preserve"> </w:t>
      </w:r>
      <w:r w:rsidRPr="009F1970">
        <w:rPr>
          <w:rFonts w:asciiTheme="minorHAnsi" w:eastAsia="TimesNewRoman" w:hAnsiTheme="minorHAnsi" w:cs="TimesNewRoman"/>
          <w:color w:val="000000"/>
          <w:lang w:val="en-GB"/>
        </w:rPr>
        <w:t xml:space="preserve">influenza (1.4% </w:t>
      </w:r>
      <w:r w:rsidR="007E3752">
        <w:rPr>
          <w:rFonts w:asciiTheme="minorHAnsi" w:eastAsia="TimesNewRoman" w:hAnsiTheme="minorHAnsi" w:cs="TimesNewRoman"/>
          <w:color w:val="000000"/>
          <w:lang w:val="en-GB"/>
        </w:rPr>
        <w:t>versus</w:t>
      </w:r>
      <w:r w:rsidRPr="009F1970">
        <w:rPr>
          <w:rFonts w:asciiTheme="minorHAnsi" w:eastAsia="TimesNewRoman" w:hAnsiTheme="minorHAnsi" w:cs="TimesNewRoman"/>
          <w:color w:val="000000"/>
          <w:lang w:val="en-GB"/>
        </w:rPr>
        <w:t xml:space="preserve"> 3.9% and 0.8% </w:t>
      </w:r>
      <w:r w:rsidR="007E3752">
        <w:rPr>
          <w:rFonts w:asciiTheme="minorHAnsi" w:eastAsia="TimesNewRoman" w:hAnsiTheme="minorHAnsi" w:cs="TimesNewRoman"/>
          <w:color w:val="000000"/>
          <w:lang w:val="en-GB"/>
        </w:rPr>
        <w:t>versus</w:t>
      </w:r>
      <w:r>
        <w:rPr>
          <w:rFonts w:asciiTheme="minorHAnsi" w:eastAsia="TimesNewRoman" w:hAnsiTheme="minorHAnsi" w:cs="TimesNewRoman"/>
          <w:color w:val="000000"/>
          <w:lang w:val="en-GB"/>
        </w:rPr>
        <w:t xml:space="preserve"> 2.6%, respectively)</w:t>
      </w:r>
      <w:r w:rsidRPr="009F1970">
        <w:rPr>
          <w:rFonts w:asciiTheme="minorHAnsi" w:eastAsia="TimesNewRoman" w:hAnsiTheme="minorHAnsi" w:cs="TimesNewRoman"/>
          <w:color w:val="000000"/>
          <w:lang w:val="en-GB"/>
        </w:rPr>
        <w:t>.</w:t>
      </w:r>
    </w:p>
    <w:p w14:paraId="3E6F322A" w14:textId="32BB1A7D" w:rsidR="00F30851" w:rsidRPr="00AE314C" w:rsidRDefault="00F30851" w:rsidP="003D6F53">
      <w:pPr>
        <w:pStyle w:val="Tabletitle"/>
      </w:pPr>
      <w:r w:rsidRPr="00AE314C">
        <w:t>Table 1</w:t>
      </w:r>
      <w:r w:rsidR="00DA7D36">
        <w:t>1</w:t>
      </w:r>
      <w:r w:rsidR="00E835BC">
        <w:t>:</w:t>
      </w:r>
      <w:r w:rsidRPr="00AE314C">
        <w:t xml:space="preserve"> Summary of HI antibody parameters (Seropositivity rates, SPR) at pre and post vaccination (ATP cohort for immunogenicity) in </w:t>
      </w:r>
      <w:r w:rsidRPr="00AE314C">
        <w:rPr>
          <w:rFonts w:eastAsiaTheme="minorHAnsi" w:cs="Arial,Bold"/>
        </w:rPr>
        <w:t>D-QIV-004</w:t>
      </w:r>
    </w:p>
    <w:p w14:paraId="4AE4486E" w14:textId="6BD7AC1D" w:rsidR="00F30851" w:rsidRPr="00AE314C" w:rsidRDefault="00486721" w:rsidP="00486721">
      <w:r w:rsidRPr="00AE314C">
        <w:object w:dxaOrig="6615" w:dyaOrig="5130" w14:anchorId="15A67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ummary of HI antibody parameters (Seropositivity rates, SPR) at pre and post vaccination (ATP cohort for immunogenicity) in D-QIV-004" style="width:341.85pt;height:189.7pt" o:ole="">
            <v:imagedata r:id="rId42" o:title=""/>
          </v:shape>
          <o:OLEObject Type="Embed" ProgID="Acrobat.Document.DC" ShapeID="_x0000_i1025" DrawAspect="Content" ObjectID="_1606221999" r:id="rId43"/>
        </w:object>
      </w:r>
    </w:p>
    <w:p w14:paraId="32BB6F44" w14:textId="7FFB3F9F" w:rsidR="00F30851" w:rsidRPr="00AE314C" w:rsidRDefault="00F30851" w:rsidP="00E835BC">
      <w:pPr>
        <w:pStyle w:val="Tabletitle"/>
      </w:pPr>
      <w:r w:rsidRPr="00AE314C">
        <w:t>Table 1</w:t>
      </w:r>
      <w:r w:rsidR="00DA7D36">
        <w:t>2</w:t>
      </w:r>
      <w:r w:rsidR="00E835BC">
        <w:t>:</w:t>
      </w:r>
      <w:r w:rsidRPr="00AE314C">
        <w:t xml:space="preserve"> Summary of HI antibody parameters (GMT, SCR and MGI) at pre and post vaccination (ATP cohort for immunogenicity) in </w:t>
      </w:r>
      <w:r w:rsidRPr="00AE314C">
        <w:rPr>
          <w:rFonts w:eastAsiaTheme="minorHAnsi" w:cs="Arial,Bold"/>
        </w:rPr>
        <w:t>D-QIV-004</w:t>
      </w:r>
    </w:p>
    <w:p w14:paraId="5BA84C3B" w14:textId="7F6D8A57" w:rsidR="00F30851" w:rsidRDefault="00486721" w:rsidP="00F30851">
      <w:pPr>
        <w:autoSpaceDE w:val="0"/>
        <w:autoSpaceDN w:val="0"/>
        <w:adjustRightInd w:val="0"/>
        <w:spacing w:before="0" w:after="0" w:line="240" w:lineRule="auto"/>
        <w:rPr>
          <w:rFonts w:ascii="Times New Roman" w:eastAsiaTheme="minorHAnsi" w:hAnsi="Times New Roman"/>
          <w:sz w:val="23"/>
          <w:szCs w:val="23"/>
        </w:rPr>
      </w:pPr>
      <w:r w:rsidRPr="003506A4">
        <w:rPr>
          <w:rFonts w:ascii="Times New Roman" w:eastAsiaTheme="minorHAnsi" w:hAnsi="Times New Roman"/>
          <w:sz w:val="23"/>
          <w:szCs w:val="23"/>
        </w:rPr>
        <w:object w:dxaOrig="6615" w:dyaOrig="6210" w14:anchorId="2E21058E">
          <v:shape id="_x0000_i1026" type="#_x0000_t75" alt="Summary of HI antibody parameters (GMT, SCR and MGI) at pre and post vaccination (ATP cohort for immunogenicity) in D-QIV-004" style="width:341.85pt;height:180.3pt" o:ole="">
            <v:imagedata r:id="rId44" o:title=""/>
          </v:shape>
          <o:OLEObject Type="Embed" ProgID="Acrobat.Document.DC" ShapeID="_x0000_i1026" DrawAspect="Content" ObjectID="_1606222000" r:id="rId45"/>
        </w:object>
      </w:r>
    </w:p>
    <w:p w14:paraId="62816D0A" w14:textId="77777777" w:rsidR="00E835BC" w:rsidRDefault="00F30851" w:rsidP="00E835BC">
      <w:pPr>
        <w:pStyle w:val="Heading6"/>
        <w:rPr>
          <w:rFonts w:eastAsiaTheme="minorHAnsi"/>
        </w:rPr>
      </w:pPr>
      <w:r w:rsidRPr="003506A4">
        <w:rPr>
          <w:rFonts w:eastAsiaTheme="minorHAnsi"/>
        </w:rPr>
        <w:t>Safety</w:t>
      </w:r>
    </w:p>
    <w:p w14:paraId="1A411145" w14:textId="77777777" w:rsidR="00F30851" w:rsidRPr="00142475" w:rsidRDefault="00E835BC" w:rsidP="00F30851">
      <w:pPr>
        <w:autoSpaceDE w:val="0"/>
        <w:autoSpaceDN w:val="0"/>
        <w:adjustRightInd w:val="0"/>
        <w:spacing w:before="0" w:after="0" w:line="240" w:lineRule="auto"/>
        <w:rPr>
          <w:rFonts w:asciiTheme="minorHAnsi" w:eastAsia="TimesNewRoman" w:hAnsiTheme="minorHAnsi" w:cs="TimesNewRoman"/>
        </w:rPr>
      </w:pPr>
      <w:r>
        <w:rPr>
          <w:rFonts w:asciiTheme="minorHAnsi" w:eastAsiaTheme="minorHAnsi" w:hAnsiTheme="minorHAnsi"/>
        </w:rPr>
        <w:t>T</w:t>
      </w:r>
      <w:r w:rsidR="00F30851" w:rsidRPr="003506A4">
        <w:rPr>
          <w:rFonts w:asciiTheme="minorHAnsi" w:eastAsiaTheme="minorHAnsi" w:hAnsiTheme="minorHAnsi"/>
        </w:rPr>
        <w:t xml:space="preserve">his is </w:t>
      </w:r>
      <w:r w:rsidR="00F30851">
        <w:rPr>
          <w:rFonts w:asciiTheme="minorHAnsi" w:eastAsiaTheme="minorHAnsi" w:hAnsiTheme="minorHAnsi"/>
        </w:rPr>
        <w:t xml:space="preserve">presented in </w:t>
      </w:r>
      <w:r w:rsidR="00F30851" w:rsidRPr="003506A4">
        <w:rPr>
          <w:rFonts w:asciiTheme="minorHAnsi" w:eastAsiaTheme="minorHAnsi" w:hAnsiTheme="minorHAnsi"/>
        </w:rPr>
        <w:t xml:space="preserve">detail </w:t>
      </w:r>
      <w:r w:rsidR="00F30851" w:rsidRPr="00E835BC">
        <w:t>in Section 7.0. No saf</w:t>
      </w:r>
      <w:r w:rsidR="00F30851">
        <w:rPr>
          <w:rFonts w:asciiTheme="minorHAnsi" w:eastAsia="TimesNewRoman" w:hAnsiTheme="minorHAnsi" w:cs="TimesNewRoman"/>
        </w:rPr>
        <w:t>ety signals of concern were revealed.</w:t>
      </w:r>
    </w:p>
    <w:p w14:paraId="4D40487A" w14:textId="77777777" w:rsidR="00F30851" w:rsidRDefault="00F30851" w:rsidP="00E835BC">
      <w:pPr>
        <w:pStyle w:val="Heading5"/>
      </w:pPr>
      <w:r w:rsidRPr="00EC3AE0">
        <w:t xml:space="preserve">Evaluator </w:t>
      </w:r>
      <w:r>
        <w:t>c</w:t>
      </w:r>
      <w:r w:rsidRPr="00EC3AE0">
        <w:t>ommentary</w:t>
      </w:r>
      <w:bookmarkStart w:id="63" w:name="_Toc241374312"/>
      <w:bookmarkStart w:id="64" w:name="_Toc272414656"/>
      <w:bookmarkStart w:id="65" w:name="_Toc290888507"/>
      <w:bookmarkStart w:id="66" w:name="_Toc416353723"/>
      <w:bookmarkStart w:id="67" w:name="_Toc421005271"/>
      <w:bookmarkStart w:id="68" w:name="_Toc432079153"/>
      <w:bookmarkStart w:id="69" w:name="_Toc432080726"/>
    </w:p>
    <w:p w14:paraId="362943F1" w14:textId="77777777" w:rsidR="00F30851" w:rsidRPr="00244406" w:rsidRDefault="00E278CC" w:rsidP="00E835BC">
      <w:r>
        <w:t>Fluarix Tetra</w:t>
      </w:r>
      <w:r w:rsidR="00F30851" w:rsidRPr="00306EF3">
        <w:t xml:space="preserve"> was efficacious in preventing </w:t>
      </w:r>
      <w:r w:rsidR="00F30851">
        <w:t xml:space="preserve">both </w:t>
      </w:r>
      <w:r w:rsidR="00F30851" w:rsidRPr="00306EF3">
        <w:t>RT-PCR</w:t>
      </w:r>
      <w:r w:rsidR="00F30851">
        <w:t xml:space="preserve"> </w:t>
      </w:r>
      <w:r w:rsidR="00F30851" w:rsidRPr="00306EF3">
        <w:t xml:space="preserve">confirmed </w:t>
      </w:r>
      <w:r w:rsidR="00F30851">
        <w:t xml:space="preserve">moderate-to-severe </w:t>
      </w:r>
      <w:r w:rsidR="00F30851" w:rsidRPr="00306EF3">
        <w:t>influenza A and/or B dise</w:t>
      </w:r>
      <w:r w:rsidR="00F30851">
        <w:t xml:space="preserve">ase due to any seasonal strain and any severity influenza </w:t>
      </w:r>
      <w:r w:rsidR="00F30851" w:rsidRPr="00306EF3">
        <w:t xml:space="preserve">when </w:t>
      </w:r>
      <w:r w:rsidR="00F30851" w:rsidRPr="00306EF3">
        <w:lastRenderedPageBreak/>
        <w:t>compared</w:t>
      </w:r>
      <w:r w:rsidR="00F30851">
        <w:t xml:space="preserve"> </w:t>
      </w:r>
      <w:r w:rsidR="00F30851" w:rsidRPr="00306EF3">
        <w:t>to non-influenza va</w:t>
      </w:r>
      <w:r w:rsidR="00F30851">
        <w:t xml:space="preserve">ccine controls in children </w:t>
      </w:r>
      <w:r w:rsidR="005879FC">
        <w:t>6 to 35</w:t>
      </w:r>
      <w:r w:rsidR="00F30851">
        <w:t xml:space="preserve"> months. Thus the primary objectives of the study were achieved. </w:t>
      </w:r>
      <w:r w:rsidR="00F30851" w:rsidRPr="00306EF3">
        <w:t>All secondary confirmatory efficacy objectives (evaluated sequentially) were met, except for the last</w:t>
      </w:r>
      <w:r w:rsidR="00F30851">
        <w:t xml:space="preserve"> </w:t>
      </w:r>
      <w:r w:rsidR="00F30851" w:rsidRPr="00306EF3">
        <w:t>objective related to prevention of RT-PCR confirmed severe influenza disease</w:t>
      </w:r>
      <w:r w:rsidR="00F30851">
        <w:t>, because there were too few cases</w:t>
      </w:r>
      <w:r w:rsidR="00F30851" w:rsidRPr="00306EF3">
        <w:t>.</w:t>
      </w:r>
      <w:r w:rsidR="00F30851">
        <w:t xml:space="preserve"> </w:t>
      </w:r>
      <w:r>
        <w:t>Fluarix Tetra</w:t>
      </w:r>
      <w:r w:rsidR="00F30851" w:rsidRPr="00306EF3">
        <w:t xml:space="preserve"> was immunogenic against all four vaccine strains,</w:t>
      </w:r>
      <w:r w:rsidR="00F30851">
        <w:t xml:space="preserve"> overall (pooled results of </w:t>
      </w:r>
      <w:r w:rsidR="00F30851" w:rsidRPr="00306EF3">
        <w:t>5 cohorts)</w:t>
      </w:r>
      <w:r w:rsidR="00F30851">
        <w:t xml:space="preserve"> </w:t>
      </w:r>
      <w:r w:rsidR="00F30851" w:rsidRPr="00306EF3">
        <w:t>and in each cohort, as assessed by HI antibody</w:t>
      </w:r>
      <w:r w:rsidR="00F30851">
        <w:t xml:space="preserve"> titres</w:t>
      </w:r>
      <w:r w:rsidR="00F30851" w:rsidRPr="00306EF3">
        <w:t>.</w:t>
      </w:r>
      <w:r w:rsidR="00F30851">
        <w:t xml:space="preserve"> </w:t>
      </w:r>
      <w:r>
        <w:t>Fluarix Tetra</w:t>
      </w:r>
      <w:r w:rsidR="00F30851" w:rsidRPr="00306EF3">
        <w:t xml:space="preserve"> was generally well tolerated</w:t>
      </w:r>
      <w:r w:rsidR="00F30851">
        <w:t xml:space="preserve"> </w:t>
      </w:r>
      <w:r w:rsidR="00F30851" w:rsidRPr="00306EF3">
        <w:t>and no safety concern was identified.</w:t>
      </w:r>
    </w:p>
    <w:p w14:paraId="6820434C" w14:textId="77777777" w:rsidR="00F30851" w:rsidRPr="00CF4142" w:rsidRDefault="00F30851" w:rsidP="00E835BC">
      <w:pPr>
        <w:pStyle w:val="Heading3"/>
      </w:pPr>
      <w:bookmarkStart w:id="70" w:name="_Toc501608188"/>
      <w:bookmarkStart w:id="71" w:name="_Toc532480096"/>
      <w:r w:rsidRPr="00CF4142">
        <w:t>Other efficacy studies</w:t>
      </w:r>
      <w:bookmarkEnd w:id="70"/>
      <w:bookmarkEnd w:id="71"/>
    </w:p>
    <w:p w14:paraId="38C2B724" w14:textId="57F55EE5" w:rsidR="00F30851" w:rsidRPr="00752500" w:rsidRDefault="00F30851" w:rsidP="0072094D">
      <w:pPr>
        <w:pStyle w:val="Heading4"/>
      </w:pPr>
      <w:bookmarkStart w:id="72" w:name="_Toc290888504"/>
      <w:bookmarkStart w:id="73" w:name="_Toc416353720"/>
      <w:r w:rsidRPr="00752500">
        <w:t>Stud</w:t>
      </w:r>
      <w:bookmarkEnd w:id="72"/>
      <w:r w:rsidRPr="00752500">
        <w:t xml:space="preserve">ies </w:t>
      </w:r>
      <w:bookmarkEnd w:id="73"/>
      <w:r w:rsidR="0072094D" w:rsidRPr="0072094D">
        <w:t>D-QIV-</w:t>
      </w:r>
      <w:r w:rsidRPr="00752500">
        <w:t xml:space="preserve">009 </w:t>
      </w:r>
      <w:r w:rsidRPr="00E835BC">
        <w:t>EXT</w:t>
      </w:r>
      <w:r w:rsidRPr="00752500">
        <w:t xml:space="preserve"> 004 (116023) and </w:t>
      </w:r>
      <w:r w:rsidR="0072094D" w:rsidRPr="0072094D">
        <w:t>D-QIV</w:t>
      </w:r>
      <w:r w:rsidR="0001728B">
        <w:t>-</w:t>
      </w:r>
      <w:r w:rsidRPr="00752500">
        <w:t>015 (201251) (</w:t>
      </w:r>
      <w:r w:rsidR="005879FC">
        <w:t>6 to 35</w:t>
      </w:r>
      <w:r w:rsidRPr="00752500">
        <w:t xml:space="preserve"> months cohort)</w:t>
      </w:r>
    </w:p>
    <w:p w14:paraId="20F8B593" w14:textId="77777777" w:rsidR="00E835BC" w:rsidRDefault="0072094D" w:rsidP="0072094D">
      <w:pPr>
        <w:pStyle w:val="Heading5"/>
        <w:rPr>
          <w:rFonts w:eastAsia="TimesNewRoman"/>
        </w:rPr>
      </w:pPr>
      <w:r w:rsidRPr="0072094D">
        <w:rPr>
          <w:rFonts w:eastAsia="TimesNewRoman"/>
        </w:rPr>
        <w:t>D-QIV-</w:t>
      </w:r>
      <w:r w:rsidR="00F30851" w:rsidRPr="00752500">
        <w:rPr>
          <w:rFonts w:eastAsia="TimesNewRoman"/>
        </w:rPr>
        <w:t>009 EXT 004 (116023)</w:t>
      </w:r>
    </w:p>
    <w:p w14:paraId="005A858C" w14:textId="77777777" w:rsidR="00F30851" w:rsidRPr="001C00D1" w:rsidRDefault="00F30851" w:rsidP="00F30851">
      <w:pPr>
        <w:autoSpaceDE w:val="0"/>
        <w:autoSpaceDN w:val="0"/>
        <w:adjustRightInd w:val="0"/>
        <w:spacing w:before="0" w:after="0" w:line="240" w:lineRule="auto"/>
        <w:rPr>
          <w:rFonts w:asciiTheme="minorHAnsi" w:eastAsia="TimesNewRoman" w:hAnsiTheme="minorHAnsi" w:cs="TimesNewRoman"/>
        </w:rPr>
      </w:pPr>
      <w:r w:rsidRPr="001C00D1">
        <w:rPr>
          <w:rFonts w:asciiTheme="minorHAnsi" w:eastAsia="TimesNewRoman" w:hAnsiTheme="minorHAnsi" w:cs="TimesNewRoman"/>
        </w:rPr>
        <w:t xml:space="preserve">Immunogenicity, safety and reactogenicity study of </w:t>
      </w:r>
      <w:r w:rsidR="00E835BC">
        <w:rPr>
          <w:rFonts w:asciiTheme="minorHAnsi" w:eastAsia="TimesNewRoman" w:hAnsiTheme="minorHAnsi" w:cs="TimesNewRoman"/>
        </w:rPr>
        <w:t>Fluarix Tetra</w:t>
      </w:r>
      <w:r w:rsidRPr="001C00D1">
        <w:rPr>
          <w:rFonts w:asciiTheme="minorHAnsi" w:eastAsia="TimesNewRoman" w:hAnsiTheme="minorHAnsi" w:cs="TimesNewRoman"/>
        </w:rPr>
        <w:t xml:space="preserve">, administered to children who previously </w:t>
      </w:r>
      <w:r w:rsidRPr="00E835BC">
        <w:rPr>
          <w:rFonts w:asciiTheme="minorHAnsi" w:eastAsia="TimesNewRoman" w:hAnsiTheme="minorHAnsi" w:cs="TimesNewRoman"/>
        </w:rPr>
        <w:t>participated in D-QIV-004</w:t>
      </w:r>
      <w:r>
        <w:rPr>
          <w:rFonts w:asciiTheme="minorHAnsi" w:eastAsia="TimesNewRoman" w:hAnsiTheme="minorHAnsi" w:cs="TimesNewRoman"/>
        </w:rPr>
        <w:t xml:space="preserve"> (see above, pivotal study).</w:t>
      </w:r>
    </w:p>
    <w:p w14:paraId="2BC207BB" w14:textId="77777777" w:rsidR="00E835BC" w:rsidRDefault="00F30851" w:rsidP="00E835BC">
      <w:pPr>
        <w:pStyle w:val="Heading6"/>
        <w:rPr>
          <w:rFonts w:eastAsia="TimesNewRoman"/>
        </w:rPr>
      </w:pPr>
      <w:r>
        <w:rPr>
          <w:rFonts w:eastAsia="TimesNewRoman"/>
        </w:rPr>
        <w:t>Study Date</w:t>
      </w:r>
    </w:p>
    <w:p w14:paraId="4DAF496E" w14:textId="77777777" w:rsidR="00F30851" w:rsidRPr="001C00D1" w:rsidRDefault="00F30851" w:rsidP="00F30851">
      <w:pPr>
        <w:autoSpaceDE w:val="0"/>
        <w:autoSpaceDN w:val="0"/>
        <w:adjustRightInd w:val="0"/>
        <w:spacing w:before="0" w:after="0" w:line="240" w:lineRule="auto"/>
        <w:rPr>
          <w:rFonts w:asciiTheme="minorHAnsi" w:eastAsia="TimesNewRoman" w:hAnsiTheme="minorHAnsi" w:cs="TimesNewRoman"/>
        </w:rPr>
      </w:pPr>
      <w:r w:rsidRPr="001C00D1">
        <w:rPr>
          <w:rFonts w:asciiTheme="minorHAnsi" w:eastAsia="TimesNewRoman" w:hAnsiTheme="minorHAnsi" w:cs="TimesNewRoman"/>
        </w:rPr>
        <w:t>Study initiation date: 06</w:t>
      </w:r>
      <w:r w:rsidR="00750693">
        <w:rPr>
          <w:rFonts w:asciiTheme="minorHAnsi" w:eastAsia="TimesNewRoman" w:hAnsiTheme="minorHAnsi" w:cs="TimesNewRoman"/>
        </w:rPr>
        <w:t xml:space="preserve"> </w:t>
      </w:r>
      <w:r w:rsidRPr="001C00D1">
        <w:rPr>
          <w:rFonts w:asciiTheme="minorHAnsi" w:eastAsia="TimesNewRoman" w:hAnsiTheme="minorHAnsi" w:cs="TimesNewRoman"/>
        </w:rPr>
        <w:t>Oct</w:t>
      </w:r>
      <w:r w:rsidR="00750693">
        <w:rPr>
          <w:rFonts w:asciiTheme="minorHAnsi" w:eastAsia="TimesNewRoman" w:hAnsiTheme="minorHAnsi" w:cs="TimesNewRoman"/>
        </w:rPr>
        <w:t xml:space="preserve">ober 2012; Study completion date: 05 </w:t>
      </w:r>
      <w:r w:rsidRPr="001C00D1">
        <w:rPr>
          <w:rFonts w:asciiTheme="minorHAnsi" w:eastAsia="TimesNewRoman" w:hAnsiTheme="minorHAnsi" w:cs="TimesNewRoman"/>
        </w:rPr>
        <w:t>Jun</w:t>
      </w:r>
      <w:r w:rsidR="00750693">
        <w:rPr>
          <w:rFonts w:asciiTheme="minorHAnsi" w:eastAsia="TimesNewRoman" w:hAnsiTheme="minorHAnsi" w:cs="TimesNewRoman"/>
        </w:rPr>
        <w:t xml:space="preserve">e </w:t>
      </w:r>
      <w:r w:rsidRPr="001C00D1">
        <w:rPr>
          <w:rFonts w:asciiTheme="minorHAnsi" w:eastAsia="TimesNewRoman" w:hAnsiTheme="minorHAnsi" w:cs="TimesNewRoman"/>
        </w:rPr>
        <w:t>2013</w:t>
      </w:r>
      <w:r w:rsidR="00750693">
        <w:rPr>
          <w:rFonts w:asciiTheme="minorHAnsi" w:eastAsia="TimesNewRoman" w:hAnsiTheme="minorHAnsi" w:cs="TimesNewRoman"/>
        </w:rPr>
        <w:t>.</w:t>
      </w:r>
    </w:p>
    <w:p w14:paraId="58A0E789" w14:textId="77777777" w:rsidR="00E835BC" w:rsidRDefault="00F30851" w:rsidP="00E835BC">
      <w:pPr>
        <w:pStyle w:val="Heading6"/>
        <w:rPr>
          <w:rFonts w:eastAsia="TimesNewRoman"/>
        </w:rPr>
      </w:pPr>
      <w:r w:rsidRPr="001C00D1">
        <w:rPr>
          <w:rFonts w:eastAsia="TimesNewRoman"/>
        </w:rPr>
        <w:t>Data lock point (Date of database freeze)</w:t>
      </w:r>
    </w:p>
    <w:p w14:paraId="03FFBE81" w14:textId="77777777" w:rsidR="00BC74DF" w:rsidRDefault="00F30851" w:rsidP="00F30851">
      <w:pPr>
        <w:autoSpaceDE w:val="0"/>
        <w:autoSpaceDN w:val="0"/>
        <w:adjustRightInd w:val="0"/>
        <w:spacing w:before="0" w:after="0" w:line="240" w:lineRule="auto"/>
        <w:rPr>
          <w:rFonts w:asciiTheme="minorHAnsi" w:eastAsia="TimesNewRoman" w:hAnsiTheme="minorHAnsi" w:cs="TimesNewRoman"/>
        </w:rPr>
      </w:pPr>
      <w:r w:rsidRPr="001C00D1">
        <w:rPr>
          <w:rFonts w:asciiTheme="minorHAnsi" w:eastAsia="TimesNewRoman" w:hAnsiTheme="minorHAnsi" w:cs="TimesNewRoman"/>
        </w:rPr>
        <w:t>23 Aug 2013 and 11 Dec 2013 for</w:t>
      </w:r>
      <w:r>
        <w:rPr>
          <w:rFonts w:asciiTheme="minorHAnsi" w:eastAsia="TimesNewRoman" w:hAnsiTheme="minorHAnsi" w:cs="TimesNewRoman"/>
        </w:rPr>
        <w:t xml:space="preserve"> neutralising antibody and anti-neuraminidase </w:t>
      </w:r>
      <w:r w:rsidRPr="001C00D1">
        <w:rPr>
          <w:rFonts w:asciiTheme="minorHAnsi" w:eastAsia="TimesNewRoman" w:hAnsiTheme="minorHAnsi" w:cs="TimesNewRoman"/>
        </w:rPr>
        <w:t>antibody analyses, 27-Sep-2016 for immunogenicity analysis excluding subjects who had an RT-PCR</w:t>
      </w:r>
      <w:r>
        <w:rPr>
          <w:rFonts w:asciiTheme="minorHAnsi" w:eastAsia="TimesNewRoman" w:hAnsiTheme="minorHAnsi" w:cs="TimesNewRoman"/>
        </w:rPr>
        <w:t xml:space="preserve"> </w:t>
      </w:r>
      <w:r w:rsidRPr="001C00D1">
        <w:rPr>
          <w:rFonts w:asciiTheme="minorHAnsi" w:eastAsia="TimesNewRoman" w:hAnsiTheme="minorHAnsi" w:cs="TimesNewRoman"/>
        </w:rPr>
        <w:t xml:space="preserve">confirmed influenza infection </w:t>
      </w:r>
      <w:r w:rsidRPr="00E835BC">
        <w:rPr>
          <w:rFonts w:asciiTheme="minorHAnsi" w:eastAsia="TimesNewRoman" w:hAnsiTheme="minorHAnsi" w:cs="TimesNewRoman"/>
        </w:rPr>
        <w:t>in D-QIV-004.</w:t>
      </w:r>
    </w:p>
    <w:p w14:paraId="285F023F" w14:textId="675D5E83" w:rsidR="00E835BC" w:rsidRDefault="00F30851" w:rsidP="00E835BC">
      <w:pPr>
        <w:pStyle w:val="Heading6"/>
      </w:pPr>
      <w:r w:rsidRPr="008F0081">
        <w:t>Design</w:t>
      </w:r>
    </w:p>
    <w:p w14:paraId="5FE5EC13" w14:textId="77777777" w:rsidR="00F30851" w:rsidRDefault="00F30851" w:rsidP="00E835BC">
      <w:pPr>
        <w:rPr>
          <w:rFonts w:eastAsia="TimesNewRoman" w:cs="TimesNewRoman"/>
        </w:rPr>
      </w:pPr>
      <w:r>
        <w:t xml:space="preserve">See </w:t>
      </w:r>
      <w:r w:rsidRPr="003A3452">
        <w:t xml:space="preserve">Figure </w:t>
      </w:r>
      <w:r w:rsidR="003D6F53">
        <w:t>1</w:t>
      </w:r>
      <w:r w:rsidRPr="003A3452">
        <w:t>.</w:t>
      </w:r>
    </w:p>
    <w:p w14:paraId="129E6FCB" w14:textId="77777777" w:rsidR="00E835BC" w:rsidRDefault="00F30851" w:rsidP="00E835BC">
      <w:pPr>
        <w:pStyle w:val="Heading6"/>
      </w:pPr>
      <w:r>
        <w:rPr>
          <w:rFonts w:eastAsia="TimesNewRoman"/>
        </w:rPr>
        <w:t xml:space="preserve">Study objectives: </w:t>
      </w:r>
      <w:r w:rsidRPr="005A39C7">
        <w:t>Primary</w:t>
      </w:r>
    </w:p>
    <w:p w14:paraId="63337EE2" w14:textId="77777777" w:rsidR="00F30851" w:rsidRPr="005F501A" w:rsidRDefault="00F30851" w:rsidP="00E835BC">
      <w:pPr>
        <w:rPr>
          <w:rFonts w:eastAsia="TimesNewRoman" w:cs="TimesNewRoman"/>
          <w:b/>
        </w:rPr>
      </w:pPr>
      <w:r w:rsidRPr="005A39C7">
        <w:t>T</w:t>
      </w:r>
      <w:r>
        <w:t xml:space="preserve">o assess HI </w:t>
      </w:r>
      <w:r w:rsidRPr="005A39C7">
        <w:t>antibody titre at Day 7</w:t>
      </w:r>
      <w:r>
        <w:t xml:space="preserve"> </w:t>
      </w:r>
      <w:r w:rsidRPr="005A39C7">
        <w:t xml:space="preserve">after one dose of </w:t>
      </w:r>
      <w:r w:rsidR="002A4D92" w:rsidRPr="002A4D92">
        <w:t xml:space="preserve">Fluarix Tetra </w:t>
      </w:r>
      <w:r w:rsidRPr="005A39C7">
        <w:t>(2012-2013 formulation) in vaccine</w:t>
      </w:r>
      <w:r w:rsidR="00E835BC">
        <w:t xml:space="preserve"> </w:t>
      </w:r>
      <w:r w:rsidRPr="005A39C7">
        <w:t>primed and vaccine</w:t>
      </w:r>
      <w:r w:rsidR="00E835BC">
        <w:t xml:space="preserve"> </w:t>
      </w:r>
      <w:r w:rsidRPr="005A39C7">
        <w:t>un</w:t>
      </w:r>
      <w:r w:rsidR="00E835BC">
        <w:t>-</w:t>
      </w:r>
      <w:r w:rsidRPr="005A39C7">
        <w:t>primed</w:t>
      </w:r>
      <w:r>
        <w:t xml:space="preserve"> </w:t>
      </w:r>
      <w:r w:rsidRPr="005A39C7">
        <w:t>subjects, for all strains included in the vaccine</w:t>
      </w:r>
      <w:r>
        <w:t>.</w:t>
      </w:r>
    </w:p>
    <w:p w14:paraId="49979086" w14:textId="77777777" w:rsidR="00E835BC" w:rsidRDefault="00F30851" w:rsidP="00E835BC">
      <w:pPr>
        <w:pStyle w:val="Heading6"/>
      </w:pPr>
      <w:r w:rsidRPr="005A39C7">
        <w:t>Secondary</w:t>
      </w:r>
    </w:p>
    <w:p w14:paraId="56903826" w14:textId="77777777" w:rsidR="00F30851" w:rsidRPr="005C54F1" w:rsidRDefault="00F30851" w:rsidP="00E835BC">
      <w:pPr>
        <w:rPr>
          <w:b/>
        </w:rPr>
      </w:pPr>
      <w:r w:rsidRPr="005C54F1">
        <w:t xml:space="preserve">1) To assess the GMT ratio of </w:t>
      </w:r>
      <w:r w:rsidR="005D2053">
        <w:t>vaccine primed</w:t>
      </w:r>
      <w:r w:rsidRPr="005C54F1">
        <w:t xml:space="preserve"> to vaccine-</w:t>
      </w:r>
      <w:r w:rsidR="005D2053">
        <w:t>un-primed</w:t>
      </w:r>
      <w:r w:rsidRPr="005C54F1">
        <w:t xml:space="preserve"> subjects, for all strains included in the vaccine at Day 7 after one dose of </w:t>
      </w:r>
      <w:r w:rsidR="002A4D92" w:rsidRPr="002A4D92">
        <w:t xml:space="preserve">Fluarix Tetra </w:t>
      </w:r>
      <w:r w:rsidRPr="005C54F1">
        <w:t xml:space="preserve">(2012-2013 formulation); 2) To assess the difference in SCR between </w:t>
      </w:r>
      <w:r w:rsidR="005D2053">
        <w:t>vaccine primed</w:t>
      </w:r>
      <w:r w:rsidRPr="005C54F1">
        <w:t xml:space="preserve"> and vaccine-</w:t>
      </w:r>
      <w:r w:rsidR="005D2053">
        <w:t>un-primed</w:t>
      </w:r>
      <w:r w:rsidRPr="005C54F1">
        <w:t xml:space="preserve"> subjects, for all strains included in the vaccine at Day 7 after one dose of </w:t>
      </w:r>
      <w:r w:rsidR="002A4D92" w:rsidRPr="002A4D92">
        <w:t xml:space="preserve">Fluarix Tetra </w:t>
      </w:r>
      <w:r w:rsidRPr="005C54F1">
        <w:t xml:space="preserve">(2012-2013 formulation); 3) To assess the difference in SPR between </w:t>
      </w:r>
      <w:r w:rsidR="005D2053">
        <w:t>vaccine primed</w:t>
      </w:r>
      <w:r w:rsidRPr="005C54F1">
        <w:t xml:space="preserve"> and vaccine-</w:t>
      </w:r>
      <w:r w:rsidR="005D2053">
        <w:t>un-primed</w:t>
      </w:r>
      <w:r w:rsidRPr="005C54F1">
        <w:t xml:space="preserve"> subjects, for all strains included in the vaccine at Day 7 after one dose of </w:t>
      </w:r>
      <w:r w:rsidR="002A4D92" w:rsidRPr="002A4D92">
        <w:t xml:space="preserve">Fluarix Tetra </w:t>
      </w:r>
      <w:r w:rsidRPr="005C54F1">
        <w:t xml:space="preserve">(2012-2013 formulation); 4) To categorize the risk profile by assessing the % of subjects with HI antibody titres &lt;1:10, 1:10 to &lt;1:40, and ≥1:40 at Day 0 and at Day 7 after one dose of </w:t>
      </w:r>
      <w:r w:rsidR="002A4D92">
        <w:t>Tetra Fluarix</w:t>
      </w:r>
      <w:r w:rsidRPr="005C54F1">
        <w:t xml:space="preserve"> (2012-2013 formulation); 5) </w:t>
      </w:r>
      <w:r>
        <w:rPr>
          <w:rFonts w:eastAsia="TimesNewRoman" w:cs="TimesNewRoman"/>
        </w:rPr>
        <w:t xml:space="preserve">To assess </w:t>
      </w:r>
      <w:r w:rsidRPr="005C54F1">
        <w:rPr>
          <w:rFonts w:eastAsia="TimesNewRoman" w:cs="TimesNewRoman"/>
        </w:rPr>
        <w:t xml:space="preserve">neutralising </w:t>
      </w:r>
      <w:r>
        <w:rPr>
          <w:rFonts w:eastAsia="TimesNewRoman" w:cs="TimesNewRoman"/>
        </w:rPr>
        <w:t xml:space="preserve">&amp; anti-neuraminidase antibody </w:t>
      </w:r>
      <w:r w:rsidRPr="005C54F1">
        <w:rPr>
          <w:rFonts w:eastAsia="TimesNewRoman" w:cs="TimesNewRoman"/>
        </w:rPr>
        <w:t>responses (subset of 226)</w:t>
      </w:r>
      <w:r w:rsidRPr="005C54F1">
        <w:t xml:space="preserve">; 6) </w:t>
      </w:r>
      <w:r>
        <w:rPr>
          <w:rFonts w:eastAsia="TimesNewRoman" w:cs="TimesNewRoman"/>
        </w:rPr>
        <w:t xml:space="preserve">To assess </w:t>
      </w:r>
      <w:r w:rsidRPr="005C54F1">
        <w:rPr>
          <w:rFonts w:eastAsia="TimesNewRoman" w:cs="TimesNewRoman"/>
        </w:rPr>
        <w:t>immune response by</w:t>
      </w:r>
      <w:r>
        <w:rPr>
          <w:rFonts w:eastAsia="TimesNewRoman" w:cs="TimesNewRoman"/>
        </w:rPr>
        <w:t xml:space="preserve"> age gp</w:t>
      </w:r>
      <w:r>
        <w:t xml:space="preserve">; 7) </w:t>
      </w:r>
      <w:r>
        <w:rPr>
          <w:rFonts w:eastAsia="TimesNewRoman" w:cs="TimesNewRoman"/>
        </w:rPr>
        <w:t xml:space="preserve">To assess </w:t>
      </w:r>
      <w:r w:rsidRPr="005C54F1">
        <w:rPr>
          <w:rFonts w:eastAsia="TimesNewRoman" w:cs="TimesNewRoman"/>
        </w:rPr>
        <w:t>safety of the study vaccine during the entire study period and the reactogenicity of the study vaccine after the first dose</w:t>
      </w:r>
    </w:p>
    <w:p w14:paraId="75C6F0FA" w14:textId="77777777" w:rsidR="007C384B" w:rsidRDefault="00F30851" w:rsidP="007C384B">
      <w:pPr>
        <w:pStyle w:val="Heading5"/>
      </w:pPr>
      <w:r>
        <w:t>Study vaccines</w:t>
      </w:r>
    </w:p>
    <w:p w14:paraId="6C17AB97" w14:textId="77777777" w:rsidR="00F30851" w:rsidRPr="007C384B" w:rsidRDefault="00F30851" w:rsidP="007C384B">
      <w:r w:rsidRPr="007C384B">
        <w:t xml:space="preserve">1x IM dose of </w:t>
      </w:r>
      <w:r w:rsidR="002A4D92">
        <w:t>Tetra Fluarix</w:t>
      </w:r>
      <w:r w:rsidRPr="007C384B">
        <w:t xml:space="preserve"> at Visit 1(Day 0) for </w:t>
      </w:r>
      <w:r w:rsidR="005D2053">
        <w:t>vaccine primed</w:t>
      </w:r>
      <w:r w:rsidRPr="007C384B">
        <w:t xml:space="preserve"> subjects; 2 doses IM: at Visit 1 (Day 0) and Visit 3 (Day 28) for vaccine</w:t>
      </w:r>
      <w:r w:rsidR="007C384B">
        <w:t xml:space="preserve"> </w:t>
      </w:r>
      <w:r w:rsidRPr="007C384B">
        <w:t>un</w:t>
      </w:r>
      <w:r w:rsidR="007C384B">
        <w:t>-</w:t>
      </w:r>
      <w:r w:rsidRPr="007C384B">
        <w:t>primed subjects</w:t>
      </w:r>
      <w:r w:rsidR="007C384B">
        <w:t xml:space="preserve"> (Table 12)</w:t>
      </w:r>
      <w:r w:rsidRPr="007C384B">
        <w:t>.</w:t>
      </w:r>
    </w:p>
    <w:p w14:paraId="631EBAF6" w14:textId="3292991B" w:rsidR="007C384B" w:rsidRDefault="00F30851" w:rsidP="007C384B">
      <w:pPr>
        <w:pStyle w:val="Heading5"/>
      </w:pPr>
      <w:r w:rsidRPr="007C384B">
        <w:rPr>
          <w:rFonts w:eastAsia="TimesNewRoman"/>
        </w:rPr>
        <w:t xml:space="preserve">Study </w:t>
      </w:r>
      <w:r w:rsidR="00486721">
        <w:rPr>
          <w:rFonts w:eastAsia="TimesNewRoman"/>
        </w:rPr>
        <w:t>p</w:t>
      </w:r>
      <w:r w:rsidRPr="007C384B">
        <w:rPr>
          <w:rFonts w:eastAsia="TimesNewRoman"/>
        </w:rPr>
        <w:t>opulation</w:t>
      </w:r>
    </w:p>
    <w:p w14:paraId="2CF759FE" w14:textId="77777777" w:rsidR="00F30851" w:rsidRPr="007C384B" w:rsidRDefault="00F30851" w:rsidP="007C384B">
      <w:r w:rsidRPr="007C384B">
        <w:t>Healthy male or female children between and including 17</w:t>
      </w:r>
      <w:r w:rsidR="007C384B">
        <w:t xml:space="preserve"> to </w:t>
      </w:r>
      <w:r w:rsidRPr="007C384B">
        <w:t>48 months of age at the time of the first vaccination who received a 2</w:t>
      </w:r>
      <w:r w:rsidR="007C384B">
        <w:t xml:space="preserve"> </w:t>
      </w:r>
      <w:r w:rsidRPr="007C384B">
        <w:t>dose vaccination in D-QIV-004</w:t>
      </w:r>
      <w:r w:rsidR="007C384B">
        <w:t xml:space="preserve"> (Table 13)</w:t>
      </w:r>
      <w:r w:rsidRPr="007C384B">
        <w:t>.</w:t>
      </w:r>
    </w:p>
    <w:p w14:paraId="28442AF5" w14:textId="6A5B4B83" w:rsidR="00F30851" w:rsidRPr="00E013BB" w:rsidRDefault="00F30851" w:rsidP="007C384B">
      <w:pPr>
        <w:pStyle w:val="Tabletitle"/>
      </w:pPr>
      <w:r w:rsidRPr="00AE314C">
        <w:lastRenderedPageBreak/>
        <w:t>Table 1</w:t>
      </w:r>
      <w:r w:rsidR="00DA7D36">
        <w:t>3</w:t>
      </w:r>
      <w:r w:rsidRPr="00AE314C">
        <w:t>: Overview of strains included in the influenza vaccines in D-QIV-009, D-QIV-015</w:t>
      </w:r>
    </w:p>
    <w:p w14:paraId="5A30CFFF" w14:textId="57546456" w:rsidR="00F30851" w:rsidRPr="00AE314C" w:rsidRDefault="00486721" w:rsidP="00F30851">
      <w:pPr>
        <w:autoSpaceDE w:val="0"/>
        <w:autoSpaceDN w:val="0"/>
        <w:adjustRightInd w:val="0"/>
        <w:spacing w:before="0" w:after="0" w:line="240" w:lineRule="auto"/>
        <w:rPr>
          <w:lang w:eastAsia="ja-JP"/>
        </w:rPr>
      </w:pPr>
      <w:r w:rsidRPr="008F7A68">
        <w:rPr>
          <w:lang w:eastAsia="ja-JP"/>
        </w:rPr>
        <w:object w:dxaOrig="6765" w:dyaOrig="3855" w14:anchorId="43DEEBFB">
          <v:shape id="_x0000_i1027" type="#_x0000_t75" alt="Table 13: Overview of strains included in the influenza vaccines in D-QIV-009, D-QIV-015" style="width:331.2pt;height:149pt;mso-position-vertical:absolute" o:ole="">
            <v:imagedata r:id="rId46" o:title=""/>
          </v:shape>
          <o:OLEObject Type="Embed" ProgID="Acrobat.Document.DC" ShapeID="_x0000_i1027" DrawAspect="Content" ObjectID="_1606222001" r:id="rId47"/>
        </w:object>
      </w:r>
    </w:p>
    <w:p w14:paraId="6D82FFD1" w14:textId="27B9E2CB" w:rsidR="00BC74DF" w:rsidRDefault="00F30851" w:rsidP="007C384B">
      <w:pPr>
        <w:pStyle w:val="Tabletitle"/>
        <w:rPr>
          <w:rFonts w:eastAsia="TimesNewRoman" w:cs="TimesNewRoman"/>
        </w:rPr>
      </w:pPr>
      <w:r w:rsidRPr="00AE314C">
        <w:t>Table 1</w:t>
      </w:r>
      <w:r w:rsidR="00DA7D36">
        <w:t>4</w:t>
      </w:r>
      <w:r w:rsidRPr="00AE314C">
        <w:t>: Study Population in</w:t>
      </w:r>
      <w:r w:rsidRPr="00AE314C">
        <w:rPr>
          <w:rFonts w:eastAsia="TimesNewRoman" w:cs="TimesNewRoman"/>
        </w:rPr>
        <w:t xml:space="preserve"> D-QIV-009</w:t>
      </w:r>
    </w:p>
    <w:p w14:paraId="5A87D89F" w14:textId="6755F962" w:rsidR="00F30851" w:rsidRDefault="00486721" w:rsidP="00F30851">
      <w:pPr>
        <w:autoSpaceDE w:val="0"/>
        <w:autoSpaceDN w:val="0"/>
        <w:adjustRightInd w:val="0"/>
        <w:spacing w:before="0" w:after="0" w:line="240" w:lineRule="auto"/>
        <w:rPr>
          <w:rFonts w:asciiTheme="minorHAnsi" w:hAnsiTheme="minorHAnsi"/>
          <w:b/>
        </w:rPr>
      </w:pPr>
      <w:r w:rsidRPr="00023EE2">
        <w:rPr>
          <w:rFonts w:asciiTheme="minorHAnsi" w:hAnsiTheme="minorHAnsi"/>
          <w:b/>
        </w:rPr>
        <w:object w:dxaOrig="6885" w:dyaOrig="2295" w14:anchorId="5A0FDC64">
          <v:shape id="_x0000_i1028" type="#_x0000_t75" alt="Table 14: Study Population in D-QIV-009" style="width:337.45pt;height:114.55pt" o:ole="">
            <v:imagedata r:id="rId48" o:title="" croptop="1818f" cropbottom="2303f" cropright="527f"/>
          </v:shape>
          <o:OLEObject Type="Embed" ProgID="Acrobat.Document.DC" ShapeID="_x0000_i1028" DrawAspect="Content" ObjectID="_1606222002" r:id="rId49"/>
        </w:object>
      </w:r>
    </w:p>
    <w:p w14:paraId="288E321E" w14:textId="77777777" w:rsidR="007C384B" w:rsidRDefault="00F30851" w:rsidP="007C384B">
      <w:pPr>
        <w:pStyle w:val="Heading5"/>
        <w:rPr>
          <w:rFonts w:eastAsia="TimesNewRoman,BoldItalic"/>
        </w:rPr>
      </w:pPr>
      <w:r w:rsidRPr="00023EE2">
        <w:rPr>
          <w:rFonts w:eastAsia="TimesNewRoman,BoldItalic"/>
        </w:rPr>
        <w:t>Immunogenicity primary analysis</w:t>
      </w:r>
    </w:p>
    <w:p w14:paraId="72256104" w14:textId="77777777" w:rsidR="00F30851" w:rsidRPr="00A8313D" w:rsidRDefault="00F30851" w:rsidP="007C384B">
      <w:pPr>
        <w:autoSpaceDE w:val="0"/>
        <w:autoSpaceDN w:val="0"/>
        <w:adjustRightInd w:val="0"/>
        <w:spacing w:before="0" w:after="0" w:line="240" w:lineRule="auto"/>
        <w:rPr>
          <w:rFonts w:eastAsia="TimesNewRoman,BoldItalic" w:cs="TimesNewRoman,BoldItalic"/>
          <w:b/>
          <w:bCs/>
          <w:iCs/>
        </w:rPr>
      </w:pPr>
      <w:r w:rsidRPr="00023EE2">
        <w:rPr>
          <w:rFonts w:asciiTheme="minorHAnsi" w:eastAsia="TimesNewRoman" w:hAnsiTheme="minorHAnsi" w:cs="TimesNewRoman"/>
        </w:rPr>
        <w:t>The primary analysis was based on the according-to-protocol (ATP) cohort for analysis of immunogenicity</w:t>
      </w:r>
      <w:r>
        <w:rPr>
          <w:rFonts w:asciiTheme="minorHAnsi" w:eastAsia="TimesNewRoman,BoldItalic" w:hAnsiTheme="minorHAnsi" w:cs="TimesNewRoman,BoldItalic"/>
          <w:b/>
          <w:bCs/>
          <w:iCs/>
        </w:rPr>
        <w:t xml:space="preserve"> </w:t>
      </w:r>
      <w:r w:rsidRPr="00023EE2">
        <w:rPr>
          <w:rFonts w:asciiTheme="minorHAnsi" w:eastAsia="TimesNewRoman" w:hAnsiTheme="minorHAnsi" w:cs="TimesNewRoman"/>
        </w:rPr>
        <w:t xml:space="preserve">(ATP-I). A complementary analysis based </w:t>
      </w:r>
      <w:r w:rsidRPr="00023EE2">
        <w:t xml:space="preserve">on the </w:t>
      </w:r>
      <w:r>
        <w:t>TVC</w:t>
      </w:r>
      <w:r w:rsidRPr="00023EE2">
        <w:t xml:space="preserve"> was also performed since there</w:t>
      </w:r>
      <w:r>
        <w:rPr>
          <w:rFonts w:eastAsia="TimesNewRoman,BoldItalic" w:cs="TimesNewRoman,BoldItalic"/>
          <w:b/>
          <w:bCs/>
          <w:iCs/>
        </w:rPr>
        <w:t xml:space="preserve"> </w:t>
      </w:r>
      <w:r w:rsidRPr="00023EE2">
        <w:t xml:space="preserve">were </w:t>
      </w:r>
      <w:r>
        <w:t>&gt;</w:t>
      </w:r>
      <w:r w:rsidRPr="00023EE2">
        <w:t>5% of the subjects excluded from the ATP-I.</w:t>
      </w:r>
    </w:p>
    <w:p w14:paraId="1F07D888" w14:textId="77777777" w:rsidR="007C384B" w:rsidRDefault="00F30851" w:rsidP="007C384B">
      <w:pPr>
        <w:pStyle w:val="Heading5"/>
      </w:pPr>
      <w:r>
        <w:t>Immunogenicity results</w:t>
      </w:r>
    </w:p>
    <w:p w14:paraId="0B0A9979" w14:textId="77777777" w:rsidR="00F30851" w:rsidRPr="00AE314C" w:rsidRDefault="00F30851" w:rsidP="00F30851">
      <w:pPr>
        <w:autoSpaceDE w:val="0"/>
        <w:autoSpaceDN w:val="0"/>
        <w:adjustRightInd w:val="0"/>
        <w:spacing w:before="0" w:after="0" w:line="240" w:lineRule="auto"/>
        <w:rPr>
          <w:rFonts w:asciiTheme="minorHAnsi" w:eastAsia="TimesNewRoman" w:hAnsiTheme="minorHAnsi" w:cs="TimesNewRoman"/>
        </w:rPr>
      </w:pPr>
      <w:r w:rsidRPr="00023EE2">
        <w:rPr>
          <w:rFonts w:asciiTheme="minorHAnsi" w:eastAsia="TimesNewRoman" w:hAnsiTheme="minorHAnsi" w:cs="TimesNewRoman"/>
        </w:rPr>
        <w:t xml:space="preserve">In the ATP-I, the </w:t>
      </w:r>
      <w:r w:rsidR="005D2053">
        <w:rPr>
          <w:rFonts w:asciiTheme="minorHAnsi" w:eastAsia="TimesNewRoman" w:hAnsiTheme="minorHAnsi" w:cs="TimesNewRoman"/>
        </w:rPr>
        <w:t>vaccine primed</w:t>
      </w:r>
      <w:r w:rsidR="007C384B">
        <w:rPr>
          <w:rFonts w:asciiTheme="minorHAnsi" w:eastAsia="TimesNewRoman" w:hAnsiTheme="minorHAnsi" w:cs="TimesNewRoman"/>
        </w:rPr>
        <w:t xml:space="preserve"> group,</w:t>
      </w:r>
      <w:r>
        <w:rPr>
          <w:rFonts w:asciiTheme="minorHAnsi" w:eastAsia="TimesNewRoman" w:hAnsiTheme="minorHAnsi" w:cs="TimesNewRoman"/>
        </w:rPr>
        <w:t xml:space="preserve"> SCRs ranged between 76.5% - </w:t>
      </w:r>
      <w:r w:rsidRPr="00023EE2">
        <w:rPr>
          <w:rFonts w:asciiTheme="minorHAnsi" w:eastAsia="TimesNewRoman" w:hAnsiTheme="minorHAnsi" w:cs="TimesNewRoman"/>
        </w:rPr>
        <w:t>94.1% across the 4 vaccine</w:t>
      </w:r>
      <w:r>
        <w:rPr>
          <w:rFonts w:asciiTheme="minorHAnsi" w:eastAsia="TimesNewRoman" w:hAnsiTheme="minorHAnsi" w:cs="TimesNewRoman"/>
        </w:rPr>
        <w:t xml:space="preserve"> </w:t>
      </w:r>
      <w:r w:rsidRPr="00023EE2">
        <w:rPr>
          <w:rFonts w:asciiTheme="minorHAnsi" w:eastAsia="TimesNewRoman" w:hAnsiTheme="minorHAnsi" w:cs="TimesNewRoman"/>
        </w:rPr>
        <w:t>strains</w:t>
      </w:r>
      <w:r>
        <w:rPr>
          <w:rFonts w:asciiTheme="minorHAnsi" w:eastAsia="TimesNewRoman" w:hAnsiTheme="minorHAnsi" w:cs="TimesNewRoman"/>
        </w:rPr>
        <w:t xml:space="preserve"> </w:t>
      </w:r>
      <w:r w:rsidRPr="00023EE2">
        <w:rPr>
          <w:rFonts w:asciiTheme="minorHAnsi" w:eastAsia="TimesNewRoman" w:hAnsiTheme="minorHAnsi" w:cs="TimesNewRoman"/>
        </w:rPr>
        <w:t>and the high</w:t>
      </w:r>
      <w:r>
        <w:rPr>
          <w:rFonts w:asciiTheme="minorHAnsi" w:eastAsia="TimesNewRoman" w:hAnsiTheme="minorHAnsi" w:cs="TimesNewRoman"/>
        </w:rPr>
        <w:t xml:space="preserve">est SPR observed was 96.9% (for </w:t>
      </w:r>
      <w:r w:rsidRPr="00023EE2">
        <w:rPr>
          <w:rFonts w:asciiTheme="minorHAnsi" w:eastAsia="TimesNewRoman" w:hAnsiTheme="minorHAnsi" w:cs="TimesNewRoman"/>
        </w:rPr>
        <w:t>A/Christchurch/16/2010 (H1N1) and</w:t>
      </w:r>
      <w:r>
        <w:rPr>
          <w:rFonts w:asciiTheme="minorHAnsi" w:eastAsia="TimesNewRoman" w:hAnsiTheme="minorHAnsi" w:cs="TimesNewRoman"/>
        </w:rPr>
        <w:t xml:space="preserve"> </w:t>
      </w:r>
      <w:r w:rsidRPr="00023EE2">
        <w:rPr>
          <w:rFonts w:asciiTheme="minorHAnsi" w:eastAsia="TimesNewRoman" w:hAnsiTheme="minorHAnsi" w:cs="TimesNewRoman"/>
        </w:rPr>
        <w:t>B/Brisbane/60/2008 (Victoria)), 7 days after the revaccination dose. In the vaccine</w:t>
      </w:r>
      <w:r w:rsidR="007C384B">
        <w:rPr>
          <w:rFonts w:asciiTheme="minorHAnsi" w:eastAsia="TimesNewRoman" w:hAnsiTheme="minorHAnsi" w:cs="TimesNewRoman"/>
        </w:rPr>
        <w:t xml:space="preserve"> </w:t>
      </w:r>
      <w:r w:rsidRPr="00023EE2">
        <w:rPr>
          <w:rFonts w:asciiTheme="minorHAnsi" w:eastAsia="TimesNewRoman" w:hAnsiTheme="minorHAnsi" w:cs="TimesNewRoman"/>
        </w:rPr>
        <w:t>un</w:t>
      </w:r>
      <w:r w:rsidR="007C384B">
        <w:rPr>
          <w:rFonts w:asciiTheme="minorHAnsi" w:eastAsia="TimesNewRoman" w:hAnsiTheme="minorHAnsi" w:cs="TimesNewRoman"/>
        </w:rPr>
        <w:t>-</w:t>
      </w:r>
      <w:r w:rsidRPr="00023EE2">
        <w:rPr>
          <w:rFonts w:asciiTheme="minorHAnsi" w:eastAsia="TimesNewRoman" w:hAnsiTheme="minorHAnsi" w:cs="TimesNewRoman"/>
        </w:rPr>
        <w:t>primed</w:t>
      </w:r>
      <w:r w:rsidR="007C384B">
        <w:rPr>
          <w:rFonts w:asciiTheme="minorHAnsi" w:eastAsia="TimesNewRoman" w:hAnsiTheme="minorHAnsi" w:cs="TimesNewRoman"/>
        </w:rPr>
        <w:t xml:space="preserve"> group,</w:t>
      </w:r>
      <w:r w:rsidRPr="00023EE2">
        <w:rPr>
          <w:rFonts w:asciiTheme="minorHAnsi" w:eastAsia="TimesNewRoman" w:hAnsiTheme="minorHAnsi" w:cs="TimesNewRoman"/>
        </w:rPr>
        <w:t xml:space="preserve"> SCRs</w:t>
      </w:r>
      <w:r>
        <w:rPr>
          <w:rFonts w:asciiTheme="minorHAnsi" w:eastAsia="TimesNewRoman" w:hAnsiTheme="minorHAnsi" w:cs="TimesNewRoman"/>
        </w:rPr>
        <w:t xml:space="preserve"> </w:t>
      </w:r>
      <w:r w:rsidRPr="00023EE2">
        <w:rPr>
          <w:rFonts w:asciiTheme="minorHAnsi" w:eastAsia="TimesNewRoman" w:hAnsiTheme="minorHAnsi" w:cs="TimesNewRoman"/>
        </w:rPr>
        <w:t>ranged between 32.2% and 38.6% across the 4 vaccine-strains and the highest SPR observed was 40.2%</w:t>
      </w:r>
      <w:r>
        <w:rPr>
          <w:rFonts w:asciiTheme="minorHAnsi" w:eastAsia="TimesNewRoman" w:hAnsiTheme="minorHAnsi" w:cs="TimesNewRoman"/>
        </w:rPr>
        <w:t xml:space="preserve"> </w:t>
      </w:r>
      <w:r w:rsidRPr="00023EE2">
        <w:rPr>
          <w:rFonts w:asciiTheme="minorHAnsi" w:eastAsia="TimesNewRoman" w:hAnsiTheme="minorHAnsi" w:cs="TimesNewRoman"/>
        </w:rPr>
        <w:t xml:space="preserve">for B/Brisbane/60/2008 (Victoria), 7 days after the first dose of </w:t>
      </w:r>
      <w:r w:rsidR="002A4D92">
        <w:rPr>
          <w:rFonts w:asciiTheme="minorHAnsi" w:eastAsia="TimesNewRoman" w:hAnsiTheme="minorHAnsi" w:cs="TimesNewRoman"/>
        </w:rPr>
        <w:t>Tetra Fluarix</w:t>
      </w:r>
      <w:r w:rsidRPr="00023EE2">
        <w:rPr>
          <w:rFonts w:asciiTheme="minorHAnsi" w:eastAsia="TimesNewRoman" w:hAnsiTheme="minorHAnsi" w:cs="TimesNewRoman"/>
        </w:rPr>
        <w:t>. Similar results were obtained</w:t>
      </w:r>
      <w:r>
        <w:rPr>
          <w:rFonts w:asciiTheme="minorHAnsi" w:eastAsia="TimesNewRoman" w:hAnsiTheme="minorHAnsi" w:cs="TimesNewRoman"/>
        </w:rPr>
        <w:t xml:space="preserve"> </w:t>
      </w:r>
      <w:r w:rsidRPr="00023EE2">
        <w:rPr>
          <w:rFonts w:asciiTheme="minorHAnsi" w:eastAsia="TimesNewRoman" w:hAnsiTheme="minorHAnsi" w:cs="TimesNewRoman"/>
        </w:rPr>
        <w:t xml:space="preserve">for </w:t>
      </w:r>
      <w:r w:rsidR="005D2053">
        <w:rPr>
          <w:rFonts w:asciiTheme="minorHAnsi" w:eastAsia="TimesNewRoman" w:hAnsiTheme="minorHAnsi" w:cs="TimesNewRoman"/>
        </w:rPr>
        <w:t>vaccine primed</w:t>
      </w:r>
      <w:r w:rsidRPr="00023EE2">
        <w:rPr>
          <w:rFonts w:asciiTheme="minorHAnsi" w:eastAsia="TimesNewRoman" w:hAnsiTheme="minorHAnsi" w:cs="TimesNewRoman"/>
        </w:rPr>
        <w:t xml:space="preserve"> and un</w:t>
      </w:r>
      <w:r w:rsidR="007C384B">
        <w:rPr>
          <w:rFonts w:asciiTheme="minorHAnsi" w:eastAsia="TimesNewRoman" w:hAnsiTheme="minorHAnsi" w:cs="TimesNewRoman"/>
        </w:rPr>
        <w:t>-</w:t>
      </w:r>
      <w:r w:rsidRPr="00023EE2">
        <w:rPr>
          <w:rFonts w:asciiTheme="minorHAnsi" w:eastAsia="TimesNewRoman" w:hAnsiTheme="minorHAnsi" w:cs="TimesNewRoman"/>
        </w:rPr>
        <w:t>primed subjects, respectively, in the ATP-I excluding subjects who had an RTPCR</w:t>
      </w:r>
      <w:r>
        <w:rPr>
          <w:rFonts w:asciiTheme="minorHAnsi" w:eastAsia="TimesNewRoman" w:hAnsiTheme="minorHAnsi" w:cs="TimesNewRoman"/>
        </w:rPr>
        <w:t xml:space="preserve"> </w:t>
      </w:r>
      <w:r w:rsidRPr="00023EE2">
        <w:rPr>
          <w:rFonts w:asciiTheme="minorHAnsi" w:eastAsia="TimesNewRoman" w:hAnsiTheme="minorHAnsi" w:cs="TimesNewRoman"/>
        </w:rPr>
        <w:t xml:space="preserve">confirmed influenza infection in </w:t>
      </w:r>
      <w:r w:rsidR="00943514">
        <w:rPr>
          <w:rFonts w:asciiTheme="minorHAnsi" w:eastAsia="TimesNewRoman" w:hAnsiTheme="minorHAnsi" w:cs="TimesNewRoman"/>
        </w:rPr>
        <w:t>Study D-QIV-</w:t>
      </w:r>
      <w:r w:rsidRPr="002A4D92">
        <w:rPr>
          <w:rFonts w:asciiTheme="minorHAnsi" w:eastAsia="TimesNewRoman" w:hAnsiTheme="minorHAnsi" w:cs="TimesNewRoman"/>
        </w:rPr>
        <w:t>004.</w:t>
      </w:r>
      <w:r w:rsidRPr="00023EE2">
        <w:rPr>
          <w:rFonts w:asciiTheme="minorHAnsi" w:eastAsia="TimesNewRoman" w:hAnsiTheme="minorHAnsi" w:cs="TimesNewRoman"/>
        </w:rPr>
        <w:t>Compared to the vaccine</w:t>
      </w:r>
      <w:r w:rsidR="007C384B">
        <w:rPr>
          <w:rFonts w:asciiTheme="minorHAnsi" w:eastAsia="TimesNewRoman" w:hAnsiTheme="minorHAnsi" w:cs="TimesNewRoman"/>
        </w:rPr>
        <w:t xml:space="preserve"> </w:t>
      </w:r>
      <w:r w:rsidRPr="00023EE2">
        <w:rPr>
          <w:rFonts w:asciiTheme="minorHAnsi" w:eastAsia="TimesNewRoman" w:hAnsiTheme="minorHAnsi" w:cs="TimesNewRoman"/>
        </w:rPr>
        <w:t>un</w:t>
      </w:r>
      <w:r w:rsidR="007C384B">
        <w:rPr>
          <w:rFonts w:asciiTheme="minorHAnsi" w:eastAsia="TimesNewRoman" w:hAnsiTheme="minorHAnsi" w:cs="TimesNewRoman"/>
        </w:rPr>
        <w:t>-</w:t>
      </w:r>
      <w:r w:rsidRPr="00023EE2">
        <w:rPr>
          <w:rFonts w:asciiTheme="minorHAnsi" w:eastAsia="TimesNewRoman" w:hAnsiTheme="minorHAnsi" w:cs="TimesNewRoman"/>
        </w:rPr>
        <w:t>primed</w:t>
      </w:r>
      <w:r w:rsidR="007C384B">
        <w:rPr>
          <w:rFonts w:asciiTheme="minorHAnsi" w:eastAsia="TimesNewRoman" w:hAnsiTheme="minorHAnsi" w:cs="TimesNewRoman"/>
        </w:rPr>
        <w:t xml:space="preserve"> group,</w:t>
      </w:r>
      <w:r w:rsidRPr="00023EE2">
        <w:rPr>
          <w:rFonts w:asciiTheme="minorHAnsi" w:eastAsia="TimesNewRoman" w:hAnsiTheme="minorHAnsi" w:cs="TimesNewRoman"/>
        </w:rPr>
        <w:t xml:space="preserve"> 7 days post-vaccination, SCRs were 37.9% to 56.0% higher and</w:t>
      </w:r>
      <w:r>
        <w:rPr>
          <w:rFonts w:asciiTheme="minorHAnsi" w:eastAsia="TimesNewRoman" w:hAnsiTheme="minorHAnsi" w:cs="TimesNewRoman"/>
        </w:rPr>
        <w:t xml:space="preserve"> </w:t>
      </w:r>
      <w:r w:rsidRPr="00023EE2">
        <w:rPr>
          <w:rFonts w:asciiTheme="minorHAnsi" w:eastAsia="TimesNewRoman" w:hAnsiTheme="minorHAnsi" w:cs="TimesNewRoman"/>
        </w:rPr>
        <w:t xml:space="preserve">the SPRs were 47.4% to 62.4% higher in the </w:t>
      </w:r>
      <w:r w:rsidR="005D2053">
        <w:rPr>
          <w:rFonts w:asciiTheme="minorHAnsi" w:eastAsia="TimesNewRoman" w:hAnsiTheme="minorHAnsi" w:cs="TimesNewRoman"/>
        </w:rPr>
        <w:t>vaccine primed</w:t>
      </w:r>
      <w:r w:rsidR="007C384B">
        <w:rPr>
          <w:rFonts w:asciiTheme="minorHAnsi" w:eastAsia="TimesNewRoman" w:hAnsiTheme="minorHAnsi" w:cs="TimesNewRoman"/>
        </w:rPr>
        <w:t xml:space="preserve"> group,</w:t>
      </w:r>
      <w:r w:rsidRPr="00023EE2">
        <w:rPr>
          <w:rFonts w:asciiTheme="minorHAnsi" w:eastAsia="TimesNewRoman" w:hAnsiTheme="minorHAnsi" w:cs="TimesNewRoman"/>
        </w:rPr>
        <w:t xml:space="preserve"> across the 4 strains, for the ATP-I. The</w:t>
      </w:r>
      <w:r>
        <w:rPr>
          <w:rFonts w:asciiTheme="minorHAnsi" w:eastAsia="TimesNewRoman" w:hAnsiTheme="minorHAnsi" w:cs="TimesNewRoman"/>
        </w:rPr>
        <w:t xml:space="preserve"> </w:t>
      </w:r>
      <w:r w:rsidRPr="00023EE2">
        <w:rPr>
          <w:rFonts w:asciiTheme="minorHAnsi" w:eastAsia="TimesNewRoman" w:hAnsiTheme="minorHAnsi" w:cs="TimesNewRoman"/>
        </w:rPr>
        <w:t>distribution of sub</w:t>
      </w:r>
      <w:r>
        <w:rPr>
          <w:rFonts w:asciiTheme="minorHAnsi" w:eastAsia="TimesNewRoman" w:hAnsiTheme="minorHAnsi" w:cs="TimesNewRoman"/>
        </w:rPr>
        <w:t>jects with HI titres ≥1:80 (</w:t>
      </w:r>
      <w:r w:rsidRPr="00023EE2">
        <w:rPr>
          <w:rFonts w:asciiTheme="minorHAnsi" w:eastAsia="TimesNewRoman" w:hAnsiTheme="minorHAnsi" w:cs="TimesNewRoman"/>
        </w:rPr>
        <w:t>highest titre category assessed) at Day 7 post-Dose 1</w:t>
      </w:r>
      <w:r>
        <w:rPr>
          <w:rFonts w:asciiTheme="minorHAnsi" w:eastAsia="TimesNewRoman" w:hAnsiTheme="minorHAnsi" w:cs="TimesNewRoman"/>
        </w:rPr>
        <w:t xml:space="preserve"> </w:t>
      </w:r>
      <w:r w:rsidRPr="00023EE2">
        <w:rPr>
          <w:rFonts w:asciiTheme="minorHAnsi" w:eastAsia="TimesNewRoman" w:hAnsiTheme="minorHAnsi" w:cs="TimesNewRoman"/>
        </w:rPr>
        <w:t xml:space="preserve">ranged from 70.5% to 96.0% among primed subjects and from 24.4% to 37.8% among </w:t>
      </w:r>
      <w:r w:rsidR="005D2053">
        <w:rPr>
          <w:rFonts w:asciiTheme="minorHAnsi" w:eastAsia="TimesNewRoman" w:hAnsiTheme="minorHAnsi" w:cs="TimesNewRoman"/>
        </w:rPr>
        <w:t>un-primed</w:t>
      </w:r>
      <w:r w:rsidRPr="00023EE2">
        <w:rPr>
          <w:rFonts w:asciiTheme="minorHAnsi" w:eastAsia="TimesNewRoman" w:hAnsiTheme="minorHAnsi" w:cs="TimesNewRoman"/>
        </w:rPr>
        <w:t xml:space="preserve"> </w:t>
      </w:r>
      <w:r w:rsidRPr="007C384B">
        <w:rPr>
          <w:rFonts w:asciiTheme="minorHAnsi" w:eastAsia="TimesNewRoman" w:hAnsiTheme="minorHAnsi" w:cs="TimesNewRoman"/>
        </w:rPr>
        <w:t xml:space="preserve">subjects, for the ATP-I. Similar patterns for SCRs, SPRs, and distribution of HI titres were observed for the ATP-I excluding subjects who had an RT-PCR confirmed influenza infection in D-QIV-004. The B/Victoria strain was identical between the </w:t>
      </w:r>
      <w:r w:rsidR="002A4D92" w:rsidRPr="002A4D92">
        <w:rPr>
          <w:rFonts w:asciiTheme="minorHAnsi" w:eastAsia="TimesNewRoman" w:hAnsiTheme="minorHAnsi" w:cs="TimesNewRoman"/>
        </w:rPr>
        <w:t xml:space="preserve">Fluarix Tetra </w:t>
      </w:r>
      <w:r w:rsidRPr="007C384B">
        <w:rPr>
          <w:rFonts w:asciiTheme="minorHAnsi" w:eastAsia="TimesNewRoman" w:hAnsiTheme="minorHAnsi" w:cs="TimesNewRoman"/>
        </w:rPr>
        <w:t xml:space="preserve">used in the primary vaccination (D-QIV-004, cohort 1) and </w:t>
      </w:r>
      <w:r w:rsidR="002A4D92" w:rsidRPr="002A4D92">
        <w:rPr>
          <w:rFonts w:asciiTheme="minorHAnsi" w:eastAsia="TimesNewRoman" w:hAnsiTheme="minorHAnsi" w:cs="TimesNewRoman"/>
        </w:rPr>
        <w:t xml:space="preserve">Fluarix Tetra </w:t>
      </w:r>
      <w:r w:rsidRPr="007C384B">
        <w:rPr>
          <w:rFonts w:asciiTheme="minorHAnsi" w:eastAsia="TimesNewRoman" w:hAnsiTheme="minorHAnsi" w:cs="TimesNewRoman"/>
        </w:rPr>
        <w:t>used in the revaccination (</w:t>
      </w:r>
      <w:r w:rsidR="00943514" w:rsidRPr="007C384B">
        <w:rPr>
          <w:rFonts w:asciiTheme="minorHAnsi" w:eastAsia="TimesNewRoman" w:hAnsiTheme="minorHAnsi" w:cs="TimesNewRoman"/>
        </w:rPr>
        <w:t>Study D-QIV-</w:t>
      </w:r>
      <w:r w:rsidRPr="007C384B">
        <w:rPr>
          <w:rFonts w:asciiTheme="minorHAnsi" w:eastAsia="TimesNewRoman" w:hAnsiTheme="minorHAnsi" w:cs="TimesNewRoman"/>
        </w:rPr>
        <w:t>009), and although the A/H1N1 strains were not identical, they were antigenically similar. In the ATP-I, a heterologous revaccination response was observed with a SCR of 81.4% and 94.1% and a SPR of 86.2% and 96.4% for</w:t>
      </w:r>
      <w:r w:rsidRPr="00023EE2">
        <w:rPr>
          <w:rFonts w:asciiTheme="minorHAnsi" w:eastAsia="TimesNewRoman" w:hAnsiTheme="minorHAnsi" w:cs="TimesNewRoman"/>
        </w:rPr>
        <w:t xml:space="preserve"> the</w:t>
      </w:r>
      <w:r>
        <w:rPr>
          <w:rFonts w:asciiTheme="minorHAnsi" w:eastAsia="TimesNewRoman" w:hAnsiTheme="minorHAnsi" w:cs="TimesNewRoman"/>
        </w:rPr>
        <w:t xml:space="preserve"> </w:t>
      </w:r>
      <w:r w:rsidRPr="00023EE2">
        <w:rPr>
          <w:rFonts w:asciiTheme="minorHAnsi" w:eastAsia="TimesNewRoman" w:hAnsiTheme="minorHAnsi" w:cs="TimesNewRoman"/>
        </w:rPr>
        <w:t>A/Victoria/361/2011 (H3N2) and the B/Hubei-Wujiagang/158/2009 (Yamagata) strains respectively,</w:t>
      </w:r>
      <w:r>
        <w:rPr>
          <w:rFonts w:asciiTheme="minorHAnsi" w:eastAsia="TimesNewRoman" w:hAnsiTheme="minorHAnsi" w:cs="TimesNewRoman"/>
        </w:rPr>
        <w:t xml:space="preserve"> </w:t>
      </w:r>
      <w:r w:rsidRPr="00023EE2">
        <w:rPr>
          <w:rFonts w:asciiTheme="minorHAnsi" w:eastAsia="TimesNewRoman" w:hAnsiTheme="minorHAnsi" w:cs="TimesNewRoman"/>
        </w:rPr>
        <w:t>which were different between the two vaccines, suggesting cross-priming for unmatched strains. A similar</w:t>
      </w:r>
      <w:r>
        <w:rPr>
          <w:rFonts w:asciiTheme="minorHAnsi" w:eastAsia="TimesNewRoman" w:hAnsiTheme="minorHAnsi" w:cs="TimesNewRoman"/>
        </w:rPr>
        <w:t xml:space="preserve"> </w:t>
      </w:r>
      <w:r w:rsidRPr="00023EE2">
        <w:rPr>
          <w:rFonts w:asciiTheme="minorHAnsi" w:eastAsia="TimesNewRoman" w:hAnsiTheme="minorHAnsi" w:cs="TimesNewRoman"/>
        </w:rPr>
        <w:t>heterologous revaccination response was observed in the ATP-I excluding subjects who had an RT-PCR</w:t>
      </w:r>
      <w:r>
        <w:rPr>
          <w:rFonts w:asciiTheme="minorHAnsi" w:eastAsia="TimesNewRoman" w:hAnsiTheme="minorHAnsi" w:cs="TimesNewRoman"/>
        </w:rPr>
        <w:t xml:space="preserve"> </w:t>
      </w:r>
      <w:r w:rsidRPr="00023EE2">
        <w:rPr>
          <w:rFonts w:asciiTheme="minorHAnsi" w:eastAsia="TimesNewRoman" w:hAnsiTheme="minorHAnsi" w:cs="TimesNewRoman"/>
        </w:rPr>
        <w:t xml:space="preserve">confirmed influenza infection in </w:t>
      </w:r>
      <w:r w:rsidR="00943514">
        <w:rPr>
          <w:rFonts w:asciiTheme="minorHAnsi" w:eastAsia="TimesNewRoman" w:hAnsiTheme="minorHAnsi" w:cs="TimesNewRoman"/>
        </w:rPr>
        <w:t>Study D-</w:t>
      </w:r>
      <w:r w:rsidR="00943514" w:rsidRPr="007C384B">
        <w:rPr>
          <w:rFonts w:asciiTheme="minorHAnsi" w:eastAsia="TimesNewRoman" w:hAnsiTheme="minorHAnsi" w:cs="TimesNewRoman"/>
        </w:rPr>
        <w:t>QIV-</w:t>
      </w:r>
      <w:r w:rsidRPr="007C384B">
        <w:rPr>
          <w:rFonts w:asciiTheme="minorHAnsi" w:eastAsia="TimesNewRoman" w:hAnsiTheme="minorHAnsi" w:cs="TimesNewRoman"/>
        </w:rPr>
        <w:t>004.The</w:t>
      </w:r>
      <w:r w:rsidRPr="00023EE2">
        <w:rPr>
          <w:rFonts w:asciiTheme="minorHAnsi" w:eastAsia="TimesNewRoman" w:hAnsiTheme="minorHAnsi" w:cs="TimesNewRoman"/>
        </w:rPr>
        <w:t xml:space="preserve"> </w:t>
      </w:r>
      <w:r w:rsidRPr="00023EE2">
        <w:rPr>
          <w:rFonts w:asciiTheme="minorHAnsi" w:eastAsia="TimesNewRoman" w:hAnsiTheme="minorHAnsi" w:cs="TimesNewRoman"/>
        </w:rPr>
        <w:lastRenderedPageBreak/>
        <w:t>anamnestic response</w:t>
      </w:r>
      <w:r>
        <w:rPr>
          <w:rFonts w:asciiTheme="minorHAnsi" w:eastAsia="TimesNewRoman" w:hAnsiTheme="minorHAnsi" w:cs="TimesNewRoman"/>
        </w:rPr>
        <w:t xml:space="preserve"> to a revaccination dose of </w:t>
      </w:r>
      <w:r w:rsidR="002A4D92" w:rsidRPr="002A4D92">
        <w:rPr>
          <w:rFonts w:asciiTheme="minorHAnsi" w:eastAsia="TimesNewRoman" w:hAnsiTheme="minorHAnsi" w:cs="TimesNewRoman"/>
        </w:rPr>
        <w:t xml:space="preserve">Fluarix Tetra </w:t>
      </w:r>
      <w:r w:rsidRPr="00023EE2">
        <w:rPr>
          <w:rFonts w:asciiTheme="minorHAnsi" w:eastAsia="TimesNewRoman" w:hAnsiTheme="minorHAnsi" w:cs="TimesNewRoman"/>
        </w:rPr>
        <w:t xml:space="preserve">in </w:t>
      </w:r>
      <w:r w:rsidR="005D2053">
        <w:rPr>
          <w:rFonts w:asciiTheme="minorHAnsi" w:eastAsia="TimesNewRoman" w:hAnsiTheme="minorHAnsi" w:cs="TimesNewRoman"/>
        </w:rPr>
        <w:t>vaccine primed</w:t>
      </w:r>
      <w:r w:rsidRPr="00023EE2">
        <w:rPr>
          <w:rFonts w:asciiTheme="minorHAnsi" w:eastAsia="TimesNewRoman" w:hAnsiTheme="minorHAnsi" w:cs="TimesNewRoman"/>
        </w:rPr>
        <w:t xml:space="preserve"> subjects</w:t>
      </w:r>
      <w:r>
        <w:rPr>
          <w:rFonts w:asciiTheme="minorHAnsi" w:eastAsia="TimesNewRoman" w:hAnsiTheme="minorHAnsi" w:cs="TimesNewRoman"/>
        </w:rPr>
        <w:t xml:space="preserve"> </w:t>
      </w:r>
      <w:r w:rsidRPr="00023EE2">
        <w:rPr>
          <w:rFonts w:asciiTheme="minorHAnsi" w:eastAsia="TimesNewRoman" w:hAnsiTheme="minorHAnsi" w:cs="TimesNewRoman"/>
        </w:rPr>
        <w:t>was further evaluated by an assessment of pre-revaccination (Day 0) and post</w:t>
      </w:r>
      <w:r w:rsidR="007C384B">
        <w:rPr>
          <w:rFonts w:asciiTheme="minorHAnsi" w:eastAsia="TimesNewRoman" w:hAnsiTheme="minorHAnsi" w:cs="TimesNewRoman"/>
        </w:rPr>
        <w:t xml:space="preserve"> </w:t>
      </w:r>
      <w:r w:rsidRPr="00023EE2">
        <w:rPr>
          <w:rFonts w:asciiTheme="minorHAnsi" w:eastAsia="TimesNewRoman" w:hAnsiTheme="minorHAnsi" w:cs="TimesNewRoman"/>
        </w:rPr>
        <w:t>re</w:t>
      </w:r>
      <w:r w:rsidR="007C384B">
        <w:rPr>
          <w:rFonts w:asciiTheme="minorHAnsi" w:eastAsia="TimesNewRoman" w:hAnsiTheme="minorHAnsi" w:cs="TimesNewRoman"/>
        </w:rPr>
        <w:t>-</w:t>
      </w:r>
      <w:r w:rsidRPr="00023EE2">
        <w:rPr>
          <w:rFonts w:asciiTheme="minorHAnsi" w:eastAsia="TimesNewRoman" w:hAnsiTheme="minorHAnsi" w:cs="TimesNewRoman"/>
        </w:rPr>
        <w:t>vaccination</w:t>
      </w:r>
      <w:r>
        <w:rPr>
          <w:rFonts w:asciiTheme="minorHAnsi" w:eastAsia="TimesNewRoman" w:hAnsiTheme="minorHAnsi" w:cs="TimesNewRoman"/>
        </w:rPr>
        <w:t xml:space="preserve"> </w:t>
      </w:r>
      <w:r w:rsidRPr="00023EE2">
        <w:rPr>
          <w:rFonts w:asciiTheme="minorHAnsi" w:eastAsia="TimesNewRoman" w:hAnsiTheme="minorHAnsi" w:cs="TimesNewRoman"/>
        </w:rPr>
        <w:t xml:space="preserve">(Day 7) GMTs. For the ATP-I, the </w:t>
      </w:r>
      <w:r>
        <w:rPr>
          <w:rFonts w:asciiTheme="minorHAnsi" w:eastAsia="TimesNewRoman" w:hAnsiTheme="minorHAnsi" w:cs="TimesNewRoman"/>
        </w:rPr>
        <w:t xml:space="preserve">GMT </w:t>
      </w:r>
      <w:r w:rsidRPr="00023EE2">
        <w:rPr>
          <w:rFonts w:asciiTheme="minorHAnsi" w:eastAsia="TimesNewRoman" w:hAnsiTheme="minorHAnsi" w:cs="TimesNewRoman"/>
        </w:rPr>
        <w:t>for HI antibodies titres at</w:t>
      </w:r>
      <w:r>
        <w:rPr>
          <w:rFonts w:asciiTheme="minorHAnsi" w:eastAsia="TimesNewRoman" w:hAnsiTheme="minorHAnsi" w:cs="TimesNewRoman"/>
        </w:rPr>
        <w:t xml:space="preserve"> </w:t>
      </w:r>
      <w:r w:rsidRPr="00023EE2">
        <w:rPr>
          <w:rFonts w:asciiTheme="minorHAnsi" w:eastAsia="TimesNewRoman" w:hAnsiTheme="minorHAnsi" w:cs="TimesNewRoman"/>
        </w:rPr>
        <w:t xml:space="preserve">Day 0 ranged between 11.9 and 43.1 in the </w:t>
      </w:r>
      <w:r w:rsidR="005D2053">
        <w:rPr>
          <w:rFonts w:asciiTheme="minorHAnsi" w:eastAsia="TimesNewRoman" w:hAnsiTheme="minorHAnsi" w:cs="TimesNewRoman"/>
        </w:rPr>
        <w:t>vaccine primed</w:t>
      </w:r>
      <w:r w:rsidR="007C384B">
        <w:rPr>
          <w:rFonts w:asciiTheme="minorHAnsi" w:eastAsia="TimesNewRoman" w:hAnsiTheme="minorHAnsi" w:cs="TimesNewRoman"/>
        </w:rPr>
        <w:t xml:space="preserve"> group,</w:t>
      </w:r>
      <w:r w:rsidRPr="00023EE2">
        <w:rPr>
          <w:rFonts w:asciiTheme="minorHAnsi" w:eastAsia="TimesNewRoman" w:hAnsiTheme="minorHAnsi" w:cs="TimesNewRoman"/>
        </w:rPr>
        <w:t xml:space="preserve"> in contrast to between 6.5 and 16.4 in</w:t>
      </w:r>
      <w:r>
        <w:rPr>
          <w:rFonts w:asciiTheme="minorHAnsi" w:eastAsia="TimesNewRoman" w:hAnsiTheme="minorHAnsi" w:cs="TimesNewRoman"/>
        </w:rPr>
        <w:t xml:space="preserve"> </w:t>
      </w:r>
      <w:r w:rsidRPr="00023EE2">
        <w:rPr>
          <w:rFonts w:asciiTheme="minorHAnsi" w:eastAsia="TimesNewRoman" w:hAnsiTheme="minorHAnsi" w:cs="TimesNewRoman"/>
        </w:rPr>
        <w:t>the vaccine</w:t>
      </w:r>
      <w:r w:rsidR="007C384B">
        <w:rPr>
          <w:rFonts w:asciiTheme="minorHAnsi" w:eastAsia="TimesNewRoman" w:hAnsiTheme="minorHAnsi" w:cs="TimesNewRoman"/>
        </w:rPr>
        <w:t xml:space="preserve"> </w:t>
      </w:r>
      <w:r w:rsidRPr="00023EE2">
        <w:rPr>
          <w:rFonts w:asciiTheme="minorHAnsi" w:eastAsia="TimesNewRoman" w:hAnsiTheme="minorHAnsi" w:cs="TimesNewRoman"/>
        </w:rPr>
        <w:t>un</w:t>
      </w:r>
      <w:r w:rsidR="007C384B">
        <w:rPr>
          <w:rFonts w:asciiTheme="minorHAnsi" w:eastAsia="TimesNewRoman" w:hAnsiTheme="minorHAnsi" w:cs="TimesNewRoman"/>
        </w:rPr>
        <w:t>-</w:t>
      </w:r>
      <w:r w:rsidRPr="00023EE2">
        <w:rPr>
          <w:rFonts w:asciiTheme="minorHAnsi" w:eastAsia="TimesNewRoman" w:hAnsiTheme="minorHAnsi" w:cs="TimesNewRoman"/>
        </w:rPr>
        <w:t>primed</w:t>
      </w:r>
      <w:r w:rsidR="007C384B">
        <w:rPr>
          <w:rFonts w:asciiTheme="minorHAnsi" w:eastAsia="TimesNewRoman" w:hAnsiTheme="minorHAnsi" w:cs="TimesNewRoman"/>
        </w:rPr>
        <w:t xml:space="preserve"> group,</w:t>
      </w:r>
      <w:r w:rsidRPr="00023EE2">
        <w:rPr>
          <w:rFonts w:asciiTheme="minorHAnsi" w:eastAsia="TimesNewRoman" w:hAnsiTheme="minorHAnsi" w:cs="TimesNewRoman"/>
        </w:rPr>
        <w:t xml:space="preserve"> while the GMTs at Day 7 ranged between 135.3 and 445.6 in the vaccine</w:t>
      </w:r>
      <w:r w:rsidR="007C384B">
        <w:rPr>
          <w:rFonts w:asciiTheme="minorHAnsi" w:eastAsia="TimesNewRoman" w:hAnsiTheme="minorHAnsi" w:cs="TimesNewRoman"/>
        </w:rPr>
        <w:t xml:space="preserve"> </w:t>
      </w:r>
      <w:r w:rsidRPr="00023EE2">
        <w:rPr>
          <w:rFonts w:asciiTheme="minorHAnsi" w:eastAsia="TimesNewRoman" w:hAnsiTheme="minorHAnsi" w:cs="TimesNewRoman"/>
        </w:rPr>
        <w:t>primed</w:t>
      </w:r>
      <w:r w:rsidR="007C384B">
        <w:rPr>
          <w:rFonts w:asciiTheme="minorHAnsi" w:eastAsia="TimesNewRoman" w:hAnsiTheme="minorHAnsi" w:cs="TimesNewRoman"/>
        </w:rPr>
        <w:t xml:space="preserve"> group,</w:t>
      </w:r>
      <w:r w:rsidRPr="00023EE2">
        <w:rPr>
          <w:rFonts w:asciiTheme="minorHAnsi" w:eastAsia="TimesNewRoman" w:hAnsiTheme="minorHAnsi" w:cs="TimesNewRoman"/>
        </w:rPr>
        <w:t xml:space="preserve"> and between 26.1 and 47.5 in the vaccine-</w:t>
      </w:r>
      <w:r w:rsidR="005D2053">
        <w:rPr>
          <w:rFonts w:asciiTheme="minorHAnsi" w:eastAsia="TimesNewRoman" w:hAnsiTheme="minorHAnsi" w:cs="TimesNewRoman"/>
        </w:rPr>
        <w:t>un-primed</w:t>
      </w:r>
      <w:r w:rsidR="007C384B">
        <w:rPr>
          <w:rFonts w:asciiTheme="minorHAnsi" w:eastAsia="TimesNewRoman" w:hAnsiTheme="minorHAnsi" w:cs="TimesNewRoman"/>
        </w:rPr>
        <w:t xml:space="preserve"> group.</w:t>
      </w:r>
      <w:r w:rsidRPr="00023EE2">
        <w:rPr>
          <w:rFonts w:asciiTheme="minorHAnsi" w:eastAsia="TimesNewRoman" w:hAnsiTheme="minorHAnsi" w:cs="TimesNewRoman"/>
        </w:rPr>
        <w:t xml:space="preserve"> The HI adjusted GMT ratios of</w:t>
      </w:r>
      <w:r>
        <w:rPr>
          <w:rFonts w:asciiTheme="minorHAnsi" w:eastAsia="TimesNewRoman" w:hAnsiTheme="minorHAnsi" w:cs="TimesNewRoman"/>
        </w:rPr>
        <w:t xml:space="preserve"> vaccine</w:t>
      </w:r>
      <w:r w:rsidR="007C384B">
        <w:rPr>
          <w:rFonts w:asciiTheme="minorHAnsi" w:eastAsia="TimesNewRoman" w:hAnsiTheme="minorHAnsi" w:cs="TimesNewRoman"/>
        </w:rPr>
        <w:t xml:space="preserve"> </w:t>
      </w:r>
      <w:r w:rsidRPr="00023EE2">
        <w:rPr>
          <w:rFonts w:asciiTheme="minorHAnsi" w:eastAsia="TimesNewRoman" w:hAnsiTheme="minorHAnsi" w:cs="TimesNewRoman"/>
        </w:rPr>
        <w:t>primed/vaccine</w:t>
      </w:r>
      <w:r w:rsidR="007C384B">
        <w:rPr>
          <w:rFonts w:asciiTheme="minorHAnsi" w:eastAsia="TimesNewRoman" w:hAnsiTheme="minorHAnsi" w:cs="TimesNewRoman"/>
        </w:rPr>
        <w:t xml:space="preserve"> </w:t>
      </w:r>
      <w:r w:rsidRPr="00023EE2">
        <w:rPr>
          <w:rFonts w:asciiTheme="minorHAnsi" w:eastAsia="TimesNewRoman" w:hAnsiTheme="minorHAnsi" w:cs="TimesNewRoman"/>
        </w:rPr>
        <w:t>un</w:t>
      </w:r>
      <w:r w:rsidR="007C384B">
        <w:rPr>
          <w:rFonts w:asciiTheme="minorHAnsi" w:eastAsia="TimesNewRoman" w:hAnsiTheme="minorHAnsi" w:cs="TimesNewRoman"/>
        </w:rPr>
        <w:t>-</w:t>
      </w:r>
      <w:r w:rsidRPr="00023EE2">
        <w:rPr>
          <w:rFonts w:asciiTheme="minorHAnsi" w:eastAsia="TimesNewRoman" w:hAnsiTheme="minorHAnsi" w:cs="TimesNewRoman"/>
        </w:rPr>
        <w:t>primed subjects 7 d</w:t>
      </w:r>
      <w:r>
        <w:rPr>
          <w:rFonts w:asciiTheme="minorHAnsi" w:eastAsia="TimesNewRoman" w:hAnsiTheme="minorHAnsi" w:cs="TimesNewRoman"/>
        </w:rPr>
        <w:t xml:space="preserve">ays after the first dose of </w:t>
      </w:r>
      <w:r w:rsidR="002A4D92" w:rsidRPr="002A4D92">
        <w:rPr>
          <w:rFonts w:asciiTheme="minorHAnsi" w:eastAsia="TimesNewRoman" w:hAnsiTheme="minorHAnsi" w:cs="TimesNewRoman"/>
        </w:rPr>
        <w:t>Fluarix Tetra</w:t>
      </w:r>
      <w:r w:rsidRPr="00023EE2">
        <w:rPr>
          <w:rFonts w:asciiTheme="minorHAnsi" w:eastAsia="TimesNewRoman" w:hAnsiTheme="minorHAnsi" w:cs="TimesNewRoman"/>
        </w:rPr>
        <w:t>, ranged from 2.70 to</w:t>
      </w:r>
      <w:r>
        <w:rPr>
          <w:rFonts w:asciiTheme="minorHAnsi" w:eastAsia="TimesNewRoman" w:hAnsiTheme="minorHAnsi" w:cs="TimesNewRoman"/>
        </w:rPr>
        <w:t xml:space="preserve"> </w:t>
      </w:r>
      <w:r w:rsidRPr="00023EE2">
        <w:rPr>
          <w:rFonts w:asciiTheme="minorHAnsi" w:eastAsia="TimesNewRoman" w:hAnsiTheme="minorHAnsi" w:cs="TimesNewRoman"/>
        </w:rPr>
        <w:t>8.97 across the 4 vaccine strains. Similar results, in terms of GMTs and adjusted GMT ratios, were</w:t>
      </w:r>
      <w:r>
        <w:rPr>
          <w:rFonts w:asciiTheme="minorHAnsi" w:eastAsia="TimesNewRoman" w:hAnsiTheme="minorHAnsi" w:cs="TimesNewRoman"/>
        </w:rPr>
        <w:t xml:space="preserve"> </w:t>
      </w:r>
      <w:r w:rsidRPr="00023EE2">
        <w:rPr>
          <w:rFonts w:asciiTheme="minorHAnsi" w:eastAsia="TimesNewRoman" w:hAnsiTheme="minorHAnsi" w:cs="TimesNewRoman"/>
        </w:rPr>
        <w:t xml:space="preserve">obtained for the ATP-I excluding subjects who had an RT-PCR confirmed influenza </w:t>
      </w:r>
      <w:r w:rsidRPr="007C384B">
        <w:rPr>
          <w:rFonts w:asciiTheme="minorHAnsi" w:eastAsia="TimesNewRoman" w:hAnsiTheme="minorHAnsi" w:cs="TimesNewRoman"/>
        </w:rPr>
        <w:t xml:space="preserve">infection in D-QIV-004. This early anamnestic revaccination response seen for the 4 vaccine strains in the </w:t>
      </w:r>
      <w:r w:rsidR="005D2053">
        <w:rPr>
          <w:rFonts w:asciiTheme="minorHAnsi" w:eastAsia="TimesNewRoman" w:hAnsiTheme="minorHAnsi" w:cs="TimesNewRoman"/>
        </w:rPr>
        <w:t>vaccine primed</w:t>
      </w:r>
      <w:r w:rsidR="00CE366D" w:rsidRPr="007C384B">
        <w:rPr>
          <w:rFonts w:asciiTheme="minorHAnsi" w:eastAsia="TimesNewRoman" w:hAnsiTheme="minorHAnsi" w:cs="TimesNewRoman"/>
        </w:rPr>
        <w:t xml:space="preserve"> group </w:t>
      </w:r>
      <w:r w:rsidRPr="007C384B">
        <w:rPr>
          <w:rFonts w:asciiTheme="minorHAnsi" w:eastAsia="TimesNewRoman" w:hAnsiTheme="minorHAnsi" w:cs="TimesNewRoman"/>
        </w:rPr>
        <w:t xml:space="preserve">was observed in both age sub-strata. HI antibody persistence a year after the priming dose was evaluated by assessing pre-revaccination (Day 0) GMTs. For the ATP-I, the GMTs at Day 0 ranged between 11.9 and 43.1 in the </w:t>
      </w:r>
      <w:r w:rsidR="005D2053">
        <w:rPr>
          <w:rFonts w:asciiTheme="minorHAnsi" w:eastAsia="TimesNewRoman" w:hAnsiTheme="minorHAnsi" w:cs="TimesNewRoman"/>
        </w:rPr>
        <w:t>vaccine primed</w:t>
      </w:r>
      <w:r w:rsidR="007C384B" w:rsidRPr="007C384B">
        <w:rPr>
          <w:rFonts w:asciiTheme="minorHAnsi" w:eastAsia="TimesNewRoman" w:hAnsiTheme="minorHAnsi" w:cs="TimesNewRoman"/>
        </w:rPr>
        <w:t xml:space="preserve"> group,</w:t>
      </w:r>
      <w:r w:rsidRPr="007C384B">
        <w:rPr>
          <w:rFonts w:asciiTheme="minorHAnsi" w:eastAsia="TimesNewRoman" w:hAnsiTheme="minorHAnsi" w:cs="TimesNewRoman"/>
        </w:rPr>
        <w:t xml:space="preserve"> in contrast to between 6.5 and 16.4 in the vaccine</w:t>
      </w:r>
      <w:r w:rsidR="007C384B" w:rsidRPr="007C384B">
        <w:rPr>
          <w:rFonts w:asciiTheme="minorHAnsi" w:eastAsia="TimesNewRoman" w:hAnsiTheme="minorHAnsi" w:cs="TimesNewRoman"/>
        </w:rPr>
        <w:t xml:space="preserve"> </w:t>
      </w:r>
      <w:r w:rsidRPr="007C384B">
        <w:rPr>
          <w:rFonts w:asciiTheme="minorHAnsi" w:eastAsia="TimesNewRoman" w:hAnsiTheme="minorHAnsi" w:cs="TimesNewRoman"/>
        </w:rPr>
        <w:t>un</w:t>
      </w:r>
      <w:r w:rsidR="007C384B" w:rsidRPr="007C384B">
        <w:rPr>
          <w:rFonts w:asciiTheme="minorHAnsi" w:eastAsia="TimesNewRoman" w:hAnsiTheme="minorHAnsi" w:cs="TimesNewRoman"/>
        </w:rPr>
        <w:t>-</w:t>
      </w:r>
      <w:r w:rsidRPr="007C384B">
        <w:rPr>
          <w:rFonts w:asciiTheme="minorHAnsi" w:eastAsia="TimesNewRoman" w:hAnsiTheme="minorHAnsi" w:cs="TimesNewRoman"/>
        </w:rPr>
        <w:t>primed</w:t>
      </w:r>
      <w:r w:rsidR="007C384B" w:rsidRPr="007C384B">
        <w:rPr>
          <w:rFonts w:asciiTheme="minorHAnsi" w:eastAsia="TimesNewRoman" w:hAnsiTheme="minorHAnsi" w:cs="TimesNewRoman"/>
        </w:rPr>
        <w:t xml:space="preserve"> group.</w:t>
      </w:r>
      <w:r w:rsidRPr="007C384B">
        <w:rPr>
          <w:rFonts w:asciiTheme="minorHAnsi" w:eastAsia="TimesNewRoman" w:hAnsiTheme="minorHAnsi" w:cs="TimesNewRoman"/>
        </w:rPr>
        <w:t xml:space="preserve"> For the two strains similar for priming (A/H1N1 and B/Victoria), pre-revaccination GMTs at Day 0 were higher in the</w:t>
      </w:r>
      <w:r w:rsidR="00CE366D" w:rsidRPr="007C384B">
        <w:rPr>
          <w:rFonts w:asciiTheme="minorHAnsi" w:eastAsia="TimesNewRoman" w:hAnsiTheme="minorHAnsi" w:cs="TimesNewRoman"/>
        </w:rPr>
        <w:t xml:space="preserve"> group </w:t>
      </w:r>
      <w:r w:rsidRPr="007C384B">
        <w:rPr>
          <w:rFonts w:asciiTheme="minorHAnsi" w:eastAsia="TimesNewRoman" w:hAnsiTheme="minorHAnsi" w:cs="TimesNewRoman"/>
        </w:rPr>
        <w:t xml:space="preserve">primed with </w:t>
      </w:r>
      <w:r w:rsidR="002A4D92" w:rsidRPr="002A4D92">
        <w:rPr>
          <w:rFonts w:asciiTheme="minorHAnsi" w:eastAsia="TimesNewRoman" w:hAnsiTheme="minorHAnsi" w:cs="TimesNewRoman"/>
        </w:rPr>
        <w:t xml:space="preserve">Fluarix Tetra </w:t>
      </w:r>
      <w:r w:rsidRPr="007C384B">
        <w:rPr>
          <w:rFonts w:asciiTheme="minorHAnsi" w:eastAsia="TimesNewRoman" w:hAnsiTheme="minorHAnsi" w:cs="TimesNewRoman"/>
        </w:rPr>
        <w:t>compared to the un</w:t>
      </w:r>
      <w:r w:rsidR="007C384B" w:rsidRPr="007C384B">
        <w:rPr>
          <w:rFonts w:asciiTheme="minorHAnsi" w:eastAsia="TimesNewRoman" w:hAnsiTheme="minorHAnsi" w:cs="TimesNewRoman"/>
        </w:rPr>
        <w:t>-</w:t>
      </w:r>
      <w:r w:rsidRPr="007C384B">
        <w:rPr>
          <w:rFonts w:asciiTheme="minorHAnsi" w:eastAsia="TimesNewRoman" w:hAnsiTheme="minorHAnsi" w:cs="TimesNewRoman"/>
        </w:rPr>
        <w:t>primed</w:t>
      </w:r>
      <w:r w:rsidR="00CE366D" w:rsidRPr="007C384B">
        <w:rPr>
          <w:rFonts w:asciiTheme="minorHAnsi" w:eastAsia="TimesNewRoman" w:hAnsiTheme="minorHAnsi" w:cs="TimesNewRoman"/>
        </w:rPr>
        <w:t xml:space="preserve"> group </w:t>
      </w:r>
      <w:r w:rsidRPr="007C384B">
        <w:rPr>
          <w:rFonts w:asciiTheme="minorHAnsi" w:eastAsia="TimesNewRoman" w:hAnsiTheme="minorHAnsi" w:cs="TimesNewRoman"/>
        </w:rPr>
        <w:t>showing that the immune response persisted one year after priming. Although the HI antibodies were not tested against the priming strains, HI titre was also higher against B/Yamagata, but not against A/H3N2 strain in the D-QIV-009 v</w:t>
      </w:r>
      <w:r w:rsidRPr="00023EE2">
        <w:rPr>
          <w:rFonts w:asciiTheme="minorHAnsi" w:eastAsia="TimesNewRoman" w:hAnsiTheme="minorHAnsi" w:cs="TimesNewRoman"/>
        </w:rPr>
        <w:t>accine</w:t>
      </w:r>
      <w:r w:rsidR="00BC094E">
        <w:rPr>
          <w:rFonts w:asciiTheme="minorHAnsi" w:eastAsia="TimesNewRoman" w:hAnsiTheme="minorHAnsi" w:cs="TimesNewRoman"/>
        </w:rPr>
        <w:t xml:space="preserve"> </w:t>
      </w:r>
      <w:r w:rsidRPr="00023EE2">
        <w:rPr>
          <w:rFonts w:asciiTheme="minorHAnsi" w:eastAsia="TimesNewRoman" w:hAnsiTheme="minorHAnsi" w:cs="TimesNewRoman"/>
        </w:rPr>
        <w:t>primed</w:t>
      </w:r>
      <w:r w:rsidR="00CE366D">
        <w:rPr>
          <w:rFonts w:asciiTheme="minorHAnsi" w:eastAsia="TimesNewRoman" w:hAnsiTheme="minorHAnsi" w:cs="TimesNewRoman"/>
        </w:rPr>
        <w:t xml:space="preserve"> group </w:t>
      </w:r>
      <w:r w:rsidR="007E3752">
        <w:rPr>
          <w:rFonts w:asciiTheme="minorHAnsi" w:eastAsia="TimesNewRoman" w:hAnsiTheme="minorHAnsi" w:cs="TimesNewRoman"/>
        </w:rPr>
        <w:t>versus</w:t>
      </w:r>
      <w:r w:rsidRPr="00023EE2">
        <w:rPr>
          <w:rFonts w:asciiTheme="minorHAnsi" w:eastAsia="TimesNewRoman" w:hAnsiTheme="minorHAnsi" w:cs="TimesNewRoman"/>
        </w:rPr>
        <w:t xml:space="preserve"> un</w:t>
      </w:r>
      <w:r w:rsidR="007C384B">
        <w:rPr>
          <w:rFonts w:asciiTheme="minorHAnsi" w:eastAsia="TimesNewRoman" w:hAnsiTheme="minorHAnsi" w:cs="TimesNewRoman"/>
        </w:rPr>
        <w:t>-</w:t>
      </w:r>
      <w:r w:rsidRPr="00023EE2">
        <w:rPr>
          <w:rFonts w:asciiTheme="minorHAnsi" w:eastAsia="TimesNewRoman" w:hAnsiTheme="minorHAnsi" w:cs="TimesNewRoman"/>
        </w:rPr>
        <w:t>primed</w:t>
      </w:r>
      <w:r w:rsidR="007C384B">
        <w:rPr>
          <w:rFonts w:asciiTheme="minorHAnsi" w:eastAsia="TimesNewRoman" w:hAnsiTheme="minorHAnsi" w:cs="TimesNewRoman"/>
        </w:rPr>
        <w:t xml:space="preserve"> group.</w:t>
      </w:r>
      <w:r w:rsidRPr="00023EE2">
        <w:rPr>
          <w:rFonts w:asciiTheme="minorHAnsi" w:eastAsia="TimesNewRoman" w:hAnsiTheme="minorHAnsi" w:cs="TimesNewRoman"/>
        </w:rPr>
        <w:t xml:space="preserve"> </w:t>
      </w:r>
      <w:r>
        <w:rPr>
          <w:rFonts w:asciiTheme="minorHAnsi" w:eastAsia="TimesNewRoman" w:hAnsiTheme="minorHAnsi" w:cs="TimesNewRoman"/>
        </w:rPr>
        <w:t xml:space="preserve">A similar pattern as </w:t>
      </w:r>
      <w:r w:rsidRPr="00023EE2">
        <w:rPr>
          <w:rFonts w:asciiTheme="minorHAnsi" w:eastAsia="TimesNewRoman" w:hAnsiTheme="minorHAnsi" w:cs="TimesNewRoman"/>
        </w:rPr>
        <w:t>descri</w:t>
      </w:r>
      <w:r>
        <w:rPr>
          <w:rFonts w:asciiTheme="minorHAnsi" w:eastAsia="TimesNewRoman" w:hAnsiTheme="minorHAnsi" w:cs="TimesNewRoman"/>
        </w:rPr>
        <w:t xml:space="preserve">bed above was seen, for </w:t>
      </w:r>
      <w:r w:rsidRPr="00AE314C">
        <w:rPr>
          <w:rFonts w:asciiTheme="minorHAnsi" w:eastAsia="TimesNewRoman" w:hAnsiTheme="minorHAnsi" w:cs="TimesNewRoman"/>
        </w:rPr>
        <w:t>neutralising and anti-neuraminidase antibody immune response, for both ATP-I cohorts.</w:t>
      </w:r>
    </w:p>
    <w:p w14:paraId="30AE760C" w14:textId="7116ACF6" w:rsidR="00F30851" w:rsidRPr="00AE314C" w:rsidRDefault="00F30851" w:rsidP="00BC094E">
      <w:pPr>
        <w:pStyle w:val="Tabletitle"/>
      </w:pPr>
      <w:r w:rsidRPr="00AE314C">
        <w:t>Table 1</w:t>
      </w:r>
      <w:r w:rsidR="00DA7D36">
        <w:t>5</w:t>
      </w:r>
      <w:r w:rsidRPr="00AE314C">
        <w:t>: Summary of immunogenicity results at Day 0 (Pre) and Day 7 post-Dose 1: seropositivity rates (HI antibody titres ≥1:10</w:t>
      </w:r>
      <w:r w:rsidRPr="00AE314C">
        <w:rPr>
          <w:rFonts w:eastAsia="TimesNewRoman" w:cs="TimesNewRoman"/>
        </w:rPr>
        <w:t>)</w:t>
      </w:r>
      <w:r w:rsidRPr="00AE314C">
        <w:t>, GMTs and seroprotection rates (SPRs) (ATP-I)</w:t>
      </w:r>
      <w:r w:rsidRPr="00AE314C">
        <w:rPr>
          <w:rFonts w:eastAsia="TimesNewRoman" w:cs="TimesNewRoman"/>
        </w:rPr>
        <w:t xml:space="preserve"> in D-QIV-009</w:t>
      </w:r>
    </w:p>
    <w:p w14:paraId="2FF381F4" w14:textId="5967C2EB" w:rsidR="00F30851" w:rsidRDefault="00486721" w:rsidP="00F30851">
      <w:pPr>
        <w:autoSpaceDE w:val="0"/>
        <w:autoSpaceDN w:val="0"/>
        <w:adjustRightInd w:val="0"/>
        <w:spacing w:before="0" w:after="0" w:line="240" w:lineRule="auto"/>
        <w:rPr>
          <w:rFonts w:ascii="TimesNewRoman,Bold" w:eastAsiaTheme="minorHAnsi" w:hAnsi="TimesNewRoman,Bold" w:cs="TimesNewRoman,Bold"/>
          <w:b/>
          <w:bCs/>
          <w:sz w:val="20"/>
          <w:szCs w:val="20"/>
        </w:rPr>
      </w:pPr>
      <w:r w:rsidRPr="00023EE2">
        <w:rPr>
          <w:rFonts w:ascii="TimesNewRoman,Bold" w:eastAsiaTheme="minorHAnsi" w:hAnsi="TimesNewRoman,Bold" w:cs="TimesNewRoman,Bold"/>
          <w:b/>
          <w:bCs/>
          <w:sz w:val="20"/>
          <w:szCs w:val="20"/>
        </w:rPr>
        <w:object w:dxaOrig="6885" w:dyaOrig="6346" w14:anchorId="2D86CADC">
          <v:shape id="_x0000_i1029" type="#_x0000_t75" alt="Summary of immunogenicity results at Day 0 (Pre) and Day 7 post-Dose 1: seropositivity rates (HI antibody titres ≥1:10), GMTs and seroprotection rates (SPRs) (ATP-I) in D-QIV-009" style="width:353.75pt;height:201.6pt" o:ole="">
            <v:imagedata r:id="rId50" o:title=""/>
          </v:shape>
          <o:OLEObject Type="Embed" ProgID="Acrobat.Document.DC" ShapeID="_x0000_i1029" DrawAspect="Content" ObjectID="_1606222003" r:id="rId51"/>
        </w:object>
      </w:r>
    </w:p>
    <w:p w14:paraId="2BCD2E15" w14:textId="77777777" w:rsidR="00BC094E" w:rsidRDefault="00F30851" w:rsidP="00BC094E">
      <w:pPr>
        <w:pStyle w:val="Heading5"/>
        <w:rPr>
          <w:rFonts w:eastAsiaTheme="minorHAnsi"/>
        </w:rPr>
      </w:pPr>
      <w:r w:rsidRPr="001D6224">
        <w:rPr>
          <w:rFonts w:eastAsiaTheme="minorHAnsi"/>
        </w:rPr>
        <w:t>Safety results</w:t>
      </w:r>
    </w:p>
    <w:p w14:paraId="796D9732" w14:textId="77777777" w:rsidR="00F30851" w:rsidRPr="005F501A" w:rsidRDefault="00F30851" w:rsidP="00BC094E">
      <w:r>
        <w:t>See Section 7.0</w:t>
      </w:r>
      <w:r w:rsidR="00BC094E">
        <w:t>.</w:t>
      </w:r>
    </w:p>
    <w:p w14:paraId="7C4E4283" w14:textId="77777777" w:rsidR="00BC094E" w:rsidRPr="00BC094E" w:rsidRDefault="00650FFB" w:rsidP="00650FFB">
      <w:pPr>
        <w:pStyle w:val="Heading4"/>
      </w:pPr>
      <w:r w:rsidRPr="00650FFB">
        <w:t>D-QIV-</w:t>
      </w:r>
      <w:r w:rsidR="00F30851" w:rsidRPr="00BC094E">
        <w:t>015 (</w:t>
      </w:r>
      <w:r w:rsidR="005879FC">
        <w:t>6 to 35</w:t>
      </w:r>
      <w:r w:rsidR="00F30851" w:rsidRPr="00BC094E">
        <w:t xml:space="preserve"> months cohort only)</w:t>
      </w:r>
    </w:p>
    <w:p w14:paraId="615A846A" w14:textId="77777777" w:rsidR="00F30851" w:rsidRPr="008F0081" w:rsidRDefault="00F30851" w:rsidP="00BC094E">
      <w:r w:rsidRPr="008F0081">
        <w:t>A Phase III, double-blind, randomized, multi</w:t>
      </w:r>
      <w:r w:rsidR="005879FC">
        <w:t>centre</w:t>
      </w:r>
      <w:r w:rsidRPr="008F0081">
        <w:t xml:space="preserve"> study to assess safety and immunogenicity of GlaxoSmithKline Biologicals’ Quadrivalent Split Virion Influenza Vaccine (GSK2321138A)</w:t>
      </w:r>
      <w:r w:rsidR="00236BA2">
        <w:t>, Fluarix Tetra,</w:t>
      </w:r>
      <w:r w:rsidRPr="008F0081">
        <w:t xml:space="preserve"> manufactured with a new process, in adults aged 18 to 49 years and in children aged 6 months to 17 years. This study is currently in review by the TGA </w:t>
      </w:r>
      <w:r w:rsidR="00FF0211">
        <w:t>for another submission</w:t>
      </w:r>
      <w:r w:rsidRPr="008F0081">
        <w:t>.</w:t>
      </w:r>
    </w:p>
    <w:p w14:paraId="6896B4D7" w14:textId="77777777" w:rsidR="00BC094E" w:rsidRDefault="00F30851" w:rsidP="00BC094E">
      <w:pPr>
        <w:pStyle w:val="Heading5"/>
      </w:pPr>
      <w:r w:rsidRPr="003A257A">
        <w:t>Study dates</w:t>
      </w:r>
    </w:p>
    <w:p w14:paraId="78A4903E" w14:textId="77777777" w:rsidR="00F30851" w:rsidRPr="008F0081" w:rsidRDefault="00F30851" w:rsidP="00BC094E">
      <w:r w:rsidRPr="008F0081">
        <w:t xml:space="preserve">Study initiation date: </w:t>
      </w:r>
      <w:r>
        <w:rPr>
          <w:rFonts w:eastAsia="TimesNewRoman" w:cs="TimesNewRoman"/>
        </w:rPr>
        <w:t>18-Aug</w:t>
      </w:r>
      <w:r w:rsidRPr="008F0081">
        <w:rPr>
          <w:rFonts w:eastAsia="TimesNewRoman" w:cs="TimesNewRoman"/>
        </w:rPr>
        <w:t>-2014</w:t>
      </w:r>
      <w:r w:rsidRPr="008F0081">
        <w:t xml:space="preserve">; Study completion date: </w:t>
      </w:r>
      <w:r>
        <w:rPr>
          <w:rFonts w:eastAsia="TimesNewRoman" w:cs="TimesNewRoman"/>
        </w:rPr>
        <w:t>18-Apr</w:t>
      </w:r>
      <w:r w:rsidRPr="008F0081">
        <w:rPr>
          <w:rFonts w:eastAsia="TimesNewRoman" w:cs="TimesNewRoman"/>
        </w:rPr>
        <w:t>-2015</w:t>
      </w:r>
    </w:p>
    <w:p w14:paraId="5C3E8931" w14:textId="77777777" w:rsidR="00BC094E" w:rsidRDefault="00F30851" w:rsidP="00BC094E">
      <w:pPr>
        <w:pStyle w:val="Heading5"/>
        <w:rPr>
          <w:rFonts w:eastAsiaTheme="minorHAnsi"/>
        </w:rPr>
      </w:pPr>
      <w:r w:rsidRPr="008F0081">
        <w:rPr>
          <w:rFonts w:eastAsiaTheme="minorHAnsi"/>
        </w:rPr>
        <w:lastRenderedPageBreak/>
        <w:t>Data lock point (Date of database freeze)</w:t>
      </w:r>
    </w:p>
    <w:p w14:paraId="66220194" w14:textId="77777777" w:rsidR="00F30851" w:rsidRPr="008F0081" w:rsidRDefault="00F30851" w:rsidP="00BC094E">
      <w:pPr>
        <w:rPr>
          <w:b/>
        </w:rPr>
      </w:pPr>
      <w:r>
        <w:t>16-Jul</w:t>
      </w:r>
      <w:r w:rsidRPr="008F0081">
        <w:t>-2015</w:t>
      </w:r>
    </w:p>
    <w:p w14:paraId="41A3705E" w14:textId="77777777" w:rsidR="00BC094E" w:rsidRDefault="00F30851" w:rsidP="00BC094E">
      <w:pPr>
        <w:pStyle w:val="Heading5"/>
      </w:pPr>
      <w:r w:rsidRPr="008F0081">
        <w:t>Design</w:t>
      </w:r>
    </w:p>
    <w:p w14:paraId="7E80C6AB" w14:textId="77777777" w:rsidR="00BC74DF" w:rsidRDefault="00F30851" w:rsidP="00BC094E">
      <w:r w:rsidRPr="008F0081">
        <w:t>The study was conducted as a Phase III, randomized, double-blind, controlled, multi-country study with staggered enrolment of adult and p</w:t>
      </w:r>
      <w:r>
        <w:t>a</w:t>
      </w:r>
      <w:r w:rsidRPr="008F0081">
        <w:t xml:space="preserve">ediatric treatment </w:t>
      </w:r>
      <w:r>
        <w:t>g</w:t>
      </w:r>
      <w:r w:rsidR="005879FC">
        <w:t>rou</w:t>
      </w:r>
      <w:r>
        <w:t>p</w:t>
      </w:r>
      <w:r w:rsidRPr="008F0081">
        <w:t>s. Th</w:t>
      </w:r>
      <w:r>
        <w:t xml:space="preserve">e subjects were randomized 1:1 </w:t>
      </w:r>
      <w:r w:rsidRPr="008F0081">
        <w:t xml:space="preserve">to receive either </w:t>
      </w:r>
      <w:r w:rsidR="00E278CC">
        <w:t>Fluarix Tetra</w:t>
      </w:r>
      <w:r w:rsidRPr="008F0081">
        <w:t xml:space="preserve"> vaccine produced by the </w:t>
      </w:r>
      <w:r>
        <w:t>Investigational Process (</w:t>
      </w:r>
      <w:r w:rsidRPr="008F0081">
        <w:t>IP</w:t>
      </w:r>
      <w:r>
        <w:t>)</w:t>
      </w:r>
      <w:r w:rsidRPr="008F0081">
        <w:t xml:space="preserve"> or </w:t>
      </w:r>
      <w:r w:rsidR="00E278CC">
        <w:t>Fluarix Tetra</w:t>
      </w:r>
      <w:r w:rsidRPr="008F0081">
        <w:t xml:space="preserve"> vaccine produced by the L</w:t>
      </w:r>
      <w:r>
        <w:t xml:space="preserve">icensed </w:t>
      </w:r>
      <w:r w:rsidRPr="008F0081">
        <w:t>P</w:t>
      </w:r>
      <w:r>
        <w:t>rocess (LP)</w:t>
      </w:r>
      <w:r w:rsidRPr="008F0081">
        <w:t>.</w:t>
      </w:r>
    </w:p>
    <w:p w14:paraId="3838EA68" w14:textId="559CE16C" w:rsidR="00BC094E" w:rsidRDefault="00F30851" w:rsidP="00BC094E">
      <w:pPr>
        <w:pStyle w:val="Heading5"/>
      </w:pPr>
      <w:r w:rsidRPr="008F0081">
        <w:t>Study vaccines</w:t>
      </w:r>
    </w:p>
    <w:p w14:paraId="7A857A75" w14:textId="77777777" w:rsidR="00F30851" w:rsidRDefault="00F30851" w:rsidP="00BC094E">
      <w:r w:rsidRPr="008F0081">
        <w:t>See Table 1</w:t>
      </w:r>
      <w:r w:rsidR="00BC094E">
        <w:t>2</w:t>
      </w:r>
      <w:r w:rsidRPr="008F0081">
        <w:t>.</w:t>
      </w:r>
    </w:p>
    <w:p w14:paraId="6DB7E32C" w14:textId="77777777" w:rsidR="00BC094E" w:rsidRDefault="00F30851" w:rsidP="00BC094E">
      <w:pPr>
        <w:pStyle w:val="Heading5"/>
      </w:pPr>
      <w:r>
        <w:t>Study population</w:t>
      </w:r>
    </w:p>
    <w:p w14:paraId="4292F4D0" w14:textId="77777777" w:rsidR="00F30851" w:rsidRDefault="00F30851" w:rsidP="00BC094E">
      <w:r>
        <w:t xml:space="preserve">See Table </w:t>
      </w:r>
      <w:r w:rsidR="00BC094E">
        <w:t>15</w:t>
      </w:r>
      <w:r>
        <w:t>.</w:t>
      </w:r>
    </w:p>
    <w:p w14:paraId="1AC6A3B6" w14:textId="77777777" w:rsidR="00F30851" w:rsidRPr="00E013BB" w:rsidRDefault="00F30851" w:rsidP="00BC094E">
      <w:pPr>
        <w:pStyle w:val="Heading5"/>
      </w:pPr>
      <w:r w:rsidRPr="00E013BB">
        <w:t>Immunogenicity and safety findings</w:t>
      </w:r>
    </w:p>
    <w:p w14:paraId="51832FEB" w14:textId="77777777" w:rsidR="00BC094E" w:rsidRDefault="00F30851" w:rsidP="00BC094E">
      <w:pPr>
        <w:pStyle w:val="Heading6"/>
        <w:rPr>
          <w:rFonts w:eastAsiaTheme="minorHAnsi"/>
        </w:rPr>
      </w:pPr>
      <w:r w:rsidRPr="00E013BB">
        <w:rPr>
          <w:rFonts w:eastAsiaTheme="minorHAnsi"/>
        </w:rPr>
        <w:t>Rationale for these post hoc analyses</w:t>
      </w:r>
    </w:p>
    <w:p w14:paraId="30D22A0E" w14:textId="77777777" w:rsidR="00F30851" w:rsidRPr="00BC094E" w:rsidRDefault="00650FFB" w:rsidP="00BC094E">
      <w:pPr>
        <w:rPr>
          <w:rFonts w:eastAsiaTheme="minorHAnsi" w:cs="TimesNewRoman,Italic"/>
          <w:i/>
          <w:iCs/>
        </w:rPr>
      </w:pPr>
      <w:r w:rsidRPr="00650FFB">
        <w:t>D-QIV-</w:t>
      </w:r>
      <w:r w:rsidR="00F30851" w:rsidRPr="00BC094E">
        <w:t>004 excluded children at risk of influenza complications as seasonal influenza</w:t>
      </w:r>
      <w:r w:rsidR="00F30851" w:rsidRPr="00BC094E">
        <w:rPr>
          <w:rFonts w:eastAsiaTheme="minorHAnsi" w:cs="TimesNewRoman,Italic"/>
          <w:i/>
          <w:iCs/>
        </w:rPr>
        <w:t xml:space="preserve"> </w:t>
      </w:r>
      <w:r w:rsidR="00F30851" w:rsidRPr="00BC094E">
        <w:t xml:space="preserve">vaccination is recommended. This exclusion criterion was not applied in </w:t>
      </w:r>
      <w:r w:rsidR="0072094D" w:rsidRPr="0072094D">
        <w:t>D-QIV-</w:t>
      </w:r>
      <w:r w:rsidR="00F30851" w:rsidRPr="00BC094E">
        <w:t>015,</w:t>
      </w:r>
      <w:r w:rsidR="00F30851" w:rsidRPr="00BC094E">
        <w:rPr>
          <w:rFonts w:eastAsiaTheme="minorHAnsi" w:cs="TimesNewRoman,Italic"/>
          <w:i/>
          <w:iCs/>
        </w:rPr>
        <w:t xml:space="preserve"> </w:t>
      </w:r>
      <w:r w:rsidR="00F30851" w:rsidRPr="00BC094E">
        <w:t>and hence the findings allowed assessment of the impact of risk factors for influenza complications on</w:t>
      </w:r>
      <w:r w:rsidR="00F30851" w:rsidRPr="00BC094E">
        <w:rPr>
          <w:rFonts w:eastAsiaTheme="minorHAnsi" w:cs="TimesNewRoman,Italic"/>
          <w:iCs/>
        </w:rPr>
        <w:t xml:space="preserve"> vaccine</w:t>
      </w:r>
      <w:r w:rsidR="00F30851" w:rsidRPr="00BC094E">
        <w:rPr>
          <w:rFonts w:eastAsiaTheme="minorHAnsi" w:cs="TimesNewRoman,Italic"/>
          <w:i/>
          <w:iCs/>
        </w:rPr>
        <w:t xml:space="preserve"> </w:t>
      </w:r>
      <w:r w:rsidR="00F30851" w:rsidRPr="00BC094E">
        <w:t>immunogenicity.</w:t>
      </w:r>
      <w:r w:rsidR="00F30851" w:rsidRPr="00BC094E">
        <w:rPr>
          <w:rFonts w:eastAsiaTheme="minorHAnsi" w:cs="TimesNewRoman,Italic"/>
          <w:i/>
          <w:iCs/>
        </w:rPr>
        <w:t xml:space="preserve"> </w:t>
      </w:r>
      <w:r w:rsidR="00F30851" w:rsidRPr="00BC094E">
        <w:t>Furthermore, in both studies, the Bangladesh study cent</w:t>
      </w:r>
      <w:r w:rsidR="005879FC">
        <w:t>re</w:t>
      </w:r>
      <w:r w:rsidR="00F30851" w:rsidRPr="00BC094E">
        <w:t xml:space="preserve"> recruited a substantial number of children </w:t>
      </w:r>
      <w:r w:rsidR="005879FC">
        <w:t>6 to 35</w:t>
      </w:r>
      <w:r w:rsidR="00F30851" w:rsidRPr="00BC094E">
        <w:rPr>
          <w:rFonts w:eastAsiaTheme="minorHAnsi" w:cs="TimesNewRoman,Italic"/>
          <w:i/>
          <w:iCs/>
        </w:rPr>
        <w:t xml:space="preserve"> </w:t>
      </w:r>
      <w:r w:rsidR="00F30851" w:rsidRPr="00BC094E">
        <w:t>months of age with enrolment in D-QIV-015 and Cohort 5 of D-QIV-004 during the same</w:t>
      </w:r>
      <w:r w:rsidR="00F30851" w:rsidRPr="00BC094E">
        <w:rPr>
          <w:rFonts w:eastAsiaTheme="minorHAnsi" w:cs="TimesNewRoman,Italic"/>
          <w:i/>
          <w:iCs/>
        </w:rPr>
        <w:t xml:space="preserve"> </w:t>
      </w:r>
      <w:r w:rsidR="00F30851" w:rsidRPr="00BC094E">
        <w:t xml:space="preserve">influenza season. Therefore, the post hoc analysis of immunogenicity in </w:t>
      </w:r>
      <w:r w:rsidR="005879FC">
        <w:t>6 to 35</w:t>
      </w:r>
      <w:r w:rsidR="00F30851" w:rsidRPr="00BC094E">
        <w:t xml:space="preserve"> months old children from</w:t>
      </w:r>
      <w:r w:rsidR="00F30851" w:rsidRPr="00BC094E">
        <w:rPr>
          <w:rFonts w:eastAsiaTheme="minorHAnsi" w:cs="TimesNewRoman,Italic"/>
          <w:i/>
          <w:iCs/>
        </w:rPr>
        <w:t xml:space="preserve"> </w:t>
      </w:r>
      <w:r w:rsidR="00F30851" w:rsidRPr="00BC094E">
        <w:t xml:space="preserve">Bangladesh presented in this Annex Report 1 allows a contrast of </w:t>
      </w:r>
      <w:r w:rsidR="00E278CC" w:rsidRPr="00BC094E">
        <w:t>Fluarix Tetra</w:t>
      </w:r>
      <w:r w:rsidR="00F30851" w:rsidRPr="00BC094E">
        <w:t xml:space="preserve"> immunogenicity (from the </w:t>
      </w:r>
      <w:r w:rsidR="00356911" w:rsidRPr="00356911">
        <w:t xml:space="preserve">Fluarix Tetra </w:t>
      </w:r>
      <w:r w:rsidR="00356911">
        <w:t>from investigational process (</w:t>
      </w:r>
      <w:r w:rsidR="00F30851" w:rsidRPr="00BC094E">
        <w:t>IP</w:t>
      </w:r>
      <w:r w:rsidR="00356911">
        <w:t>)</w:t>
      </w:r>
      <w:r w:rsidR="00CE366D" w:rsidRPr="00BC094E">
        <w:t xml:space="preserve"> group </w:t>
      </w:r>
      <w:r w:rsidR="00F30851" w:rsidRPr="00BC094E">
        <w:t>in D-QIV-015) to immunogenicity observed in the efficacy trial (</w:t>
      </w:r>
      <w:r w:rsidR="00E278CC" w:rsidRPr="00BC094E">
        <w:t>Fluarix Tetra</w:t>
      </w:r>
      <w:r w:rsidR="00F30851" w:rsidRPr="00BC094E">
        <w:t xml:space="preserve"> from the currently </w:t>
      </w:r>
      <w:r w:rsidR="00356911">
        <w:t>li</w:t>
      </w:r>
      <w:r w:rsidR="00F84712">
        <w:t>cens</w:t>
      </w:r>
      <w:r w:rsidR="00356911">
        <w:t>ed process (</w:t>
      </w:r>
      <w:r w:rsidR="00F30851" w:rsidRPr="00BC094E">
        <w:t>LP</w:t>
      </w:r>
      <w:r w:rsidR="00356911">
        <w:t>)</w:t>
      </w:r>
      <w:r w:rsidR="00F30851" w:rsidRPr="00BC094E">
        <w:t xml:space="preserve">). In addition to the pre-specified, confirmatory non-inferiority analysis of the two processes in </w:t>
      </w:r>
      <w:r w:rsidR="00943514" w:rsidRPr="00BC094E">
        <w:t>Study D-QIV-</w:t>
      </w:r>
      <w:r w:rsidR="00F30851" w:rsidRPr="00BC094E">
        <w:t>015, this post-hoc analysis provides additional support to bridge the immunogenicity of the two processes across studies. Lastly, an evaluation of safety by country was performed. Note: different procedure for collecting information on AEs (trained field workers, was used in Bangladesh).</w:t>
      </w:r>
    </w:p>
    <w:p w14:paraId="09A43335" w14:textId="1B23FF6F" w:rsidR="00F30851" w:rsidRPr="003A257A" w:rsidRDefault="00F30851" w:rsidP="003D6F53">
      <w:pPr>
        <w:pStyle w:val="Tabletitle"/>
        <w:rPr>
          <w:rFonts w:eastAsiaTheme="minorHAnsi" w:cs="Arial,Bold"/>
          <w:bCs/>
        </w:rPr>
      </w:pPr>
      <w:r w:rsidRPr="00AE314C">
        <w:t xml:space="preserve">Table </w:t>
      </w:r>
      <w:r w:rsidR="00DA7D36">
        <w:t>16</w:t>
      </w:r>
      <w:r w:rsidR="005879FC">
        <w:t>:</w:t>
      </w:r>
      <w:r w:rsidRPr="00AE314C">
        <w:t xml:space="preserve"> Study population subjects aged </w:t>
      </w:r>
      <w:r w:rsidR="005879FC">
        <w:t>6 to 35</w:t>
      </w:r>
      <w:r w:rsidRPr="00AE314C">
        <w:t xml:space="preserve"> months (Paediatric-TVC)</w:t>
      </w:r>
      <w:r w:rsidRPr="00AE314C">
        <w:rPr>
          <w:rFonts w:eastAsiaTheme="minorHAnsi" w:cs="Arial,Bold"/>
          <w:bCs/>
        </w:rPr>
        <w:t xml:space="preserve"> in D-QIV-015</w:t>
      </w:r>
    </w:p>
    <w:p w14:paraId="7B4D1CBE" w14:textId="5D45F835" w:rsidR="00F30851" w:rsidRPr="008067D7" w:rsidRDefault="00486721" w:rsidP="00F30851">
      <w:pPr>
        <w:autoSpaceDE w:val="0"/>
        <w:autoSpaceDN w:val="0"/>
        <w:adjustRightInd w:val="0"/>
        <w:spacing w:before="0" w:after="0" w:line="240" w:lineRule="auto"/>
        <w:rPr>
          <w:rFonts w:asciiTheme="minorHAnsi" w:hAnsiTheme="minorHAnsi"/>
          <w:b/>
          <w:sz w:val="20"/>
          <w:szCs w:val="20"/>
        </w:rPr>
      </w:pPr>
      <w:r w:rsidRPr="00E013BB">
        <w:rPr>
          <w:rFonts w:asciiTheme="minorHAnsi" w:hAnsiTheme="minorHAnsi"/>
          <w:b/>
          <w:sz w:val="20"/>
          <w:szCs w:val="20"/>
        </w:rPr>
        <w:object w:dxaOrig="6481" w:dyaOrig="4995" w14:anchorId="27212E4B">
          <v:shape id="_x0000_i1030" type="#_x0000_t75" alt="Study population subjects aged 6 to 35 months (Paediatric-TVC) in D-QIV-015" style="width:298.65pt;height:236.65pt" o:ole="">
            <v:imagedata r:id="rId52" o:title=""/>
          </v:shape>
          <o:OLEObject Type="Embed" ProgID="Acrobat.Document.DC" ShapeID="_x0000_i1030" DrawAspect="Content" ObjectID="_1606222004" r:id="rId53"/>
        </w:object>
      </w:r>
    </w:p>
    <w:p w14:paraId="58549078" w14:textId="77777777" w:rsidR="00F30851" w:rsidRPr="0073134C" w:rsidRDefault="00F30851" w:rsidP="005879FC">
      <w:pPr>
        <w:pStyle w:val="Heading5"/>
        <w:rPr>
          <w:rFonts w:eastAsiaTheme="minorHAnsi"/>
        </w:rPr>
      </w:pPr>
      <w:r w:rsidRPr="0073134C">
        <w:rPr>
          <w:rFonts w:eastAsiaTheme="minorHAnsi"/>
        </w:rPr>
        <w:lastRenderedPageBreak/>
        <w:t xml:space="preserve">Immunogenicity results by risk factor for influenza complications in children </w:t>
      </w:r>
      <w:r w:rsidR="005879FC">
        <w:rPr>
          <w:rFonts w:eastAsiaTheme="minorHAnsi"/>
        </w:rPr>
        <w:t>6 to 35</w:t>
      </w:r>
      <w:r w:rsidRPr="0073134C">
        <w:rPr>
          <w:rFonts w:eastAsiaTheme="minorHAnsi"/>
        </w:rPr>
        <w:t xml:space="preserve"> months of age</w:t>
      </w:r>
    </w:p>
    <w:p w14:paraId="3F3737B7" w14:textId="77777777" w:rsidR="00F30851" w:rsidRPr="00C90C3C" w:rsidRDefault="00F30851" w:rsidP="005879FC">
      <w:r w:rsidRPr="00C90C3C">
        <w:t xml:space="preserve">In the </w:t>
      </w:r>
      <w:r w:rsidR="005879FC">
        <w:t>Tetra Fluarix IP group</w:t>
      </w:r>
      <w:r w:rsidR="007C384B">
        <w:t>,</w:t>
      </w:r>
      <w:r w:rsidRPr="00C90C3C">
        <w:t xml:space="preserve"> the HI </w:t>
      </w:r>
      <w:r>
        <w:t xml:space="preserve">GMTs </w:t>
      </w:r>
      <w:r w:rsidRPr="00C90C3C">
        <w:t>across the 4 strains ranged from 40.5 to</w:t>
      </w:r>
      <w:r>
        <w:t xml:space="preserve"> </w:t>
      </w:r>
      <w:r w:rsidRPr="00C90C3C">
        <w:t>191.9 among children with risk factor for influenza complications and from 30.2 to 91.8 among children</w:t>
      </w:r>
      <w:r>
        <w:t xml:space="preserve"> </w:t>
      </w:r>
      <w:r w:rsidRPr="00C90C3C">
        <w:t xml:space="preserve">without risk factor for influenza complications, 28 days post-vaccination. In the </w:t>
      </w:r>
      <w:r w:rsidR="005879FC">
        <w:t>Tetra Fluarix LP group</w:t>
      </w:r>
      <w:r w:rsidR="007C384B">
        <w:t>,</w:t>
      </w:r>
      <w:r w:rsidRPr="00C90C3C">
        <w:t xml:space="preserve"> the HI</w:t>
      </w:r>
      <w:r>
        <w:t xml:space="preserve"> </w:t>
      </w:r>
      <w:r w:rsidRPr="00C90C3C">
        <w:t>GMTs across the 4 strains ranged from 40.6 to 176.7 and from 37.2 to 102.2 among children with risk</w:t>
      </w:r>
      <w:r>
        <w:t xml:space="preserve"> </w:t>
      </w:r>
      <w:r w:rsidRPr="00C90C3C">
        <w:t>factor for influenza complications and without risk factor, respectivel</w:t>
      </w:r>
      <w:r>
        <w:t>y, 28 days post</w:t>
      </w:r>
      <w:r w:rsidRPr="00C90C3C">
        <w:t>vaccination.</w:t>
      </w:r>
    </w:p>
    <w:p w14:paraId="44614571" w14:textId="77777777" w:rsidR="00F30851" w:rsidRPr="00C90C3C" w:rsidRDefault="00F30851" w:rsidP="005879FC">
      <w:r w:rsidRPr="00C90C3C">
        <w:t xml:space="preserve">The </w:t>
      </w:r>
      <w:r w:rsidR="005879FC">
        <w:t>Tetra Fluarix IP group</w:t>
      </w:r>
      <w:r w:rsidR="00CE366D">
        <w:t xml:space="preserve"> </w:t>
      </w:r>
      <w:r w:rsidRPr="00C90C3C">
        <w:t>with risk factor for influenza complicat</w:t>
      </w:r>
      <w:r>
        <w:t xml:space="preserve">ions had an SCR </w:t>
      </w:r>
      <w:r w:rsidRPr="00C90C3C">
        <w:t>of ≥5</w:t>
      </w:r>
      <w:r>
        <w:t xml:space="preserve">8.2% and a SPR </w:t>
      </w:r>
      <w:r w:rsidRPr="00C90C3C">
        <w:t xml:space="preserve">of ≥ 59.3% and the </w:t>
      </w:r>
      <w:r w:rsidR="005879FC">
        <w:t>Tetra Fluarix IP group</w:t>
      </w:r>
      <w:r w:rsidR="00CE366D">
        <w:t xml:space="preserve"> </w:t>
      </w:r>
      <w:r w:rsidRPr="00C90C3C">
        <w:t>without risk factor had a</w:t>
      </w:r>
      <w:r>
        <w:t xml:space="preserve"> SCR of ≥</w:t>
      </w:r>
      <w:r w:rsidRPr="00C90C3C">
        <w:t>46.8% and a SPR of</w:t>
      </w:r>
      <w:r w:rsidR="00943514">
        <w:t xml:space="preserve"> </w:t>
      </w:r>
      <w:r>
        <w:t>≥</w:t>
      </w:r>
      <w:r w:rsidRPr="00C90C3C">
        <w:t xml:space="preserve">46.9% for each vaccine strain. The </w:t>
      </w:r>
      <w:r w:rsidR="005879FC">
        <w:t>Tetra Fluarix LP group</w:t>
      </w:r>
      <w:r w:rsidR="00CE366D">
        <w:t xml:space="preserve"> </w:t>
      </w:r>
      <w:r w:rsidRPr="00C90C3C">
        <w:t>with risk factor for</w:t>
      </w:r>
      <w:r>
        <w:t xml:space="preserve"> </w:t>
      </w:r>
      <w:r w:rsidRPr="00C90C3C">
        <w:t>influen</w:t>
      </w:r>
      <w:r>
        <w:t>za complications had a SCR of ≥51.5% and a SPR of ≥</w:t>
      </w:r>
      <w:r w:rsidRPr="00C90C3C">
        <w:t xml:space="preserve">52.5% and the </w:t>
      </w:r>
      <w:r w:rsidR="005879FC">
        <w:t>Tetra Fluarix LP group</w:t>
      </w:r>
      <w:r w:rsidR="00CE366D">
        <w:t xml:space="preserve"> </w:t>
      </w:r>
      <w:r w:rsidRPr="00C90C3C">
        <w:t>without</w:t>
      </w:r>
      <w:r>
        <w:t xml:space="preserve"> risk factor had a SCR of ≥49.4% and a SPR of ≥</w:t>
      </w:r>
      <w:r w:rsidRPr="00C90C3C">
        <w:t>50.3% for each vaccine strain.</w:t>
      </w:r>
      <w:r>
        <w:t xml:space="preserve"> </w:t>
      </w:r>
      <w:r w:rsidRPr="00C90C3C">
        <w:t xml:space="preserve">In the </w:t>
      </w:r>
      <w:r w:rsidR="005879FC">
        <w:t>Tetra Fluarix IP group</w:t>
      </w:r>
      <w:r w:rsidR="007C384B">
        <w:t>,</w:t>
      </w:r>
      <w:r w:rsidRPr="00C90C3C">
        <w:t xml:space="preserve"> the </w:t>
      </w:r>
      <w:r>
        <w:t xml:space="preserve">MGI </w:t>
      </w:r>
      <w:r w:rsidRPr="00C90C3C">
        <w:t>ranged from 6.7 to 15.5 and from 5.3 to 11.4</w:t>
      </w:r>
      <w:r>
        <w:t xml:space="preserve"> </w:t>
      </w:r>
      <w:r w:rsidRPr="00C90C3C">
        <w:t>for the strains among children with risk factor for influenza complic</w:t>
      </w:r>
      <w:r>
        <w:t>ations and children without</w:t>
      </w:r>
      <w:r w:rsidRPr="00C90C3C">
        <w:t xml:space="preserve">, respectively. In the </w:t>
      </w:r>
      <w:r w:rsidR="005879FC">
        <w:t>Tetra Fluarix LP group</w:t>
      </w:r>
      <w:r w:rsidR="007C384B">
        <w:t>,</w:t>
      </w:r>
      <w:r w:rsidRPr="00C90C3C">
        <w:t xml:space="preserve"> the MGI ranged from 7.2 to 14.7 and from 6.4 to 12.9 for</w:t>
      </w:r>
      <w:r>
        <w:t xml:space="preserve"> </w:t>
      </w:r>
      <w:r w:rsidRPr="00C90C3C">
        <w:t>the strains among children with risk factor for influenza complications and children without risk factor,</w:t>
      </w:r>
      <w:r>
        <w:t xml:space="preserve"> </w:t>
      </w:r>
      <w:r w:rsidRPr="00C90C3C">
        <w:t>respectively.</w:t>
      </w:r>
    </w:p>
    <w:p w14:paraId="62B1D159" w14:textId="77777777" w:rsidR="00F30851" w:rsidRPr="00C90C3C" w:rsidRDefault="00F30851" w:rsidP="005879FC">
      <w:r w:rsidRPr="00C90C3C">
        <w:t>Overall, the immune responses of children with risk factors for influenza complications and of those not</w:t>
      </w:r>
      <w:r>
        <w:t xml:space="preserve"> </w:t>
      </w:r>
      <w:r w:rsidRPr="00C90C3C">
        <w:t>at risk were comparable with respect to all 4 strains contained in the study vaccines, except for the</w:t>
      </w:r>
      <w:r>
        <w:t xml:space="preserve"> </w:t>
      </w:r>
      <w:r w:rsidRPr="00C90C3C">
        <w:t xml:space="preserve">A/H1N1 strain GMT values, which were </w:t>
      </w:r>
      <w:r w:rsidRPr="005879FC">
        <w:rPr>
          <w:i/>
        </w:rPr>
        <w:t>higher</w:t>
      </w:r>
      <w:r w:rsidRPr="00C90C3C">
        <w:t xml:space="preserve"> in the at risk children. SCR for the A/H1N1</w:t>
      </w:r>
      <w:r>
        <w:t xml:space="preserve"> </w:t>
      </w:r>
      <w:r w:rsidRPr="00C90C3C">
        <w:t xml:space="preserve">strain was similar in children with </w:t>
      </w:r>
      <w:r>
        <w:t xml:space="preserve">and without </w:t>
      </w:r>
      <w:r w:rsidRPr="00C90C3C">
        <w:t>risk factors for influenza com</w:t>
      </w:r>
      <w:r>
        <w:t>plications</w:t>
      </w:r>
      <w:r w:rsidRPr="00C90C3C">
        <w:t>.</w:t>
      </w:r>
    </w:p>
    <w:p w14:paraId="5AB9203E" w14:textId="77777777" w:rsidR="00F30851" w:rsidRPr="0073134C" w:rsidRDefault="00F30851" w:rsidP="005879FC">
      <w:pPr>
        <w:pStyle w:val="Heading5"/>
        <w:rPr>
          <w:rFonts w:eastAsiaTheme="minorHAnsi"/>
        </w:rPr>
      </w:pPr>
      <w:r w:rsidRPr="0073134C">
        <w:rPr>
          <w:rFonts w:eastAsiaTheme="minorHAnsi"/>
        </w:rPr>
        <w:t xml:space="preserve">Immunogenicity results in children </w:t>
      </w:r>
      <w:r w:rsidR="005879FC">
        <w:rPr>
          <w:rFonts w:eastAsiaTheme="minorHAnsi"/>
        </w:rPr>
        <w:t>6 to 35</w:t>
      </w:r>
      <w:r w:rsidRPr="0073134C">
        <w:rPr>
          <w:rFonts w:eastAsiaTheme="minorHAnsi"/>
        </w:rPr>
        <w:t xml:space="preserve"> months of age </w:t>
      </w:r>
      <w:r w:rsidRPr="005879FC">
        <w:rPr>
          <w:rFonts w:eastAsiaTheme="minorHAnsi"/>
        </w:rPr>
        <w:t>from Bangladesh</w:t>
      </w:r>
    </w:p>
    <w:p w14:paraId="0B16CD5B" w14:textId="77777777" w:rsidR="00F30851" w:rsidRPr="005F501A" w:rsidRDefault="00F30851" w:rsidP="005879FC">
      <w:r w:rsidRPr="00C90C3C">
        <w:t>Twenty eight days post-vaccination, the HI GMTs across the 4 strains ranged from 36.7 to 104.7 in the</w:t>
      </w:r>
      <w:r>
        <w:t xml:space="preserve"> </w:t>
      </w:r>
      <w:r w:rsidR="005879FC">
        <w:t>Tetra Fluarix IP group</w:t>
      </w:r>
      <w:r w:rsidR="007C384B">
        <w:t>,</w:t>
      </w:r>
      <w:r w:rsidRPr="00C90C3C">
        <w:t xml:space="preserve"> and from 48.2 to 107.4 in the </w:t>
      </w:r>
      <w:r w:rsidR="005879FC">
        <w:t>Tetra Fluarix LP group</w:t>
      </w:r>
      <w:r w:rsidR="007C384B">
        <w:t>.</w:t>
      </w:r>
      <w:r w:rsidRPr="00C90C3C">
        <w:t xml:space="preserve"> The </w:t>
      </w:r>
      <w:r w:rsidR="005879FC">
        <w:t>Tetra Fluarix IP group</w:t>
      </w:r>
      <w:r w:rsidR="00CE366D">
        <w:t xml:space="preserve"> </w:t>
      </w:r>
      <w:r w:rsidRPr="00C90C3C">
        <w:t xml:space="preserve">had a SCR of ≥50.0% and a SPR of ≥ 50.0%, and the </w:t>
      </w:r>
      <w:r w:rsidR="005879FC">
        <w:t>Tetra Fluarix LP group</w:t>
      </w:r>
      <w:r w:rsidR="00CE366D">
        <w:t xml:space="preserve"> </w:t>
      </w:r>
      <w:r w:rsidRPr="00C90C3C">
        <w:t>had a SCR of ≥ 52.9% and a SPR of ≥ 52.9% for</w:t>
      </w:r>
      <w:r>
        <w:t xml:space="preserve"> </w:t>
      </w:r>
      <w:r w:rsidRPr="00C90C3C">
        <w:t xml:space="preserve">each vaccine strain. The MGI ranged from 5.7 to 10.2 for the strains in the </w:t>
      </w:r>
      <w:r w:rsidR="005879FC">
        <w:t>Tetra Fluarix IP group</w:t>
      </w:r>
      <w:r w:rsidR="00CE366D">
        <w:t xml:space="preserve"> </w:t>
      </w:r>
      <w:r w:rsidRPr="00C90C3C">
        <w:t>and from 7.2</w:t>
      </w:r>
      <w:r>
        <w:t xml:space="preserve"> </w:t>
      </w:r>
      <w:r w:rsidRPr="00C90C3C">
        <w:t xml:space="preserve">to 11.1 in the </w:t>
      </w:r>
      <w:r w:rsidR="005879FC">
        <w:t>Tetra Fluarix LP group</w:t>
      </w:r>
      <w:r w:rsidR="007C384B">
        <w:t>.</w:t>
      </w:r>
      <w:r>
        <w:t xml:space="preserve"> When compared to the overall </w:t>
      </w:r>
      <w:r w:rsidRPr="00C90C3C">
        <w:t>immunogenicity analysis including the</w:t>
      </w:r>
      <w:r>
        <w:t xml:space="preserve"> </w:t>
      </w:r>
      <w:r w:rsidRPr="00C90C3C">
        <w:t xml:space="preserve">entire study population </w:t>
      </w:r>
      <w:r w:rsidR="005879FC">
        <w:t>6 to 35</w:t>
      </w:r>
      <w:r w:rsidRPr="00C90C3C">
        <w:t xml:space="preserve"> months of age, the immune response of children enrolled at the Bangladesh</w:t>
      </w:r>
      <w:r>
        <w:t xml:space="preserve"> </w:t>
      </w:r>
      <w:r w:rsidRPr="00C90C3C">
        <w:t xml:space="preserve">study </w:t>
      </w:r>
      <w:r w:rsidR="005879FC">
        <w:t>centre</w:t>
      </w:r>
      <w:r w:rsidRPr="00C90C3C">
        <w:t xml:space="preserve"> was similar, except for the GMT values and baseline SPR for the A/H1N1 strain, which were lower for Bangladesh. SCR for the A/H1N1 strain was similar </w:t>
      </w:r>
      <w:r>
        <w:t>in</w:t>
      </w:r>
      <w:r w:rsidRPr="00C90C3C">
        <w:t xml:space="preserve"> children enrolled at the</w:t>
      </w:r>
      <w:r>
        <w:t xml:space="preserve"> </w:t>
      </w:r>
      <w:r w:rsidRPr="00C90C3C">
        <w:t xml:space="preserve">Bangladesh study </w:t>
      </w:r>
      <w:r w:rsidR="005879FC">
        <w:t>centre</w:t>
      </w:r>
      <w:r w:rsidRPr="00C90C3C">
        <w:t xml:space="preserve"> and children enrolled across all countries.</w:t>
      </w:r>
    </w:p>
    <w:p w14:paraId="04D0E5F1" w14:textId="2097CA68" w:rsidR="00F30851" w:rsidRPr="00AE314C" w:rsidRDefault="00F30851" w:rsidP="005D2053">
      <w:pPr>
        <w:pStyle w:val="Tabletitle"/>
        <w:rPr>
          <w:rFonts w:eastAsiaTheme="minorHAnsi" w:cs="Arial,Bold"/>
        </w:rPr>
      </w:pPr>
      <w:r w:rsidRPr="00AE314C">
        <w:t xml:space="preserve">Table </w:t>
      </w:r>
      <w:r w:rsidR="00DA7D36">
        <w:t>17</w:t>
      </w:r>
      <w:r w:rsidR="005D2053">
        <w:t>:</w:t>
      </w:r>
      <w:r w:rsidRPr="00AE314C">
        <w:t xml:space="preserve"> Adjusted GMT ratios of Flu A/H1N1, Flu A/H3N2, Flu B/Yamagata, Flu B/Victoria HI antibodies between g</w:t>
      </w:r>
      <w:r w:rsidR="005D2053">
        <w:t>rou</w:t>
      </w:r>
      <w:r w:rsidRPr="00AE314C">
        <w:t>ps (</w:t>
      </w:r>
      <w:r w:rsidR="00E278CC">
        <w:t>Fluarix Tetra</w:t>
      </w:r>
      <w:r w:rsidRPr="00AE314C">
        <w:t xml:space="preserve"> LP/</w:t>
      </w:r>
      <w:r w:rsidR="00E278CC">
        <w:t>Fluarix Tetra</w:t>
      </w:r>
      <w:r w:rsidRPr="00AE314C">
        <w:t xml:space="preserve"> IP) 28 days post last vaccination in subjects aged </w:t>
      </w:r>
      <w:r w:rsidR="005879FC">
        <w:t>6 to 35</w:t>
      </w:r>
      <w:r w:rsidRPr="00AE314C">
        <w:t xml:space="preserve"> months (P</w:t>
      </w:r>
      <w:r>
        <w:t>a</w:t>
      </w:r>
      <w:r w:rsidRPr="00AE314C">
        <w:t>ediatric - ATP cohort for immunogenicity)</w:t>
      </w:r>
      <w:r w:rsidRPr="00AE314C">
        <w:rPr>
          <w:rFonts w:eastAsiaTheme="minorHAnsi" w:cs="Arial,Bold"/>
        </w:rPr>
        <w:t xml:space="preserve"> in D-QIV-015</w:t>
      </w:r>
    </w:p>
    <w:p w14:paraId="5D1205C6" w14:textId="0F3459CE" w:rsidR="00F30851" w:rsidRDefault="00486721" w:rsidP="00F30851">
      <w:pPr>
        <w:autoSpaceDE w:val="0"/>
        <w:autoSpaceDN w:val="0"/>
        <w:adjustRightInd w:val="0"/>
        <w:spacing w:before="0" w:after="0" w:line="240" w:lineRule="auto"/>
        <w:rPr>
          <w:rFonts w:asciiTheme="minorHAnsi" w:eastAsia="TimesNewRoman,BoldItalic" w:hAnsiTheme="minorHAnsi" w:cs="TimesNewRoman,BoldItalic"/>
          <w:b/>
          <w:bCs/>
          <w:i/>
          <w:iCs/>
        </w:rPr>
      </w:pPr>
      <w:r w:rsidRPr="00AE314C">
        <w:rPr>
          <w:rFonts w:asciiTheme="minorHAnsi" w:eastAsia="TimesNewRoman,BoldItalic" w:hAnsiTheme="minorHAnsi" w:cs="TimesNewRoman,BoldItalic"/>
          <w:b/>
          <w:bCs/>
          <w:i/>
          <w:iCs/>
        </w:rPr>
        <w:object w:dxaOrig="6750" w:dyaOrig="3106" w14:anchorId="3EF9BAF4">
          <v:shape id="_x0000_i1031" type="#_x0000_t75" alt="Adjusted GMT ratios of Flu A/H1N1, Flu A/H3N2, Flu B/Yamagata, Flu B/Victoria HI antibodies between groups (Fluarix Tetra LP/Fluarix Tetra IP) 28 days post last vaccination in subjects aged 6 to 35 months (Paediatric - ATP cohort for immunogenicity) in D-QIV-015" style="width:338.1pt;height:155.9pt" o:ole="">
            <v:imagedata r:id="rId54" o:title=""/>
          </v:shape>
          <o:OLEObject Type="Embed" ProgID="Acrobat.Document.DC" ShapeID="_x0000_i1031" DrawAspect="Content" ObjectID="_1606222005" r:id="rId55"/>
        </w:object>
      </w:r>
    </w:p>
    <w:p w14:paraId="177451C0" w14:textId="77777777" w:rsidR="005D2053" w:rsidRDefault="00F30851" w:rsidP="005D2053">
      <w:pPr>
        <w:pStyle w:val="Heading5"/>
        <w:rPr>
          <w:rFonts w:eastAsia="TimesNewRoman,BoldItalic"/>
        </w:rPr>
      </w:pPr>
      <w:r w:rsidRPr="00C90C3C">
        <w:rPr>
          <w:rFonts w:eastAsia="TimesNewRoman,BoldItalic"/>
        </w:rPr>
        <w:lastRenderedPageBreak/>
        <w:t>Safety result</w:t>
      </w:r>
    </w:p>
    <w:p w14:paraId="6470FDE7" w14:textId="77777777" w:rsidR="00F30851" w:rsidRPr="00C90C3C" w:rsidRDefault="005D2053" w:rsidP="005D2053">
      <w:r>
        <w:t>S</w:t>
      </w:r>
      <w:r w:rsidR="00F30851">
        <w:t>ee Section 7.0.</w:t>
      </w:r>
    </w:p>
    <w:p w14:paraId="5DC967E0" w14:textId="77777777" w:rsidR="00F30851" w:rsidRPr="008F7A68" w:rsidRDefault="00F30851" w:rsidP="005D2053">
      <w:pPr>
        <w:pStyle w:val="Heading4"/>
      </w:pPr>
      <w:r w:rsidRPr="008F7A68">
        <w:t xml:space="preserve">Evaluator </w:t>
      </w:r>
      <w:r w:rsidRPr="005D2053">
        <w:t>commentary</w:t>
      </w:r>
      <w:r w:rsidR="005D2053">
        <w:t xml:space="preserve"> on</w:t>
      </w:r>
      <w:r w:rsidRPr="008F7A68">
        <w:t xml:space="preserve"> other efficacy studies</w:t>
      </w:r>
      <w:bookmarkStart w:id="74" w:name="_Toc441843520"/>
    </w:p>
    <w:bookmarkEnd w:id="74"/>
    <w:p w14:paraId="12A2D7DE" w14:textId="77777777" w:rsidR="005D2053" w:rsidRDefault="00F30851" w:rsidP="005D2053">
      <w:pPr>
        <w:pStyle w:val="Heading5"/>
        <w:rPr>
          <w:rFonts w:eastAsia="TimesNewRoman"/>
        </w:rPr>
      </w:pPr>
      <w:r>
        <w:rPr>
          <w:rFonts w:eastAsia="TimesNewRoman"/>
        </w:rPr>
        <w:t>D-QIV-009</w:t>
      </w:r>
    </w:p>
    <w:p w14:paraId="0C400AD0" w14:textId="77777777" w:rsidR="005D2053" w:rsidRDefault="00F30851" w:rsidP="005D2053">
      <w:r w:rsidRPr="005D2053">
        <w:t>The protocol-specified analysis of immunogenicity parameters (using the ATP-I excluding subjects who had an RT-PCR confirmed influenza infection in D-QIV-004) yielded results which were very similar to those of the ATP-I analysis inclusive of all eligible subjects. Therefore, study conclusions apply to both ATP-I analyses.</w:t>
      </w:r>
      <w:r w:rsidRPr="005D2053">
        <w:rPr>
          <w:rFonts w:eastAsiaTheme="minorHAnsi" w:cs="TimesNewRoman,Bold"/>
          <w:bCs/>
        </w:rPr>
        <w:t xml:space="preserve"> </w:t>
      </w:r>
      <w:r w:rsidRPr="005D2053">
        <w:t xml:space="preserve">The early and robust revaccination response (in terms of seropositivity, SPR, SCR, GMT, GMI, measured 7 days after revaccination) demonstrated that 2 primary doses of </w:t>
      </w:r>
      <w:r w:rsidR="002A4D92">
        <w:t>Tetra Fluarix</w:t>
      </w:r>
      <w:r w:rsidRPr="005D2053">
        <w:t xml:space="preserve"> in </w:t>
      </w:r>
      <w:r w:rsidR="002A4D92">
        <w:t>Tetra Fluarix</w:t>
      </w:r>
      <w:r w:rsidRPr="005D2053">
        <w:t xml:space="preserve">-004, established immune memory in children </w:t>
      </w:r>
      <w:r w:rsidR="005879FC" w:rsidRPr="005D2053">
        <w:t>6 to 35</w:t>
      </w:r>
      <w:r w:rsidRPr="005D2053">
        <w:t xml:space="preserve"> months of age that could be recalled in </w:t>
      </w:r>
      <w:r w:rsidR="005D2053">
        <w:t>vaccine primed</w:t>
      </w:r>
      <w:r w:rsidRPr="005D2053">
        <w:t xml:space="preserve"> subjects, but not in the vaccine-</w:t>
      </w:r>
      <w:r w:rsidR="005D2053" w:rsidRPr="005D2053">
        <w:t>un-primed</w:t>
      </w:r>
      <w:r w:rsidRPr="005D2053">
        <w:t xml:space="preserve"> subjects. The anamnestic response observed for the A/H1N1 and B/Victoria strains that were present in both the primary and subsequent year vaccines, as well as for the A/H3N2 and B/Yamagata strains that changed in the subsequent year vaccine, suggesting cross-priming for these unmatched strains.</w:t>
      </w:r>
      <w:r w:rsidRPr="005D2053">
        <w:rPr>
          <w:rFonts w:eastAsiaTheme="minorHAnsi" w:cs="TimesNewRoman,Bold"/>
          <w:bCs/>
        </w:rPr>
        <w:t xml:space="preserve"> </w:t>
      </w:r>
      <w:r w:rsidRPr="005D2053">
        <w:t xml:space="preserve">The </w:t>
      </w:r>
      <w:r w:rsidR="005D2053">
        <w:t>vaccine primed</w:t>
      </w:r>
      <w:r w:rsidRPr="005D2053">
        <w:t xml:space="preserve"> subjects had higher SCRs and SPRs for all 4 vaccine strains compared to</w:t>
      </w:r>
      <w:r w:rsidRPr="005D2053">
        <w:rPr>
          <w:rFonts w:eastAsiaTheme="minorHAnsi" w:cs="TimesNewRoman,Bold"/>
          <w:bCs/>
        </w:rPr>
        <w:t xml:space="preserve"> </w:t>
      </w:r>
      <w:r w:rsidRPr="005D2053">
        <w:t>the vaccine-</w:t>
      </w:r>
      <w:r w:rsidR="005D2053" w:rsidRPr="005D2053">
        <w:t>un-primed</w:t>
      </w:r>
      <w:r w:rsidRPr="005D2053">
        <w:t xml:space="preserve"> subjects.</w:t>
      </w:r>
    </w:p>
    <w:p w14:paraId="0FEB72A8" w14:textId="7B465EAA" w:rsidR="00F30851" w:rsidRPr="005D2053" w:rsidRDefault="00F30851" w:rsidP="005D2053">
      <w:pPr>
        <w:rPr>
          <w:u w:val="single"/>
        </w:rPr>
      </w:pPr>
      <w:r w:rsidRPr="005D2053">
        <w:t xml:space="preserve">There was also a heterologous response with respect to the 2 strains (A/H3N2 and B/Yamagata) that did not match between the </w:t>
      </w:r>
      <w:r w:rsidR="002A4D92">
        <w:t>Tetra Fluarix</w:t>
      </w:r>
      <w:r w:rsidRPr="005D2053">
        <w:t xml:space="preserve"> used for</w:t>
      </w:r>
      <w:r w:rsidRPr="005D2053">
        <w:rPr>
          <w:u w:val="single"/>
        </w:rPr>
        <w:t xml:space="preserve"> </w:t>
      </w:r>
      <w:r w:rsidRPr="005D2053">
        <w:t xml:space="preserve">priming and revaccination. GMTs were also higher in </w:t>
      </w:r>
      <w:r w:rsidR="005D2053">
        <w:t>vaccine primed</w:t>
      </w:r>
      <w:r w:rsidRPr="005D2053">
        <w:t xml:space="preserve"> subjects at 7 days post-vaccination compared to vaccine-</w:t>
      </w:r>
      <w:r w:rsidR="005D2053" w:rsidRPr="005D2053">
        <w:t>un-primed</w:t>
      </w:r>
      <w:r w:rsidRPr="005D2053">
        <w:t xml:space="preserve"> subjects, as were adjusted GMT ratios. The anamnestic response was observed in both age sub-strata (17-29 and 30-48 months). The HI antibody response elicited by a 2-dose priming schedule in the parent study persisted up to a year as evidenced by higher Day 0 (pre-revaccination) GMTs for the 2 priming strains common with the revaccination strains (A/H1N1 and B/Victoria) in the </w:t>
      </w:r>
      <w:r w:rsidR="005D2053">
        <w:t>vaccine primed</w:t>
      </w:r>
      <w:r w:rsidR="00CE366D" w:rsidRPr="005D2053">
        <w:t xml:space="preserve"> group </w:t>
      </w:r>
      <w:r w:rsidRPr="005D2053">
        <w:t>compared to the vaccine-</w:t>
      </w:r>
      <w:r w:rsidR="005D2053" w:rsidRPr="005D2053">
        <w:t>un-primed</w:t>
      </w:r>
      <w:r w:rsidR="007C384B" w:rsidRPr="005D2053">
        <w:t xml:space="preserve"> group.</w:t>
      </w:r>
      <w:r w:rsidRPr="005D2053">
        <w:t xml:space="preserve"> The revaccination dose of </w:t>
      </w:r>
      <w:r w:rsidR="002A4D92">
        <w:t>Tetra Fluarix</w:t>
      </w:r>
      <w:r w:rsidRPr="005D2053">
        <w:t xml:space="preserve"> in the </w:t>
      </w:r>
      <w:r w:rsidR="005D2053">
        <w:t>vaccine primed</w:t>
      </w:r>
      <w:r w:rsidR="007C384B" w:rsidRPr="005D2053">
        <w:t xml:space="preserve"> group</w:t>
      </w:r>
      <w:r w:rsidRPr="005D2053">
        <w:t xml:space="preserve"> and first </w:t>
      </w:r>
      <w:r w:rsidR="005D2053">
        <w:t>Fluarix Tetra dose</w:t>
      </w:r>
      <w:r w:rsidRPr="005D2053">
        <w:t xml:space="preserve"> in the vaccine-</w:t>
      </w:r>
      <w:r w:rsidR="005D2053" w:rsidRPr="005D2053">
        <w:t>un-primed</w:t>
      </w:r>
      <w:r w:rsidR="00CE366D" w:rsidRPr="005D2053">
        <w:t xml:space="preserve"> group </w:t>
      </w:r>
      <w:r w:rsidRPr="005D2053">
        <w:t>were well tolerated. No safety concerns were identified. See Section 7.0.</w:t>
      </w:r>
    </w:p>
    <w:p w14:paraId="569A4722" w14:textId="77777777" w:rsidR="005D2053" w:rsidRDefault="00F30851" w:rsidP="005D2053">
      <w:pPr>
        <w:pStyle w:val="Heading5"/>
      </w:pPr>
      <w:r w:rsidRPr="005D2053">
        <w:rPr>
          <w:rFonts w:eastAsia="TimesNewRoman"/>
        </w:rPr>
        <w:t>D-QIV-015</w:t>
      </w:r>
    </w:p>
    <w:p w14:paraId="77A7D4B7" w14:textId="77777777" w:rsidR="00F30851" w:rsidRPr="005D2053" w:rsidRDefault="00F30851" w:rsidP="005D2053">
      <w:r w:rsidRPr="005D2053">
        <w:t xml:space="preserve">The immune responses of children with risk factors for influenza complications and those not at risk were comparable with respect to all 4 strains contained in </w:t>
      </w:r>
      <w:r w:rsidR="005D2053">
        <w:t>Tetra Fluarix IP</w:t>
      </w:r>
      <w:r w:rsidRPr="005D2053">
        <w:t xml:space="preserve"> and </w:t>
      </w:r>
      <w:r w:rsidR="005D2053">
        <w:t>Tetra Fluarix LP</w:t>
      </w:r>
      <w:r w:rsidRPr="005D2053">
        <w:t>, except for the GMT values for the A/H1N1 strain, which were higher in the at risk children.</w:t>
      </w:r>
      <w:r w:rsidRPr="005D2053">
        <w:rPr>
          <w:u w:val="single"/>
        </w:rPr>
        <w:t xml:space="preserve"> </w:t>
      </w:r>
      <w:r w:rsidRPr="005D2053">
        <w:t xml:space="preserve">When compared to the overall immunogenicity analysis including the entire study population </w:t>
      </w:r>
      <w:r w:rsidR="005879FC" w:rsidRPr="005D2053">
        <w:t>6 to 35</w:t>
      </w:r>
      <w:r w:rsidRPr="005D2053">
        <w:t xml:space="preserve"> months of age, the immune response of children enrolled at the Bangladesh study </w:t>
      </w:r>
      <w:r w:rsidR="005879FC" w:rsidRPr="005D2053">
        <w:t>centre</w:t>
      </w:r>
      <w:r w:rsidRPr="005D2053">
        <w:t xml:space="preserve"> was similar, except for the GMT values for the A/H1N1 strain, were lower for Bangladesh. Overall, </w:t>
      </w:r>
      <w:r w:rsidR="00E278CC" w:rsidRPr="005D2053">
        <w:t>Fluarix Tetra</w:t>
      </w:r>
      <w:r w:rsidRPr="005D2053">
        <w:t xml:space="preserve"> was generally well tolerated and no safety concern was identified. See Section 7.0.</w:t>
      </w:r>
    </w:p>
    <w:p w14:paraId="7C9869DC" w14:textId="77777777" w:rsidR="00F30851" w:rsidRDefault="00F30851" w:rsidP="005D2053">
      <w:pPr>
        <w:pStyle w:val="Heading3"/>
      </w:pPr>
      <w:bookmarkStart w:id="75" w:name="_Toc501608189"/>
      <w:bookmarkStart w:id="76" w:name="_Toc532480097"/>
      <w:r w:rsidRPr="005632DC">
        <w:t>Analyses performed</w:t>
      </w:r>
      <w:r>
        <w:t xml:space="preserve"> across trials: pooled and meta </w:t>
      </w:r>
      <w:r w:rsidRPr="005632DC">
        <w:t>analyses</w:t>
      </w:r>
      <w:bookmarkEnd w:id="63"/>
      <w:bookmarkEnd w:id="64"/>
      <w:bookmarkEnd w:id="65"/>
      <w:bookmarkEnd w:id="66"/>
      <w:bookmarkEnd w:id="67"/>
      <w:bookmarkEnd w:id="68"/>
      <w:bookmarkEnd w:id="69"/>
      <w:bookmarkEnd w:id="75"/>
      <w:bookmarkEnd w:id="76"/>
    </w:p>
    <w:p w14:paraId="7E222703" w14:textId="77777777" w:rsidR="00F30851" w:rsidRPr="00EE2DE3" w:rsidRDefault="00F30851" w:rsidP="00F30851">
      <w:pPr>
        <w:autoSpaceDE w:val="0"/>
        <w:autoSpaceDN w:val="0"/>
        <w:adjustRightInd w:val="0"/>
        <w:spacing w:before="0" w:after="0" w:line="240" w:lineRule="auto"/>
      </w:pPr>
      <w:r w:rsidRPr="00C4289B">
        <w:rPr>
          <w:rFonts w:asciiTheme="minorHAnsi" w:eastAsia="TimesNewRoman" w:hAnsiTheme="minorHAnsi" w:cs="TimesNewRoman"/>
        </w:rPr>
        <w:t xml:space="preserve">The </w:t>
      </w:r>
      <w:r w:rsidRPr="00EE2DE3">
        <w:t xml:space="preserve">protective efficacy of </w:t>
      </w:r>
      <w:r w:rsidR="002A4D92" w:rsidRPr="002A4D92">
        <w:t xml:space="preserve">Fluarix Tetra </w:t>
      </w:r>
      <w:r w:rsidRPr="00EE2DE3">
        <w:t>was demonstrated from data pooled from 5 independent cohorts in the D-QIV-004 study, enrolled over 5 influenza seasons, inclusive of seasons with mismatch between vaccine strains and circulating strains. See Section 6.2.</w:t>
      </w:r>
    </w:p>
    <w:p w14:paraId="7F3F954C" w14:textId="77777777" w:rsidR="00F30851" w:rsidRPr="0037318D" w:rsidRDefault="00F30851" w:rsidP="005D2053">
      <w:pPr>
        <w:pStyle w:val="Heading3"/>
      </w:pPr>
      <w:bookmarkStart w:id="77" w:name="_Ref271126605"/>
      <w:bookmarkStart w:id="78" w:name="_Toc272414657"/>
      <w:bookmarkStart w:id="79" w:name="_Toc290888508"/>
      <w:bookmarkStart w:id="80" w:name="_Toc416353724"/>
      <w:bookmarkStart w:id="81" w:name="_Toc421005272"/>
      <w:bookmarkStart w:id="82" w:name="_Toc432079154"/>
      <w:bookmarkStart w:id="83" w:name="_Toc432080727"/>
      <w:bookmarkStart w:id="84" w:name="_Toc501608190"/>
      <w:bookmarkStart w:id="85" w:name="_Toc532480098"/>
      <w:r w:rsidRPr="0037318D">
        <w:t>Evaluator’s conclusions on clinical efficacy</w:t>
      </w:r>
      <w:bookmarkEnd w:id="77"/>
      <w:bookmarkEnd w:id="78"/>
      <w:bookmarkEnd w:id="79"/>
      <w:bookmarkEnd w:id="80"/>
      <w:bookmarkEnd w:id="81"/>
      <w:bookmarkEnd w:id="82"/>
      <w:bookmarkEnd w:id="83"/>
      <w:bookmarkEnd w:id="84"/>
      <w:bookmarkEnd w:id="85"/>
    </w:p>
    <w:p w14:paraId="454F8483" w14:textId="77777777" w:rsidR="00EE2DE3" w:rsidRDefault="00EE2DE3" w:rsidP="00EE2DE3">
      <w:pPr>
        <w:pStyle w:val="Heading4"/>
      </w:pPr>
      <w:r>
        <w:t>Clinical v</w:t>
      </w:r>
      <w:r w:rsidR="00F30851" w:rsidRPr="00EE2DE3">
        <w:t>accine efficacy</w:t>
      </w:r>
    </w:p>
    <w:p w14:paraId="169B71D4" w14:textId="77777777" w:rsidR="00EE2DE3" w:rsidRDefault="00EE2DE3" w:rsidP="00F30851">
      <w:pPr>
        <w:autoSpaceDE w:val="0"/>
        <w:autoSpaceDN w:val="0"/>
        <w:adjustRightInd w:val="0"/>
        <w:spacing w:before="0" w:after="0" w:line="240" w:lineRule="auto"/>
        <w:rPr>
          <w:rFonts w:asciiTheme="minorHAnsi" w:eastAsia="TimesNewRoman" w:hAnsiTheme="minorHAnsi" w:cs="TimesNewRoman"/>
          <w:color w:val="000000"/>
        </w:rPr>
      </w:pPr>
      <w:r>
        <w:rPr>
          <w:rFonts w:asciiTheme="minorHAnsi" w:eastAsia="TimesNewRoman" w:hAnsiTheme="minorHAnsi" w:cs="TimesNewRoman"/>
          <w:b/>
          <w:color w:val="000000"/>
        </w:rPr>
        <w:t xml:space="preserve">VE </w:t>
      </w:r>
      <w:r w:rsidR="00F30851" w:rsidRPr="00EE2DE3">
        <w:rPr>
          <w:rFonts w:asciiTheme="minorHAnsi" w:eastAsia="TimesNewRoman" w:hAnsiTheme="minorHAnsi" w:cs="TimesNewRoman"/>
          <w:color w:val="000000"/>
        </w:rPr>
        <w:t>was shown</w:t>
      </w:r>
      <w:r>
        <w:rPr>
          <w:rFonts w:asciiTheme="minorHAnsi" w:eastAsia="TimesNewRoman" w:hAnsiTheme="minorHAnsi" w:cs="TimesNewRoman"/>
          <w:color w:val="000000"/>
        </w:rPr>
        <w:t xml:space="preserve"> in each age stratum</w:t>
      </w:r>
      <w:r w:rsidR="00F30851" w:rsidRPr="0073134C">
        <w:rPr>
          <w:rFonts w:asciiTheme="minorHAnsi" w:eastAsia="TimesNewRoman" w:hAnsiTheme="minorHAnsi" w:cs="TimesNewRoman"/>
          <w:color w:val="000000"/>
        </w:rPr>
        <w:t>. In</w:t>
      </w:r>
      <w:r w:rsidR="00F30851">
        <w:rPr>
          <w:rFonts w:asciiTheme="minorHAnsi" w:eastAsiaTheme="minorHAnsi" w:hAnsiTheme="minorHAnsi" w:cs="Arial,BoldItalic"/>
          <w:b/>
          <w:bCs/>
          <w:i/>
          <w:iCs/>
          <w:color w:val="000000"/>
        </w:rPr>
        <w:t xml:space="preserve"> </w:t>
      </w:r>
      <w:r w:rsidR="00F30851" w:rsidRPr="0073134C">
        <w:rPr>
          <w:rFonts w:asciiTheme="minorHAnsi" w:eastAsia="TimesNewRoman" w:hAnsiTheme="minorHAnsi" w:cs="TimesNewRoman"/>
          <w:color w:val="000000"/>
        </w:rPr>
        <w:t>the 6-17 months a</w:t>
      </w:r>
      <w:r w:rsidR="00F30851">
        <w:rPr>
          <w:rFonts w:asciiTheme="minorHAnsi" w:eastAsia="TimesNewRoman" w:hAnsiTheme="minorHAnsi" w:cs="TimesNewRoman"/>
          <w:color w:val="000000"/>
        </w:rPr>
        <w:t>nd 18-35 months age strata, with VE of 48.8% (95% CI: 21.2</w:t>
      </w:r>
      <w:r w:rsidR="00F30851" w:rsidRPr="0073134C">
        <w:rPr>
          <w:rFonts w:asciiTheme="minorHAnsi" w:eastAsia="TimesNewRoman" w:hAnsiTheme="minorHAnsi" w:cs="TimesNewRoman"/>
          <w:color w:val="000000"/>
        </w:rPr>
        <w:t>-67.4) and 68.5% (95% CI: 58.2-76.5), respectively for the prevention of RT-PCR</w:t>
      </w:r>
      <w:r w:rsidR="00F30851">
        <w:rPr>
          <w:rFonts w:asciiTheme="minorHAnsi" w:eastAsiaTheme="minorHAnsi" w:hAnsiTheme="minorHAnsi" w:cs="Arial,BoldItalic"/>
          <w:b/>
          <w:bCs/>
          <w:i/>
          <w:iCs/>
          <w:color w:val="000000"/>
        </w:rPr>
        <w:t xml:space="preserve"> </w:t>
      </w:r>
      <w:r w:rsidR="00F30851">
        <w:rPr>
          <w:rFonts w:asciiTheme="minorHAnsi" w:eastAsia="TimesNewRoman" w:hAnsiTheme="minorHAnsi" w:cs="TimesNewRoman"/>
          <w:color w:val="000000"/>
        </w:rPr>
        <w:t>confirmed moderate-to-</w:t>
      </w:r>
      <w:r w:rsidR="00F30851" w:rsidRPr="0073134C">
        <w:rPr>
          <w:rFonts w:asciiTheme="minorHAnsi" w:eastAsia="TimesNewRoman" w:hAnsiTheme="minorHAnsi" w:cs="TimesNewRoman"/>
          <w:color w:val="000000"/>
        </w:rPr>
        <w:t>severe infl</w:t>
      </w:r>
      <w:r w:rsidR="00F30851">
        <w:rPr>
          <w:rFonts w:asciiTheme="minorHAnsi" w:eastAsia="TimesNewRoman" w:hAnsiTheme="minorHAnsi" w:cs="TimesNewRoman"/>
          <w:color w:val="000000"/>
        </w:rPr>
        <w:t>uenza and 43.3% (95% CI: 27.8-</w:t>
      </w:r>
      <w:r w:rsidR="00F30851" w:rsidRPr="0073134C">
        <w:rPr>
          <w:rFonts w:asciiTheme="minorHAnsi" w:eastAsia="TimesNewRoman" w:hAnsiTheme="minorHAnsi" w:cs="TimesNewRoman"/>
          <w:color w:val="000000"/>
        </w:rPr>
        <w:t>55.8) and 51.6%</w:t>
      </w:r>
      <w:r w:rsidR="00F30851">
        <w:rPr>
          <w:rFonts w:asciiTheme="minorHAnsi" w:eastAsiaTheme="minorHAnsi" w:hAnsiTheme="minorHAnsi" w:cs="Arial,BoldItalic"/>
          <w:b/>
          <w:bCs/>
          <w:i/>
          <w:iCs/>
          <w:color w:val="000000"/>
        </w:rPr>
        <w:t xml:space="preserve"> </w:t>
      </w:r>
      <w:r w:rsidR="00F30851">
        <w:rPr>
          <w:rFonts w:asciiTheme="minorHAnsi" w:eastAsia="TimesNewRoman" w:hAnsiTheme="minorHAnsi" w:cs="TimesNewRoman"/>
          <w:color w:val="000000"/>
        </w:rPr>
        <w:lastRenderedPageBreak/>
        <w:t>(95% CI: 43.7-</w:t>
      </w:r>
      <w:r w:rsidR="00F30851" w:rsidRPr="0073134C">
        <w:rPr>
          <w:rFonts w:asciiTheme="minorHAnsi" w:eastAsia="TimesNewRoman" w:hAnsiTheme="minorHAnsi" w:cs="TimesNewRoman"/>
          <w:color w:val="000000"/>
        </w:rPr>
        <w:t>58.4), respectively for the prevention of RT-PCR confirmed influenza of</w:t>
      </w:r>
      <w:r w:rsidR="00F30851">
        <w:rPr>
          <w:rFonts w:asciiTheme="minorHAnsi" w:eastAsiaTheme="minorHAnsi" w:hAnsiTheme="minorHAnsi" w:cs="Arial,BoldItalic"/>
          <w:b/>
          <w:bCs/>
          <w:i/>
          <w:iCs/>
          <w:color w:val="000000"/>
        </w:rPr>
        <w:t xml:space="preserve"> </w:t>
      </w:r>
      <w:r w:rsidR="00F30851" w:rsidRPr="0073134C">
        <w:rPr>
          <w:rFonts w:asciiTheme="minorHAnsi" w:eastAsia="TimesNewRoman" w:hAnsiTheme="minorHAnsi" w:cs="TimesNewRoman"/>
          <w:color w:val="000000"/>
        </w:rPr>
        <w:t>any severity. Although the 95% CI of VE by age</w:t>
      </w:r>
      <w:r w:rsidR="00CE366D">
        <w:rPr>
          <w:rFonts w:asciiTheme="minorHAnsi" w:eastAsia="TimesNewRoman" w:hAnsiTheme="minorHAnsi" w:cs="TimesNewRoman"/>
          <w:color w:val="000000"/>
        </w:rPr>
        <w:t xml:space="preserve"> group </w:t>
      </w:r>
      <w:r w:rsidR="00F30851" w:rsidRPr="0073134C">
        <w:rPr>
          <w:rFonts w:asciiTheme="minorHAnsi" w:eastAsia="TimesNewRoman" w:hAnsiTheme="minorHAnsi" w:cs="TimesNewRoman"/>
          <w:color w:val="000000"/>
        </w:rPr>
        <w:t>overlapped for the primary objectives and for</w:t>
      </w:r>
      <w:r w:rsidR="00F30851">
        <w:rPr>
          <w:rFonts w:asciiTheme="minorHAnsi" w:eastAsiaTheme="minorHAnsi" w:hAnsiTheme="minorHAnsi" w:cs="Arial,BoldItalic"/>
          <w:b/>
          <w:bCs/>
          <w:i/>
          <w:iCs/>
          <w:color w:val="000000"/>
        </w:rPr>
        <w:t xml:space="preserve"> </w:t>
      </w:r>
      <w:r w:rsidR="00F30851" w:rsidRPr="0073134C">
        <w:rPr>
          <w:rFonts w:asciiTheme="minorHAnsi" w:eastAsia="TimesNewRoman" w:hAnsiTheme="minorHAnsi" w:cs="TimesNewRoman"/>
          <w:color w:val="000000"/>
        </w:rPr>
        <w:t xml:space="preserve">the majority of the secondary objectives, the VE of </w:t>
      </w:r>
      <w:r w:rsidR="002A4D92" w:rsidRPr="002A4D92">
        <w:rPr>
          <w:rFonts w:asciiTheme="minorHAnsi" w:eastAsia="TimesNewRoman" w:hAnsiTheme="minorHAnsi" w:cs="TimesNewRoman"/>
          <w:color w:val="000000"/>
        </w:rPr>
        <w:t xml:space="preserve">Fluarix Tetra </w:t>
      </w:r>
      <w:r w:rsidR="00F30851" w:rsidRPr="0073134C">
        <w:rPr>
          <w:rFonts w:asciiTheme="minorHAnsi" w:eastAsia="TimesNewRoman" w:hAnsiTheme="minorHAnsi" w:cs="TimesNewRoman"/>
          <w:color w:val="000000"/>
        </w:rPr>
        <w:t>tended to be higher in the</w:t>
      </w:r>
      <w:r w:rsidR="00F30851">
        <w:rPr>
          <w:rFonts w:asciiTheme="minorHAnsi" w:eastAsiaTheme="minorHAnsi" w:hAnsiTheme="minorHAnsi" w:cs="Arial,BoldItalic"/>
          <w:b/>
          <w:bCs/>
          <w:i/>
          <w:iCs/>
          <w:color w:val="000000"/>
        </w:rPr>
        <w:t xml:space="preserve"> </w:t>
      </w:r>
      <w:r w:rsidR="00F30851" w:rsidRPr="0073134C">
        <w:rPr>
          <w:rFonts w:asciiTheme="minorHAnsi" w:eastAsia="TimesNewRoman" w:hAnsiTheme="minorHAnsi" w:cs="TimesNewRoman"/>
          <w:color w:val="000000"/>
        </w:rPr>
        <w:t>older age stratum (18-35 months of age) compared to the 6-17 months and the 6-11</w:t>
      </w:r>
      <w:r w:rsidR="00F30851">
        <w:rPr>
          <w:rFonts w:asciiTheme="minorHAnsi" w:eastAsiaTheme="minorHAnsi" w:hAnsiTheme="minorHAnsi" w:cs="Arial,BoldItalic"/>
          <w:b/>
          <w:bCs/>
          <w:i/>
          <w:iCs/>
          <w:color w:val="000000"/>
        </w:rPr>
        <w:t xml:space="preserve"> </w:t>
      </w:r>
      <w:r>
        <w:rPr>
          <w:rFonts w:asciiTheme="minorHAnsi" w:eastAsia="TimesNewRoman" w:hAnsiTheme="minorHAnsi" w:cs="TimesNewRoman"/>
          <w:color w:val="000000"/>
        </w:rPr>
        <w:t>months of age stratum.</w:t>
      </w:r>
    </w:p>
    <w:p w14:paraId="646A9C7E" w14:textId="77777777" w:rsidR="00EE2DE3" w:rsidRDefault="00F30851" w:rsidP="00EE2DE3">
      <w:pPr>
        <w:pStyle w:val="Heading5"/>
        <w:rPr>
          <w:rFonts w:eastAsiaTheme="minorHAnsi"/>
        </w:rPr>
      </w:pPr>
      <w:r w:rsidRPr="00EE2DE3">
        <w:rPr>
          <w:rFonts w:eastAsiaTheme="minorHAnsi"/>
        </w:rPr>
        <w:t>Waning of vaccine efficacy over time</w:t>
      </w:r>
    </w:p>
    <w:p w14:paraId="69027CBD" w14:textId="77777777" w:rsidR="00F30851" w:rsidRDefault="00F30851" w:rsidP="00F30851">
      <w:pPr>
        <w:autoSpaceDE w:val="0"/>
        <w:autoSpaceDN w:val="0"/>
        <w:adjustRightInd w:val="0"/>
        <w:spacing w:before="0" w:after="0" w:line="240" w:lineRule="auto"/>
        <w:rPr>
          <w:rFonts w:asciiTheme="minorHAnsi" w:eastAsiaTheme="minorHAnsi" w:hAnsiTheme="minorHAnsi" w:cs="Arial,BoldItalic"/>
          <w:b/>
          <w:bCs/>
          <w:i/>
          <w:iCs/>
          <w:color w:val="000000"/>
        </w:rPr>
      </w:pPr>
      <w:r w:rsidRPr="0073134C">
        <w:rPr>
          <w:rFonts w:asciiTheme="minorHAnsi" w:eastAsia="TimesNewRoman" w:hAnsiTheme="minorHAnsi" w:cs="TimesNewRoman"/>
          <w:color w:val="000000"/>
        </w:rPr>
        <w:t>VE over the season was evaluated using a piecewise Cox model. There was no notable decrease in VE over time.</w:t>
      </w:r>
    </w:p>
    <w:p w14:paraId="1F785F3D" w14:textId="77777777" w:rsidR="00EE2DE3" w:rsidRDefault="00F30851" w:rsidP="00EE2DE3">
      <w:pPr>
        <w:pStyle w:val="Heading5"/>
        <w:rPr>
          <w:rFonts w:eastAsiaTheme="minorHAnsi"/>
        </w:rPr>
      </w:pPr>
      <w:r w:rsidRPr="00EE2DE3">
        <w:rPr>
          <w:rFonts w:eastAsiaTheme="minorHAnsi"/>
        </w:rPr>
        <w:t>Immunogenicity</w:t>
      </w:r>
    </w:p>
    <w:p w14:paraId="67EA754F" w14:textId="77777777" w:rsidR="00EE2DE3" w:rsidRPr="00EE2DE3" w:rsidRDefault="00F30851" w:rsidP="00F30851">
      <w:pPr>
        <w:autoSpaceDE w:val="0"/>
        <w:autoSpaceDN w:val="0"/>
        <w:adjustRightInd w:val="0"/>
        <w:spacing w:before="0" w:after="0" w:line="240" w:lineRule="auto"/>
        <w:rPr>
          <w:rFonts w:eastAsiaTheme="minorHAnsi"/>
          <w:bCs/>
          <w:i/>
          <w:szCs w:val="21"/>
        </w:rPr>
      </w:pPr>
      <w:r w:rsidRPr="0073134C">
        <w:rPr>
          <w:rFonts w:asciiTheme="minorHAnsi" w:eastAsia="TimesNewRoman" w:hAnsiTheme="minorHAnsi" w:cs="TimesNewRoman"/>
          <w:color w:val="000000"/>
        </w:rPr>
        <w:t xml:space="preserve">The HI immune response induced with </w:t>
      </w:r>
      <w:r w:rsidR="002A4D92" w:rsidRPr="002A4D92">
        <w:rPr>
          <w:rFonts w:asciiTheme="minorHAnsi" w:eastAsia="TimesNewRoman" w:hAnsiTheme="minorHAnsi" w:cs="TimesNewRoman"/>
          <w:color w:val="000000"/>
        </w:rPr>
        <w:t xml:space="preserve">Fluarix Tetra </w:t>
      </w:r>
      <w:r w:rsidRPr="0073134C">
        <w:rPr>
          <w:rFonts w:asciiTheme="minorHAnsi" w:eastAsia="TimesNewRoman" w:hAnsiTheme="minorHAnsi" w:cs="TimesNewRoman"/>
          <w:color w:val="000000"/>
        </w:rPr>
        <w:t xml:space="preserve">was evaluated in the three studies (in a sub-cohort in </w:t>
      </w:r>
      <w:r w:rsidR="00943514">
        <w:rPr>
          <w:rFonts w:asciiTheme="minorHAnsi" w:eastAsia="TimesNewRoman" w:hAnsiTheme="minorHAnsi" w:cs="TimesNewRoman"/>
          <w:color w:val="000000"/>
        </w:rPr>
        <w:t>Study D-</w:t>
      </w:r>
      <w:r w:rsidR="00943514" w:rsidRPr="00EE2DE3">
        <w:rPr>
          <w:rFonts w:asciiTheme="minorHAnsi" w:eastAsia="TimesNewRoman" w:hAnsiTheme="minorHAnsi" w:cs="TimesNewRoman"/>
          <w:color w:val="000000"/>
        </w:rPr>
        <w:t>QIV-</w:t>
      </w:r>
      <w:r w:rsidRPr="00EE2DE3">
        <w:rPr>
          <w:rFonts w:asciiTheme="minorHAnsi" w:eastAsia="TimesNewRoman" w:hAnsiTheme="minorHAnsi" w:cs="TimesNewRoman"/>
          <w:color w:val="000000"/>
        </w:rPr>
        <w:t>004).</w:t>
      </w:r>
    </w:p>
    <w:p w14:paraId="28A342D9" w14:textId="77777777" w:rsidR="00EE2DE3" w:rsidRDefault="00F30851" w:rsidP="00EE2DE3">
      <w:pPr>
        <w:pStyle w:val="Heading6"/>
        <w:rPr>
          <w:rFonts w:eastAsiaTheme="minorHAnsi"/>
        </w:rPr>
      </w:pPr>
      <w:r w:rsidRPr="00EE2DE3">
        <w:rPr>
          <w:rFonts w:eastAsiaTheme="minorHAnsi"/>
        </w:rPr>
        <w:t>HI immune respo</w:t>
      </w:r>
      <w:r w:rsidR="00EE2DE3">
        <w:rPr>
          <w:rFonts w:eastAsiaTheme="minorHAnsi"/>
        </w:rPr>
        <w:t>nse 28 days after vaccination (S</w:t>
      </w:r>
      <w:r w:rsidRPr="00EE2DE3">
        <w:rPr>
          <w:rFonts w:eastAsiaTheme="minorHAnsi"/>
        </w:rPr>
        <w:t>tudies D-QIV-004/-015)</w:t>
      </w:r>
    </w:p>
    <w:p w14:paraId="1A484EEF" w14:textId="77777777" w:rsidR="00F30851" w:rsidRPr="005469FF" w:rsidRDefault="00F30851" w:rsidP="00F30851">
      <w:pPr>
        <w:autoSpaceDE w:val="0"/>
        <w:autoSpaceDN w:val="0"/>
        <w:adjustRightInd w:val="0"/>
        <w:spacing w:before="0" w:after="0" w:line="240" w:lineRule="auto"/>
        <w:rPr>
          <w:rFonts w:asciiTheme="minorHAnsi" w:eastAsia="TimesNewRoman" w:hAnsiTheme="minorHAnsi" w:cs="TimesNewRoman"/>
          <w:color w:val="000000"/>
        </w:rPr>
      </w:pPr>
      <w:r w:rsidRPr="0073134C">
        <w:rPr>
          <w:rFonts w:asciiTheme="minorHAnsi" w:eastAsia="TimesNewRoman" w:hAnsiTheme="minorHAnsi" w:cs="TimesNewRoman"/>
          <w:color w:val="000000"/>
        </w:rPr>
        <w:t xml:space="preserve">The immune response </w:t>
      </w:r>
      <w:r>
        <w:rPr>
          <w:rFonts w:asciiTheme="minorHAnsi" w:eastAsia="TimesNewRoman" w:hAnsiTheme="minorHAnsi" w:cs="TimesNewRoman"/>
          <w:color w:val="000000"/>
        </w:rPr>
        <w:t>(</w:t>
      </w:r>
      <w:r w:rsidRPr="0073134C">
        <w:rPr>
          <w:rFonts w:asciiTheme="minorHAnsi" w:eastAsia="TimesNewRoman" w:hAnsiTheme="minorHAnsi" w:cs="TimesNewRoman"/>
          <w:color w:val="000000"/>
        </w:rPr>
        <w:t>HI antibody</w:t>
      </w:r>
      <w:r>
        <w:rPr>
          <w:rFonts w:asciiTheme="minorHAnsi" w:eastAsia="TimesNewRoman" w:hAnsiTheme="minorHAnsi" w:cs="TimesNewRoman"/>
          <w:color w:val="000000"/>
        </w:rPr>
        <w:t xml:space="preserve"> titre)</w:t>
      </w:r>
      <w:r w:rsidRPr="0073134C">
        <w:rPr>
          <w:rFonts w:asciiTheme="minorHAnsi" w:eastAsia="TimesNewRoman" w:hAnsiTheme="minorHAnsi" w:cs="TimesNewRoman"/>
          <w:color w:val="000000"/>
        </w:rPr>
        <w:t xml:space="preserve"> 28 days after vaccination (seropositivity</w:t>
      </w:r>
      <w:r>
        <w:rPr>
          <w:rFonts w:asciiTheme="minorHAnsi" w:eastAsiaTheme="minorHAnsi" w:hAnsiTheme="minorHAnsi" w:cs="Arial,Bold"/>
          <w:b/>
          <w:bCs/>
          <w:color w:val="000000"/>
        </w:rPr>
        <w:t xml:space="preserve"> </w:t>
      </w:r>
      <w:r w:rsidRPr="0073134C">
        <w:rPr>
          <w:rFonts w:asciiTheme="minorHAnsi" w:eastAsia="TimesNewRoman" w:hAnsiTheme="minorHAnsi" w:cs="TimesNewRoman"/>
          <w:color w:val="000000"/>
        </w:rPr>
        <w:t xml:space="preserve">rates, SPR, GMT, SCR, MGI) </w:t>
      </w:r>
      <w:r>
        <w:rPr>
          <w:rFonts w:asciiTheme="minorHAnsi" w:eastAsia="TimesNewRoman" w:hAnsiTheme="minorHAnsi" w:cs="TimesNewRoman"/>
          <w:color w:val="000000"/>
        </w:rPr>
        <w:t>show</w:t>
      </w:r>
      <w:r w:rsidRPr="0073134C">
        <w:rPr>
          <w:rFonts w:asciiTheme="minorHAnsi" w:eastAsia="TimesNewRoman" w:hAnsiTheme="minorHAnsi" w:cs="TimesNewRoman"/>
          <w:color w:val="000000"/>
        </w:rPr>
        <w:t xml:space="preserve"> that </w:t>
      </w:r>
      <w:r w:rsidR="00EE2DE3">
        <w:rPr>
          <w:rFonts w:asciiTheme="minorHAnsi" w:eastAsia="TimesNewRoman" w:hAnsiTheme="minorHAnsi" w:cs="TimesNewRoman"/>
          <w:color w:val="000000"/>
        </w:rPr>
        <w:t>Fluarix Tetra</w:t>
      </w:r>
      <w:r w:rsidRPr="0073134C">
        <w:rPr>
          <w:rFonts w:asciiTheme="minorHAnsi" w:eastAsia="TimesNewRoman" w:hAnsiTheme="minorHAnsi" w:cs="TimesNewRoman"/>
          <w:color w:val="000000"/>
        </w:rPr>
        <w:t xml:space="preserve"> was immunogenic against the four vaccine strains</w:t>
      </w:r>
      <w:r>
        <w:rPr>
          <w:rFonts w:asciiTheme="minorHAnsi" w:eastAsia="TimesNewRoman" w:hAnsiTheme="minorHAnsi" w:cs="TimesNewRoman"/>
          <w:color w:val="000000"/>
        </w:rPr>
        <w:t xml:space="preserve"> </w:t>
      </w:r>
      <w:r w:rsidRPr="0073134C">
        <w:rPr>
          <w:rFonts w:asciiTheme="minorHAnsi" w:eastAsia="TimesNewRoman" w:hAnsiTheme="minorHAnsi" w:cs="TimesNewRoman"/>
          <w:color w:val="000000"/>
        </w:rPr>
        <w:t>in both studies when given as one dose or two doses depending on the influenza vaccine</w:t>
      </w:r>
      <w:r w:rsidR="00EE2DE3">
        <w:rPr>
          <w:rFonts w:asciiTheme="minorHAnsi" w:eastAsia="TimesNewRoman" w:hAnsiTheme="minorHAnsi" w:cs="TimesNewRoman"/>
          <w:color w:val="000000"/>
        </w:rPr>
        <w:t xml:space="preserve"> </w:t>
      </w:r>
      <w:r w:rsidRPr="0073134C">
        <w:rPr>
          <w:rFonts w:asciiTheme="minorHAnsi" w:eastAsia="TimesNewRoman" w:hAnsiTheme="minorHAnsi" w:cs="TimesNewRoman"/>
          <w:color w:val="000000"/>
        </w:rPr>
        <w:t>priming</w:t>
      </w:r>
      <w:r>
        <w:rPr>
          <w:rFonts w:asciiTheme="minorHAnsi" w:eastAsia="TimesNewRoman" w:hAnsiTheme="minorHAnsi" w:cs="TimesNewRoman"/>
          <w:color w:val="000000"/>
        </w:rPr>
        <w:t xml:space="preserve"> </w:t>
      </w:r>
      <w:r w:rsidRPr="0073134C">
        <w:rPr>
          <w:rFonts w:asciiTheme="minorHAnsi" w:eastAsia="TimesNewRoman" w:hAnsiTheme="minorHAnsi" w:cs="TimesNewRoman"/>
          <w:color w:val="000000"/>
        </w:rPr>
        <w:t xml:space="preserve">status. For </w:t>
      </w:r>
      <w:r w:rsidR="00943514">
        <w:rPr>
          <w:rFonts w:asciiTheme="minorHAnsi" w:eastAsia="TimesNewRoman" w:hAnsiTheme="minorHAnsi" w:cs="TimesNewRoman"/>
          <w:color w:val="000000"/>
        </w:rPr>
        <w:t>Study D-QIV-</w:t>
      </w:r>
      <w:r w:rsidRPr="00EE2DE3">
        <w:rPr>
          <w:rFonts w:asciiTheme="minorHAnsi" w:eastAsia="TimesNewRoman" w:hAnsiTheme="minorHAnsi" w:cs="TimesNewRoman"/>
          <w:color w:val="000000"/>
        </w:rPr>
        <w:t>004,</w:t>
      </w:r>
      <w:r w:rsidRPr="0073134C">
        <w:rPr>
          <w:rFonts w:asciiTheme="minorHAnsi" w:eastAsia="TimesNewRoman" w:hAnsiTheme="minorHAnsi" w:cs="TimesNewRoman"/>
          <w:color w:val="000000"/>
        </w:rPr>
        <w:t xml:space="preserve"> </w:t>
      </w:r>
      <w:r>
        <w:rPr>
          <w:rFonts w:asciiTheme="minorHAnsi" w:eastAsia="TimesNewRoman" w:hAnsiTheme="minorHAnsi" w:cs="TimesNewRoman"/>
          <w:color w:val="000000"/>
        </w:rPr>
        <w:t>o</w:t>
      </w:r>
      <w:r w:rsidRPr="0073134C">
        <w:rPr>
          <w:rFonts w:asciiTheme="minorHAnsi" w:eastAsia="TimesNewRoman" w:hAnsiTheme="minorHAnsi" w:cs="TimesNewRoman"/>
          <w:color w:val="000000"/>
        </w:rPr>
        <w:t>verall, there was a higher immune response in the 18-35 month age stratum (SPR from</w:t>
      </w:r>
      <w:r>
        <w:rPr>
          <w:rFonts w:asciiTheme="minorHAnsi" w:eastAsia="TimesNewRoman" w:hAnsiTheme="minorHAnsi" w:cs="TimesNewRoman"/>
          <w:color w:val="000000"/>
        </w:rPr>
        <w:t xml:space="preserve"> </w:t>
      </w:r>
      <w:r w:rsidRPr="0073134C">
        <w:rPr>
          <w:rFonts w:asciiTheme="minorHAnsi" w:eastAsia="TimesNewRoman" w:hAnsiTheme="minorHAnsi" w:cs="TimesNewRoman"/>
          <w:color w:val="000000"/>
        </w:rPr>
        <w:t>79.8% to 92.5%, TVC) compared to the 6-17 month age stratum (SPR from 54.9% to</w:t>
      </w:r>
      <w:r>
        <w:rPr>
          <w:rFonts w:asciiTheme="minorHAnsi" w:eastAsia="TimesNewRoman" w:hAnsiTheme="minorHAnsi" w:cs="TimesNewRoman"/>
          <w:color w:val="000000"/>
        </w:rPr>
        <w:t xml:space="preserve"> </w:t>
      </w:r>
      <w:r w:rsidRPr="0073134C">
        <w:rPr>
          <w:rFonts w:asciiTheme="minorHAnsi" w:eastAsia="TimesNewRoman" w:hAnsiTheme="minorHAnsi" w:cs="TimesNewRoman"/>
          <w:color w:val="000000"/>
        </w:rPr>
        <w:t>72.5%, TVC). Children in the 6-11 month age sub-stratum had lower immune responses</w:t>
      </w:r>
      <w:r>
        <w:rPr>
          <w:rFonts w:asciiTheme="minorHAnsi" w:eastAsia="TimesNewRoman" w:hAnsiTheme="minorHAnsi" w:cs="TimesNewRoman"/>
          <w:color w:val="000000"/>
        </w:rPr>
        <w:t xml:space="preserve"> </w:t>
      </w:r>
      <w:r w:rsidRPr="0073134C">
        <w:rPr>
          <w:rFonts w:asciiTheme="minorHAnsi" w:eastAsia="TimesNewRoman" w:hAnsiTheme="minorHAnsi" w:cs="TimesNewRoman"/>
          <w:color w:val="000000"/>
        </w:rPr>
        <w:t>(SPR from 38.2% to 55.3%, TVC) compared to the older children.</w:t>
      </w:r>
      <w:r>
        <w:rPr>
          <w:rFonts w:asciiTheme="minorHAnsi" w:eastAsia="TimesNewRoman" w:hAnsiTheme="minorHAnsi" w:cs="TimesNewRoman"/>
          <w:color w:val="000000"/>
        </w:rPr>
        <w:t xml:space="preserve"> Study </w:t>
      </w:r>
      <w:r w:rsidRPr="00EE2DE3">
        <w:rPr>
          <w:rFonts w:asciiTheme="minorHAnsi" w:eastAsia="TimesNewRoman" w:hAnsiTheme="minorHAnsi" w:cs="TimesNewRoman"/>
          <w:color w:val="000000"/>
        </w:rPr>
        <w:t>D-QIV-015</w:t>
      </w:r>
      <w:r>
        <w:rPr>
          <w:rFonts w:asciiTheme="minorHAnsi" w:eastAsia="TimesNewRoman" w:hAnsiTheme="minorHAnsi" w:cs="TimesNewRoman"/>
          <w:color w:val="000000"/>
        </w:rPr>
        <w:t xml:space="preserve"> demonstrated that immune </w:t>
      </w:r>
      <w:r w:rsidRPr="0073134C">
        <w:rPr>
          <w:rFonts w:asciiTheme="minorHAnsi" w:eastAsia="TimesNewRoman" w:hAnsiTheme="minorHAnsi" w:cs="TimesNewRoman"/>
          <w:color w:val="000000"/>
        </w:rPr>
        <w:t>responses were</w:t>
      </w:r>
      <w:r>
        <w:rPr>
          <w:rFonts w:asciiTheme="minorHAnsi" w:eastAsia="TimesNewRoman" w:hAnsiTheme="minorHAnsi" w:cs="TimesNewRoman"/>
          <w:color w:val="000000"/>
        </w:rPr>
        <w:t xml:space="preserve"> </w:t>
      </w:r>
      <w:r w:rsidRPr="0073134C">
        <w:rPr>
          <w:rFonts w:asciiTheme="minorHAnsi" w:eastAsia="TimesNewRoman" w:hAnsiTheme="minorHAnsi" w:cs="TimesNewRoman"/>
          <w:color w:val="000000"/>
        </w:rPr>
        <w:t xml:space="preserve">comparable in </w:t>
      </w:r>
      <w:r>
        <w:rPr>
          <w:rFonts w:asciiTheme="minorHAnsi" w:eastAsia="TimesNewRoman" w:hAnsiTheme="minorHAnsi" w:cs="TimesNewRoman"/>
          <w:color w:val="000000"/>
        </w:rPr>
        <w:t>children with/without risks of influenza complications</w:t>
      </w:r>
      <w:r w:rsidRPr="0073134C">
        <w:rPr>
          <w:rFonts w:asciiTheme="minorHAnsi" w:eastAsia="TimesNewRoman" w:hAnsiTheme="minorHAnsi" w:cs="TimesNewRoman"/>
          <w:color w:val="000000"/>
        </w:rPr>
        <w:t>.</w:t>
      </w:r>
    </w:p>
    <w:p w14:paraId="6308E0F7" w14:textId="77777777" w:rsidR="00EE2DE3" w:rsidRDefault="00F30851" w:rsidP="00EE2DE3">
      <w:pPr>
        <w:pStyle w:val="Heading4"/>
      </w:pPr>
      <w:r w:rsidRPr="0073134C">
        <w:t xml:space="preserve">Persistence </w:t>
      </w:r>
      <w:r>
        <w:t xml:space="preserve">(at one year) </w:t>
      </w:r>
      <w:r w:rsidRPr="0073134C">
        <w:t>and immunogenicity of a revaccination dose</w:t>
      </w:r>
    </w:p>
    <w:p w14:paraId="548C67EB" w14:textId="77777777" w:rsidR="00BC74DF" w:rsidRDefault="00F30851" w:rsidP="00EE2DE3">
      <w:r w:rsidRPr="00EE2DE3">
        <w:t>For the two strains similar for priming and revaccination (A/H1N1 and B/Victoria),</w:t>
      </w:r>
      <w:r w:rsidR="00230284">
        <w:t xml:space="preserve"> </w:t>
      </w:r>
      <w:r w:rsidRPr="00EE2DE3">
        <w:t xml:space="preserve">the Day 0 HI titres in </w:t>
      </w:r>
      <w:r w:rsidR="00943514" w:rsidRPr="00EE2DE3">
        <w:t>Study D-QIV-</w:t>
      </w:r>
      <w:r w:rsidRPr="00EE2DE3">
        <w:t xml:space="preserve">009 were higher in subjects primed with </w:t>
      </w:r>
      <w:r w:rsidR="00EE2DE3">
        <w:t>Fluarix Tetra</w:t>
      </w:r>
      <w:r w:rsidRPr="00EE2DE3">
        <w:t xml:space="preserve"> compared to </w:t>
      </w:r>
      <w:r w:rsidR="005D2053" w:rsidRPr="00EE2DE3">
        <w:t>un-primed</w:t>
      </w:r>
      <w:r w:rsidRPr="00EE2DE3">
        <w:t xml:space="preserve"> subjects showing that the immune response persists one year after priming. The anamnestic (recall) response was observed against the four vaccine strains despite the fact that </w:t>
      </w:r>
      <w:r w:rsidR="00EE2DE3">
        <w:t>Fluarix Tetra</w:t>
      </w:r>
      <w:r w:rsidR="00EE2DE3" w:rsidRPr="00EE2DE3">
        <w:t xml:space="preserve"> </w:t>
      </w:r>
      <w:r w:rsidRPr="00EE2DE3">
        <w:t>composition was updated by strain changes from the priming to the revaccination year for H3N2 and B/Yamagata vaccine components, suggesting cross</w:t>
      </w:r>
      <w:r w:rsidR="00EE2DE3" w:rsidRPr="00EE2DE3">
        <w:t>-</w:t>
      </w:r>
      <w:r w:rsidRPr="00EE2DE3">
        <w:t>priming between unmatched strains.</w:t>
      </w:r>
      <w:r w:rsidRPr="00EE2DE3">
        <w:rPr>
          <w:rFonts w:eastAsiaTheme="minorHAnsi" w:cs="Arial,Bold"/>
          <w:bCs/>
        </w:rPr>
        <w:t xml:space="preserve"> </w:t>
      </w:r>
      <w:r w:rsidRPr="00EE2DE3">
        <w:t xml:space="preserve">The immunogenic non-inferiority of </w:t>
      </w:r>
      <w:r w:rsidR="005D2053" w:rsidRPr="00EE2DE3">
        <w:t>Tetra Fluarix IP</w:t>
      </w:r>
      <w:r w:rsidRPr="00EE2DE3">
        <w:t xml:space="preserve"> to </w:t>
      </w:r>
      <w:r w:rsidR="005D2053" w:rsidRPr="00EE2DE3">
        <w:t>Tetra Fluarix LP</w:t>
      </w:r>
      <w:r w:rsidRPr="00EE2DE3">
        <w:rPr>
          <w:rFonts w:eastAsiaTheme="minorHAnsi" w:cs="Arial,Bold"/>
          <w:bCs/>
        </w:rPr>
        <w:t xml:space="preserve"> in </w:t>
      </w:r>
      <w:r w:rsidR="00EE2DE3" w:rsidRPr="00EE2DE3">
        <w:rPr>
          <w:rFonts w:eastAsiaTheme="minorHAnsi" w:cs="Arial,Bold"/>
          <w:bCs/>
        </w:rPr>
        <w:t>S</w:t>
      </w:r>
      <w:r w:rsidRPr="00EE2DE3">
        <w:rPr>
          <w:rFonts w:eastAsiaTheme="minorHAnsi" w:cs="Arial,Bold"/>
          <w:bCs/>
        </w:rPr>
        <w:t>tudy DQIV-015</w:t>
      </w:r>
      <w:r w:rsidRPr="00EE2DE3">
        <w:t xml:space="preserve">, 28 days after last vaccination support the efficacy of </w:t>
      </w:r>
      <w:r w:rsidR="002A4D92" w:rsidRPr="002A4D92">
        <w:t xml:space="preserve">Fluarix Tetra </w:t>
      </w:r>
      <w:r w:rsidRPr="00EE2DE3">
        <w:t>manufactured with the new harmonised process.</w:t>
      </w:r>
      <w:r w:rsidRPr="00EE2DE3">
        <w:rPr>
          <w:rFonts w:eastAsiaTheme="minorHAnsi" w:cs="Arial,Bold"/>
          <w:bCs/>
        </w:rPr>
        <w:t xml:space="preserve"> </w:t>
      </w:r>
      <w:r w:rsidRPr="00EE2DE3">
        <w:t xml:space="preserve">Importantly, in D-QIV-004, vaccination with </w:t>
      </w:r>
      <w:r w:rsidR="006E431E">
        <w:t>Fluarix Tetra</w:t>
      </w:r>
      <w:r w:rsidRPr="00EE2DE3">
        <w:t xml:space="preserve"> led to a reduction in healthcare utilisation (</w:t>
      </w:r>
      <w:r w:rsidR="007E3752" w:rsidRPr="00EE2DE3">
        <w:t>for example,</w:t>
      </w:r>
      <w:r w:rsidRPr="00EE2DE3">
        <w:t xml:space="preserve"> visits to GP or paediatrician and emergency room visits), reduced time of nursery/school and lost workdays for parents/LAR(s). In addition, although antibiotic use was low, this was nearly halved in those receiving </w:t>
      </w:r>
      <w:r w:rsidR="006E431E" w:rsidRPr="006E431E">
        <w:t>Fluarix Tetra</w:t>
      </w:r>
      <w:r w:rsidRPr="00EE2DE3">
        <w:t>.</w:t>
      </w:r>
    </w:p>
    <w:p w14:paraId="57E09C99" w14:textId="2D52978B" w:rsidR="00F30851" w:rsidRPr="00C34968" w:rsidRDefault="00F30851" w:rsidP="006E431E">
      <w:pPr>
        <w:pStyle w:val="Heading2"/>
      </w:pPr>
      <w:bookmarkStart w:id="86" w:name="_Toc501608191"/>
      <w:bookmarkStart w:id="87" w:name="_Toc532480099"/>
      <w:r w:rsidRPr="0037318D">
        <w:t>Clinical safety</w:t>
      </w:r>
      <w:bookmarkEnd w:id="86"/>
      <w:bookmarkEnd w:id="87"/>
    </w:p>
    <w:p w14:paraId="5EE48926" w14:textId="77777777" w:rsidR="00F30851" w:rsidRPr="00C4289B" w:rsidRDefault="00F30851" w:rsidP="006E431E">
      <w:pPr>
        <w:pStyle w:val="Heading3"/>
      </w:pPr>
      <w:bookmarkStart w:id="88" w:name="_Toc532480100"/>
      <w:r w:rsidRPr="00C4289B">
        <w:t>Methodology for safety assessment</w:t>
      </w:r>
      <w:bookmarkEnd w:id="88"/>
    </w:p>
    <w:p w14:paraId="006E6268" w14:textId="77777777" w:rsidR="00F30851" w:rsidRDefault="00F30851" w:rsidP="006E431E">
      <w:pPr>
        <w:pStyle w:val="ListBullet"/>
      </w:pPr>
      <w:r w:rsidRPr="005F501A">
        <w:t xml:space="preserve">Solicited local </w:t>
      </w:r>
      <w:r w:rsidRPr="006E431E">
        <w:t xml:space="preserve">symptoms (pain, redness and swelling at injection site) and solicited general symptoms (drowsiness, fever, irritability/fussiness and loss of appetite) within 7 days (Day 0-Day 6) after each vaccination in </w:t>
      </w:r>
      <w:r w:rsidR="006E431E" w:rsidRPr="006E431E">
        <w:t>S</w:t>
      </w:r>
      <w:r w:rsidRPr="006E431E">
        <w:t xml:space="preserve">tudies D-QIV-004 and DQIV- 015, and after the first vaccination in </w:t>
      </w:r>
      <w:r w:rsidR="00943514" w:rsidRPr="006E431E">
        <w:t>Study D-QIV-</w:t>
      </w:r>
      <w:r w:rsidRPr="006E431E">
        <w:t xml:space="preserve">009. In </w:t>
      </w:r>
      <w:r w:rsidR="00943514" w:rsidRPr="006E431E">
        <w:t>Study D-QIV-</w:t>
      </w:r>
      <w:r w:rsidRPr="006E431E">
        <w:t>015, following request from a regulatory agency (CBER), oculorespiratory syndrome (ORS)</w:t>
      </w:r>
      <w:r w:rsidRPr="005F501A">
        <w:t xml:space="preserve"> was added as an additional secondary safety objective and was solicited within 3 days after vaccination (Day 0 - Day 2).</w:t>
      </w:r>
    </w:p>
    <w:p w14:paraId="25C1DCF7" w14:textId="77777777" w:rsidR="00F30851" w:rsidRDefault="00F30851" w:rsidP="006E431E">
      <w:pPr>
        <w:pStyle w:val="ListBullet"/>
      </w:pPr>
      <w:r w:rsidRPr="005F501A">
        <w:lastRenderedPageBreak/>
        <w:t xml:space="preserve">Unsolicited AEs within 28 days (Day 0 - </w:t>
      </w:r>
      <w:r w:rsidRPr="006E431E">
        <w:t xml:space="preserve">Day 27) after each vaccination in </w:t>
      </w:r>
      <w:r w:rsidR="006E431E" w:rsidRPr="006E431E">
        <w:t>S</w:t>
      </w:r>
      <w:r w:rsidRPr="006E431E">
        <w:t xml:space="preserve">tudies DQIV-004 and D-QIV-015, and after the first vaccination in </w:t>
      </w:r>
      <w:r w:rsidR="00943514" w:rsidRPr="006E431E">
        <w:t>Study D-QIV-</w:t>
      </w:r>
      <w:r w:rsidRPr="006E431E">
        <w:t>009</w:t>
      </w:r>
      <w:r w:rsidRPr="005F501A">
        <w:t>.</w:t>
      </w:r>
    </w:p>
    <w:p w14:paraId="1946B784" w14:textId="77777777" w:rsidR="00F30851" w:rsidRDefault="00F30851" w:rsidP="006E431E">
      <w:pPr>
        <w:pStyle w:val="ListBullet"/>
      </w:pPr>
      <w:r>
        <w:t xml:space="preserve">MAV </w:t>
      </w:r>
      <w:r w:rsidRPr="005F501A">
        <w:t xml:space="preserve">and </w:t>
      </w:r>
      <w:r>
        <w:t xml:space="preserve">SAEs </w:t>
      </w:r>
      <w:r w:rsidRPr="005F501A">
        <w:t>during the entire</w:t>
      </w:r>
      <w:r>
        <w:t xml:space="preserve"> </w:t>
      </w:r>
      <w:r w:rsidRPr="005F501A">
        <w:t>study period.</w:t>
      </w:r>
    </w:p>
    <w:p w14:paraId="48FB0261" w14:textId="77777777" w:rsidR="00F30851" w:rsidRDefault="00F30851" w:rsidP="006E431E">
      <w:pPr>
        <w:pStyle w:val="ListBullet"/>
      </w:pPr>
      <w:r w:rsidRPr="005F501A">
        <w:t xml:space="preserve">pIMDs in </w:t>
      </w:r>
      <w:r w:rsidR="006E431E" w:rsidRPr="006E431E">
        <w:t>S</w:t>
      </w:r>
      <w:r w:rsidRPr="006E431E">
        <w:t>tudies D-QIV-004 and D-QIV-009,</w:t>
      </w:r>
      <w:r>
        <w:t xml:space="preserve"> </w:t>
      </w:r>
      <w:r w:rsidRPr="005F501A">
        <w:t>during the entire study period.</w:t>
      </w:r>
    </w:p>
    <w:p w14:paraId="60972701" w14:textId="77777777" w:rsidR="00F30851" w:rsidRPr="005C54F1" w:rsidRDefault="00F30851" w:rsidP="006E431E">
      <w:pPr>
        <w:pStyle w:val="ListBullet"/>
      </w:pPr>
      <w:r w:rsidRPr="005F501A">
        <w:t>Adverse event of specific interest (anaphylaxis, febrile seizure, Bell’s palsy,</w:t>
      </w:r>
      <w:r>
        <w:t xml:space="preserve"> </w:t>
      </w:r>
      <w:r w:rsidRPr="005F501A">
        <w:t>narcolepsy, injection site h</w:t>
      </w:r>
      <w:r>
        <w:t>a</w:t>
      </w:r>
      <w:r w:rsidRPr="005F501A">
        <w:t>emorrhage in individuals with thrombocytopenia or any</w:t>
      </w:r>
      <w:r>
        <w:t xml:space="preserve"> </w:t>
      </w:r>
      <w:r w:rsidRPr="005F501A">
        <w:t xml:space="preserve">other coagulation disorder, Guillain-Barré Syndrome) in </w:t>
      </w:r>
      <w:r w:rsidR="00943514">
        <w:t>Study D-QIV-</w:t>
      </w:r>
      <w:r w:rsidRPr="006E431E">
        <w:t>015 during</w:t>
      </w:r>
      <w:r>
        <w:t xml:space="preserve"> </w:t>
      </w:r>
      <w:r w:rsidRPr="005F501A">
        <w:t>the entire study period (to be reported as SAE).</w:t>
      </w:r>
    </w:p>
    <w:p w14:paraId="21C038C4" w14:textId="77777777" w:rsidR="00F30851" w:rsidRPr="005F501A" w:rsidRDefault="00F30851" w:rsidP="006E431E">
      <w:r w:rsidRPr="00C4289B">
        <w:t>Intensity and relationship of the AEs to vaccination as assessed by the investigator were</w:t>
      </w:r>
      <w:r w:rsidR="006E431E">
        <w:t xml:space="preserve"> </w:t>
      </w:r>
      <w:r w:rsidRPr="00C4289B">
        <w:t>also to be reported.</w:t>
      </w:r>
      <w:r>
        <w:t xml:space="preserve"> </w:t>
      </w:r>
      <w:r w:rsidRPr="00C4289B">
        <w:t xml:space="preserve">The study duration for each study participant was approximately 6-8 months in </w:t>
      </w:r>
      <w:r w:rsidR="006E431E">
        <w:t>S</w:t>
      </w:r>
      <w:r w:rsidRPr="00C4289B">
        <w:t xml:space="preserve">tudy </w:t>
      </w:r>
      <w:r w:rsidRPr="006E431E">
        <w:t>DQIV-004</w:t>
      </w:r>
      <w:r w:rsidRPr="00C4289B">
        <w:t xml:space="preserve">, approximately 6 months in </w:t>
      </w:r>
      <w:r w:rsidR="00943514">
        <w:t>Study D-QIV</w:t>
      </w:r>
      <w:r w:rsidR="00943514" w:rsidRPr="006E431E">
        <w:t>-</w:t>
      </w:r>
      <w:r w:rsidRPr="006E431E">
        <w:t>009 a</w:t>
      </w:r>
      <w:r w:rsidRPr="00C4289B">
        <w:t>nd 28 days (primed subjects) or</w:t>
      </w:r>
      <w:r>
        <w:t xml:space="preserve"> </w:t>
      </w:r>
      <w:r w:rsidRPr="00C4289B">
        <w:t>56 days (</w:t>
      </w:r>
      <w:r w:rsidR="005D2053">
        <w:t>un-primed</w:t>
      </w:r>
      <w:r w:rsidRPr="00C4289B">
        <w:t xml:space="preserve"> subjects) in </w:t>
      </w:r>
      <w:r w:rsidR="00943514">
        <w:t>Study D-QIV</w:t>
      </w:r>
      <w:r w:rsidR="00943514" w:rsidRPr="006E431E">
        <w:t>-</w:t>
      </w:r>
      <w:r w:rsidRPr="006E431E">
        <w:t>015</w:t>
      </w:r>
      <w:r w:rsidRPr="00C4289B">
        <w:t xml:space="preserve"> for the </w:t>
      </w:r>
      <w:r w:rsidR="005879FC">
        <w:t>6 to 35</w:t>
      </w:r>
      <w:r w:rsidRPr="00C4289B">
        <w:t xml:space="preserve"> months cohort.</w:t>
      </w:r>
    </w:p>
    <w:p w14:paraId="664E8427" w14:textId="77777777" w:rsidR="00F30851" w:rsidRPr="00C4289B" w:rsidRDefault="006E431E" w:rsidP="006E431E">
      <w:pPr>
        <w:rPr>
          <w:lang w:eastAsia="ja-JP"/>
        </w:rPr>
      </w:pPr>
      <w:r w:rsidRPr="006E431E">
        <w:rPr>
          <w:i/>
          <w:lang w:eastAsia="ja-JP"/>
        </w:rPr>
        <w:t>Causality of</w:t>
      </w:r>
      <w:r w:rsidR="00F30851" w:rsidRPr="006E431E">
        <w:rPr>
          <w:i/>
          <w:lang w:eastAsia="ja-JP"/>
        </w:rPr>
        <w:t xml:space="preserve"> AEs</w:t>
      </w:r>
      <w:r w:rsidR="00F30851" w:rsidRPr="00C4289B">
        <w:rPr>
          <w:lang w:eastAsia="ja-JP"/>
        </w:rPr>
        <w:t xml:space="preserve">: Assessed by </w:t>
      </w:r>
      <w:r w:rsidR="00F30851" w:rsidRPr="006E431E">
        <w:rPr>
          <w:i/>
          <w:lang w:eastAsia="ja-JP"/>
        </w:rPr>
        <w:t>Investigator</w:t>
      </w:r>
      <w:r w:rsidR="00F30851" w:rsidRPr="00C4289B">
        <w:rPr>
          <w:lang w:eastAsia="ja-JP"/>
        </w:rPr>
        <w:t>. All solicited local (injection site) reactions were considered causally related to vaccination. The causal relationship, if any, between a specific solicited general AE and the administration of the study vaccine was evaluated by the Investigator using the following question:</w:t>
      </w:r>
    </w:p>
    <w:p w14:paraId="6D30BAE9" w14:textId="77777777" w:rsidR="00F30851" w:rsidRPr="00C4289B" w:rsidRDefault="005E57AC" w:rsidP="00F30851">
      <w:pPr>
        <w:spacing w:before="0" w:after="0"/>
        <w:rPr>
          <w:rFonts w:asciiTheme="minorHAnsi" w:hAnsiTheme="minorHAnsi"/>
          <w:lang w:eastAsia="ja-JP"/>
        </w:rPr>
      </w:pPr>
      <w:r>
        <w:rPr>
          <w:rFonts w:asciiTheme="minorHAnsi" w:hAnsiTheme="minorHAnsi"/>
          <w:lang w:eastAsia="ja-JP"/>
        </w:rPr>
        <w:t>‘</w:t>
      </w:r>
      <w:r w:rsidR="00F30851" w:rsidRPr="006E431E">
        <w:rPr>
          <w:rFonts w:asciiTheme="minorHAnsi" w:hAnsiTheme="minorHAnsi"/>
          <w:i/>
          <w:lang w:eastAsia="ja-JP"/>
        </w:rPr>
        <w:t>Was there a reasonable possibility that the AE was caused by the investigational product?</w:t>
      </w:r>
      <w:r w:rsidRPr="006E431E">
        <w:rPr>
          <w:rFonts w:asciiTheme="minorHAnsi" w:hAnsiTheme="minorHAnsi"/>
          <w:i/>
          <w:lang w:eastAsia="ja-JP"/>
        </w:rPr>
        <w:t>’</w:t>
      </w:r>
    </w:p>
    <w:p w14:paraId="017F6852" w14:textId="77777777" w:rsidR="00F30851" w:rsidRPr="00C4289B" w:rsidRDefault="00F30851" w:rsidP="006E431E">
      <w:pPr>
        <w:rPr>
          <w:lang w:eastAsia="ja-JP"/>
        </w:rPr>
      </w:pPr>
      <w:r w:rsidRPr="006E431E">
        <w:rPr>
          <w:i/>
          <w:lang w:eastAsia="ja-JP"/>
        </w:rPr>
        <w:t>NO:</w:t>
      </w:r>
      <w:r w:rsidRPr="00C4289B">
        <w:rPr>
          <w:lang w:eastAsia="ja-JP"/>
        </w:rPr>
        <w:t xml:space="preserve"> The AE was not causally related to administration of the study vaccine. There were other, more likely causes and administration of the study vaccine is not suspected to have contributed to the AE.</w:t>
      </w:r>
    </w:p>
    <w:p w14:paraId="0FD1C604" w14:textId="77777777" w:rsidR="00F30851" w:rsidRPr="00C4289B" w:rsidRDefault="00F30851" w:rsidP="006E431E">
      <w:pPr>
        <w:rPr>
          <w:lang w:eastAsia="ja-JP"/>
        </w:rPr>
      </w:pPr>
      <w:r w:rsidRPr="006E431E">
        <w:rPr>
          <w:i/>
          <w:lang w:eastAsia="ja-JP"/>
        </w:rPr>
        <w:t>YES:</w:t>
      </w:r>
      <w:r w:rsidRPr="00C4289B">
        <w:rPr>
          <w:lang w:eastAsia="ja-JP"/>
        </w:rPr>
        <w:t xml:space="preserve"> There was a reasonable possibility that the vaccine contributed to the AE. Non-serious AEs and SAEs were evaluated as 2 distinct events. If an event met the criteria to be determined </w:t>
      </w:r>
      <w:r w:rsidR="005E57AC">
        <w:rPr>
          <w:lang w:eastAsia="ja-JP"/>
        </w:rPr>
        <w:t>‘</w:t>
      </w:r>
      <w:r w:rsidRPr="00C4289B">
        <w:rPr>
          <w:lang w:eastAsia="ja-JP"/>
        </w:rPr>
        <w:t>serious</w:t>
      </w:r>
      <w:r w:rsidR="005E57AC">
        <w:rPr>
          <w:lang w:eastAsia="ja-JP"/>
        </w:rPr>
        <w:t>’</w:t>
      </w:r>
      <w:r w:rsidRPr="00C4289B">
        <w:rPr>
          <w:lang w:eastAsia="ja-JP"/>
        </w:rPr>
        <w:t>, it was examined by the Investigator to determine ALL possible contributing factors</w:t>
      </w:r>
      <w:r w:rsidR="006E431E">
        <w:rPr>
          <w:lang w:eastAsia="ja-JP"/>
        </w:rPr>
        <w:t xml:space="preserve"> </w:t>
      </w:r>
      <w:r w:rsidRPr="00C4289B">
        <w:rPr>
          <w:lang w:eastAsia="ja-JP"/>
        </w:rPr>
        <w:t>applicable to each SAE.</w:t>
      </w:r>
    </w:p>
    <w:p w14:paraId="000E642A" w14:textId="77777777" w:rsidR="00BC74DF" w:rsidRDefault="006E431E" w:rsidP="00F30851">
      <w:pPr>
        <w:spacing w:before="0" w:after="0"/>
        <w:rPr>
          <w:rFonts w:asciiTheme="minorHAnsi" w:hAnsiTheme="minorHAnsi"/>
          <w:lang w:eastAsia="ja-JP"/>
        </w:rPr>
      </w:pPr>
      <w:r w:rsidRPr="006E431E">
        <w:rPr>
          <w:rFonts w:asciiTheme="minorHAnsi" w:hAnsiTheme="minorHAnsi"/>
          <w:i/>
          <w:lang w:eastAsia="ja-JP"/>
        </w:rPr>
        <w:t xml:space="preserve">Severity/Intensity </w:t>
      </w:r>
      <w:r w:rsidR="00F30851" w:rsidRPr="006E431E">
        <w:rPr>
          <w:rFonts w:asciiTheme="minorHAnsi" w:hAnsiTheme="minorHAnsi"/>
          <w:i/>
          <w:lang w:eastAsia="ja-JP"/>
        </w:rPr>
        <w:t>of AEs</w:t>
      </w:r>
      <w:r w:rsidR="00F30851" w:rsidRPr="00C4289B">
        <w:rPr>
          <w:rFonts w:asciiTheme="minorHAnsi" w:hAnsiTheme="minorHAnsi"/>
          <w:lang w:eastAsia="ja-JP"/>
        </w:rPr>
        <w:t xml:space="preserve">: Assessed by </w:t>
      </w:r>
      <w:r w:rsidR="00F30851" w:rsidRPr="006E431E">
        <w:rPr>
          <w:rFonts w:asciiTheme="minorHAnsi" w:hAnsiTheme="minorHAnsi"/>
          <w:i/>
          <w:lang w:eastAsia="ja-JP"/>
        </w:rPr>
        <w:t>Investigator</w:t>
      </w:r>
    </w:p>
    <w:p w14:paraId="70A7D1AC" w14:textId="297B7398" w:rsidR="00F30851" w:rsidRPr="005C526A" w:rsidRDefault="00F30851" w:rsidP="005C526A">
      <w:pPr>
        <w:ind w:left="284"/>
        <w:rPr>
          <w:i/>
          <w:lang w:eastAsia="ja-JP"/>
        </w:rPr>
      </w:pPr>
      <w:r w:rsidRPr="005C526A">
        <w:rPr>
          <w:i/>
          <w:lang w:eastAsia="ja-JP"/>
        </w:rPr>
        <w:t>Assessment of Intensity of A</w:t>
      </w:r>
      <w:r w:rsidR="006E431E" w:rsidRPr="005C526A">
        <w:rPr>
          <w:i/>
          <w:lang w:eastAsia="ja-JP"/>
        </w:rPr>
        <w:t>E</w:t>
      </w:r>
    </w:p>
    <w:p w14:paraId="71239437" w14:textId="77777777" w:rsidR="00F30851" w:rsidRPr="00AE314C" w:rsidRDefault="006E431E" w:rsidP="006E431E">
      <w:pPr>
        <w:rPr>
          <w:lang w:eastAsia="ja-JP"/>
        </w:rPr>
      </w:pPr>
      <w:r>
        <w:rPr>
          <w:lang w:eastAsia="ja-JP"/>
        </w:rPr>
        <w:t>The i</w:t>
      </w:r>
      <w:r w:rsidR="00F30851" w:rsidRPr="00C4289B">
        <w:rPr>
          <w:lang w:eastAsia="ja-JP"/>
        </w:rPr>
        <w:t>nvestigator made an assessment of the maximum intensity that occurred over the</w:t>
      </w:r>
      <w:r w:rsidR="00F30851">
        <w:rPr>
          <w:lang w:eastAsia="ja-JP"/>
        </w:rPr>
        <w:t xml:space="preserve"> </w:t>
      </w:r>
      <w:r w:rsidR="00F30851" w:rsidRPr="00C4289B">
        <w:rPr>
          <w:lang w:eastAsia="ja-JP"/>
        </w:rPr>
        <w:t>duration of the event for all other AEs (including SAEs) reported during the study. The</w:t>
      </w:r>
      <w:r w:rsidR="00F30851">
        <w:rPr>
          <w:lang w:eastAsia="ja-JP"/>
        </w:rPr>
        <w:t xml:space="preserve"> </w:t>
      </w:r>
      <w:r w:rsidR="00F30851" w:rsidRPr="00C4289B">
        <w:rPr>
          <w:lang w:eastAsia="ja-JP"/>
        </w:rPr>
        <w:t>assessment was based on the Investigators’ clinical judgement. The intensity of each AE</w:t>
      </w:r>
      <w:r w:rsidR="00F30851">
        <w:rPr>
          <w:lang w:eastAsia="ja-JP"/>
        </w:rPr>
        <w:t xml:space="preserve"> </w:t>
      </w:r>
      <w:r w:rsidR="00F30851" w:rsidRPr="00C4289B">
        <w:rPr>
          <w:lang w:eastAsia="ja-JP"/>
        </w:rPr>
        <w:t>was assigned to one of the following categories:</w:t>
      </w:r>
      <w:r w:rsidR="00F30851">
        <w:rPr>
          <w:lang w:eastAsia="ja-JP"/>
        </w:rPr>
        <w:t xml:space="preserve"> 1 (mild) = </w:t>
      </w:r>
      <w:r w:rsidR="00F30851" w:rsidRPr="00C4289B">
        <w:rPr>
          <w:lang w:eastAsia="ja-JP"/>
        </w:rPr>
        <w:t>easily to</w:t>
      </w:r>
      <w:r w:rsidR="00F30851">
        <w:rPr>
          <w:lang w:eastAsia="ja-JP"/>
        </w:rPr>
        <w:t xml:space="preserve">lerated, </w:t>
      </w:r>
      <w:r w:rsidR="00F30851" w:rsidRPr="00C4289B">
        <w:rPr>
          <w:lang w:eastAsia="ja-JP"/>
        </w:rPr>
        <w:t>minimal</w:t>
      </w:r>
      <w:r w:rsidR="00F30851">
        <w:rPr>
          <w:lang w:eastAsia="ja-JP"/>
        </w:rPr>
        <w:t xml:space="preserve"> discomfort </w:t>
      </w:r>
      <w:r w:rsidR="00F30851" w:rsidRPr="00AE314C">
        <w:rPr>
          <w:lang w:eastAsia="ja-JP"/>
        </w:rPr>
        <w:t>and not interfering</w:t>
      </w:r>
      <w:r w:rsidR="00943514">
        <w:rPr>
          <w:lang w:eastAsia="ja-JP"/>
        </w:rPr>
        <w:t xml:space="preserve"> </w:t>
      </w:r>
      <w:r w:rsidR="00F30851" w:rsidRPr="00AE314C">
        <w:rPr>
          <w:lang w:eastAsia="ja-JP"/>
        </w:rPr>
        <w:t xml:space="preserve">with everyday activities; 2 (moderate) = sufficiently discomforting to interfere with normal everyday activities; 3 (severe) = prevented normal, everyday activities. An event was defined as </w:t>
      </w:r>
      <w:r w:rsidR="005E57AC">
        <w:rPr>
          <w:lang w:eastAsia="ja-JP"/>
        </w:rPr>
        <w:t>‘</w:t>
      </w:r>
      <w:r w:rsidR="00F30851" w:rsidRPr="00AE314C">
        <w:rPr>
          <w:lang w:eastAsia="ja-JP"/>
        </w:rPr>
        <w:t>serious</w:t>
      </w:r>
      <w:r w:rsidR="005E57AC">
        <w:rPr>
          <w:lang w:eastAsia="ja-JP"/>
        </w:rPr>
        <w:t>’</w:t>
      </w:r>
      <w:r w:rsidR="00F30851" w:rsidRPr="00AE314C">
        <w:rPr>
          <w:lang w:eastAsia="ja-JP"/>
        </w:rPr>
        <w:t xml:space="preserve"> when it met one of the pre-defined outcomes as described in the protocol.</w:t>
      </w:r>
    </w:p>
    <w:p w14:paraId="7CF9EEFF" w14:textId="37B3345B" w:rsidR="00F30851" w:rsidRPr="005C526A" w:rsidRDefault="00F30851" w:rsidP="005C526A">
      <w:pPr>
        <w:pStyle w:val="Tabletitle"/>
      </w:pPr>
      <w:r w:rsidRPr="005C526A">
        <w:lastRenderedPageBreak/>
        <w:t xml:space="preserve">Table </w:t>
      </w:r>
      <w:r w:rsidR="00DA7D36" w:rsidRPr="005C526A">
        <w:t>18</w:t>
      </w:r>
      <w:r w:rsidRPr="005C526A">
        <w:t>: Intensity scales for solicited symptoms</w:t>
      </w:r>
    </w:p>
    <w:p w14:paraId="1B52B7EE" w14:textId="20CEA4A9" w:rsidR="00F30851" w:rsidRDefault="00486721" w:rsidP="00F30851">
      <w:pPr>
        <w:autoSpaceDE w:val="0"/>
        <w:autoSpaceDN w:val="0"/>
        <w:adjustRightInd w:val="0"/>
        <w:spacing w:before="0" w:after="0" w:line="240" w:lineRule="auto"/>
        <w:rPr>
          <w:rFonts w:asciiTheme="minorHAnsi" w:eastAsiaTheme="minorHAnsi" w:hAnsiTheme="minorHAnsi"/>
        </w:rPr>
      </w:pPr>
      <w:r w:rsidRPr="00D32EC0">
        <w:rPr>
          <w:rFonts w:asciiTheme="minorHAnsi" w:eastAsiaTheme="minorHAnsi" w:hAnsiTheme="minorHAnsi"/>
        </w:rPr>
        <w:object w:dxaOrig="6765" w:dyaOrig="6555" w14:anchorId="0D85F5F7">
          <v:shape id="_x0000_i1032" type="#_x0000_t75" alt="Intensity scales for solicited symptoms" style="width:392.55pt;height:314.9pt" o:ole="">
            <v:imagedata r:id="rId56" o:title=""/>
          </v:shape>
          <o:OLEObject Type="Embed" ProgID="Acrobat.Document.DC" ShapeID="_x0000_i1032" DrawAspect="Content" ObjectID="_1606222006" r:id="rId57"/>
        </w:object>
      </w:r>
    </w:p>
    <w:p w14:paraId="4F66F2B6" w14:textId="77777777" w:rsidR="00F30851" w:rsidRDefault="00F30851" w:rsidP="006E431E">
      <w:pPr>
        <w:pStyle w:val="Heading3"/>
      </w:pPr>
      <w:bookmarkStart w:id="89" w:name="_Toc441843523"/>
      <w:bookmarkStart w:id="90" w:name="_Toc501608192"/>
      <w:bookmarkStart w:id="91" w:name="_Toc532480101"/>
      <w:r w:rsidRPr="00545B14">
        <w:t>Studies providing evaluable safety data</w:t>
      </w:r>
      <w:bookmarkEnd w:id="89"/>
      <w:bookmarkEnd w:id="90"/>
      <w:bookmarkEnd w:id="91"/>
    </w:p>
    <w:p w14:paraId="3B7A145F" w14:textId="77777777" w:rsidR="00F30851" w:rsidRPr="00C3572A" w:rsidRDefault="00F30851" w:rsidP="006E431E">
      <w:pPr>
        <w:pStyle w:val="Heading4"/>
      </w:pPr>
      <w:r>
        <w:t>P</w:t>
      </w:r>
      <w:r w:rsidRPr="00C3572A">
        <w:t>ivotal studies that assessed safety as the sole primary outcome</w:t>
      </w:r>
    </w:p>
    <w:p w14:paraId="556C5BB3" w14:textId="77777777" w:rsidR="00F30851" w:rsidRPr="002E29C4" w:rsidRDefault="00F30851" w:rsidP="006E431E">
      <w:pPr>
        <w:rPr>
          <w:lang w:eastAsia="ja-JP"/>
        </w:rPr>
      </w:pPr>
      <w:r>
        <w:t>None.</w:t>
      </w:r>
    </w:p>
    <w:p w14:paraId="3906BE0A" w14:textId="77777777" w:rsidR="00F30851" w:rsidRPr="00545B14" w:rsidRDefault="00F30851" w:rsidP="006E431E">
      <w:pPr>
        <w:pStyle w:val="Heading4"/>
      </w:pPr>
      <w:r w:rsidRPr="00545B14">
        <w:t xml:space="preserve">Pivotal </w:t>
      </w:r>
      <w:r>
        <w:t xml:space="preserve">and/or main </w:t>
      </w:r>
      <w:r w:rsidRPr="00545B14">
        <w:t>efficacy studies</w:t>
      </w:r>
    </w:p>
    <w:p w14:paraId="52B56192" w14:textId="77777777" w:rsidR="00F30851" w:rsidRDefault="00F30851" w:rsidP="006E431E">
      <w:pPr>
        <w:rPr>
          <w:lang w:eastAsia="ja-JP"/>
        </w:rPr>
      </w:pPr>
      <w:bookmarkStart w:id="92" w:name="_Ref269204367"/>
      <w:bookmarkStart w:id="93" w:name="_Ref271195835"/>
      <w:bookmarkStart w:id="94" w:name="_Ref271195841"/>
      <w:bookmarkStart w:id="95" w:name="_Toc272414660"/>
      <w:bookmarkStart w:id="96" w:name="_Toc290888511"/>
      <w:bookmarkStart w:id="97" w:name="_Toc416353727"/>
      <w:bookmarkStart w:id="98" w:name="_Toc421005283"/>
      <w:bookmarkStart w:id="99" w:name="_Toc432079160"/>
      <w:bookmarkStart w:id="100" w:name="_Toc432080733"/>
      <w:bookmarkStart w:id="101" w:name="_Toc441843524"/>
      <w:r w:rsidRPr="00EB1506">
        <w:rPr>
          <w:lang w:eastAsia="ja-JP"/>
        </w:rPr>
        <w:t>Study D-QIV-004 (pivotal efficacy study).</w:t>
      </w:r>
    </w:p>
    <w:p w14:paraId="136CF303" w14:textId="77777777" w:rsidR="00F30851" w:rsidRDefault="00F30851" w:rsidP="006E431E">
      <w:pPr>
        <w:pStyle w:val="Heading4"/>
      </w:pPr>
      <w:r w:rsidRPr="00632A41">
        <w:t>Other studies</w:t>
      </w:r>
    </w:p>
    <w:p w14:paraId="55B36CD1" w14:textId="77777777" w:rsidR="00F30851" w:rsidRPr="00C12B8D" w:rsidRDefault="00F30851" w:rsidP="006E431E">
      <w:pPr>
        <w:rPr>
          <w:lang w:eastAsia="ja-JP"/>
        </w:rPr>
      </w:pPr>
      <w:r w:rsidRPr="00EB1506">
        <w:rPr>
          <w:lang w:eastAsia="ja-JP"/>
        </w:rPr>
        <w:t>Supportive studies</w:t>
      </w:r>
      <w:r>
        <w:rPr>
          <w:lang w:eastAsia="ja-JP"/>
        </w:rPr>
        <w:t xml:space="preserve"> D-QIV-009 and -015.</w:t>
      </w:r>
    </w:p>
    <w:p w14:paraId="5F6266A4" w14:textId="77777777" w:rsidR="00F30851" w:rsidRDefault="00F30851" w:rsidP="001D7147">
      <w:pPr>
        <w:pStyle w:val="Heading3"/>
      </w:pPr>
      <w:bookmarkStart w:id="102" w:name="_Toc501608193"/>
      <w:bookmarkStart w:id="103" w:name="_Toc532480102"/>
      <w:r>
        <w:t>Studies that assessed safety as the sole</w:t>
      </w:r>
      <w:r w:rsidRPr="00545B14">
        <w:t xml:space="preserve"> primary outcome</w:t>
      </w:r>
      <w:bookmarkEnd w:id="92"/>
      <w:bookmarkEnd w:id="93"/>
      <w:bookmarkEnd w:id="94"/>
      <w:bookmarkEnd w:id="95"/>
      <w:bookmarkEnd w:id="96"/>
      <w:bookmarkEnd w:id="97"/>
      <w:bookmarkEnd w:id="98"/>
      <w:bookmarkEnd w:id="99"/>
      <w:bookmarkEnd w:id="100"/>
      <w:bookmarkEnd w:id="101"/>
      <w:bookmarkEnd w:id="102"/>
      <w:bookmarkEnd w:id="103"/>
    </w:p>
    <w:p w14:paraId="5D087DD0" w14:textId="77777777" w:rsidR="00F30851" w:rsidRPr="00751917" w:rsidRDefault="00F30851" w:rsidP="001D7147">
      <w:pPr>
        <w:rPr>
          <w:lang w:eastAsia="ja-JP"/>
        </w:rPr>
      </w:pPr>
      <w:r>
        <w:rPr>
          <w:lang w:eastAsia="ja-JP"/>
        </w:rPr>
        <w:t xml:space="preserve">There were no studies in </w:t>
      </w:r>
      <w:r w:rsidR="00943514">
        <w:rPr>
          <w:lang w:eastAsia="ja-JP"/>
        </w:rPr>
        <w:t>this application</w:t>
      </w:r>
      <w:r>
        <w:rPr>
          <w:lang w:eastAsia="ja-JP"/>
        </w:rPr>
        <w:t xml:space="preserve"> that assessed safety as the sole primary outcome.</w:t>
      </w:r>
      <w:bookmarkStart w:id="104" w:name="_Toc241374318"/>
      <w:bookmarkStart w:id="105" w:name="_Ref271196630"/>
      <w:bookmarkStart w:id="106" w:name="_Toc272414662"/>
      <w:bookmarkStart w:id="107" w:name="_Toc290888526"/>
      <w:bookmarkStart w:id="108" w:name="_Toc416353742"/>
      <w:bookmarkStart w:id="109" w:name="_Toc421005285"/>
      <w:bookmarkStart w:id="110" w:name="_Toc432079162"/>
      <w:bookmarkStart w:id="111" w:name="_Toc432080735"/>
    </w:p>
    <w:p w14:paraId="29CF8568" w14:textId="77777777" w:rsidR="00F30851" w:rsidRDefault="00F30851" w:rsidP="001D7147">
      <w:pPr>
        <w:pStyle w:val="Heading3"/>
      </w:pPr>
      <w:bookmarkStart w:id="112" w:name="_Toc501608194"/>
      <w:bookmarkStart w:id="113" w:name="_Toc532480103"/>
      <w:r w:rsidRPr="00545B14">
        <w:t>Patient exposure</w:t>
      </w:r>
      <w:bookmarkEnd w:id="104"/>
      <w:bookmarkEnd w:id="105"/>
      <w:bookmarkEnd w:id="106"/>
      <w:bookmarkEnd w:id="107"/>
      <w:bookmarkEnd w:id="108"/>
      <w:bookmarkEnd w:id="109"/>
      <w:bookmarkEnd w:id="110"/>
      <w:bookmarkEnd w:id="111"/>
      <w:r>
        <w:t xml:space="preserve"> </w:t>
      </w:r>
      <w:r w:rsidR="001D7147">
        <w:t xml:space="preserve">in </w:t>
      </w:r>
      <w:r>
        <w:t xml:space="preserve">children </w:t>
      </w:r>
      <w:r w:rsidR="005879FC">
        <w:t>6 to 35</w:t>
      </w:r>
      <w:r>
        <w:t xml:space="preserve"> m</w:t>
      </w:r>
      <w:r w:rsidR="001D7147">
        <w:t>on</w:t>
      </w:r>
      <w:r>
        <w:t>ths of age</w:t>
      </w:r>
      <w:bookmarkEnd w:id="112"/>
      <w:bookmarkEnd w:id="113"/>
    </w:p>
    <w:p w14:paraId="193DAF64" w14:textId="55AA9A0A" w:rsidR="00F30851" w:rsidRPr="001D7147" w:rsidRDefault="00F30851" w:rsidP="001D7147">
      <w:pPr>
        <w:rPr>
          <w:lang w:eastAsia="ja-JP"/>
        </w:rPr>
      </w:pPr>
      <w:r w:rsidRPr="001D7147">
        <w:rPr>
          <w:lang w:eastAsia="ja-JP"/>
        </w:rPr>
        <w:t>In D-QIV-004 and D-QIV-015 (</w:t>
      </w:r>
      <w:r w:rsidR="005879FC" w:rsidRPr="001D7147">
        <w:rPr>
          <w:lang w:eastAsia="ja-JP"/>
        </w:rPr>
        <w:t>6 to 35</w:t>
      </w:r>
      <w:r w:rsidRPr="001D7147">
        <w:rPr>
          <w:lang w:eastAsia="ja-JP"/>
        </w:rPr>
        <w:t xml:space="preserve"> months cohort) 6,006 and 474 subjects respectively, aged 6 to 35 months received at least one dose of </w:t>
      </w:r>
      <w:r w:rsidR="001D7147" w:rsidRPr="001D7147">
        <w:rPr>
          <w:lang w:eastAsia="ja-JP"/>
        </w:rPr>
        <w:t xml:space="preserve">Fluarix Tetra </w:t>
      </w:r>
      <w:r w:rsidRPr="001D7147">
        <w:rPr>
          <w:lang w:eastAsia="ja-JP"/>
        </w:rPr>
        <w:t>(</w:t>
      </w:r>
      <w:r w:rsidR="001D7147" w:rsidRPr="001D7147">
        <w:rPr>
          <w:lang w:eastAsia="ja-JP"/>
        </w:rPr>
        <w:t xml:space="preserve">Fluarix Tetra </w:t>
      </w:r>
      <w:r w:rsidRPr="001D7147">
        <w:rPr>
          <w:lang w:eastAsia="ja-JP"/>
        </w:rPr>
        <w:t xml:space="preserve">or </w:t>
      </w:r>
      <w:r w:rsidR="005D2053" w:rsidRPr="001D7147">
        <w:rPr>
          <w:lang w:eastAsia="ja-JP"/>
        </w:rPr>
        <w:t>Tetra Fluarix LP</w:t>
      </w:r>
      <w:r w:rsidRPr="001D7147">
        <w:rPr>
          <w:lang w:eastAsia="ja-JP"/>
        </w:rPr>
        <w:t xml:space="preserve">, manufacture according to the process licensed at time of study conduct). In </w:t>
      </w:r>
      <w:r w:rsidR="00943514" w:rsidRPr="001D7147">
        <w:rPr>
          <w:lang w:eastAsia="ja-JP"/>
        </w:rPr>
        <w:t>Study D-QIV-</w:t>
      </w:r>
      <w:r w:rsidRPr="001D7147">
        <w:rPr>
          <w:lang w:eastAsia="ja-JP"/>
        </w:rPr>
        <w:t xml:space="preserve">009, 470 subjects aged 17 to 48 months received ≥1 dose of </w:t>
      </w:r>
      <w:r w:rsidR="001D7147" w:rsidRPr="001D7147">
        <w:rPr>
          <w:lang w:eastAsia="ja-JP"/>
        </w:rPr>
        <w:t xml:space="preserve">Fluarix Tetra </w:t>
      </w:r>
      <w:r w:rsidRPr="001D7147">
        <w:rPr>
          <w:lang w:eastAsia="ja-JP"/>
        </w:rPr>
        <w:t xml:space="preserve">of whom 241 subjects were previously primed in DQIV-004 and received a </w:t>
      </w:r>
      <w:r w:rsidR="001D7147">
        <w:rPr>
          <w:lang w:eastAsia="ja-JP"/>
        </w:rPr>
        <w:t>third</w:t>
      </w:r>
      <w:r w:rsidRPr="001D7147">
        <w:rPr>
          <w:lang w:eastAsia="ja-JP"/>
        </w:rPr>
        <w:t xml:space="preserve"> dose. In </w:t>
      </w:r>
      <w:r w:rsidR="00943514" w:rsidRPr="001D7147">
        <w:rPr>
          <w:lang w:eastAsia="ja-JP"/>
        </w:rPr>
        <w:t>Study D-QIV-</w:t>
      </w:r>
      <w:r w:rsidRPr="001D7147">
        <w:rPr>
          <w:lang w:eastAsia="ja-JP"/>
        </w:rPr>
        <w:t xml:space="preserve">015, 466 subjects received ≥1 dose of </w:t>
      </w:r>
      <w:r w:rsidR="001D7147" w:rsidRPr="001D7147">
        <w:rPr>
          <w:lang w:eastAsia="ja-JP"/>
        </w:rPr>
        <w:t xml:space="preserve">Fluarix Tetra </w:t>
      </w:r>
      <w:r w:rsidRPr="001D7147">
        <w:rPr>
          <w:lang w:eastAsia="ja-JP"/>
        </w:rPr>
        <w:t>manufactured according to the new harmoni</w:t>
      </w:r>
      <w:r w:rsidR="003C65EE">
        <w:rPr>
          <w:lang w:eastAsia="ja-JP"/>
        </w:rPr>
        <w:t>s</w:t>
      </w:r>
      <w:r w:rsidRPr="001D7147">
        <w:rPr>
          <w:lang w:eastAsia="ja-JP"/>
        </w:rPr>
        <w:t>ed process (</w:t>
      </w:r>
      <w:r w:rsidR="005D2053" w:rsidRPr="001D7147">
        <w:rPr>
          <w:lang w:eastAsia="ja-JP"/>
        </w:rPr>
        <w:t>Tetra Fluarix IP</w:t>
      </w:r>
      <w:r w:rsidRPr="001D7147">
        <w:rPr>
          <w:lang w:eastAsia="ja-JP"/>
        </w:rPr>
        <w:t xml:space="preserve">). A control vaccine (Havrix, Varivax/Varilrix or Prevnar) was administered to 6012 subjects in </w:t>
      </w:r>
      <w:r w:rsidR="00943514" w:rsidRPr="001D7147">
        <w:rPr>
          <w:lang w:eastAsia="ja-JP"/>
        </w:rPr>
        <w:t>Study D-QIV-</w:t>
      </w:r>
      <w:r w:rsidRPr="001D7147">
        <w:rPr>
          <w:lang w:eastAsia="ja-JP"/>
        </w:rPr>
        <w:t xml:space="preserve">004. Overall, 12,714 doses of </w:t>
      </w:r>
      <w:r w:rsidR="001D7147" w:rsidRPr="001D7147">
        <w:rPr>
          <w:lang w:eastAsia="ja-JP"/>
        </w:rPr>
        <w:t xml:space="preserve">Fluarix Tetra </w:t>
      </w:r>
      <w:r w:rsidRPr="001D7147">
        <w:rPr>
          <w:lang w:eastAsia="ja-JP"/>
        </w:rPr>
        <w:lastRenderedPageBreak/>
        <w:t xml:space="preserve">(manufacturing process licensed at time of study conduct) and 887 doses of </w:t>
      </w:r>
      <w:r w:rsidR="005D2053" w:rsidRPr="001D7147">
        <w:rPr>
          <w:lang w:eastAsia="ja-JP"/>
        </w:rPr>
        <w:t>Tetra Fluarix IP</w:t>
      </w:r>
      <w:r w:rsidRPr="001D7147">
        <w:rPr>
          <w:lang w:eastAsia="ja-JP"/>
        </w:rPr>
        <w:t xml:space="preserve"> were administered to subjects </w:t>
      </w:r>
      <w:r w:rsidR="005879FC" w:rsidRPr="001D7147">
        <w:rPr>
          <w:lang w:eastAsia="ja-JP"/>
        </w:rPr>
        <w:t>6 to 35</w:t>
      </w:r>
      <w:r w:rsidRPr="001D7147">
        <w:rPr>
          <w:lang w:eastAsia="ja-JP"/>
        </w:rPr>
        <w:t xml:space="preserve"> months of age in </w:t>
      </w:r>
      <w:r w:rsidR="001D7147">
        <w:rPr>
          <w:lang w:eastAsia="ja-JP"/>
        </w:rPr>
        <w:t>S</w:t>
      </w:r>
      <w:r w:rsidRPr="001D7147">
        <w:rPr>
          <w:lang w:eastAsia="ja-JP"/>
        </w:rPr>
        <w:t xml:space="preserve">tudies D-QIV-004 and D-QIV-015. In </w:t>
      </w:r>
      <w:r w:rsidR="00943514" w:rsidRPr="001D7147">
        <w:rPr>
          <w:lang w:eastAsia="ja-JP"/>
        </w:rPr>
        <w:t>Study D-QIV-</w:t>
      </w:r>
      <w:r w:rsidRPr="001D7147">
        <w:rPr>
          <w:lang w:eastAsia="ja-JP"/>
        </w:rPr>
        <w:t xml:space="preserve">009, 699 doses of </w:t>
      </w:r>
      <w:r w:rsidR="001D7147" w:rsidRPr="001D7147">
        <w:rPr>
          <w:lang w:eastAsia="ja-JP"/>
        </w:rPr>
        <w:t xml:space="preserve">Fluarix Tetra </w:t>
      </w:r>
      <w:r w:rsidRPr="001D7147">
        <w:rPr>
          <w:lang w:eastAsia="ja-JP"/>
        </w:rPr>
        <w:t>were administered to subjects 17-48 months of age.</w:t>
      </w:r>
    </w:p>
    <w:p w14:paraId="6E7E432D" w14:textId="77777777" w:rsidR="00F30851" w:rsidRDefault="00F30851" w:rsidP="001D7147">
      <w:pPr>
        <w:pStyle w:val="Heading3"/>
      </w:pPr>
      <w:bookmarkStart w:id="114" w:name="_Toc241374319"/>
      <w:bookmarkStart w:id="115" w:name="_Ref271044764"/>
      <w:bookmarkStart w:id="116" w:name="_Toc272414663"/>
      <w:bookmarkStart w:id="117" w:name="_Toc290888527"/>
      <w:bookmarkStart w:id="118" w:name="_Toc416353743"/>
      <w:bookmarkStart w:id="119" w:name="_Toc421005286"/>
      <w:bookmarkStart w:id="120" w:name="_Toc432079163"/>
      <w:bookmarkStart w:id="121" w:name="_Toc432080736"/>
      <w:bookmarkStart w:id="122" w:name="_Toc501608195"/>
      <w:bookmarkStart w:id="123" w:name="_Toc532480104"/>
      <w:r w:rsidRPr="00545B14">
        <w:t>Adverse events</w:t>
      </w:r>
      <w:bookmarkEnd w:id="114"/>
      <w:bookmarkEnd w:id="115"/>
      <w:bookmarkEnd w:id="116"/>
      <w:bookmarkEnd w:id="117"/>
      <w:bookmarkEnd w:id="118"/>
      <w:bookmarkEnd w:id="119"/>
      <w:bookmarkEnd w:id="120"/>
      <w:bookmarkEnd w:id="121"/>
      <w:bookmarkEnd w:id="122"/>
      <w:bookmarkEnd w:id="123"/>
    </w:p>
    <w:p w14:paraId="7CE409DC" w14:textId="77777777" w:rsidR="00F30851" w:rsidRPr="00545B14" w:rsidRDefault="00F30851" w:rsidP="001D7147">
      <w:pPr>
        <w:pStyle w:val="Heading4"/>
      </w:pPr>
      <w:bookmarkStart w:id="124" w:name="_Ref272317284"/>
      <w:bookmarkStart w:id="125" w:name="_Ref272333565"/>
      <w:bookmarkStart w:id="126" w:name="_Toc272414664"/>
      <w:bookmarkStart w:id="127" w:name="_Toc290888528"/>
      <w:bookmarkStart w:id="128" w:name="_Toc416353744"/>
      <w:bookmarkStart w:id="129" w:name="_Toc421005287"/>
      <w:bookmarkStart w:id="130" w:name="_Toc432079164"/>
      <w:bookmarkStart w:id="131" w:name="_Toc432080737"/>
      <w:r w:rsidRPr="00545B14">
        <w:t>All adverse events (irrespective of relationship to study treatment)</w:t>
      </w:r>
      <w:bookmarkEnd w:id="124"/>
      <w:bookmarkEnd w:id="125"/>
      <w:bookmarkEnd w:id="126"/>
      <w:bookmarkEnd w:id="127"/>
      <w:bookmarkEnd w:id="128"/>
      <w:bookmarkEnd w:id="129"/>
      <w:bookmarkEnd w:id="130"/>
      <w:bookmarkEnd w:id="131"/>
    </w:p>
    <w:p w14:paraId="535B2825" w14:textId="77777777" w:rsidR="00F30851" w:rsidRDefault="00F30851" w:rsidP="001D7147">
      <w:pPr>
        <w:pStyle w:val="Heading5"/>
      </w:pPr>
      <w:r w:rsidRPr="00073FEC">
        <w:t>Integrated safety analyses</w:t>
      </w:r>
    </w:p>
    <w:p w14:paraId="6B1FEA95" w14:textId="77777777" w:rsidR="00F30851" w:rsidRPr="00EB1506" w:rsidRDefault="00F30851" w:rsidP="001D7147">
      <w:r w:rsidRPr="00EB1506">
        <w:t xml:space="preserve">Given the significantly larger size and longer duration of </w:t>
      </w:r>
      <w:r w:rsidR="00943514">
        <w:t>Study D-</w:t>
      </w:r>
      <w:r w:rsidR="00943514" w:rsidRPr="001D7147">
        <w:t>QIV-</w:t>
      </w:r>
      <w:r w:rsidRPr="001D7147">
        <w:t>004, the</w:t>
      </w:r>
      <w:r>
        <w:t xml:space="preserve"> safety data from this study</w:t>
      </w:r>
      <w:r w:rsidRPr="00EB1506">
        <w:t xml:space="preserve"> is considered to provide the foundation of the safety profile in children </w:t>
      </w:r>
      <w:r w:rsidR="005879FC">
        <w:t>6 to 35</w:t>
      </w:r>
      <w:r w:rsidRPr="00EB1506">
        <w:t xml:space="preserve"> months of age. Formal comparisons or pooling of data across the three studies </w:t>
      </w:r>
      <w:r>
        <w:t xml:space="preserve">provided in </w:t>
      </w:r>
      <w:r w:rsidR="00943514">
        <w:t>this application</w:t>
      </w:r>
      <w:r>
        <w:t xml:space="preserve"> was </w:t>
      </w:r>
      <w:r w:rsidRPr="00EB1506">
        <w:t>not</w:t>
      </w:r>
      <w:r>
        <w:t xml:space="preserve"> </w:t>
      </w:r>
      <w:r w:rsidRPr="00EB1506">
        <w:t xml:space="preserve">warranted due to the differences in </w:t>
      </w:r>
      <w:r w:rsidR="005E57AC">
        <w:t>control group</w:t>
      </w:r>
      <w:r w:rsidRPr="00EB1506">
        <w:t>s, the study populations and</w:t>
      </w:r>
      <w:r>
        <w:t xml:space="preserve"> </w:t>
      </w:r>
      <w:r w:rsidRPr="00EB1506">
        <w:t>study durations.</w:t>
      </w:r>
    </w:p>
    <w:p w14:paraId="4277397C" w14:textId="77777777" w:rsidR="00F30851" w:rsidRDefault="00F30851" w:rsidP="001D7147">
      <w:pPr>
        <w:pStyle w:val="Heading5"/>
      </w:pPr>
      <w:r w:rsidRPr="00073FEC">
        <w:t xml:space="preserve">Pivotal </w:t>
      </w:r>
      <w:r w:rsidR="00943514">
        <w:t>Study D-QIV-</w:t>
      </w:r>
      <w:r w:rsidRPr="00C4289B">
        <w:t>004</w:t>
      </w:r>
    </w:p>
    <w:p w14:paraId="72E51E7D" w14:textId="77777777" w:rsidR="001D7147" w:rsidRDefault="00F30851" w:rsidP="001D7147">
      <w:pPr>
        <w:pStyle w:val="Heading6"/>
        <w:rPr>
          <w:rFonts w:eastAsiaTheme="minorHAnsi"/>
          <w:lang w:val="en-GB"/>
        </w:rPr>
      </w:pPr>
      <w:r w:rsidRPr="007065F5">
        <w:rPr>
          <w:rFonts w:eastAsiaTheme="minorHAnsi"/>
          <w:lang w:val="en-GB"/>
        </w:rPr>
        <w:t>Any AE (solicited or unsolicited during the 7</w:t>
      </w:r>
      <w:r w:rsidR="00A06C4B">
        <w:rPr>
          <w:rFonts w:eastAsiaTheme="minorHAnsi"/>
          <w:lang w:val="en-GB"/>
        </w:rPr>
        <w:t xml:space="preserve"> day </w:t>
      </w:r>
      <w:r w:rsidRPr="007065F5">
        <w:rPr>
          <w:rFonts w:eastAsiaTheme="minorHAnsi"/>
          <w:lang w:val="en-GB"/>
        </w:rPr>
        <w:t>post-vaccination follow-up period)</w:t>
      </w:r>
    </w:p>
    <w:p w14:paraId="5ACF9672" w14:textId="77777777" w:rsidR="00F30851" w:rsidRPr="007065F5" w:rsidRDefault="00F30851" w:rsidP="00F30851">
      <w:pPr>
        <w:autoSpaceDE w:val="0"/>
        <w:autoSpaceDN w:val="0"/>
        <w:adjustRightInd w:val="0"/>
        <w:spacing w:before="0" w:after="0" w:line="240" w:lineRule="auto"/>
        <w:ind w:left="170"/>
        <w:rPr>
          <w:rFonts w:asciiTheme="minorHAnsi" w:eastAsia="TimesNewRoman" w:hAnsiTheme="minorHAnsi" w:cs="TimesNewRoman"/>
          <w:lang w:val="en-GB"/>
        </w:rPr>
      </w:pPr>
      <w:r w:rsidRPr="007065F5">
        <w:rPr>
          <w:rFonts w:asciiTheme="minorHAnsi" w:eastAsia="TimesNewRoman" w:hAnsiTheme="minorHAnsi" w:cs="TimesNewRoman"/>
          <w:lang w:val="en-GB"/>
        </w:rPr>
        <w:t>At least one AE</w:t>
      </w:r>
      <w:r>
        <w:rPr>
          <w:rFonts w:asciiTheme="minorHAnsi" w:eastAsia="TimesNewRoman" w:hAnsiTheme="minorHAnsi" w:cs="TimesNewRoman"/>
          <w:lang w:val="en-GB"/>
        </w:rPr>
        <w:t xml:space="preserve"> </w:t>
      </w:r>
      <w:r w:rsidRPr="007065F5">
        <w:rPr>
          <w:rFonts w:asciiTheme="minorHAnsi" w:eastAsia="TimesNewRoman" w:hAnsiTheme="minorHAnsi" w:cs="TimesNewRoman"/>
          <w:lang w:val="en-GB"/>
        </w:rPr>
        <w:t xml:space="preserve">(any solicited or unsolicited, local or general) was reported for 51.8% </w:t>
      </w:r>
      <w:r>
        <w:rPr>
          <w:rFonts w:asciiTheme="minorHAnsi" w:eastAsia="TimesNewRoman" w:hAnsiTheme="minorHAnsi" w:cs="TimesNewRoman"/>
          <w:lang w:val="en-GB"/>
        </w:rPr>
        <w:t xml:space="preserve">(38.4% overall/dose) in </w:t>
      </w:r>
      <w:r w:rsidRPr="007065F5">
        <w:rPr>
          <w:rFonts w:asciiTheme="minorHAnsi" w:eastAsia="TimesNewRoman" w:hAnsiTheme="minorHAnsi" w:cs="TimesNewRoman"/>
          <w:lang w:val="en-GB"/>
        </w:rPr>
        <w:t xml:space="preserve">the </w:t>
      </w:r>
      <w:r w:rsidR="00E278CC">
        <w:rPr>
          <w:rFonts w:asciiTheme="minorHAnsi" w:eastAsia="TimesNewRoman" w:hAnsiTheme="minorHAnsi" w:cs="TimesNewRoman"/>
          <w:lang w:val="en-GB"/>
        </w:rPr>
        <w:t>Fluarix Tetra</w:t>
      </w:r>
      <w:r w:rsidR="00CE366D">
        <w:rPr>
          <w:rFonts w:asciiTheme="minorHAnsi" w:eastAsia="TimesNewRoman" w:hAnsiTheme="minorHAnsi" w:cs="TimesNewRoman"/>
          <w:lang w:val="en-GB"/>
        </w:rPr>
        <w:t xml:space="preserve"> group </w:t>
      </w:r>
      <w:r>
        <w:rPr>
          <w:rFonts w:asciiTheme="minorHAnsi" w:eastAsia="TimesNewRoman" w:hAnsiTheme="minorHAnsi" w:cs="TimesNewRoman"/>
          <w:lang w:val="en-GB"/>
        </w:rPr>
        <w:t xml:space="preserve">and </w:t>
      </w:r>
      <w:r w:rsidRPr="007065F5">
        <w:rPr>
          <w:rFonts w:asciiTheme="minorHAnsi" w:eastAsia="TimesNewRoman" w:hAnsiTheme="minorHAnsi" w:cs="TimesNewRoman"/>
          <w:lang w:val="en-GB"/>
        </w:rPr>
        <w:t xml:space="preserve">53.8% (39.7% overall/dose) in the </w:t>
      </w:r>
      <w:r w:rsidR="00E835BC">
        <w:rPr>
          <w:rFonts w:asciiTheme="minorHAnsi" w:eastAsia="TimesNewRoman" w:hAnsiTheme="minorHAnsi" w:cs="TimesNewRoman"/>
          <w:lang w:val="en-GB"/>
        </w:rPr>
        <w:t>control group.</w:t>
      </w:r>
      <w:r w:rsidRPr="007065F5">
        <w:rPr>
          <w:rFonts w:asciiTheme="minorHAnsi" w:eastAsia="TimesNewRoman" w:hAnsiTheme="minorHAnsi" w:cs="TimesNewRoman"/>
          <w:lang w:val="en-GB"/>
        </w:rPr>
        <w:t xml:space="preserve"> At least one</w:t>
      </w:r>
      <w:r>
        <w:rPr>
          <w:rFonts w:asciiTheme="minorHAnsi" w:eastAsia="TimesNewRoman" w:hAnsiTheme="minorHAnsi" w:cs="TimesNewRoman"/>
          <w:lang w:val="en-GB"/>
        </w:rPr>
        <w:t xml:space="preserve"> </w:t>
      </w:r>
      <w:r w:rsidR="00A06C4B">
        <w:rPr>
          <w:rFonts w:asciiTheme="minorHAnsi" w:eastAsia="TimesNewRoman" w:hAnsiTheme="minorHAnsi" w:cs="TimesNewRoman"/>
          <w:lang w:val="en-GB"/>
        </w:rPr>
        <w:t>Grade 3</w:t>
      </w:r>
      <w:r w:rsidRPr="007065F5">
        <w:rPr>
          <w:rFonts w:asciiTheme="minorHAnsi" w:eastAsia="TimesNewRoman" w:hAnsiTheme="minorHAnsi" w:cs="TimesNewRoman"/>
          <w:lang w:val="en-GB"/>
        </w:rPr>
        <w:t xml:space="preserve"> AE was repo</w:t>
      </w:r>
      <w:r>
        <w:rPr>
          <w:rFonts w:asciiTheme="minorHAnsi" w:eastAsia="TimesNewRoman" w:hAnsiTheme="minorHAnsi" w:cs="TimesNewRoman"/>
          <w:lang w:val="en-GB"/>
        </w:rPr>
        <w:t xml:space="preserve">rted for 6.0% (3.2 </w:t>
      </w:r>
      <w:r w:rsidRPr="007065F5">
        <w:rPr>
          <w:rFonts w:asciiTheme="minorHAnsi" w:eastAsia="TimesNewRoman" w:hAnsiTheme="minorHAnsi" w:cs="TimesNewRoman"/>
          <w:lang w:val="en-GB"/>
        </w:rPr>
        <w:t xml:space="preserve">overall/dose) in the </w:t>
      </w:r>
      <w:r w:rsidR="00E278CC">
        <w:rPr>
          <w:rFonts w:asciiTheme="minorHAnsi" w:eastAsia="TimesNewRoman" w:hAnsiTheme="minorHAnsi" w:cs="TimesNewRoman"/>
          <w:lang w:val="en-GB"/>
        </w:rPr>
        <w:t>Fluarix Tetra</w:t>
      </w:r>
      <w:r w:rsidR="00CE366D">
        <w:rPr>
          <w:rFonts w:asciiTheme="minorHAnsi" w:eastAsia="TimesNewRoman" w:hAnsiTheme="minorHAnsi" w:cs="TimesNewRoman"/>
          <w:lang w:val="en-GB"/>
        </w:rPr>
        <w:t xml:space="preserve"> group </w:t>
      </w:r>
      <w:r w:rsidRPr="007065F5">
        <w:rPr>
          <w:rFonts w:asciiTheme="minorHAnsi" w:eastAsia="TimesNewRoman" w:hAnsiTheme="minorHAnsi" w:cs="TimesNewRoman"/>
          <w:lang w:val="en-GB"/>
        </w:rPr>
        <w:t>and for 6.2%</w:t>
      </w:r>
      <w:r>
        <w:rPr>
          <w:rFonts w:asciiTheme="minorHAnsi" w:eastAsia="TimesNewRoman" w:hAnsiTheme="minorHAnsi" w:cs="TimesNewRoman"/>
          <w:lang w:val="en-GB"/>
        </w:rPr>
        <w:t xml:space="preserve"> </w:t>
      </w:r>
      <w:r w:rsidRPr="007065F5">
        <w:rPr>
          <w:rFonts w:asciiTheme="minorHAnsi" w:eastAsia="TimesNewRoman" w:hAnsiTheme="minorHAnsi" w:cs="TimesNewRoman"/>
          <w:lang w:val="en-GB"/>
        </w:rPr>
        <w:t xml:space="preserve">(3.4% overall/dose) in the </w:t>
      </w:r>
      <w:r w:rsidR="00E835BC">
        <w:rPr>
          <w:rFonts w:asciiTheme="minorHAnsi" w:eastAsia="TimesNewRoman" w:hAnsiTheme="minorHAnsi" w:cs="TimesNewRoman"/>
          <w:lang w:val="en-GB"/>
        </w:rPr>
        <w:t>control group.</w:t>
      </w:r>
      <w:r w:rsidRPr="007065F5">
        <w:rPr>
          <w:rFonts w:asciiTheme="minorHAnsi" w:eastAsia="TimesNewRoman" w:hAnsiTheme="minorHAnsi" w:cs="TimesNewRoman"/>
          <w:lang w:val="en-GB"/>
        </w:rPr>
        <w:t xml:space="preserve"> At least one possibly related AE was reported for</w:t>
      </w:r>
      <w:r>
        <w:rPr>
          <w:rFonts w:asciiTheme="minorHAnsi" w:eastAsia="TimesNewRoman" w:hAnsiTheme="minorHAnsi" w:cs="TimesNewRoman"/>
          <w:lang w:val="en-GB"/>
        </w:rPr>
        <w:t xml:space="preserve"> </w:t>
      </w:r>
      <w:r w:rsidRPr="007065F5">
        <w:rPr>
          <w:rFonts w:asciiTheme="minorHAnsi" w:eastAsia="TimesNewRoman" w:hAnsiTheme="minorHAnsi" w:cs="TimesNewRoman"/>
          <w:lang w:val="en-GB"/>
        </w:rPr>
        <w:t xml:space="preserve">41.7% (30.5% overall/dose) in the </w:t>
      </w:r>
      <w:r w:rsidR="00E278CC">
        <w:rPr>
          <w:rFonts w:asciiTheme="minorHAnsi" w:eastAsia="TimesNewRoman" w:hAnsiTheme="minorHAnsi" w:cs="TimesNewRoman"/>
          <w:lang w:val="en-GB"/>
        </w:rPr>
        <w:t>Fluarix Tetra</w:t>
      </w:r>
      <w:r w:rsidR="00CE366D">
        <w:rPr>
          <w:rFonts w:asciiTheme="minorHAnsi" w:eastAsia="TimesNewRoman" w:hAnsiTheme="minorHAnsi" w:cs="TimesNewRoman"/>
          <w:lang w:val="en-GB"/>
        </w:rPr>
        <w:t xml:space="preserve"> group </w:t>
      </w:r>
      <w:r w:rsidRPr="007065F5">
        <w:rPr>
          <w:rFonts w:asciiTheme="minorHAnsi" w:eastAsia="TimesNewRoman" w:hAnsiTheme="minorHAnsi" w:cs="TimesNewRoman"/>
          <w:lang w:val="en-GB"/>
        </w:rPr>
        <w:t>and 43.9% 31.7%</w:t>
      </w:r>
      <w:r>
        <w:rPr>
          <w:rFonts w:asciiTheme="minorHAnsi" w:eastAsia="TimesNewRoman" w:hAnsiTheme="minorHAnsi" w:cs="TimesNewRoman"/>
          <w:lang w:val="en-GB"/>
        </w:rPr>
        <w:t xml:space="preserve"> </w:t>
      </w:r>
      <w:r w:rsidRPr="007065F5">
        <w:rPr>
          <w:rFonts w:asciiTheme="minorHAnsi" w:eastAsia="TimesNewRoman" w:hAnsiTheme="minorHAnsi" w:cs="TimesNewRoman"/>
          <w:lang w:val="en-GB"/>
        </w:rPr>
        <w:t xml:space="preserve">overall/dose) in the </w:t>
      </w:r>
      <w:r w:rsidR="00E835BC">
        <w:rPr>
          <w:rFonts w:asciiTheme="minorHAnsi" w:eastAsia="TimesNewRoman" w:hAnsiTheme="minorHAnsi" w:cs="TimesNewRoman"/>
          <w:lang w:val="en-GB"/>
        </w:rPr>
        <w:t>control group.</w:t>
      </w:r>
      <w:r w:rsidRPr="007065F5">
        <w:rPr>
          <w:rFonts w:asciiTheme="minorHAnsi" w:eastAsia="TimesNewRoman" w:hAnsiTheme="minorHAnsi" w:cs="TimesNewRoman"/>
          <w:lang w:val="en-GB"/>
        </w:rPr>
        <w:t xml:space="preserve"> At least one </w:t>
      </w:r>
      <w:r w:rsidR="00A06C4B">
        <w:rPr>
          <w:rFonts w:asciiTheme="minorHAnsi" w:eastAsia="TimesNewRoman" w:hAnsiTheme="minorHAnsi" w:cs="TimesNewRoman"/>
          <w:lang w:val="en-GB"/>
        </w:rPr>
        <w:t>Grade 3</w:t>
      </w:r>
      <w:r w:rsidRPr="007065F5">
        <w:rPr>
          <w:rFonts w:asciiTheme="minorHAnsi" w:eastAsia="TimesNewRoman" w:hAnsiTheme="minorHAnsi" w:cs="TimesNewRoman"/>
          <w:lang w:val="en-GB"/>
        </w:rPr>
        <w:t xml:space="preserve"> AE with causal relationship was reported for 3.8%</w:t>
      </w:r>
      <w:r>
        <w:rPr>
          <w:rFonts w:asciiTheme="minorHAnsi" w:eastAsia="TimesNewRoman" w:hAnsiTheme="minorHAnsi" w:cs="TimesNewRoman"/>
          <w:lang w:val="en-GB"/>
        </w:rPr>
        <w:t xml:space="preserve"> </w:t>
      </w:r>
      <w:r w:rsidRPr="007065F5">
        <w:rPr>
          <w:rFonts w:asciiTheme="minorHAnsi" w:eastAsia="TimesNewRoman" w:hAnsiTheme="minorHAnsi" w:cs="TimesNewRoman"/>
          <w:lang w:val="en-GB"/>
        </w:rPr>
        <w:t xml:space="preserve">(2.0% overall/dose) in the </w:t>
      </w:r>
      <w:r w:rsidR="001D7147" w:rsidRPr="001D7147">
        <w:rPr>
          <w:rFonts w:asciiTheme="minorHAnsi" w:eastAsia="TimesNewRoman" w:hAnsiTheme="minorHAnsi" w:cs="TimesNewRoman"/>
          <w:lang w:val="en-GB"/>
        </w:rPr>
        <w:t xml:space="preserve">Fluarix Tetra </w:t>
      </w:r>
      <w:r w:rsidR="00CE366D">
        <w:rPr>
          <w:rFonts w:asciiTheme="minorHAnsi" w:eastAsia="TimesNewRoman" w:hAnsiTheme="minorHAnsi" w:cs="TimesNewRoman"/>
          <w:lang w:val="en-GB"/>
        </w:rPr>
        <w:t xml:space="preserve">group </w:t>
      </w:r>
      <w:r w:rsidRPr="007065F5">
        <w:rPr>
          <w:rFonts w:asciiTheme="minorHAnsi" w:eastAsia="TimesNewRoman" w:hAnsiTheme="minorHAnsi" w:cs="TimesNewRoman"/>
          <w:lang w:val="en-GB"/>
        </w:rPr>
        <w:t>and for 3.9% (2.1% overall/dose) in</w:t>
      </w:r>
      <w:r>
        <w:rPr>
          <w:rFonts w:asciiTheme="minorHAnsi" w:eastAsia="TimesNewRoman" w:hAnsiTheme="minorHAnsi" w:cs="TimesNewRoman"/>
          <w:lang w:val="en-GB"/>
        </w:rPr>
        <w:t xml:space="preserve"> </w:t>
      </w:r>
      <w:r w:rsidRPr="007065F5">
        <w:rPr>
          <w:rFonts w:asciiTheme="minorHAnsi" w:eastAsia="TimesNewRoman" w:hAnsiTheme="minorHAnsi" w:cs="TimesNewRoman"/>
          <w:lang w:val="en-GB"/>
        </w:rPr>
        <w:t xml:space="preserve">the </w:t>
      </w:r>
      <w:r w:rsidR="00E835BC">
        <w:rPr>
          <w:rFonts w:asciiTheme="minorHAnsi" w:eastAsia="TimesNewRoman" w:hAnsiTheme="minorHAnsi" w:cs="TimesNewRoman"/>
          <w:lang w:val="en-GB"/>
        </w:rPr>
        <w:t>control group.</w:t>
      </w:r>
    </w:p>
    <w:p w14:paraId="68CB8920" w14:textId="77777777" w:rsidR="00F30851" w:rsidRDefault="00F30851" w:rsidP="001D7147">
      <w:pPr>
        <w:pStyle w:val="Heading5"/>
      </w:pPr>
      <w:r>
        <w:t xml:space="preserve">Other </w:t>
      </w:r>
      <w:r w:rsidR="001D7147" w:rsidRPr="001D7147">
        <w:t>S</w:t>
      </w:r>
      <w:r w:rsidRPr="001D7147">
        <w:t>tudies</w:t>
      </w:r>
      <w:r>
        <w:t xml:space="preserve"> D-QIV-009 and -015</w:t>
      </w:r>
    </w:p>
    <w:p w14:paraId="6358782D" w14:textId="77777777" w:rsidR="001D7147" w:rsidRDefault="001D7147" w:rsidP="001D7147">
      <w:pPr>
        <w:pStyle w:val="Heading6"/>
        <w:rPr>
          <w:b/>
        </w:rPr>
      </w:pPr>
      <w:r>
        <w:t>D-QIV-009</w:t>
      </w:r>
    </w:p>
    <w:p w14:paraId="5407313C" w14:textId="77777777" w:rsidR="00F30851" w:rsidRDefault="00F30851" w:rsidP="00F30851">
      <w:pPr>
        <w:pStyle w:val="Heading5"/>
        <w:numPr>
          <w:ilvl w:val="0"/>
          <w:numId w:val="0"/>
        </w:numPr>
        <w:spacing w:before="0" w:after="0"/>
        <w:ind w:left="170"/>
        <w:rPr>
          <w:b w:val="0"/>
          <w:i w:val="0"/>
        </w:rPr>
      </w:pPr>
      <w:r w:rsidRPr="00525208">
        <w:rPr>
          <w:b w:val="0"/>
          <w:i w:val="0"/>
        </w:rPr>
        <w:t>Any symptom (local or general, solicited or unsolicited): During the 7</w:t>
      </w:r>
      <w:r w:rsidR="00A06C4B">
        <w:rPr>
          <w:b w:val="0"/>
          <w:i w:val="0"/>
        </w:rPr>
        <w:t xml:space="preserve"> day </w:t>
      </w:r>
      <w:r w:rsidRPr="00525208">
        <w:rPr>
          <w:b w:val="0"/>
          <w:i w:val="0"/>
        </w:rPr>
        <w:t xml:space="preserve">follow-up post Dose 1, 59.8% and 57.2% of the subjects in the </w:t>
      </w:r>
      <w:r w:rsidR="005D2053">
        <w:rPr>
          <w:b w:val="0"/>
          <w:i w:val="0"/>
        </w:rPr>
        <w:t>vaccine primed</w:t>
      </w:r>
      <w:r w:rsidRPr="00525208">
        <w:rPr>
          <w:b w:val="0"/>
          <w:i w:val="0"/>
        </w:rPr>
        <w:t xml:space="preserve"> and vaccine-</w:t>
      </w:r>
      <w:r w:rsidR="005D2053">
        <w:rPr>
          <w:b w:val="0"/>
          <w:i w:val="0"/>
        </w:rPr>
        <w:t>un-primed</w:t>
      </w:r>
      <w:r w:rsidRPr="00525208">
        <w:rPr>
          <w:b w:val="0"/>
          <w:i w:val="0"/>
        </w:rPr>
        <w:t xml:space="preserve"> </w:t>
      </w:r>
      <w:r>
        <w:rPr>
          <w:b w:val="0"/>
          <w:i w:val="0"/>
        </w:rPr>
        <w:t>g</w:t>
      </w:r>
      <w:r w:rsidR="001D7147">
        <w:rPr>
          <w:b w:val="0"/>
          <w:i w:val="0"/>
        </w:rPr>
        <w:t>rou</w:t>
      </w:r>
      <w:r>
        <w:rPr>
          <w:b w:val="0"/>
          <w:i w:val="0"/>
        </w:rPr>
        <w:t>p</w:t>
      </w:r>
      <w:r w:rsidRPr="00525208">
        <w:rPr>
          <w:b w:val="0"/>
          <w:i w:val="0"/>
        </w:rPr>
        <w:t>s, respectively, had at least one symptom reported. Grade 3 symptoms were reported for 6.2% and 5.7% of the subjects, respectively</w:t>
      </w:r>
      <w:bookmarkStart w:id="132" w:name="_Ref272333567"/>
      <w:bookmarkStart w:id="133" w:name="_Toc272414665"/>
      <w:bookmarkStart w:id="134" w:name="_Toc290888529"/>
      <w:bookmarkStart w:id="135" w:name="_Toc416353745"/>
      <w:bookmarkStart w:id="136" w:name="_Toc421005288"/>
      <w:bookmarkStart w:id="137" w:name="_Toc432079165"/>
      <w:bookmarkStart w:id="138" w:name="_Toc432080738"/>
      <w:r>
        <w:rPr>
          <w:b w:val="0"/>
          <w:i w:val="0"/>
        </w:rPr>
        <w:t>.</w:t>
      </w:r>
    </w:p>
    <w:p w14:paraId="32F8B14D" w14:textId="77777777" w:rsidR="00F30851" w:rsidRPr="00B73B44" w:rsidRDefault="00F30851" w:rsidP="001D7147">
      <w:pPr>
        <w:pStyle w:val="Heading6"/>
        <w:rPr>
          <w:rFonts w:eastAsia="TimesNewRoman,BoldItalic"/>
        </w:rPr>
      </w:pPr>
      <w:r w:rsidRPr="00B73B44">
        <w:rPr>
          <w:rFonts w:eastAsia="TimesNewRoman,BoldItalic"/>
        </w:rPr>
        <w:t>D-QIV-015 Any AE (solicited or unsolicited) during the 7</w:t>
      </w:r>
      <w:r w:rsidR="00A06C4B">
        <w:rPr>
          <w:rFonts w:eastAsia="TimesNewRoman,BoldItalic"/>
        </w:rPr>
        <w:t xml:space="preserve"> day </w:t>
      </w:r>
      <w:r w:rsidRPr="00B73B44">
        <w:rPr>
          <w:rFonts w:eastAsia="TimesNewRoman,BoldItalic"/>
        </w:rPr>
        <w:t xml:space="preserve">post-vaccination follow-up period in children </w:t>
      </w:r>
      <w:r w:rsidR="005879FC">
        <w:rPr>
          <w:rFonts w:eastAsia="TimesNewRoman,BoldItalic"/>
        </w:rPr>
        <w:t>6 to 35</w:t>
      </w:r>
      <w:r w:rsidRPr="00B73B44">
        <w:rPr>
          <w:rFonts w:eastAsia="TimesNewRoman,BoldItalic"/>
        </w:rPr>
        <w:t xml:space="preserve"> months of age</w:t>
      </w:r>
    </w:p>
    <w:p w14:paraId="09B69D09" w14:textId="77777777" w:rsidR="00F30851" w:rsidRPr="00B73B44" w:rsidRDefault="00F30851" w:rsidP="00F30851">
      <w:pPr>
        <w:autoSpaceDE w:val="0"/>
        <w:autoSpaceDN w:val="0"/>
        <w:adjustRightInd w:val="0"/>
        <w:spacing w:before="0" w:after="0" w:line="240" w:lineRule="auto"/>
        <w:ind w:left="170"/>
        <w:rPr>
          <w:rFonts w:asciiTheme="minorHAnsi" w:eastAsia="TimesNewRoman" w:hAnsiTheme="minorHAnsi" w:cs="TimesNewRoman"/>
        </w:rPr>
      </w:pPr>
      <w:r w:rsidRPr="00C90C3C">
        <w:rPr>
          <w:rFonts w:asciiTheme="minorHAnsi" w:eastAsia="TimesNewRoman" w:hAnsiTheme="minorHAnsi" w:cs="TimesNewRoman"/>
        </w:rPr>
        <w:t>The frequency of reported AEs (any solicited or unsolicited, local or general) during the 7</w:t>
      </w:r>
      <w:r w:rsidR="00A06C4B">
        <w:rPr>
          <w:rFonts w:asciiTheme="minorHAnsi" w:eastAsia="TimesNewRoman" w:hAnsiTheme="minorHAnsi" w:cs="TimesNewRoman"/>
        </w:rPr>
        <w:t xml:space="preserve"> day </w:t>
      </w:r>
      <w:r w:rsidRPr="00C90C3C">
        <w:rPr>
          <w:rFonts w:asciiTheme="minorHAnsi" w:eastAsia="TimesNewRoman" w:hAnsiTheme="minorHAnsi" w:cs="TimesNewRoman"/>
        </w:rPr>
        <w:t>postvaccination</w:t>
      </w:r>
      <w:r>
        <w:rPr>
          <w:rFonts w:asciiTheme="minorHAnsi" w:eastAsia="TimesNewRoman" w:hAnsiTheme="minorHAnsi" w:cs="TimesNewRoman"/>
        </w:rPr>
        <w:t xml:space="preserve"> </w:t>
      </w:r>
      <w:r w:rsidRPr="00C90C3C">
        <w:rPr>
          <w:rFonts w:asciiTheme="minorHAnsi" w:eastAsia="TimesNewRoman" w:hAnsiTheme="minorHAnsi" w:cs="TimesNewRoman"/>
        </w:rPr>
        <w:t xml:space="preserve">follow-up period was similar between </w:t>
      </w:r>
      <w:r w:rsidR="005D2053">
        <w:rPr>
          <w:rFonts w:asciiTheme="minorHAnsi" w:eastAsia="TimesNewRoman" w:hAnsiTheme="minorHAnsi" w:cs="TimesNewRoman"/>
        </w:rPr>
        <w:t>Tetra Fluarix IP</w:t>
      </w:r>
      <w:r w:rsidRPr="00C90C3C">
        <w:rPr>
          <w:rFonts w:asciiTheme="minorHAnsi" w:eastAsia="TimesNewRoman" w:hAnsiTheme="minorHAnsi" w:cs="TimesNewRoman"/>
        </w:rPr>
        <w:t xml:space="preserve"> and </w:t>
      </w:r>
      <w:r w:rsidR="005D2053">
        <w:rPr>
          <w:rFonts w:asciiTheme="minorHAnsi" w:eastAsia="TimesNewRoman" w:hAnsiTheme="minorHAnsi" w:cs="TimesNewRoman"/>
        </w:rPr>
        <w:t>Tetra Fluarix LP</w:t>
      </w:r>
      <w:r w:rsidRPr="00C90C3C">
        <w:rPr>
          <w:rFonts w:asciiTheme="minorHAnsi" w:eastAsia="TimesNewRoman" w:hAnsiTheme="minorHAnsi" w:cs="TimesNewRoman"/>
        </w:rPr>
        <w:t xml:space="preserve"> </w:t>
      </w:r>
      <w:r>
        <w:rPr>
          <w:rFonts w:asciiTheme="minorHAnsi" w:eastAsia="TimesNewRoman" w:hAnsiTheme="minorHAnsi" w:cs="TimesNewRoman"/>
        </w:rPr>
        <w:t>g</w:t>
      </w:r>
      <w:r w:rsidR="001D7147">
        <w:rPr>
          <w:rFonts w:asciiTheme="minorHAnsi" w:eastAsia="TimesNewRoman" w:hAnsiTheme="minorHAnsi" w:cs="TimesNewRoman"/>
        </w:rPr>
        <w:t>rou</w:t>
      </w:r>
      <w:r>
        <w:rPr>
          <w:rFonts w:asciiTheme="minorHAnsi" w:eastAsia="TimesNewRoman" w:hAnsiTheme="minorHAnsi" w:cs="TimesNewRoman"/>
        </w:rPr>
        <w:t>p</w:t>
      </w:r>
      <w:r w:rsidRPr="00C90C3C">
        <w:rPr>
          <w:rFonts w:asciiTheme="minorHAnsi" w:eastAsia="TimesNewRoman" w:hAnsiTheme="minorHAnsi" w:cs="TimesNewRoman"/>
        </w:rPr>
        <w:t>s in this per country</w:t>
      </w:r>
      <w:r>
        <w:rPr>
          <w:rFonts w:asciiTheme="minorHAnsi" w:eastAsia="TimesNewRoman" w:hAnsiTheme="minorHAnsi" w:cs="TimesNewRoman"/>
        </w:rPr>
        <w:t xml:space="preserve"> </w:t>
      </w:r>
      <w:r w:rsidRPr="00C90C3C">
        <w:rPr>
          <w:rFonts w:asciiTheme="minorHAnsi" w:eastAsia="TimesNewRoman" w:hAnsiTheme="minorHAnsi" w:cs="TimesNewRoman"/>
        </w:rPr>
        <w:t xml:space="preserve">analysis. The incidence of </w:t>
      </w:r>
      <w:r w:rsidRPr="008C0006">
        <w:rPr>
          <w:rFonts w:asciiTheme="minorHAnsi" w:eastAsia="TimesNewRoman" w:hAnsiTheme="minorHAnsi" w:cs="TimesNewRoman"/>
        </w:rPr>
        <w:t xml:space="preserve">≥1 </w:t>
      </w:r>
      <w:r w:rsidRPr="00C90C3C">
        <w:rPr>
          <w:rFonts w:asciiTheme="minorHAnsi" w:eastAsia="TimesNewRoman" w:hAnsiTheme="minorHAnsi" w:cs="TimesNewRoman"/>
        </w:rPr>
        <w:t>solicited or unsolicited AE was highest in Spain, reported (overall</w:t>
      </w:r>
      <w:r>
        <w:rPr>
          <w:rFonts w:asciiTheme="minorHAnsi" w:eastAsia="TimesNewRoman" w:hAnsiTheme="minorHAnsi" w:cs="TimesNewRoman"/>
        </w:rPr>
        <w:t xml:space="preserve"> </w:t>
      </w:r>
      <w:r w:rsidRPr="00C90C3C">
        <w:rPr>
          <w:rFonts w:asciiTheme="minorHAnsi" w:eastAsia="TimesNewRoman" w:hAnsiTheme="minorHAnsi" w:cs="TimesNewRoman"/>
        </w:rPr>
        <w:t xml:space="preserve">per subject) for 82.2% (67.2% overall per dose) in the </w:t>
      </w:r>
      <w:r w:rsidR="005879FC">
        <w:rPr>
          <w:rFonts w:asciiTheme="minorHAnsi" w:eastAsia="TimesNewRoman" w:hAnsiTheme="minorHAnsi" w:cs="TimesNewRoman"/>
        </w:rPr>
        <w:t>Tetra Fluarix IP group</w:t>
      </w:r>
      <w:r w:rsidR="007C384B">
        <w:rPr>
          <w:rFonts w:asciiTheme="minorHAnsi" w:eastAsia="TimesNewRoman" w:hAnsiTheme="minorHAnsi" w:cs="TimesNewRoman"/>
        </w:rPr>
        <w:t>,</w:t>
      </w:r>
      <w:r w:rsidRPr="00C90C3C">
        <w:rPr>
          <w:rFonts w:asciiTheme="minorHAnsi" w:eastAsia="TimesNewRoman" w:hAnsiTheme="minorHAnsi" w:cs="TimesNewRoman"/>
        </w:rPr>
        <w:t xml:space="preserve"> and for 78.2% (63.3% overall per dose) in the </w:t>
      </w:r>
      <w:r w:rsidR="005879FC">
        <w:rPr>
          <w:rFonts w:asciiTheme="minorHAnsi" w:eastAsia="TimesNewRoman" w:hAnsiTheme="minorHAnsi" w:cs="TimesNewRoman"/>
        </w:rPr>
        <w:t>Tetra Fluarix LP group</w:t>
      </w:r>
      <w:r w:rsidR="007C384B">
        <w:rPr>
          <w:rFonts w:asciiTheme="minorHAnsi" w:eastAsia="TimesNewRoman" w:hAnsiTheme="minorHAnsi" w:cs="TimesNewRoman"/>
        </w:rPr>
        <w:t>.</w:t>
      </w:r>
      <w:r w:rsidRPr="00C90C3C">
        <w:rPr>
          <w:rFonts w:asciiTheme="minorHAnsi" w:eastAsia="TimesNewRoman" w:hAnsiTheme="minorHAnsi" w:cs="TimesNewRoman"/>
        </w:rPr>
        <w:t xml:space="preserve"> This was followed by Germany, where 80.4%</w:t>
      </w:r>
      <w:r>
        <w:rPr>
          <w:rFonts w:asciiTheme="minorHAnsi" w:eastAsia="TimesNewRoman" w:hAnsiTheme="minorHAnsi" w:cs="TimesNewRoman"/>
        </w:rPr>
        <w:t xml:space="preserve"> </w:t>
      </w:r>
      <w:r w:rsidRPr="00C90C3C">
        <w:rPr>
          <w:rFonts w:asciiTheme="minorHAnsi" w:eastAsia="TimesNewRoman" w:hAnsiTheme="minorHAnsi" w:cs="TimesNewRoman"/>
        </w:rPr>
        <w:t xml:space="preserve">(69.4% overall per dose) reported </w:t>
      </w:r>
      <w:r w:rsidRPr="008C0006">
        <w:rPr>
          <w:rFonts w:asciiTheme="minorHAnsi" w:eastAsia="TimesNewRoman" w:hAnsiTheme="minorHAnsi" w:cs="TimesNewRoman"/>
        </w:rPr>
        <w:t xml:space="preserve">≥1 </w:t>
      </w:r>
      <w:r w:rsidRPr="00C90C3C">
        <w:rPr>
          <w:rFonts w:asciiTheme="minorHAnsi" w:eastAsia="TimesNewRoman" w:hAnsiTheme="minorHAnsi" w:cs="TimesNewRoman"/>
        </w:rPr>
        <w:t xml:space="preserve">solicited or unsolicited AE in the </w:t>
      </w:r>
      <w:r w:rsidR="005879FC">
        <w:rPr>
          <w:rFonts w:asciiTheme="minorHAnsi" w:eastAsia="TimesNewRoman" w:hAnsiTheme="minorHAnsi" w:cs="TimesNewRoman"/>
        </w:rPr>
        <w:t>Tetra Fluarix IP group</w:t>
      </w:r>
      <w:r w:rsidR="00CE366D">
        <w:rPr>
          <w:rFonts w:asciiTheme="minorHAnsi" w:eastAsia="TimesNewRoman" w:hAnsiTheme="minorHAnsi" w:cs="TimesNewRoman"/>
        </w:rPr>
        <w:t xml:space="preserve"> </w:t>
      </w:r>
      <w:r w:rsidRPr="00C90C3C">
        <w:rPr>
          <w:rFonts w:asciiTheme="minorHAnsi" w:eastAsia="TimesNewRoman" w:hAnsiTheme="minorHAnsi" w:cs="TimesNewRoman"/>
        </w:rPr>
        <w:t xml:space="preserve">and 81.0% (70.1% overall per dose) in the </w:t>
      </w:r>
      <w:r w:rsidR="005879FC">
        <w:rPr>
          <w:rFonts w:asciiTheme="minorHAnsi" w:eastAsia="TimesNewRoman" w:hAnsiTheme="minorHAnsi" w:cs="TimesNewRoman"/>
        </w:rPr>
        <w:t>Tetra Fluarix LP group</w:t>
      </w:r>
      <w:r w:rsidR="007C384B">
        <w:rPr>
          <w:rFonts w:asciiTheme="minorHAnsi" w:eastAsia="TimesNewRoman" w:hAnsiTheme="minorHAnsi" w:cs="TimesNewRoman"/>
        </w:rPr>
        <w:t>.</w:t>
      </w:r>
      <w:r w:rsidRPr="00C90C3C">
        <w:rPr>
          <w:rFonts w:asciiTheme="minorHAnsi" w:eastAsia="TimesNewRoman" w:hAnsiTheme="minorHAnsi" w:cs="TimesNewRoman"/>
        </w:rPr>
        <w:t xml:space="preserve"> France reported </w:t>
      </w:r>
      <w:r w:rsidRPr="008C0006">
        <w:rPr>
          <w:rFonts w:asciiTheme="minorHAnsi" w:eastAsia="TimesNewRoman" w:hAnsiTheme="minorHAnsi" w:cs="TimesNewRoman"/>
        </w:rPr>
        <w:t xml:space="preserve">≥1 </w:t>
      </w:r>
      <w:r w:rsidRPr="00C90C3C">
        <w:rPr>
          <w:rFonts w:asciiTheme="minorHAnsi" w:eastAsia="TimesNewRoman" w:hAnsiTheme="minorHAnsi" w:cs="TimesNewRoman"/>
        </w:rPr>
        <w:t xml:space="preserve">AE for 61.4% (45.6% overall per dose) in the </w:t>
      </w:r>
      <w:r w:rsidR="005879FC">
        <w:rPr>
          <w:rFonts w:asciiTheme="minorHAnsi" w:eastAsia="TimesNewRoman" w:hAnsiTheme="minorHAnsi" w:cs="TimesNewRoman"/>
        </w:rPr>
        <w:t>Tetra Fluarix IP group</w:t>
      </w:r>
      <w:r w:rsidR="00CE366D">
        <w:rPr>
          <w:rFonts w:asciiTheme="minorHAnsi" w:eastAsia="TimesNewRoman" w:hAnsiTheme="minorHAnsi" w:cs="TimesNewRoman"/>
        </w:rPr>
        <w:t xml:space="preserve"> </w:t>
      </w:r>
      <w:r w:rsidRPr="00C90C3C">
        <w:rPr>
          <w:rFonts w:asciiTheme="minorHAnsi" w:eastAsia="TimesNewRoman" w:hAnsiTheme="minorHAnsi" w:cs="TimesNewRoman"/>
        </w:rPr>
        <w:t xml:space="preserve">and for 60.0% (44.0% overall per dose) in the </w:t>
      </w:r>
      <w:r w:rsidR="005879FC">
        <w:rPr>
          <w:rFonts w:asciiTheme="minorHAnsi" w:eastAsia="TimesNewRoman" w:hAnsiTheme="minorHAnsi" w:cs="TimesNewRoman"/>
        </w:rPr>
        <w:t>Tetra Fluarix LP group</w:t>
      </w:r>
      <w:r w:rsidR="007C384B">
        <w:rPr>
          <w:rFonts w:asciiTheme="minorHAnsi" w:eastAsia="TimesNewRoman" w:hAnsiTheme="minorHAnsi" w:cs="TimesNewRoman"/>
        </w:rPr>
        <w:t>.</w:t>
      </w:r>
      <w:r w:rsidRPr="00C90C3C">
        <w:rPr>
          <w:rFonts w:asciiTheme="minorHAnsi" w:eastAsia="TimesNewRoman" w:hAnsiTheme="minorHAnsi" w:cs="TimesNewRoman"/>
        </w:rPr>
        <w:t xml:space="preserve"> Poland reported </w:t>
      </w:r>
      <w:r w:rsidRPr="008C0006">
        <w:rPr>
          <w:rFonts w:asciiTheme="minorHAnsi" w:eastAsia="TimesNewRoman" w:hAnsiTheme="minorHAnsi" w:cs="TimesNewRoman"/>
        </w:rPr>
        <w:t xml:space="preserve">≥1 </w:t>
      </w:r>
      <w:r w:rsidRPr="00C90C3C">
        <w:rPr>
          <w:rFonts w:asciiTheme="minorHAnsi" w:eastAsia="TimesNewRoman" w:hAnsiTheme="minorHAnsi" w:cs="TimesNewRoman"/>
        </w:rPr>
        <w:t xml:space="preserve">AE for 60.4% (51.0% overall per dose) in the </w:t>
      </w:r>
      <w:r w:rsidR="005879FC">
        <w:rPr>
          <w:rFonts w:asciiTheme="minorHAnsi" w:eastAsia="TimesNewRoman" w:hAnsiTheme="minorHAnsi" w:cs="TimesNewRoman"/>
        </w:rPr>
        <w:t>Tetra Fluarix IP group</w:t>
      </w:r>
      <w:r w:rsidR="00CE366D">
        <w:rPr>
          <w:rFonts w:asciiTheme="minorHAnsi" w:eastAsia="TimesNewRoman" w:hAnsiTheme="minorHAnsi" w:cs="TimesNewRoman"/>
        </w:rPr>
        <w:t xml:space="preserve"> </w:t>
      </w:r>
      <w:r w:rsidRPr="00C90C3C">
        <w:rPr>
          <w:rFonts w:asciiTheme="minorHAnsi" w:eastAsia="TimesNewRoman" w:hAnsiTheme="minorHAnsi" w:cs="TimesNewRoman"/>
        </w:rPr>
        <w:t>and for 47.3% (37.0% overall per dose) in</w:t>
      </w:r>
      <w:r>
        <w:rPr>
          <w:rFonts w:asciiTheme="minorHAnsi" w:eastAsia="TimesNewRoman" w:hAnsiTheme="minorHAnsi" w:cs="TimesNewRoman"/>
        </w:rPr>
        <w:t xml:space="preserve"> the </w:t>
      </w:r>
      <w:r w:rsidR="005879FC">
        <w:rPr>
          <w:rFonts w:asciiTheme="minorHAnsi" w:eastAsia="TimesNewRoman" w:hAnsiTheme="minorHAnsi" w:cs="TimesNewRoman"/>
        </w:rPr>
        <w:t>Tetra Fluarix LP group</w:t>
      </w:r>
      <w:r w:rsidR="007C384B">
        <w:rPr>
          <w:rFonts w:asciiTheme="minorHAnsi" w:eastAsia="TimesNewRoman" w:hAnsiTheme="minorHAnsi" w:cs="TimesNewRoman"/>
        </w:rPr>
        <w:t>.</w:t>
      </w:r>
      <w:r>
        <w:rPr>
          <w:rFonts w:asciiTheme="minorHAnsi" w:eastAsia="TimesNewRoman" w:hAnsiTheme="minorHAnsi" w:cs="TimesNewRoman"/>
        </w:rPr>
        <w:t xml:space="preserve"> </w:t>
      </w:r>
      <w:r w:rsidRPr="00C90C3C">
        <w:rPr>
          <w:rFonts w:asciiTheme="minorHAnsi" w:eastAsia="TimesNewRoman" w:hAnsiTheme="minorHAnsi" w:cs="TimesNewRoman"/>
        </w:rPr>
        <w:t xml:space="preserve">Bangladesh reported </w:t>
      </w:r>
      <w:r w:rsidRPr="008C0006">
        <w:rPr>
          <w:rFonts w:asciiTheme="minorHAnsi" w:eastAsia="TimesNewRoman" w:hAnsiTheme="minorHAnsi" w:cs="TimesNewRoman"/>
        </w:rPr>
        <w:t xml:space="preserve">≥1 </w:t>
      </w:r>
      <w:r w:rsidRPr="00C90C3C">
        <w:rPr>
          <w:rFonts w:asciiTheme="minorHAnsi" w:eastAsia="TimesNewRoman" w:hAnsiTheme="minorHAnsi" w:cs="TimesNewRoman"/>
        </w:rPr>
        <w:t>AE for 11.1% (5.6% overall per dose)</w:t>
      </w:r>
      <w:r>
        <w:rPr>
          <w:rFonts w:asciiTheme="minorHAnsi" w:eastAsia="TimesNewRoman" w:hAnsiTheme="minorHAnsi" w:cs="TimesNewRoman"/>
        </w:rPr>
        <w:t xml:space="preserve"> </w:t>
      </w:r>
      <w:r w:rsidRPr="00C90C3C">
        <w:rPr>
          <w:rFonts w:asciiTheme="minorHAnsi" w:eastAsia="TimesNewRoman" w:hAnsiTheme="minorHAnsi" w:cs="TimesNewRoman"/>
        </w:rPr>
        <w:t xml:space="preserve">in the </w:t>
      </w:r>
      <w:r w:rsidR="005879FC">
        <w:rPr>
          <w:rFonts w:asciiTheme="minorHAnsi" w:eastAsia="TimesNewRoman" w:hAnsiTheme="minorHAnsi" w:cs="TimesNewRoman"/>
        </w:rPr>
        <w:t>Tetra Fluarix IP group</w:t>
      </w:r>
      <w:r w:rsidR="00CE366D">
        <w:rPr>
          <w:rFonts w:asciiTheme="minorHAnsi" w:eastAsia="TimesNewRoman" w:hAnsiTheme="minorHAnsi" w:cs="TimesNewRoman"/>
        </w:rPr>
        <w:t xml:space="preserve"> </w:t>
      </w:r>
      <w:r w:rsidRPr="00C90C3C">
        <w:rPr>
          <w:rFonts w:asciiTheme="minorHAnsi" w:eastAsia="TimesNewRoman" w:hAnsiTheme="minorHAnsi" w:cs="TimesNewRoman"/>
        </w:rPr>
        <w:t xml:space="preserve">and for 18.0% (9.1% overall per dose) in the </w:t>
      </w:r>
      <w:r w:rsidR="005879FC">
        <w:rPr>
          <w:rFonts w:asciiTheme="minorHAnsi" w:eastAsia="TimesNewRoman" w:hAnsiTheme="minorHAnsi" w:cs="TimesNewRoman"/>
        </w:rPr>
        <w:t>Tetra Fluarix LP group</w:t>
      </w:r>
      <w:r w:rsidR="007C384B">
        <w:rPr>
          <w:rFonts w:asciiTheme="minorHAnsi" w:eastAsia="TimesNewRoman" w:hAnsiTheme="minorHAnsi" w:cs="TimesNewRoman"/>
        </w:rPr>
        <w:t>.</w:t>
      </w:r>
    </w:p>
    <w:p w14:paraId="3DB30F60" w14:textId="77777777" w:rsidR="00F30851" w:rsidRDefault="00F30851" w:rsidP="001D7147">
      <w:pPr>
        <w:pStyle w:val="Heading4"/>
      </w:pPr>
      <w:r w:rsidRPr="00545B14">
        <w:lastRenderedPageBreak/>
        <w:t>Treatment</w:t>
      </w:r>
      <w:r>
        <w:t xml:space="preserve"> </w:t>
      </w:r>
      <w:r w:rsidRPr="00545B14">
        <w:t>related adverse events (adverse drug reactions)</w:t>
      </w:r>
      <w:bookmarkEnd w:id="132"/>
      <w:bookmarkEnd w:id="133"/>
      <w:bookmarkEnd w:id="134"/>
      <w:bookmarkEnd w:id="135"/>
      <w:bookmarkEnd w:id="136"/>
      <w:bookmarkEnd w:id="137"/>
      <w:bookmarkEnd w:id="138"/>
    </w:p>
    <w:p w14:paraId="1961BD0E" w14:textId="77777777" w:rsidR="00F30851" w:rsidRDefault="00F30851" w:rsidP="001D7147">
      <w:pPr>
        <w:pStyle w:val="Heading5"/>
      </w:pPr>
      <w:r w:rsidRPr="00073FEC">
        <w:t xml:space="preserve">Pivotal </w:t>
      </w:r>
      <w:r w:rsidR="00943514">
        <w:t>Study D-QIV-</w:t>
      </w:r>
      <w:r w:rsidRPr="00C4289B">
        <w:t>004</w:t>
      </w:r>
    </w:p>
    <w:p w14:paraId="559E7A22" w14:textId="77777777" w:rsidR="001D7147" w:rsidRDefault="00F30851" w:rsidP="001D7147">
      <w:pPr>
        <w:pStyle w:val="Heading6"/>
      </w:pPr>
      <w:r w:rsidRPr="007065F5">
        <w:t>Solicited local AEs (during the 7</w:t>
      </w:r>
      <w:r w:rsidR="00A06C4B">
        <w:t xml:space="preserve"> day </w:t>
      </w:r>
      <w:r w:rsidRPr="007065F5">
        <w:t>post-vaccination follow-up period)</w:t>
      </w:r>
      <w:r>
        <w:t xml:space="preserve"> (Table </w:t>
      </w:r>
      <w:r w:rsidR="001D7147">
        <w:t>18</w:t>
      </w:r>
      <w:r>
        <w:t>)</w:t>
      </w:r>
    </w:p>
    <w:p w14:paraId="3BC03F19" w14:textId="77777777" w:rsidR="00F30851" w:rsidRPr="008C0006" w:rsidRDefault="00F30851" w:rsidP="00F30851">
      <w:pPr>
        <w:ind w:left="170"/>
      </w:pPr>
      <w:r>
        <w:t>Injection site pain was the most commonly reported solicited local AE during the 7</w:t>
      </w:r>
      <w:r w:rsidR="00A06C4B">
        <w:t xml:space="preserve"> day </w:t>
      </w:r>
      <w:r>
        <w:t xml:space="preserve">post-vaccination period and was reported for 22.9% (15.6% overall/dose) in the </w:t>
      </w:r>
      <w:r w:rsidR="00E278CC">
        <w:t>Fluarix Tetra</w:t>
      </w:r>
      <w:r w:rsidR="00CE366D">
        <w:t xml:space="preserve"> group </w:t>
      </w:r>
      <w:r>
        <w:t xml:space="preserve">and 23.3% (16.0% overall/dose) in the </w:t>
      </w:r>
      <w:r w:rsidR="00E835BC">
        <w:t>control group.</w:t>
      </w:r>
      <w:r>
        <w:t xml:space="preserve"> There was no increase in the incidences of solicited local AEs from Dose 1 to Dose 2 of the </w:t>
      </w:r>
      <w:r w:rsidR="00E278CC">
        <w:t>Fluarix Tetra</w:t>
      </w:r>
      <w:r>
        <w:t xml:space="preserve"> vaccine. Grade 3 solicited local AEs were not reported for more than 0.8% of subjects (0.4% overall/dose) in both vaccine g</w:t>
      </w:r>
      <w:r w:rsidR="000B015D">
        <w:t>rou</w:t>
      </w:r>
      <w:r>
        <w:t>ps.</w:t>
      </w:r>
    </w:p>
    <w:p w14:paraId="59416644" w14:textId="77777777" w:rsidR="001D7147" w:rsidRDefault="00F30851" w:rsidP="001D7147">
      <w:pPr>
        <w:pStyle w:val="Heading6"/>
      </w:pPr>
      <w:r w:rsidRPr="007065F5">
        <w:t>Solicited general AEs (during the 7</w:t>
      </w:r>
      <w:r w:rsidR="00A06C4B">
        <w:t xml:space="preserve"> day </w:t>
      </w:r>
      <w:r w:rsidRPr="007065F5">
        <w:t>post-vaccination follow-up period)</w:t>
      </w:r>
      <w:r>
        <w:t xml:space="preserve"> (Table </w:t>
      </w:r>
      <w:r w:rsidR="001D7147">
        <w:t>19</w:t>
      </w:r>
      <w:r>
        <w:t>)</w:t>
      </w:r>
    </w:p>
    <w:p w14:paraId="3CFD23C8" w14:textId="77777777" w:rsidR="00F30851" w:rsidRPr="008C0006" w:rsidRDefault="00F30851" w:rsidP="001D7147">
      <w:r>
        <w:t>The most commonly reported solicited general AE during the 7</w:t>
      </w:r>
      <w:r w:rsidR="00A06C4B">
        <w:t xml:space="preserve"> day </w:t>
      </w:r>
      <w:r>
        <w:t xml:space="preserve">post-vaccination period was irritability/fussiness, reported for 23.4% (14.9% overall/dose) in the </w:t>
      </w:r>
      <w:r w:rsidR="00E278CC">
        <w:t>Fluarix Tetra</w:t>
      </w:r>
      <w:r w:rsidR="00CE366D">
        <w:t xml:space="preserve"> group </w:t>
      </w:r>
      <w:r>
        <w:t xml:space="preserve">and 24.2% (15.5% overall/dose) in the </w:t>
      </w:r>
      <w:r w:rsidR="00E835BC">
        <w:t>control group.</w:t>
      </w:r>
      <w:r>
        <w:t xml:space="preserve"> The most commonly reported solicited </w:t>
      </w:r>
      <w:r w:rsidR="00A06C4B">
        <w:t>Grade 3</w:t>
      </w:r>
      <w:r>
        <w:t xml:space="preserve"> general AE during the 7</w:t>
      </w:r>
      <w:r w:rsidR="00A06C4B">
        <w:t xml:space="preserve"> day </w:t>
      </w:r>
      <w:r>
        <w:t xml:space="preserve">post-vaccination period was fever (&gt;39.0°C), reported for 2.3% of subjects (1.2% overall/dose) in the </w:t>
      </w:r>
      <w:r w:rsidR="00E278CC">
        <w:t>Fluarix Tetra</w:t>
      </w:r>
      <w:r w:rsidR="00CE366D">
        <w:t xml:space="preserve"> group </w:t>
      </w:r>
      <w:r>
        <w:t xml:space="preserve">and 2.4% of subjects (1.3% overall/dose) in the </w:t>
      </w:r>
      <w:r w:rsidR="00E835BC">
        <w:t>control group.</w:t>
      </w:r>
    </w:p>
    <w:p w14:paraId="56528AC5" w14:textId="77777777" w:rsidR="001D7147" w:rsidRPr="001D7147" w:rsidRDefault="00F30851" w:rsidP="001D7147">
      <w:pPr>
        <w:pStyle w:val="Heading6"/>
      </w:pPr>
      <w:r w:rsidRPr="007065F5">
        <w:t>Unsolicited AEs (during the 28</w:t>
      </w:r>
      <w:r w:rsidR="00A06C4B">
        <w:t xml:space="preserve"> day </w:t>
      </w:r>
      <w:r w:rsidRPr="007065F5">
        <w:t>post-vaccination follow-up period)</w:t>
      </w:r>
    </w:p>
    <w:p w14:paraId="37A27C9C" w14:textId="77777777" w:rsidR="00F30851" w:rsidRPr="0098436B" w:rsidRDefault="00F30851" w:rsidP="001D7147">
      <w:r>
        <w:t>The % who reported ≥1 unsolicited AE of any grade during the 28</w:t>
      </w:r>
      <w:r w:rsidR="00A06C4B">
        <w:t xml:space="preserve"> day </w:t>
      </w:r>
      <w:r>
        <w:t xml:space="preserve">follow-up period was 44.0% and 44.6% for the </w:t>
      </w:r>
      <w:r w:rsidR="00E278CC">
        <w:t>Fluarix Tetra</w:t>
      </w:r>
      <w:r>
        <w:t xml:space="preserve"> and </w:t>
      </w:r>
      <w:r w:rsidR="00E96CE3">
        <w:t>control groups</w:t>
      </w:r>
      <w:r>
        <w:t xml:space="preserve">, respectively: Nasopharyngitis (14.5% and 15.7% of </w:t>
      </w:r>
      <w:r w:rsidRPr="0098436B">
        <w:t xml:space="preserve">subjects in the </w:t>
      </w:r>
      <w:r w:rsidR="00E278CC">
        <w:t>Fluarix Tetra</w:t>
      </w:r>
      <w:r w:rsidRPr="0098436B">
        <w:t xml:space="preserve"> and </w:t>
      </w:r>
      <w:r w:rsidR="00E96CE3">
        <w:t>control groups</w:t>
      </w:r>
      <w:r w:rsidRPr="0098436B">
        <w:t xml:space="preserve"> respectively) and </w:t>
      </w:r>
      <w:r>
        <w:t>upper respiratory tract infection (</w:t>
      </w:r>
      <w:r w:rsidRPr="0098436B">
        <w:t>URTI</w:t>
      </w:r>
      <w:r>
        <w:t>)</w:t>
      </w:r>
      <w:r w:rsidRPr="0098436B">
        <w:t xml:space="preserve"> (8.7% and 8.6% of subjects in the </w:t>
      </w:r>
      <w:r w:rsidR="00E278CC">
        <w:t>Fluarix Tetra</w:t>
      </w:r>
      <w:r w:rsidRPr="0098436B">
        <w:t xml:space="preserve"> and </w:t>
      </w:r>
      <w:r w:rsidR="00E96CE3">
        <w:t>control groups</w:t>
      </w:r>
      <w:r w:rsidRPr="0098436B">
        <w:t xml:space="preserve">, respectively) were most frequently reported. The % of subjects who reported the occurrence of </w:t>
      </w:r>
      <w:r w:rsidR="00A06C4B">
        <w:t>Grade 3</w:t>
      </w:r>
      <w:r w:rsidRPr="0098436B">
        <w:t xml:space="preserve"> unsolicited AEs was 2.7% (</w:t>
      </w:r>
      <w:r w:rsidR="00E278CC">
        <w:t>Fluarix Tetra</w:t>
      </w:r>
      <w:r w:rsidRPr="0098436B">
        <w:t>) and 2.5% (Control). The % who reported the occurrence of unsolicited AEs that were possibly related to vaccination according to the investigator was 1.8% (</w:t>
      </w:r>
      <w:r w:rsidR="00E278CC">
        <w:t>Fluarix Tetra</w:t>
      </w:r>
      <w:r w:rsidRPr="0098436B">
        <w:t xml:space="preserve">) and 1.9% (Control). Seven subjects (0.1%) in the </w:t>
      </w:r>
      <w:r w:rsidR="00E278CC">
        <w:t>Fluarix Tetra</w:t>
      </w:r>
      <w:r w:rsidR="00CE366D">
        <w:t xml:space="preserve"> group </w:t>
      </w:r>
      <w:r w:rsidRPr="0098436B">
        <w:t>and 3 subjects (&lt;0/1%) in the Control</w:t>
      </w:r>
      <w:r w:rsidR="00CE366D">
        <w:t xml:space="preserve"> group </w:t>
      </w:r>
      <w:r w:rsidRPr="0098436B">
        <w:t xml:space="preserve">reported the occurrence of </w:t>
      </w:r>
      <w:r w:rsidR="00A06C4B">
        <w:t>Grade 3</w:t>
      </w:r>
      <w:r w:rsidRPr="0098436B">
        <w:t xml:space="preserve"> unsolicited AEs that were causally related to vaccination.</w:t>
      </w:r>
    </w:p>
    <w:p w14:paraId="6F934CBA" w14:textId="77777777" w:rsidR="00717361" w:rsidRDefault="00F30851" w:rsidP="00717361">
      <w:pPr>
        <w:pStyle w:val="Heading6"/>
      </w:pPr>
      <w:r w:rsidRPr="0098436B">
        <w:t>Unsolicited AEs with MAVs (during the entire study period)</w:t>
      </w:r>
    </w:p>
    <w:p w14:paraId="00F37688" w14:textId="77777777" w:rsidR="00F30851" w:rsidRPr="0098436B" w:rsidRDefault="00F30851" w:rsidP="00717361">
      <w:r w:rsidRPr="0098436B">
        <w:t xml:space="preserve">The % who reported at ≥1 AE with MAV during the entire study period was 64.7% in the </w:t>
      </w:r>
      <w:r w:rsidR="00E278CC">
        <w:t>Fluarix Tetra</w:t>
      </w:r>
      <w:r w:rsidR="00CE366D">
        <w:t xml:space="preserve"> group </w:t>
      </w:r>
      <w:r w:rsidRPr="0098436B">
        <w:t xml:space="preserve">and 66.3% in the </w:t>
      </w:r>
      <w:r w:rsidR="00E835BC">
        <w:t>control group.</w:t>
      </w:r>
      <w:r w:rsidRPr="0098436B">
        <w:t xml:space="preserve"> Nasopharyngitis (29.0% and 30.0% of subjects in the </w:t>
      </w:r>
      <w:r w:rsidR="00E278CC">
        <w:t>Fluarix Tetra</w:t>
      </w:r>
      <w:r w:rsidRPr="0098436B">
        <w:t xml:space="preserve"> and </w:t>
      </w:r>
      <w:r w:rsidR="00E96CE3">
        <w:t>control groups</w:t>
      </w:r>
      <w:r w:rsidRPr="0098436B">
        <w:t xml:space="preserve">, respectively) and URTI (18.2% and 19.0% of subjects in the </w:t>
      </w:r>
      <w:r w:rsidR="00E278CC">
        <w:t>Fluarix Tetra</w:t>
      </w:r>
      <w:r w:rsidRPr="0098436B">
        <w:t xml:space="preserve"> and </w:t>
      </w:r>
      <w:r w:rsidR="00E96CE3">
        <w:t>control groups</w:t>
      </w:r>
      <w:r w:rsidRPr="0098436B">
        <w:t xml:space="preserve">, respectively) were most frequently reported. Grade 3 AEs with MAV were reported for 3.3% and 3.5% of subjects in the </w:t>
      </w:r>
      <w:r w:rsidR="00E278CC">
        <w:t>Fluarix Tetra</w:t>
      </w:r>
      <w:r w:rsidRPr="0098436B">
        <w:t xml:space="preserve"> and </w:t>
      </w:r>
      <w:r w:rsidR="00E96CE3">
        <w:t>control groups</w:t>
      </w:r>
      <w:r w:rsidRPr="0098436B">
        <w:t>, respectively. AEs with MAV with possible causal relationship to the vaccine according to the investigator were reported for 0.9% and 1.0%</w:t>
      </w:r>
      <w:r>
        <w:t xml:space="preserve"> </w:t>
      </w:r>
      <w:r w:rsidRPr="0098436B">
        <w:t xml:space="preserve">in the </w:t>
      </w:r>
      <w:r w:rsidR="00E278CC">
        <w:t>Fluarix Tetra</w:t>
      </w:r>
      <w:r w:rsidRPr="0098436B">
        <w:t xml:space="preserve"> and </w:t>
      </w:r>
      <w:r w:rsidR="00E96CE3">
        <w:t>control groups</w:t>
      </w:r>
      <w:r w:rsidRPr="0098436B">
        <w:t xml:space="preserve">, respectively. Four subjects (0.1%) in the </w:t>
      </w:r>
      <w:r w:rsidR="00E278CC">
        <w:t>Fluarix Tetra</w:t>
      </w:r>
      <w:r w:rsidR="00CE366D">
        <w:t xml:space="preserve"> group </w:t>
      </w:r>
      <w:r w:rsidRPr="0098436B">
        <w:t xml:space="preserve">and 2 subjects (&lt;0.1%) in the </w:t>
      </w:r>
      <w:r w:rsidR="00717361">
        <w:t>c</w:t>
      </w:r>
      <w:r w:rsidRPr="0098436B">
        <w:t>ontrol</w:t>
      </w:r>
      <w:r w:rsidR="00CE366D">
        <w:t xml:space="preserve"> group </w:t>
      </w:r>
      <w:r w:rsidRPr="0098436B">
        <w:t xml:space="preserve">reported at ≥1 </w:t>
      </w:r>
      <w:r w:rsidR="00A06C4B">
        <w:t>Grade 3</w:t>
      </w:r>
      <w:r w:rsidRPr="0098436B">
        <w:t xml:space="preserve"> MAE with causal relationship to vaccination.</w:t>
      </w:r>
    </w:p>
    <w:p w14:paraId="1716F5BB" w14:textId="77777777" w:rsidR="00717361" w:rsidRDefault="00F30851" w:rsidP="00717361">
      <w:pPr>
        <w:pStyle w:val="Heading6"/>
      </w:pPr>
      <w:r w:rsidRPr="0098436B">
        <w:t>Febrile convulsions</w:t>
      </w:r>
    </w:p>
    <w:p w14:paraId="66DDD4DC" w14:textId="77777777" w:rsidR="00F30851" w:rsidRPr="0098436B" w:rsidRDefault="00F30851" w:rsidP="00717361">
      <w:pPr>
        <w:rPr>
          <w:b/>
        </w:rPr>
      </w:pPr>
      <w:r w:rsidRPr="0098436B">
        <w:t xml:space="preserve">In </w:t>
      </w:r>
      <w:r w:rsidR="00943514">
        <w:t>Study D-QIV-</w:t>
      </w:r>
      <w:r w:rsidRPr="00717361">
        <w:t>004, 44</w:t>
      </w:r>
      <w:r>
        <w:t xml:space="preserve"> subjects experienced febrile </w:t>
      </w:r>
      <w:r w:rsidRPr="0098436B">
        <w:t>convulsion over</w:t>
      </w:r>
      <w:r>
        <w:t xml:space="preserve"> the entire</w:t>
      </w:r>
      <w:r>
        <w:rPr>
          <w:b/>
        </w:rPr>
        <w:t xml:space="preserve"> </w:t>
      </w:r>
      <w:r>
        <w:t xml:space="preserve">study duration (21 subjects in the </w:t>
      </w:r>
      <w:r w:rsidR="005879FC">
        <w:t>Tetra Fluarix group</w:t>
      </w:r>
      <w:r w:rsidR="00CE366D">
        <w:t xml:space="preserve"> </w:t>
      </w:r>
      <w:r>
        <w:t xml:space="preserve">and 23 subjects in the </w:t>
      </w:r>
      <w:r w:rsidR="00717361">
        <w:t>c</w:t>
      </w:r>
      <w:r>
        <w:t>ontrol</w:t>
      </w:r>
      <w:r w:rsidR="00E278CC">
        <w:t xml:space="preserve"> group)</w:t>
      </w:r>
      <w:r>
        <w:t>. Of</w:t>
      </w:r>
      <w:r>
        <w:rPr>
          <w:b/>
        </w:rPr>
        <w:t xml:space="preserve"> </w:t>
      </w:r>
      <w:r>
        <w:t xml:space="preserve">these, 28 cases were SAEs with 13 subjects reported SAEs in the </w:t>
      </w:r>
      <w:r w:rsidR="005879FC">
        <w:t>Tetra Fluarix group</w:t>
      </w:r>
      <w:r w:rsidR="00CE366D">
        <w:t xml:space="preserve"> </w:t>
      </w:r>
      <w:r>
        <w:t>and</w:t>
      </w:r>
      <w:r>
        <w:rPr>
          <w:b/>
        </w:rPr>
        <w:t xml:space="preserve"> </w:t>
      </w:r>
      <w:r>
        <w:t xml:space="preserve">15 subjects in the </w:t>
      </w:r>
      <w:r w:rsidR="00E835BC">
        <w:t>control group.</w:t>
      </w:r>
      <w:r>
        <w:t xml:space="preserve"> Non-serious AEs of febrile convulsion were reported in</w:t>
      </w:r>
      <w:r>
        <w:rPr>
          <w:b/>
        </w:rPr>
        <w:t xml:space="preserve"> </w:t>
      </w:r>
      <w:r>
        <w:t xml:space="preserve">8 subjects in the </w:t>
      </w:r>
      <w:r w:rsidR="005879FC">
        <w:t>Tetra Fluarix group</w:t>
      </w:r>
      <w:r w:rsidR="00CE366D">
        <w:t xml:space="preserve"> </w:t>
      </w:r>
      <w:r>
        <w:t xml:space="preserve">and 8 subjects in the </w:t>
      </w:r>
      <w:r w:rsidR="00E835BC">
        <w:t>control group.</w:t>
      </w:r>
      <w:r>
        <w:t xml:space="preserve"> All cases (serious and non-serious) of febrile convulsion were resolved. Within 28 days after vaccination, febrile convulsions were reported by 8 subjects in the </w:t>
      </w:r>
      <w:r w:rsidR="005879FC">
        <w:t>Tetra Fluarix group</w:t>
      </w:r>
      <w:r w:rsidR="00CE366D">
        <w:t xml:space="preserve"> </w:t>
      </w:r>
      <w:r>
        <w:t>(6 SAEs) and 7 subjects in the Control</w:t>
      </w:r>
      <w:r w:rsidR="00CE366D">
        <w:t xml:space="preserve"> group </w:t>
      </w:r>
      <w:r>
        <w:t>(5 SAEs).</w:t>
      </w:r>
      <w:r>
        <w:rPr>
          <w:b/>
        </w:rPr>
        <w:t xml:space="preserve"> </w:t>
      </w:r>
      <w:r>
        <w:t xml:space="preserve">Two subjects in the </w:t>
      </w:r>
      <w:r w:rsidR="005879FC">
        <w:t>Tetra Fluarix group</w:t>
      </w:r>
      <w:r w:rsidR="00CE366D">
        <w:t xml:space="preserve"> </w:t>
      </w:r>
      <w:r>
        <w:t xml:space="preserve">and 1 subject in the </w:t>
      </w:r>
      <w:r w:rsidR="00351774">
        <w:t>c</w:t>
      </w:r>
      <w:r>
        <w:t>ontrol</w:t>
      </w:r>
      <w:r w:rsidR="00CE366D">
        <w:t xml:space="preserve"> group </w:t>
      </w:r>
      <w:r>
        <w:t xml:space="preserve">reported febrile convulsions with possible causal relationship to vaccination according to the Investigator (reported as SAEs). For 2 SAEs of febrile convulsion (2 days and 10 days post-vaccination) and 1 </w:t>
      </w:r>
      <w:r>
        <w:lastRenderedPageBreak/>
        <w:t xml:space="preserve">non-serious AE (1 day post-vaccination), a causal relationship to vaccination was not concluded by </w:t>
      </w:r>
      <w:r w:rsidR="00351774">
        <w:t>the sponsor</w:t>
      </w:r>
      <w:r>
        <w:t xml:space="preserve"> due to confounding factors or incomplete information, but causality associated with vaccination could not be entirely ruled out.</w:t>
      </w:r>
    </w:p>
    <w:p w14:paraId="673BDDAA" w14:textId="36AA5099" w:rsidR="00F30851" w:rsidRDefault="00F30851" w:rsidP="00182144">
      <w:pPr>
        <w:pStyle w:val="Tabletitle"/>
        <w:rPr>
          <w:lang w:val="en-GB"/>
        </w:rPr>
      </w:pPr>
      <w:r w:rsidRPr="00AE314C">
        <w:t xml:space="preserve">Table </w:t>
      </w:r>
      <w:r w:rsidR="00182144">
        <w:t>1</w:t>
      </w:r>
      <w:r w:rsidR="00DA7D36">
        <w:t>9</w:t>
      </w:r>
      <w:r w:rsidR="00182144">
        <w:t>:</w:t>
      </w:r>
      <w:r w:rsidRPr="00AE314C">
        <w:rPr>
          <w:lang w:val="en-GB"/>
        </w:rPr>
        <w:t xml:space="preserve"> Incidence of solicited local symptoms reported during the 7</w:t>
      </w:r>
      <w:r w:rsidR="00A06C4B">
        <w:rPr>
          <w:lang w:val="en-GB"/>
        </w:rPr>
        <w:t xml:space="preserve"> day </w:t>
      </w:r>
      <w:r w:rsidRPr="00AE314C">
        <w:rPr>
          <w:lang w:val="en-GB"/>
        </w:rPr>
        <w:t>(Days 0-6) post-vaccination period following each dose and overall for children 6-11 months of age (Total vaccinated cohort)</w:t>
      </w:r>
    </w:p>
    <w:p w14:paraId="7EB3ADE7" w14:textId="77777777" w:rsidR="00182144" w:rsidRDefault="00182144" w:rsidP="00182144">
      <w:pPr>
        <w:rPr>
          <w:b/>
          <w:sz w:val="20"/>
          <w:szCs w:val="20"/>
        </w:rPr>
      </w:pPr>
      <w:r>
        <w:rPr>
          <w:noProof/>
          <w:lang w:eastAsia="en-AU"/>
        </w:rPr>
        <w:drawing>
          <wp:inline distT="0" distB="0" distL="0" distR="0" wp14:anchorId="6739B79B" wp14:editId="2C459BF6">
            <wp:extent cx="3781901" cy="6129866"/>
            <wp:effectExtent l="0" t="0" r="9525" b="4445"/>
            <wp:docPr id="8" name="Picture 8" descr=": Incidence of solicited local symptoms reported during the 7 day (Days 0-6) post-vaccination period following each dose and overall for children 6-11 months of age (Total vaccinat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3779029" cy="6125211"/>
                    </a:xfrm>
                    <a:prstGeom prst="rect">
                      <a:avLst/>
                    </a:prstGeom>
                  </pic:spPr>
                </pic:pic>
              </a:graphicData>
            </a:graphic>
          </wp:inline>
        </w:drawing>
      </w:r>
    </w:p>
    <w:p w14:paraId="4E236D61" w14:textId="2635FC79" w:rsidR="00F30851" w:rsidRPr="00AE314C" w:rsidRDefault="00F30851" w:rsidP="00182144">
      <w:pPr>
        <w:pStyle w:val="Tabletitle"/>
      </w:pPr>
      <w:r w:rsidRPr="00AE314C">
        <w:lastRenderedPageBreak/>
        <w:t xml:space="preserve">Table </w:t>
      </w:r>
      <w:r w:rsidR="00DA7D36">
        <w:t>20</w:t>
      </w:r>
      <w:r w:rsidR="00182144">
        <w:t>:</w:t>
      </w:r>
      <w:r w:rsidRPr="00AE314C">
        <w:t xml:space="preserve"> Incidence and nature of symptoms (solicited and unsolicited) with causal relationship to vaccination, reported during the 7</w:t>
      </w:r>
      <w:r w:rsidR="00A06C4B">
        <w:t xml:space="preserve"> day </w:t>
      </w:r>
      <w:r w:rsidRPr="00AE314C">
        <w:t>(Days 0-6) post-vaccination period following each dose and overall – by age strata (TVC)</w:t>
      </w:r>
    </w:p>
    <w:p w14:paraId="402802D2" w14:textId="41568898" w:rsidR="00F30851" w:rsidRPr="000C6B4B" w:rsidRDefault="00486721" w:rsidP="00F30851">
      <w:pPr>
        <w:spacing w:before="0" w:after="0"/>
        <w:ind w:left="170"/>
        <w:rPr>
          <w:b/>
          <w:sz w:val="20"/>
          <w:szCs w:val="20"/>
        </w:rPr>
      </w:pPr>
      <w:r w:rsidRPr="00AE314C">
        <w:rPr>
          <w:b/>
          <w:sz w:val="20"/>
          <w:szCs w:val="20"/>
        </w:rPr>
        <w:object w:dxaOrig="6615" w:dyaOrig="5805" w14:anchorId="057D005E">
          <v:shape id="_x0000_i1033" type="#_x0000_t75" alt="Incidence and nature of symptoms (solicited and unsolicited) with causal relationship to vaccination, reported during the 7 day (Days 0-6) post-vaccination period following each dose and overall – by age strata (TVC)" style="width:330.55pt;height:289.9pt;mso-position-horizontal:absolute;mso-position-vertical:absolute" o:ole="">
            <v:imagedata r:id="rId60" o:title=""/>
          </v:shape>
          <o:OLEObject Type="Embed" ProgID="Acrobat.Document.DC" ShapeID="_x0000_i1033" DrawAspect="Content" ObjectID="_1606222007" r:id="rId61"/>
        </w:object>
      </w:r>
    </w:p>
    <w:p w14:paraId="5A01114C" w14:textId="77777777" w:rsidR="00F30851" w:rsidRDefault="00F30851" w:rsidP="000002CB">
      <w:pPr>
        <w:pStyle w:val="Heading5"/>
      </w:pPr>
      <w:r>
        <w:t xml:space="preserve">Other </w:t>
      </w:r>
      <w:r w:rsidR="000002CB" w:rsidRPr="000002CB">
        <w:t>S</w:t>
      </w:r>
      <w:r w:rsidRPr="000002CB">
        <w:t>tudies</w:t>
      </w:r>
      <w:r>
        <w:t xml:space="preserve"> D-QIV-009 and 015</w:t>
      </w:r>
    </w:p>
    <w:p w14:paraId="760176BC" w14:textId="77777777" w:rsidR="000002CB" w:rsidRDefault="000002CB" w:rsidP="00573C48">
      <w:pPr>
        <w:pStyle w:val="Heading6"/>
        <w:rPr>
          <w:rFonts w:eastAsiaTheme="minorHAnsi"/>
        </w:rPr>
      </w:pPr>
      <w:r>
        <w:rPr>
          <w:rFonts w:eastAsiaTheme="minorHAnsi"/>
        </w:rPr>
        <w:t>D-QIV-009</w:t>
      </w:r>
      <w:r w:rsidR="00F30851">
        <w:rPr>
          <w:rFonts w:eastAsiaTheme="minorHAnsi"/>
        </w:rPr>
        <w:t xml:space="preserve"> </w:t>
      </w:r>
      <w:r w:rsidR="00F30851" w:rsidRPr="001D6224">
        <w:rPr>
          <w:rFonts w:eastAsiaTheme="minorHAnsi"/>
        </w:rPr>
        <w:t>Unsolicited adverse events</w:t>
      </w:r>
    </w:p>
    <w:p w14:paraId="3134FA3E" w14:textId="77777777" w:rsidR="00F30851" w:rsidRPr="001D6224" w:rsidRDefault="00F30851" w:rsidP="00F30851">
      <w:pPr>
        <w:autoSpaceDE w:val="0"/>
        <w:autoSpaceDN w:val="0"/>
        <w:adjustRightInd w:val="0"/>
        <w:spacing w:before="0" w:after="0" w:line="240" w:lineRule="auto"/>
        <w:ind w:left="170"/>
        <w:rPr>
          <w:rFonts w:asciiTheme="minorHAnsi" w:eastAsia="TimesNewRoman" w:hAnsiTheme="minorHAnsi" w:cs="TimesNewRoman"/>
        </w:rPr>
      </w:pPr>
      <w:r w:rsidRPr="001D6224">
        <w:rPr>
          <w:rFonts w:asciiTheme="minorHAnsi" w:eastAsia="TimesNewRoman" w:hAnsiTheme="minorHAnsi" w:cs="TimesNewRoman"/>
        </w:rPr>
        <w:t>During the 28</w:t>
      </w:r>
      <w:r w:rsidR="00A06C4B">
        <w:rPr>
          <w:rFonts w:asciiTheme="minorHAnsi" w:eastAsia="TimesNewRoman" w:hAnsiTheme="minorHAnsi" w:cs="TimesNewRoman"/>
        </w:rPr>
        <w:t xml:space="preserve"> day </w:t>
      </w:r>
      <w:r w:rsidRPr="001D6224">
        <w:rPr>
          <w:rFonts w:asciiTheme="minorHAnsi" w:eastAsia="TimesNewRoman" w:hAnsiTheme="minorHAnsi" w:cs="TimesNewRoman"/>
        </w:rPr>
        <w:t xml:space="preserve">follow-up post Dose 1, </w:t>
      </w:r>
      <w:r w:rsidRPr="00A22B16">
        <w:rPr>
          <w:rFonts w:asciiTheme="minorHAnsi" w:eastAsia="TimesNewRoman" w:hAnsiTheme="minorHAnsi" w:cs="TimesNewRoman"/>
        </w:rPr>
        <w:t xml:space="preserve">≥1 </w:t>
      </w:r>
      <w:r w:rsidRPr="001D6224">
        <w:rPr>
          <w:rFonts w:asciiTheme="minorHAnsi" w:eastAsia="TimesNewRoman" w:hAnsiTheme="minorHAnsi" w:cs="TimesNewRoman"/>
        </w:rPr>
        <w:t>unsolicited AE was</w:t>
      </w:r>
      <w:r>
        <w:rPr>
          <w:rFonts w:asciiTheme="minorHAnsi" w:eastAsia="TimesNewRoman" w:hAnsiTheme="minorHAnsi" w:cs="TimesNewRoman"/>
        </w:rPr>
        <w:t xml:space="preserve"> </w:t>
      </w:r>
      <w:r w:rsidRPr="001D6224">
        <w:rPr>
          <w:rFonts w:asciiTheme="minorHAnsi" w:eastAsia="TimesNewRoman" w:hAnsiTheme="minorHAnsi" w:cs="TimesNewRoman"/>
        </w:rPr>
        <w:t xml:space="preserve">reported for 27.4% and 28.8% in the </w:t>
      </w:r>
      <w:r w:rsidR="005D2053">
        <w:rPr>
          <w:rFonts w:asciiTheme="minorHAnsi" w:eastAsia="TimesNewRoman" w:hAnsiTheme="minorHAnsi" w:cs="TimesNewRoman"/>
        </w:rPr>
        <w:t>vaccine primed</w:t>
      </w:r>
      <w:r w:rsidRPr="001D6224">
        <w:rPr>
          <w:rFonts w:asciiTheme="minorHAnsi" w:eastAsia="TimesNewRoman" w:hAnsiTheme="minorHAnsi" w:cs="TimesNewRoman"/>
        </w:rPr>
        <w:t xml:space="preserve"> and vaccine-</w:t>
      </w:r>
      <w:r w:rsidR="005D2053">
        <w:rPr>
          <w:rFonts w:asciiTheme="minorHAnsi" w:eastAsia="TimesNewRoman" w:hAnsiTheme="minorHAnsi" w:cs="TimesNewRoman"/>
        </w:rPr>
        <w:t>un-primed</w:t>
      </w:r>
      <w:r w:rsidRPr="001D6224">
        <w:rPr>
          <w:rFonts w:asciiTheme="minorHAnsi" w:eastAsia="TimesNewRoman" w:hAnsiTheme="minorHAnsi" w:cs="TimesNewRoman"/>
        </w:rPr>
        <w:t xml:space="preserve"> </w:t>
      </w:r>
      <w:r>
        <w:rPr>
          <w:rFonts w:asciiTheme="minorHAnsi" w:eastAsia="TimesNewRoman" w:hAnsiTheme="minorHAnsi" w:cs="TimesNewRoman"/>
        </w:rPr>
        <w:t>g</w:t>
      </w:r>
      <w:r w:rsidR="00573C48">
        <w:rPr>
          <w:rFonts w:asciiTheme="minorHAnsi" w:eastAsia="TimesNewRoman" w:hAnsiTheme="minorHAnsi" w:cs="TimesNewRoman"/>
        </w:rPr>
        <w:t>rou</w:t>
      </w:r>
      <w:r>
        <w:rPr>
          <w:rFonts w:asciiTheme="minorHAnsi" w:eastAsia="TimesNewRoman" w:hAnsiTheme="minorHAnsi" w:cs="TimesNewRoman"/>
        </w:rPr>
        <w:t>p</w:t>
      </w:r>
      <w:r w:rsidRPr="001D6224">
        <w:rPr>
          <w:rFonts w:asciiTheme="minorHAnsi" w:eastAsia="TimesNewRoman" w:hAnsiTheme="minorHAnsi" w:cs="TimesNewRoman"/>
        </w:rPr>
        <w:t>s,</w:t>
      </w:r>
      <w:r>
        <w:rPr>
          <w:rFonts w:asciiTheme="minorHAnsi" w:eastAsia="TimesNewRoman" w:hAnsiTheme="minorHAnsi" w:cs="TimesNewRoman"/>
        </w:rPr>
        <w:t xml:space="preserve"> </w:t>
      </w:r>
      <w:r w:rsidRPr="001D6224">
        <w:rPr>
          <w:rFonts w:asciiTheme="minorHAnsi" w:eastAsia="TimesNewRoman" w:hAnsiTheme="minorHAnsi" w:cs="TimesNewRoman"/>
        </w:rPr>
        <w:t>respectively. Grade 3 unsolicited AEs were reported for 2.5% and 3.1% of the subjects and unsolicited AE</w:t>
      </w:r>
      <w:r>
        <w:rPr>
          <w:rFonts w:asciiTheme="minorHAnsi" w:eastAsia="TimesNewRoman" w:hAnsiTheme="minorHAnsi" w:cs="TimesNewRoman"/>
        </w:rPr>
        <w:t xml:space="preserve"> </w:t>
      </w:r>
      <w:r w:rsidRPr="001D6224">
        <w:rPr>
          <w:rFonts w:asciiTheme="minorHAnsi" w:eastAsia="TimesNewRoman" w:hAnsiTheme="minorHAnsi" w:cs="TimesNewRoman"/>
        </w:rPr>
        <w:t xml:space="preserve">with a causal relationship to vaccination for 2.1% and 1.3% of the subjects in the </w:t>
      </w:r>
      <w:r w:rsidR="005D2053">
        <w:rPr>
          <w:rFonts w:asciiTheme="minorHAnsi" w:eastAsia="TimesNewRoman" w:hAnsiTheme="minorHAnsi" w:cs="TimesNewRoman"/>
        </w:rPr>
        <w:t>vaccine primed</w:t>
      </w:r>
      <w:r w:rsidRPr="001D6224">
        <w:rPr>
          <w:rFonts w:asciiTheme="minorHAnsi" w:eastAsia="TimesNewRoman" w:hAnsiTheme="minorHAnsi" w:cs="TimesNewRoman"/>
        </w:rPr>
        <w:t xml:space="preserve"> and</w:t>
      </w:r>
      <w:r>
        <w:rPr>
          <w:rFonts w:asciiTheme="minorHAnsi" w:eastAsia="TimesNewRoman" w:hAnsiTheme="minorHAnsi" w:cs="TimesNewRoman"/>
        </w:rPr>
        <w:t xml:space="preserve"> </w:t>
      </w:r>
      <w:r w:rsidRPr="001D6224">
        <w:rPr>
          <w:rFonts w:asciiTheme="minorHAnsi" w:eastAsia="TimesNewRoman" w:hAnsiTheme="minorHAnsi" w:cs="TimesNewRoman"/>
        </w:rPr>
        <w:t>vaccine-</w:t>
      </w:r>
      <w:r w:rsidR="005D2053">
        <w:rPr>
          <w:rFonts w:asciiTheme="minorHAnsi" w:eastAsia="TimesNewRoman" w:hAnsiTheme="minorHAnsi" w:cs="TimesNewRoman"/>
        </w:rPr>
        <w:t>un-primed</w:t>
      </w:r>
      <w:r w:rsidRPr="001D6224">
        <w:rPr>
          <w:rFonts w:asciiTheme="minorHAnsi" w:eastAsia="TimesNewRoman" w:hAnsiTheme="minorHAnsi" w:cs="TimesNewRoman"/>
        </w:rPr>
        <w:t xml:space="preserve"> </w:t>
      </w:r>
      <w:r>
        <w:rPr>
          <w:rFonts w:asciiTheme="minorHAnsi" w:eastAsia="TimesNewRoman" w:hAnsiTheme="minorHAnsi" w:cs="TimesNewRoman"/>
        </w:rPr>
        <w:t>g</w:t>
      </w:r>
      <w:r w:rsidR="00573C48">
        <w:rPr>
          <w:rFonts w:asciiTheme="minorHAnsi" w:eastAsia="TimesNewRoman" w:hAnsiTheme="minorHAnsi" w:cs="TimesNewRoman"/>
        </w:rPr>
        <w:t>rou</w:t>
      </w:r>
      <w:r>
        <w:rPr>
          <w:rFonts w:asciiTheme="minorHAnsi" w:eastAsia="TimesNewRoman" w:hAnsiTheme="minorHAnsi" w:cs="TimesNewRoman"/>
        </w:rPr>
        <w:t>p</w:t>
      </w:r>
      <w:r w:rsidRPr="001D6224">
        <w:rPr>
          <w:rFonts w:asciiTheme="minorHAnsi" w:eastAsia="TimesNewRoman" w:hAnsiTheme="minorHAnsi" w:cs="TimesNewRoman"/>
        </w:rPr>
        <w:t>s, respectively.</w:t>
      </w:r>
      <w:r>
        <w:rPr>
          <w:rFonts w:asciiTheme="minorHAnsi" w:eastAsia="TimesNewRoman" w:hAnsiTheme="minorHAnsi" w:cs="TimesNewRoman"/>
        </w:rPr>
        <w:t xml:space="preserve"> </w:t>
      </w:r>
      <w:r w:rsidRPr="00A22B16">
        <w:rPr>
          <w:rFonts w:asciiTheme="minorHAnsi" w:eastAsia="TimesNewRoman" w:hAnsiTheme="minorHAnsi" w:cs="TimesNewRoman"/>
        </w:rPr>
        <w:t xml:space="preserve">≥1 </w:t>
      </w:r>
      <w:r w:rsidRPr="001D6224">
        <w:rPr>
          <w:rFonts w:asciiTheme="minorHAnsi" w:eastAsia="TimesNewRoman" w:hAnsiTheme="minorHAnsi" w:cs="TimesNewRoman"/>
        </w:rPr>
        <w:t>unsolicited AE with a medically attended visit during the 28</w:t>
      </w:r>
      <w:r w:rsidR="00A06C4B">
        <w:rPr>
          <w:rFonts w:asciiTheme="minorHAnsi" w:eastAsia="TimesNewRoman" w:hAnsiTheme="minorHAnsi" w:cs="TimesNewRoman"/>
        </w:rPr>
        <w:t xml:space="preserve"> day </w:t>
      </w:r>
      <w:r w:rsidRPr="001D6224">
        <w:rPr>
          <w:rFonts w:asciiTheme="minorHAnsi" w:eastAsia="TimesNewRoman" w:hAnsiTheme="minorHAnsi" w:cs="TimesNewRoman"/>
        </w:rPr>
        <w:t>follow-up post Dose 1 was</w:t>
      </w:r>
      <w:r>
        <w:rPr>
          <w:rFonts w:asciiTheme="minorHAnsi" w:eastAsia="TimesNewRoman" w:hAnsiTheme="minorHAnsi" w:cs="TimesNewRoman"/>
        </w:rPr>
        <w:t xml:space="preserve"> </w:t>
      </w:r>
      <w:r w:rsidRPr="001D6224">
        <w:rPr>
          <w:rFonts w:asciiTheme="minorHAnsi" w:eastAsia="TimesNewRoman" w:hAnsiTheme="minorHAnsi" w:cs="TimesNewRoman"/>
        </w:rPr>
        <w:t>reported for 20.3% and 21.4% of the subjects and during the entire study period for 61.8% and 56.8% of</w:t>
      </w:r>
      <w:r>
        <w:rPr>
          <w:rFonts w:asciiTheme="minorHAnsi" w:eastAsia="TimesNewRoman" w:hAnsiTheme="minorHAnsi" w:cs="TimesNewRoman"/>
        </w:rPr>
        <w:t xml:space="preserve"> </w:t>
      </w:r>
      <w:r w:rsidRPr="001D6224">
        <w:rPr>
          <w:rFonts w:asciiTheme="minorHAnsi" w:eastAsia="TimesNewRoman" w:hAnsiTheme="minorHAnsi" w:cs="TimesNewRoman"/>
        </w:rPr>
        <w:t xml:space="preserve">the subjects in the </w:t>
      </w:r>
      <w:r w:rsidR="005D2053">
        <w:rPr>
          <w:rFonts w:asciiTheme="minorHAnsi" w:eastAsia="TimesNewRoman" w:hAnsiTheme="minorHAnsi" w:cs="TimesNewRoman"/>
        </w:rPr>
        <w:t>vaccine primed</w:t>
      </w:r>
      <w:r w:rsidRPr="001D6224">
        <w:rPr>
          <w:rFonts w:asciiTheme="minorHAnsi" w:eastAsia="TimesNewRoman" w:hAnsiTheme="minorHAnsi" w:cs="TimesNewRoman"/>
        </w:rPr>
        <w:t xml:space="preserve"> and vaccine-</w:t>
      </w:r>
      <w:r w:rsidR="005D2053">
        <w:rPr>
          <w:rFonts w:asciiTheme="minorHAnsi" w:eastAsia="TimesNewRoman" w:hAnsiTheme="minorHAnsi" w:cs="TimesNewRoman"/>
        </w:rPr>
        <w:t>un-primed</w:t>
      </w:r>
      <w:r w:rsidRPr="001D6224">
        <w:rPr>
          <w:rFonts w:asciiTheme="minorHAnsi" w:eastAsia="TimesNewRoman" w:hAnsiTheme="minorHAnsi" w:cs="TimesNewRoman"/>
        </w:rPr>
        <w:t xml:space="preserve"> </w:t>
      </w:r>
      <w:r>
        <w:rPr>
          <w:rFonts w:asciiTheme="minorHAnsi" w:eastAsia="TimesNewRoman" w:hAnsiTheme="minorHAnsi" w:cs="TimesNewRoman"/>
        </w:rPr>
        <w:t>g</w:t>
      </w:r>
      <w:r w:rsidR="00573C48">
        <w:rPr>
          <w:rFonts w:asciiTheme="minorHAnsi" w:eastAsia="TimesNewRoman" w:hAnsiTheme="minorHAnsi" w:cs="TimesNewRoman"/>
        </w:rPr>
        <w:t>rou</w:t>
      </w:r>
      <w:r>
        <w:rPr>
          <w:rFonts w:asciiTheme="minorHAnsi" w:eastAsia="TimesNewRoman" w:hAnsiTheme="minorHAnsi" w:cs="TimesNewRoman"/>
        </w:rPr>
        <w:t>p</w:t>
      </w:r>
      <w:r w:rsidRPr="001D6224">
        <w:rPr>
          <w:rFonts w:asciiTheme="minorHAnsi" w:eastAsia="TimesNewRoman" w:hAnsiTheme="minorHAnsi" w:cs="TimesNewRoman"/>
        </w:rPr>
        <w:t>s, respectively.</w:t>
      </w:r>
      <w:r>
        <w:rPr>
          <w:rFonts w:asciiTheme="minorHAnsi" w:eastAsia="TimesNewRoman" w:hAnsiTheme="minorHAnsi" w:cs="TimesNewRoman"/>
        </w:rPr>
        <w:t xml:space="preserve"> </w:t>
      </w:r>
      <w:r w:rsidRPr="001D6224">
        <w:rPr>
          <w:rFonts w:asciiTheme="minorHAnsi" w:eastAsia="TimesNewRoman" w:hAnsiTheme="minorHAnsi" w:cs="TimesNewRoman"/>
        </w:rPr>
        <w:t>Grade 3 unsolicited AE with a medically-attended visit was reported for 1.7% of the subjects in each</w:t>
      </w:r>
      <w:r w:rsidR="007C384B">
        <w:rPr>
          <w:rFonts w:asciiTheme="minorHAnsi" w:eastAsia="TimesNewRoman" w:hAnsiTheme="minorHAnsi" w:cs="TimesNewRoman"/>
        </w:rPr>
        <w:t xml:space="preserve"> group,</w:t>
      </w:r>
      <w:r w:rsidRPr="001D6224">
        <w:rPr>
          <w:rFonts w:asciiTheme="minorHAnsi" w:eastAsia="TimesNewRoman" w:hAnsiTheme="minorHAnsi" w:cs="TimesNewRoman"/>
        </w:rPr>
        <w:t xml:space="preserve"> during the 28</w:t>
      </w:r>
      <w:r w:rsidR="00A06C4B">
        <w:rPr>
          <w:rFonts w:asciiTheme="minorHAnsi" w:eastAsia="TimesNewRoman" w:hAnsiTheme="minorHAnsi" w:cs="TimesNewRoman"/>
        </w:rPr>
        <w:t xml:space="preserve"> day </w:t>
      </w:r>
      <w:r w:rsidRPr="001D6224">
        <w:rPr>
          <w:rFonts w:asciiTheme="minorHAnsi" w:eastAsia="TimesNewRoman" w:hAnsiTheme="minorHAnsi" w:cs="TimesNewRoman"/>
        </w:rPr>
        <w:t xml:space="preserve">follow-up post Dose 1 and for 2.1% and 3.5% of the </w:t>
      </w:r>
      <w:r w:rsidR="005D2053">
        <w:rPr>
          <w:rFonts w:asciiTheme="minorHAnsi" w:eastAsia="TimesNewRoman" w:hAnsiTheme="minorHAnsi" w:cs="TimesNewRoman"/>
        </w:rPr>
        <w:t>vaccine primed</w:t>
      </w:r>
      <w:r w:rsidRPr="001D6224">
        <w:rPr>
          <w:rFonts w:asciiTheme="minorHAnsi" w:eastAsia="TimesNewRoman" w:hAnsiTheme="minorHAnsi" w:cs="TimesNewRoman"/>
        </w:rPr>
        <w:t xml:space="preserve"> and vaccine</w:t>
      </w:r>
      <w:r w:rsidR="00573C48">
        <w:rPr>
          <w:rFonts w:asciiTheme="minorHAnsi" w:eastAsia="TimesNewRoman" w:hAnsiTheme="minorHAnsi" w:cs="TimesNewRoman"/>
        </w:rPr>
        <w:t xml:space="preserve"> </w:t>
      </w:r>
      <w:r w:rsidR="005D2053">
        <w:rPr>
          <w:rFonts w:asciiTheme="minorHAnsi" w:eastAsia="TimesNewRoman" w:hAnsiTheme="minorHAnsi" w:cs="TimesNewRoman"/>
        </w:rPr>
        <w:t>un-primed</w:t>
      </w:r>
      <w:r>
        <w:rPr>
          <w:rFonts w:asciiTheme="minorHAnsi" w:eastAsia="TimesNewRoman" w:hAnsiTheme="minorHAnsi" w:cs="TimesNewRoman"/>
        </w:rPr>
        <w:t xml:space="preserve"> g</w:t>
      </w:r>
      <w:r w:rsidR="00573C48">
        <w:rPr>
          <w:rFonts w:asciiTheme="minorHAnsi" w:eastAsia="TimesNewRoman" w:hAnsiTheme="minorHAnsi" w:cs="TimesNewRoman"/>
        </w:rPr>
        <w:t>rou</w:t>
      </w:r>
      <w:r>
        <w:rPr>
          <w:rFonts w:asciiTheme="minorHAnsi" w:eastAsia="TimesNewRoman" w:hAnsiTheme="minorHAnsi" w:cs="TimesNewRoman"/>
        </w:rPr>
        <w:t>p</w:t>
      </w:r>
      <w:r w:rsidRPr="001D6224">
        <w:rPr>
          <w:rFonts w:asciiTheme="minorHAnsi" w:eastAsia="TimesNewRoman" w:hAnsiTheme="minorHAnsi" w:cs="TimesNewRoman"/>
        </w:rPr>
        <w:t>s, respectively, during the entire study period.</w:t>
      </w:r>
      <w:r>
        <w:rPr>
          <w:rFonts w:asciiTheme="minorHAnsi" w:eastAsia="TimesNewRoman" w:hAnsiTheme="minorHAnsi" w:cs="TimesNewRoman"/>
        </w:rPr>
        <w:t xml:space="preserve"> </w:t>
      </w:r>
      <w:r w:rsidRPr="001D6224">
        <w:rPr>
          <w:rFonts w:asciiTheme="minorHAnsi" w:eastAsia="TimesNewRoman" w:hAnsiTheme="minorHAnsi" w:cs="TimesNewRoman"/>
        </w:rPr>
        <w:t>One unsolicited AE (</w:t>
      </w:r>
      <w:r>
        <w:rPr>
          <w:rFonts w:asciiTheme="minorHAnsi" w:eastAsia="TimesNewRoman" w:hAnsiTheme="minorHAnsi" w:cs="TimesNewRoman"/>
        </w:rPr>
        <w:t>URTI</w:t>
      </w:r>
      <w:r w:rsidRPr="001D6224">
        <w:rPr>
          <w:rFonts w:asciiTheme="minorHAnsi" w:eastAsia="TimesNewRoman" w:hAnsiTheme="minorHAnsi" w:cs="TimesNewRoman"/>
        </w:rPr>
        <w:t>) with a medically attended visit assessed by the investigator as causally related to the</w:t>
      </w:r>
      <w:r>
        <w:rPr>
          <w:rFonts w:asciiTheme="minorHAnsi" w:eastAsia="TimesNewRoman" w:hAnsiTheme="minorHAnsi" w:cs="TimesNewRoman"/>
        </w:rPr>
        <w:t xml:space="preserve"> </w:t>
      </w:r>
      <w:r w:rsidRPr="001D6224">
        <w:rPr>
          <w:rFonts w:asciiTheme="minorHAnsi" w:eastAsia="TimesNewRoman" w:hAnsiTheme="minorHAnsi" w:cs="TimesNewRoman"/>
        </w:rPr>
        <w:t>vaccine was reported during the 28</w:t>
      </w:r>
      <w:r w:rsidR="00A06C4B">
        <w:rPr>
          <w:rFonts w:asciiTheme="minorHAnsi" w:eastAsia="TimesNewRoman" w:hAnsiTheme="minorHAnsi" w:cs="TimesNewRoman"/>
        </w:rPr>
        <w:t xml:space="preserve"> day </w:t>
      </w:r>
      <w:r w:rsidRPr="001D6224">
        <w:rPr>
          <w:rFonts w:asciiTheme="minorHAnsi" w:eastAsia="TimesNewRoman" w:hAnsiTheme="minorHAnsi" w:cs="TimesNewRoman"/>
        </w:rPr>
        <w:t>follow-up post Dose 1 for one</w:t>
      </w:r>
      <w:r>
        <w:rPr>
          <w:rFonts w:asciiTheme="minorHAnsi" w:eastAsia="TimesNewRoman" w:hAnsiTheme="minorHAnsi" w:cs="TimesNewRoman"/>
        </w:rPr>
        <w:t xml:space="preserve"> </w:t>
      </w:r>
      <w:r w:rsidRPr="001D6224">
        <w:rPr>
          <w:rFonts w:asciiTheme="minorHAnsi" w:eastAsia="TimesNewRoman" w:hAnsiTheme="minorHAnsi" w:cs="TimesNewRoman"/>
        </w:rPr>
        <w:t>subject in the vaccine-</w:t>
      </w:r>
      <w:r w:rsidR="005D2053">
        <w:rPr>
          <w:rFonts w:asciiTheme="minorHAnsi" w:eastAsia="TimesNewRoman" w:hAnsiTheme="minorHAnsi" w:cs="TimesNewRoman"/>
        </w:rPr>
        <w:t>un-primed</w:t>
      </w:r>
      <w:r w:rsidR="007C384B">
        <w:rPr>
          <w:rFonts w:asciiTheme="minorHAnsi" w:eastAsia="TimesNewRoman" w:hAnsiTheme="minorHAnsi" w:cs="TimesNewRoman"/>
        </w:rPr>
        <w:t xml:space="preserve"> group.</w:t>
      </w:r>
      <w:r>
        <w:rPr>
          <w:rFonts w:asciiTheme="minorHAnsi" w:eastAsia="TimesNewRoman" w:hAnsiTheme="minorHAnsi" w:cs="TimesNewRoman"/>
        </w:rPr>
        <w:t xml:space="preserve"> </w:t>
      </w:r>
      <w:r w:rsidRPr="001D6224">
        <w:rPr>
          <w:rFonts w:asciiTheme="minorHAnsi" w:eastAsia="TimesNewRoman" w:hAnsiTheme="minorHAnsi" w:cs="TimesNewRoman"/>
        </w:rPr>
        <w:t xml:space="preserve">In this study, one febrile convulsion was reported for a </w:t>
      </w:r>
      <w:r w:rsidR="005D2053">
        <w:rPr>
          <w:rFonts w:asciiTheme="minorHAnsi" w:eastAsia="TimesNewRoman" w:hAnsiTheme="minorHAnsi" w:cs="TimesNewRoman"/>
        </w:rPr>
        <w:t>vaccine primed</w:t>
      </w:r>
      <w:r w:rsidRPr="001D6224">
        <w:rPr>
          <w:rFonts w:asciiTheme="minorHAnsi" w:eastAsia="TimesNewRoman" w:hAnsiTheme="minorHAnsi" w:cs="TimesNewRoman"/>
        </w:rPr>
        <w:t xml:space="preserve"> male subject, aged 28 months at the</w:t>
      </w:r>
      <w:r>
        <w:rPr>
          <w:rFonts w:asciiTheme="minorHAnsi" w:eastAsia="TimesNewRoman" w:hAnsiTheme="minorHAnsi" w:cs="TimesNewRoman"/>
        </w:rPr>
        <w:t xml:space="preserve"> </w:t>
      </w:r>
      <w:r w:rsidRPr="001D6224">
        <w:rPr>
          <w:rFonts w:asciiTheme="minorHAnsi" w:eastAsia="TimesNewRoman" w:hAnsiTheme="minorHAnsi" w:cs="TimesNewRoman"/>
        </w:rPr>
        <w:t>time of vaccination. The febrile convulsion occurred 100 days after the study vaccination. The event was</w:t>
      </w:r>
      <w:r>
        <w:rPr>
          <w:rFonts w:asciiTheme="minorHAnsi" w:eastAsia="TimesNewRoman" w:hAnsiTheme="minorHAnsi" w:cs="TimesNewRoman"/>
        </w:rPr>
        <w:t xml:space="preserve"> </w:t>
      </w:r>
      <w:r w:rsidRPr="001D6224">
        <w:rPr>
          <w:rFonts w:asciiTheme="minorHAnsi" w:eastAsia="TimesNewRoman" w:hAnsiTheme="minorHAnsi" w:cs="TimesNewRoman"/>
        </w:rPr>
        <w:t>not considered an SAE, and was not related to the study vaccination, according to the investigator.</w:t>
      </w:r>
      <w:r>
        <w:rPr>
          <w:rFonts w:asciiTheme="minorHAnsi" w:eastAsia="TimesNewRoman" w:hAnsiTheme="minorHAnsi" w:cs="TimesNewRoman"/>
        </w:rPr>
        <w:t xml:space="preserve"> </w:t>
      </w:r>
      <w:r w:rsidRPr="001D6224">
        <w:rPr>
          <w:rFonts w:asciiTheme="minorHAnsi" w:eastAsia="TimesNewRoman" w:hAnsiTheme="minorHAnsi" w:cs="TimesNewRoman"/>
        </w:rPr>
        <w:t>The</w:t>
      </w:r>
      <w:r>
        <w:rPr>
          <w:rFonts w:asciiTheme="minorHAnsi" w:eastAsia="TimesNewRoman" w:hAnsiTheme="minorHAnsi" w:cs="TimesNewRoman"/>
        </w:rPr>
        <w:t xml:space="preserve"> </w:t>
      </w:r>
      <w:r w:rsidRPr="001D6224">
        <w:rPr>
          <w:rFonts w:asciiTheme="minorHAnsi" w:eastAsia="TimesNewRoman" w:hAnsiTheme="minorHAnsi" w:cs="TimesNewRoman"/>
        </w:rPr>
        <w:t>subject recovered without any sequelae.</w:t>
      </w:r>
    </w:p>
    <w:p w14:paraId="5870DE62" w14:textId="77777777" w:rsidR="00F30851" w:rsidRPr="00B73B44" w:rsidRDefault="00F30851" w:rsidP="00573C48">
      <w:pPr>
        <w:pStyle w:val="Heading6"/>
        <w:rPr>
          <w:rFonts w:eastAsia="TimesNewRoman,BoldItalic"/>
        </w:rPr>
      </w:pPr>
      <w:r w:rsidRPr="00B73B44">
        <w:rPr>
          <w:rFonts w:eastAsia="TimesNewRoman,BoldItalic"/>
        </w:rPr>
        <w:t xml:space="preserve">D-QIV-015: Solicited AEs in children </w:t>
      </w:r>
      <w:r w:rsidR="005879FC">
        <w:rPr>
          <w:rFonts w:eastAsia="TimesNewRoman,BoldItalic"/>
        </w:rPr>
        <w:t>6 to 35</w:t>
      </w:r>
      <w:r w:rsidRPr="00B73B44">
        <w:rPr>
          <w:rFonts w:eastAsia="TimesNewRoman,BoldItalic"/>
        </w:rPr>
        <w:t xml:space="preserve"> months of age</w:t>
      </w:r>
    </w:p>
    <w:p w14:paraId="7D1048D6" w14:textId="77777777" w:rsidR="00F30851" w:rsidRDefault="00F30851" w:rsidP="00573C48">
      <w:r w:rsidRPr="00573C48">
        <w:rPr>
          <w:i/>
        </w:rPr>
        <w:t>Solicited local AEs</w:t>
      </w:r>
      <w:r w:rsidRPr="00C90C3C">
        <w:t xml:space="preserve"> included pain, redness and swelling at the injection site in children </w:t>
      </w:r>
      <w:r w:rsidR="005879FC">
        <w:t>6 to 35</w:t>
      </w:r>
      <w:r w:rsidRPr="00C90C3C">
        <w:t xml:space="preserve"> months of</w:t>
      </w:r>
      <w:r>
        <w:t xml:space="preserve"> </w:t>
      </w:r>
      <w:r w:rsidRPr="00C90C3C">
        <w:t>age.</w:t>
      </w:r>
      <w:r>
        <w:t xml:space="preserve"> </w:t>
      </w:r>
      <w:r w:rsidRPr="00C90C3C">
        <w:t>During the 7</w:t>
      </w:r>
      <w:r w:rsidR="00A06C4B">
        <w:t xml:space="preserve"> day </w:t>
      </w:r>
      <w:r w:rsidRPr="00C90C3C">
        <w:t>follow-up period after each dose, redness and pain were the most frequently reported</w:t>
      </w:r>
      <w:r>
        <w:t xml:space="preserve"> </w:t>
      </w:r>
      <w:r w:rsidRPr="00C90C3C">
        <w:t xml:space="preserve">solicited local AEs. The incidence of solicited local AEs was similar between both </w:t>
      </w:r>
      <w:r>
        <w:t>g</w:t>
      </w:r>
      <w:r w:rsidR="00573C48">
        <w:t>rou</w:t>
      </w:r>
      <w:r>
        <w:t xml:space="preserve">ps </w:t>
      </w:r>
      <w:r w:rsidRPr="00C90C3C">
        <w:t>in this per country analysis. In Bangladesh, where the completion of diary cards was</w:t>
      </w:r>
      <w:r>
        <w:t xml:space="preserve"> </w:t>
      </w:r>
      <w:r w:rsidRPr="00C90C3C">
        <w:t xml:space="preserve">done with assistance of a field worker, a lower incidence of solicited local AEs was </w:t>
      </w:r>
      <w:r w:rsidRPr="00C90C3C">
        <w:lastRenderedPageBreak/>
        <w:t>reported compared</w:t>
      </w:r>
      <w:r>
        <w:t xml:space="preserve"> </w:t>
      </w:r>
      <w:r w:rsidRPr="00C90C3C">
        <w:t xml:space="preserve">to other countries. Overall per subject in the </w:t>
      </w:r>
      <w:r w:rsidR="005879FC">
        <w:t>Tetra Fluarix IP group</w:t>
      </w:r>
      <w:r w:rsidR="007C384B">
        <w:t>,</w:t>
      </w:r>
      <w:r w:rsidRPr="00C90C3C">
        <w:t xml:space="preserve"> any injection site pain was reported for</w:t>
      </w:r>
      <w:r>
        <w:t xml:space="preserve"> </w:t>
      </w:r>
      <w:r w:rsidRPr="00C90C3C">
        <w:t>1.1% of subjects in Bangladesh, 14.3% of subjects in France, 22.4% of subjects in Spain, 27.8% of</w:t>
      </w:r>
      <w:r>
        <w:t xml:space="preserve"> </w:t>
      </w:r>
      <w:r w:rsidRPr="00C90C3C">
        <w:t xml:space="preserve">subjects in Germany and 32.1% of subjects in Poland. The incidence of pain </w:t>
      </w:r>
      <w:r w:rsidRPr="00573C48">
        <w:rPr>
          <w:i/>
        </w:rPr>
        <w:t>did not increase</w:t>
      </w:r>
      <w:r w:rsidRPr="00C90C3C">
        <w:t xml:space="preserve"> after the</w:t>
      </w:r>
      <w:r>
        <w:t xml:space="preserve"> </w:t>
      </w:r>
      <w:r w:rsidRPr="00C90C3C">
        <w:t xml:space="preserve">second dose in both </w:t>
      </w:r>
      <w:r>
        <w:t>g</w:t>
      </w:r>
      <w:r w:rsidR="00573C48">
        <w:t>rou</w:t>
      </w:r>
      <w:r>
        <w:t>p</w:t>
      </w:r>
      <w:r w:rsidRPr="00C90C3C">
        <w:t xml:space="preserve">s, </w:t>
      </w:r>
      <w:r w:rsidR="005D2053">
        <w:t>Tetra Fluarix IP</w:t>
      </w:r>
      <w:r w:rsidRPr="00C90C3C">
        <w:t xml:space="preserve"> and </w:t>
      </w:r>
      <w:r w:rsidR="005D2053">
        <w:t>Tetra Fluarix LP</w:t>
      </w:r>
      <w:r w:rsidRPr="00C90C3C">
        <w:t xml:space="preserve">. Solicited local AEs of </w:t>
      </w:r>
      <w:r w:rsidR="00A06C4B">
        <w:t>Grade 3</w:t>
      </w:r>
      <w:r w:rsidRPr="00C90C3C">
        <w:t xml:space="preserve"> were infrequent</w:t>
      </w:r>
      <w:r>
        <w:t xml:space="preserve"> </w:t>
      </w:r>
      <w:r w:rsidRPr="00C90C3C">
        <w:t xml:space="preserve">and rates were similar between </w:t>
      </w:r>
      <w:r w:rsidR="005D2053">
        <w:t>Tetra Fluarix IP</w:t>
      </w:r>
      <w:r w:rsidRPr="00C90C3C">
        <w:t xml:space="preserve"> and </w:t>
      </w:r>
      <w:r w:rsidR="005D2053">
        <w:t>Tetra Fluarix LP</w:t>
      </w:r>
      <w:r w:rsidRPr="00C90C3C">
        <w:t xml:space="preserve"> in this per country analysis.</w:t>
      </w:r>
    </w:p>
    <w:p w14:paraId="74C747E1" w14:textId="77777777" w:rsidR="00F30851" w:rsidRPr="00C90C3C" w:rsidRDefault="00F30851" w:rsidP="00573C48">
      <w:r w:rsidRPr="00573C48">
        <w:rPr>
          <w:i/>
        </w:rPr>
        <w:t>Solicited general AEs</w:t>
      </w:r>
      <w:r w:rsidRPr="00C90C3C">
        <w:t xml:space="preserve"> included fever, irritability/ fuzziness, drowsiness and loss of appetite in children 6-</w:t>
      </w:r>
      <w:r>
        <w:t xml:space="preserve"> </w:t>
      </w:r>
      <w:r w:rsidRPr="00C90C3C">
        <w:t>35 months of age.</w:t>
      </w:r>
      <w:r>
        <w:t xml:space="preserve"> </w:t>
      </w:r>
      <w:r w:rsidRPr="00C90C3C">
        <w:t>During the 7</w:t>
      </w:r>
      <w:r w:rsidR="00A06C4B">
        <w:t xml:space="preserve"> day </w:t>
      </w:r>
      <w:r w:rsidRPr="00C90C3C">
        <w:t>follow-up period after each dose, irritability/fuzziness, drowsiness and loss of appetite</w:t>
      </w:r>
      <w:r>
        <w:t xml:space="preserve"> </w:t>
      </w:r>
      <w:r w:rsidRPr="00C90C3C">
        <w:t>were the most frequently reported solicited general AE. The incidence of solicited general AEs was</w:t>
      </w:r>
      <w:r>
        <w:t xml:space="preserve"> </w:t>
      </w:r>
      <w:r w:rsidRPr="00C90C3C">
        <w:t xml:space="preserve">similar between both </w:t>
      </w:r>
      <w:r>
        <w:t>g</w:t>
      </w:r>
      <w:r w:rsidR="00573C48">
        <w:t>rou</w:t>
      </w:r>
      <w:r>
        <w:t>p</w:t>
      </w:r>
      <w:r w:rsidRPr="00C90C3C">
        <w:t>s (</w:t>
      </w:r>
      <w:r w:rsidR="005D2053">
        <w:t>Tetra Fluarix IP</w:t>
      </w:r>
      <w:r w:rsidRPr="00C90C3C">
        <w:t xml:space="preserve"> and </w:t>
      </w:r>
      <w:r w:rsidR="005D2053">
        <w:t>Tetra Fluarix LP</w:t>
      </w:r>
      <w:r w:rsidRPr="00C90C3C">
        <w:t>) in this per country analysis. Bangladesh</w:t>
      </w:r>
      <w:r>
        <w:t xml:space="preserve"> </w:t>
      </w:r>
      <w:r w:rsidRPr="00C90C3C">
        <w:t>reported a lower incidence of solicited general AEs compared to other countries. Overall per subject in</w:t>
      </w:r>
      <w:r>
        <w:t xml:space="preserve"> </w:t>
      </w:r>
      <w:r w:rsidRPr="00C90C3C">
        <w:t xml:space="preserve">the </w:t>
      </w:r>
      <w:r w:rsidR="005879FC">
        <w:t>Tetra Fluarix IP group</w:t>
      </w:r>
      <w:r w:rsidR="007C384B">
        <w:t>,</w:t>
      </w:r>
      <w:r w:rsidRPr="00C90C3C">
        <w:t xml:space="preserve"> fever of ≥38ºC (100.4ºF) after Dose 1 or Dose 2 was reported for 4.4% of subjects</w:t>
      </w:r>
      <w:r>
        <w:t xml:space="preserve"> </w:t>
      </w:r>
      <w:r w:rsidRPr="00C90C3C">
        <w:t>in Bangladesh, 5.7% of subjects in Poland, 17.1% of subjects in France, 20.6% of subjects in Germany</w:t>
      </w:r>
      <w:r>
        <w:t xml:space="preserve"> </w:t>
      </w:r>
      <w:r w:rsidRPr="00C90C3C">
        <w:t xml:space="preserve">and 21.7% of subjects in Spain. Solicited general AEs of </w:t>
      </w:r>
      <w:r w:rsidR="00A06C4B">
        <w:t>Grade 3</w:t>
      </w:r>
      <w:r w:rsidRPr="00C90C3C">
        <w:t xml:space="preserve"> were infrequent and rates were similar</w:t>
      </w:r>
      <w:r>
        <w:t xml:space="preserve"> </w:t>
      </w:r>
      <w:r w:rsidRPr="00C90C3C">
        <w:t xml:space="preserve">between </w:t>
      </w:r>
      <w:r w:rsidR="005D2053">
        <w:t>Tetra Fluarix IP</w:t>
      </w:r>
      <w:r w:rsidRPr="00C90C3C">
        <w:t xml:space="preserve"> and </w:t>
      </w:r>
      <w:r w:rsidR="005D2053">
        <w:t>Tetra Fluarix LP</w:t>
      </w:r>
      <w:r w:rsidRPr="00C90C3C">
        <w:t xml:space="preserve"> in this per country analysis.</w:t>
      </w:r>
    </w:p>
    <w:p w14:paraId="1C1D729C" w14:textId="77777777" w:rsidR="00F30851" w:rsidRPr="00A837FC" w:rsidRDefault="00F30851" w:rsidP="00573C48">
      <w:pPr>
        <w:pStyle w:val="Heading6"/>
        <w:rPr>
          <w:rFonts w:eastAsia="TimesNewRoman,BoldItalic"/>
        </w:rPr>
      </w:pPr>
      <w:r w:rsidRPr="00A837FC">
        <w:rPr>
          <w:rFonts w:eastAsia="TimesNewRoman,BoldItalic"/>
        </w:rPr>
        <w:t xml:space="preserve">D-QIV-015 Unsolicited AEs in children </w:t>
      </w:r>
      <w:r w:rsidR="005879FC">
        <w:rPr>
          <w:rFonts w:eastAsia="TimesNewRoman,BoldItalic"/>
        </w:rPr>
        <w:t>6 to 35</w:t>
      </w:r>
      <w:r w:rsidRPr="00A837FC">
        <w:rPr>
          <w:rFonts w:eastAsia="TimesNewRoman,BoldItalic"/>
        </w:rPr>
        <w:t xml:space="preserve"> months of age</w:t>
      </w:r>
    </w:p>
    <w:p w14:paraId="30C2857E" w14:textId="77777777" w:rsidR="00F30851" w:rsidRPr="00B73B44" w:rsidRDefault="00F30851" w:rsidP="00573C48">
      <w:r w:rsidRPr="00C90C3C">
        <w:t>During the 28</w:t>
      </w:r>
      <w:r w:rsidR="00A06C4B">
        <w:t xml:space="preserve"> day </w:t>
      </w:r>
      <w:r w:rsidRPr="00C90C3C">
        <w:t xml:space="preserve">follow-up period after each dose, the </w:t>
      </w:r>
      <w:r>
        <w:t>%</w:t>
      </w:r>
      <w:r w:rsidRPr="00C90C3C">
        <w:t xml:space="preserve"> of subjects reporting at </w:t>
      </w:r>
      <w:r w:rsidRPr="00A837FC">
        <w:t xml:space="preserve">≥1 </w:t>
      </w:r>
      <w:r w:rsidRPr="00C90C3C">
        <w:t xml:space="preserve">unsolicited symptom was similar between the </w:t>
      </w:r>
      <w:r w:rsidR="005D2053">
        <w:t>Tetra Fluarix IP</w:t>
      </w:r>
      <w:r w:rsidRPr="00C90C3C">
        <w:t xml:space="preserve"> and the </w:t>
      </w:r>
      <w:r w:rsidR="005D2053">
        <w:t>Tetra Fluarix LP</w:t>
      </w:r>
      <w:r w:rsidRPr="00C90C3C">
        <w:t xml:space="preserve"> </w:t>
      </w:r>
      <w:r>
        <w:t>g</w:t>
      </w:r>
      <w:r w:rsidR="00573C48">
        <w:t>rou</w:t>
      </w:r>
      <w:r>
        <w:t>p</w:t>
      </w:r>
      <w:r w:rsidRPr="00C90C3C">
        <w:t>s in this per country</w:t>
      </w:r>
      <w:r>
        <w:t xml:space="preserve"> </w:t>
      </w:r>
      <w:r w:rsidRPr="00C90C3C">
        <w:t xml:space="preserve">analysis. In the </w:t>
      </w:r>
      <w:r w:rsidR="005879FC">
        <w:t>Tetra Fluarix IP group</w:t>
      </w:r>
      <w:r w:rsidR="007C384B">
        <w:t>,</w:t>
      </w:r>
      <w:r w:rsidRPr="00C90C3C">
        <w:t xml:space="preserve"> the </w:t>
      </w:r>
      <w:r>
        <w:t>%</w:t>
      </w:r>
      <w:r w:rsidRPr="00C90C3C">
        <w:t xml:space="preserve"> of subjects reporting at </w:t>
      </w:r>
      <w:r w:rsidRPr="00A837FC">
        <w:t xml:space="preserve">≥1 </w:t>
      </w:r>
      <w:r w:rsidRPr="00C90C3C">
        <w:t>unsolicited symptom</w:t>
      </w:r>
      <w:r>
        <w:t xml:space="preserve"> </w:t>
      </w:r>
      <w:r w:rsidRPr="00C90C3C">
        <w:t>was 20.0% in Bangladesh, 20.8% in Poland, 53.1% in Germany, 59.2% in France and 77.9% in Spain.</w:t>
      </w:r>
      <w:r>
        <w:t xml:space="preserve"> </w:t>
      </w:r>
      <w:r w:rsidRPr="00C90C3C">
        <w:t>Unsolicited AEs with causal relationship to vaccination were infrequent and rates were similar between</w:t>
      </w:r>
      <w:r>
        <w:t xml:space="preserve"> </w:t>
      </w:r>
      <w:r w:rsidR="005D2053">
        <w:t>Tetra Fluarix IP</w:t>
      </w:r>
      <w:r w:rsidRPr="00C90C3C">
        <w:t xml:space="preserve"> and </w:t>
      </w:r>
      <w:r w:rsidR="005D2053">
        <w:t>Tetra Fluarix LP</w:t>
      </w:r>
      <w:r w:rsidRPr="00C90C3C">
        <w:t xml:space="preserve"> in this per country analysis. The </w:t>
      </w:r>
      <w:r>
        <w:t>%</w:t>
      </w:r>
      <w:r w:rsidR="00943514">
        <w:t xml:space="preserve"> </w:t>
      </w:r>
      <w:r>
        <w:t xml:space="preserve">of subjects </w:t>
      </w:r>
      <w:r w:rsidRPr="00C90C3C">
        <w:t xml:space="preserve">reporting at </w:t>
      </w:r>
      <w:r w:rsidRPr="00A837FC">
        <w:t xml:space="preserve">≥1 </w:t>
      </w:r>
      <w:r w:rsidR="00A06C4B">
        <w:t>Grade 3</w:t>
      </w:r>
      <w:r w:rsidRPr="00C90C3C">
        <w:t xml:space="preserve"> unsolicited AE was comparable between </w:t>
      </w:r>
      <w:r w:rsidR="005D2053">
        <w:t>Tetra Fluarix IP</w:t>
      </w:r>
      <w:r w:rsidRPr="00C90C3C">
        <w:t xml:space="preserve"> and </w:t>
      </w:r>
      <w:r w:rsidR="005D2053">
        <w:t>Tetra Fluarix LP</w:t>
      </w:r>
      <w:r w:rsidRPr="00C90C3C">
        <w:t xml:space="preserve"> </w:t>
      </w:r>
      <w:r>
        <w:t>g</w:t>
      </w:r>
      <w:r w:rsidR="00573C48">
        <w:t>rou</w:t>
      </w:r>
      <w:r>
        <w:t>p</w:t>
      </w:r>
      <w:r w:rsidRPr="00C90C3C">
        <w:t>s.</w:t>
      </w:r>
    </w:p>
    <w:p w14:paraId="3187FCCE" w14:textId="77777777" w:rsidR="00F30851" w:rsidRDefault="00F30851" w:rsidP="00573C48">
      <w:pPr>
        <w:pStyle w:val="Heading4"/>
      </w:pPr>
      <w:bookmarkStart w:id="139" w:name="_Toc241374320"/>
      <w:bookmarkStart w:id="140" w:name="_Ref272333507"/>
      <w:bookmarkStart w:id="141" w:name="_Toc272414666"/>
      <w:bookmarkStart w:id="142" w:name="_Toc290888530"/>
      <w:bookmarkStart w:id="143" w:name="_Toc416353746"/>
      <w:bookmarkStart w:id="144" w:name="_Toc421005289"/>
      <w:bookmarkStart w:id="145" w:name="_Toc432079166"/>
      <w:bookmarkStart w:id="146" w:name="_Toc432080739"/>
      <w:r>
        <w:t xml:space="preserve">Deaths, </w:t>
      </w:r>
      <w:r w:rsidRPr="00545B14">
        <w:t xml:space="preserve">serious adverse </w:t>
      </w:r>
      <w:r w:rsidRPr="00CA58F0">
        <w:t>event</w:t>
      </w:r>
      <w:bookmarkEnd w:id="139"/>
      <w:bookmarkEnd w:id="140"/>
      <w:bookmarkEnd w:id="141"/>
      <w:bookmarkEnd w:id="142"/>
      <w:bookmarkEnd w:id="143"/>
      <w:bookmarkEnd w:id="144"/>
      <w:bookmarkEnd w:id="145"/>
      <w:bookmarkEnd w:id="146"/>
      <w:r>
        <w:t xml:space="preserve">s, </w:t>
      </w:r>
      <w:r w:rsidRPr="00525208">
        <w:t>pIMDs</w:t>
      </w:r>
    </w:p>
    <w:p w14:paraId="48FA2FFF" w14:textId="77777777" w:rsidR="00F30851" w:rsidRDefault="00F30851" w:rsidP="00573C48">
      <w:pPr>
        <w:pStyle w:val="Heading5"/>
      </w:pPr>
      <w:r w:rsidRPr="00073FEC">
        <w:t xml:space="preserve">Pivotal </w:t>
      </w:r>
      <w:r w:rsidR="00943514">
        <w:t>Study D-QIV-</w:t>
      </w:r>
      <w:r w:rsidRPr="00C4289B">
        <w:t>004</w:t>
      </w:r>
    </w:p>
    <w:p w14:paraId="41101637" w14:textId="77777777" w:rsidR="00F30851" w:rsidRDefault="00F30851" w:rsidP="0055010C">
      <w:r w:rsidRPr="00B757E5">
        <w:rPr>
          <w:lang w:val="en-GB"/>
        </w:rPr>
        <w:t>At least one SAE was reported for 3.6%</w:t>
      </w:r>
      <w:r>
        <w:rPr>
          <w:lang w:val="en-GB"/>
        </w:rPr>
        <w:t xml:space="preserve"> </w:t>
      </w:r>
      <w:r w:rsidRPr="00B757E5">
        <w:rPr>
          <w:lang w:val="en-GB"/>
        </w:rPr>
        <w:t xml:space="preserve">of subjects in the </w:t>
      </w:r>
      <w:r w:rsidR="00E278CC">
        <w:rPr>
          <w:lang w:val="en-GB"/>
        </w:rPr>
        <w:t>Fluarix Tetra</w:t>
      </w:r>
      <w:r w:rsidR="00CE366D">
        <w:rPr>
          <w:lang w:val="en-GB"/>
        </w:rPr>
        <w:t xml:space="preserve"> group </w:t>
      </w:r>
      <w:r w:rsidRPr="00B757E5">
        <w:rPr>
          <w:lang w:val="en-GB"/>
        </w:rPr>
        <w:t xml:space="preserve">and for 3.3% of subjects in the </w:t>
      </w:r>
      <w:r w:rsidR="00E835BC">
        <w:rPr>
          <w:lang w:val="en-GB"/>
        </w:rPr>
        <w:t>control group.</w:t>
      </w:r>
      <w:r w:rsidRPr="00B757E5">
        <w:rPr>
          <w:lang w:val="en-GB"/>
        </w:rPr>
        <w:t xml:space="preserve"> There were 7 SAEs</w:t>
      </w:r>
      <w:r>
        <w:rPr>
          <w:lang w:val="en-GB"/>
        </w:rPr>
        <w:t xml:space="preserve"> </w:t>
      </w:r>
      <w:r w:rsidRPr="00B757E5">
        <w:rPr>
          <w:lang w:val="en-GB"/>
        </w:rPr>
        <w:t xml:space="preserve">with causal relationship to vaccination reported for 6 subjects (0.1%) in the </w:t>
      </w:r>
      <w:r w:rsidR="00E278CC">
        <w:rPr>
          <w:lang w:val="en-GB"/>
        </w:rPr>
        <w:t>Fluarix Tetra</w:t>
      </w:r>
      <w:r w:rsidR="00CE366D">
        <w:rPr>
          <w:lang w:val="en-GB"/>
        </w:rPr>
        <w:t xml:space="preserve"> group </w:t>
      </w:r>
      <w:r w:rsidRPr="00B757E5">
        <w:rPr>
          <w:lang w:val="en-GB"/>
        </w:rPr>
        <w:t>and 2 SAEs</w:t>
      </w:r>
      <w:r>
        <w:rPr>
          <w:lang w:val="en-GB"/>
        </w:rPr>
        <w:t xml:space="preserve"> </w:t>
      </w:r>
      <w:r w:rsidRPr="00B757E5">
        <w:rPr>
          <w:lang w:val="en-GB"/>
        </w:rPr>
        <w:t xml:space="preserve">with causal relationship reported for 2 subjects (&lt;0.1%) in the </w:t>
      </w:r>
      <w:r w:rsidR="00E835BC">
        <w:rPr>
          <w:lang w:val="en-GB"/>
        </w:rPr>
        <w:t>control group.</w:t>
      </w:r>
      <w:r w:rsidRPr="00B757E5">
        <w:rPr>
          <w:lang w:val="en-GB"/>
        </w:rPr>
        <w:t xml:space="preserve"> Four subjects experienced</w:t>
      </w:r>
      <w:r>
        <w:rPr>
          <w:lang w:val="en-GB"/>
        </w:rPr>
        <w:t xml:space="preserve"> </w:t>
      </w:r>
      <w:r w:rsidRPr="00B757E5">
        <w:rPr>
          <w:lang w:val="en-GB"/>
        </w:rPr>
        <w:t xml:space="preserve">SAEs associated with a fatal outcome (1 subject in </w:t>
      </w:r>
      <w:r w:rsidR="00E278CC">
        <w:rPr>
          <w:lang w:val="en-GB"/>
        </w:rPr>
        <w:t>Fluarix Tetra</w:t>
      </w:r>
      <w:r w:rsidR="00CE366D">
        <w:rPr>
          <w:lang w:val="en-GB"/>
        </w:rPr>
        <w:t xml:space="preserve"> group </w:t>
      </w:r>
      <w:r w:rsidRPr="00B757E5">
        <w:rPr>
          <w:lang w:val="en-GB"/>
        </w:rPr>
        <w:t>and 3 subjects in Control</w:t>
      </w:r>
      <w:r w:rsidR="00E278CC">
        <w:rPr>
          <w:lang w:val="en-GB"/>
        </w:rPr>
        <w:t xml:space="preserve"> group)</w:t>
      </w:r>
      <w:r w:rsidRPr="00B757E5">
        <w:rPr>
          <w:lang w:val="en-GB"/>
        </w:rPr>
        <w:t>.</w:t>
      </w:r>
      <w:r>
        <w:rPr>
          <w:lang w:val="en-GB"/>
        </w:rPr>
        <w:t xml:space="preserve"> </w:t>
      </w:r>
      <w:r w:rsidRPr="00B757E5">
        <w:rPr>
          <w:lang w:val="en-GB"/>
        </w:rPr>
        <w:t>None of the SAEs associated with fatal outcome were attributed to the study vaccine.</w:t>
      </w:r>
    </w:p>
    <w:p w14:paraId="213107E3" w14:textId="77777777" w:rsidR="00F30851" w:rsidRDefault="00F30851" w:rsidP="0055010C">
      <w:pPr>
        <w:rPr>
          <w:lang w:val="en-GB"/>
        </w:rPr>
      </w:pPr>
      <w:r w:rsidRPr="0055010C">
        <w:rPr>
          <w:i/>
        </w:rPr>
        <w:t>Details of the deaths:</w:t>
      </w:r>
      <w:r>
        <w:t xml:space="preserve"> </w:t>
      </w:r>
      <w:r w:rsidRPr="00A57EEB">
        <w:rPr>
          <w:lang w:val="en-GB"/>
        </w:rPr>
        <w:t xml:space="preserve">The subject in the </w:t>
      </w:r>
      <w:r w:rsidR="005879FC">
        <w:rPr>
          <w:lang w:val="en-GB"/>
        </w:rPr>
        <w:t>Tetra Fluarix group</w:t>
      </w:r>
      <w:r w:rsidR="00CE366D">
        <w:rPr>
          <w:lang w:val="en-GB"/>
        </w:rPr>
        <w:t xml:space="preserve"> </w:t>
      </w:r>
      <w:r w:rsidRPr="00A57EEB">
        <w:rPr>
          <w:lang w:val="en-GB"/>
        </w:rPr>
        <w:t>was a 20-month-old male child who died 23 days after</w:t>
      </w:r>
      <w:r>
        <w:rPr>
          <w:lang w:val="en-GB"/>
        </w:rPr>
        <w:t xml:space="preserve"> </w:t>
      </w:r>
      <w:r w:rsidRPr="00A57EEB">
        <w:rPr>
          <w:lang w:val="en-GB"/>
        </w:rPr>
        <w:t xml:space="preserve">receiving the first dose of </w:t>
      </w:r>
      <w:r w:rsidR="00356911" w:rsidRPr="00356911">
        <w:rPr>
          <w:lang w:val="en-GB"/>
        </w:rPr>
        <w:t xml:space="preserve">Fluarix Tetra </w:t>
      </w:r>
      <w:r w:rsidRPr="00A57EEB">
        <w:rPr>
          <w:lang w:val="en-GB"/>
        </w:rPr>
        <w:t>due to drowning.</w:t>
      </w:r>
      <w:r>
        <w:rPr>
          <w:lang w:val="en-GB"/>
        </w:rPr>
        <w:t xml:space="preserve"> </w:t>
      </w:r>
      <w:r w:rsidRPr="00A57EEB">
        <w:rPr>
          <w:lang w:val="en-GB"/>
        </w:rPr>
        <w:t>In the Control</w:t>
      </w:r>
      <w:r w:rsidR="007C384B">
        <w:rPr>
          <w:lang w:val="en-GB"/>
        </w:rPr>
        <w:t xml:space="preserve"> group,</w:t>
      </w:r>
      <w:r w:rsidRPr="00A57EEB">
        <w:rPr>
          <w:lang w:val="en-GB"/>
        </w:rPr>
        <w:t xml:space="preserve"> 2 subjects died due to drowning. One subject in the Control</w:t>
      </w:r>
      <w:r w:rsidR="00CE366D">
        <w:rPr>
          <w:lang w:val="en-GB"/>
        </w:rPr>
        <w:t xml:space="preserve"> group </w:t>
      </w:r>
      <w:r w:rsidRPr="00A57EEB">
        <w:rPr>
          <w:lang w:val="en-GB"/>
        </w:rPr>
        <w:t>died from complications of bronchitis, pneumonia and pleural effusion, 51 days after the</w:t>
      </w:r>
      <w:r>
        <w:rPr>
          <w:lang w:val="en-GB"/>
        </w:rPr>
        <w:t xml:space="preserve"> </w:t>
      </w:r>
      <w:r w:rsidRPr="00A57EEB">
        <w:rPr>
          <w:lang w:val="en-GB"/>
        </w:rPr>
        <w:t>second dose of control vaccine.</w:t>
      </w:r>
    </w:p>
    <w:p w14:paraId="71084303" w14:textId="77777777" w:rsidR="00F30851" w:rsidRPr="00B757E5" w:rsidRDefault="00F30851" w:rsidP="0055010C">
      <w:pPr>
        <w:rPr>
          <w:lang w:val="en-GB"/>
        </w:rPr>
      </w:pPr>
      <w:r w:rsidRPr="0055010C">
        <w:rPr>
          <w:i/>
          <w:lang w:val="en-GB"/>
        </w:rPr>
        <w:t>pIMDs (during the entire study period):</w:t>
      </w:r>
      <w:r w:rsidRPr="00B757E5">
        <w:rPr>
          <w:lang w:val="en-GB"/>
        </w:rPr>
        <w:t xml:space="preserve"> </w:t>
      </w:r>
      <w:r w:rsidRPr="0055010C">
        <w:rPr>
          <w:lang w:val="en-GB"/>
        </w:rPr>
        <w:t>In D-QIV-004,</w:t>
      </w:r>
      <w:r w:rsidRPr="00250FD8">
        <w:rPr>
          <w:lang w:val="en-GB"/>
        </w:rPr>
        <w:t xml:space="preserve"> 5 subjects (0.08%) in the </w:t>
      </w:r>
      <w:r w:rsidR="005879FC">
        <w:rPr>
          <w:lang w:val="en-GB"/>
        </w:rPr>
        <w:t>Tetra Fluarix group</w:t>
      </w:r>
      <w:r w:rsidR="00CE366D">
        <w:rPr>
          <w:lang w:val="en-GB"/>
        </w:rPr>
        <w:t xml:space="preserve"> </w:t>
      </w:r>
      <w:r w:rsidRPr="00250FD8">
        <w:rPr>
          <w:lang w:val="en-GB"/>
        </w:rPr>
        <w:t>reported at least one pIMD</w:t>
      </w:r>
      <w:r>
        <w:rPr>
          <w:lang w:val="en-GB"/>
        </w:rPr>
        <w:t xml:space="preserve"> </w:t>
      </w:r>
      <w:r w:rsidRPr="00250FD8">
        <w:rPr>
          <w:lang w:val="en-GB"/>
        </w:rPr>
        <w:t xml:space="preserve">and none in the </w:t>
      </w:r>
      <w:r w:rsidR="00E835BC">
        <w:rPr>
          <w:lang w:val="en-GB"/>
        </w:rPr>
        <w:t>control group.</w:t>
      </w:r>
      <w:r w:rsidRPr="00250FD8">
        <w:rPr>
          <w:lang w:val="en-GB"/>
        </w:rPr>
        <w:t xml:space="preserve"> Three of the cases were possibly causally</w:t>
      </w:r>
      <w:r>
        <w:rPr>
          <w:lang w:val="en-GB"/>
        </w:rPr>
        <w:t xml:space="preserve"> </w:t>
      </w:r>
      <w:r w:rsidRPr="00250FD8">
        <w:rPr>
          <w:lang w:val="en-GB"/>
        </w:rPr>
        <w:t>related to vaccination according to the Investigators (idiopathic thrombocytopenic</w:t>
      </w:r>
      <w:r>
        <w:rPr>
          <w:lang w:val="en-GB"/>
        </w:rPr>
        <w:t xml:space="preserve"> purpura</w:t>
      </w:r>
      <w:r w:rsidRPr="00250FD8">
        <w:rPr>
          <w:lang w:val="en-GB"/>
        </w:rPr>
        <w:t>, facial paralysis and nephrotic syndrome), and 2 were not (coeliac disease,</w:t>
      </w:r>
      <w:r>
        <w:rPr>
          <w:lang w:val="en-GB"/>
        </w:rPr>
        <w:t xml:space="preserve"> </w:t>
      </w:r>
      <w:r w:rsidRPr="00250FD8">
        <w:rPr>
          <w:lang w:val="en-GB"/>
        </w:rPr>
        <w:t>facial paralysis).</w:t>
      </w:r>
    </w:p>
    <w:p w14:paraId="64FFC917" w14:textId="77777777" w:rsidR="00F30851" w:rsidRDefault="00F30851" w:rsidP="0055010C">
      <w:pPr>
        <w:pStyle w:val="Heading5"/>
      </w:pPr>
      <w:r>
        <w:t xml:space="preserve">Other </w:t>
      </w:r>
      <w:r w:rsidR="0055010C">
        <w:t>S</w:t>
      </w:r>
      <w:r>
        <w:t xml:space="preserve">tudies D-QIV-009 </w:t>
      </w:r>
      <w:r w:rsidRPr="0055010C">
        <w:t>and</w:t>
      </w:r>
      <w:r>
        <w:t xml:space="preserve"> -015</w:t>
      </w:r>
    </w:p>
    <w:p w14:paraId="43D27310" w14:textId="77777777" w:rsidR="0055010C" w:rsidRDefault="00F30851" w:rsidP="0055010C">
      <w:pPr>
        <w:rPr>
          <w:rFonts w:eastAsiaTheme="minorHAnsi" w:cs="TimesNewRoman,Italic"/>
          <w:b/>
          <w:iCs/>
        </w:rPr>
      </w:pPr>
      <w:r w:rsidRPr="0055010C">
        <w:rPr>
          <w:rFonts w:eastAsiaTheme="minorHAnsi" w:cs="TimesNewRoman,Italic"/>
          <w:i/>
          <w:iCs/>
        </w:rPr>
        <w:t>D-QIV-009: SAE</w:t>
      </w:r>
      <w:r w:rsidRPr="001D6224">
        <w:rPr>
          <w:rFonts w:eastAsiaTheme="minorHAnsi" w:cs="TimesNewRoman,Italic"/>
          <w:b/>
          <w:iCs/>
        </w:rPr>
        <w:t>:</w:t>
      </w:r>
      <w:r w:rsidRPr="001D6224">
        <w:rPr>
          <w:rFonts w:eastAsiaTheme="minorHAnsi" w:cs="TimesNewRoman,Italic"/>
          <w:iCs/>
        </w:rPr>
        <w:t xml:space="preserve"> </w:t>
      </w:r>
      <w:r w:rsidRPr="001D6224">
        <w:t xml:space="preserve">A total of 15 subjects (7 [2.9%] in the </w:t>
      </w:r>
      <w:r w:rsidR="005D2053">
        <w:t>vaccine primed</w:t>
      </w:r>
      <w:r w:rsidR="00CE366D">
        <w:t xml:space="preserve"> group </w:t>
      </w:r>
      <w:r w:rsidRPr="001D6224">
        <w:t>and 8 [3.5%] in the</w:t>
      </w:r>
      <w:r>
        <w:t xml:space="preserve"> </w:t>
      </w:r>
      <w:r w:rsidRPr="001D6224">
        <w:t>vaccine-</w:t>
      </w:r>
      <w:r w:rsidR="005D2053">
        <w:t>un-primed</w:t>
      </w:r>
      <w:r w:rsidR="00CE366D">
        <w:t xml:space="preserve"> group </w:t>
      </w:r>
      <w:r w:rsidRPr="001D6224">
        <w:t>reported 19 SAEs during the entire study period. No vaccine-related SAEs were</w:t>
      </w:r>
      <w:r>
        <w:t xml:space="preserve"> </w:t>
      </w:r>
      <w:r w:rsidRPr="001D6224">
        <w:t>reported during the study.</w:t>
      </w:r>
      <w:r w:rsidRPr="00B73B44">
        <w:rPr>
          <w:rFonts w:eastAsiaTheme="minorHAnsi" w:cs="TimesNewRoman,Italic"/>
          <w:b/>
          <w:iCs/>
        </w:rPr>
        <w:t xml:space="preserve"> </w:t>
      </w:r>
      <w:r w:rsidRPr="00A57EEB">
        <w:rPr>
          <w:rFonts w:eastAsiaTheme="minorHAnsi" w:cs="TimesNewRoman,Italic"/>
          <w:iCs/>
        </w:rPr>
        <w:t>No deaths.</w:t>
      </w:r>
    </w:p>
    <w:p w14:paraId="7B950261" w14:textId="77777777" w:rsidR="00F30851" w:rsidRDefault="00F30851" w:rsidP="0055010C">
      <w:r w:rsidRPr="0055010C">
        <w:rPr>
          <w:rFonts w:eastAsiaTheme="minorHAnsi" w:cs="TimesNewRoman,Italic"/>
          <w:i/>
          <w:iCs/>
        </w:rPr>
        <w:lastRenderedPageBreak/>
        <w:t>pIMDs:</w:t>
      </w:r>
      <w:r w:rsidRPr="001D6224">
        <w:rPr>
          <w:rFonts w:eastAsiaTheme="minorHAnsi" w:cs="TimesNewRoman,Italic"/>
          <w:iCs/>
        </w:rPr>
        <w:t xml:space="preserve"> </w:t>
      </w:r>
      <w:r w:rsidRPr="001D6224">
        <w:t>No pIMDs were reported during the entire study period.</w:t>
      </w:r>
    </w:p>
    <w:p w14:paraId="1E892DB7" w14:textId="77777777" w:rsidR="00F30851" w:rsidRPr="00250FD8" w:rsidRDefault="00F30851" w:rsidP="0055010C">
      <w:r w:rsidRPr="0055010C">
        <w:rPr>
          <w:rFonts w:eastAsiaTheme="minorHAnsi" w:cs="TimesNewRoman,Italic"/>
          <w:i/>
          <w:iCs/>
        </w:rPr>
        <w:t>D-</w:t>
      </w:r>
      <w:r w:rsidRPr="0055010C">
        <w:rPr>
          <w:i/>
        </w:rPr>
        <w:t>QIV-015:</w:t>
      </w:r>
      <w:r>
        <w:rPr>
          <w:b/>
        </w:rPr>
        <w:t xml:space="preserve"> </w:t>
      </w:r>
      <w:r w:rsidRPr="00250FD8">
        <w:t>one occurrence of an SAE of febrile</w:t>
      </w:r>
      <w:r>
        <w:t xml:space="preserve"> </w:t>
      </w:r>
      <w:r w:rsidRPr="00250FD8">
        <w:t xml:space="preserve">convulsion was reported in a subject from </w:t>
      </w:r>
      <w:r w:rsidR="005879FC">
        <w:t>6 to 35</w:t>
      </w:r>
      <w:r w:rsidRPr="00250FD8">
        <w:t xml:space="preserve"> months Cohort in the </w:t>
      </w:r>
      <w:r w:rsidR="005879FC">
        <w:t>Tetra Fluarix LP group</w:t>
      </w:r>
      <w:r w:rsidR="007C384B">
        <w:t>.</w:t>
      </w:r>
    </w:p>
    <w:p w14:paraId="0FAB7D4E" w14:textId="77777777" w:rsidR="00F30851" w:rsidRDefault="00F30851" w:rsidP="0055010C">
      <w:pPr>
        <w:pStyle w:val="Heading4"/>
      </w:pPr>
      <w:bookmarkStart w:id="147" w:name="_Toc241374325"/>
      <w:bookmarkStart w:id="148" w:name="_Ref272333477"/>
      <w:bookmarkStart w:id="149" w:name="_Toc272414667"/>
      <w:bookmarkStart w:id="150" w:name="_Toc290888531"/>
      <w:bookmarkStart w:id="151" w:name="_Toc416353747"/>
      <w:bookmarkStart w:id="152" w:name="_Toc421005290"/>
      <w:bookmarkStart w:id="153" w:name="_Toc432079167"/>
      <w:bookmarkStart w:id="154" w:name="_Toc432080740"/>
      <w:r w:rsidRPr="00545B14">
        <w:t>Discontinuation</w:t>
      </w:r>
      <w:r>
        <w:t>s</w:t>
      </w:r>
      <w:r w:rsidRPr="00545B14">
        <w:t xml:space="preserve"> due to adverse events</w:t>
      </w:r>
      <w:bookmarkEnd w:id="147"/>
      <w:bookmarkEnd w:id="148"/>
      <w:bookmarkEnd w:id="149"/>
      <w:bookmarkEnd w:id="150"/>
      <w:bookmarkEnd w:id="151"/>
      <w:bookmarkEnd w:id="152"/>
      <w:bookmarkEnd w:id="153"/>
      <w:bookmarkEnd w:id="154"/>
    </w:p>
    <w:p w14:paraId="40F2D92D" w14:textId="77777777" w:rsidR="00F30851" w:rsidRDefault="00F30851" w:rsidP="0055010C">
      <w:pPr>
        <w:pStyle w:val="Heading5"/>
      </w:pPr>
      <w:r w:rsidRPr="00073FEC">
        <w:t xml:space="preserve">Pivotal </w:t>
      </w:r>
      <w:r w:rsidR="00943514">
        <w:t>Study D-QIV-</w:t>
      </w:r>
      <w:r w:rsidRPr="00C4289B">
        <w:t>004</w:t>
      </w:r>
    </w:p>
    <w:p w14:paraId="3F8263E5" w14:textId="77777777" w:rsidR="00F30851" w:rsidRPr="00525208" w:rsidRDefault="00F30851" w:rsidP="0055010C">
      <w:r>
        <w:t xml:space="preserve">There were 3 subjects in the </w:t>
      </w:r>
      <w:r w:rsidR="00E278CC">
        <w:t>Fluarix Tetra</w:t>
      </w:r>
      <w:r w:rsidR="00CE366D">
        <w:t xml:space="preserve"> group </w:t>
      </w:r>
      <w:r>
        <w:t xml:space="preserve">and 10 subjects in the </w:t>
      </w:r>
      <w:r w:rsidR="0055010C">
        <w:t>c</w:t>
      </w:r>
      <w:r>
        <w:t>ontrol</w:t>
      </w:r>
      <w:r w:rsidR="00CE366D">
        <w:t xml:space="preserve"> group </w:t>
      </w:r>
      <w:r>
        <w:t xml:space="preserve">who discontinued prematurely due to a non-serious AE; 1 subject in the </w:t>
      </w:r>
      <w:r w:rsidR="00E278CC">
        <w:t>Fluarix Tetra</w:t>
      </w:r>
      <w:r w:rsidR="00CE366D">
        <w:t xml:space="preserve"> group </w:t>
      </w:r>
      <w:r>
        <w:t xml:space="preserve">and 6 subjects in the </w:t>
      </w:r>
      <w:r w:rsidR="0055010C">
        <w:t>c</w:t>
      </w:r>
      <w:r>
        <w:t>ontrol</w:t>
      </w:r>
      <w:r w:rsidR="00CE366D">
        <w:t xml:space="preserve"> group </w:t>
      </w:r>
      <w:r>
        <w:t xml:space="preserve">prematurely discontinued due to an SAE. One non-serious AE (URTI) in the </w:t>
      </w:r>
      <w:r w:rsidR="00E278CC">
        <w:t>Fluarix Tetra group)</w:t>
      </w:r>
      <w:r>
        <w:t xml:space="preserve"> had a possible causal relationship to vaccination according to the investigator.</w:t>
      </w:r>
    </w:p>
    <w:p w14:paraId="083F2C26" w14:textId="77777777" w:rsidR="00F30851" w:rsidRDefault="00F30851" w:rsidP="0055010C">
      <w:pPr>
        <w:pStyle w:val="Heading5"/>
      </w:pPr>
      <w:r>
        <w:t xml:space="preserve">Other </w:t>
      </w:r>
      <w:r w:rsidR="0055010C" w:rsidRPr="0055010C">
        <w:t>S</w:t>
      </w:r>
      <w:r w:rsidRPr="0055010C">
        <w:t>tudies</w:t>
      </w:r>
      <w:r>
        <w:t xml:space="preserve"> D-QIV-009 and -015</w:t>
      </w:r>
    </w:p>
    <w:p w14:paraId="370D0B69" w14:textId="77777777" w:rsidR="00BC74DF" w:rsidRDefault="00F30851" w:rsidP="0055010C">
      <w:pPr>
        <w:rPr>
          <w:rFonts w:eastAsia="TimesNewRoman" w:cs="TimesNewRoman"/>
        </w:rPr>
      </w:pPr>
      <w:bookmarkStart w:id="155" w:name="_Toc241374321"/>
      <w:bookmarkStart w:id="156" w:name="_Ref271044780"/>
      <w:bookmarkStart w:id="157" w:name="_Ref271196640"/>
      <w:bookmarkStart w:id="158" w:name="_Ref272333085"/>
      <w:bookmarkStart w:id="159" w:name="_Toc272414668"/>
      <w:bookmarkStart w:id="160" w:name="_Toc290888532"/>
      <w:bookmarkStart w:id="161" w:name="_Toc416353748"/>
      <w:bookmarkStart w:id="162" w:name="_Toc421005291"/>
      <w:bookmarkStart w:id="163" w:name="_Toc432079168"/>
      <w:bookmarkStart w:id="164" w:name="_Toc432080741"/>
      <w:r w:rsidRPr="0055010C">
        <w:rPr>
          <w:rFonts w:eastAsia="TimesNewRoman" w:cs="TimesNewRoman"/>
          <w:i/>
        </w:rPr>
        <w:t>D-QIV-009:</w:t>
      </w:r>
      <w:r>
        <w:rPr>
          <w:rFonts w:eastAsia="TimesNewRoman" w:cs="TimesNewRoman"/>
        </w:rPr>
        <w:t xml:space="preserve"> </w:t>
      </w:r>
      <w:r w:rsidRPr="00B73B44">
        <w:t xml:space="preserve">withdrawals due to adverse events /serious adverse events: </w:t>
      </w:r>
      <w:r w:rsidRPr="00B73B44">
        <w:rPr>
          <w:rFonts w:eastAsia="TimesNewRoman" w:cs="TimesNewRoman"/>
        </w:rPr>
        <w:t>none.</w:t>
      </w:r>
    </w:p>
    <w:p w14:paraId="2B030768" w14:textId="77777777" w:rsidR="00BC74DF" w:rsidRDefault="00F30851" w:rsidP="0055010C">
      <w:pPr>
        <w:rPr>
          <w:rFonts w:eastAsia="TimesNewRoman" w:cs="TimesNewRoman"/>
          <w:color w:val="000000"/>
          <w:lang w:val="en-GB"/>
        </w:rPr>
      </w:pPr>
      <w:r w:rsidRPr="0055010C">
        <w:rPr>
          <w:i/>
          <w:lang w:eastAsia="ja-JP"/>
        </w:rPr>
        <w:t>D-QIV-015:</w:t>
      </w:r>
      <w:r w:rsidRPr="004A74DE">
        <w:rPr>
          <w:b/>
          <w:lang w:eastAsia="ja-JP"/>
        </w:rPr>
        <w:t xml:space="preserve"> </w:t>
      </w:r>
      <w:r w:rsidRPr="004A74DE">
        <w:rPr>
          <w:rFonts w:eastAsia="TimesNewRoman" w:cs="TimesNewRoman"/>
          <w:color w:val="000000"/>
          <w:lang w:val="en-GB"/>
        </w:rPr>
        <w:t xml:space="preserve">Twenty subjects (7 in the </w:t>
      </w:r>
      <w:r w:rsidR="005879FC">
        <w:rPr>
          <w:rFonts w:eastAsia="TimesNewRoman" w:cs="TimesNewRoman"/>
          <w:color w:val="000000"/>
          <w:lang w:val="en-GB"/>
        </w:rPr>
        <w:t>Tetra Fluarix IP group</w:t>
      </w:r>
      <w:r w:rsidR="00CE366D">
        <w:rPr>
          <w:rFonts w:eastAsia="TimesNewRoman" w:cs="TimesNewRoman"/>
          <w:color w:val="000000"/>
          <w:lang w:val="en-GB"/>
        </w:rPr>
        <w:t xml:space="preserve"> </w:t>
      </w:r>
      <w:r w:rsidRPr="004A74DE">
        <w:rPr>
          <w:rFonts w:eastAsia="TimesNewRoman" w:cs="TimesNewRoman"/>
          <w:color w:val="000000"/>
          <w:lang w:val="en-GB"/>
        </w:rPr>
        <w:t>and 13 in the DQIV LP</w:t>
      </w:r>
      <w:r w:rsidR="00E278CC">
        <w:rPr>
          <w:rFonts w:eastAsia="TimesNewRoman" w:cs="TimesNewRoman"/>
          <w:color w:val="000000"/>
          <w:lang w:val="en-GB"/>
        </w:rPr>
        <w:t xml:space="preserve"> group)</w:t>
      </w:r>
      <w:r w:rsidRPr="004A74DE">
        <w:rPr>
          <w:rFonts w:eastAsia="TimesNewRoman" w:cs="TimesNewRoman"/>
          <w:color w:val="000000"/>
          <w:lang w:val="en-GB"/>
        </w:rPr>
        <w:t xml:space="preserve"> were withdrawn from the study. The major reason</w:t>
      </w:r>
      <w:r>
        <w:rPr>
          <w:rFonts w:eastAsia="TimesNewRoman" w:cs="TimesNewRoman"/>
          <w:color w:val="000000"/>
          <w:lang w:val="en-GB"/>
        </w:rPr>
        <w:t xml:space="preserve"> </w:t>
      </w:r>
      <w:r w:rsidRPr="004A74DE">
        <w:rPr>
          <w:rFonts w:eastAsia="TimesNewRoman" w:cs="TimesNewRoman"/>
          <w:color w:val="000000"/>
          <w:lang w:val="en-GB"/>
        </w:rPr>
        <w:t xml:space="preserve">was due to withdrawal of consent </w:t>
      </w:r>
      <w:r w:rsidRPr="0055010C">
        <w:rPr>
          <w:rFonts w:eastAsia="TimesNewRoman,BoldItalic" w:cs="TimesNewRoman,BoldItalic"/>
          <w:bCs/>
          <w:i/>
          <w:color w:val="000000"/>
          <w:lang w:val="en-GB"/>
        </w:rPr>
        <w:t>unrelated to an adverse</w:t>
      </w:r>
      <w:r w:rsidRPr="0055010C">
        <w:rPr>
          <w:rFonts w:eastAsia="TimesNewRoman" w:cs="TimesNewRoman"/>
          <w:i/>
          <w:color w:val="000000"/>
          <w:lang w:val="en-GB"/>
        </w:rPr>
        <w:t xml:space="preserve"> </w:t>
      </w:r>
      <w:r w:rsidRPr="0055010C">
        <w:rPr>
          <w:rFonts w:eastAsia="TimesNewRoman,BoldItalic" w:cs="TimesNewRoman,BoldItalic"/>
          <w:bCs/>
          <w:i/>
          <w:color w:val="000000"/>
          <w:lang w:val="en-GB"/>
        </w:rPr>
        <w:t>event</w:t>
      </w:r>
      <w:r>
        <w:rPr>
          <w:rFonts w:eastAsia="TimesNewRoman" w:cs="TimesNewRoman"/>
          <w:color w:val="000000"/>
          <w:lang w:val="en-GB"/>
        </w:rPr>
        <w:t xml:space="preserve">; 3 subjects were withdrawn for </w:t>
      </w:r>
      <w:r w:rsidRPr="0055010C">
        <w:rPr>
          <w:rFonts w:eastAsia="TimesNewRoman" w:cs="TimesNewRoman"/>
          <w:i/>
          <w:color w:val="000000"/>
          <w:lang w:val="en-GB"/>
        </w:rPr>
        <w:t>non-serious</w:t>
      </w:r>
      <w:r>
        <w:rPr>
          <w:rFonts w:eastAsia="TimesNewRoman" w:cs="TimesNewRoman"/>
          <w:color w:val="000000"/>
          <w:lang w:val="en-GB"/>
        </w:rPr>
        <w:t xml:space="preserve"> adverse events.</w:t>
      </w:r>
    </w:p>
    <w:p w14:paraId="7BD57120" w14:textId="6C5F9C7B" w:rsidR="00F30851" w:rsidRDefault="00F30851" w:rsidP="0055010C">
      <w:pPr>
        <w:pStyle w:val="Heading3"/>
      </w:pPr>
      <w:bookmarkStart w:id="165" w:name="_Toc501608196"/>
      <w:bookmarkStart w:id="166" w:name="_Toc532480105"/>
      <w:r>
        <w:t xml:space="preserve">Issues </w:t>
      </w:r>
      <w:bookmarkEnd w:id="155"/>
      <w:bookmarkEnd w:id="156"/>
      <w:bookmarkEnd w:id="157"/>
      <w:bookmarkEnd w:id="158"/>
      <w:bookmarkEnd w:id="159"/>
      <w:bookmarkEnd w:id="160"/>
      <w:bookmarkEnd w:id="161"/>
      <w:bookmarkEnd w:id="162"/>
      <w:r>
        <w:t>with possible regulatory impact</w:t>
      </w:r>
      <w:bookmarkEnd w:id="163"/>
      <w:bookmarkEnd w:id="164"/>
      <w:bookmarkEnd w:id="165"/>
      <w:bookmarkEnd w:id="166"/>
    </w:p>
    <w:p w14:paraId="4661E20B" w14:textId="77777777" w:rsidR="00F30851" w:rsidRPr="00545B14" w:rsidRDefault="00F30851" w:rsidP="0055010C">
      <w:pPr>
        <w:pStyle w:val="Heading4"/>
      </w:pPr>
      <w:bookmarkStart w:id="167" w:name="_Toc272414669"/>
      <w:bookmarkStart w:id="168" w:name="_Toc290888533"/>
      <w:bookmarkStart w:id="169" w:name="_Toc416353749"/>
      <w:bookmarkStart w:id="170" w:name="_Toc421005292"/>
      <w:bookmarkStart w:id="171" w:name="_Toc432079169"/>
      <w:bookmarkStart w:id="172" w:name="_Toc432080742"/>
      <w:r w:rsidRPr="00545B14">
        <w:t>Liver function</w:t>
      </w:r>
      <w:bookmarkEnd w:id="167"/>
      <w:bookmarkEnd w:id="168"/>
      <w:bookmarkEnd w:id="169"/>
      <w:bookmarkEnd w:id="170"/>
      <w:r>
        <w:t>, liver toxicity</w:t>
      </w:r>
      <w:bookmarkStart w:id="173" w:name="_Toc272414670"/>
      <w:bookmarkStart w:id="174" w:name="_Toc290888534"/>
      <w:bookmarkStart w:id="175" w:name="_Toc416353750"/>
      <w:bookmarkStart w:id="176" w:name="_Toc421005293"/>
      <w:bookmarkStart w:id="177" w:name="_Toc432079170"/>
      <w:bookmarkStart w:id="178" w:name="_Toc432080743"/>
      <w:bookmarkEnd w:id="171"/>
      <w:bookmarkEnd w:id="172"/>
      <w:r>
        <w:t xml:space="preserve">, </w:t>
      </w:r>
      <w:r w:rsidR="000B015D">
        <w:t>r</w:t>
      </w:r>
      <w:r>
        <w:t xml:space="preserve">enal </w:t>
      </w:r>
      <w:r w:rsidRPr="00545B14">
        <w:t>function</w:t>
      </w:r>
      <w:bookmarkEnd w:id="173"/>
      <w:bookmarkEnd w:id="174"/>
      <w:bookmarkEnd w:id="175"/>
      <w:bookmarkEnd w:id="176"/>
      <w:r>
        <w:t>, renal toxicity</w:t>
      </w:r>
      <w:bookmarkStart w:id="179" w:name="_Toc272414671"/>
      <w:bookmarkStart w:id="180" w:name="_Toc290888535"/>
      <w:bookmarkStart w:id="181" w:name="_Toc416353751"/>
      <w:bookmarkStart w:id="182" w:name="_Toc421005294"/>
      <w:bookmarkStart w:id="183" w:name="_Toc432079171"/>
      <w:bookmarkStart w:id="184" w:name="_Toc432080744"/>
      <w:bookmarkEnd w:id="177"/>
      <w:bookmarkEnd w:id="178"/>
      <w:r>
        <w:t xml:space="preserve">, </w:t>
      </w:r>
      <w:r w:rsidRPr="00545B14">
        <w:t xml:space="preserve">Other </w:t>
      </w:r>
      <w:r w:rsidRPr="0055010C">
        <w:t>clinical</w:t>
      </w:r>
      <w:r w:rsidRPr="00545B14">
        <w:t xml:space="preserve"> chemistr</w:t>
      </w:r>
      <w:bookmarkStart w:id="185" w:name="_Toc272414672"/>
      <w:bookmarkStart w:id="186" w:name="_Toc290888536"/>
      <w:bookmarkStart w:id="187" w:name="_Toc416353752"/>
      <w:bookmarkStart w:id="188" w:name="_Toc421005295"/>
      <w:bookmarkStart w:id="189" w:name="_Toc432079172"/>
      <w:bookmarkStart w:id="190" w:name="_Toc432080745"/>
      <w:bookmarkEnd w:id="179"/>
      <w:bookmarkEnd w:id="180"/>
      <w:bookmarkEnd w:id="181"/>
      <w:bookmarkEnd w:id="182"/>
      <w:bookmarkEnd w:id="183"/>
      <w:bookmarkEnd w:id="184"/>
      <w:r>
        <w:t xml:space="preserve">y, </w:t>
      </w:r>
      <w:r w:rsidRPr="00545B14">
        <w:t>Haematology</w:t>
      </w:r>
      <w:bookmarkEnd w:id="185"/>
      <w:bookmarkEnd w:id="186"/>
      <w:bookmarkEnd w:id="187"/>
      <w:bookmarkEnd w:id="188"/>
      <w:r>
        <w:t xml:space="preserve"> and haematological toxicity</w:t>
      </w:r>
      <w:bookmarkEnd w:id="189"/>
      <w:bookmarkEnd w:id="190"/>
    </w:p>
    <w:p w14:paraId="34299EEE" w14:textId="77777777" w:rsidR="00F30851" w:rsidRDefault="00F30851" w:rsidP="00F30851">
      <w:pPr>
        <w:ind w:left="170"/>
        <w:rPr>
          <w:lang w:eastAsia="ja-JP"/>
        </w:rPr>
      </w:pPr>
      <w:bookmarkStart w:id="191" w:name="_Toc272414674"/>
      <w:bookmarkStart w:id="192" w:name="_Toc290888538"/>
      <w:bookmarkStart w:id="193" w:name="_Toc416353753"/>
      <w:bookmarkStart w:id="194" w:name="_Toc421005296"/>
      <w:bookmarkStart w:id="195" w:name="_Toc432079173"/>
      <w:bookmarkStart w:id="196" w:name="_Toc432080746"/>
      <w:r>
        <w:rPr>
          <w:lang w:eastAsia="ja-JP"/>
        </w:rPr>
        <w:t>Not assessed.</w:t>
      </w:r>
      <w:bookmarkStart w:id="197" w:name="_Toc272414675"/>
      <w:bookmarkStart w:id="198" w:name="_Toc290888539"/>
      <w:bookmarkStart w:id="199" w:name="_Toc416353754"/>
      <w:bookmarkStart w:id="200" w:name="_Toc421005297"/>
      <w:bookmarkStart w:id="201" w:name="_Toc432079174"/>
      <w:bookmarkStart w:id="202" w:name="_Toc432080747"/>
      <w:bookmarkEnd w:id="191"/>
      <w:bookmarkEnd w:id="192"/>
      <w:bookmarkEnd w:id="193"/>
      <w:bookmarkEnd w:id="194"/>
      <w:bookmarkEnd w:id="195"/>
      <w:bookmarkEnd w:id="196"/>
    </w:p>
    <w:p w14:paraId="3BC2EF9F" w14:textId="77777777" w:rsidR="00F30851" w:rsidRPr="00545B14" w:rsidRDefault="00F30851" w:rsidP="0055010C">
      <w:pPr>
        <w:pStyle w:val="Heading4"/>
      </w:pPr>
      <w:r w:rsidRPr="00545B14">
        <w:t>Electrocardiograph</w:t>
      </w:r>
      <w:bookmarkEnd w:id="197"/>
      <w:bookmarkEnd w:id="198"/>
      <w:bookmarkEnd w:id="199"/>
      <w:bookmarkEnd w:id="200"/>
      <w:r>
        <w:t xml:space="preserve"> findings and cardiovascular safety</w:t>
      </w:r>
      <w:bookmarkEnd w:id="201"/>
      <w:bookmarkEnd w:id="202"/>
    </w:p>
    <w:p w14:paraId="406F7476" w14:textId="77777777" w:rsidR="00F30851" w:rsidRDefault="00F30851" w:rsidP="0055010C">
      <w:pPr>
        <w:rPr>
          <w:lang w:eastAsia="ja-JP"/>
        </w:rPr>
      </w:pPr>
      <w:r>
        <w:rPr>
          <w:lang w:eastAsia="ja-JP"/>
        </w:rPr>
        <w:t>Not assessed.</w:t>
      </w:r>
      <w:bookmarkStart w:id="203" w:name="_Toc272414676"/>
      <w:bookmarkStart w:id="204" w:name="_Toc290888540"/>
      <w:bookmarkStart w:id="205" w:name="_Toc416353755"/>
      <w:bookmarkStart w:id="206" w:name="_Toc421005298"/>
      <w:bookmarkStart w:id="207" w:name="_Toc432079175"/>
      <w:bookmarkStart w:id="208" w:name="_Toc432080748"/>
    </w:p>
    <w:p w14:paraId="0ED3BA92" w14:textId="77777777" w:rsidR="00F30851" w:rsidRPr="00545B14" w:rsidRDefault="00F30851" w:rsidP="0055010C">
      <w:pPr>
        <w:pStyle w:val="Heading4"/>
      </w:pPr>
      <w:r w:rsidRPr="00545B14">
        <w:t>Vital signs</w:t>
      </w:r>
      <w:bookmarkEnd w:id="203"/>
      <w:bookmarkEnd w:id="204"/>
      <w:bookmarkEnd w:id="205"/>
      <w:bookmarkEnd w:id="206"/>
      <w:r>
        <w:t xml:space="preserve"> and clinical examination findings</w:t>
      </w:r>
      <w:bookmarkEnd w:id="207"/>
      <w:bookmarkEnd w:id="208"/>
    </w:p>
    <w:p w14:paraId="6BA93580" w14:textId="77777777" w:rsidR="00F30851" w:rsidRDefault="00943514" w:rsidP="0055010C">
      <w:pPr>
        <w:rPr>
          <w:lang w:eastAsia="ja-JP"/>
        </w:rPr>
      </w:pPr>
      <w:r>
        <w:rPr>
          <w:lang w:eastAsia="ja-JP"/>
        </w:rPr>
        <w:t xml:space="preserve"> </w:t>
      </w:r>
      <w:bookmarkStart w:id="209" w:name="_Toc432079176"/>
      <w:bookmarkStart w:id="210" w:name="_Toc432080749"/>
      <w:r w:rsidR="00F30851">
        <w:rPr>
          <w:lang w:eastAsia="ja-JP"/>
        </w:rPr>
        <w:t>Not assessed, aside from temperature, see under solicited systemic findings.</w:t>
      </w:r>
    </w:p>
    <w:p w14:paraId="55764DC2" w14:textId="77777777" w:rsidR="00F30851" w:rsidRDefault="00F30851" w:rsidP="0055010C">
      <w:pPr>
        <w:pStyle w:val="Heading4"/>
      </w:pPr>
      <w:r>
        <w:t>Immunogenicity and immunological events</w:t>
      </w:r>
      <w:bookmarkEnd w:id="209"/>
      <w:bookmarkEnd w:id="210"/>
    </w:p>
    <w:p w14:paraId="3691F8CC" w14:textId="77777777" w:rsidR="00F30851" w:rsidRPr="00600B86" w:rsidRDefault="00F30851" w:rsidP="0055010C">
      <w:pPr>
        <w:rPr>
          <w:rFonts w:eastAsia="TimesNewRoman" w:cs="TimesNewRoman"/>
          <w:color w:val="000000"/>
        </w:rPr>
      </w:pPr>
      <w:bookmarkStart w:id="211" w:name="_Toc432079177"/>
      <w:bookmarkStart w:id="212" w:name="_Toc432080750"/>
      <w:r w:rsidRPr="006A2A71">
        <w:rPr>
          <w:lang w:eastAsia="ja-JP"/>
        </w:rPr>
        <w:t>None revealed</w:t>
      </w:r>
      <w:r>
        <w:rPr>
          <w:lang w:eastAsia="ja-JP"/>
        </w:rPr>
        <w:t xml:space="preserve">. See details of </w:t>
      </w:r>
      <w:r w:rsidRPr="0055010C">
        <w:rPr>
          <w:i/>
          <w:lang w:eastAsia="ja-JP"/>
        </w:rPr>
        <w:t>pI</w:t>
      </w:r>
      <w:r w:rsidR="000B015D">
        <w:rPr>
          <w:i/>
          <w:lang w:eastAsia="ja-JP"/>
        </w:rPr>
        <w:t>M</w:t>
      </w:r>
      <w:r w:rsidRPr="0055010C">
        <w:rPr>
          <w:i/>
          <w:lang w:eastAsia="ja-JP"/>
        </w:rPr>
        <w:t>D in D-QIV-004.</w:t>
      </w:r>
    </w:p>
    <w:p w14:paraId="1902847A" w14:textId="77777777" w:rsidR="00F30851" w:rsidRPr="00751917" w:rsidRDefault="00F30851" w:rsidP="0055010C">
      <w:pPr>
        <w:pStyle w:val="Heading4"/>
      </w:pPr>
      <w:r w:rsidRPr="00E7113A">
        <w:t>Serious skin reactions</w:t>
      </w:r>
      <w:bookmarkStart w:id="213" w:name="_Toc272414686"/>
      <w:bookmarkStart w:id="214" w:name="_Ref273005527"/>
      <w:bookmarkStart w:id="215" w:name="_Toc290888550"/>
      <w:bookmarkStart w:id="216" w:name="_Toc416353765"/>
      <w:bookmarkStart w:id="217" w:name="_Toc421005308"/>
      <w:bookmarkStart w:id="218" w:name="_Toc432079179"/>
      <w:bookmarkStart w:id="219" w:name="_Toc432080752"/>
      <w:bookmarkEnd w:id="211"/>
      <w:bookmarkEnd w:id="212"/>
    </w:p>
    <w:p w14:paraId="10A0F20C" w14:textId="77777777" w:rsidR="00F30851" w:rsidRPr="00F24B7D" w:rsidRDefault="00F30851" w:rsidP="0055010C">
      <w:r>
        <w:t>None revealed.</w:t>
      </w:r>
    </w:p>
    <w:p w14:paraId="097272E8" w14:textId="77777777" w:rsidR="00F30851" w:rsidRPr="00545B14" w:rsidRDefault="00F30851" w:rsidP="0055010C">
      <w:pPr>
        <w:pStyle w:val="Heading3"/>
      </w:pPr>
      <w:bookmarkStart w:id="220" w:name="_Toc501608197"/>
      <w:bookmarkStart w:id="221" w:name="_Toc532480106"/>
      <w:r w:rsidRPr="00545B14">
        <w:t>Other safety issues</w:t>
      </w:r>
      <w:bookmarkEnd w:id="213"/>
      <w:bookmarkEnd w:id="214"/>
      <w:bookmarkEnd w:id="215"/>
      <w:bookmarkEnd w:id="216"/>
      <w:bookmarkEnd w:id="217"/>
      <w:bookmarkEnd w:id="218"/>
      <w:bookmarkEnd w:id="219"/>
      <w:bookmarkEnd w:id="220"/>
      <w:bookmarkEnd w:id="221"/>
    </w:p>
    <w:p w14:paraId="06AED8C5" w14:textId="77777777" w:rsidR="00F30851" w:rsidRPr="00545B14" w:rsidRDefault="00F30851" w:rsidP="0055010C">
      <w:pPr>
        <w:pStyle w:val="Heading4"/>
      </w:pPr>
      <w:bookmarkStart w:id="222" w:name="_Toc241374322"/>
      <w:bookmarkStart w:id="223" w:name="_Ref272331212"/>
      <w:bookmarkStart w:id="224" w:name="_Toc272414687"/>
      <w:bookmarkStart w:id="225" w:name="_Toc290888551"/>
      <w:bookmarkStart w:id="226" w:name="_Toc416353766"/>
      <w:bookmarkStart w:id="227" w:name="_Toc421005309"/>
      <w:bookmarkStart w:id="228" w:name="_Toc432079180"/>
      <w:bookmarkStart w:id="229" w:name="_Toc432080753"/>
      <w:r w:rsidRPr="00545B14">
        <w:t>Safety in special populations</w:t>
      </w:r>
      <w:bookmarkEnd w:id="222"/>
      <w:bookmarkEnd w:id="223"/>
      <w:bookmarkEnd w:id="224"/>
      <w:bookmarkEnd w:id="225"/>
      <w:bookmarkEnd w:id="226"/>
      <w:bookmarkEnd w:id="227"/>
      <w:bookmarkEnd w:id="228"/>
      <w:bookmarkEnd w:id="229"/>
    </w:p>
    <w:p w14:paraId="7CBEB0AA" w14:textId="77777777" w:rsidR="00F30851" w:rsidRDefault="00F30851" w:rsidP="0055010C">
      <w:pPr>
        <w:rPr>
          <w:lang w:eastAsia="ja-JP"/>
        </w:rPr>
      </w:pPr>
      <w:bookmarkStart w:id="230" w:name="_Toc241374324"/>
      <w:bookmarkStart w:id="231" w:name="_Ref272331214"/>
      <w:bookmarkStart w:id="232" w:name="_Toc272414688"/>
      <w:bookmarkStart w:id="233" w:name="_Toc290888552"/>
      <w:bookmarkStart w:id="234" w:name="_Toc416353767"/>
      <w:bookmarkStart w:id="235" w:name="_Toc421005310"/>
      <w:bookmarkStart w:id="236" w:name="_Toc432079181"/>
      <w:bookmarkStart w:id="237" w:name="_Toc432080754"/>
      <w:r>
        <w:rPr>
          <w:lang w:eastAsia="ja-JP"/>
        </w:rPr>
        <w:t>Not assessed.</w:t>
      </w:r>
    </w:p>
    <w:p w14:paraId="3A8C6551" w14:textId="77777777" w:rsidR="00F30851" w:rsidRDefault="00F30851" w:rsidP="0055010C">
      <w:pPr>
        <w:pStyle w:val="Heading4"/>
      </w:pPr>
      <w:r w:rsidRPr="00545B14">
        <w:t>Safety related to drug-drug interactions and other interactions</w:t>
      </w:r>
      <w:bookmarkEnd w:id="230"/>
      <w:bookmarkEnd w:id="231"/>
      <w:bookmarkEnd w:id="232"/>
      <w:bookmarkEnd w:id="233"/>
      <w:bookmarkEnd w:id="234"/>
      <w:bookmarkEnd w:id="235"/>
      <w:bookmarkEnd w:id="236"/>
      <w:bookmarkEnd w:id="237"/>
    </w:p>
    <w:p w14:paraId="37179C22" w14:textId="77777777" w:rsidR="00F30851" w:rsidRDefault="00F30851" w:rsidP="0055010C">
      <w:pPr>
        <w:rPr>
          <w:lang w:eastAsia="ja-JP"/>
        </w:rPr>
      </w:pPr>
      <w:bookmarkStart w:id="238" w:name="_Toc241374326"/>
      <w:bookmarkStart w:id="239" w:name="_Ref272333048"/>
      <w:bookmarkStart w:id="240" w:name="_Toc272414679"/>
      <w:bookmarkStart w:id="241" w:name="_Toc290888543"/>
      <w:bookmarkStart w:id="242" w:name="_Toc416353758"/>
      <w:bookmarkStart w:id="243" w:name="_Toc421005301"/>
      <w:bookmarkStart w:id="244" w:name="_Toc432079182"/>
      <w:bookmarkStart w:id="245" w:name="_Toc432080755"/>
      <w:r>
        <w:rPr>
          <w:lang w:eastAsia="ja-JP"/>
        </w:rPr>
        <w:t>Not assessed.</w:t>
      </w:r>
    </w:p>
    <w:p w14:paraId="1FCD97AD" w14:textId="77777777" w:rsidR="00F30851" w:rsidRPr="00E4342F" w:rsidRDefault="00F30851" w:rsidP="0055010C">
      <w:pPr>
        <w:pStyle w:val="Heading3"/>
      </w:pPr>
      <w:bookmarkStart w:id="246" w:name="_Toc501608198"/>
      <w:bookmarkStart w:id="247" w:name="_Toc532480107"/>
      <w:r w:rsidRPr="00E4342F">
        <w:t>Post</w:t>
      </w:r>
      <w:r>
        <w:t xml:space="preserve"> </w:t>
      </w:r>
      <w:r w:rsidRPr="00E4342F">
        <w:t>marketing experience</w:t>
      </w:r>
      <w:bookmarkEnd w:id="238"/>
      <w:bookmarkEnd w:id="239"/>
      <w:bookmarkEnd w:id="240"/>
      <w:bookmarkEnd w:id="241"/>
      <w:bookmarkEnd w:id="242"/>
      <w:bookmarkEnd w:id="243"/>
      <w:bookmarkEnd w:id="244"/>
      <w:bookmarkEnd w:id="245"/>
      <w:bookmarkEnd w:id="246"/>
      <w:bookmarkEnd w:id="247"/>
    </w:p>
    <w:p w14:paraId="2D407ABA" w14:textId="77777777" w:rsidR="00F30851" w:rsidRPr="005F2716" w:rsidRDefault="0055010C" w:rsidP="00F30851">
      <w:pPr>
        <w:autoSpaceDE w:val="0"/>
        <w:autoSpaceDN w:val="0"/>
        <w:adjustRightInd w:val="0"/>
        <w:spacing w:before="0" w:after="0" w:line="240" w:lineRule="auto"/>
        <w:rPr>
          <w:rFonts w:asciiTheme="minorHAnsi" w:eastAsia="TimesNewRoman" w:hAnsiTheme="minorHAnsi" w:cs="TimesNewRoman"/>
        </w:rPr>
      </w:pPr>
      <w:bookmarkStart w:id="248" w:name="_Toc241374328"/>
      <w:bookmarkStart w:id="249" w:name="_Toc272414691"/>
      <w:bookmarkStart w:id="250" w:name="_Toc290888555"/>
      <w:bookmarkStart w:id="251" w:name="_Toc416353770"/>
      <w:bookmarkStart w:id="252" w:name="_Toc421005312"/>
      <w:bookmarkStart w:id="253" w:name="_Toc432079183"/>
      <w:bookmarkStart w:id="254" w:name="_Toc432080756"/>
      <w:r w:rsidRPr="0055010C">
        <w:rPr>
          <w:rFonts w:asciiTheme="minorHAnsi" w:eastAsia="TimesNewRoman" w:hAnsiTheme="minorHAnsi" w:cs="TimesNewRoman"/>
        </w:rPr>
        <w:t xml:space="preserve">Fluarix Tetra </w:t>
      </w:r>
      <w:r w:rsidR="00F30851" w:rsidRPr="00D406FA">
        <w:rPr>
          <w:rFonts w:asciiTheme="minorHAnsi" w:eastAsia="TimesNewRoman" w:hAnsiTheme="minorHAnsi" w:cs="TimesNewRoman"/>
        </w:rPr>
        <w:t>has not been marketed for use in children below 3 years of age. The latest Periodic Risk Benefit</w:t>
      </w:r>
      <w:r w:rsidR="00F30851">
        <w:rPr>
          <w:rFonts w:asciiTheme="minorHAnsi" w:eastAsia="TimesNewRoman" w:hAnsiTheme="minorHAnsi" w:cs="TimesNewRoman"/>
        </w:rPr>
        <w:t xml:space="preserve"> Evaluation Report </w:t>
      </w:r>
      <w:r w:rsidR="00F30851" w:rsidRPr="00D406FA">
        <w:rPr>
          <w:rFonts w:asciiTheme="minorHAnsi" w:eastAsia="TimesNewRoman" w:hAnsiTheme="minorHAnsi" w:cs="TimesNewRoman"/>
        </w:rPr>
        <w:t xml:space="preserve">documents safety information of </w:t>
      </w:r>
      <w:r w:rsidR="00356911" w:rsidRPr="00356911">
        <w:rPr>
          <w:rFonts w:asciiTheme="minorHAnsi" w:eastAsia="TimesNewRoman" w:hAnsiTheme="minorHAnsi" w:cs="TimesNewRoman"/>
        </w:rPr>
        <w:t xml:space="preserve">Fluarix Tetra </w:t>
      </w:r>
      <w:r w:rsidR="00F30851" w:rsidRPr="00D406FA">
        <w:rPr>
          <w:rFonts w:asciiTheme="minorHAnsi" w:eastAsia="TimesNewRoman" w:hAnsiTheme="minorHAnsi" w:cs="TimesNewRoman"/>
        </w:rPr>
        <w:t>collected through</w:t>
      </w:r>
      <w:r w:rsidR="00C64102">
        <w:rPr>
          <w:rFonts w:asciiTheme="minorHAnsi" w:eastAsia="TimesNewRoman" w:hAnsiTheme="minorHAnsi" w:cs="TimesNewRoman"/>
        </w:rPr>
        <w:t xml:space="preserve"> </w:t>
      </w:r>
      <w:r w:rsidR="00F30851" w:rsidRPr="00D406FA">
        <w:rPr>
          <w:rFonts w:asciiTheme="minorHAnsi" w:eastAsia="TimesNewRoman" w:hAnsiTheme="minorHAnsi" w:cs="TimesNewRoman"/>
        </w:rPr>
        <w:t>postmarketing surveillance in subjects as</w:t>
      </w:r>
      <w:r w:rsidR="00F30851">
        <w:rPr>
          <w:rFonts w:asciiTheme="minorHAnsi" w:eastAsia="TimesNewRoman" w:hAnsiTheme="minorHAnsi" w:cs="TimesNewRoman"/>
        </w:rPr>
        <w:t xml:space="preserve"> of 3 years of age from 16-Mar-</w:t>
      </w:r>
      <w:r w:rsidR="00F30851" w:rsidRPr="00D406FA">
        <w:rPr>
          <w:rFonts w:asciiTheme="minorHAnsi" w:eastAsia="TimesNewRoman" w:hAnsiTheme="minorHAnsi" w:cs="TimesNewRoman"/>
        </w:rPr>
        <w:t xml:space="preserve">2015 </w:t>
      </w:r>
      <w:r w:rsidR="00F30851">
        <w:rPr>
          <w:rFonts w:asciiTheme="minorHAnsi" w:eastAsia="TimesNewRoman" w:hAnsiTheme="minorHAnsi" w:cs="TimesNewRoman"/>
        </w:rPr>
        <w:t>to15-Mar-</w:t>
      </w:r>
      <w:r w:rsidR="00F30851" w:rsidRPr="00D406FA">
        <w:rPr>
          <w:rFonts w:asciiTheme="minorHAnsi" w:eastAsia="TimesNewRoman" w:hAnsiTheme="minorHAnsi" w:cs="TimesNewRoman"/>
        </w:rPr>
        <w:t xml:space="preserve">2016. Subject exposure to </w:t>
      </w:r>
      <w:r w:rsidR="00356911" w:rsidRPr="00356911">
        <w:rPr>
          <w:rFonts w:asciiTheme="minorHAnsi" w:eastAsia="TimesNewRoman" w:hAnsiTheme="minorHAnsi" w:cs="TimesNewRoman"/>
        </w:rPr>
        <w:t xml:space="preserve">Fluarix Tetra </w:t>
      </w:r>
      <w:r w:rsidR="00F30851" w:rsidRPr="00D406FA">
        <w:rPr>
          <w:rFonts w:asciiTheme="minorHAnsi" w:eastAsia="TimesNewRoman" w:hAnsiTheme="minorHAnsi" w:cs="TimesNewRoman"/>
        </w:rPr>
        <w:t>from marketing experience is estimated to be</w:t>
      </w:r>
      <w:r w:rsidR="00F30851">
        <w:rPr>
          <w:rFonts w:asciiTheme="minorHAnsi" w:eastAsia="TimesNewRoman" w:hAnsiTheme="minorHAnsi" w:cs="TimesNewRoman"/>
        </w:rPr>
        <w:t xml:space="preserve"> </w:t>
      </w:r>
      <w:r w:rsidR="00F30851" w:rsidRPr="00D406FA">
        <w:rPr>
          <w:rFonts w:asciiTheme="minorHAnsi" w:eastAsia="TimesNewRoman" w:hAnsiTheme="minorHAnsi" w:cs="TimesNewRoman"/>
        </w:rPr>
        <w:t>39,433,132 in the reporting period and 53,585,113 since launch, assuming that</w:t>
      </w:r>
      <w:r w:rsidR="00F30851">
        <w:rPr>
          <w:rFonts w:asciiTheme="minorHAnsi" w:eastAsia="TimesNewRoman" w:hAnsiTheme="minorHAnsi" w:cs="TimesNewRoman"/>
        </w:rPr>
        <w:t xml:space="preserve"> </w:t>
      </w:r>
      <w:r w:rsidR="00F30851" w:rsidRPr="00D406FA">
        <w:rPr>
          <w:rFonts w:asciiTheme="minorHAnsi" w:eastAsia="TimesNewRoman" w:hAnsiTheme="minorHAnsi" w:cs="TimesNewRoman"/>
        </w:rPr>
        <w:t xml:space="preserve">vaccination with </w:t>
      </w:r>
      <w:r w:rsidR="00C64102" w:rsidRPr="00C64102">
        <w:rPr>
          <w:rFonts w:asciiTheme="minorHAnsi" w:eastAsia="TimesNewRoman" w:hAnsiTheme="minorHAnsi" w:cs="TimesNewRoman"/>
        </w:rPr>
        <w:t xml:space="preserve">Fluarix Tetra </w:t>
      </w:r>
      <w:r w:rsidR="00F30851" w:rsidRPr="00D406FA">
        <w:rPr>
          <w:rFonts w:asciiTheme="minorHAnsi" w:eastAsia="TimesNewRoman" w:hAnsiTheme="minorHAnsi" w:cs="TimesNewRoman"/>
        </w:rPr>
        <w:lastRenderedPageBreak/>
        <w:t>follows a 1-dose schedule. Since first approval on 14 December</w:t>
      </w:r>
      <w:r w:rsidR="00F30851">
        <w:rPr>
          <w:rFonts w:asciiTheme="minorHAnsi" w:eastAsia="TimesNewRoman" w:hAnsiTheme="minorHAnsi" w:cs="TimesNewRoman"/>
        </w:rPr>
        <w:t xml:space="preserve"> </w:t>
      </w:r>
      <w:r w:rsidR="00F30851" w:rsidRPr="00D406FA">
        <w:rPr>
          <w:rFonts w:asciiTheme="minorHAnsi" w:eastAsia="TimesNewRoman" w:hAnsiTheme="minorHAnsi" w:cs="TimesNewRoman"/>
        </w:rPr>
        <w:t>2012, no actions were taken for safety reasons regarding withdrawal, rejection,</w:t>
      </w:r>
      <w:r w:rsidR="00F30851">
        <w:rPr>
          <w:rFonts w:asciiTheme="minorHAnsi" w:eastAsia="TimesNewRoman" w:hAnsiTheme="minorHAnsi" w:cs="TimesNewRoman"/>
        </w:rPr>
        <w:t xml:space="preserve"> </w:t>
      </w:r>
      <w:r w:rsidR="00F30851" w:rsidRPr="00D406FA">
        <w:rPr>
          <w:rFonts w:asciiTheme="minorHAnsi" w:eastAsia="TimesNewRoman" w:hAnsiTheme="minorHAnsi" w:cs="TimesNewRoman"/>
        </w:rPr>
        <w:t>suspension or failure to obtain a renewal of a Marketing Authorization.</w:t>
      </w:r>
    </w:p>
    <w:p w14:paraId="1DB0F1DC" w14:textId="77777777" w:rsidR="00F30851" w:rsidRPr="00AE0780" w:rsidRDefault="00F30851" w:rsidP="00C64102">
      <w:pPr>
        <w:pStyle w:val="Heading3"/>
      </w:pPr>
      <w:bookmarkStart w:id="255" w:name="_Toc501608199"/>
      <w:bookmarkStart w:id="256" w:name="_Toc532480108"/>
      <w:r w:rsidRPr="00E4342F">
        <w:t xml:space="preserve">Evaluator’s overall conclusions </w:t>
      </w:r>
      <w:r w:rsidRPr="00C64102">
        <w:t>on</w:t>
      </w:r>
      <w:r w:rsidRPr="00E4342F">
        <w:t xml:space="preserve"> clinical safety</w:t>
      </w:r>
      <w:bookmarkEnd w:id="248"/>
      <w:bookmarkEnd w:id="249"/>
      <w:bookmarkEnd w:id="250"/>
      <w:bookmarkEnd w:id="251"/>
      <w:bookmarkEnd w:id="252"/>
      <w:bookmarkEnd w:id="253"/>
      <w:bookmarkEnd w:id="254"/>
      <w:bookmarkEnd w:id="255"/>
      <w:bookmarkEnd w:id="256"/>
    </w:p>
    <w:p w14:paraId="283B58EB" w14:textId="77777777" w:rsidR="00F30851" w:rsidRPr="00C64102" w:rsidRDefault="00F30851" w:rsidP="00C64102">
      <w:r w:rsidRPr="00C64102">
        <w:t xml:space="preserve">The safety and reactogenicity profile of </w:t>
      </w:r>
      <w:r w:rsidR="00356911" w:rsidRPr="00356911">
        <w:t xml:space="preserve">Fluarix Tetra </w:t>
      </w:r>
      <w:r w:rsidRPr="00C64102">
        <w:t>was similar to well characterised licensed vaccines (including a live-attenuated varicella vaccine) used in the same age</w:t>
      </w:r>
      <w:r w:rsidR="00CE366D" w:rsidRPr="00C64102">
        <w:t xml:space="preserve"> group </w:t>
      </w:r>
      <w:r w:rsidRPr="00C64102">
        <w:t xml:space="preserve">in </w:t>
      </w:r>
      <w:r w:rsidR="00943514" w:rsidRPr="00C64102">
        <w:t>Study D-QIV-</w:t>
      </w:r>
      <w:r w:rsidRPr="00C64102">
        <w:t xml:space="preserve">004. The rates of reported solicited and unsolicited symptoms were comparable between </w:t>
      </w:r>
      <w:r w:rsidR="00356911" w:rsidRPr="00356911">
        <w:t xml:space="preserve">Fluarix Tetra </w:t>
      </w:r>
      <w:r w:rsidRPr="00C64102">
        <w:t xml:space="preserve">recipients and non-influenza vaccine control recipient. No increase in reactogenicity was observed after the second dose. Safety data for </w:t>
      </w:r>
      <w:r w:rsidR="00356911" w:rsidRPr="00356911">
        <w:t xml:space="preserve">Fluarix Tetra </w:t>
      </w:r>
      <w:r w:rsidRPr="00C64102">
        <w:t xml:space="preserve">from studies the supporting </w:t>
      </w:r>
      <w:r w:rsidR="00C64102">
        <w:t>S</w:t>
      </w:r>
      <w:r w:rsidRPr="00C64102">
        <w:t>tudies, D-QIV-009 and D-QIV-015 was fairly comparable. However, when a revaccination dose was given to primed subjects in D-QIV-009, a slight increase in reactogenicity in terms of reported solicited local symptoms was observed. As confirmed in D-QIV-015 the reactogenicity and safety between the two processes for vaccine manufacture, w</w:t>
      </w:r>
      <w:r w:rsidR="00C64102">
        <w:t>as</w:t>
      </w:r>
      <w:r w:rsidRPr="00C64102">
        <w:t xml:space="preserve"> similar confirming that the manufacturing change does not impact the safety in this age</w:t>
      </w:r>
      <w:r w:rsidR="007C384B" w:rsidRPr="00C64102">
        <w:t xml:space="preserve"> group.</w:t>
      </w:r>
      <w:r w:rsidRPr="00C64102">
        <w:t xml:space="preserve"> The occurrence of SAEs and unsolicited AEs was balanced between the </w:t>
      </w:r>
      <w:r w:rsidR="005879FC" w:rsidRPr="00C64102">
        <w:t>Tetra Fluarix group</w:t>
      </w:r>
      <w:r w:rsidR="00CE366D" w:rsidRPr="00C64102">
        <w:t xml:space="preserve"> </w:t>
      </w:r>
      <w:r w:rsidRPr="00C64102">
        <w:t xml:space="preserve">and the </w:t>
      </w:r>
      <w:r w:rsidR="00FF0211">
        <w:t>c</w:t>
      </w:r>
      <w:r w:rsidRPr="00C64102">
        <w:t>ontrol</w:t>
      </w:r>
      <w:r w:rsidR="00CE366D" w:rsidRPr="00C64102">
        <w:t xml:space="preserve"> group </w:t>
      </w:r>
      <w:r w:rsidRPr="00C64102">
        <w:t xml:space="preserve">in </w:t>
      </w:r>
      <w:r w:rsidR="00943514" w:rsidRPr="00C64102">
        <w:t>Study D-QIV-</w:t>
      </w:r>
      <w:r w:rsidRPr="00C64102">
        <w:t xml:space="preserve">004. No safety concerns were identified in terms of unsolicited AEs and SAEs across the 3 studies included in </w:t>
      </w:r>
      <w:r w:rsidR="00943514" w:rsidRPr="00C64102">
        <w:t>this application</w:t>
      </w:r>
      <w:r w:rsidRPr="00C64102">
        <w:t xml:space="preserve">. In summary, and overall, the safety profile of </w:t>
      </w:r>
      <w:r w:rsidR="00356911" w:rsidRPr="00356911">
        <w:t xml:space="preserve">Fluarix Tetra </w:t>
      </w:r>
      <w:r w:rsidRPr="00C64102">
        <w:t xml:space="preserve">was comparable to other widely-accepted licensed vaccines and the data showed that </w:t>
      </w:r>
      <w:r w:rsidR="00356911" w:rsidRPr="00356911">
        <w:t xml:space="preserve">Fluarix Tetra </w:t>
      </w:r>
      <w:r w:rsidRPr="00C64102">
        <w:t xml:space="preserve">is well tolerated in children </w:t>
      </w:r>
      <w:r w:rsidR="005879FC" w:rsidRPr="00C64102">
        <w:t>6 to 35</w:t>
      </w:r>
      <w:r w:rsidRPr="00C64102">
        <w:t xml:space="preserve"> months of age.</w:t>
      </w:r>
    </w:p>
    <w:p w14:paraId="07CEFA9A" w14:textId="77777777" w:rsidR="00F30851" w:rsidRDefault="00F30851" w:rsidP="00C64102">
      <w:pPr>
        <w:pStyle w:val="Heading2"/>
      </w:pPr>
      <w:bookmarkStart w:id="257" w:name="_Toc501608200"/>
      <w:bookmarkStart w:id="258" w:name="_Toc532480109"/>
      <w:r>
        <w:t>First round benefit-risk assessment</w:t>
      </w:r>
      <w:bookmarkEnd w:id="257"/>
      <w:bookmarkEnd w:id="258"/>
    </w:p>
    <w:p w14:paraId="2A70A782" w14:textId="77777777" w:rsidR="00F30851" w:rsidRDefault="00F30851" w:rsidP="00C64102">
      <w:pPr>
        <w:pStyle w:val="Heading3"/>
      </w:pPr>
      <w:bookmarkStart w:id="259" w:name="_Toc236802592"/>
      <w:bookmarkStart w:id="260" w:name="_Toc241374331"/>
      <w:bookmarkStart w:id="261" w:name="_Ref272160836"/>
      <w:bookmarkStart w:id="262" w:name="_Toc272414693"/>
      <w:bookmarkStart w:id="263" w:name="_Toc290888557"/>
      <w:bookmarkStart w:id="264" w:name="_Toc416353772"/>
      <w:bookmarkStart w:id="265" w:name="_Toc421005314"/>
      <w:bookmarkStart w:id="266" w:name="_Toc432079185"/>
      <w:bookmarkStart w:id="267" w:name="_Toc432080758"/>
      <w:bookmarkStart w:id="268" w:name="_Toc501608201"/>
      <w:bookmarkStart w:id="269" w:name="_Toc532480110"/>
      <w:r w:rsidRPr="00545B14">
        <w:t xml:space="preserve">First round assessment of </w:t>
      </w:r>
      <w:r w:rsidRPr="000D5752">
        <w:t>benefits</w:t>
      </w:r>
      <w:bookmarkEnd w:id="259"/>
      <w:bookmarkEnd w:id="260"/>
      <w:bookmarkEnd w:id="261"/>
      <w:bookmarkEnd w:id="262"/>
      <w:bookmarkEnd w:id="263"/>
      <w:bookmarkEnd w:id="264"/>
      <w:bookmarkEnd w:id="265"/>
      <w:bookmarkEnd w:id="266"/>
      <w:bookmarkEnd w:id="267"/>
      <w:bookmarkEnd w:id="268"/>
      <w:bookmarkEnd w:id="269"/>
    </w:p>
    <w:p w14:paraId="3ED6FD98" w14:textId="77777777" w:rsidR="00F30851" w:rsidRPr="00F22143" w:rsidRDefault="00F30851" w:rsidP="00F30851">
      <w:r>
        <w:t>The benefits</w:t>
      </w:r>
      <w:r w:rsidRPr="00C45C1B">
        <w:t xml:space="preserve"> of </w:t>
      </w:r>
      <w:r w:rsidR="00C64102" w:rsidRPr="00C64102">
        <w:rPr>
          <w:rFonts w:asciiTheme="minorHAnsi" w:hAnsiTheme="minorHAnsi"/>
        </w:rPr>
        <w:t>Fluarix Tetra</w:t>
      </w:r>
      <w:r w:rsidRPr="00C45C1B">
        <w:t xml:space="preserve"> </w:t>
      </w:r>
      <w:r>
        <w:t>in the proposed usage are:</w:t>
      </w:r>
    </w:p>
    <w:tbl>
      <w:tblPr>
        <w:tblStyle w:val="TableGrid"/>
        <w:tblW w:w="0" w:type="auto"/>
        <w:tblInd w:w="108" w:type="dxa"/>
        <w:tblLook w:val="04A0" w:firstRow="1" w:lastRow="0" w:firstColumn="1" w:lastColumn="0" w:noHBand="0" w:noVBand="1"/>
        <w:tblDescription w:val="First round assessment - Benefits of Fluarix Tetra in the proposed usage "/>
      </w:tblPr>
      <w:tblGrid>
        <w:gridCol w:w="3828"/>
        <w:gridCol w:w="4961"/>
      </w:tblGrid>
      <w:tr w:rsidR="00C26A8B" w:rsidRPr="00C37A1D" w14:paraId="124B80D5" w14:textId="77777777" w:rsidTr="005F40A7">
        <w:trPr>
          <w:tblHeader/>
        </w:trPr>
        <w:tc>
          <w:tcPr>
            <w:tcW w:w="8789" w:type="dxa"/>
            <w:gridSpan w:val="2"/>
            <w:shd w:val="clear" w:color="auto" w:fill="006DA7" w:themeFill="accent3"/>
          </w:tcPr>
          <w:p w14:paraId="58CB821D" w14:textId="05A3FA74" w:rsidR="00C26A8B" w:rsidRPr="00C64102" w:rsidRDefault="00C26A8B" w:rsidP="00C64102">
            <w:pPr>
              <w:rPr>
                <w:b/>
                <w:color w:val="FFFFFF" w:themeColor="background1"/>
              </w:rPr>
            </w:pPr>
            <w:r w:rsidRPr="00C64102">
              <w:rPr>
                <w:b/>
                <w:color w:val="FFFFFF" w:themeColor="background1"/>
              </w:rPr>
              <w:t>Indication</w:t>
            </w:r>
          </w:p>
        </w:tc>
      </w:tr>
      <w:tr w:rsidR="00F30851" w:rsidRPr="00C37A1D" w14:paraId="75D2E0FA" w14:textId="77777777" w:rsidTr="00970A63">
        <w:trPr>
          <w:tblHeader/>
        </w:trPr>
        <w:tc>
          <w:tcPr>
            <w:tcW w:w="3828" w:type="dxa"/>
            <w:shd w:val="clear" w:color="auto" w:fill="00517D" w:themeFill="accent3" w:themeFillShade="BF"/>
          </w:tcPr>
          <w:p w14:paraId="759A2D3D" w14:textId="77777777" w:rsidR="00F30851" w:rsidRPr="00C64102" w:rsidRDefault="00F30851" w:rsidP="00C64102">
            <w:pPr>
              <w:rPr>
                <w:b/>
              </w:rPr>
            </w:pPr>
            <w:r w:rsidRPr="00C64102">
              <w:rPr>
                <w:b/>
                <w:color w:val="FFFFFF" w:themeColor="background1"/>
              </w:rPr>
              <w:t>Benefits</w:t>
            </w:r>
          </w:p>
        </w:tc>
        <w:tc>
          <w:tcPr>
            <w:tcW w:w="4961" w:type="dxa"/>
            <w:shd w:val="clear" w:color="auto" w:fill="00517D" w:themeFill="accent3" w:themeFillShade="BF"/>
          </w:tcPr>
          <w:p w14:paraId="36C67067" w14:textId="77777777" w:rsidR="00F30851" w:rsidRPr="00C64102" w:rsidRDefault="00F30851" w:rsidP="00C64102">
            <w:pPr>
              <w:rPr>
                <w:b/>
                <w:color w:val="FFFFFF" w:themeColor="background1"/>
              </w:rPr>
            </w:pPr>
            <w:r w:rsidRPr="00C64102">
              <w:rPr>
                <w:b/>
                <w:color w:val="FFFFFF" w:themeColor="background1"/>
              </w:rPr>
              <w:t>Strengths and Uncertainties</w:t>
            </w:r>
          </w:p>
        </w:tc>
      </w:tr>
      <w:tr w:rsidR="00F30851" w:rsidRPr="00C37A1D" w14:paraId="763B7C62" w14:textId="77777777" w:rsidTr="00970A63">
        <w:tc>
          <w:tcPr>
            <w:tcW w:w="3828" w:type="dxa"/>
          </w:tcPr>
          <w:p w14:paraId="360DD48D" w14:textId="3C8938A8" w:rsidR="00F30851" w:rsidRPr="00DA7D36" w:rsidRDefault="00F30851" w:rsidP="00DA7D36">
            <w:pPr>
              <w:pStyle w:val="Numberbullet0"/>
              <w:numPr>
                <w:ilvl w:val="0"/>
                <w:numId w:val="21"/>
              </w:numPr>
            </w:pPr>
            <w:r w:rsidRPr="00DA7D36">
              <w:t xml:space="preserve">The pivotal study is a very large clinical efficacy study in influenza RT-PCR positive subjects; conducted over multiple influenza seasons, in high and LMIC setting. The findings, confirm clinical benefit, immunogenicity (in a subset), implied economic and social benefit of Fluarix Tetra, in children aged </w:t>
            </w:r>
            <w:r w:rsidR="005879FC" w:rsidRPr="00DA7D36">
              <w:t>6 to 35</w:t>
            </w:r>
            <w:r w:rsidRPr="00DA7D36">
              <w:t xml:space="preserve"> mths of age.</w:t>
            </w:r>
          </w:p>
          <w:p w14:paraId="4B9FF745" w14:textId="34285495" w:rsidR="00F30851" w:rsidRPr="00C84961" w:rsidRDefault="00F30851" w:rsidP="00DA7D36">
            <w:pPr>
              <w:pStyle w:val="Numberbullet0"/>
            </w:pPr>
            <w:r>
              <w:t>Revaccination in primed children (</w:t>
            </w:r>
            <w:r w:rsidRPr="00353925">
              <w:t>D-QIV-009</w:t>
            </w:r>
            <w:r>
              <w:t>) seemed safe and immunogenic.</w:t>
            </w:r>
          </w:p>
        </w:tc>
        <w:tc>
          <w:tcPr>
            <w:tcW w:w="4961" w:type="dxa"/>
          </w:tcPr>
          <w:p w14:paraId="64FA9467" w14:textId="4BC9BF5C" w:rsidR="00BC74DF" w:rsidRPr="00DA7D36" w:rsidRDefault="00F30851" w:rsidP="00DA7D36">
            <w:pPr>
              <w:pStyle w:val="Numberbullet0"/>
              <w:numPr>
                <w:ilvl w:val="0"/>
                <w:numId w:val="22"/>
              </w:numPr>
            </w:pPr>
            <w:r w:rsidRPr="00DA7D36">
              <w:t>It is uncertain how these clinical endpoints were validated, was there a 100% monitoring? Did GSK review supporting clinical documentation? I know all investigators were trained in the protocol, but there might still have been significant differences in clinical diagnosis.</w:t>
            </w:r>
          </w:p>
          <w:p w14:paraId="26179BCF" w14:textId="06E73320" w:rsidR="00F30851" w:rsidRDefault="00F30851" w:rsidP="00DA7D36">
            <w:pPr>
              <w:pStyle w:val="Numberbullet0"/>
            </w:pPr>
            <w:r>
              <w:t>Strengths: very large pivotal study, conducting over multiple influenza seasons in high and LMIC countries, good gender and ethnicity mix, findings are representative for a vaccine that can be used globally in this age group.</w:t>
            </w:r>
          </w:p>
          <w:p w14:paraId="72C121D2" w14:textId="67EAC372" w:rsidR="00F30851" w:rsidRPr="000674C8" w:rsidRDefault="00F30851" w:rsidP="00DA7D36">
            <w:pPr>
              <w:pStyle w:val="Numberbullet0"/>
            </w:pPr>
            <w:r>
              <w:t xml:space="preserve">Provided additional safety data for other vaccines approved for use in this age group. The study design of </w:t>
            </w:r>
            <w:r w:rsidRPr="00353925">
              <w:t>D-QIV-004</w:t>
            </w:r>
            <w:r>
              <w:t xml:space="preserve"> is not a traditional one, in that most influenza vaccine licensing studies would compare one type of influenza vaccine (usually a TIV) against the QIV, with immunogenicity endpoints. However, I think the design is sound, and the study was properly </w:t>
            </w:r>
            <w:r>
              <w:lastRenderedPageBreak/>
              <w:t>powered as a clinical endpoint study.</w:t>
            </w:r>
            <w:r w:rsidR="00943514">
              <w:t xml:space="preserve"> </w:t>
            </w:r>
          </w:p>
        </w:tc>
      </w:tr>
    </w:tbl>
    <w:p w14:paraId="5B802B49" w14:textId="77777777" w:rsidR="00BC74DF" w:rsidRDefault="00F30851" w:rsidP="00970A63">
      <w:pPr>
        <w:pStyle w:val="Heading3"/>
      </w:pPr>
      <w:bookmarkStart w:id="270" w:name="_Toc236802596"/>
      <w:bookmarkStart w:id="271" w:name="_Toc241374334"/>
      <w:bookmarkStart w:id="272" w:name="_Ref272160964"/>
      <w:bookmarkStart w:id="273" w:name="_Toc272414694"/>
      <w:bookmarkStart w:id="274" w:name="_Toc290888558"/>
      <w:bookmarkStart w:id="275" w:name="_Toc416353773"/>
      <w:bookmarkStart w:id="276" w:name="_Toc421005315"/>
      <w:bookmarkStart w:id="277" w:name="_Toc432079186"/>
      <w:bookmarkStart w:id="278" w:name="_Toc432080759"/>
      <w:bookmarkStart w:id="279" w:name="_Toc501608202"/>
      <w:bookmarkStart w:id="280" w:name="_Toc532480111"/>
      <w:r w:rsidRPr="000D5752">
        <w:lastRenderedPageBreak/>
        <w:t xml:space="preserve">First round </w:t>
      </w:r>
      <w:r w:rsidRPr="00970A63">
        <w:t>assessment</w:t>
      </w:r>
      <w:r w:rsidRPr="000D5752">
        <w:t xml:space="preserve"> of risks</w:t>
      </w:r>
      <w:bookmarkEnd w:id="270"/>
      <w:bookmarkEnd w:id="271"/>
      <w:bookmarkEnd w:id="272"/>
      <w:bookmarkEnd w:id="273"/>
      <w:bookmarkEnd w:id="274"/>
      <w:bookmarkEnd w:id="275"/>
      <w:bookmarkEnd w:id="276"/>
      <w:bookmarkEnd w:id="277"/>
      <w:bookmarkEnd w:id="278"/>
      <w:bookmarkEnd w:id="279"/>
      <w:bookmarkEnd w:id="280"/>
    </w:p>
    <w:p w14:paraId="5094C0B0" w14:textId="7C1C0F34" w:rsidR="00F30851" w:rsidRPr="00C45C1B" w:rsidRDefault="00F30851" w:rsidP="00F30851">
      <w:r w:rsidRPr="00C45C1B">
        <w:t xml:space="preserve">The risks of </w:t>
      </w:r>
      <w:r w:rsidR="00970A63" w:rsidRPr="00970A63">
        <w:rPr>
          <w:rFonts w:asciiTheme="minorHAnsi" w:hAnsiTheme="minorHAnsi"/>
        </w:rPr>
        <w:t xml:space="preserve">Fluarix Tetra </w:t>
      </w:r>
      <w:r w:rsidRPr="00C45C1B">
        <w:t>in the proposed usage are:</w:t>
      </w:r>
    </w:p>
    <w:tbl>
      <w:tblPr>
        <w:tblStyle w:val="TableGrid"/>
        <w:tblW w:w="0" w:type="auto"/>
        <w:tblInd w:w="108" w:type="dxa"/>
        <w:tblLook w:val="04A0" w:firstRow="1" w:lastRow="0" w:firstColumn="1" w:lastColumn="0" w:noHBand="0" w:noVBand="1"/>
        <w:tblDescription w:val="The risks of Fluarix Tetra in the proposed usage"/>
      </w:tblPr>
      <w:tblGrid>
        <w:gridCol w:w="4678"/>
        <w:gridCol w:w="4111"/>
      </w:tblGrid>
      <w:tr w:rsidR="00F30851" w:rsidRPr="00C37A1D" w14:paraId="650175B1" w14:textId="77777777" w:rsidTr="00F30851">
        <w:trPr>
          <w:tblHeader/>
        </w:trPr>
        <w:tc>
          <w:tcPr>
            <w:tcW w:w="4678" w:type="dxa"/>
            <w:shd w:val="clear" w:color="auto" w:fill="006DA7" w:themeFill="accent3"/>
          </w:tcPr>
          <w:p w14:paraId="75B11379" w14:textId="77777777" w:rsidR="00F30851" w:rsidRPr="00970A63" w:rsidRDefault="00F30851" w:rsidP="00970A63">
            <w:pPr>
              <w:rPr>
                <w:b/>
                <w:color w:val="FFFFFF" w:themeColor="background1"/>
              </w:rPr>
            </w:pPr>
            <w:r w:rsidRPr="00970A63">
              <w:rPr>
                <w:b/>
                <w:color w:val="FFFFFF" w:themeColor="background1"/>
              </w:rPr>
              <w:t>Risks</w:t>
            </w:r>
          </w:p>
        </w:tc>
        <w:tc>
          <w:tcPr>
            <w:tcW w:w="4111" w:type="dxa"/>
            <w:shd w:val="clear" w:color="auto" w:fill="006DA7" w:themeFill="accent3"/>
          </w:tcPr>
          <w:p w14:paraId="25450C9C" w14:textId="77777777" w:rsidR="00F30851" w:rsidRPr="00970A63" w:rsidRDefault="00F30851" w:rsidP="00970A63">
            <w:pPr>
              <w:rPr>
                <w:b/>
                <w:color w:val="FFFFFF" w:themeColor="background1"/>
              </w:rPr>
            </w:pPr>
            <w:r w:rsidRPr="00970A63">
              <w:rPr>
                <w:b/>
                <w:color w:val="FFFFFF" w:themeColor="background1"/>
              </w:rPr>
              <w:t>Strengths and Uncertainties</w:t>
            </w:r>
          </w:p>
        </w:tc>
      </w:tr>
      <w:tr w:rsidR="00F30851" w:rsidRPr="00C37A1D" w14:paraId="3CDE692D" w14:textId="77777777" w:rsidTr="00F30851">
        <w:trPr>
          <w:trHeight w:val="1449"/>
        </w:trPr>
        <w:tc>
          <w:tcPr>
            <w:tcW w:w="4678" w:type="dxa"/>
          </w:tcPr>
          <w:p w14:paraId="040CE9E9" w14:textId="39154393" w:rsidR="00F30851" w:rsidRPr="00DA7D36" w:rsidRDefault="00F30851" w:rsidP="00DA7D36">
            <w:pPr>
              <w:pStyle w:val="Numberbullet0"/>
              <w:numPr>
                <w:ilvl w:val="0"/>
                <w:numId w:val="19"/>
              </w:numPr>
            </w:pPr>
            <w:r w:rsidRPr="00DA7D36">
              <w:t>Potential for administration in those under the age of 6 months, for example premature infants.</w:t>
            </w:r>
          </w:p>
          <w:p w14:paraId="7E76449E" w14:textId="3FFFA905" w:rsidR="00F30851" w:rsidRPr="000674C8" w:rsidRDefault="00F30851" w:rsidP="00DA7D36">
            <w:pPr>
              <w:pStyle w:val="Numberbullet0"/>
            </w:pPr>
            <w:r>
              <w:t>Possible underreporting of some side-effects in some countries in which the study was conducted (</w:t>
            </w:r>
            <w:r w:rsidR="007E3752">
              <w:t>for example,</w:t>
            </w:r>
            <w:r>
              <w:t xml:space="preserve"> Bangladesh), notable in </w:t>
            </w:r>
            <w:r w:rsidR="00943514">
              <w:t>Study D-QIV-</w:t>
            </w:r>
            <w:r w:rsidRPr="00C84961">
              <w:t>015</w:t>
            </w:r>
          </w:p>
        </w:tc>
        <w:tc>
          <w:tcPr>
            <w:tcW w:w="4111" w:type="dxa"/>
          </w:tcPr>
          <w:p w14:paraId="1A334B5A" w14:textId="79D5D349" w:rsidR="00F30851" w:rsidRPr="00DA7D36" w:rsidRDefault="00F30851" w:rsidP="00DA7D36">
            <w:pPr>
              <w:pStyle w:val="Numberbullet0"/>
              <w:numPr>
                <w:ilvl w:val="0"/>
                <w:numId w:val="20"/>
              </w:numPr>
            </w:pPr>
            <w:r w:rsidRPr="00DA7D36">
              <w:t>Some uncertainty that all the solicited local and systemic events were captured completely for example where documentation was obtained by field workers.</w:t>
            </w:r>
          </w:p>
        </w:tc>
      </w:tr>
    </w:tbl>
    <w:p w14:paraId="3B75C701" w14:textId="77777777" w:rsidR="00F30851" w:rsidRPr="00545B14" w:rsidRDefault="00F30851" w:rsidP="00970A63">
      <w:pPr>
        <w:pStyle w:val="Heading3"/>
      </w:pPr>
      <w:bookmarkStart w:id="281" w:name="_Toc236802597"/>
      <w:bookmarkStart w:id="282" w:name="_Toc241374335"/>
      <w:bookmarkStart w:id="283" w:name="_Toc272414695"/>
      <w:bookmarkStart w:id="284" w:name="_Toc290888559"/>
      <w:bookmarkStart w:id="285" w:name="_Toc416353775"/>
      <w:bookmarkStart w:id="286" w:name="_Toc421005316"/>
      <w:bookmarkStart w:id="287" w:name="_Toc432079187"/>
      <w:bookmarkStart w:id="288" w:name="_Toc432080760"/>
      <w:bookmarkStart w:id="289" w:name="_Toc501608203"/>
      <w:bookmarkStart w:id="290" w:name="_Toc532480112"/>
      <w:r w:rsidRPr="00545B14">
        <w:t>First round assessment of benefit-risk</w:t>
      </w:r>
      <w:bookmarkEnd w:id="281"/>
      <w:bookmarkEnd w:id="282"/>
      <w:bookmarkEnd w:id="283"/>
      <w:bookmarkEnd w:id="284"/>
      <w:bookmarkEnd w:id="285"/>
      <w:bookmarkEnd w:id="286"/>
      <w:r>
        <w:t xml:space="preserve"> balance</w:t>
      </w:r>
      <w:bookmarkEnd w:id="287"/>
      <w:bookmarkEnd w:id="288"/>
      <w:bookmarkEnd w:id="289"/>
      <w:bookmarkEnd w:id="290"/>
    </w:p>
    <w:p w14:paraId="30603B2B" w14:textId="77777777" w:rsidR="00F30851" w:rsidRPr="005469FF" w:rsidRDefault="00F30851" w:rsidP="00970A63">
      <w:r>
        <w:t xml:space="preserve">Favourable, the clinical efficacy, </w:t>
      </w:r>
      <w:r w:rsidRPr="005469FF">
        <w:t xml:space="preserve">immunogenicity </w:t>
      </w:r>
      <w:r>
        <w:t>and favourable safety profile are supportive of</w:t>
      </w:r>
      <w:r w:rsidRPr="005469FF">
        <w:t xml:space="preserve"> the</w:t>
      </w:r>
      <w:r>
        <w:t xml:space="preserve"> </w:t>
      </w:r>
      <w:r w:rsidRPr="005469FF">
        <w:t xml:space="preserve">benefit of vaccination with </w:t>
      </w:r>
      <w:r w:rsidR="00356911" w:rsidRPr="00356911">
        <w:t xml:space="preserve">Fluarix Tetra </w:t>
      </w:r>
      <w:r w:rsidRPr="005469FF">
        <w:t>in children 6 to 35 months of age.</w:t>
      </w:r>
    </w:p>
    <w:p w14:paraId="76CAB73C" w14:textId="77777777" w:rsidR="00F30851" w:rsidRDefault="00F30851" w:rsidP="00970A63">
      <w:pPr>
        <w:pStyle w:val="Heading3"/>
      </w:pPr>
      <w:bookmarkStart w:id="291" w:name="_Toc501608204"/>
      <w:bookmarkStart w:id="292" w:name="_Toc532480113"/>
      <w:r>
        <w:t>First round recommendation regarding authorisation</w:t>
      </w:r>
      <w:bookmarkEnd w:id="291"/>
      <w:bookmarkEnd w:id="292"/>
    </w:p>
    <w:p w14:paraId="59E47819" w14:textId="77777777" w:rsidR="00F30851" w:rsidRDefault="002A05EC" w:rsidP="00F30851">
      <w:pPr>
        <w:spacing w:before="0" w:after="0" w:line="240" w:lineRule="auto"/>
        <w:rPr>
          <w:lang w:eastAsia="ja-JP"/>
        </w:rPr>
      </w:pPr>
      <w:r>
        <w:rPr>
          <w:lang w:eastAsia="ja-JP"/>
        </w:rPr>
        <w:t>The evaluator</w:t>
      </w:r>
      <w:r w:rsidR="00F30851" w:rsidRPr="0000329F">
        <w:rPr>
          <w:lang w:eastAsia="ja-JP"/>
        </w:rPr>
        <w:t xml:space="preserve"> recommend</w:t>
      </w:r>
      <w:r>
        <w:rPr>
          <w:lang w:eastAsia="ja-JP"/>
        </w:rPr>
        <w:t>s</w:t>
      </w:r>
      <w:r w:rsidR="00F30851" w:rsidRPr="0000329F">
        <w:rPr>
          <w:lang w:eastAsia="ja-JP"/>
        </w:rPr>
        <w:t xml:space="preserve"> authorisation.</w:t>
      </w:r>
    </w:p>
    <w:p w14:paraId="2CE0484D" w14:textId="77777777" w:rsidR="00F30851" w:rsidRDefault="00F30851" w:rsidP="002A05EC">
      <w:pPr>
        <w:pStyle w:val="Heading2"/>
      </w:pPr>
      <w:bookmarkStart w:id="293" w:name="_Toc501608209"/>
      <w:bookmarkStart w:id="294" w:name="_Toc532480114"/>
      <w:r>
        <w:t>Clinical questions</w:t>
      </w:r>
      <w:bookmarkEnd w:id="293"/>
      <w:bookmarkEnd w:id="294"/>
    </w:p>
    <w:p w14:paraId="3342770F" w14:textId="77777777" w:rsidR="00F30851" w:rsidRDefault="00F30851" w:rsidP="0090198B">
      <w:pPr>
        <w:spacing w:before="0" w:after="0" w:line="240" w:lineRule="auto"/>
        <w:rPr>
          <w:lang w:eastAsia="ja-JP"/>
        </w:rPr>
      </w:pPr>
      <w:bookmarkStart w:id="295" w:name="_Toc272414704"/>
      <w:bookmarkStart w:id="296" w:name="_Toc290888570"/>
      <w:bookmarkStart w:id="297" w:name="_Toc416353786"/>
      <w:bookmarkStart w:id="298" w:name="_Toc421005326"/>
      <w:bookmarkStart w:id="299" w:name="_Toc432079197"/>
      <w:bookmarkStart w:id="300" w:name="_Toc432080770"/>
      <w:r>
        <w:rPr>
          <w:lang w:eastAsia="ja-JP"/>
        </w:rPr>
        <w:t>None.</w:t>
      </w:r>
      <w:bookmarkEnd w:id="295"/>
      <w:bookmarkEnd w:id="296"/>
      <w:bookmarkEnd w:id="297"/>
      <w:bookmarkEnd w:id="298"/>
      <w:bookmarkEnd w:id="299"/>
      <w:bookmarkEnd w:id="300"/>
    </w:p>
    <w:p w14:paraId="17DE400F" w14:textId="77777777" w:rsidR="00F30851" w:rsidRPr="006647A8" w:rsidRDefault="00F30851" w:rsidP="002A05EC">
      <w:pPr>
        <w:pStyle w:val="Heading3"/>
      </w:pPr>
      <w:bookmarkStart w:id="301" w:name="_Toc532480115"/>
      <w:r w:rsidRPr="006647A8">
        <w:t>Second round evaluation</w:t>
      </w:r>
      <w:bookmarkEnd w:id="301"/>
    </w:p>
    <w:p w14:paraId="083B332A" w14:textId="77777777" w:rsidR="00BC74DF" w:rsidRDefault="006C7BB4" w:rsidP="006C7BB4">
      <w:pPr>
        <w:rPr>
          <w:lang w:eastAsia="ja-JP"/>
        </w:rPr>
      </w:pPr>
      <w:r>
        <w:rPr>
          <w:lang w:eastAsia="ja-JP"/>
        </w:rPr>
        <w:t xml:space="preserve">No second round clinical evaluation was conducted as no clinical questions were raised. </w:t>
      </w:r>
      <w:r w:rsidR="00F30851" w:rsidRPr="00666A54">
        <w:rPr>
          <w:lang w:eastAsia="ja-JP"/>
        </w:rPr>
        <w:t xml:space="preserve">Further information was provided by </w:t>
      </w:r>
      <w:r w:rsidR="00C63700">
        <w:rPr>
          <w:lang w:eastAsia="ja-JP"/>
        </w:rPr>
        <w:t>the sponsor</w:t>
      </w:r>
      <w:r w:rsidR="00F30851" w:rsidRPr="00666A54">
        <w:rPr>
          <w:lang w:eastAsia="ja-JP"/>
        </w:rPr>
        <w:t xml:space="preserve"> on 29 November 2017</w:t>
      </w:r>
      <w:r>
        <w:rPr>
          <w:lang w:eastAsia="ja-JP"/>
        </w:rPr>
        <w:t xml:space="preserve"> regarding the RMP</w:t>
      </w:r>
      <w:r w:rsidR="00F30851" w:rsidRPr="00666A54">
        <w:rPr>
          <w:lang w:eastAsia="ja-JP"/>
        </w:rPr>
        <w:t xml:space="preserve">. </w:t>
      </w:r>
      <w:r>
        <w:rPr>
          <w:lang w:eastAsia="ja-JP"/>
        </w:rPr>
        <w:t>The scope of these questions and responses are beyond the scope of this AusPAR.</w:t>
      </w:r>
    </w:p>
    <w:p w14:paraId="3E91AE7F" w14:textId="5F0970DA" w:rsidR="00F30851" w:rsidRDefault="00F30851" w:rsidP="007846C7">
      <w:pPr>
        <w:pStyle w:val="Heading2"/>
      </w:pPr>
      <w:bookmarkStart w:id="302" w:name="_Toc532480116"/>
      <w:r>
        <w:t>Second round benefit-risk assessment</w:t>
      </w:r>
      <w:bookmarkEnd w:id="302"/>
    </w:p>
    <w:p w14:paraId="75E01A4C" w14:textId="77777777" w:rsidR="00F30851" w:rsidRDefault="00F30851" w:rsidP="007846C7">
      <w:pPr>
        <w:pStyle w:val="Heading3"/>
      </w:pPr>
      <w:bookmarkStart w:id="303" w:name="_Toc532480117"/>
      <w:r w:rsidRPr="0011254A">
        <w:t>Second round assessment of benefits</w:t>
      </w:r>
      <w:bookmarkEnd w:id="303"/>
    </w:p>
    <w:p w14:paraId="315DBF7C" w14:textId="77777777" w:rsidR="00F30851" w:rsidRPr="00BF2C12" w:rsidRDefault="00F30851" w:rsidP="007846C7">
      <w:pPr>
        <w:rPr>
          <w:lang w:eastAsia="ja-JP"/>
        </w:rPr>
      </w:pPr>
      <w:r w:rsidRPr="00BF2C12">
        <w:rPr>
          <w:lang w:eastAsia="ja-JP"/>
        </w:rPr>
        <w:t>As per first round assessment</w:t>
      </w:r>
      <w:r w:rsidR="007846C7">
        <w:rPr>
          <w:lang w:eastAsia="ja-JP"/>
        </w:rPr>
        <w:t>;</w:t>
      </w:r>
      <w:r w:rsidRPr="00BF2C12">
        <w:rPr>
          <w:lang w:eastAsia="ja-JP"/>
        </w:rPr>
        <w:t xml:space="preserve"> favourable.</w:t>
      </w:r>
    </w:p>
    <w:p w14:paraId="7487C4D8" w14:textId="77777777" w:rsidR="00F30851" w:rsidRDefault="00F30851" w:rsidP="007846C7">
      <w:pPr>
        <w:pStyle w:val="Heading3"/>
      </w:pPr>
      <w:bookmarkStart w:id="304" w:name="_Toc532480118"/>
      <w:r w:rsidRPr="0011254A">
        <w:t>Second round assessment of risks</w:t>
      </w:r>
      <w:bookmarkEnd w:id="304"/>
    </w:p>
    <w:p w14:paraId="179799A4" w14:textId="77777777" w:rsidR="00F30851" w:rsidRPr="00BF2C12" w:rsidRDefault="00F30851" w:rsidP="007846C7">
      <w:pPr>
        <w:rPr>
          <w:lang w:eastAsia="ja-JP"/>
        </w:rPr>
      </w:pPr>
      <w:r w:rsidRPr="00BF2C12">
        <w:rPr>
          <w:lang w:eastAsia="ja-JP"/>
        </w:rPr>
        <w:t>As per first round assessment</w:t>
      </w:r>
      <w:r w:rsidR="007846C7">
        <w:rPr>
          <w:lang w:eastAsia="ja-JP"/>
        </w:rPr>
        <w:t>.</w:t>
      </w:r>
    </w:p>
    <w:p w14:paraId="2DEDF621" w14:textId="77777777" w:rsidR="00F30851" w:rsidRDefault="00F30851" w:rsidP="007846C7">
      <w:pPr>
        <w:pStyle w:val="Heading3"/>
      </w:pPr>
      <w:bookmarkStart w:id="305" w:name="_Toc532480119"/>
      <w:r w:rsidRPr="0011254A">
        <w:lastRenderedPageBreak/>
        <w:t>Second round assessment of benefit-risk balance</w:t>
      </w:r>
      <w:bookmarkEnd w:id="305"/>
    </w:p>
    <w:p w14:paraId="1D0829C1" w14:textId="77777777" w:rsidR="00F30851" w:rsidRDefault="00F30851" w:rsidP="007846C7">
      <w:r w:rsidRPr="00BF2C12">
        <w:t xml:space="preserve">Favourable, the clinical efficacy, immunogenicity and favourable safety profile are supportive of the benefit of vaccination with </w:t>
      </w:r>
      <w:r w:rsidR="00356911" w:rsidRPr="00356911">
        <w:t xml:space="preserve">Fluarix Tetra </w:t>
      </w:r>
      <w:r w:rsidRPr="00BF2C12">
        <w:t>in children 6 to 35 months of age.</w:t>
      </w:r>
    </w:p>
    <w:p w14:paraId="5D369BD1" w14:textId="77777777" w:rsidR="00F30851" w:rsidRDefault="00F30851" w:rsidP="007846C7">
      <w:pPr>
        <w:pStyle w:val="Heading3"/>
      </w:pPr>
      <w:bookmarkStart w:id="306" w:name="_Toc532480120"/>
      <w:r w:rsidRPr="0011254A">
        <w:t>Second round recommendation regarding authorisation</w:t>
      </w:r>
      <w:bookmarkEnd w:id="306"/>
    </w:p>
    <w:p w14:paraId="13047E70" w14:textId="77777777" w:rsidR="003D1E62" w:rsidRPr="0090198B" w:rsidRDefault="007846C7" w:rsidP="0090198B">
      <w:pPr>
        <w:spacing w:before="0" w:after="0"/>
        <w:rPr>
          <w:rFonts w:asciiTheme="minorHAnsi" w:hAnsiTheme="minorHAnsi" w:cstheme="majorHAnsi"/>
          <w:sz w:val="24"/>
          <w:szCs w:val="24"/>
          <w:lang w:eastAsia="ja-JP"/>
        </w:rPr>
        <w:sectPr w:rsidR="003D1E62" w:rsidRPr="0090198B" w:rsidSect="008D770F">
          <w:pgSz w:w="11906" w:h="16838" w:code="9"/>
          <w:pgMar w:top="1440" w:right="1440" w:bottom="1440" w:left="1440" w:header="907" w:footer="216" w:gutter="0"/>
          <w:cols w:space="708"/>
          <w:docGrid w:linePitch="360"/>
        </w:sectPr>
      </w:pPr>
      <w:r>
        <w:rPr>
          <w:rFonts w:asciiTheme="minorHAnsi" w:hAnsiTheme="minorHAnsi" w:cstheme="majorHAnsi"/>
          <w:sz w:val="24"/>
          <w:szCs w:val="24"/>
          <w:lang w:eastAsia="ja-JP"/>
        </w:rPr>
        <w:t>The evaluator</w:t>
      </w:r>
      <w:r w:rsidR="00F30851" w:rsidRPr="00501F9B">
        <w:rPr>
          <w:rFonts w:asciiTheme="minorHAnsi" w:hAnsiTheme="minorHAnsi" w:cstheme="majorHAnsi"/>
          <w:sz w:val="24"/>
          <w:szCs w:val="24"/>
          <w:lang w:eastAsia="ja-JP"/>
        </w:rPr>
        <w:t xml:space="preserve"> recommend</w:t>
      </w:r>
      <w:r>
        <w:rPr>
          <w:rFonts w:asciiTheme="minorHAnsi" w:hAnsiTheme="minorHAnsi" w:cstheme="majorHAnsi"/>
          <w:sz w:val="24"/>
          <w:szCs w:val="24"/>
          <w:lang w:eastAsia="ja-JP"/>
        </w:rPr>
        <w:t>s</w:t>
      </w:r>
      <w:r w:rsidR="00F30851" w:rsidRPr="00501F9B">
        <w:rPr>
          <w:rFonts w:asciiTheme="minorHAnsi" w:hAnsiTheme="minorHAnsi" w:cstheme="majorHAnsi"/>
          <w:sz w:val="24"/>
          <w:szCs w:val="24"/>
          <w:lang w:eastAsia="ja-JP"/>
        </w:rPr>
        <w:t xml:space="preserve"> </w:t>
      </w:r>
      <w:r w:rsidR="00F30851">
        <w:rPr>
          <w:rFonts w:asciiTheme="minorHAnsi" w:hAnsiTheme="minorHAnsi" w:cstheme="majorHAnsi"/>
          <w:sz w:val="24"/>
          <w:szCs w:val="24"/>
          <w:lang w:eastAsia="ja-JP"/>
        </w:rPr>
        <w:t xml:space="preserve">the </w:t>
      </w:r>
      <w:r w:rsidR="00F30851" w:rsidRPr="00501F9B">
        <w:rPr>
          <w:rFonts w:asciiTheme="minorHAnsi" w:hAnsiTheme="minorHAnsi" w:cstheme="majorHAnsi"/>
          <w:sz w:val="24"/>
          <w:szCs w:val="24"/>
          <w:lang w:eastAsia="ja-JP"/>
        </w:rPr>
        <w:t>authorisation</w:t>
      </w:r>
      <w:r w:rsidR="00F30851" w:rsidRPr="00501F9B">
        <w:rPr>
          <w:rFonts w:asciiTheme="minorHAnsi" w:eastAsia="TimesNewRoman" w:hAnsiTheme="minorHAnsi" w:cs="TimesNewRoman"/>
        </w:rPr>
        <w:t xml:space="preserve"> </w:t>
      </w:r>
      <w:r w:rsidR="00F30851">
        <w:rPr>
          <w:rFonts w:asciiTheme="minorHAnsi" w:eastAsia="TimesNewRoman" w:hAnsiTheme="minorHAnsi" w:cs="TimesNewRoman"/>
        </w:rPr>
        <w:t xml:space="preserve">for </w:t>
      </w:r>
      <w:r w:rsidRPr="007846C7">
        <w:rPr>
          <w:rFonts w:asciiTheme="minorHAnsi" w:eastAsia="TimesNewRoman" w:hAnsiTheme="minorHAnsi" w:cs="TimesNewRoman"/>
        </w:rPr>
        <w:t xml:space="preserve">Fluarix Tetra </w:t>
      </w:r>
      <w:r w:rsidR="00F30851">
        <w:rPr>
          <w:rFonts w:asciiTheme="minorHAnsi" w:eastAsia="TimesNewRoman" w:hAnsiTheme="minorHAnsi" w:cs="TimesNewRoman"/>
        </w:rPr>
        <w:t>vaccination use to be extended to include</w:t>
      </w:r>
      <w:r w:rsidR="00F30851" w:rsidRPr="00501F9B">
        <w:rPr>
          <w:rFonts w:asciiTheme="minorHAnsi" w:eastAsia="TimesNewRoman" w:hAnsiTheme="minorHAnsi" w:cs="TimesNewRoman"/>
        </w:rPr>
        <w:t xml:space="preserve"> children 6 to 35 months of age.</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1AB1E969" w14:textId="77777777" w:rsidTr="00F30851">
        <w:trPr>
          <w:trHeight w:hRule="exact" w:val="564"/>
        </w:trPr>
        <w:tc>
          <w:tcPr>
            <w:tcW w:w="9175" w:type="dxa"/>
          </w:tcPr>
          <w:p w14:paraId="2E735C8A" w14:textId="77777777" w:rsidR="00B3567E" w:rsidRPr="00487162" w:rsidRDefault="00B3567E" w:rsidP="00F30851">
            <w:pPr>
              <w:pStyle w:val="TGASignoff"/>
            </w:pPr>
            <w:r w:rsidRPr="00487162">
              <w:lastRenderedPageBreak/>
              <w:t>Therapeutic Goods Administration</w:t>
            </w:r>
          </w:p>
        </w:tc>
      </w:tr>
      <w:tr w:rsidR="00B3567E" w:rsidRPr="00487162" w14:paraId="31CF0CF5" w14:textId="77777777" w:rsidTr="00F30851">
        <w:trPr>
          <w:trHeight w:val="1221"/>
        </w:trPr>
        <w:tc>
          <w:tcPr>
            <w:tcW w:w="9175" w:type="dxa"/>
            <w:tcMar>
              <w:top w:w="28" w:type="dxa"/>
            </w:tcMar>
          </w:tcPr>
          <w:p w14:paraId="36541B5D" w14:textId="77777777" w:rsidR="00B3567E" w:rsidRPr="00487162" w:rsidRDefault="00B3567E" w:rsidP="00F30851">
            <w:pPr>
              <w:pStyle w:val="Address"/>
            </w:pPr>
            <w:r w:rsidRPr="00487162">
              <w:t>PO Box 100 Woden ACT 2606 Australia</w:t>
            </w:r>
          </w:p>
          <w:p w14:paraId="53AA9DCB" w14:textId="77777777" w:rsidR="00B3567E" w:rsidRPr="00487162" w:rsidRDefault="00B3567E" w:rsidP="00F30851">
            <w:pPr>
              <w:pStyle w:val="Address"/>
            </w:pPr>
            <w:r w:rsidRPr="00487162">
              <w:t xml:space="preserve">Email: </w:t>
            </w:r>
            <w:hyperlink r:id="rId62" w:history="1">
              <w:r w:rsidRPr="008D770F">
                <w:rPr>
                  <w:rStyle w:val="Hyperlink"/>
                </w:rPr>
                <w:t>info@tga.gov.au</w:t>
              </w:r>
            </w:hyperlink>
            <w:r w:rsidR="00943514">
              <w:t xml:space="preserve"> </w:t>
            </w:r>
            <w:r w:rsidRPr="00487162">
              <w:t>Phone: 1800 020 653</w:t>
            </w:r>
            <w:r w:rsidR="00943514">
              <w:t xml:space="preserve"> </w:t>
            </w:r>
            <w:r w:rsidRPr="00487162">
              <w:t>Fax: 02 6232 8605</w:t>
            </w:r>
          </w:p>
          <w:p w14:paraId="53745ADF" w14:textId="77777777" w:rsidR="00B3567E" w:rsidRPr="008D770F" w:rsidRDefault="00486721" w:rsidP="00F30851">
            <w:pPr>
              <w:pStyle w:val="Address"/>
              <w:spacing w:line="260" w:lineRule="atLeast"/>
              <w:rPr>
                <w:b/>
                <w:color w:val="0000FF"/>
                <w:u w:val="single"/>
              </w:rPr>
            </w:pPr>
            <w:hyperlink r:id="rId63" w:history="1">
              <w:r w:rsidR="00E979F4" w:rsidRPr="00FE02B1">
                <w:rPr>
                  <w:rStyle w:val="Hyperlink"/>
                  <w:b/>
                </w:rPr>
                <w:t>https://www.tga.gov.au</w:t>
              </w:r>
            </w:hyperlink>
          </w:p>
        </w:tc>
      </w:tr>
    </w:tbl>
    <w:p w14:paraId="6F30D4B7" w14:textId="77777777" w:rsidR="00774E1D" w:rsidRPr="008A5E0B" w:rsidRDefault="00774E1D" w:rsidP="008A5E0B"/>
    <w:sectPr w:rsidR="00774E1D" w:rsidRPr="008A5E0B" w:rsidSect="00B3567E">
      <w:headerReference w:type="even" r:id="rId64"/>
      <w:headerReference w:type="default" r:id="rId65"/>
      <w:footerReference w:type="default" r:id="rId66"/>
      <w:headerReference w:type="first" r:id="rId67"/>
      <w:footerReference w:type="first" r:id="rId68"/>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EB476E" w15:done="0"/>
  <w15:commentEx w15:paraId="01A91CA3" w15:done="0"/>
  <w15:commentEx w15:paraId="3A7CAE91" w15:done="0"/>
  <w15:commentEx w15:paraId="579444F8" w15:done="0"/>
  <w15:commentEx w15:paraId="26BE9535" w15:done="0"/>
  <w15:commentEx w15:paraId="64F71143" w15:done="0"/>
  <w15:commentEx w15:paraId="755E269B" w15:done="0"/>
  <w15:commentEx w15:paraId="37FBFE65" w15:done="0"/>
  <w15:commentEx w15:paraId="02AA18F4" w15:done="0"/>
  <w15:commentEx w15:paraId="73066112" w15:done="0"/>
  <w15:commentEx w15:paraId="1E9B1B7E" w15:done="0"/>
  <w15:commentEx w15:paraId="3F7A72C9" w15:done="0"/>
  <w15:commentEx w15:paraId="776E7B9D" w15:done="0"/>
  <w15:commentEx w15:paraId="33EC5EA3" w15:done="0"/>
  <w15:commentEx w15:paraId="5277F830" w15:done="0"/>
  <w15:commentEx w15:paraId="5F791C88" w15:done="0"/>
  <w15:commentEx w15:paraId="4448781B" w15:done="0"/>
  <w15:commentEx w15:paraId="2B347076" w15:done="0"/>
  <w15:commentEx w15:paraId="1496599A" w15:done="0"/>
  <w15:commentEx w15:paraId="2D197EF6" w15:done="0"/>
  <w15:commentEx w15:paraId="15CB31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EB476E" w16cid:durableId="1F424633"/>
  <w16cid:commentId w16cid:paraId="01A91CA3" w16cid:durableId="1F424169"/>
  <w16cid:commentId w16cid:paraId="3A7CAE91" w16cid:durableId="1F424615"/>
  <w16cid:commentId w16cid:paraId="579444F8" w16cid:durableId="1F42457C"/>
  <w16cid:commentId w16cid:paraId="26BE9535" w16cid:durableId="1F424103"/>
  <w16cid:commentId w16cid:paraId="64F71143" w16cid:durableId="1F4240A2"/>
  <w16cid:commentId w16cid:paraId="755E269B" w16cid:durableId="1F4240D6"/>
  <w16cid:commentId w16cid:paraId="37FBFE65" w16cid:durableId="1F4240B6"/>
  <w16cid:commentId w16cid:paraId="02AA18F4" w16cid:durableId="1F43AD1D"/>
  <w16cid:commentId w16cid:paraId="73066112" w16cid:durableId="1F43ACF9"/>
  <w16cid:commentId w16cid:paraId="1E9B1B7E" w16cid:durableId="1F42408B"/>
  <w16cid:commentId w16cid:paraId="3F7A72C9" w16cid:durableId="1F42407D"/>
  <w16cid:commentId w16cid:paraId="776E7B9D" w16cid:durableId="1F43AD6C"/>
  <w16cid:commentId w16cid:paraId="33EC5EA3" w16cid:durableId="1F43AD7F"/>
  <w16cid:commentId w16cid:paraId="5277F830" w16cid:durableId="1F424055"/>
  <w16cid:commentId w16cid:paraId="5F791C88" w16cid:durableId="1F42400B"/>
  <w16cid:commentId w16cid:paraId="4448781B" w16cid:durableId="1F423FFC"/>
  <w16cid:commentId w16cid:paraId="2B347076" w16cid:durableId="1F423FDE"/>
  <w16cid:commentId w16cid:paraId="1496599A" w16cid:durableId="1F43AA9D"/>
  <w16cid:commentId w16cid:paraId="2D197EF6" w16cid:durableId="1F43ADE1"/>
  <w16cid:commentId w16cid:paraId="15CB31BE" w16cid:durableId="1F423F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DD38E" w14:textId="77777777" w:rsidR="00486721" w:rsidRDefault="00486721" w:rsidP="00C40A36">
      <w:pPr>
        <w:spacing w:after="0"/>
      </w:pPr>
      <w:r>
        <w:separator/>
      </w:r>
    </w:p>
  </w:endnote>
  <w:endnote w:type="continuationSeparator" w:id="0">
    <w:p w14:paraId="62DFAB0E" w14:textId="77777777" w:rsidR="00486721" w:rsidRDefault="0048672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Narrow">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Bold">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83" w:usb1="08070000" w:usb2="00000010" w:usb3="00000000" w:csb0="00020009"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Bold">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TimesNewRoman,BoldItalic">
    <w:altName w:val="MS Mincho"/>
    <w:panose1 w:val="00000000000000000000"/>
    <w:charset w:val="80"/>
    <w:family w:val="auto"/>
    <w:notTrueType/>
    <w:pitch w:val="default"/>
    <w:sig w:usb0="00000003" w:usb1="08070000" w:usb2="00000010" w:usb3="00000000" w:csb0="00020001" w:csb1="00000000"/>
  </w:font>
  <w:font w:name="Arial,Bold">
    <w:panose1 w:val="00000000000000000000"/>
    <w:charset w:val="00"/>
    <w:family w:val="auto"/>
    <w:notTrueType/>
    <w:pitch w:val="default"/>
    <w:sig w:usb0="00000003" w:usb1="00000000" w:usb2="00000000" w:usb3="00000000" w:csb0="00000001" w:csb1="00000000"/>
  </w:font>
  <w:font w:name="ArialNarrow,Bold">
    <w:altName w:val="MS Mincho"/>
    <w:panose1 w:val="00000000000000000000"/>
    <w:charset w:val="80"/>
    <w:family w:val="auto"/>
    <w:notTrueType/>
    <w:pitch w:val="default"/>
    <w:sig w:usb0="00000001" w:usb1="08070000" w:usb2="00000010" w:usb3="00000000" w:csb0="00020000" w:csb1="00000000"/>
  </w:font>
  <w:font w:name="Arial,BoldItalic">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486721" w:rsidRPr="00487162" w14:paraId="4368E9B4" w14:textId="77777777" w:rsidTr="007E3752">
      <w:trPr>
        <w:trHeight w:val="269"/>
      </w:trPr>
      <w:tc>
        <w:tcPr>
          <w:tcW w:w="7655" w:type="dxa"/>
          <w:tcMar>
            <w:top w:w="142" w:type="dxa"/>
            <w:bottom w:w="0" w:type="dxa"/>
          </w:tcMar>
        </w:tcPr>
        <w:p w14:paraId="7E825C1F" w14:textId="77777777" w:rsidR="00486721" w:rsidRPr="00487162" w:rsidRDefault="00486721" w:rsidP="00F30851">
          <w:pPr>
            <w:pStyle w:val="Footer"/>
          </w:pPr>
          <w:r>
            <w:t>Submission</w:t>
          </w:r>
          <w:r w:rsidRPr="00487162">
            <w:t xml:space="preserve"> PM-20</w:t>
          </w:r>
          <w:r>
            <w:t>17</w:t>
          </w:r>
          <w:r w:rsidRPr="00487162">
            <w:t>-</w:t>
          </w:r>
          <w:r>
            <w:t>01036-1-2 Extract from the Clinical Evaluation Report for Fluarix Tetra</w:t>
          </w:r>
        </w:p>
      </w:tc>
      <w:tc>
        <w:tcPr>
          <w:tcW w:w="1206" w:type="dxa"/>
          <w:tcMar>
            <w:top w:w="142" w:type="dxa"/>
            <w:bottom w:w="0" w:type="dxa"/>
          </w:tcMar>
        </w:tcPr>
        <w:p w14:paraId="6A1504E0" w14:textId="03D21954" w:rsidR="00486721" w:rsidRPr="00981D66" w:rsidRDefault="0048672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C26A8B">
            <w:rPr>
              <w:noProof/>
            </w:rPr>
            <w:t>3</w:t>
          </w:r>
          <w:r w:rsidRPr="00981D66">
            <w:fldChar w:fldCharType="end"/>
          </w:r>
          <w:r w:rsidRPr="00981D66">
            <w:t xml:space="preserve"> of </w:t>
          </w:r>
          <w:fldSimple w:instr=" NUMPAGES  \* Arabic  \* MERGEFORMAT ">
            <w:r w:rsidR="00C26A8B">
              <w:rPr>
                <w:noProof/>
              </w:rPr>
              <w:t>51</w:t>
            </w:r>
          </w:fldSimple>
        </w:p>
      </w:tc>
    </w:tr>
  </w:tbl>
  <w:p w14:paraId="2ADA808C" w14:textId="77777777" w:rsidR="00486721" w:rsidRDefault="0048672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86721" w:rsidRPr="00487162" w14:paraId="2CB46CF6" w14:textId="77777777" w:rsidTr="00E45619">
      <w:trPr>
        <w:trHeight w:val="269"/>
      </w:trPr>
      <w:tc>
        <w:tcPr>
          <w:tcW w:w="4519" w:type="dxa"/>
          <w:tcBorders>
            <w:top w:val="single" w:sz="4" w:space="0" w:color="auto"/>
          </w:tcBorders>
          <w:tcMar>
            <w:top w:w="142" w:type="dxa"/>
            <w:bottom w:w="0" w:type="dxa"/>
          </w:tcMar>
        </w:tcPr>
        <w:p w14:paraId="6A9E9404" w14:textId="77777777" w:rsidR="00486721" w:rsidRPr="00487162" w:rsidRDefault="00486721" w:rsidP="00FE1DEE">
          <w:pPr>
            <w:pStyle w:val="Footer"/>
          </w:pPr>
          <w:r w:rsidRPr="00487162">
            <w:t>Document title, Part #, Section # - Section title</w:t>
          </w:r>
        </w:p>
        <w:p w14:paraId="60A14DC5" w14:textId="77777777" w:rsidR="00486721" w:rsidRPr="00487162" w:rsidRDefault="00486721" w:rsidP="00FE1DEE">
          <w:pPr>
            <w:pStyle w:val="Footer"/>
          </w:pPr>
          <w:r w:rsidRPr="00487162">
            <w:t>V1.0 October 2010</w:t>
          </w:r>
        </w:p>
      </w:tc>
      <w:tc>
        <w:tcPr>
          <w:tcW w:w="4342" w:type="dxa"/>
          <w:tcBorders>
            <w:top w:val="single" w:sz="4" w:space="0" w:color="auto"/>
          </w:tcBorders>
          <w:tcMar>
            <w:top w:w="142" w:type="dxa"/>
            <w:bottom w:w="0" w:type="dxa"/>
          </w:tcMar>
        </w:tcPr>
        <w:p w14:paraId="2731631F" w14:textId="77777777" w:rsidR="00486721" w:rsidRPr="00487162" w:rsidRDefault="0048672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51</w:t>
            </w:r>
          </w:fldSimple>
        </w:p>
      </w:tc>
    </w:tr>
  </w:tbl>
  <w:p w14:paraId="20C4E4E6" w14:textId="77777777" w:rsidR="00486721" w:rsidRDefault="004867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77AEC" w14:textId="77777777" w:rsidR="00486721" w:rsidRDefault="0048672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86721" w14:paraId="44C9C780" w14:textId="77777777" w:rsidTr="0010601F">
      <w:trPr>
        <w:trHeight w:val="108"/>
      </w:trPr>
      <w:tc>
        <w:tcPr>
          <w:tcW w:w="8875" w:type="dxa"/>
          <w:gridSpan w:val="2"/>
          <w:tcBorders>
            <w:bottom w:val="single" w:sz="4" w:space="0" w:color="auto"/>
          </w:tcBorders>
          <w:tcMar>
            <w:right w:w="284" w:type="dxa"/>
          </w:tcMar>
        </w:tcPr>
        <w:p w14:paraId="7A564467" w14:textId="77777777" w:rsidR="00486721" w:rsidRDefault="00486721" w:rsidP="006E08B3">
          <w:pPr>
            <w:pStyle w:val="Heading3"/>
          </w:pPr>
          <w:r>
            <w:t>Copyright</w:t>
          </w:r>
        </w:p>
        <w:p w14:paraId="5A8B2305" w14:textId="77777777" w:rsidR="00486721" w:rsidRDefault="00486721" w:rsidP="006E08B3">
          <w:r>
            <w:rPr>
              <w:rFonts w:cs="Arial"/>
            </w:rPr>
            <w:t>©</w:t>
          </w:r>
          <w:r>
            <w:t xml:space="preserve"> Commonwealth of Australia [add year]</w:t>
          </w:r>
        </w:p>
        <w:p w14:paraId="26CB5D8C" w14:textId="77777777" w:rsidR="00486721" w:rsidRDefault="00486721" w:rsidP="006E08B3"/>
        <w:p w14:paraId="62D07875" w14:textId="77777777" w:rsidR="00486721" w:rsidRDefault="0048672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2AA0DF9" w14:textId="77777777" w:rsidR="00486721" w:rsidRDefault="00486721" w:rsidP="006E08B3"/>
        <w:p w14:paraId="00E6F1C3" w14:textId="77777777" w:rsidR="00486721" w:rsidRDefault="00486721" w:rsidP="006E08B3">
          <w:pPr>
            <w:pStyle w:val="Heading3"/>
          </w:pPr>
          <w:r>
            <w:t>Confidentiality</w:t>
          </w:r>
        </w:p>
        <w:p w14:paraId="36D57352" w14:textId="77777777" w:rsidR="00486721" w:rsidRDefault="0048672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5B5F472" w14:textId="77777777" w:rsidR="00486721" w:rsidRDefault="00486721" w:rsidP="006E08B3"/>
        <w:p w14:paraId="206F8EAF" w14:textId="77777777" w:rsidR="00486721" w:rsidRDefault="00486721" w:rsidP="006E08B3">
          <w:r>
            <w:t>For submission made by individuals, all personal details, other than your name, will be removed from your submission before it is published on the TGA’s Internet site.</w:t>
          </w:r>
        </w:p>
        <w:p w14:paraId="72C19E2C" w14:textId="77777777" w:rsidR="00486721" w:rsidRDefault="00486721" w:rsidP="006E08B3"/>
        <w:p w14:paraId="08DDEC95" w14:textId="77777777" w:rsidR="00486721" w:rsidRDefault="00486721" w:rsidP="006E08B3">
          <w:r>
            <w:t>In addition, a list of parties making submissions will be published. If you do not wish to be identified with your submission you must specifically request this in the space provided ib the submission coversheet.</w:t>
          </w:r>
        </w:p>
      </w:tc>
    </w:tr>
    <w:tr w:rsidR="00486721" w14:paraId="184C1C6E" w14:textId="77777777" w:rsidTr="0010601F">
      <w:trPr>
        <w:trHeight w:val="417"/>
      </w:trPr>
      <w:tc>
        <w:tcPr>
          <w:tcW w:w="4519" w:type="dxa"/>
          <w:tcBorders>
            <w:top w:val="single" w:sz="4" w:space="0" w:color="auto"/>
          </w:tcBorders>
          <w:tcMar>
            <w:top w:w="142" w:type="dxa"/>
            <w:bottom w:w="0" w:type="dxa"/>
          </w:tcMar>
        </w:tcPr>
        <w:p w14:paraId="0BF75C42" w14:textId="77777777" w:rsidR="00486721" w:rsidRDefault="00486721" w:rsidP="006E08B3">
          <w:r>
            <w:t>Document title, Part #, Section # - Section title</w:t>
          </w:r>
        </w:p>
        <w:p w14:paraId="2B9B12E4" w14:textId="77777777" w:rsidR="00486721" w:rsidRDefault="00486721" w:rsidP="006E08B3">
          <w:r>
            <w:t>V1.0 October 2010</w:t>
          </w:r>
        </w:p>
      </w:tc>
      <w:tc>
        <w:tcPr>
          <w:tcW w:w="4356" w:type="dxa"/>
          <w:tcBorders>
            <w:top w:val="single" w:sz="4" w:space="0" w:color="auto"/>
          </w:tcBorders>
          <w:tcMar>
            <w:top w:w="142" w:type="dxa"/>
            <w:bottom w:w="0" w:type="dxa"/>
          </w:tcMar>
        </w:tcPr>
        <w:p w14:paraId="7730702B" w14:textId="77777777" w:rsidR="00486721" w:rsidRDefault="0048672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51</w:t>
            </w:r>
          </w:fldSimple>
          <w:r>
            <w:t xml:space="preserve"> </w:t>
          </w:r>
        </w:p>
      </w:tc>
    </w:tr>
  </w:tbl>
  <w:p w14:paraId="3AEB76B6" w14:textId="77777777" w:rsidR="00486721" w:rsidRDefault="004867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83C28" w14:textId="77777777" w:rsidR="00486721" w:rsidRDefault="00486721" w:rsidP="00C40A36">
      <w:pPr>
        <w:spacing w:after="0"/>
      </w:pPr>
      <w:r>
        <w:separator/>
      </w:r>
    </w:p>
  </w:footnote>
  <w:footnote w:type="continuationSeparator" w:id="0">
    <w:p w14:paraId="2FC03027" w14:textId="77777777" w:rsidR="00486721" w:rsidRDefault="00486721" w:rsidP="00C40A36">
      <w:pPr>
        <w:spacing w:after="0"/>
      </w:pPr>
      <w:r>
        <w:continuationSeparator/>
      </w:r>
    </w:p>
  </w:footnote>
  <w:footnote w:id="1">
    <w:p w14:paraId="3963D4D8" w14:textId="77777777" w:rsidR="00486721" w:rsidRPr="009D59A0" w:rsidRDefault="00486721" w:rsidP="00C2729B">
      <w:pPr>
        <w:pStyle w:val="FootnoteText"/>
        <w:rPr>
          <w:lang w:val="en-US"/>
        </w:rPr>
      </w:pPr>
      <w:r>
        <w:rPr>
          <w:rStyle w:val="FootnoteReference"/>
        </w:rPr>
        <w:footnoteRef/>
      </w:r>
      <w:r>
        <w:t xml:space="preserve"> </w:t>
      </w:r>
      <w:r w:rsidRPr="009D59A0">
        <w:t>WHO Fact sheet N°211 March 2014</w:t>
      </w:r>
    </w:p>
  </w:footnote>
  <w:footnote w:id="2">
    <w:p w14:paraId="45E93138" w14:textId="77777777" w:rsidR="00486721" w:rsidRPr="009D59A0" w:rsidRDefault="00486721" w:rsidP="00C2729B">
      <w:pPr>
        <w:pStyle w:val="FootnoteText"/>
        <w:rPr>
          <w:lang w:val="en-US"/>
        </w:rPr>
      </w:pPr>
      <w:r>
        <w:rPr>
          <w:rStyle w:val="FootnoteReference"/>
        </w:rPr>
        <w:footnoteRef/>
      </w:r>
      <w:r w:rsidRPr="00884727">
        <w:t xml:space="preserve"> Lafond KE, Nair H, Rasooly MH, et al. </w:t>
      </w:r>
      <w:r w:rsidRPr="009D59A0">
        <w:t>Global Role and Burden of Influenza in Pediatric Respiratory Hospitalizations, 1982-2012: A Systematic Analysis. PLoS Med 2016;13(6):e1002060.</w:t>
      </w:r>
    </w:p>
  </w:footnote>
  <w:footnote w:id="3">
    <w:p w14:paraId="1E120784" w14:textId="77777777" w:rsidR="00486721" w:rsidRPr="009D59A0" w:rsidRDefault="00486721" w:rsidP="00C2729B">
      <w:pPr>
        <w:autoSpaceDE w:val="0"/>
        <w:autoSpaceDN w:val="0"/>
        <w:adjustRightInd w:val="0"/>
        <w:spacing w:before="0" w:after="0"/>
        <w:rPr>
          <w:rFonts w:cs="TimesNewRoman"/>
          <w:sz w:val="18"/>
          <w:szCs w:val="18"/>
        </w:rPr>
      </w:pPr>
      <w:r>
        <w:rPr>
          <w:rStyle w:val="FootnoteReference"/>
        </w:rPr>
        <w:footnoteRef/>
      </w:r>
      <w:r>
        <w:t xml:space="preserve"> </w:t>
      </w:r>
      <w:r w:rsidRPr="009D59A0">
        <w:rPr>
          <w:rFonts w:cs="TimesNewRoman"/>
          <w:sz w:val="18"/>
          <w:szCs w:val="18"/>
        </w:rPr>
        <w:t>Hay</w:t>
      </w:r>
      <w:r w:rsidRPr="009D4A4C">
        <w:rPr>
          <w:rFonts w:cs="TimesNewRoman"/>
          <w:b/>
          <w:sz w:val="18"/>
          <w:szCs w:val="18"/>
        </w:rPr>
        <w:t xml:space="preserve"> </w:t>
      </w:r>
      <w:r w:rsidRPr="009D4A4C">
        <w:rPr>
          <w:rFonts w:cs="TimesNewRoman"/>
          <w:sz w:val="18"/>
          <w:szCs w:val="18"/>
        </w:rPr>
        <w:t>AJ, Belshe RB, Anderson EL, et al. Influenza viruses. In: Belshe RB, ed. Textbook of Human Virology. St. Louis, Missouri: Mosby Year Book, Inc, 1991;307−341.</w:t>
      </w:r>
    </w:p>
  </w:footnote>
  <w:footnote w:id="4">
    <w:p w14:paraId="34B70216" w14:textId="77777777" w:rsidR="00486721" w:rsidRPr="009D59A0" w:rsidRDefault="00486721" w:rsidP="00C2729B">
      <w:pPr>
        <w:pStyle w:val="FootnoteText"/>
        <w:rPr>
          <w:lang w:val="en-US"/>
        </w:rPr>
      </w:pPr>
      <w:r>
        <w:rPr>
          <w:rStyle w:val="FootnoteReference"/>
        </w:rPr>
        <w:footnoteRef/>
      </w:r>
      <w:r>
        <w:t xml:space="preserve"> </w:t>
      </w:r>
      <w:r w:rsidRPr="009D59A0">
        <w:t>Fiore AE, Shay DK, Broder K, et al. Prevention and control of seasonal influenza with vaccines: recommendations of the Advisory Committee on Immunization Practices (ACIP), 2009. MMWR Recomm Rep 2009 Jul 31;58(RR-8):1-52.</w:t>
      </w:r>
    </w:p>
  </w:footnote>
  <w:footnote w:id="5">
    <w:p w14:paraId="6BD7C322" w14:textId="77777777" w:rsidR="00486721" w:rsidRPr="009D59A0" w:rsidRDefault="00486721" w:rsidP="00C2729B">
      <w:pPr>
        <w:pStyle w:val="FootnoteText"/>
        <w:rPr>
          <w:lang w:val="en-US"/>
        </w:rPr>
      </w:pPr>
      <w:r>
        <w:rPr>
          <w:rStyle w:val="FootnoteReference"/>
        </w:rPr>
        <w:footnoteRef/>
      </w:r>
      <w:r>
        <w:t xml:space="preserve"> Beyer WE1, McElhaney J, Smith DJ, Monto AS, Nguyen-Van-Tam JS, Osterhaus AD. Cochrane re-arranged: support for policies to vaccinate elderly people against influenza. Vaccine. 2013 Dec 5;31(50):6030-3. Epub 2013 Oct 3.</w:t>
      </w:r>
    </w:p>
  </w:footnote>
  <w:footnote w:id="6">
    <w:p w14:paraId="4F65D195" w14:textId="77777777" w:rsidR="00486721" w:rsidRPr="00D24AD9" w:rsidRDefault="00486721" w:rsidP="00C2729B">
      <w:pPr>
        <w:pStyle w:val="FootnoteText"/>
        <w:rPr>
          <w:lang w:val="en-US"/>
        </w:rPr>
      </w:pPr>
      <w:r>
        <w:rPr>
          <w:rStyle w:val="FootnoteReference"/>
        </w:rPr>
        <w:footnoteRef/>
      </w:r>
      <w:r>
        <w:t xml:space="preserve"> </w:t>
      </w:r>
      <w:r w:rsidRPr="00D24AD9">
        <w:t>Rota PA, Wallis TR, Harmon MW, Rota JS et al. Cocirculation of two distinct evolutionary lineages of influenza type B virus since 1983. Virology 1990 Mar; 175(1):59-68.</w:t>
      </w:r>
    </w:p>
  </w:footnote>
  <w:footnote w:id="7">
    <w:p w14:paraId="10262011" w14:textId="77777777" w:rsidR="00486721" w:rsidRPr="00D24AD9" w:rsidRDefault="00486721" w:rsidP="00C2729B">
      <w:pPr>
        <w:pStyle w:val="FootnoteText"/>
        <w:rPr>
          <w:lang w:val="en-US"/>
        </w:rPr>
      </w:pPr>
      <w:r>
        <w:rPr>
          <w:rStyle w:val="FootnoteReference"/>
        </w:rPr>
        <w:footnoteRef/>
      </w:r>
      <w:r>
        <w:t xml:space="preserve"> </w:t>
      </w:r>
      <w:r w:rsidRPr="00D24AD9">
        <w:t>Belshe, RB. The need for quadrivalent vaccine against seasonal influenza. Vaccine 2010 Sep 7; 28 Suppl 4: D45-53.</w:t>
      </w:r>
    </w:p>
  </w:footnote>
  <w:footnote w:id="8">
    <w:p w14:paraId="21A8E4F9" w14:textId="77777777" w:rsidR="00486721" w:rsidRPr="00D24AD9" w:rsidRDefault="00486721" w:rsidP="00C2729B">
      <w:pPr>
        <w:pStyle w:val="FootnoteText"/>
        <w:rPr>
          <w:lang w:val="en-US"/>
        </w:rPr>
      </w:pPr>
      <w:r>
        <w:rPr>
          <w:rStyle w:val="FootnoteReference"/>
        </w:rPr>
        <w:footnoteRef/>
      </w:r>
      <w:r>
        <w:t xml:space="preserve"> </w:t>
      </w:r>
      <w:r w:rsidRPr="00D24AD9">
        <w:t>Ambrose CS, Levin MJ. The rationale for quadrivalent influenza vaccines. Hum Vaccin Immunother 2012; 8(1):81-8.</w:t>
      </w:r>
    </w:p>
  </w:footnote>
  <w:footnote w:id="9">
    <w:p w14:paraId="6764F228" w14:textId="77777777" w:rsidR="00486721" w:rsidRPr="00D24AD9" w:rsidRDefault="00486721" w:rsidP="00C2729B">
      <w:pPr>
        <w:pStyle w:val="FootnoteText"/>
        <w:rPr>
          <w:lang w:val="en-US"/>
        </w:rPr>
      </w:pPr>
      <w:r>
        <w:rPr>
          <w:rStyle w:val="FootnoteReference"/>
        </w:rPr>
        <w:footnoteRef/>
      </w:r>
      <w:r>
        <w:t xml:space="preserve"> </w:t>
      </w:r>
      <w:r w:rsidRPr="00D24AD9">
        <w:t>www.euroflu.org</w:t>
      </w:r>
    </w:p>
  </w:footnote>
  <w:footnote w:id="10">
    <w:p w14:paraId="26AAD03C" w14:textId="77777777" w:rsidR="00486721" w:rsidRPr="00D24AD9" w:rsidRDefault="00486721" w:rsidP="00C2729B">
      <w:pPr>
        <w:pStyle w:val="FootnoteText"/>
        <w:rPr>
          <w:lang w:val="en-US"/>
        </w:rPr>
      </w:pPr>
      <w:r>
        <w:rPr>
          <w:rStyle w:val="FootnoteReference"/>
        </w:rPr>
        <w:footnoteRef/>
      </w:r>
      <w:r>
        <w:t xml:space="preserve"> </w:t>
      </w:r>
      <w:r w:rsidRPr="00D24AD9">
        <w:t>Grant KA, et al. High proportion of influenza B characterises the 2008 influenza season in Victoria. Commun Dis Intell Q Rep 2009;33(3):328-36.</w:t>
      </w:r>
    </w:p>
  </w:footnote>
  <w:footnote w:id="11">
    <w:p w14:paraId="02035043" w14:textId="77777777" w:rsidR="00486721" w:rsidRPr="00D24AD9" w:rsidRDefault="00486721" w:rsidP="00C2729B">
      <w:pPr>
        <w:pStyle w:val="FootnoteText"/>
        <w:rPr>
          <w:lang w:val="en-US"/>
        </w:rPr>
      </w:pPr>
      <w:r>
        <w:rPr>
          <w:rStyle w:val="FootnoteReference"/>
        </w:rPr>
        <w:footnoteRef/>
      </w:r>
      <w:r>
        <w:t xml:space="preserve"> </w:t>
      </w:r>
      <w:r w:rsidRPr="00D24AD9">
        <w:t>Olson DR, et al. Monitoring the impact of influenza by age: emergency department fever and respiratory complaint surveillance in New York City. PLoS Med 2007;4(8):e247.</w:t>
      </w:r>
    </w:p>
  </w:footnote>
  <w:footnote w:id="12">
    <w:p w14:paraId="542AD23C" w14:textId="77777777" w:rsidR="00486721" w:rsidRPr="00B0346C" w:rsidRDefault="00486721" w:rsidP="00C2729B">
      <w:pPr>
        <w:autoSpaceDE w:val="0"/>
        <w:autoSpaceDN w:val="0"/>
        <w:adjustRightInd w:val="0"/>
        <w:spacing w:before="0" w:after="0" w:line="240" w:lineRule="auto"/>
        <w:rPr>
          <w:rFonts w:asciiTheme="minorHAnsi" w:eastAsia="TimesNewRomanPSMT" w:hAnsiTheme="minorHAnsi" w:cs="TimesNewRomanPSMT"/>
          <w:sz w:val="18"/>
          <w:szCs w:val="18"/>
        </w:rPr>
      </w:pPr>
      <w:r>
        <w:rPr>
          <w:rStyle w:val="FootnoteReference"/>
        </w:rPr>
        <w:footnoteRef/>
      </w:r>
      <w:r>
        <w:t xml:space="preserve"> </w:t>
      </w:r>
      <w:r w:rsidRPr="00B0346C">
        <w:rPr>
          <w:rFonts w:asciiTheme="minorHAnsi" w:eastAsia="TimesNewRomanPSMT" w:hAnsiTheme="minorHAnsi" w:cs="TimesNewRomanPSMT"/>
          <w:sz w:val="18"/>
          <w:szCs w:val="18"/>
        </w:rPr>
        <w:t>Thompson WW, et al.</w:t>
      </w:r>
      <w:r w:rsidRPr="009D4A4C">
        <w:rPr>
          <w:rFonts w:asciiTheme="minorHAnsi" w:eastAsia="TimesNewRomanPSMT" w:hAnsiTheme="minorHAnsi" w:cs="TimesNewRomanPSMT"/>
          <w:sz w:val="18"/>
          <w:szCs w:val="18"/>
        </w:rPr>
        <w:t xml:space="preserve"> Mortality associated with influenza and respiratory syncytial virus in the United States. JAMA 2003;8;289(2):179-86.</w:t>
      </w:r>
    </w:p>
  </w:footnote>
  <w:footnote w:id="13">
    <w:p w14:paraId="09D034F9" w14:textId="77777777" w:rsidR="00486721" w:rsidRPr="00D24AD9" w:rsidRDefault="00486721" w:rsidP="00C2729B">
      <w:pPr>
        <w:pStyle w:val="FootnoteText"/>
        <w:rPr>
          <w:lang w:val="en-US"/>
        </w:rPr>
      </w:pPr>
      <w:r>
        <w:rPr>
          <w:rStyle w:val="FootnoteReference"/>
        </w:rPr>
        <w:footnoteRef/>
      </w:r>
      <w:r>
        <w:t xml:space="preserve"> </w:t>
      </w:r>
      <w:r w:rsidRPr="00D24AD9">
        <w:t>Barr IG,McCauley J, Cox N et al. 2010 Epidemiological, antigenic and genetic characteristics of seasonal influenza A(H1N1), A(H3N2) and B influenza viruses: Basis for the WHO recommendation on the composition of influenza vaccines for use in the 2009–2010 Northern Hemisphere season. Vaccine 28 (2010); 1156-1167.</w:t>
      </w:r>
    </w:p>
  </w:footnote>
  <w:footnote w:id="14">
    <w:p w14:paraId="138CF187" w14:textId="77777777" w:rsidR="00486721" w:rsidRPr="00D24AD9" w:rsidRDefault="00486721" w:rsidP="00C2729B">
      <w:pPr>
        <w:pStyle w:val="FootnoteText"/>
        <w:rPr>
          <w:lang w:val="en-US"/>
        </w:rPr>
      </w:pPr>
      <w:r>
        <w:rPr>
          <w:rStyle w:val="FootnoteReference"/>
        </w:rPr>
        <w:footnoteRef/>
      </w:r>
      <w:r>
        <w:t xml:space="preserve"> </w:t>
      </w:r>
      <w:r w:rsidRPr="00D24AD9">
        <w:t>Brownstein JS, Mandl KD. Pediatric population size is associated with local timing and rate of influenza and other acute respiratory infections among adults. Ann Emerg Med. 2008; 52: 63-8</w:t>
      </w:r>
    </w:p>
  </w:footnote>
  <w:footnote w:id="15">
    <w:p w14:paraId="211A7CF2" w14:textId="77777777" w:rsidR="00486721" w:rsidRPr="00B0346C" w:rsidRDefault="00486721" w:rsidP="00C2729B">
      <w:pPr>
        <w:pStyle w:val="FootnoteText"/>
        <w:rPr>
          <w:lang w:val="en-US"/>
        </w:rPr>
      </w:pPr>
      <w:r>
        <w:rPr>
          <w:rStyle w:val="FootnoteReference"/>
        </w:rPr>
        <w:footnoteRef/>
      </w:r>
      <w:r>
        <w:t xml:space="preserve"> </w:t>
      </w:r>
      <w:r w:rsidRPr="00B0346C">
        <w:t>Loeb, M, Russell, ML, Moss L et al. Effect of Influenza Vaccination of Children on Infection Rates in Hutterite Communities. JAMA, 2010; 303(10): 943-950</w:t>
      </w:r>
    </w:p>
  </w:footnote>
  <w:footnote w:id="16">
    <w:p w14:paraId="10380C89" w14:textId="77777777" w:rsidR="00486721" w:rsidRPr="00B0346C" w:rsidRDefault="00486721" w:rsidP="00C2729B">
      <w:pPr>
        <w:pStyle w:val="FootnoteText"/>
        <w:rPr>
          <w:lang w:val="en-US"/>
        </w:rPr>
      </w:pPr>
      <w:r>
        <w:rPr>
          <w:rStyle w:val="FootnoteReference"/>
        </w:rPr>
        <w:footnoteRef/>
      </w:r>
      <w:r>
        <w:t xml:space="preserve"> </w:t>
      </w:r>
      <w:r w:rsidRPr="00B0346C">
        <w:t>WHO. Wkly Epidemiol Rec 2012; 47: 461–76.</w:t>
      </w:r>
    </w:p>
  </w:footnote>
  <w:footnote w:id="17">
    <w:p w14:paraId="51459539" w14:textId="77777777" w:rsidR="00486721" w:rsidRPr="00B0346C" w:rsidRDefault="00486721" w:rsidP="00C2729B">
      <w:pPr>
        <w:pStyle w:val="FootnoteText"/>
        <w:rPr>
          <w:lang w:val="en-US"/>
        </w:rPr>
      </w:pPr>
      <w:r>
        <w:rPr>
          <w:rStyle w:val="FootnoteReference"/>
        </w:rPr>
        <w:footnoteRef/>
      </w:r>
      <w:r>
        <w:t xml:space="preserve"> </w:t>
      </w:r>
      <w:r w:rsidRPr="00B0346C">
        <w:t>ACIP. Morb Mortal Wkly Rep 2013; 62: 1–43.</w:t>
      </w:r>
    </w:p>
  </w:footnote>
  <w:footnote w:id="18">
    <w:p w14:paraId="757A810C" w14:textId="77777777" w:rsidR="00486721" w:rsidRPr="00B0346C" w:rsidRDefault="00486721" w:rsidP="00C2729B">
      <w:pPr>
        <w:pStyle w:val="FootnoteText"/>
        <w:rPr>
          <w:lang w:val="en-US"/>
        </w:rPr>
      </w:pPr>
      <w:r>
        <w:rPr>
          <w:rStyle w:val="FootnoteReference"/>
        </w:rPr>
        <w:footnoteRef/>
      </w:r>
      <w:r>
        <w:t xml:space="preserve"> </w:t>
      </w:r>
      <w:r w:rsidRPr="00B0346C">
        <w:t>Canada NACI 2014. PHAC NACI Advisory Committee Statement on Seasonal Influenza Vaccine 2014-2015.</w:t>
      </w:r>
    </w:p>
  </w:footnote>
  <w:footnote w:id="19">
    <w:p w14:paraId="77B5A54A" w14:textId="77777777" w:rsidR="00486721" w:rsidRPr="00B0346C" w:rsidRDefault="00486721" w:rsidP="00C2729B">
      <w:pPr>
        <w:pStyle w:val="FootnoteText"/>
        <w:rPr>
          <w:lang w:val="en-US"/>
        </w:rPr>
      </w:pPr>
      <w:r>
        <w:rPr>
          <w:rStyle w:val="FootnoteReference"/>
        </w:rPr>
        <w:footnoteRef/>
      </w:r>
      <w:r>
        <w:t xml:space="preserve"> </w:t>
      </w:r>
      <w:r w:rsidRPr="00B0346C">
        <w:t>JCVI 2013. Draft Minutes of June 2013 Meeting. Available at: https://www.gov.uk/government/policy-advisory-groups/joint-committee-on-vaccinationand- immunisation [accessed August 2016]</w:t>
      </w:r>
    </w:p>
  </w:footnote>
  <w:footnote w:id="20">
    <w:p w14:paraId="0E92F282" w14:textId="77777777" w:rsidR="00486721" w:rsidRPr="00B0346C" w:rsidRDefault="00486721" w:rsidP="00486721">
      <w:pPr>
        <w:pStyle w:val="FootnoteText"/>
        <w:rPr>
          <w:lang w:val="en-US"/>
        </w:rPr>
      </w:pPr>
      <w:r>
        <w:rPr>
          <w:rStyle w:val="FootnoteReference"/>
        </w:rPr>
        <w:footnoteRef/>
      </w:r>
      <w:r>
        <w:t xml:space="preserve"> </w:t>
      </w:r>
      <w:r w:rsidRPr="00B0346C">
        <w:t>WHO. Wkly Epidemiol Rec 2012; 47: 461–76.</w:t>
      </w:r>
    </w:p>
  </w:footnote>
  <w:footnote w:id="21">
    <w:p w14:paraId="366E2AFC" w14:textId="77777777" w:rsidR="00486721" w:rsidRPr="00B0346C" w:rsidRDefault="00486721" w:rsidP="00C2729B">
      <w:pPr>
        <w:pStyle w:val="FootnoteText"/>
        <w:rPr>
          <w:lang w:val="en-US"/>
        </w:rPr>
      </w:pPr>
      <w:r>
        <w:rPr>
          <w:rStyle w:val="FootnoteReference"/>
        </w:rPr>
        <w:footnoteRef/>
      </w:r>
      <w:r>
        <w:t xml:space="preserve"> </w:t>
      </w:r>
      <w:proofErr w:type="gramStart"/>
      <w:r w:rsidRPr="00B0346C">
        <w:t>ACIP.</w:t>
      </w:r>
      <w:proofErr w:type="gramEnd"/>
      <w:r w:rsidRPr="00B0346C">
        <w:t xml:space="preserve"> Morb Mortal Wkly Rep 2013; 62: 1–43.</w:t>
      </w:r>
    </w:p>
  </w:footnote>
  <w:footnote w:id="22">
    <w:p w14:paraId="3B73E382" w14:textId="77777777" w:rsidR="00486721" w:rsidRPr="00B0346C" w:rsidRDefault="00486721" w:rsidP="00C2729B">
      <w:pPr>
        <w:pStyle w:val="FootnoteText"/>
        <w:rPr>
          <w:lang w:val="en-US"/>
        </w:rPr>
      </w:pPr>
      <w:r>
        <w:rPr>
          <w:rStyle w:val="FootnoteReference"/>
        </w:rPr>
        <w:footnoteRef/>
      </w:r>
      <w:r>
        <w:t xml:space="preserve"> </w:t>
      </w:r>
      <w:r w:rsidRPr="00B0346C">
        <w:t>Canada NACI 2014. PHAC NACI Advisory Committee Statement on Seasonal Influenza Vaccine 2014-2015.</w:t>
      </w:r>
    </w:p>
  </w:footnote>
  <w:footnote w:id="23">
    <w:p w14:paraId="67EBC386" w14:textId="77777777" w:rsidR="00486721" w:rsidRPr="00B0346C" w:rsidRDefault="00486721" w:rsidP="00486721">
      <w:pPr>
        <w:pStyle w:val="FootnoteText"/>
        <w:rPr>
          <w:lang w:val="en-US"/>
        </w:rPr>
      </w:pPr>
      <w:r>
        <w:rPr>
          <w:rStyle w:val="FootnoteReference"/>
        </w:rPr>
        <w:footnoteRef/>
      </w:r>
      <w:r>
        <w:t xml:space="preserve"> </w:t>
      </w:r>
      <w:r w:rsidRPr="00B0346C">
        <w:t>JCVI 2013. Draft Minutes of June 2013 Meeting. Available at: https://www.gov.uk/government/policy-advisory-groups/joint-committee-on-vaccinationand- immunisation [accessed August 2016]</w:t>
      </w:r>
    </w:p>
  </w:footnote>
  <w:footnote w:id="24">
    <w:p w14:paraId="5AB8C897" w14:textId="77777777" w:rsidR="00486721" w:rsidRPr="00E96CE3" w:rsidRDefault="00486721">
      <w:pPr>
        <w:pStyle w:val="FootnoteText"/>
        <w:rPr>
          <w:lang w:val="en-US"/>
        </w:rPr>
      </w:pPr>
      <w:r>
        <w:rPr>
          <w:rStyle w:val="FootnoteReference"/>
        </w:rPr>
        <w:footnoteRef/>
      </w:r>
      <w:r>
        <w:t xml:space="preserve"> </w:t>
      </w:r>
      <w:r w:rsidRPr="00E96CE3">
        <w:t xml:space="preserve">Vesikari T, et al. Efficacy of an MF59®-Adjuvanted Seasonal Influenza Vaccine </w:t>
      </w:r>
      <w:proofErr w:type="gramStart"/>
      <w:r w:rsidRPr="00E96CE3">
        <w:t>Versus</w:t>
      </w:r>
      <w:proofErr w:type="gramEnd"/>
      <w:r w:rsidRPr="00E96CE3">
        <w:t xml:space="preserve"> Non-Adjuvanted Influenza Vaccine and Control Vaccine In 6-&lt;72 Month Old Children.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7C640" w14:textId="77777777" w:rsidR="00486721" w:rsidRDefault="0048672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D6C0F" w14:textId="77777777" w:rsidR="00486721" w:rsidRDefault="00486721">
    <w:pPr>
      <w:rPr>
        <w:noProof/>
        <w:lang w:eastAsia="en-AU"/>
      </w:rPr>
    </w:pPr>
    <w:r w:rsidRPr="002D545C">
      <w:rPr>
        <w:noProof/>
        <w:lang w:eastAsia="en-AU"/>
      </w:rPr>
      <w:drawing>
        <wp:anchor distT="0" distB="0" distL="114300" distR="114300" simplePos="0" relativeHeight="251659264" behindDoc="1" locked="0" layoutInCell="1" allowOverlap="1" wp14:anchorId="2A078EAC" wp14:editId="7EF91F5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5177343" w14:textId="77777777" w:rsidR="00486721" w:rsidRDefault="00486721" w:rsidP="00593AD1">
    <w:pPr>
      <w:pStyle w:val="HeaderNoLine"/>
    </w:pPr>
    <w:r>
      <w:rPr>
        <w:noProof/>
        <w:lang w:eastAsia="en-AU"/>
      </w:rPr>
      <w:drawing>
        <wp:inline distT="0" distB="0" distL="0" distR="0" wp14:anchorId="36336787" wp14:editId="6D177EAE">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C7A1D" w14:textId="77777777" w:rsidR="00486721" w:rsidRDefault="004867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E89E9" w14:textId="77777777" w:rsidR="00486721" w:rsidRDefault="0048672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AFD2A" w14:textId="77777777" w:rsidR="00486721" w:rsidRDefault="0048672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7A15F" w14:textId="77777777" w:rsidR="00486721" w:rsidRDefault="0048672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8807E" w14:textId="77777777" w:rsidR="00486721" w:rsidRDefault="0048672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9FD60" w14:textId="77777777" w:rsidR="00486721" w:rsidRDefault="00486721" w:rsidP="006E08B3">
    <w:r>
      <w:t>Therapeutic Goods Administration</w:t>
    </w:r>
  </w:p>
  <w:p w14:paraId="05B9FEC1" w14:textId="77777777" w:rsidR="00486721" w:rsidRDefault="0048672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0B7959E6"/>
    <w:multiLevelType w:val="hybridMultilevel"/>
    <w:tmpl w:val="25F46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B126837"/>
    <w:multiLevelType w:val="hybridMultilevel"/>
    <w:tmpl w:val="292243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
    <w:nsid w:val="6C750799"/>
    <w:multiLevelType w:val="hybridMultilevel"/>
    <w:tmpl w:val="4956E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9"/>
  </w:num>
  <w:num w:numId="6">
    <w:abstractNumId w:val="9"/>
  </w:num>
  <w:num w:numId="7">
    <w:abstractNumId w:val="5"/>
  </w:num>
  <w:num w:numId="8">
    <w:abstractNumId w:val="10"/>
  </w:num>
  <w:num w:numId="9">
    <w:abstractNumId w:val="4"/>
  </w:num>
  <w:num w:numId="10">
    <w:abstractNumId w:val="0"/>
  </w:num>
  <w:num w:numId="11">
    <w:abstractNumId w:val="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
  </w:num>
  <w:num w:numId="15">
    <w:abstractNumId w:val="8"/>
  </w:num>
  <w:num w:numId="1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bina Perri">
    <w15:presenceInfo w15:providerId="None" w15:userId="Albina Per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851"/>
    <w:rsid w:val="000002CB"/>
    <w:rsid w:val="00002031"/>
    <w:rsid w:val="00004734"/>
    <w:rsid w:val="00006B22"/>
    <w:rsid w:val="0001276A"/>
    <w:rsid w:val="0001728B"/>
    <w:rsid w:val="000246AE"/>
    <w:rsid w:val="00025502"/>
    <w:rsid w:val="00025C67"/>
    <w:rsid w:val="00031B43"/>
    <w:rsid w:val="00040ACB"/>
    <w:rsid w:val="00053F5B"/>
    <w:rsid w:val="0005559E"/>
    <w:rsid w:val="00077775"/>
    <w:rsid w:val="00090471"/>
    <w:rsid w:val="00097B5E"/>
    <w:rsid w:val="000A3AED"/>
    <w:rsid w:val="000A63AF"/>
    <w:rsid w:val="000B015D"/>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08EC"/>
    <w:rsid w:val="0017693F"/>
    <w:rsid w:val="0018110E"/>
    <w:rsid w:val="00181684"/>
    <w:rsid w:val="00182144"/>
    <w:rsid w:val="001843C6"/>
    <w:rsid w:val="001850E0"/>
    <w:rsid w:val="001A2158"/>
    <w:rsid w:val="001A525F"/>
    <w:rsid w:val="001B09F9"/>
    <w:rsid w:val="001B5D98"/>
    <w:rsid w:val="001B6448"/>
    <w:rsid w:val="001C3881"/>
    <w:rsid w:val="001C657B"/>
    <w:rsid w:val="001D7147"/>
    <w:rsid w:val="001E07CF"/>
    <w:rsid w:val="001E59F1"/>
    <w:rsid w:val="001F497A"/>
    <w:rsid w:val="001F49EB"/>
    <w:rsid w:val="001F6CBA"/>
    <w:rsid w:val="00201D4E"/>
    <w:rsid w:val="002076C9"/>
    <w:rsid w:val="00220B8A"/>
    <w:rsid w:val="002257F3"/>
    <w:rsid w:val="00230284"/>
    <w:rsid w:val="00233456"/>
    <w:rsid w:val="002339A5"/>
    <w:rsid w:val="00236BA2"/>
    <w:rsid w:val="00257848"/>
    <w:rsid w:val="002666AC"/>
    <w:rsid w:val="0027084A"/>
    <w:rsid w:val="00286434"/>
    <w:rsid w:val="00286C59"/>
    <w:rsid w:val="00292113"/>
    <w:rsid w:val="002942D1"/>
    <w:rsid w:val="0029501A"/>
    <w:rsid w:val="002A05EC"/>
    <w:rsid w:val="002A4D92"/>
    <w:rsid w:val="002B1638"/>
    <w:rsid w:val="002C63ED"/>
    <w:rsid w:val="002D545C"/>
    <w:rsid w:val="002D6161"/>
    <w:rsid w:val="002E4C9A"/>
    <w:rsid w:val="002F11F8"/>
    <w:rsid w:val="002F3F56"/>
    <w:rsid w:val="002F44B5"/>
    <w:rsid w:val="00311AC0"/>
    <w:rsid w:val="0032583B"/>
    <w:rsid w:val="00327883"/>
    <w:rsid w:val="00335504"/>
    <w:rsid w:val="00351774"/>
    <w:rsid w:val="003521E8"/>
    <w:rsid w:val="00356911"/>
    <w:rsid w:val="003728F3"/>
    <w:rsid w:val="0037496E"/>
    <w:rsid w:val="0037623D"/>
    <w:rsid w:val="003836A3"/>
    <w:rsid w:val="00385315"/>
    <w:rsid w:val="00386150"/>
    <w:rsid w:val="003874CE"/>
    <w:rsid w:val="00390900"/>
    <w:rsid w:val="00396C92"/>
    <w:rsid w:val="003A7F6C"/>
    <w:rsid w:val="003B1113"/>
    <w:rsid w:val="003B3632"/>
    <w:rsid w:val="003B4D60"/>
    <w:rsid w:val="003B634F"/>
    <w:rsid w:val="003B7E39"/>
    <w:rsid w:val="003C58DC"/>
    <w:rsid w:val="003C65EE"/>
    <w:rsid w:val="003D0A3B"/>
    <w:rsid w:val="003D1E62"/>
    <w:rsid w:val="003D6F53"/>
    <w:rsid w:val="003E2486"/>
    <w:rsid w:val="003E3208"/>
    <w:rsid w:val="003F0B04"/>
    <w:rsid w:val="0040134E"/>
    <w:rsid w:val="00415D59"/>
    <w:rsid w:val="0043797D"/>
    <w:rsid w:val="00440A2D"/>
    <w:rsid w:val="004564A7"/>
    <w:rsid w:val="004617BF"/>
    <w:rsid w:val="00463658"/>
    <w:rsid w:val="00463A29"/>
    <w:rsid w:val="004722CC"/>
    <w:rsid w:val="004771AB"/>
    <w:rsid w:val="00486721"/>
    <w:rsid w:val="004936E4"/>
    <w:rsid w:val="00494E60"/>
    <w:rsid w:val="00497487"/>
    <w:rsid w:val="004A7E13"/>
    <w:rsid w:val="004B7B76"/>
    <w:rsid w:val="004C2DCA"/>
    <w:rsid w:val="004E1E79"/>
    <w:rsid w:val="004E2677"/>
    <w:rsid w:val="004F0F38"/>
    <w:rsid w:val="004F4AF5"/>
    <w:rsid w:val="00501921"/>
    <w:rsid w:val="00530354"/>
    <w:rsid w:val="0053625B"/>
    <w:rsid w:val="005434C6"/>
    <w:rsid w:val="00543B39"/>
    <w:rsid w:val="00550096"/>
    <w:rsid w:val="0055010C"/>
    <w:rsid w:val="00557FF9"/>
    <w:rsid w:val="00567C38"/>
    <w:rsid w:val="00573C48"/>
    <w:rsid w:val="00575E67"/>
    <w:rsid w:val="00576378"/>
    <w:rsid w:val="005775C3"/>
    <w:rsid w:val="00577945"/>
    <w:rsid w:val="00577E38"/>
    <w:rsid w:val="00585322"/>
    <w:rsid w:val="005857C6"/>
    <w:rsid w:val="00586F98"/>
    <w:rsid w:val="005879FC"/>
    <w:rsid w:val="00592F6E"/>
    <w:rsid w:val="00593AD1"/>
    <w:rsid w:val="005A68B6"/>
    <w:rsid w:val="005C526A"/>
    <w:rsid w:val="005C5570"/>
    <w:rsid w:val="005C79A4"/>
    <w:rsid w:val="005D2053"/>
    <w:rsid w:val="005D5442"/>
    <w:rsid w:val="005E57AC"/>
    <w:rsid w:val="00603F32"/>
    <w:rsid w:val="006170F0"/>
    <w:rsid w:val="00620406"/>
    <w:rsid w:val="00627B66"/>
    <w:rsid w:val="00632398"/>
    <w:rsid w:val="00640FC3"/>
    <w:rsid w:val="00642020"/>
    <w:rsid w:val="00646206"/>
    <w:rsid w:val="00650FFB"/>
    <w:rsid w:val="0065337B"/>
    <w:rsid w:val="0065419D"/>
    <w:rsid w:val="006604D8"/>
    <w:rsid w:val="00664A5B"/>
    <w:rsid w:val="006763D2"/>
    <w:rsid w:val="00680C08"/>
    <w:rsid w:val="006931B1"/>
    <w:rsid w:val="006A15C0"/>
    <w:rsid w:val="006B4C50"/>
    <w:rsid w:val="006C130C"/>
    <w:rsid w:val="006C3E2A"/>
    <w:rsid w:val="006C642F"/>
    <w:rsid w:val="006C7BB4"/>
    <w:rsid w:val="006D03E5"/>
    <w:rsid w:val="006D5D3E"/>
    <w:rsid w:val="006E08B3"/>
    <w:rsid w:val="006E431E"/>
    <w:rsid w:val="006F17AC"/>
    <w:rsid w:val="006F1D37"/>
    <w:rsid w:val="006F26D0"/>
    <w:rsid w:val="006F2796"/>
    <w:rsid w:val="006F572E"/>
    <w:rsid w:val="007046D6"/>
    <w:rsid w:val="00705DB0"/>
    <w:rsid w:val="00717361"/>
    <w:rsid w:val="0072094D"/>
    <w:rsid w:val="00722B57"/>
    <w:rsid w:val="0074253D"/>
    <w:rsid w:val="0074429B"/>
    <w:rsid w:val="00750693"/>
    <w:rsid w:val="007513B4"/>
    <w:rsid w:val="007615BC"/>
    <w:rsid w:val="00762F05"/>
    <w:rsid w:val="007652FF"/>
    <w:rsid w:val="00770EF1"/>
    <w:rsid w:val="00773EF7"/>
    <w:rsid w:val="00774E1D"/>
    <w:rsid w:val="0077675A"/>
    <w:rsid w:val="00780355"/>
    <w:rsid w:val="007846C7"/>
    <w:rsid w:val="00785721"/>
    <w:rsid w:val="00793A59"/>
    <w:rsid w:val="007974B6"/>
    <w:rsid w:val="007B6E9F"/>
    <w:rsid w:val="007C1216"/>
    <w:rsid w:val="007C1AF7"/>
    <w:rsid w:val="007C384B"/>
    <w:rsid w:val="007E3752"/>
    <w:rsid w:val="007E6E27"/>
    <w:rsid w:val="007F3E00"/>
    <w:rsid w:val="00805D27"/>
    <w:rsid w:val="0081554F"/>
    <w:rsid w:val="00821776"/>
    <w:rsid w:val="008321F5"/>
    <w:rsid w:val="00832369"/>
    <w:rsid w:val="00834660"/>
    <w:rsid w:val="00836BC2"/>
    <w:rsid w:val="008414A0"/>
    <w:rsid w:val="0085641B"/>
    <w:rsid w:val="00857136"/>
    <w:rsid w:val="00884727"/>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198B"/>
    <w:rsid w:val="00902A21"/>
    <w:rsid w:val="00906445"/>
    <w:rsid w:val="00912F00"/>
    <w:rsid w:val="00920330"/>
    <w:rsid w:val="009219D7"/>
    <w:rsid w:val="00922D53"/>
    <w:rsid w:val="00923B70"/>
    <w:rsid w:val="00924482"/>
    <w:rsid w:val="00930237"/>
    <w:rsid w:val="00943514"/>
    <w:rsid w:val="009438E8"/>
    <w:rsid w:val="00943D71"/>
    <w:rsid w:val="0094614A"/>
    <w:rsid w:val="00946337"/>
    <w:rsid w:val="00946EA5"/>
    <w:rsid w:val="0095160F"/>
    <w:rsid w:val="00963C08"/>
    <w:rsid w:val="00970A63"/>
    <w:rsid w:val="00981D66"/>
    <w:rsid w:val="0098585A"/>
    <w:rsid w:val="0098669D"/>
    <w:rsid w:val="009868EA"/>
    <w:rsid w:val="00994C95"/>
    <w:rsid w:val="009A4CED"/>
    <w:rsid w:val="009A690D"/>
    <w:rsid w:val="009A76DE"/>
    <w:rsid w:val="009B1D12"/>
    <w:rsid w:val="009B416B"/>
    <w:rsid w:val="009C4BD5"/>
    <w:rsid w:val="009D7B77"/>
    <w:rsid w:val="009E0BB0"/>
    <w:rsid w:val="009E3FBB"/>
    <w:rsid w:val="00A00A2A"/>
    <w:rsid w:val="00A06C4B"/>
    <w:rsid w:val="00A102E4"/>
    <w:rsid w:val="00A12C42"/>
    <w:rsid w:val="00A14DF7"/>
    <w:rsid w:val="00A22FC5"/>
    <w:rsid w:val="00A235D9"/>
    <w:rsid w:val="00A3246D"/>
    <w:rsid w:val="00A36FA7"/>
    <w:rsid w:val="00A475B7"/>
    <w:rsid w:val="00A47AF7"/>
    <w:rsid w:val="00A47C3E"/>
    <w:rsid w:val="00A50226"/>
    <w:rsid w:val="00A53848"/>
    <w:rsid w:val="00A60BAD"/>
    <w:rsid w:val="00A65F40"/>
    <w:rsid w:val="00A91490"/>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03512"/>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3FE"/>
    <w:rsid w:val="00B92E08"/>
    <w:rsid w:val="00B96EBE"/>
    <w:rsid w:val="00BC094E"/>
    <w:rsid w:val="00BC622A"/>
    <w:rsid w:val="00BC74DF"/>
    <w:rsid w:val="00BD45E3"/>
    <w:rsid w:val="00BE0A78"/>
    <w:rsid w:val="00BE32A6"/>
    <w:rsid w:val="00BE6252"/>
    <w:rsid w:val="00BE79F0"/>
    <w:rsid w:val="00BF046D"/>
    <w:rsid w:val="00BF1190"/>
    <w:rsid w:val="00BF5D04"/>
    <w:rsid w:val="00C1164D"/>
    <w:rsid w:val="00C137CE"/>
    <w:rsid w:val="00C16861"/>
    <w:rsid w:val="00C22678"/>
    <w:rsid w:val="00C26A8B"/>
    <w:rsid w:val="00C2729B"/>
    <w:rsid w:val="00C404A6"/>
    <w:rsid w:val="00C40A36"/>
    <w:rsid w:val="00C44419"/>
    <w:rsid w:val="00C45E7B"/>
    <w:rsid w:val="00C4625F"/>
    <w:rsid w:val="00C471B1"/>
    <w:rsid w:val="00C52C93"/>
    <w:rsid w:val="00C546DF"/>
    <w:rsid w:val="00C618F7"/>
    <w:rsid w:val="00C6316B"/>
    <w:rsid w:val="00C634A9"/>
    <w:rsid w:val="00C63700"/>
    <w:rsid w:val="00C64102"/>
    <w:rsid w:val="00C64586"/>
    <w:rsid w:val="00C70D53"/>
    <w:rsid w:val="00C73D0B"/>
    <w:rsid w:val="00C772FF"/>
    <w:rsid w:val="00C801AF"/>
    <w:rsid w:val="00C80256"/>
    <w:rsid w:val="00C811C0"/>
    <w:rsid w:val="00CB6BC0"/>
    <w:rsid w:val="00CC1B7C"/>
    <w:rsid w:val="00CC727F"/>
    <w:rsid w:val="00CE366D"/>
    <w:rsid w:val="00CF15C3"/>
    <w:rsid w:val="00CF2B6F"/>
    <w:rsid w:val="00CF58B6"/>
    <w:rsid w:val="00D017ED"/>
    <w:rsid w:val="00D020B2"/>
    <w:rsid w:val="00D040D3"/>
    <w:rsid w:val="00D04C65"/>
    <w:rsid w:val="00D224FE"/>
    <w:rsid w:val="00D50E4A"/>
    <w:rsid w:val="00D53A31"/>
    <w:rsid w:val="00D6493E"/>
    <w:rsid w:val="00D719EF"/>
    <w:rsid w:val="00D7301E"/>
    <w:rsid w:val="00D83AE1"/>
    <w:rsid w:val="00D855D4"/>
    <w:rsid w:val="00D87961"/>
    <w:rsid w:val="00D91711"/>
    <w:rsid w:val="00D91B93"/>
    <w:rsid w:val="00D93466"/>
    <w:rsid w:val="00DA1124"/>
    <w:rsid w:val="00DA7D36"/>
    <w:rsid w:val="00DB75B7"/>
    <w:rsid w:val="00DC156B"/>
    <w:rsid w:val="00DC6E02"/>
    <w:rsid w:val="00DE02AE"/>
    <w:rsid w:val="00DF1D7F"/>
    <w:rsid w:val="00DF4BE4"/>
    <w:rsid w:val="00E02FB4"/>
    <w:rsid w:val="00E07F15"/>
    <w:rsid w:val="00E20571"/>
    <w:rsid w:val="00E235F7"/>
    <w:rsid w:val="00E23659"/>
    <w:rsid w:val="00E239D4"/>
    <w:rsid w:val="00E26130"/>
    <w:rsid w:val="00E2741C"/>
    <w:rsid w:val="00E278CC"/>
    <w:rsid w:val="00E32882"/>
    <w:rsid w:val="00E40B22"/>
    <w:rsid w:val="00E45619"/>
    <w:rsid w:val="00E4588F"/>
    <w:rsid w:val="00E46DA3"/>
    <w:rsid w:val="00E51BB1"/>
    <w:rsid w:val="00E558EC"/>
    <w:rsid w:val="00E624A5"/>
    <w:rsid w:val="00E7344E"/>
    <w:rsid w:val="00E77B22"/>
    <w:rsid w:val="00E835BC"/>
    <w:rsid w:val="00E879F8"/>
    <w:rsid w:val="00E936E3"/>
    <w:rsid w:val="00E94B96"/>
    <w:rsid w:val="00E96CE3"/>
    <w:rsid w:val="00E979F4"/>
    <w:rsid w:val="00EB0798"/>
    <w:rsid w:val="00EB40AD"/>
    <w:rsid w:val="00EB586E"/>
    <w:rsid w:val="00EB5FC8"/>
    <w:rsid w:val="00EC06FF"/>
    <w:rsid w:val="00ED3CAD"/>
    <w:rsid w:val="00ED5A41"/>
    <w:rsid w:val="00ED5BF0"/>
    <w:rsid w:val="00EE1DE8"/>
    <w:rsid w:val="00EE2DE3"/>
    <w:rsid w:val="00EE7481"/>
    <w:rsid w:val="00F033EC"/>
    <w:rsid w:val="00F04F68"/>
    <w:rsid w:val="00F12670"/>
    <w:rsid w:val="00F14B27"/>
    <w:rsid w:val="00F15FA8"/>
    <w:rsid w:val="00F30851"/>
    <w:rsid w:val="00F3148D"/>
    <w:rsid w:val="00F325C5"/>
    <w:rsid w:val="00F32FE0"/>
    <w:rsid w:val="00F35298"/>
    <w:rsid w:val="00F37CB0"/>
    <w:rsid w:val="00F47333"/>
    <w:rsid w:val="00F47E37"/>
    <w:rsid w:val="00F53C07"/>
    <w:rsid w:val="00F54B65"/>
    <w:rsid w:val="00F640B6"/>
    <w:rsid w:val="00F80E40"/>
    <w:rsid w:val="00F84712"/>
    <w:rsid w:val="00F848D9"/>
    <w:rsid w:val="00F93BD0"/>
    <w:rsid w:val="00FA5B82"/>
    <w:rsid w:val="00FA639E"/>
    <w:rsid w:val="00FC25E4"/>
    <w:rsid w:val="00FC4EF7"/>
    <w:rsid w:val="00FE1DEE"/>
    <w:rsid w:val="00FF021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A48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F30851"/>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F30851"/>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86721"/>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F30851"/>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F30851"/>
    <w:rPr>
      <w:rFonts w:ascii="Arial" w:eastAsia="Times New Roman" w:hAnsi="Arial" w:cs="Arial"/>
      <w:kern w:val="16"/>
      <w:u w:val="single"/>
      <w:lang w:eastAsia="en-AU"/>
    </w:rPr>
  </w:style>
  <w:style w:type="paragraph" w:customStyle="1" w:styleId="Bullet2">
    <w:name w:val="Bullet 2"/>
    <w:basedOn w:val="Normal"/>
    <w:rsid w:val="00F30851"/>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F3085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F30851"/>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F3085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F3085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F3085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F3085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F3085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F3085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F30851"/>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F30851"/>
    <w:rPr>
      <w:i/>
      <w:color w:val="007099"/>
    </w:rPr>
  </w:style>
  <w:style w:type="paragraph" w:styleId="TableofFigures">
    <w:name w:val="table of figures"/>
    <w:basedOn w:val="Normal"/>
    <w:next w:val="Normal"/>
    <w:uiPriority w:val="99"/>
    <w:unhideWhenUsed/>
    <w:rsid w:val="00F30851"/>
    <w:pPr>
      <w:spacing w:after="0"/>
    </w:pPr>
  </w:style>
  <w:style w:type="paragraph" w:customStyle="1" w:styleId="Default">
    <w:name w:val="Default"/>
    <w:rsid w:val="00F30851"/>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F30851"/>
    <w:pPr>
      <w:numPr>
        <w:numId w:val="9"/>
      </w:numPr>
      <w:spacing w:after="0" w:line="240" w:lineRule="auto"/>
    </w:pPr>
    <w:rPr>
      <w:rFonts w:eastAsia="Times New Roman"/>
      <w:kern w:val="24"/>
      <w:szCs w:val="24"/>
      <w:lang w:eastAsia="en-AU"/>
    </w:rPr>
  </w:style>
  <w:style w:type="character" w:customStyle="1" w:styleId="searchurl">
    <w:name w:val="searchurl"/>
    <w:basedOn w:val="DefaultParagraphFont"/>
    <w:rsid w:val="00F30851"/>
  </w:style>
  <w:style w:type="paragraph" w:customStyle="1" w:styleId="Heading0inTOC">
    <w:name w:val="Heading 0 (in TOC)"/>
    <w:basedOn w:val="Heading1"/>
    <w:next w:val="Normal"/>
    <w:rsid w:val="00F30851"/>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F30851"/>
    <w:rPr>
      <w:sz w:val="20"/>
    </w:rPr>
  </w:style>
  <w:style w:type="paragraph" w:styleId="EndnoteText">
    <w:name w:val="endnote text"/>
    <w:basedOn w:val="Normal"/>
    <w:link w:val="EndnoteTextChar"/>
    <w:semiHidden/>
    <w:rsid w:val="00F308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F30851"/>
    <w:rPr>
      <w:rFonts w:ascii="Cambria" w:eastAsia="Times New Roman" w:hAnsi="Cambria" w:cs="Times New Roman"/>
      <w:kern w:val="16"/>
      <w:sz w:val="20"/>
      <w:szCs w:val="20"/>
      <w:lang w:eastAsia="en-AU"/>
    </w:rPr>
  </w:style>
  <w:style w:type="character" w:styleId="EndnoteReference">
    <w:name w:val="endnote reference"/>
    <w:semiHidden/>
    <w:rsid w:val="00F30851"/>
    <w:rPr>
      <w:dstrike w:val="0"/>
      <w:vertAlign w:val="baseline"/>
    </w:rPr>
  </w:style>
  <w:style w:type="paragraph" w:styleId="FootnoteText">
    <w:name w:val="footnote text"/>
    <w:basedOn w:val="Normal"/>
    <w:link w:val="FootnoteTextChar"/>
    <w:rsid w:val="00F308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F30851"/>
    <w:rPr>
      <w:rFonts w:ascii="Cambria" w:eastAsia="Times New Roman" w:hAnsi="Cambria" w:cs="Times New Roman"/>
      <w:kern w:val="16"/>
      <w:sz w:val="20"/>
      <w:szCs w:val="20"/>
      <w:lang w:eastAsia="en-AU"/>
    </w:rPr>
  </w:style>
  <w:style w:type="character" w:styleId="FootnoteReference">
    <w:name w:val="footnote reference"/>
    <w:uiPriority w:val="99"/>
    <w:semiHidden/>
    <w:rsid w:val="00F30851"/>
    <w:rPr>
      <w:vertAlign w:val="superscript"/>
    </w:rPr>
  </w:style>
  <w:style w:type="paragraph" w:customStyle="1" w:styleId="Abbreviations">
    <w:name w:val="Abbreviations"/>
    <w:basedOn w:val="Normal"/>
    <w:rsid w:val="00F3085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2">
    <w:name w:val="Comment 2"/>
    <w:basedOn w:val="Normal"/>
    <w:qFormat/>
    <w:rsid w:val="00F3085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Dot">
    <w:name w:val="Comment Dot"/>
    <w:basedOn w:val="Comment2"/>
    <w:qFormat/>
    <w:rsid w:val="00F30851"/>
    <w:pPr>
      <w:numPr>
        <w:numId w:val="10"/>
      </w:numPr>
      <w:tabs>
        <w:tab w:val="clear" w:pos="1134"/>
      </w:tabs>
      <w:spacing w:before="120"/>
      <w:ind w:left="1418" w:hanging="284"/>
    </w:pPr>
  </w:style>
  <w:style w:type="paragraph" w:customStyle="1" w:styleId="Instructions2">
    <w:name w:val="Instructions 2"/>
    <w:basedOn w:val="Normal"/>
    <w:qFormat/>
    <w:rsid w:val="00F30851"/>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F3085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30851"/>
    <w:pPr>
      <w:spacing w:before="0" w:after="0"/>
    </w:pPr>
    <w:rPr>
      <w:b w:val="0"/>
    </w:rPr>
  </w:style>
  <w:style w:type="character" w:styleId="Strong">
    <w:name w:val="Strong"/>
    <w:basedOn w:val="DefaultParagraphFont"/>
    <w:uiPriority w:val="22"/>
    <w:qFormat/>
    <w:rsid w:val="00F30851"/>
    <w:rPr>
      <w:b/>
      <w:bCs/>
    </w:rPr>
  </w:style>
  <w:style w:type="paragraph" w:styleId="NormalWeb">
    <w:name w:val="Normal (Web)"/>
    <w:basedOn w:val="Normal"/>
    <w:uiPriority w:val="99"/>
    <w:unhideWhenUsed/>
    <w:rsid w:val="00F30851"/>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qFormat/>
    <w:rsid w:val="00F308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ighlight">
    <w:name w:val="highlight"/>
    <w:basedOn w:val="DefaultParagraphFont"/>
    <w:rsid w:val="00F30851"/>
  </w:style>
  <w:style w:type="character" w:customStyle="1" w:styleId="ui-ncbitoggler-master-text">
    <w:name w:val="ui-ncbitoggler-master-text"/>
    <w:basedOn w:val="DefaultParagraphFont"/>
    <w:rsid w:val="00F30851"/>
  </w:style>
  <w:style w:type="paragraph" w:customStyle="1" w:styleId="ui-ncbi-toggler-slave">
    <w:name w:val="ui-ncbi-toggler-slave"/>
    <w:basedOn w:val="Normal"/>
    <w:rsid w:val="00F3085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itle1">
    <w:name w:val="title1"/>
    <w:basedOn w:val="Normal"/>
    <w:rsid w:val="00F30851"/>
    <w:pPr>
      <w:spacing w:before="0" w:after="0" w:line="240" w:lineRule="auto"/>
    </w:pPr>
    <w:rPr>
      <w:rFonts w:ascii="Times New Roman" w:eastAsia="Times New Roman" w:hAnsi="Times New Roman"/>
      <w:sz w:val="27"/>
      <w:szCs w:val="27"/>
      <w:lang w:eastAsia="en-AU"/>
    </w:rPr>
  </w:style>
  <w:style w:type="paragraph" w:customStyle="1" w:styleId="desc2">
    <w:name w:val="desc2"/>
    <w:basedOn w:val="Normal"/>
    <w:rsid w:val="00F30851"/>
    <w:pPr>
      <w:spacing w:before="0" w:after="0" w:line="240" w:lineRule="auto"/>
    </w:pPr>
    <w:rPr>
      <w:rFonts w:ascii="Times New Roman" w:eastAsia="Times New Roman" w:hAnsi="Times New Roman"/>
      <w:sz w:val="26"/>
      <w:szCs w:val="26"/>
      <w:lang w:eastAsia="en-AU"/>
    </w:rPr>
  </w:style>
  <w:style w:type="paragraph" w:customStyle="1" w:styleId="details1">
    <w:name w:val="details1"/>
    <w:basedOn w:val="Normal"/>
    <w:rsid w:val="00F30851"/>
    <w:pPr>
      <w:spacing w:before="0" w:after="0" w:line="240" w:lineRule="auto"/>
    </w:pPr>
    <w:rPr>
      <w:rFonts w:ascii="Times New Roman" w:eastAsia="Times New Roman" w:hAnsi="Times New Roman"/>
      <w:lang w:eastAsia="en-AU"/>
    </w:rPr>
  </w:style>
  <w:style w:type="character" w:customStyle="1" w:styleId="jrnl">
    <w:name w:val="jrnl"/>
    <w:basedOn w:val="DefaultParagraphFont"/>
    <w:rsid w:val="00F30851"/>
  </w:style>
  <w:style w:type="character" w:customStyle="1" w:styleId="highlight2">
    <w:name w:val="highlight2"/>
    <w:basedOn w:val="DefaultParagraphFont"/>
    <w:rsid w:val="00F308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F30851"/>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F30851"/>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86721"/>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F30851"/>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F30851"/>
    <w:rPr>
      <w:rFonts w:ascii="Arial" w:eastAsia="Times New Roman" w:hAnsi="Arial" w:cs="Arial"/>
      <w:kern w:val="16"/>
      <w:u w:val="single"/>
      <w:lang w:eastAsia="en-AU"/>
    </w:rPr>
  </w:style>
  <w:style w:type="paragraph" w:customStyle="1" w:styleId="Bullet2">
    <w:name w:val="Bullet 2"/>
    <w:basedOn w:val="Normal"/>
    <w:rsid w:val="00F30851"/>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F3085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F30851"/>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F3085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F3085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F3085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F3085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F3085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F3085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F30851"/>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F30851"/>
    <w:rPr>
      <w:i/>
      <w:color w:val="007099"/>
    </w:rPr>
  </w:style>
  <w:style w:type="paragraph" w:styleId="TableofFigures">
    <w:name w:val="table of figures"/>
    <w:basedOn w:val="Normal"/>
    <w:next w:val="Normal"/>
    <w:uiPriority w:val="99"/>
    <w:unhideWhenUsed/>
    <w:rsid w:val="00F30851"/>
    <w:pPr>
      <w:spacing w:after="0"/>
    </w:pPr>
  </w:style>
  <w:style w:type="paragraph" w:customStyle="1" w:styleId="Default">
    <w:name w:val="Default"/>
    <w:rsid w:val="00F30851"/>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F30851"/>
    <w:pPr>
      <w:numPr>
        <w:numId w:val="9"/>
      </w:numPr>
      <w:spacing w:after="0" w:line="240" w:lineRule="auto"/>
    </w:pPr>
    <w:rPr>
      <w:rFonts w:eastAsia="Times New Roman"/>
      <w:kern w:val="24"/>
      <w:szCs w:val="24"/>
      <w:lang w:eastAsia="en-AU"/>
    </w:rPr>
  </w:style>
  <w:style w:type="character" w:customStyle="1" w:styleId="searchurl">
    <w:name w:val="searchurl"/>
    <w:basedOn w:val="DefaultParagraphFont"/>
    <w:rsid w:val="00F30851"/>
  </w:style>
  <w:style w:type="paragraph" w:customStyle="1" w:styleId="Heading0inTOC">
    <w:name w:val="Heading 0 (in TOC)"/>
    <w:basedOn w:val="Heading1"/>
    <w:next w:val="Normal"/>
    <w:rsid w:val="00F30851"/>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F30851"/>
    <w:rPr>
      <w:sz w:val="20"/>
    </w:rPr>
  </w:style>
  <w:style w:type="paragraph" w:styleId="EndnoteText">
    <w:name w:val="endnote text"/>
    <w:basedOn w:val="Normal"/>
    <w:link w:val="EndnoteTextChar"/>
    <w:semiHidden/>
    <w:rsid w:val="00F308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F30851"/>
    <w:rPr>
      <w:rFonts w:ascii="Cambria" w:eastAsia="Times New Roman" w:hAnsi="Cambria" w:cs="Times New Roman"/>
      <w:kern w:val="16"/>
      <w:sz w:val="20"/>
      <w:szCs w:val="20"/>
      <w:lang w:eastAsia="en-AU"/>
    </w:rPr>
  </w:style>
  <w:style w:type="character" w:styleId="EndnoteReference">
    <w:name w:val="endnote reference"/>
    <w:semiHidden/>
    <w:rsid w:val="00F30851"/>
    <w:rPr>
      <w:dstrike w:val="0"/>
      <w:vertAlign w:val="baseline"/>
    </w:rPr>
  </w:style>
  <w:style w:type="paragraph" w:styleId="FootnoteText">
    <w:name w:val="footnote text"/>
    <w:basedOn w:val="Normal"/>
    <w:link w:val="FootnoteTextChar"/>
    <w:rsid w:val="00F308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F30851"/>
    <w:rPr>
      <w:rFonts w:ascii="Cambria" w:eastAsia="Times New Roman" w:hAnsi="Cambria" w:cs="Times New Roman"/>
      <w:kern w:val="16"/>
      <w:sz w:val="20"/>
      <w:szCs w:val="20"/>
      <w:lang w:eastAsia="en-AU"/>
    </w:rPr>
  </w:style>
  <w:style w:type="character" w:styleId="FootnoteReference">
    <w:name w:val="footnote reference"/>
    <w:uiPriority w:val="99"/>
    <w:semiHidden/>
    <w:rsid w:val="00F30851"/>
    <w:rPr>
      <w:vertAlign w:val="superscript"/>
    </w:rPr>
  </w:style>
  <w:style w:type="paragraph" w:customStyle="1" w:styleId="Abbreviations">
    <w:name w:val="Abbreviations"/>
    <w:basedOn w:val="Normal"/>
    <w:rsid w:val="00F3085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2">
    <w:name w:val="Comment 2"/>
    <w:basedOn w:val="Normal"/>
    <w:qFormat/>
    <w:rsid w:val="00F3085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Dot">
    <w:name w:val="Comment Dot"/>
    <w:basedOn w:val="Comment2"/>
    <w:qFormat/>
    <w:rsid w:val="00F30851"/>
    <w:pPr>
      <w:numPr>
        <w:numId w:val="10"/>
      </w:numPr>
      <w:tabs>
        <w:tab w:val="clear" w:pos="1134"/>
      </w:tabs>
      <w:spacing w:before="120"/>
      <w:ind w:left="1418" w:hanging="284"/>
    </w:pPr>
  </w:style>
  <w:style w:type="paragraph" w:customStyle="1" w:styleId="Instructions2">
    <w:name w:val="Instructions 2"/>
    <w:basedOn w:val="Normal"/>
    <w:qFormat/>
    <w:rsid w:val="00F30851"/>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F3085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30851"/>
    <w:pPr>
      <w:spacing w:before="0" w:after="0"/>
    </w:pPr>
    <w:rPr>
      <w:b w:val="0"/>
    </w:rPr>
  </w:style>
  <w:style w:type="character" w:styleId="Strong">
    <w:name w:val="Strong"/>
    <w:basedOn w:val="DefaultParagraphFont"/>
    <w:uiPriority w:val="22"/>
    <w:qFormat/>
    <w:rsid w:val="00F30851"/>
    <w:rPr>
      <w:b/>
      <w:bCs/>
    </w:rPr>
  </w:style>
  <w:style w:type="paragraph" w:styleId="NormalWeb">
    <w:name w:val="Normal (Web)"/>
    <w:basedOn w:val="Normal"/>
    <w:uiPriority w:val="99"/>
    <w:unhideWhenUsed/>
    <w:rsid w:val="00F30851"/>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qFormat/>
    <w:rsid w:val="00F308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ighlight">
    <w:name w:val="highlight"/>
    <w:basedOn w:val="DefaultParagraphFont"/>
    <w:rsid w:val="00F30851"/>
  </w:style>
  <w:style w:type="character" w:customStyle="1" w:styleId="ui-ncbitoggler-master-text">
    <w:name w:val="ui-ncbitoggler-master-text"/>
    <w:basedOn w:val="DefaultParagraphFont"/>
    <w:rsid w:val="00F30851"/>
  </w:style>
  <w:style w:type="paragraph" w:customStyle="1" w:styleId="ui-ncbi-toggler-slave">
    <w:name w:val="ui-ncbi-toggler-slave"/>
    <w:basedOn w:val="Normal"/>
    <w:rsid w:val="00F3085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itle1">
    <w:name w:val="title1"/>
    <w:basedOn w:val="Normal"/>
    <w:rsid w:val="00F30851"/>
    <w:pPr>
      <w:spacing w:before="0" w:after="0" w:line="240" w:lineRule="auto"/>
    </w:pPr>
    <w:rPr>
      <w:rFonts w:ascii="Times New Roman" w:eastAsia="Times New Roman" w:hAnsi="Times New Roman"/>
      <w:sz w:val="27"/>
      <w:szCs w:val="27"/>
      <w:lang w:eastAsia="en-AU"/>
    </w:rPr>
  </w:style>
  <w:style w:type="paragraph" w:customStyle="1" w:styleId="desc2">
    <w:name w:val="desc2"/>
    <w:basedOn w:val="Normal"/>
    <w:rsid w:val="00F30851"/>
    <w:pPr>
      <w:spacing w:before="0" w:after="0" w:line="240" w:lineRule="auto"/>
    </w:pPr>
    <w:rPr>
      <w:rFonts w:ascii="Times New Roman" w:eastAsia="Times New Roman" w:hAnsi="Times New Roman"/>
      <w:sz w:val="26"/>
      <w:szCs w:val="26"/>
      <w:lang w:eastAsia="en-AU"/>
    </w:rPr>
  </w:style>
  <w:style w:type="paragraph" w:customStyle="1" w:styleId="details1">
    <w:name w:val="details1"/>
    <w:basedOn w:val="Normal"/>
    <w:rsid w:val="00F30851"/>
    <w:pPr>
      <w:spacing w:before="0" w:after="0" w:line="240" w:lineRule="auto"/>
    </w:pPr>
    <w:rPr>
      <w:rFonts w:ascii="Times New Roman" w:eastAsia="Times New Roman" w:hAnsi="Times New Roman"/>
      <w:lang w:eastAsia="en-AU"/>
    </w:rPr>
  </w:style>
  <w:style w:type="character" w:customStyle="1" w:styleId="jrnl">
    <w:name w:val="jrnl"/>
    <w:basedOn w:val="DefaultParagraphFont"/>
    <w:rsid w:val="00F30851"/>
  </w:style>
  <w:style w:type="character" w:customStyle="1" w:styleId="highlight2">
    <w:name w:val="highlight2"/>
    <w:basedOn w:val="DefaultParagraphFont"/>
    <w:rsid w:val="00F30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714622">
      <w:bodyDiv w:val="1"/>
      <w:marLeft w:val="0"/>
      <w:marRight w:val="0"/>
      <w:marTop w:val="0"/>
      <w:marBottom w:val="0"/>
      <w:divBdr>
        <w:top w:val="none" w:sz="0" w:space="0" w:color="auto"/>
        <w:left w:val="none" w:sz="0" w:space="0" w:color="auto"/>
        <w:bottom w:val="none" w:sz="0" w:space="0" w:color="auto"/>
        <w:right w:val="none" w:sz="0" w:space="0" w:color="auto"/>
      </w:divBdr>
    </w:div>
    <w:div w:id="515315382">
      <w:bodyDiv w:val="1"/>
      <w:marLeft w:val="0"/>
      <w:marRight w:val="0"/>
      <w:marTop w:val="0"/>
      <w:marBottom w:val="0"/>
      <w:divBdr>
        <w:top w:val="none" w:sz="0" w:space="0" w:color="auto"/>
        <w:left w:val="none" w:sz="0" w:space="0" w:color="auto"/>
        <w:bottom w:val="none" w:sz="0" w:space="0" w:color="auto"/>
        <w:right w:val="none" w:sz="0" w:space="0" w:color="auto"/>
      </w:divBdr>
    </w:div>
    <w:div w:id="526794992">
      <w:bodyDiv w:val="1"/>
      <w:marLeft w:val="0"/>
      <w:marRight w:val="0"/>
      <w:marTop w:val="0"/>
      <w:marBottom w:val="0"/>
      <w:divBdr>
        <w:top w:val="none" w:sz="0" w:space="0" w:color="auto"/>
        <w:left w:val="none" w:sz="0" w:space="0" w:color="auto"/>
        <w:bottom w:val="none" w:sz="0" w:space="0" w:color="auto"/>
        <w:right w:val="none" w:sz="0" w:space="0" w:color="auto"/>
      </w:divBdr>
    </w:div>
    <w:div w:id="573588008">
      <w:bodyDiv w:val="1"/>
      <w:marLeft w:val="0"/>
      <w:marRight w:val="0"/>
      <w:marTop w:val="0"/>
      <w:marBottom w:val="0"/>
      <w:divBdr>
        <w:top w:val="none" w:sz="0" w:space="0" w:color="auto"/>
        <w:left w:val="none" w:sz="0" w:space="0" w:color="auto"/>
        <w:bottom w:val="none" w:sz="0" w:space="0" w:color="auto"/>
        <w:right w:val="none" w:sz="0" w:space="0" w:color="auto"/>
      </w:divBdr>
    </w:div>
    <w:div w:id="597326581">
      <w:bodyDiv w:val="1"/>
      <w:marLeft w:val="0"/>
      <w:marRight w:val="0"/>
      <w:marTop w:val="0"/>
      <w:marBottom w:val="0"/>
      <w:divBdr>
        <w:top w:val="none" w:sz="0" w:space="0" w:color="auto"/>
        <w:left w:val="none" w:sz="0" w:space="0" w:color="auto"/>
        <w:bottom w:val="none" w:sz="0" w:space="0" w:color="auto"/>
        <w:right w:val="none" w:sz="0" w:space="0" w:color="auto"/>
      </w:divBdr>
    </w:div>
    <w:div w:id="617881065">
      <w:bodyDiv w:val="1"/>
      <w:marLeft w:val="0"/>
      <w:marRight w:val="0"/>
      <w:marTop w:val="0"/>
      <w:marBottom w:val="0"/>
      <w:divBdr>
        <w:top w:val="none" w:sz="0" w:space="0" w:color="auto"/>
        <w:left w:val="none" w:sz="0" w:space="0" w:color="auto"/>
        <w:bottom w:val="none" w:sz="0" w:space="0" w:color="auto"/>
        <w:right w:val="none" w:sz="0" w:space="0" w:color="auto"/>
      </w:divBdr>
    </w:div>
    <w:div w:id="675305940">
      <w:bodyDiv w:val="1"/>
      <w:marLeft w:val="0"/>
      <w:marRight w:val="0"/>
      <w:marTop w:val="0"/>
      <w:marBottom w:val="0"/>
      <w:divBdr>
        <w:top w:val="none" w:sz="0" w:space="0" w:color="auto"/>
        <w:left w:val="none" w:sz="0" w:space="0" w:color="auto"/>
        <w:bottom w:val="none" w:sz="0" w:space="0" w:color="auto"/>
        <w:right w:val="none" w:sz="0" w:space="0" w:color="auto"/>
      </w:divBdr>
    </w:div>
    <w:div w:id="693846613">
      <w:bodyDiv w:val="1"/>
      <w:marLeft w:val="0"/>
      <w:marRight w:val="0"/>
      <w:marTop w:val="0"/>
      <w:marBottom w:val="0"/>
      <w:divBdr>
        <w:top w:val="none" w:sz="0" w:space="0" w:color="auto"/>
        <w:left w:val="none" w:sz="0" w:space="0" w:color="auto"/>
        <w:bottom w:val="none" w:sz="0" w:space="0" w:color="auto"/>
        <w:right w:val="none" w:sz="0" w:space="0" w:color="auto"/>
      </w:divBdr>
    </w:div>
    <w:div w:id="1161853604">
      <w:bodyDiv w:val="1"/>
      <w:marLeft w:val="0"/>
      <w:marRight w:val="0"/>
      <w:marTop w:val="0"/>
      <w:marBottom w:val="0"/>
      <w:divBdr>
        <w:top w:val="none" w:sz="0" w:space="0" w:color="auto"/>
        <w:left w:val="none" w:sz="0" w:space="0" w:color="auto"/>
        <w:bottom w:val="none" w:sz="0" w:space="0" w:color="auto"/>
        <w:right w:val="none" w:sz="0" w:space="0" w:color="auto"/>
      </w:divBdr>
    </w:div>
    <w:div w:id="1193230761">
      <w:bodyDiv w:val="1"/>
      <w:marLeft w:val="0"/>
      <w:marRight w:val="0"/>
      <w:marTop w:val="0"/>
      <w:marBottom w:val="0"/>
      <w:divBdr>
        <w:top w:val="none" w:sz="0" w:space="0" w:color="auto"/>
        <w:left w:val="none" w:sz="0" w:space="0" w:color="auto"/>
        <w:bottom w:val="none" w:sz="0" w:space="0" w:color="auto"/>
        <w:right w:val="none" w:sz="0" w:space="0" w:color="auto"/>
      </w:divBdr>
    </w:div>
    <w:div w:id="1372219699">
      <w:bodyDiv w:val="1"/>
      <w:marLeft w:val="0"/>
      <w:marRight w:val="0"/>
      <w:marTop w:val="0"/>
      <w:marBottom w:val="0"/>
      <w:divBdr>
        <w:top w:val="none" w:sz="0" w:space="0" w:color="auto"/>
        <w:left w:val="none" w:sz="0" w:space="0" w:color="auto"/>
        <w:bottom w:val="none" w:sz="0" w:space="0" w:color="auto"/>
        <w:right w:val="none" w:sz="0" w:space="0" w:color="auto"/>
      </w:divBdr>
    </w:div>
    <w:div w:id="1459452472">
      <w:bodyDiv w:val="1"/>
      <w:marLeft w:val="0"/>
      <w:marRight w:val="0"/>
      <w:marTop w:val="0"/>
      <w:marBottom w:val="0"/>
      <w:divBdr>
        <w:top w:val="none" w:sz="0" w:space="0" w:color="auto"/>
        <w:left w:val="none" w:sz="0" w:space="0" w:color="auto"/>
        <w:bottom w:val="none" w:sz="0" w:space="0" w:color="auto"/>
        <w:right w:val="none" w:sz="0" w:space="0" w:color="auto"/>
      </w:divBdr>
    </w:div>
    <w:div w:id="1473325757">
      <w:bodyDiv w:val="1"/>
      <w:marLeft w:val="0"/>
      <w:marRight w:val="0"/>
      <w:marTop w:val="0"/>
      <w:marBottom w:val="0"/>
      <w:divBdr>
        <w:top w:val="none" w:sz="0" w:space="0" w:color="auto"/>
        <w:left w:val="none" w:sz="0" w:space="0" w:color="auto"/>
        <w:bottom w:val="none" w:sz="0" w:space="0" w:color="auto"/>
        <w:right w:val="none" w:sz="0" w:space="0" w:color="auto"/>
      </w:divBdr>
    </w:div>
    <w:div w:id="1479610565">
      <w:bodyDiv w:val="1"/>
      <w:marLeft w:val="0"/>
      <w:marRight w:val="0"/>
      <w:marTop w:val="0"/>
      <w:marBottom w:val="0"/>
      <w:divBdr>
        <w:top w:val="none" w:sz="0" w:space="0" w:color="auto"/>
        <w:left w:val="none" w:sz="0" w:space="0" w:color="auto"/>
        <w:bottom w:val="none" w:sz="0" w:space="0" w:color="auto"/>
        <w:right w:val="none" w:sz="0" w:space="0" w:color="auto"/>
      </w:divBdr>
    </w:div>
    <w:div w:id="1563173296">
      <w:bodyDiv w:val="1"/>
      <w:marLeft w:val="0"/>
      <w:marRight w:val="0"/>
      <w:marTop w:val="0"/>
      <w:marBottom w:val="0"/>
      <w:divBdr>
        <w:top w:val="none" w:sz="0" w:space="0" w:color="auto"/>
        <w:left w:val="none" w:sz="0" w:space="0" w:color="auto"/>
        <w:bottom w:val="none" w:sz="0" w:space="0" w:color="auto"/>
        <w:right w:val="none" w:sz="0" w:space="0" w:color="auto"/>
      </w:divBdr>
    </w:div>
    <w:div w:id="1568106772">
      <w:bodyDiv w:val="1"/>
      <w:marLeft w:val="0"/>
      <w:marRight w:val="0"/>
      <w:marTop w:val="0"/>
      <w:marBottom w:val="0"/>
      <w:divBdr>
        <w:top w:val="none" w:sz="0" w:space="0" w:color="auto"/>
        <w:left w:val="none" w:sz="0" w:space="0" w:color="auto"/>
        <w:bottom w:val="none" w:sz="0" w:space="0" w:color="auto"/>
        <w:right w:val="none" w:sz="0" w:space="0" w:color="auto"/>
      </w:divBdr>
    </w:div>
    <w:div w:id="1658460996">
      <w:bodyDiv w:val="1"/>
      <w:marLeft w:val="0"/>
      <w:marRight w:val="0"/>
      <w:marTop w:val="0"/>
      <w:marBottom w:val="0"/>
      <w:divBdr>
        <w:top w:val="none" w:sz="0" w:space="0" w:color="auto"/>
        <w:left w:val="none" w:sz="0" w:space="0" w:color="auto"/>
        <w:bottom w:val="none" w:sz="0" w:space="0" w:color="auto"/>
        <w:right w:val="none" w:sz="0" w:space="0" w:color="auto"/>
      </w:divBdr>
    </w:div>
    <w:div w:id="1732345196">
      <w:bodyDiv w:val="1"/>
      <w:marLeft w:val="0"/>
      <w:marRight w:val="0"/>
      <w:marTop w:val="0"/>
      <w:marBottom w:val="0"/>
      <w:divBdr>
        <w:top w:val="none" w:sz="0" w:space="0" w:color="auto"/>
        <w:left w:val="none" w:sz="0" w:space="0" w:color="auto"/>
        <w:bottom w:val="none" w:sz="0" w:space="0" w:color="auto"/>
        <w:right w:val="none" w:sz="0" w:space="0" w:color="auto"/>
      </w:divBdr>
    </w:div>
    <w:div w:id="182866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microsoft.com/office/2007/relationships/hdphoto" Target="media/hdphoto4.wdp"/><Relationship Id="rId39" Type="http://schemas.openxmlformats.org/officeDocument/2006/relationships/image" Target="media/image13.png"/><Relationship Id="rId21" Type="http://schemas.openxmlformats.org/officeDocument/2006/relationships/image" Target="media/image4.png"/><Relationship Id="rId34" Type="http://schemas.microsoft.com/office/2007/relationships/hdphoto" Target="media/hdphoto8.wdp"/><Relationship Id="rId42" Type="http://schemas.openxmlformats.org/officeDocument/2006/relationships/image" Target="media/image15.emf"/><Relationship Id="rId47" Type="http://schemas.openxmlformats.org/officeDocument/2006/relationships/oleObject" Target="embeddings/oleObject3.bin"/><Relationship Id="rId50" Type="http://schemas.openxmlformats.org/officeDocument/2006/relationships/image" Target="media/image19.emf"/><Relationship Id="rId55" Type="http://schemas.openxmlformats.org/officeDocument/2006/relationships/oleObject" Target="embeddings/oleObject7.bin"/><Relationship Id="rId63" Type="http://schemas.openxmlformats.org/officeDocument/2006/relationships/hyperlink" Target="https://www.tga.gov.au" TargetMode="External"/><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png"/><Relationship Id="rId11" Type="http://schemas.openxmlformats.org/officeDocument/2006/relationships/hyperlink" Target="mailto:tga.copyright@tga.gov.au" TargetMode="External"/><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image" Target="media/image12.png"/><Relationship Id="rId40" Type="http://schemas.microsoft.com/office/2007/relationships/hdphoto" Target="media/hdphoto11.wdp"/><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image" Target="media/image23.png"/><Relationship Id="rId66" Type="http://schemas.openxmlformats.org/officeDocument/2006/relationships/footer" Target="footer3.xml"/><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microsoft.com/office/2007/relationships/hdphoto" Target="media/hdphoto5.wdp"/><Relationship Id="rId36" Type="http://schemas.microsoft.com/office/2007/relationships/hdphoto" Target="media/hdphoto9.wdp"/><Relationship Id="rId49" Type="http://schemas.openxmlformats.org/officeDocument/2006/relationships/oleObject" Target="embeddings/oleObject4.bin"/><Relationship Id="rId57" Type="http://schemas.openxmlformats.org/officeDocument/2006/relationships/oleObject" Target="embeddings/oleObject8.bin"/><Relationship Id="rId61" Type="http://schemas.openxmlformats.org/officeDocument/2006/relationships/oleObject" Target="embeddings/oleObject9.bin"/><Relationship Id="rId10" Type="http://schemas.openxmlformats.org/officeDocument/2006/relationships/hyperlink" Target="https://www.tga.gov.au/product-information-pi" TargetMode="Externa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header" Target="header7.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image" Target="media/image7.png"/><Relationship Id="rId30" Type="http://schemas.microsoft.com/office/2007/relationships/hdphoto" Target="media/hdphoto6.wdp"/><Relationship Id="rId35" Type="http://schemas.openxmlformats.org/officeDocument/2006/relationships/image" Target="media/image11.png"/><Relationship Id="rId43" Type="http://schemas.openxmlformats.org/officeDocument/2006/relationships/oleObject" Target="embeddings/oleObject1.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5.bin"/><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0.png"/><Relationship Id="rId38" Type="http://schemas.microsoft.com/office/2007/relationships/hdphoto" Target="media/hdphoto10.wdp"/><Relationship Id="rId46" Type="http://schemas.openxmlformats.org/officeDocument/2006/relationships/image" Target="media/image17.emf"/><Relationship Id="rId59" Type="http://schemas.microsoft.com/office/2007/relationships/hdphoto" Target="media/hdphoto12.wdp"/><Relationship Id="rId67" Type="http://schemas.openxmlformats.org/officeDocument/2006/relationships/header" Target="header8.xml"/><Relationship Id="rId20" Type="http://schemas.microsoft.com/office/2007/relationships/hdphoto" Target="media/hdphoto1.wdp"/><Relationship Id="rId41" Type="http://schemas.openxmlformats.org/officeDocument/2006/relationships/image" Target="media/image14.png"/><Relationship Id="rId54" Type="http://schemas.openxmlformats.org/officeDocument/2006/relationships/image" Target="media/image21.emf"/><Relationship Id="rId62" Type="http://schemas.openxmlformats.org/officeDocument/2006/relationships/hyperlink" Target="mailto:info@tga.gov.a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9720\t0PNHRDW.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2DC14-EE11-44EB-8011-6D434CD81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t0PNHRDW.DOTX</Template>
  <TotalTime>16</TotalTime>
  <Pages>51</Pages>
  <Words>18456</Words>
  <Characters>101509</Characters>
  <Application>Microsoft Office Word</Application>
  <DocSecurity>0</DocSecurity>
  <Lines>2071</Lines>
  <Paragraphs>991</Paragraphs>
  <ScaleCrop>false</ScaleCrop>
  <HeadingPairs>
    <vt:vector size="2" baseType="variant">
      <vt:variant>
        <vt:lpstr>Title</vt:lpstr>
      </vt:variant>
      <vt:variant>
        <vt:i4>1</vt:i4>
      </vt:variant>
    </vt:vector>
  </HeadingPairs>
  <TitlesOfParts>
    <vt:vector size="1" baseType="lpstr">
      <vt:lpstr>Attachment: Extract from Clinical Evaluation: Inactivated split influenza vaccine</vt:lpstr>
    </vt:vector>
  </TitlesOfParts>
  <Company>Department of Health TGA</Company>
  <LinksUpToDate>false</LinksUpToDate>
  <CharactersWithSpaces>118974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Inactivated split influenza vaccine</dc:title>
  <dc:subject>prescription medicines</dc:subject>
  <dc:creator>Therapeutic Goods Administration</dc:creator>
  <cp:keywords>AusPARs</cp:keywords>
  <cp:lastModifiedBy>LACK, Janet</cp:lastModifiedBy>
  <cp:revision>3</cp:revision>
  <cp:lastPrinted>2015-09-22T23:53:00Z</cp:lastPrinted>
  <dcterms:created xsi:type="dcterms:W3CDTF">2018-12-13T04:43:00Z</dcterms:created>
  <dcterms:modified xsi:type="dcterms:W3CDTF">2018-12-13T04:59:00Z</dcterms:modified>
</cp:coreProperties>
</file>