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3861C" w14:textId="71A3B27C" w:rsidR="004032BD" w:rsidRPr="00511840" w:rsidRDefault="00D86276" w:rsidP="00412545">
      <w:pPr>
        <w:pStyle w:val="Heading1"/>
        <w:keepNext w:val="0"/>
        <w:pageBreakBefore w:val="0"/>
        <w:numPr>
          <w:ilvl w:val="0"/>
          <w:numId w:val="0"/>
        </w:numPr>
        <w:spacing w:after="240"/>
        <w:rPr>
          <w:rFonts w:eastAsia="SimSun"/>
          <w:lang w:val="en-AU"/>
        </w:rPr>
      </w:pPr>
      <w:r w:rsidRPr="00511840">
        <w:rPr>
          <w:rFonts w:eastAsia="SimSun"/>
          <w:lang w:val="en-AU"/>
        </w:rPr>
        <w:t xml:space="preserve">Australian product </w:t>
      </w:r>
      <w:r w:rsidR="004032BD" w:rsidRPr="00511840">
        <w:rPr>
          <w:rFonts w:eastAsia="SimSun"/>
          <w:lang w:val="en-AU"/>
        </w:rPr>
        <w:t>I</w:t>
      </w:r>
      <w:r w:rsidRPr="00511840">
        <w:rPr>
          <w:rFonts w:eastAsia="SimSun"/>
          <w:lang w:val="en-AU"/>
        </w:rPr>
        <w:t>nformation</w:t>
      </w:r>
      <w:r w:rsidR="004032BD" w:rsidRPr="00511840">
        <w:rPr>
          <w:rFonts w:eastAsia="SimSun"/>
          <w:lang w:val="en-AU"/>
        </w:rPr>
        <w:t xml:space="preserve"> </w:t>
      </w:r>
      <w:r w:rsidR="004032BD" w:rsidRPr="003E6DFA">
        <w:rPr>
          <w:rFonts w:eastAsia="SimSun"/>
          <w:lang w:val="en-AU"/>
        </w:rPr>
        <w:t>–</w:t>
      </w:r>
      <w:r w:rsidR="00E53688" w:rsidRPr="003E6DFA">
        <w:rPr>
          <w:rFonts w:eastAsia="SimSun"/>
          <w:lang w:val="en-AU"/>
        </w:rPr>
        <w:t xml:space="preserve"> </w:t>
      </w:r>
      <w:r w:rsidR="003369BE" w:rsidRPr="003E6DFA">
        <w:rPr>
          <w:rFonts w:eastAsia="SimSun"/>
          <w:lang w:val="en-AU"/>
        </w:rPr>
        <w:t xml:space="preserve">flublok quadrivalent </w:t>
      </w:r>
      <w:r w:rsidR="00E53688" w:rsidRPr="003E6DFA">
        <w:rPr>
          <w:rFonts w:eastAsia="SimSun"/>
          <w:lang w:val="en-AU"/>
        </w:rPr>
        <w:t>(</w:t>
      </w:r>
      <w:r w:rsidR="00A735D6" w:rsidRPr="003E6DFA">
        <w:rPr>
          <w:rFonts w:eastAsia="SimSun"/>
          <w:lang w:val="en-AU"/>
        </w:rPr>
        <w:t>influenza haemagglutinin</w:t>
      </w:r>
      <w:r w:rsidR="009D2F8E">
        <w:rPr>
          <w:rFonts w:eastAsia="SimSun"/>
          <w:lang w:val="en-AU"/>
        </w:rPr>
        <w:t xml:space="preserve"> </w:t>
      </w:r>
      <w:r w:rsidR="009D2F8E" w:rsidRPr="00354153">
        <w:rPr>
          <w:rFonts w:eastAsia="SimSun"/>
          <w:lang w:val="en-AU"/>
        </w:rPr>
        <w:t>recombinant</w:t>
      </w:r>
      <w:r w:rsidR="00C0394B" w:rsidRPr="003E6DFA">
        <w:rPr>
          <w:rFonts w:eastAsia="SimSun"/>
          <w:lang w:val="en-AU"/>
        </w:rPr>
        <w:t>)</w:t>
      </w:r>
      <w:r w:rsidR="003E6DFA">
        <w:rPr>
          <w:rFonts w:eastAsia="SimSun"/>
          <w:lang w:val="en-AU"/>
        </w:rPr>
        <w:t xml:space="preserve"> solution for injection</w:t>
      </w:r>
    </w:p>
    <w:p w14:paraId="19ACE001" w14:textId="77777777" w:rsidR="00024098" w:rsidRPr="00511840" w:rsidRDefault="00024098" w:rsidP="00412545">
      <w:pPr>
        <w:rPr>
          <w:lang w:val="en-AU"/>
        </w:rPr>
      </w:pPr>
    </w:p>
    <w:p w14:paraId="181A3559" w14:textId="77777777" w:rsidR="001A3992" w:rsidRPr="00511840" w:rsidRDefault="001A3992" w:rsidP="00412545">
      <w:pPr>
        <w:pStyle w:val="Heading1"/>
        <w:keepNext w:val="0"/>
        <w:pageBreakBefore w:val="0"/>
        <w:spacing w:before="0" w:after="120"/>
        <w:rPr>
          <w:lang w:val="en-AU"/>
        </w:rPr>
      </w:pPr>
      <w:r w:rsidRPr="00511840">
        <w:rPr>
          <w:lang w:val="en-AU"/>
        </w:rPr>
        <w:t>Name of the medicine</w:t>
      </w:r>
    </w:p>
    <w:p w14:paraId="2107E03F" w14:textId="7067ECEA" w:rsidR="00E6361B" w:rsidRPr="00354153" w:rsidRDefault="003369BE" w:rsidP="00412545">
      <w:pPr>
        <w:spacing w:before="120" w:after="120"/>
        <w:rPr>
          <w:lang w:val="en-AU"/>
        </w:rPr>
      </w:pPr>
      <w:r w:rsidRPr="00511840">
        <w:rPr>
          <w:lang w:val="en-AU"/>
        </w:rPr>
        <w:t>Quadrivalent Recombinant Influenza Vaccine, Influenza Haemagglutinin</w:t>
      </w:r>
      <w:r w:rsidR="009D2F8E">
        <w:rPr>
          <w:lang w:val="en-AU"/>
        </w:rPr>
        <w:t xml:space="preserve"> </w:t>
      </w:r>
      <w:r w:rsidR="009D2F8E" w:rsidRPr="00354153">
        <w:rPr>
          <w:lang w:val="en-AU"/>
        </w:rPr>
        <w:t>Recombinant</w:t>
      </w:r>
    </w:p>
    <w:p w14:paraId="5B8ECA04" w14:textId="77777777" w:rsidR="002839CF" w:rsidRPr="00511840" w:rsidRDefault="002839CF" w:rsidP="00412545">
      <w:pPr>
        <w:spacing w:before="120"/>
        <w:rPr>
          <w:lang w:val="en-AU"/>
        </w:rPr>
      </w:pPr>
    </w:p>
    <w:p w14:paraId="1BB08E17" w14:textId="77777777" w:rsidR="001A3992" w:rsidRPr="00511840" w:rsidRDefault="001A3992" w:rsidP="00412545">
      <w:pPr>
        <w:pStyle w:val="Heading1"/>
        <w:keepNext w:val="0"/>
        <w:pageBreakBefore w:val="0"/>
        <w:spacing w:before="0" w:after="120"/>
        <w:rPr>
          <w:lang w:val="en-AU"/>
        </w:rPr>
      </w:pPr>
      <w:r w:rsidRPr="00511840">
        <w:rPr>
          <w:lang w:val="en-AU"/>
        </w:rPr>
        <w:t>Qualitative and quantitative composition</w:t>
      </w:r>
    </w:p>
    <w:p w14:paraId="01017E97" w14:textId="38D6A583" w:rsidR="00520A98" w:rsidRPr="00511840" w:rsidRDefault="00520A98" w:rsidP="00A25710">
      <w:pPr>
        <w:spacing w:before="120" w:after="120"/>
        <w:rPr>
          <w:rFonts w:eastAsia="Times New Roman"/>
          <w:noProof/>
          <w:color w:val="auto"/>
          <w:szCs w:val="22"/>
          <w:lang w:val="en-AU"/>
        </w:rPr>
      </w:pPr>
      <w:r w:rsidRPr="00511840">
        <w:rPr>
          <w:noProof/>
          <w:szCs w:val="22"/>
          <w:lang w:val="en-AU"/>
        </w:rPr>
        <w:t>Each 0.5 mL dose of vaccine contains</w:t>
      </w:r>
      <w:r>
        <w:rPr>
          <w:noProof/>
          <w:szCs w:val="22"/>
          <w:lang w:val="en-AU"/>
        </w:rPr>
        <w:t xml:space="preserve"> influenza haemagglutinin</w:t>
      </w:r>
      <w:r w:rsidR="009D2F8E">
        <w:rPr>
          <w:noProof/>
          <w:szCs w:val="22"/>
          <w:lang w:val="en-AU"/>
        </w:rPr>
        <w:t xml:space="preserve"> </w:t>
      </w:r>
      <w:r w:rsidR="009D2F8E" w:rsidRPr="00354153">
        <w:rPr>
          <w:noProof/>
          <w:szCs w:val="22"/>
          <w:lang w:val="en-AU"/>
        </w:rPr>
        <w:t>recombinant</w:t>
      </w:r>
      <w:r>
        <w:rPr>
          <w:noProof/>
          <w:szCs w:val="22"/>
          <w:lang w:val="en-AU"/>
        </w:rPr>
        <w:t>* of the following strains</w:t>
      </w:r>
      <w:r w:rsidRPr="00511840">
        <w:rPr>
          <w:noProof/>
          <w:szCs w:val="22"/>
          <w:lang w:val="en-AU"/>
        </w:rPr>
        <w:t>:</w:t>
      </w:r>
    </w:p>
    <w:p w14:paraId="6D61F240" w14:textId="77777777" w:rsidR="00A47DC6" w:rsidRPr="00A47DC6" w:rsidRDefault="00A47DC6" w:rsidP="00A47DC6">
      <w:pPr>
        <w:numPr>
          <w:ilvl w:val="0"/>
          <w:numId w:val="10"/>
        </w:numPr>
        <w:tabs>
          <w:tab w:val="num" w:pos="360"/>
        </w:tabs>
        <w:spacing w:before="120" w:after="120"/>
        <w:ind w:hanging="720"/>
        <w:rPr>
          <w:color w:val="auto"/>
          <w:szCs w:val="22"/>
          <w:lang w:val="en-AU"/>
        </w:rPr>
      </w:pPr>
      <w:r w:rsidRPr="00A47DC6">
        <w:rPr>
          <w:color w:val="auto"/>
          <w:sz w:val="22"/>
          <w:szCs w:val="22"/>
          <w:lang w:val="pt-BR"/>
        </w:rPr>
        <w:t>A/Victoria/2570/2019</w:t>
      </w:r>
      <w:r w:rsidRPr="00A47DC6">
        <w:rPr>
          <w:color w:val="auto"/>
          <w:sz w:val="22"/>
          <w:szCs w:val="22"/>
          <w:lang w:val="en-GB"/>
        </w:rPr>
        <w:t xml:space="preserve"> (H1N1)pdm09</w:t>
      </w:r>
      <w:r w:rsidRPr="00A47DC6">
        <w:rPr>
          <w:color w:val="auto"/>
          <w:sz w:val="22"/>
          <w:szCs w:val="22"/>
          <w:lang w:val="pt-BR"/>
        </w:rPr>
        <w:t xml:space="preserve"> - like strain (</w:t>
      </w:r>
      <w:r w:rsidRPr="00A47DC6">
        <w:rPr>
          <w:color w:val="auto"/>
          <w:sz w:val="22"/>
          <w:szCs w:val="22"/>
          <w:lang w:val="en-GB"/>
        </w:rPr>
        <w:t>A/Victoria/2570/2019</w:t>
      </w:r>
      <w:r w:rsidRPr="00A47DC6">
        <w:rPr>
          <w:color w:val="auto"/>
          <w:sz w:val="22"/>
          <w:szCs w:val="22"/>
          <w:lang w:val="pt-BR"/>
        </w:rPr>
        <w:t>, IVR-215)</w:t>
      </w:r>
    </w:p>
    <w:p w14:paraId="040C77F0" w14:textId="14392199" w:rsidR="00A47DC6" w:rsidRDefault="0085096C" w:rsidP="002779BA">
      <w:pPr>
        <w:spacing w:before="120" w:after="120"/>
        <w:ind w:left="6480"/>
        <w:rPr>
          <w:szCs w:val="22"/>
          <w:lang w:val="en-AU"/>
        </w:rPr>
      </w:pPr>
      <w:r>
        <w:rPr>
          <w:szCs w:val="22"/>
          <w:lang w:val="en-AU"/>
        </w:rPr>
        <w:t xml:space="preserve">         </w:t>
      </w:r>
      <w:r w:rsidR="00A47DC6">
        <w:rPr>
          <w:szCs w:val="22"/>
          <w:lang w:val="en-AU"/>
        </w:rPr>
        <w:t>4</w:t>
      </w:r>
      <w:r w:rsidR="00A47DC6" w:rsidRPr="00511840">
        <w:rPr>
          <w:szCs w:val="22"/>
          <w:lang w:val="en-AU"/>
        </w:rPr>
        <w:t>5 microgram HA*</w:t>
      </w:r>
      <w:r w:rsidR="00A47DC6">
        <w:rPr>
          <w:szCs w:val="22"/>
          <w:lang w:val="en-AU"/>
        </w:rPr>
        <w:t>*</w:t>
      </w:r>
    </w:p>
    <w:p w14:paraId="0D3C3CFF" w14:textId="77777777" w:rsidR="00A47DC6" w:rsidRPr="00A47DC6" w:rsidRDefault="00A47DC6" w:rsidP="00A47DC6">
      <w:pPr>
        <w:numPr>
          <w:ilvl w:val="0"/>
          <w:numId w:val="10"/>
        </w:numPr>
        <w:tabs>
          <w:tab w:val="num" w:pos="360"/>
        </w:tabs>
        <w:spacing w:before="120" w:after="120"/>
        <w:ind w:hanging="720"/>
        <w:rPr>
          <w:color w:val="auto"/>
          <w:szCs w:val="22"/>
          <w:lang w:val="en-AU"/>
        </w:rPr>
      </w:pPr>
      <w:r w:rsidRPr="00A47DC6">
        <w:rPr>
          <w:color w:val="auto"/>
          <w:sz w:val="22"/>
          <w:szCs w:val="22"/>
          <w:lang w:val="en-GB"/>
        </w:rPr>
        <w:t xml:space="preserve">A/Hong Kong/2671/2019 (H3N2) - like strain (A/Hong Kong/2671/2019, IVR-208) </w:t>
      </w:r>
    </w:p>
    <w:p w14:paraId="1BF21C8C" w14:textId="582DA271" w:rsidR="00520A98" w:rsidRPr="00A47DC6" w:rsidRDefault="00A47DC6" w:rsidP="00A47DC6">
      <w:pPr>
        <w:tabs>
          <w:tab w:val="num" w:pos="360"/>
        </w:tabs>
        <w:spacing w:before="120" w:after="120"/>
        <w:ind w:left="720"/>
        <w:rPr>
          <w:szCs w:val="22"/>
          <w:lang w:val="en-AU"/>
        </w:rPr>
      </w:pPr>
      <w:r w:rsidRPr="00A47DC6">
        <w:rPr>
          <w:color w:val="auto"/>
          <w:sz w:val="22"/>
          <w:szCs w:val="22"/>
          <w:lang w:val="en-AU"/>
        </w:rPr>
        <w:tab/>
      </w:r>
      <w:r w:rsidRPr="00A47DC6">
        <w:rPr>
          <w:color w:val="auto"/>
          <w:sz w:val="22"/>
          <w:szCs w:val="22"/>
          <w:lang w:val="en-AU"/>
        </w:rPr>
        <w:tab/>
      </w:r>
      <w:r w:rsidRPr="00A47DC6">
        <w:rPr>
          <w:color w:val="auto"/>
          <w:sz w:val="22"/>
          <w:szCs w:val="22"/>
          <w:lang w:val="en-AU"/>
        </w:rPr>
        <w:tab/>
      </w:r>
      <w:r w:rsidRPr="00A47DC6">
        <w:rPr>
          <w:color w:val="auto"/>
          <w:sz w:val="22"/>
          <w:szCs w:val="22"/>
          <w:lang w:val="en-AU"/>
        </w:rPr>
        <w:tab/>
      </w:r>
      <w:r w:rsidRPr="00A47DC6">
        <w:rPr>
          <w:color w:val="auto"/>
          <w:sz w:val="22"/>
          <w:szCs w:val="22"/>
          <w:lang w:val="en-AU"/>
        </w:rPr>
        <w:tab/>
      </w:r>
      <w:r w:rsidRPr="00A47DC6">
        <w:rPr>
          <w:color w:val="auto"/>
          <w:sz w:val="22"/>
          <w:szCs w:val="22"/>
          <w:lang w:val="en-AU"/>
        </w:rPr>
        <w:tab/>
      </w:r>
      <w:r w:rsidRPr="00A47DC6">
        <w:rPr>
          <w:color w:val="auto"/>
          <w:sz w:val="22"/>
          <w:szCs w:val="22"/>
          <w:lang w:val="en-AU"/>
        </w:rPr>
        <w:tab/>
      </w:r>
      <w:r w:rsidRPr="00A47DC6">
        <w:rPr>
          <w:color w:val="auto"/>
          <w:sz w:val="22"/>
          <w:szCs w:val="22"/>
          <w:lang w:val="en-AU"/>
        </w:rPr>
        <w:tab/>
      </w:r>
      <w:r w:rsidR="002779BA">
        <w:rPr>
          <w:color w:val="auto"/>
          <w:sz w:val="22"/>
          <w:szCs w:val="22"/>
          <w:lang w:val="en-AU"/>
        </w:rPr>
        <w:tab/>
      </w:r>
      <w:r w:rsidR="00520A98" w:rsidRPr="00A47DC6">
        <w:rPr>
          <w:szCs w:val="22"/>
          <w:lang w:val="en-AU"/>
        </w:rPr>
        <w:t>45 microgram HA</w:t>
      </w:r>
    </w:p>
    <w:p w14:paraId="323DD8BA" w14:textId="2F5A23FD" w:rsidR="00520A98" w:rsidRPr="002779BA" w:rsidRDefault="00A47DC6" w:rsidP="002C41E7">
      <w:pPr>
        <w:numPr>
          <w:ilvl w:val="0"/>
          <w:numId w:val="10"/>
        </w:numPr>
        <w:tabs>
          <w:tab w:val="num" w:pos="360"/>
        </w:tabs>
        <w:spacing w:before="120" w:after="120"/>
        <w:ind w:hanging="720"/>
        <w:rPr>
          <w:color w:val="auto"/>
          <w:szCs w:val="22"/>
          <w:lang w:val="en-AU"/>
        </w:rPr>
      </w:pPr>
      <w:r w:rsidRPr="002779BA">
        <w:rPr>
          <w:color w:val="auto"/>
          <w:sz w:val="22"/>
          <w:szCs w:val="22"/>
          <w:lang w:val="en-GB"/>
        </w:rPr>
        <w:t>B/Washington/02/2019 - like strain (B/Washington/02/2019, wild type)</w:t>
      </w:r>
      <w:r w:rsidR="002779BA" w:rsidRPr="002779BA">
        <w:rPr>
          <w:color w:val="auto"/>
          <w:sz w:val="22"/>
          <w:szCs w:val="22"/>
          <w:lang w:val="en-GB"/>
        </w:rPr>
        <w:t xml:space="preserve"> </w:t>
      </w:r>
      <w:r w:rsidR="00520A98" w:rsidRPr="002779BA">
        <w:rPr>
          <w:color w:val="auto"/>
          <w:szCs w:val="22"/>
          <w:lang w:val="en-AU"/>
        </w:rPr>
        <w:tab/>
        <w:t>45 microgram HA</w:t>
      </w:r>
    </w:p>
    <w:p w14:paraId="09B019B3" w14:textId="23C1AD9A" w:rsidR="00520A98" w:rsidRPr="002779BA" w:rsidRDefault="00A47DC6" w:rsidP="002C41E7">
      <w:pPr>
        <w:numPr>
          <w:ilvl w:val="0"/>
          <w:numId w:val="10"/>
        </w:numPr>
        <w:tabs>
          <w:tab w:val="num" w:pos="360"/>
        </w:tabs>
        <w:spacing w:before="120" w:after="120"/>
        <w:ind w:hanging="720"/>
        <w:rPr>
          <w:szCs w:val="22"/>
          <w:lang w:val="en-AU"/>
        </w:rPr>
      </w:pPr>
      <w:r w:rsidRPr="002779BA">
        <w:rPr>
          <w:color w:val="auto"/>
          <w:sz w:val="22"/>
          <w:szCs w:val="22"/>
          <w:lang w:val="en-GB"/>
        </w:rPr>
        <w:t>B/Phuket/3073/2013 - like strain (B/Phuket/3073/2013, wild type)</w:t>
      </w:r>
      <w:r w:rsidR="002779BA" w:rsidRPr="002779BA">
        <w:rPr>
          <w:color w:val="auto"/>
          <w:sz w:val="22"/>
          <w:szCs w:val="22"/>
          <w:lang w:val="en-GB"/>
        </w:rPr>
        <w:t xml:space="preserve"> </w:t>
      </w:r>
      <w:r w:rsidR="002779BA" w:rsidRPr="002779BA">
        <w:rPr>
          <w:color w:val="auto"/>
          <w:sz w:val="22"/>
          <w:szCs w:val="22"/>
          <w:lang w:val="en-GB"/>
        </w:rPr>
        <w:tab/>
      </w:r>
      <w:r w:rsidR="00520A98" w:rsidRPr="002779BA">
        <w:rPr>
          <w:color w:val="auto"/>
          <w:szCs w:val="22"/>
          <w:lang w:val="en-AU"/>
        </w:rPr>
        <w:t xml:space="preserve">  </w:t>
      </w:r>
      <w:r w:rsidR="00520A98" w:rsidRPr="002779BA">
        <w:rPr>
          <w:szCs w:val="22"/>
          <w:lang w:val="en-AU"/>
        </w:rPr>
        <w:t xml:space="preserve"> </w:t>
      </w:r>
      <w:r w:rsidR="00520A98" w:rsidRPr="002779BA">
        <w:rPr>
          <w:szCs w:val="22"/>
          <w:lang w:val="en-AU"/>
        </w:rPr>
        <w:tab/>
        <w:t>45 microgram HA</w:t>
      </w:r>
    </w:p>
    <w:p w14:paraId="43D693C0" w14:textId="1C74744D" w:rsidR="00520A98" w:rsidRDefault="00520A98" w:rsidP="00A25710">
      <w:pPr>
        <w:pStyle w:val="00-Paragraph"/>
        <w:rPr>
          <w:sz w:val="20"/>
          <w:szCs w:val="20"/>
          <w:lang w:val="en-AU"/>
        </w:rPr>
      </w:pPr>
      <w:r w:rsidRPr="00511840">
        <w:rPr>
          <w:sz w:val="20"/>
          <w:szCs w:val="20"/>
          <w:lang w:val="en-AU"/>
        </w:rPr>
        <w:t xml:space="preserve">* </w:t>
      </w:r>
      <w:r w:rsidR="00CC414A" w:rsidRPr="00354153">
        <w:rPr>
          <w:sz w:val="20"/>
          <w:szCs w:val="20"/>
          <w:lang w:val="en-AU"/>
        </w:rPr>
        <w:t>Produced by recombinant DNA technology using a baculovirus expression system</w:t>
      </w:r>
      <w:r w:rsidR="00CC414A" w:rsidRPr="00CC414A">
        <w:rPr>
          <w:color w:val="0070C0"/>
          <w:sz w:val="20"/>
          <w:szCs w:val="20"/>
          <w:lang w:val="en-AU"/>
        </w:rPr>
        <w:t xml:space="preserve"> </w:t>
      </w:r>
      <w:r>
        <w:rPr>
          <w:sz w:val="20"/>
          <w:szCs w:val="20"/>
          <w:lang w:val="en-AU"/>
        </w:rPr>
        <w:t xml:space="preserve">in </w:t>
      </w:r>
      <w:r w:rsidR="00CC414A" w:rsidRPr="00354153">
        <w:rPr>
          <w:sz w:val="20"/>
          <w:szCs w:val="20"/>
          <w:lang w:val="en-AU"/>
        </w:rPr>
        <w:t>a</w:t>
      </w:r>
      <w:r w:rsidR="00CC414A">
        <w:rPr>
          <w:sz w:val="20"/>
          <w:szCs w:val="20"/>
          <w:lang w:val="en-AU"/>
        </w:rPr>
        <w:t xml:space="preserve"> </w:t>
      </w:r>
      <w:r>
        <w:rPr>
          <w:sz w:val="20"/>
          <w:szCs w:val="20"/>
          <w:lang w:val="en-AU"/>
        </w:rPr>
        <w:t>continuous insect cell line (</w:t>
      </w:r>
      <w:r w:rsidRPr="00652E02">
        <w:rPr>
          <w:i/>
          <w:sz w:val="20"/>
          <w:szCs w:val="20"/>
          <w:lang w:val="en-AU"/>
        </w:rPr>
        <w:t>expres</w:t>
      </w:r>
      <w:r>
        <w:rPr>
          <w:sz w:val="20"/>
          <w:szCs w:val="20"/>
          <w:lang w:val="en-AU"/>
        </w:rPr>
        <w:t>SF+</w:t>
      </w:r>
      <w:r w:rsidRPr="00652E02">
        <w:rPr>
          <w:sz w:val="20"/>
          <w:szCs w:val="20"/>
          <w:vertAlign w:val="superscript"/>
          <w:lang w:val="en-AU"/>
        </w:rPr>
        <w:t>®</w:t>
      </w:r>
      <w:r>
        <w:rPr>
          <w:sz w:val="20"/>
          <w:szCs w:val="20"/>
          <w:lang w:val="en-AU"/>
        </w:rPr>
        <w:t xml:space="preserve">) that is derived from Sf9 cells of the fall armyworm, </w:t>
      </w:r>
      <w:r w:rsidRPr="00652E02">
        <w:rPr>
          <w:i/>
          <w:sz w:val="20"/>
          <w:szCs w:val="20"/>
          <w:lang w:val="en-AU"/>
        </w:rPr>
        <w:t>Spodoptera frugiperda</w:t>
      </w:r>
      <w:r>
        <w:rPr>
          <w:sz w:val="20"/>
          <w:szCs w:val="20"/>
          <w:lang w:val="en-AU"/>
        </w:rPr>
        <w:t>.</w:t>
      </w:r>
    </w:p>
    <w:p w14:paraId="19EEF2EC" w14:textId="77777777" w:rsidR="00520A98" w:rsidRPr="00511840" w:rsidRDefault="00520A98" w:rsidP="00A25710">
      <w:pPr>
        <w:pStyle w:val="00-Paragraph"/>
        <w:rPr>
          <w:sz w:val="20"/>
          <w:szCs w:val="20"/>
          <w:lang w:val="en-AU"/>
        </w:rPr>
      </w:pPr>
      <w:r>
        <w:rPr>
          <w:sz w:val="20"/>
          <w:szCs w:val="20"/>
          <w:lang w:val="en-AU"/>
        </w:rPr>
        <w:t xml:space="preserve">** </w:t>
      </w:r>
      <w:r w:rsidRPr="00511840">
        <w:rPr>
          <w:sz w:val="20"/>
          <w:szCs w:val="20"/>
          <w:lang w:val="en-AU"/>
        </w:rPr>
        <w:t>Haemagglutinin</w:t>
      </w:r>
    </w:p>
    <w:p w14:paraId="371DE5CB" w14:textId="7DE02E0D" w:rsidR="00E6361B" w:rsidRDefault="00DB0AF7" w:rsidP="00A25710">
      <w:pPr>
        <w:spacing w:before="120" w:after="120"/>
        <w:rPr>
          <w:lang w:val="en-AU"/>
        </w:rPr>
      </w:pPr>
      <w:r w:rsidRPr="00DB0AF7">
        <w:rPr>
          <w:lang w:val="en-AU"/>
        </w:rPr>
        <w:t>The type and amount of viral antigens contained in Flu</w:t>
      </w:r>
      <w:r>
        <w:rPr>
          <w:lang w:val="en-AU"/>
        </w:rPr>
        <w:t xml:space="preserve">blok Quadrivalent </w:t>
      </w:r>
      <w:r w:rsidRPr="00DB0AF7">
        <w:rPr>
          <w:lang w:val="en-AU"/>
        </w:rPr>
        <w:t xml:space="preserve">conform to the annual requirements of the Australian Influenza Vaccine Committee (AIVC) and the World Health Organization (WHO) recommendations for the </w:t>
      </w:r>
      <w:r w:rsidR="007A2156">
        <w:rPr>
          <w:lang w:val="en-AU"/>
        </w:rPr>
        <w:t>202</w:t>
      </w:r>
      <w:r w:rsidR="00A47DC6">
        <w:rPr>
          <w:lang w:val="en-AU"/>
        </w:rPr>
        <w:t>1</w:t>
      </w:r>
      <w:r w:rsidR="007A2156">
        <w:rPr>
          <w:lang w:val="en-AU"/>
        </w:rPr>
        <w:t xml:space="preserve"> </w:t>
      </w:r>
      <w:r w:rsidRPr="00DB0AF7">
        <w:rPr>
          <w:lang w:val="en-AU"/>
        </w:rPr>
        <w:t>season.</w:t>
      </w:r>
    </w:p>
    <w:p w14:paraId="315594D4" w14:textId="245DCFED" w:rsidR="004B16F3" w:rsidRDefault="004B16F3" w:rsidP="00A25710">
      <w:pPr>
        <w:spacing w:before="120" w:after="120"/>
        <w:rPr>
          <w:lang w:val="en-AU"/>
        </w:rPr>
      </w:pPr>
      <w:r w:rsidRPr="004B16F3">
        <w:rPr>
          <w:lang w:val="en-AU"/>
        </w:rPr>
        <w:t>For the full list of excipients, see Section 6.1 List of excipients.</w:t>
      </w:r>
    </w:p>
    <w:p w14:paraId="0FE8D3F2" w14:textId="77777777" w:rsidR="002839CF" w:rsidRPr="00511840" w:rsidRDefault="002839CF" w:rsidP="00412545">
      <w:pPr>
        <w:pStyle w:val="wcpTableContent"/>
        <w:spacing w:before="120" w:after="0"/>
        <w:rPr>
          <w:lang w:val="en-AU"/>
        </w:rPr>
      </w:pPr>
    </w:p>
    <w:p w14:paraId="11055B50" w14:textId="77777777" w:rsidR="001A3992" w:rsidRPr="00511840" w:rsidRDefault="001A3992" w:rsidP="00412545">
      <w:pPr>
        <w:pStyle w:val="Heading1"/>
        <w:keepNext w:val="0"/>
        <w:pageBreakBefore w:val="0"/>
        <w:spacing w:before="0" w:after="120"/>
        <w:rPr>
          <w:lang w:val="en-AU"/>
        </w:rPr>
      </w:pPr>
      <w:r w:rsidRPr="00511840">
        <w:rPr>
          <w:lang w:val="en-AU"/>
        </w:rPr>
        <w:t>Pharmaceutical form</w:t>
      </w:r>
    </w:p>
    <w:p w14:paraId="0FB9090E" w14:textId="05945254" w:rsidR="00FB3A3E" w:rsidRPr="00511840" w:rsidRDefault="00FB3A3E" w:rsidP="00412545">
      <w:pPr>
        <w:spacing w:before="120" w:after="120"/>
        <w:rPr>
          <w:lang w:val="en-AU"/>
        </w:rPr>
      </w:pPr>
      <w:r w:rsidRPr="00511840">
        <w:rPr>
          <w:lang w:val="en-AU"/>
        </w:rPr>
        <w:t>Solution for injection.</w:t>
      </w:r>
    </w:p>
    <w:p w14:paraId="158CD93E" w14:textId="6D89DA19" w:rsidR="00AE5799" w:rsidRPr="00511840" w:rsidRDefault="00A735D6" w:rsidP="00412545">
      <w:pPr>
        <w:spacing w:before="120" w:after="120"/>
        <w:rPr>
          <w:lang w:val="en-AU"/>
        </w:rPr>
      </w:pPr>
      <w:r w:rsidRPr="00511840">
        <w:rPr>
          <w:lang w:val="en-AU"/>
        </w:rPr>
        <w:t>Flublok Quadrivalent</w:t>
      </w:r>
      <w:r w:rsidR="00420CC8" w:rsidRPr="00511840">
        <w:rPr>
          <w:lang w:val="en-AU"/>
        </w:rPr>
        <w:t xml:space="preserve"> is clear</w:t>
      </w:r>
      <w:r w:rsidRPr="00511840">
        <w:rPr>
          <w:lang w:val="en-AU"/>
        </w:rPr>
        <w:t xml:space="preserve"> and colourless without particulate matter.</w:t>
      </w:r>
    </w:p>
    <w:p w14:paraId="7217B23E" w14:textId="77777777" w:rsidR="002839CF" w:rsidRPr="00511840" w:rsidRDefault="002839CF" w:rsidP="00412545">
      <w:pPr>
        <w:spacing w:before="120" w:after="120"/>
        <w:rPr>
          <w:lang w:val="en-AU"/>
        </w:rPr>
      </w:pPr>
    </w:p>
    <w:p w14:paraId="050DB2BA" w14:textId="77777777" w:rsidR="001A3992" w:rsidRPr="00511840" w:rsidRDefault="001A3992" w:rsidP="00412545">
      <w:pPr>
        <w:pStyle w:val="Heading1"/>
        <w:keepNext w:val="0"/>
        <w:pageBreakBefore w:val="0"/>
        <w:spacing w:before="0" w:after="120"/>
        <w:rPr>
          <w:lang w:val="en-AU"/>
        </w:rPr>
      </w:pPr>
      <w:r w:rsidRPr="00511840">
        <w:rPr>
          <w:lang w:val="en-AU"/>
        </w:rPr>
        <w:t>Clinical particulars</w:t>
      </w:r>
    </w:p>
    <w:p w14:paraId="798E3ED7" w14:textId="77777777" w:rsidR="001A3992" w:rsidRPr="00511840" w:rsidRDefault="001A3992" w:rsidP="00412545">
      <w:pPr>
        <w:pStyle w:val="Heading2"/>
        <w:spacing w:before="0" w:after="120"/>
        <w:rPr>
          <w:lang w:val="en-AU"/>
        </w:rPr>
      </w:pPr>
      <w:r w:rsidRPr="00511840">
        <w:rPr>
          <w:lang w:val="en-AU"/>
        </w:rPr>
        <w:t xml:space="preserve">Therapeutic indications </w:t>
      </w:r>
    </w:p>
    <w:p w14:paraId="256F2926" w14:textId="0DF76BFB" w:rsidR="00C80099" w:rsidRDefault="00A735D6" w:rsidP="00C80099">
      <w:pPr>
        <w:spacing w:before="120" w:after="120"/>
        <w:rPr>
          <w:lang w:val="en-AU"/>
        </w:rPr>
      </w:pPr>
      <w:r w:rsidRPr="00511840">
        <w:rPr>
          <w:lang w:val="en-AU"/>
        </w:rPr>
        <w:t>Flublok Quadrivalent is indicated for active immunisation for the prevention of influenza disease caused by influenza</w:t>
      </w:r>
      <w:r w:rsidR="00EF4645">
        <w:rPr>
          <w:lang w:val="en-AU"/>
        </w:rPr>
        <w:t xml:space="preserve"> </w:t>
      </w:r>
      <w:r w:rsidR="00696A7F">
        <w:rPr>
          <w:lang w:val="en-AU"/>
        </w:rPr>
        <w:t xml:space="preserve">virus </w:t>
      </w:r>
      <w:r w:rsidR="00EF4645">
        <w:rPr>
          <w:lang w:val="en-AU"/>
        </w:rPr>
        <w:t>types A and B</w:t>
      </w:r>
      <w:r w:rsidR="002C41E7">
        <w:rPr>
          <w:lang w:val="en-AU"/>
        </w:rPr>
        <w:t xml:space="preserve"> contained in the vaccine</w:t>
      </w:r>
      <w:r w:rsidRPr="00511840">
        <w:rPr>
          <w:lang w:val="en-AU"/>
        </w:rPr>
        <w:t>. Flu</w:t>
      </w:r>
      <w:r w:rsidR="00B470DE">
        <w:rPr>
          <w:lang w:val="en-AU"/>
        </w:rPr>
        <w:t>b</w:t>
      </w:r>
      <w:r w:rsidRPr="00511840">
        <w:rPr>
          <w:lang w:val="en-AU"/>
        </w:rPr>
        <w:t>lok Quadrivalent is approved for use in persons 18 years of age and older.</w:t>
      </w:r>
    </w:p>
    <w:p w14:paraId="5B24FE21" w14:textId="348A6E2C" w:rsidR="001A3992" w:rsidRPr="00C80099" w:rsidRDefault="001A3992" w:rsidP="00EE2C88">
      <w:pPr>
        <w:pStyle w:val="Heading2"/>
        <w:rPr>
          <w:lang w:val="en-AU"/>
        </w:rPr>
      </w:pPr>
      <w:r w:rsidRPr="00DB0AF7">
        <w:rPr>
          <w:lang w:val="en-AU"/>
        </w:rPr>
        <w:lastRenderedPageBreak/>
        <w:t>Dose and method of administration</w:t>
      </w:r>
      <w:r w:rsidRPr="00C80099">
        <w:rPr>
          <w:lang w:val="en-AU"/>
        </w:rPr>
        <w:t xml:space="preserve"> </w:t>
      </w:r>
    </w:p>
    <w:p w14:paraId="1226979B" w14:textId="77777777" w:rsidR="00A735D6" w:rsidRPr="00511840" w:rsidRDefault="00A735D6" w:rsidP="00A735D6">
      <w:pPr>
        <w:spacing w:before="120" w:after="120"/>
        <w:rPr>
          <w:lang w:val="en-AU"/>
        </w:rPr>
      </w:pPr>
      <w:r w:rsidRPr="00511840">
        <w:rPr>
          <w:lang w:val="en-AU"/>
        </w:rPr>
        <w:t>Given the variation of the influenza viruses and the duration of immunity provided by the vaccine, it is recommended to vaccinate against influenza every year.</w:t>
      </w:r>
    </w:p>
    <w:p w14:paraId="43B69F5C" w14:textId="1F6C170B" w:rsidR="007E668E" w:rsidRPr="00511840" w:rsidRDefault="007E668E" w:rsidP="00B05F5C">
      <w:pPr>
        <w:pStyle w:val="ListParagraph"/>
        <w:numPr>
          <w:ilvl w:val="0"/>
          <w:numId w:val="19"/>
        </w:numPr>
        <w:spacing w:before="120" w:after="120"/>
        <w:rPr>
          <w:rFonts w:ascii="Times New Roman" w:hAnsi="Times New Roman"/>
          <w:lang w:val="en-AU"/>
        </w:rPr>
      </w:pPr>
      <w:r w:rsidRPr="00511840">
        <w:rPr>
          <w:rFonts w:ascii="Times New Roman" w:hAnsi="Times New Roman"/>
          <w:lang w:val="en-AU"/>
        </w:rPr>
        <w:t xml:space="preserve">Individuals </w:t>
      </w:r>
      <w:r w:rsidR="00A735D6" w:rsidRPr="00511840">
        <w:rPr>
          <w:rFonts w:ascii="Times New Roman" w:hAnsi="Times New Roman"/>
          <w:lang w:val="en-AU"/>
        </w:rPr>
        <w:t>18</w:t>
      </w:r>
      <w:r w:rsidRPr="00511840">
        <w:rPr>
          <w:rFonts w:ascii="Times New Roman" w:hAnsi="Times New Roman"/>
          <w:lang w:val="en-AU"/>
        </w:rPr>
        <w:t xml:space="preserve"> </w:t>
      </w:r>
      <w:r w:rsidR="00A735D6" w:rsidRPr="00511840">
        <w:rPr>
          <w:rFonts w:ascii="Times New Roman" w:hAnsi="Times New Roman"/>
          <w:lang w:val="en-AU"/>
        </w:rPr>
        <w:t>years</w:t>
      </w:r>
      <w:r w:rsidRPr="00511840">
        <w:rPr>
          <w:rFonts w:ascii="Times New Roman" w:hAnsi="Times New Roman"/>
          <w:lang w:val="en-AU"/>
        </w:rPr>
        <w:t xml:space="preserve"> of age and older receive a </w:t>
      </w:r>
      <w:r w:rsidR="00A735D6" w:rsidRPr="00511840">
        <w:rPr>
          <w:rFonts w:ascii="Times New Roman" w:hAnsi="Times New Roman"/>
          <w:lang w:val="en-AU"/>
        </w:rPr>
        <w:t xml:space="preserve">0.5 mL </w:t>
      </w:r>
      <w:r w:rsidRPr="00511840">
        <w:rPr>
          <w:rFonts w:ascii="Times New Roman" w:hAnsi="Times New Roman"/>
          <w:lang w:val="en-AU"/>
        </w:rPr>
        <w:t>single dose</w:t>
      </w:r>
      <w:r w:rsidR="00A735D6" w:rsidRPr="00511840">
        <w:rPr>
          <w:rFonts w:ascii="Times New Roman" w:hAnsi="Times New Roman"/>
          <w:lang w:val="en-AU"/>
        </w:rPr>
        <w:t xml:space="preserve"> annually</w:t>
      </w:r>
      <w:r w:rsidRPr="00511840">
        <w:rPr>
          <w:rFonts w:ascii="Times New Roman" w:hAnsi="Times New Roman"/>
          <w:lang w:val="en-AU"/>
        </w:rPr>
        <w:t>.</w:t>
      </w:r>
    </w:p>
    <w:p w14:paraId="792EA30D" w14:textId="77965D4D" w:rsidR="007E668E" w:rsidRPr="00511840" w:rsidRDefault="00FB3A3E" w:rsidP="000C2C78">
      <w:pPr>
        <w:pStyle w:val="Heading3"/>
        <w:numPr>
          <w:ilvl w:val="0"/>
          <w:numId w:val="0"/>
        </w:numPr>
        <w:ind w:left="680" w:hanging="680"/>
        <w:rPr>
          <w:lang w:val="en-AU"/>
        </w:rPr>
      </w:pPr>
      <w:r w:rsidRPr="00DB0AF7">
        <w:rPr>
          <w:lang w:val="en-AU"/>
        </w:rPr>
        <w:t>Method of a</w:t>
      </w:r>
      <w:r w:rsidR="007E668E" w:rsidRPr="00DB0AF7">
        <w:rPr>
          <w:lang w:val="en-AU"/>
        </w:rPr>
        <w:t>dministration</w:t>
      </w:r>
    </w:p>
    <w:p w14:paraId="0E2123DA" w14:textId="77777777" w:rsidR="00A735D6" w:rsidRPr="00511840" w:rsidRDefault="00A735D6" w:rsidP="00A735D6">
      <w:pPr>
        <w:pStyle w:val="00-Paragraph"/>
        <w:rPr>
          <w:sz w:val="24"/>
          <w:lang w:val="en-AU"/>
        </w:rPr>
      </w:pPr>
      <w:r w:rsidRPr="00511840">
        <w:rPr>
          <w:sz w:val="24"/>
          <w:lang w:val="en-AU"/>
        </w:rPr>
        <w:t>Administration should be carried out by i</w:t>
      </w:r>
      <w:r w:rsidR="007E668E" w:rsidRPr="00511840">
        <w:rPr>
          <w:sz w:val="24"/>
          <w:lang w:val="en-AU"/>
        </w:rPr>
        <w:t>ntramuscular route</w:t>
      </w:r>
      <w:r w:rsidRPr="00511840">
        <w:rPr>
          <w:sz w:val="24"/>
          <w:lang w:val="en-AU"/>
        </w:rPr>
        <w:t xml:space="preserve">, preferably in the </w:t>
      </w:r>
      <w:r w:rsidR="007E668E" w:rsidRPr="00511840">
        <w:rPr>
          <w:sz w:val="24"/>
          <w:lang w:val="en-AU"/>
        </w:rPr>
        <w:t xml:space="preserve">deltoid </w:t>
      </w:r>
      <w:r w:rsidRPr="00511840">
        <w:rPr>
          <w:sz w:val="24"/>
          <w:lang w:val="en-AU"/>
        </w:rPr>
        <w:t xml:space="preserve">muscle. </w:t>
      </w:r>
    </w:p>
    <w:p w14:paraId="3AFA06A9" w14:textId="77777777" w:rsidR="00611DD4" w:rsidRPr="00611DD4" w:rsidRDefault="00A735D6" w:rsidP="00611DD4">
      <w:pPr>
        <w:spacing w:before="120" w:after="120"/>
        <w:rPr>
          <w:color w:val="auto"/>
          <w:lang w:val="en-AU"/>
        </w:rPr>
      </w:pPr>
      <w:r w:rsidRPr="00511840">
        <w:rPr>
          <w:lang w:val="en-AU"/>
        </w:rPr>
        <w:t>Do not administer this product intravenously</w:t>
      </w:r>
      <w:r w:rsidR="00611DD4">
        <w:rPr>
          <w:lang w:val="en-AU"/>
        </w:rPr>
        <w:t xml:space="preserve">, </w:t>
      </w:r>
      <w:r w:rsidR="00611DD4" w:rsidRPr="00611DD4">
        <w:rPr>
          <w:color w:val="auto"/>
          <w:lang w:val="en-AU"/>
        </w:rPr>
        <w:t>subcutaneously or intradermally.</w:t>
      </w:r>
    </w:p>
    <w:p w14:paraId="24DE52B2" w14:textId="77777777" w:rsidR="00611DD4" w:rsidRPr="00611DD4" w:rsidRDefault="00611DD4" w:rsidP="00A25710">
      <w:pPr>
        <w:spacing w:before="120" w:after="120"/>
        <w:rPr>
          <w:color w:val="auto"/>
          <w:lang w:val="en-AU"/>
        </w:rPr>
      </w:pPr>
      <w:r w:rsidRPr="00611DD4">
        <w:rPr>
          <w:color w:val="auto"/>
        </w:rPr>
        <w:t xml:space="preserve">Parenteral drug products should be inspected visually for particulate matter and/or discoloration prior to administration whenever solution and container permit. If either of these conditions exists, the vaccine should not be administered.  </w:t>
      </w:r>
    </w:p>
    <w:p w14:paraId="52267B8D" w14:textId="40647936" w:rsidR="00B2795C" w:rsidRPr="00354153" w:rsidRDefault="00B2795C" w:rsidP="00354153">
      <w:pPr>
        <w:spacing w:before="120" w:after="120"/>
        <w:rPr>
          <w:lang w:val="en-AU"/>
        </w:rPr>
      </w:pPr>
      <w:r w:rsidRPr="00354153">
        <w:rPr>
          <w:lang w:val="en-AU"/>
        </w:rPr>
        <w:t xml:space="preserve">The syringe is for single use only and must not be reused. Discard any remaining unused contents. </w:t>
      </w:r>
    </w:p>
    <w:p w14:paraId="74131479" w14:textId="77777777" w:rsidR="001A3992" w:rsidRPr="00511840" w:rsidRDefault="001A3992" w:rsidP="00EE2C88">
      <w:pPr>
        <w:pStyle w:val="Heading2"/>
        <w:rPr>
          <w:lang w:val="en-AU"/>
        </w:rPr>
      </w:pPr>
      <w:r w:rsidRPr="00511840">
        <w:rPr>
          <w:lang w:val="en-AU"/>
        </w:rPr>
        <w:t>Contraindications</w:t>
      </w:r>
    </w:p>
    <w:p w14:paraId="7E191488" w14:textId="4D3FAD4C" w:rsidR="00A735D6" w:rsidRPr="00511840" w:rsidRDefault="00A735D6" w:rsidP="00A25710">
      <w:pPr>
        <w:spacing w:before="120" w:after="120"/>
        <w:rPr>
          <w:lang w:val="en-AU"/>
        </w:rPr>
      </w:pPr>
      <w:r w:rsidRPr="00511840">
        <w:rPr>
          <w:lang w:val="en-AU"/>
        </w:rPr>
        <w:t xml:space="preserve">Flublok Quadrivalent should not be administered to anyone with a known severe allergic reaction (anaphylaxis) to any component of the vaccine as defined under Section 2 Qualitative and quantitative composition and </w:t>
      </w:r>
      <w:r w:rsidR="00511840">
        <w:rPr>
          <w:lang w:val="en-AU"/>
        </w:rPr>
        <w:t xml:space="preserve">Section </w:t>
      </w:r>
      <w:r w:rsidRPr="00511840">
        <w:rPr>
          <w:lang w:val="en-AU"/>
        </w:rPr>
        <w:t>6.1 List of excipients.</w:t>
      </w:r>
    </w:p>
    <w:p w14:paraId="38A30ADA" w14:textId="77777777" w:rsidR="00292D82" w:rsidRPr="00511840" w:rsidRDefault="00292D82" w:rsidP="00412545">
      <w:pPr>
        <w:spacing w:before="120" w:after="120"/>
        <w:rPr>
          <w:lang w:val="en-AU"/>
        </w:rPr>
      </w:pPr>
    </w:p>
    <w:p w14:paraId="61E40D2F" w14:textId="77777777" w:rsidR="001A3992" w:rsidRPr="00511840" w:rsidRDefault="00E74A56" w:rsidP="00412545">
      <w:pPr>
        <w:pStyle w:val="Heading2"/>
        <w:spacing w:before="0" w:after="120"/>
        <w:rPr>
          <w:lang w:val="en-AU"/>
        </w:rPr>
      </w:pPr>
      <w:r w:rsidRPr="00511840">
        <w:rPr>
          <w:lang w:val="en-AU"/>
        </w:rPr>
        <w:t>Special warnings and p</w:t>
      </w:r>
      <w:r w:rsidR="001A3992" w:rsidRPr="00511840">
        <w:rPr>
          <w:lang w:val="en-AU"/>
        </w:rPr>
        <w:t xml:space="preserve">recautions </w:t>
      </w:r>
      <w:r w:rsidRPr="00511840">
        <w:rPr>
          <w:lang w:val="en-AU"/>
        </w:rPr>
        <w:t>for use</w:t>
      </w:r>
    </w:p>
    <w:p w14:paraId="5A766070" w14:textId="6E81CB2C" w:rsidR="00A735D6" w:rsidRPr="00511840" w:rsidRDefault="00A735D6" w:rsidP="00A735D6">
      <w:pPr>
        <w:spacing w:before="120" w:after="120"/>
        <w:rPr>
          <w:lang w:val="en-AU"/>
        </w:rPr>
      </w:pPr>
      <w:r w:rsidRPr="00511840">
        <w:rPr>
          <w:lang w:val="en-AU"/>
        </w:rPr>
        <w:t xml:space="preserve">Caution should be exercised when the vaccine is administered to </w:t>
      </w:r>
      <w:r w:rsidR="00511840">
        <w:rPr>
          <w:lang w:val="en-AU"/>
        </w:rPr>
        <w:t>individuals</w:t>
      </w:r>
      <w:r w:rsidRPr="00511840">
        <w:rPr>
          <w:lang w:val="en-AU"/>
        </w:rPr>
        <w:t xml:space="preserve"> with hypersensitivity to the vaccine itself or any of its components. Appropriate medical treatment and supervision must be available to manage possible anaphylactic reactions following administration of the vaccine.</w:t>
      </w:r>
    </w:p>
    <w:p w14:paraId="529B23A9" w14:textId="77777777" w:rsidR="007E668E" w:rsidRPr="00511840" w:rsidRDefault="007E668E" w:rsidP="00B05F5C">
      <w:pPr>
        <w:pStyle w:val="Heading3"/>
        <w:numPr>
          <w:ilvl w:val="0"/>
          <w:numId w:val="0"/>
        </w:numPr>
        <w:ind w:left="680" w:hanging="680"/>
        <w:rPr>
          <w:lang w:val="en-AU"/>
        </w:rPr>
      </w:pPr>
      <w:r w:rsidRPr="00511840">
        <w:rPr>
          <w:lang w:val="en-AU"/>
        </w:rPr>
        <w:t>Protection</w:t>
      </w:r>
    </w:p>
    <w:p w14:paraId="24B3F0D3" w14:textId="0ED5BC74" w:rsidR="007E668E" w:rsidRPr="00511840" w:rsidRDefault="007E668E" w:rsidP="00A735D6">
      <w:pPr>
        <w:pStyle w:val="00-Paragraph"/>
        <w:rPr>
          <w:sz w:val="24"/>
          <w:lang w:val="en-AU"/>
        </w:rPr>
      </w:pPr>
      <w:r w:rsidRPr="00511840">
        <w:rPr>
          <w:sz w:val="24"/>
          <w:lang w:val="en-AU"/>
        </w:rPr>
        <w:t xml:space="preserve">As with any vaccine, vaccination with </w:t>
      </w:r>
      <w:r w:rsidR="00A735D6" w:rsidRPr="00511840">
        <w:rPr>
          <w:sz w:val="24"/>
          <w:lang w:val="en-AU"/>
        </w:rPr>
        <w:t>Flu</w:t>
      </w:r>
      <w:r w:rsidR="00CE5549">
        <w:rPr>
          <w:sz w:val="24"/>
          <w:lang w:val="en-AU"/>
        </w:rPr>
        <w:t>b</w:t>
      </w:r>
      <w:r w:rsidR="00A735D6" w:rsidRPr="00511840">
        <w:rPr>
          <w:sz w:val="24"/>
          <w:lang w:val="en-AU"/>
        </w:rPr>
        <w:t>lok Quadrivalent</w:t>
      </w:r>
      <w:r w:rsidRPr="00511840">
        <w:rPr>
          <w:sz w:val="24"/>
          <w:lang w:val="en-AU"/>
        </w:rPr>
        <w:t xml:space="preserve"> may not protect </w:t>
      </w:r>
      <w:r w:rsidR="00A735D6" w:rsidRPr="00511840">
        <w:rPr>
          <w:sz w:val="24"/>
          <w:lang w:val="en-AU"/>
        </w:rPr>
        <w:t>100% of</w:t>
      </w:r>
      <w:r w:rsidRPr="00511840">
        <w:rPr>
          <w:sz w:val="24"/>
          <w:lang w:val="en-AU"/>
        </w:rPr>
        <w:t xml:space="preserve"> vaccine recipients.</w:t>
      </w:r>
    </w:p>
    <w:p w14:paraId="40FE0952" w14:textId="19567D84" w:rsidR="00A735D6" w:rsidRPr="00B05F5C" w:rsidRDefault="00A735D6" w:rsidP="00B05F5C">
      <w:pPr>
        <w:pStyle w:val="Heading3"/>
        <w:numPr>
          <w:ilvl w:val="0"/>
          <w:numId w:val="0"/>
        </w:numPr>
        <w:ind w:left="680" w:hanging="680"/>
        <w:rPr>
          <w:lang w:val="en-AU"/>
        </w:rPr>
      </w:pPr>
      <w:bookmarkStart w:id="0" w:name="_Toc503262477"/>
      <w:r w:rsidRPr="00511840">
        <w:rPr>
          <w:lang w:val="en-AU"/>
        </w:rPr>
        <w:t>Guillain-Barr</w:t>
      </w:r>
      <w:r w:rsidR="00F42242" w:rsidRPr="00F42242">
        <w:rPr>
          <w:lang w:val="en-AU"/>
        </w:rPr>
        <w:t>é</w:t>
      </w:r>
      <w:r w:rsidRPr="00511840">
        <w:rPr>
          <w:lang w:val="en-AU"/>
        </w:rPr>
        <w:t xml:space="preserve"> Syndrome</w:t>
      </w:r>
      <w:bookmarkEnd w:id="0"/>
    </w:p>
    <w:p w14:paraId="6CB86DDF" w14:textId="5A51A29B" w:rsidR="00A735D6" w:rsidRPr="00511840" w:rsidRDefault="00A735D6" w:rsidP="00A25710">
      <w:pPr>
        <w:spacing w:before="120" w:after="120"/>
        <w:rPr>
          <w:lang w:val="en-AU"/>
        </w:rPr>
      </w:pPr>
      <w:r w:rsidRPr="00511840">
        <w:rPr>
          <w:lang w:val="en-AU"/>
        </w:rPr>
        <w:t>The 1976 swine influenza vaccine was associated with an elevated risk of Guillain-Barré syndrome (GBS). Evidence for a causal relation of GBS with other influenza vaccines is inconclusive; if an excess risk exists, it is probably slightly more than 1 additional case per 1 million persons vaccinated.</w:t>
      </w:r>
    </w:p>
    <w:p w14:paraId="7A5BF11B" w14:textId="37E3B5A7" w:rsidR="00A735D6" w:rsidRDefault="00A735D6" w:rsidP="00C80099">
      <w:pPr>
        <w:spacing w:before="120" w:after="120"/>
        <w:rPr>
          <w:lang w:val="en-AU"/>
        </w:rPr>
      </w:pPr>
      <w:r w:rsidRPr="00511840">
        <w:rPr>
          <w:lang w:val="en-AU"/>
        </w:rPr>
        <w:t xml:space="preserve">If GBS has occurred within 6 weeks following previous influenza vaccination, the decision to give Flublok Quadrivalent should be based on careful consideration of the potential benefits and risks. </w:t>
      </w:r>
    </w:p>
    <w:p w14:paraId="1E6AA279" w14:textId="77777777" w:rsidR="00B70A23" w:rsidRPr="00354153" w:rsidRDefault="00B70A23" w:rsidP="00354153">
      <w:pPr>
        <w:pStyle w:val="Heading3"/>
        <w:numPr>
          <w:ilvl w:val="0"/>
          <w:numId w:val="0"/>
        </w:numPr>
        <w:ind w:left="680" w:hanging="680"/>
        <w:rPr>
          <w:lang w:val="en-AU"/>
        </w:rPr>
      </w:pPr>
      <w:r w:rsidRPr="00354153">
        <w:rPr>
          <w:lang w:val="en-AU"/>
        </w:rPr>
        <w:lastRenderedPageBreak/>
        <w:t xml:space="preserve">Bleeding Disorders </w:t>
      </w:r>
    </w:p>
    <w:p w14:paraId="7BE7BEB7" w14:textId="77777777" w:rsidR="00B70A23" w:rsidRPr="00354153" w:rsidRDefault="00B70A23" w:rsidP="00354153">
      <w:pPr>
        <w:spacing w:before="120" w:after="120"/>
        <w:rPr>
          <w:lang w:val="en-AU"/>
        </w:rPr>
      </w:pPr>
      <w:r w:rsidRPr="00354153">
        <w:rPr>
          <w:lang w:val="en-AU"/>
        </w:rPr>
        <w:t>Because any intramuscular injection can cause an injection site haematoma in individuals with any bleeding disorders, such as haemophilia or thrombocytopenia, or in individuals on anticoagulant therapy, intramuscular injections with Flublok Quadrivalent should not be administered to such individuals unless the potential benefits outweigh the risk of administration. If the decision is made to administer any product by intramuscular injection to such individuals, it should be given with caution, with steps taken to avoid the risk of hematoma formation following injection.</w:t>
      </w:r>
    </w:p>
    <w:p w14:paraId="139F2C0F" w14:textId="77777777" w:rsidR="0024632F" w:rsidRPr="00B05F5C" w:rsidRDefault="00AB396B" w:rsidP="00B05F5C">
      <w:pPr>
        <w:pStyle w:val="Heading3"/>
        <w:numPr>
          <w:ilvl w:val="0"/>
          <w:numId w:val="0"/>
        </w:numPr>
        <w:ind w:left="680" w:hanging="680"/>
        <w:rPr>
          <w:lang w:val="en-AU"/>
        </w:rPr>
      </w:pPr>
      <w:r w:rsidRPr="00511840">
        <w:rPr>
          <w:lang w:val="en-AU"/>
        </w:rPr>
        <w:t>Altered Immunocompetence</w:t>
      </w:r>
    </w:p>
    <w:p w14:paraId="24B15291" w14:textId="4801B05A" w:rsidR="00A735D6" w:rsidRDefault="00A735D6" w:rsidP="00C80099">
      <w:pPr>
        <w:spacing w:before="120" w:after="120"/>
        <w:rPr>
          <w:lang w:val="en-AU"/>
        </w:rPr>
      </w:pPr>
      <w:r w:rsidRPr="00511840">
        <w:rPr>
          <w:lang w:val="en-AU"/>
        </w:rPr>
        <w:t>If Flublok Quadrivalent is administered to immunocompromised individuals, including persons receiving immunosuppressive treatment, the immune response may be diminished.</w:t>
      </w:r>
    </w:p>
    <w:p w14:paraId="03D74471" w14:textId="5939B411" w:rsidR="00D105E8" w:rsidRPr="00354153" w:rsidRDefault="00D105E8" w:rsidP="00D105E8">
      <w:pPr>
        <w:pStyle w:val="Heading3"/>
        <w:numPr>
          <w:ilvl w:val="0"/>
          <w:numId w:val="0"/>
        </w:numPr>
        <w:ind w:left="680" w:hanging="680"/>
        <w:rPr>
          <w:lang w:val="en-AU"/>
        </w:rPr>
      </w:pPr>
      <w:r w:rsidRPr="00354153">
        <w:rPr>
          <w:lang w:val="en-AU"/>
        </w:rPr>
        <w:t>Intercurrent illness</w:t>
      </w:r>
    </w:p>
    <w:p w14:paraId="2CE1EE4A" w14:textId="6E0CDC30" w:rsidR="00D105E8" w:rsidRDefault="00D105E8" w:rsidP="00D105E8">
      <w:pPr>
        <w:spacing w:before="120" w:after="120"/>
        <w:rPr>
          <w:color w:val="0070C0"/>
          <w:u w:val="double"/>
          <w:lang w:val="en-AU"/>
        </w:rPr>
      </w:pPr>
      <w:r w:rsidRPr="00354153">
        <w:rPr>
          <w:lang w:val="en-AU"/>
        </w:rPr>
        <w:t>Vaccination should be postponed in patients with acute febrile illness until the fever is resolved</w:t>
      </w:r>
      <w:r w:rsidR="00354153">
        <w:rPr>
          <w:lang w:val="en-AU"/>
        </w:rPr>
        <w:t xml:space="preserve">. </w:t>
      </w:r>
    </w:p>
    <w:p w14:paraId="65ED306A" w14:textId="77777777" w:rsidR="00A735D6" w:rsidRPr="00B05F5C" w:rsidRDefault="00A735D6" w:rsidP="00B05F5C">
      <w:pPr>
        <w:pStyle w:val="Heading3"/>
        <w:numPr>
          <w:ilvl w:val="0"/>
          <w:numId w:val="0"/>
        </w:numPr>
        <w:ind w:left="680" w:hanging="680"/>
        <w:rPr>
          <w:lang w:val="en-AU"/>
        </w:rPr>
      </w:pPr>
      <w:r w:rsidRPr="00511840">
        <w:rPr>
          <w:lang w:val="en-AU"/>
        </w:rPr>
        <w:t>Syncope</w:t>
      </w:r>
    </w:p>
    <w:p w14:paraId="698647D5" w14:textId="77777777" w:rsidR="00C80099" w:rsidRDefault="00A735D6" w:rsidP="00C80099">
      <w:pPr>
        <w:spacing w:before="120" w:after="120"/>
        <w:rPr>
          <w:lang w:val="en-AU"/>
        </w:rPr>
      </w:pPr>
      <w:r w:rsidRPr="00511840">
        <w:rPr>
          <w:lang w:val="en-AU"/>
        </w:rPr>
        <w:t>Syncope (fainting) has been reported following vaccination with Flublok Quadrivalent. Procedures should be in place to prevent falling injury and to manage syncopal reactions to any intramuscular injection.</w:t>
      </w:r>
    </w:p>
    <w:p w14:paraId="322199DA" w14:textId="4F5F608D" w:rsidR="001A3992" w:rsidRPr="00B05F5C" w:rsidRDefault="001A3992" w:rsidP="00B05F5C">
      <w:pPr>
        <w:pStyle w:val="Heading3"/>
        <w:numPr>
          <w:ilvl w:val="0"/>
          <w:numId w:val="0"/>
        </w:numPr>
        <w:ind w:left="680" w:hanging="680"/>
        <w:rPr>
          <w:lang w:val="en-AU"/>
        </w:rPr>
      </w:pPr>
      <w:r w:rsidRPr="00B05F5C">
        <w:rPr>
          <w:lang w:val="en-AU"/>
        </w:rPr>
        <w:t>Use in the elderly</w:t>
      </w:r>
    </w:p>
    <w:p w14:paraId="515C4CDC" w14:textId="75567857" w:rsidR="00F13B51" w:rsidRPr="00A11843" w:rsidRDefault="00F13B51" w:rsidP="00F13B51">
      <w:pPr>
        <w:spacing w:before="120" w:after="120"/>
        <w:rPr>
          <w:lang w:val="en-AU"/>
        </w:rPr>
      </w:pPr>
      <w:r w:rsidRPr="00A11843">
        <w:rPr>
          <w:lang w:val="en-AU"/>
        </w:rPr>
        <w:t xml:space="preserve">Refer to Section 4.8 Adverse Effects and Section 5.1 Pharmacodynamic Properties for safety and efficacy of </w:t>
      </w:r>
      <w:r w:rsidR="008E79D8">
        <w:rPr>
          <w:lang w:val="en-AU"/>
        </w:rPr>
        <w:t xml:space="preserve">Flublok Quadrivalent </w:t>
      </w:r>
      <w:r w:rsidRPr="00A11843">
        <w:rPr>
          <w:lang w:val="en-AU"/>
        </w:rPr>
        <w:t>administration in individuals older than 5</w:t>
      </w:r>
      <w:r>
        <w:rPr>
          <w:lang w:val="en-AU"/>
        </w:rPr>
        <w:t>0</w:t>
      </w:r>
      <w:r w:rsidRPr="00A11843">
        <w:rPr>
          <w:lang w:val="en-AU"/>
        </w:rPr>
        <w:t xml:space="preserve"> years of age.</w:t>
      </w:r>
    </w:p>
    <w:p w14:paraId="09D7690C" w14:textId="5CAE0F05" w:rsidR="001A3992" w:rsidRPr="00B05F5C" w:rsidRDefault="001A3992" w:rsidP="00B05F5C">
      <w:pPr>
        <w:pStyle w:val="Heading3"/>
        <w:numPr>
          <w:ilvl w:val="0"/>
          <w:numId w:val="0"/>
        </w:numPr>
        <w:ind w:left="680" w:hanging="680"/>
        <w:rPr>
          <w:lang w:val="en-AU"/>
        </w:rPr>
      </w:pPr>
      <w:r w:rsidRPr="00B05F5C">
        <w:rPr>
          <w:lang w:val="en-AU"/>
        </w:rPr>
        <w:t>Paediatric use</w:t>
      </w:r>
    </w:p>
    <w:p w14:paraId="27E5963A" w14:textId="0344528F" w:rsidR="007E668E" w:rsidRPr="00511840" w:rsidRDefault="007E668E" w:rsidP="00412545">
      <w:pPr>
        <w:pStyle w:val="00-Paragraph"/>
        <w:rPr>
          <w:iCs/>
          <w:sz w:val="24"/>
          <w:lang w:val="en-AU"/>
        </w:rPr>
      </w:pPr>
      <w:r w:rsidRPr="00511840">
        <w:rPr>
          <w:iCs/>
          <w:sz w:val="24"/>
          <w:lang w:val="en-AU"/>
        </w:rPr>
        <w:t xml:space="preserve">Safety and efficacy of </w:t>
      </w:r>
      <w:r w:rsidR="00A735D6" w:rsidRPr="00511840">
        <w:rPr>
          <w:sz w:val="24"/>
          <w:lang w:val="en-AU"/>
        </w:rPr>
        <w:t>Flublok Quadrivalent</w:t>
      </w:r>
      <w:r w:rsidRPr="00511840">
        <w:rPr>
          <w:iCs/>
          <w:sz w:val="24"/>
          <w:lang w:val="en-AU"/>
        </w:rPr>
        <w:t xml:space="preserve"> ha</w:t>
      </w:r>
      <w:r w:rsidR="00A735D6" w:rsidRPr="00511840">
        <w:rPr>
          <w:iCs/>
          <w:sz w:val="24"/>
          <w:lang w:val="en-AU"/>
        </w:rPr>
        <w:t>ve</w:t>
      </w:r>
      <w:r w:rsidRPr="00511840">
        <w:rPr>
          <w:iCs/>
          <w:sz w:val="24"/>
          <w:lang w:val="en-AU"/>
        </w:rPr>
        <w:t xml:space="preserve"> not been established</w:t>
      </w:r>
      <w:r w:rsidR="00A735D6" w:rsidRPr="00511840">
        <w:rPr>
          <w:iCs/>
          <w:sz w:val="24"/>
          <w:lang w:val="en-AU"/>
        </w:rPr>
        <w:t xml:space="preserve"> in children less than 18 years of age</w:t>
      </w:r>
      <w:r w:rsidR="00611DD4">
        <w:rPr>
          <w:iCs/>
          <w:sz w:val="24"/>
          <w:lang w:val="en-AU"/>
        </w:rPr>
        <w:t xml:space="preserve"> and the vaccine is not indicated in that age group</w:t>
      </w:r>
      <w:r w:rsidRPr="00511840">
        <w:rPr>
          <w:iCs/>
          <w:sz w:val="24"/>
          <w:lang w:val="en-AU"/>
        </w:rPr>
        <w:t>.</w:t>
      </w:r>
    </w:p>
    <w:p w14:paraId="6A9206F1" w14:textId="1187A03B" w:rsidR="00A3615D" w:rsidRPr="00511840" w:rsidRDefault="00A3615D" w:rsidP="00A25710">
      <w:pPr>
        <w:pStyle w:val="00-Paragraph"/>
        <w:rPr>
          <w:iCs/>
          <w:sz w:val="24"/>
          <w:lang w:val="en-AU"/>
        </w:rPr>
      </w:pPr>
      <w:r w:rsidRPr="00511840">
        <w:rPr>
          <w:iCs/>
          <w:sz w:val="24"/>
          <w:lang w:val="en-AU"/>
        </w:rPr>
        <w:t xml:space="preserve">Data from a randomised, controlled trial demonstrated that children 6 months to less than 3 years of age had diminished haemagglutination inhibition (HI) responses to trivalent recombinant influenza vaccine as compared to a U.S.-licensed influenza vaccine approved for use in this population, strongly suggesting that trivalent recombinant influenza vaccine would not be effective in children younger than 3 years of age. </w:t>
      </w:r>
    </w:p>
    <w:p w14:paraId="5DDC4E37" w14:textId="6AFC5587" w:rsidR="001A3992" w:rsidRPr="00B05F5C" w:rsidRDefault="001A3992" w:rsidP="00B05F5C">
      <w:pPr>
        <w:pStyle w:val="Heading3"/>
        <w:numPr>
          <w:ilvl w:val="0"/>
          <w:numId w:val="0"/>
        </w:numPr>
        <w:ind w:left="680" w:hanging="680"/>
        <w:rPr>
          <w:lang w:val="en-AU"/>
        </w:rPr>
      </w:pPr>
      <w:r w:rsidRPr="00B05F5C">
        <w:rPr>
          <w:lang w:val="en-AU"/>
        </w:rPr>
        <w:t>Effects on laboratory tests</w:t>
      </w:r>
    </w:p>
    <w:p w14:paraId="258B7739" w14:textId="7D905207" w:rsidR="00A735D6" w:rsidRPr="00511840" w:rsidRDefault="00A735D6" w:rsidP="00A735D6">
      <w:pPr>
        <w:spacing w:before="120" w:after="120"/>
        <w:rPr>
          <w:lang w:val="en-AU"/>
        </w:rPr>
      </w:pPr>
      <w:r w:rsidRPr="00511840">
        <w:rPr>
          <w:lang w:val="en-AU"/>
        </w:rPr>
        <w:t>Interference of Flublok Quadrivalent with laboratory and/or diagnostic tests has not been studied.</w:t>
      </w:r>
    </w:p>
    <w:p w14:paraId="7157BF49" w14:textId="77777777" w:rsidR="00EE57D7" w:rsidRPr="00511840" w:rsidRDefault="00EE57D7" w:rsidP="00A735D6">
      <w:pPr>
        <w:spacing w:before="120" w:after="120"/>
        <w:rPr>
          <w:lang w:val="en-AU"/>
        </w:rPr>
      </w:pPr>
    </w:p>
    <w:p w14:paraId="215DEE75" w14:textId="77777777" w:rsidR="001A3992" w:rsidRPr="00511840" w:rsidRDefault="001A3992" w:rsidP="00412545">
      <w:pPr>
        <w:pStyle w:val="Heading2"/>
        <w:keepLines/>
        <w:spacing w:before="0" w:after="120"/>
        <w:rPr>
          <w:lang w:val="en-AU"/>
        </w:rPr>
      </w:pPr>
      <w:r w:rsidRPr="00511840">
        <w:rPr>
          <w:lang w:val="en-AU"/>
        </w:rPr>
        <w:t>Interactions with other medicines and other forms of interactions</w:t>
      </w:r>
    </w:p>
    <w:p w14:paraId="1EC3B120" w14:textId="52F4933C" w:rsidR="00A735D6" w:rsidRPr="00511840" w:rsidRDefault="00A735D6" w:rsidP="00A735D6">
      <w:pPr>
        <w:spacing w:before="120" w:after="120"/>
        <w:rPr>
          <w:lang w:val="en-AU"/>
        </w:rPr>
      </w:pPr>
      <w:r w:rsidRPr="00511840">
        <w:rPr>
          <w:lang w:val="en-AU"/>
        </w:rPr>
        <w:t>Flublok Quadrivalent should not be mixed with another vaccine in the same syringe or vial.</w:t>
      </w:r>
    </w:p>
    <w:p w14:paraId="3CC08EC7" w14:textId="2C2B4998" w:rsidR="00A735D6" w:rsidRPr="00511840" w:rsidRDefault="00A735D6" w:rsidP="00A25710">
      <w:pPr>
        <w:spacing w:before="120" w:after="120"/>
        <w:rPr>
          <w:lang w:val="en-AU"/>
        </w:rPr>
      </w:pPr>
      <w:r w:rsidRPr="00511840">
        <w:rPr>
          <w:lang w:val="en-AU"/>
        </w:rPr>
        <w:lastRenderedPageBreak/>
        <w:t>If Flublok Quadrivalent is to be given at the same time as another injectable vaccine(s), the vaccine(s)</w:t>
      </w:r>
      <w:bookmarkStart w:id="1" w:name="_bookmark28"/>
      <w:bookmarkEnd w:id="1"/>
      <w:r w:rsidRPr="00511840">
        <w:rPr>
          <w:lang w:val="en-AU"/>
        </w:rPr>
        <w:t xml:space="preserve"> should be administered at different injection sites.</w:t>
      </w:r>
    </w:p>
    <w:p w14:paraId="31BD71C9" w14:textId="77777777" w:rsidR="00A735D6" w:rsidRPr="00511840" w:rsidRDefault="00A735D6" w:rsidP="00A735D6">
      <w:pPr>
        <w:rPr>
          <w:lang w:val="en-AU"/>
        </w:rPr>
      </w:pPr>
    </w:p>
    <w:p w14:paraId="118DA307" w14:textId="1321DAB6" w:rsidR="001A3992" w:rsidRPr="00511840" w:rsidRDefault="001A3992" w:rsidP="00412545">
      <w:pPr>
        <w:pStyle w:val="Heading2"/>
        <w:spacing w:before="0" w:after="120"/>
        <w:rPr>
          <w:lang w:val="en-AU"/>
        </w:rPr>
      </w:pPr>
      <w:r w:rsidRPr="00511840">
        <w:rPr>
          <w:lang w:val="en-AU"/>
        </w:rPr>
        <w:t xml:space="preserve">Fertility, pregnancy and lactation </w:t>
      </w:r>
    </w:p>
    <w:p w14:paraId="01B404F6" w14:textId="77777777" w:rsidR="001A3992" w:rsidRPr="00B05F5C" w:rsidRDefault="001A3992" w:rsidP="00B05F5C">
      <w:pPr>
        <w:pStyle w:val="Heading3"/>
        <w:numPr>
          <w:ilvl w:val="0"/>
          <w:numId w:val="0"/>
        </w:numPr>
        <w:ind w:left="680" w:hanging="680"/>
        <w:rPr>
          <w:lang w:val="en-AU"/>
        </w:rPr>
      </w:pPr>
      <w:r w:rsidRPr="00B05F5C">
        <w:rPr>
          <w:lang w:val="en-AU"/>
        </w:rPr>
        <w:t>Effects on fertility</w:t>
      </w:r>
    </w:p>
    <w:p w14:paraId="70FD68A4" w14:textId="77777777" w:rsidR="00A25710" w:rsidRDefault="00A25710" w:rsidP="00A25710">
      <w:r w:rsidRPr="00A25710">
        <w:t xml:space="preserve">There are no fertility data available in humans and effects on fertility have not been investigated in animal studies with Flublok Quadrivalent. </w:t>
      </w:r>
    </w:p>
    <w:p w14:paraId="20F80403" w14:textId="5AA11708" w:rsidR="00A25710" w:rsidRPr="00A25710" w:rsidRDefault="00A25710" w:rsidP="00A25710">
      <w:r w:rsidRPr="00A25710">
        <w:t>There were no effects on the mating performance or fertility of female rats intramuscularly injected with the full clinical dose of Flublok (trivalent formulation), which was manufactured using the same process as Flublok Quadrivalent, 31 and 12 days prior to mating and Day 6 after mating. The effect on male fertility has not been determined.</w:t>
      </w:r>
    </w:p>
    <w:p w14:paraId="0E642078" w14:textId="19044312" w:rsidR="001A3992" w:rsidRPr="00B05F5C" w:rsidRDefault="001A3992" w:rsidP="00B05F5C">
      <w:pPr>
        <w:pStyle w:val="Heading3"/>
        <w:numPr>
          <w:ilvl w:val="0"/>
          <w:numId w:val="0"/>
        </w:numPr>
        <w:ind w:left="680" w:hanging="680"/>
        <w:rPr>
          <w:lang w:val="en-AU"/>
        </w:rPr>
      </w:pPr>
      <w:r w:rsidRPr="00B05F5C">
        <w:rPr>
          <w:lang w:val="en-AU"/>
        </w:rPr>
        <w:t xml:space="preserve">Use in pregnancy </w:t>
      </w:r>
      <w:r w:rsidR="00541139" w:rsidRPr="00B05F5C">
        <w:rPr>
          <w:lang w:val="en-AU"/>
        </w:rPr>
        <w:t>(Category B1)</w:t>
      </w:r>
    </w:p>
    <w:p w14:paraId="47FAA8EE" w14:textId="77777777" w:rsidR="00A25710" w:rsidRDefault="00A25710" w:rsidP="00A25710">
      <w:pPr>
        <w:spacing w:before="120" w:after="120"/>
      </w:pPr>
      <w:r w:rsidRPr="00A25710">
        <w:t>There were no developmental studies of Flublok Quadrivalent performed in animals.</w:t>
      </w:r>
    </w:p>
    <w:p w14:paraId="1D776CAC" w14:textId="77777777" w:rsidR="00A25710" w:rsidRDefault="00A25710" w:rsidP="00A25710">
      <w:pPr>
        <w:spacing w:before="120" w:after="120"/>
      </w:pPr>
      <w:r w:rsidRPr="00A25710">
        <w:t>The developmental effects of Flublok (trivalent formulation) are relevant to Flublok Quadrivalent because both vaccines are manufactured using the same process and have overlapping compositions. A reproductive study was conducted in female rats with Flublok (trivalent formulation). Animals were administered 0.5 mL doses of Flublok (trivalent formulation) 31 and 12 days prior to mating and on Day 6 of gestation. No vaccine-related effects on fetal development, fetal malformations or variations or pre-weaning development were observed.</w:t>
      </w:r>
    </w:p>
    <w:p w14:paraId="203B9033" w14:textId="77777777" w:rsidR="00A25710" w:rsidRDefault="00A25710" w:rsidP="00A25710">
      <w:pPr>
        <w:spacing w:before="120" w:after="120"/>
        <w:rPr>
          <w:lang w:val="en-AU"/>
        </w:rPr>
      </w:pPr>
      <w:r w:rsidRPr="00A25710">
        <w:t xml:space="preserve">The safety of Flublok Quadrivalent in pregnancy has not been assessed in clinical trials. </w:t>
      </w:r>
      <w:r w:rsidR="00A735D6" w:rsidRPr="00511840">
        <w:rPr>
          <w:lang w:val="en-AU"/>
        </w:rPr>
        <w:t xml:space="preserve">Pregnant women are at high risk of influenza complications, including premature </w:t>
      </w:r>
      <w:r w:rsidR="00F42242" w:rsidRPr="00511840">
        <w:rPr>
          <w:lang w:val="en-AU"/>
        </w:rPr>
        <w:t>lab</w:t>
      </w:r>
      <w:r w:rsidR="00F42242">
        <w:rPr>
          <w:lang w:val="en-AU"/>
        </w:rPr>
        <w:t>o</w:t>
      </w:r>
      <w:r w:rsidR="00F42242" w:rsidRPr="00511840">
        <w:rPr>
          <w:lang w:val="en-AU"/>
        </w:rPr>
        <w:t>ur</w:t>
      </w:r>
      <w:r w:rsidR="00A735D6" w:rsidRPr="00511840">
        <w:rPr>
          <w:lang w:val="en-AU"/>
        </w:rPr>
        <w:t xml:space="preserve"> and delivery, hospitalisation, and death. Available data on Flublok Quadrivalent in pregnant women are limited. An assessment of the risks and benefits should be performed by a health care professional before administering Flublok Quadrivalent to pregnant women.</w:t>
      </w:r>
    </w:p>
    <w:p w14:paraId="092BF545" w14:textId="2C219AC7" w:rsidR="00A25710" w:rsidRPr="00A25710" w:rsidRDefault="00A25710" w:rsidP="00A25710">
      <w:pPr>
        <w:spacing w:before="120" w:after="120"/>
      </w:pPr>
      <w:r w:rsidRPr="00A25710">
        <w:t xml:space="preserve">Refer to the current recommendations in the Immunisation Handbook for use in pregnancy. </w:t>
      </w:r>
    </w:p>
    <w:p w14:paraId="1C12EFB6" w14:textId="006DCA8F" w:rsidR="001A3992" w:rsidRPr="00B05F5C" w:rsidRDefault="001A3992" w:rsidP="00B05F5C">
      <w:pPr>
        <w:pStyle w:val="Heading3"/>
        <w:numPr>
          <w:ilvl w:val="0"/>
          <w:numId w:val="0"/>
        </w:numPr>
        <w:ind w:left="680" w:hanging="680"/>
        <w:rPr>
          <w:lang w:val="en-AU"/>
        </w:rPr>
      </w:pPr>
      <w:r w:rsidRPr="00B05F5C">
        <w:rPr>
          <w:lang w:val="en-AU"/>
        </w:rPr>
        <w:t xml:space="preserve">Use in lactation </w:t>
      </w:r>
    </w:p>
    <w:p w14:paraId="7244AC9E" w14:textId="378C7790" w:rsidR="00A735D6" w:rsidRPr="00511840" w:rsidRDefault="00A735D6" w:rsidP="00A25710">
      <w:pPr>
        <w:adjustRightInd w:val="0"/>
        <w:spacing w:before="120" w:after="120"/>
        <w:rPr>
          <w:rFonts w:eastAsia="Calibri"/>
          <w:lang w:val="en-AU"/>
        </w:rPr>
      </w:pPr>
      <w:r w:rsidRPr="00511840">
        <w:rPr>
          <w:lang w:val="en-AU"/>
        </w:rPr>
        <w:t>It is not known whether Flublok Quadrivalent is excreted in human milk. Data are not available to assess the effects of on Flublok Quadrivalent on the breast-fed infant or on milk production/excretion.</w:t>
      </w:r>
      <w:r w:rsidRPr="00511840">
        <w:rPr>
          <w:rFonts w:eastAsia="Calibri"/>
          <w:lang w:val="en-AU"/>
        </w:rPr>
        <w:t xml:space="preserve"> </w:t>
      </w:r>
      <w:r w:rsidRPr="00511840">
        <w:rPr>
          <w:rFonts w:ascii="Calibri" w:hAnsi="Arial"/>
          <w:iCs/>
          <w:kern w:val="24"/>
          <w:sz w:val="28"/>
          <w:szCs w:val="28"/>
          <w:lang w:val="en-AU"/>
        </w:rPr>
        <w:t xml:space="preserve"> </w:t>
      </w:r>
      <w:r w:rsidRPr="00511840">
        <w:rPr>
          <w:rFonts w:eastAsia="Calibri"/>
          <w:iCs/>
          <w:lang w:val="en-AU"/>
        </w:rPr>
        <w:t xml:space="preserve">An assessment of the risks and benefits should be performed by a health care professional before administering </w:t>
      </w:r>
      <w:r w:rsidRPr="00511840">
        <w:rPr>
          <w:lang w:val="en-AU"/>
        </w:rPr>
        <w:t xml:space="preserve">on Flublok Quadrivalent </w:t>
      </w:r>
      <w:r w:rsidRPr="00511840">
        <w:rPr>
          <w:rFonts w:eastAsia="Calibri"/>
          <w:iCs/>
          <w:lang w:val="en-AU"/>
        </w:rPr>
        <w:t>to a nursing woman.</w:t>
      </w:r>
    </w:p>
    <w:p w14:paraId="1D82E9AB" w14:textId="77777777" w:rsidR="00477BD3" w:rsidRPr="00511840" w:rsidRDefault="00477BD3" w:rsidP="00412545">
      <w:pPr>
        <w:rPr>
          <w:lang w:val="en-AU"/>
        </w:rPr>
      </w:pPr>
    </w:p>
    <w:p w14:paraId="424B02B6" w14:textId="792C490D" w:rsidR="001A3992" w:rsidRPr="00511840" w:rsidRDefault="001A3992" w:rsidP="00412545">
      <w:pPr>
        <w:pStyle w:val="Heading2"/>
        <w:spacing w:before="0" w:after="120"/>
        <w:rPr>
          <w:lang w:val="en-AU"/>
        </w:rPr>
      </w:pPr>
      <w:r w:rsidRPr="00511840">
        <w:rPr>
          <w:lang w:val="en-AU"/>
        </w:rPr>
        <w:t xml:space="preserve">Effects on ability to drive and use machines </w:t>
      </w:r>
    </w:p>
    <w:p w14:paraId="2D698FFE" w14:textId="1D923B7C" w:rsidR="002D5128" w:rsidRPr="00511840" w:rsidRDefault="002D5128" w:rsidP="00412545">
      <w:pPr>
        <w:pStyle w:val="00-Paragraph"/>
        <w:rPr>
          <w:sz w:val="24"/>
          <w:lang w:val="en-AU"/>
        </w:rPr>
      </w:pPr>
      <w:r w:rsidRPr="00511840">
        <w:rPr>
          <w:sz w:val="24"/>
          <w:lang w:val="en-AU"/>
        </w:rPr>
        <w:t xml:space="preserve">No studies on the effects of </w:t>
      </w:r>
      <w:r w:rsidR="00A735D6" w:rsidRPr="00511840">
        <w:rPr>
          <w:sz w:val="24"/>
          <w:lang w:val="en-AU"/>
        </w:rPr>
        <w:t>on Flublok Quadrivalent</w:t>
      </w:r>
      <w:r w:rsidRPr="00511840">
        <w:rPr>
          <w:sz w:val="24"/>
          <w:lang w:val="en-AU"/>
        </w:rPr>
        <w:t xml:space="preserve"> on the ability to drive or use machines have been performed.</w:t>
      </w:r>
    </w:p>
    <w:p w14:paraId="52B3E5CB" w14:textId="0D76A2B8" w:rsidR="00744556" w:rsidRDefault="00744556" w:rsidP="00412545">
      <w:pPr>
        <w:rPr>
          <w:lang w:val="en-AU"/>
        </w:rPr>
      </w:pPr>
    </w:p>
    <w:p w14:paraId="1B4D2BF0" w14:textId="77777777" w:rsidR="002600A1" w:rsidRPr="00511840" w:rsidRDefault="002600A1" w:rsidP="00412545">
      <w:pPr>
        <w:rPr>
          <w:lang w:val="en-AU"/>
        </w:rPr>
      </w:pPr>
    </w:p>
    <w:p w14:paraId="5A83893E" w14:textId="77777777" w:rsidR="001A3992" w:rsidRPr="00511840" w:rsidRDefault="001A3992" w:rsidP="00412545">
      <w:pPr>
        <w:pStyle w:val="Heading2"/>
        <w:keepNext w:val="0"/>
        <w:keepLines/>
        <w:spacing w:before="0" w:after="120"/>
        <w:rPr>
          <w:lang w:val="en-AU"/>
        </w:rPr>
      </w:pPr>
      <w:r w:rsidRPr="00511840">
        <w:rPr>
          <w:lang w:val="en-AU"/>
        </w:rPr>
        <w:t>Adverse effects (Undesirable effects)</w:t>
      </w:r>
    </w:p>
    <w:p w14:paraId="3E830ECF" w14:textId="77777777" w:rsidR="00A735D6" w:rsidRPr="00511840" w:rsidRDefault="00A735D6" w:rsidP="00A25710">
      <w:pPr>
        <w:spacing w:before="120" w:after="120"/>
        <w:rPr>
          <w:lang w:val="en-AU"/>
        </w:rPr>
      </w:pPr>
      <w:r w:rsidRPr="00511840">
        <w:rPr>
          <w:lang w:val="en-AU"/>
        </w:rPr>
        <w:t>Adverse event information is derived from clinical trials and post-marketing experience.</w:t>
      </w:r>
    </w:p>
    <w:p w14:paraId="3BFB8A8C" w14:textId="6FEEA696" w:rsidR="002D5128" w:rsidRPr="00B05F5C" w:rsidRDefault="002D5128" w:rsidP="00B05F5C">
      <w:pPr>
        <w:pStyle w:val="Heading3"/>
        <w:numPr>
          <w:ilvl w:val="0"/>
          <w:numId w:val="0"/>
        </w:numPr>
        <w:ind w:left="680" w:hanging="680"/>
        <w:rPr>
          <w:lang w:val="en-AU"/>
        </w:rPr>
      </w:pPr>
      <w:r w:rsidRPr="00B05F5C">
        <w:rPr>
          <w:lang w:val="en-AU"/>
        </w:rPr>
        <w:t>Clinical Trials</w:t>
      </w:r>
    </w:p>
    <w:p w14:paraId="0163D14E" w14:textId="4248C38E" w:rsidR="00A735D6" w:rsidRPr="00511840" w:rsidRDefault="003E1CF4" w:rsidP="00A25710">
      <w:pPr>
        <w:spacing w:before="120" w:after="120"/>
        <w:rPr>
          <w:lang w:val="en-AU"/>
        </w:rPr>
      </w:pPr>
      <w:r w:rsidRPr="00DB0AF7">
        <w:rPr>
          <w:lang w:val="en-AU"/>
        </w:rPr>
        <w:t>As</w:t>
      </w:r>
      <w:r w:rsidR="00A735D6" w:rsidRPr="00DB0AF7">
        <w:rPr>
          <w:lang w:val="en-AU"/>
        </w:rPr>
        <w:t xml:space="preserve"> clinical</w:t>
      </w:r>
      <w:r w:rsidR="00A735D6" w:rsidRPr="00511840">
        <w:rPr>
          <w:lang w:val="en-AU"/>
        </w:rPr>
        <w:t xml:space="preserve"> trials are conducted under widely varying conditions, and because the strain composition of influenza vaccines is subject to annual changes, adverse reaction rates observed in the clinical trial(s) of one vaccine cannot be directly compared to rates in the clinical trials of another vaccine and may not reflect the rates observed in practice.</w:t>
      </w:r>
    </w:p>
    <w:p w14:paraId="6D614D10" w14:textId="5C108FA6" w:rsidR="00A735D6" w:rsidRPr="00511840" w:rsidRDefault="00A735D6" w:rsidP="00A735D6">
      <w:pPr>
        <w:spacing w:before="120" w:after="120"/>
        <w:rPr>
          <w:lang w:val="en-AU"/>
        </w:rPr>
      </w:pPr>
      <w:r w:rsidRPr="00511840">
        <w:rPr>
          <w:lang w:val="en-AU"/>
        </w:rPr>
        <w:t xml:space="preserve">Flublok Quadrivalent has been administered to and safety data collected from 998 adults 18-49 years of age </w:t>
      </w:r>
      <w:r w:rsidRPr="00541139">
        <w:rPr>
          <w:lang w:val="en-AU"/>
        </w:rPr>
        <w:t>(</w:t>
      </w:r>
      <w:r w:rsidR="00F13B51" w:rsidRPr="00541139">
        <w:rPr>
          <w:lang w:val="en-AU"/>
        </w:rPr>
        <w:t>PSC16</w:t>
      </w:r>
      <w:r w:rsidRPr="00541139">
        <w:rPr>
          <w:lang w:val="en-AU"/>
        </w:rPr>
        <w:t>) and 4328 adults 50 years of age and older (</w:t>
      </w:r>
      <w:r w:rsidR="00F13B51" w:rsidRPr="00541139">
        <w:rPr>
          <w:lang w:val="en-AU"/>
        </w:rPr>
        <w:t>PSC12</w:t>
      </w:r>
      <w:r w:rsidRPr="00541139">
        <w:rPr>
          <w:lang w:val="en-AU"/>
        </w:rPr>
        <w:t>).</w:t>
      </w:r>
      <w:r w:rsidRPr="00511840">
        <w:rPr>
          <w:lang w:val="en-AU"/>
        </w:rPr>
        <w:t xml:space="preserve"> Both studies were Phase 3, multi-centr</w:t>
      </w:r>
      <w:r w:rsidR="00F44B72" w:rsidRPr="00511840">
        <w:rPr>
          <w:lang w:val="en-AU"/>
        </w:rPr>
        <w:t>e</w:t>
      </w:r>
      <w:r w:rsidRPr="00511840">
        <w:rPr>
          <w:lang w:val="en-AU"/>
        </w:rPr>
        <w:t>, randomised, active-controlled, double-blind trials conducted in the US.</w:t>
      </w:r>
    </w:p>
    <w:p w14:paraId="6155ED31" w14:textId="605AF343" w:rsidR="00A735D6" w:rsidRPr="00511840" w:rsidRDefault="00A735D6" w:rsidP="00A735D6">
      <w:pPr>
        <w:spacing w:before="120" w:after="120"/>
        <w:rPr>
          <w:lang w:val="en-AU"/>
        </w:rPr>
      </w:pPr>
      <w:r w:rsidRPr="00511840">
        <w:rPr>
          <w:lang w:val="en-AU"/>
        </w:rPr>
        <w:t>The most common reactions occurring after vaccine administration were injection-site reactions (tenderness and pain) reported overall by 48% and 37% of study participants 18-49 years of age receiving Flublok Quadrivalent, respectively and 47% and 36% respectively of those receiving the active comparator vaccine (</w:t>
      </w:r>
      <w:r w:rsidR="00F44B72" w:rsidRPr="00511840">
        <w:rPr>
          <w:color w:val="0000FF"/>
          <w:lang w:val="en-AU"/>
        </w:rPr>
        <w:fldChar w:fldCharType="begin"/>
      </w:r>
      <w:r w:rsidR="00F44B72" w:rsidRPr="00511840">
        <w:rPr>
          <w:color w:val="0000FF"/>
          <w:lang w:val="en-AU"/>
        </w:rPr>
        <w:instrText xml:space="preserve"> REF Table_20180109_111303SNPH \h  \* MERGEFORMAT </w:instrText>
      </w:r>
      <w:r w:rsidR="00F44B72" w:rsidRPr="00511840">
        <w:rPr>
          <w:color w:val="0000FF"/>
          <w:lang w:val="en-AU"/>
        </w:rPr>
      </w:r>
      <w:r w:rsidR="00F44B72" w:rsidRPr="00511840">
        <w:rPr>
          <w:color w:val="0000FF"/>
          <w:lang w:val="en-AU"/>
        </w:rPr>
        <w:fldChar w:fldCharType="separate"/>
      </w:r>
      <w:r w:rsidR="008266B0" w:rsidRPr="008266B0">
        <w:rPr>
          <w:color w:val="0000FF"/>
          <w:lang w:val="en-AU"/>
        </w:rPr>
        <w:t>Table 1</w:t>
      </w:r>
      <w:r w:rsidR="00F44B72" w:rsidRPr="00511840">
        <w:rPr>
          <w:color w:val="0000FF"/>
          <w:lang w:val="en-AU"/>
        </w:rPr>
        <w:fldChar w:fldCharType="end"/>
      </w:r>
      <w:r w:rsidRPr="00511840">
        <w:rPr>
          <w:lang w:val="en-AU"/>
        </w:rPr>
        <w:t xml:space="preserve">). </w:t>
      </w:r>
    </w:p>
    <w:p w14:paraId="3879519C" w14:textId="5D73418A" w:rsidR="00A735D6" w:rsidRPr="00511840" w:rsidRDefault="00A735D6" w:rsidP="002600A1">
      <w:pPr>
        <w:pStyle w:val="Caption"/>
        <w:pageBreakBefore/>
        <w:rPr>
          <w:rFonts w:ascii="Times New Roman Bold" w:hAnsi="Times New Roman Bold"/>
          <w:lang w:val="en-AU"/>
        </w:rPr>
      </w:pPr>
      <w:bookmarkStart w:id="2" w:name="Table_20180109_111303SNPH"/>
      <w:bookmarkStart w:id="3" w:name="_Toc503262508"/>
      <w:r w:rsidRPr="00511840">
        <w:rPr>
          <w:lang w:val="en-AU"/>
        </w:rPr>
        <w:lastRenderedPageBreak/>
        <w:t>Table</w:t>
      </w:r>
      <w:r w:rsidR="0084140A">
        <w:rPr>
          <w:lang w:val="en-AU"/>
        </w:rPr>
        <w:t xml:space="preserve"> </w:t>
      </w:r>
      <w:r w:rsidRPr="00511840">
        <w:rPr>
          <w:lang w:val="en-AU"/>
        </w:rPr>
        <w:fldChar w:fldCharType="begin"/>
      </w:r>
      <w:r w:rsidRPr="00511840">
        <w:rPr>
          <w:lang w:val="en-AU"/>
        </w:rPr>
        <w:instrText xml:space="preserve"> SEQ Table \* ARABIC </w:instrText>
      </w:r>
      <w:r w:rsidRPr="00511840">
        <w:rPr>
          <w:lang w:val="en-AU"/>
        </w:rPr>
        <w:fldChar w:fldCharType="separate"/>
      </w:r>
      <w:r w:rsidR="008266B0">
        <w:rPr>
          <w:noProof/>
          <w:lang w:val="en-AU"/>
        </w:rPr>
        <w:t>1</w:t>
      </w:r>
      <w:r w:rsidRPr="00511840">
        <w:rPr>
          <w:lang w:val="en-AU"/>
        </w:rPr>
        <w:fldChar w:fldCharType="end"/>
      </w:r>
      <w:bookmarkEnd w:id="2"/>
      <w:r w:rsidRPr="00511840">
        <w:rPr>
          <w:lang w:val="en-AU"/>
        </w:rPr>
        <w:t xml:space="preserve">: Frequency of </w:t>
      </w:r>
      <w:r w:rsidR="00A25710">
        <w:rPr>
          <w:lang w:val="en-AU"/>
        </w:rPr>
        <w:t xml:space="preserve">Solicited </w:t>
      </w:r>
      <w:r w:rsidRPr="00511840">
        <w:rPr>
          <w:lang w:val="en-AU"/>
        </w:rPr>
        <w:t xml:space="preserve">Injection Site and Systemic Adverse Reactions within 7 Days of Administration of </w:t>
      </w:r>
      <w:r w:rsidR="00F44B72" w:rsidRPr="00511840">
        <w:rPr>
          <w:lang w:val="en-AU"/>
        </w:rPr>
        <w:t>Flublok Quadrivalent</w:t>
      </w:r>
      <w:r w:rsidRPr="00511840">
        <w:rPr>
          <w:lang w:val="en-AU"/>
        </w:rPr>
        <w:t xml:space="preserve"> or Comparator in Adults 18-49 Years of Age</w:t>
      </w:r>
      <w:r w:rsidR="00271BE3">
        <w:rPr>
          <w:lang w:val="en-AU"/>
        </w:rPr>
        <w:t xml:space="preserve"> </w:t>
      </w:r>
      <w:r w:rsidR="00271BE3" w:rsidRPr="00354153">
        <w:rPr>
          <w:lang w:val="en-AU"/>
        </w:rPr>
        <w:t>in</w:t>
      </w:r>
      <w:r w:rsidRPr="00511840">
        <w:rPr>
          <w:lang w:val="en-AU"/>
        </w:rPr>
        <w:t xml:space="preserve"> </w:t>
      </w:r>
      <w:r w:rsidR="00F13B51">
        <w:rPr>
          <w:lang w:val="en-AU"/>
        </w:rPr>
        <w:t>PSC16</w:t>
      </w:r>
      <w:r w:rsidRPr="00511840">
        <w:rPr>
          <w:lang w:val="en-AU"/>
        </w:rPr>
        <w:t xml:space="preserve"> (Reactogenicity Populations)</w:t>
      </w:r>
      <w:r w:rsidRPr="00511840">
        <w:rPr>
          <w:rFonts w:ascii="Times New Roman Bold" w:hAnsi="Times New Roman Bold"/>
          <w:vertAlign w:val="superscript"/>
          <w:lang w:val="en-AU"/>
        </w:rPr>
        <w:t>1,2</w:t>
      </w:r>
      <w:bookmarkEnd w:id="3"/>
    </w:p>
    <w:tbl>
      <w:tblPr>
        <w:tblW w:w="5000" w:type="pct"/>
        <w:jc w:val="center"/>
        <w:tblBorders>
          <w:top w:val="single" w:sz="2" w:space="0" w:color="000000"/>
        </w:tblBorders>
        <w:tblLook w:val="0000" w:firstRow="0" w:lastRow="0" w:firstColumn="0" w:lastColumn="0" w:noHBand="0" w:noVBand="0"/>
      </w:tblPr>
      <w:tblGrid>
        <w:gridCol w:w="3431"/>
        <w:gridCol w:w="1099"/>
        <w:gridCol w:w="856"/>
        <w:gridCol w:w="856"/>
        <w:gridCol w:w="1089"/>
        <w:gridCol w:w="848"/>
        <w:gridCol w:w="847"/>
      </w:tblGrid>
      <w:tr w:rsidR="00825805" w:rsidRPr="00511840" w14:paraId="6A0E60B3" w14:textId="77777777" w:rsidTr="00DB0AF7">
        <w:trPr>
          <w:cantSplit/>
          <w:jc w:val="center"/>
        </w:trPr>
        <w:tc>
          <w:tcPr>
            <w:tcW w:w="1901" w:type="pct"/>
            <w:vMerge w:val="restart"/>
            <w:tcBorders>
              <w:top w:val="single" w:sz="4" w:space="0" w:color="000000"/>
              <w:bottom w:val="single" w:sz="4" w:space="0" w:color="000000"/>
            </w:tcBorders>
            <w:shd w:val="clear" w:color="auto" w:fill="auto"/>
            <w:tcMar>
              <w:left w:w="10" w:type="dxa"/>
              <w:right w:w="10" w:type="dxa"/>
            </w:tcMar>
          </w:tcPr>
          <w:p w14:paraId="213C9B3A" w14:textId="77777777" w:rsidR="00A735D6" w:rsidRPr="00511840" w:rsidRDefault="00A735D6" w:rsidP="00825805">
            <w:pPr>
              <w:pStyle w:val="TblHeadingCenter"/>
            </w:pPr>
            <w:r w:rsidRPr="00511840">
              <w:t>Reactogenicity</w:t>
            </w:r>
            <w:r w:rsidRPr="00511840">
              <w:br/>
              <w:t>Term</w:t>
            </w:r>
          </w:p>
        </w:tc>
        <w:tc>
          <w:tcPr>
            <w:tcW w:w="1556" w:type="pct"/>
            <w:gridSpan w:val="3"/>
            <w:tcBorders>
              <w:top w:val="single" w:sz="4" w:space="0" w:color="000000"/>
              <w:bottom w:val="single" w:sz="4" w:space="0" w:color="000000"/>
            </w:tcBorders>
            <w:shd w:val="clear" w:color="auto" w:fill="auto"/>
            <w:vAlign w:val="center"/>
          </w:tcPr>
          <w:p w14:paraId="251F879A" w14:textId="77777777" w:rsidR="00F44B72" w:rsidRPr="00511840" w:rsidRDefault="00F44B72" w:rsidP="00825805">
            <w:pPr>
              <w:pStyle w:val="TblHeadingCenter"/>
            </w:pPr>
            <w:r w:rsidRPr="00511840">
              <w:t xml:space="preserve">Flublok Quadrivalent </w:t>
            </w:r>
          </w:p>
          <w:p w14:paraId="2D1BB379" w14:textId="36E5B362" w:rsidR="00A735D6" w:rsidRPr="00511840" w:rsidRDefault="00A735D6" w:rsidP="00825805">
            <w:pPr>
              <w:pStyle w:val="TblHeadingCenter"/>
            </w:pPr>
            <w:r w:rsidRPr="00511840">
              <w:t>N=996</w:t>
            </w:r>
          </w:p>
          <w:p w14:paraId="1AC0F3AA" w14:textId="77777777" w:rsidR="00A735D6" w:rsidRPr="00511840" w:rsidRDefault="00A735D6" w:rsidP="00825805">
            <w:pPr>
              <w:pStyle w:val="TblHeadingCenter"/>
            </w:pPr>
            <w:r w:rsidRPr="00511840">
              <w:t>%</w:t>
            </w:r>
          </w:p>
        </w:tc>
        <w:tc>
          <w:tcPr>
            <w:tcW w:w="1543" w:type="pct"/>
            <w:gridSpan w:val="3"/>
            <w:tcBorders>
              <w:top w:val="single" w:sz="4" w:space="0" w:color="000000"/>
              <w:bottom w:val="single" w:sz="4" w:space="0" w:color="000000"/>
            </w:tcBorders>
            <w:shd w:val="clear" w:color="auto" w:fill="auto"/>
            <w:tcMar>
              <w:left w:w="10" w:type="dxa"/>
              <w:right w:w="10" w:type="dxa"/>
            </w:tcMar>
            <w:vAlign w:val="center"/>
          </w:tcPr>
          <w:p w14:paraId="775077E7" w14:textId="77777777" w:rsidR="00A735D6" w:rsidRPr="00511840" w:rsidRDefault="00A735D6" w:rsidP="00825805">
            <w:pPr>
              <w:pStyle w:val="TblHeadingCenter"/>
            </w:pPr>
            <w:r w:rsidRPr="00511840">
              <w:t>Comparator</w:t>
            </w:r>
            <w:r w:rsidRPr="00511840">
              <w:br/>
              <w:t>N=332</w:t>
            </w:r>
          </w:p>
          <w:p w14:paraId="6514CD21" w14:textId="77777777" w:rsidR="00A735D6" w:rsidRPr="00511840" w:rsidRDefault="00A735D6" w:rsidP="00825805">
            <w:pPr>
              <w:pStyle w:val="TblHeadingCenter"/>
            </w:pPr>
            <w:r w:rsidRPr="00511840">
              <w:t>%</w:t>
            </w:r>
          </w:p>
        </w:tc>
      </w:tr>
      <w:tr w:rsidR="003E1CF4" w:rsidRPr="00511840" w14:paraId="5A0D9173" w14:textId="77777777" w:rsidTr="00DB0AF7">
        <w:trPr>
          <w:cantSplit/>
          <w:jc w:val="center"/>
        </w:trPr>
        <w:tc>
          <w:tcPr>
            <w:tcW w:w="1901" w:type="pct"/>
            <w:vMerge/>
            <w:tcBorders>
              <w:top w:val="single" w:sz="4" w:space="0" w:color="auto"/>
              <w:bottom w:val="single" w:sz="4" w:space="0" w:color="000000"/>
            </w:tcBorders>
            <w:shd w:val="clear" w:color="auto" w:fill="auto"/>
            <w:tcMar>
              <w:left w:w="10" w:type="dxa"/>
              <w:right w:w="10" w:type="dxa"/>
            </w:tcMar>
            <w:vAlign w:val="bottom"/>
          </w:tcPr>
          <w:p w14:paraId="44A09A94" w14:textId="77777777" w:rsidR="00A735D6" w:rsidRPr="00511840" w:rsidRDefault="00A735D6" w:rsidP="00F44B72">
            <w:pPr>
              <w:spacing w:before="0"/>
              <w:rPr>
                <w:rFonts w:ascii="Arial Narrow" w:hAnsi="Arial Narrow"/>
                <w:sz w:val="20"/>
                <w:szCs w:val="20"/>
                <w:lang w:val="en-AU"/>
              </w:rPr>
            </w:pPr>
          </w:p>
        </w:tc>
        <w:tc>
          <w:tcPr>
            <w:tcW w:w="609" w:type="pct"/>
            <w:tcBorders>
              <w:top w:val="single" w:sz="4" w:space="0" w:color="000000"/>
              <w:bottom w:val="single" w:sz="4" w:space="0" w:color="auto"/>
            </w:tcBorders>
            <w:shd w:val="clear" w:color="auto" w:fill="auto"/>
            <w:tcMar>
              <w:left w:w="10" w:type="dxa"/>
              <w:right w:w="10" w:type="dxa"/>
            </w:tcMar>
            <w:vAlign w:val="center"/>
          </w:tcPr>
          <w:p w14:paraId="03DABF2D" w14:textId="44256E96" w:rsidR="00A735D6" w:rsidRPr="00825805" w:rsidRDefault="00A735D6" w:rsidP="00825805">
            <w:pPr>
              <w:pStyle w:val="TblTextCenter"/>
              <w:rPr>
                <w:b/>
              </w:rPr>
            </w:pPr>
            <w:r w:rsidRPr="00825805">
              <w:rPr>
                <w:b/>
              </w:rPr>
              <w:t>Any</w:t>
            </w:r>
            <w:r w:rsidR="00F44B72" w:rsidRPr="00825805">
              <w:rPr>
                <w:b/>
              </w:rPr>
              <w:t xml:space="preserve"> </w:t>
            </w:r>
            <w:r w:rsidRPr="00825805">
              <w:rPr>
                <w:b/>
              </w:rPr>
              <w:t>Grade</w:t>
            </w:r>
            <w:r w:rsidRPr="003E1CF4">
              <w:rPr>
                <w:b/>
                <w:vertAlign w:val="superscript"/>
              </w:rPr>
              <w:t>6</w:t>
            </w:r>
          </w:p>
        </w:tc>
        <w:tc>
          <w:tcPr>
            <w:tcW w:w="474" w:type="pct"/>
            <w:tcBorders>
              <w:top w:val="single" w:sz="4" w:space="0" w:color="000000"/>
              <w:bottom w:val="single" w:sz="4" w:space="0" w:color="auto"/>
            </w:tcBorders>
            <w:shd w:val="clear" w:color="auto" w:fill="auto"/>
            <w:tcMar>
              <w:left w:w="10" w:type="dxa"/>
              <w:right w:w="10" w:type="dxa"/>
            </w:tcMar>
            <w:vAlign w:val="center"/>
          </w:tcPr>
          <w:p w14:paraId="79E4C10A" w14:textId="77777777" w:rsidR="00A735D6" w:rsidRPr="00825805" w:rsidRDefault="00A735D6" w:rsidP="00825805">
            <w:pPr>
              <w:pStyle w:val="TblTextCenter"/>
              <w:rPr>
                <w:b/>
              </w:rPr>
            </w:pPr>
            <w:r w:rsidRPr="00825805">
              <w:rPr>
                <w:b/>
              </w:rPr>
              <w:t>Grade 3</w:t>
            </w:r>
          </w:p>
        </w:tc>
        <w:tc>
          <w:tcPr>
            <w:tcW w:w="474" w:type="pct"/>
            <w:tcBorders>
              <w:top w:val="single" w:sz="4" w:space="0" w:color="000000"/>
              <w:bottom w:val="single" w:sz="4" w:space="0" w:color="auto"/>
            </w:tcBorders>
            <w:shd w:val="clear" w:color="auto" w:fill="auto"/>
            <w:tcMar>
              <w:left w:w="10" w:type="dxa"/>
              <w:right w:w="10" w:type="dxa"/>
            </w:tcMar>
            <w:vAlign w:val="center"/>
          </w:tcPr>
          <w:p w14:paraId="57CE9677" w14:textId="77777777" w:rsidR="00A735D6" w:rsidRPr="00825805" w:rsidRDefault="00A735D6" w:rsidP="00825805">
            <w:pPr>
              <w:pStyle w:val="TblTextCenter"/>
              <w:rPr>
                <w:b/>
              </w:rPr>
            </w:pPr>
            <w:r w:rsidRPr="00825805">
              <w:rPr>
                <w:b/>
              </w:rPr>
              <w:t>Grade 4</w:t>
            </w:r>
          </w:p>
        </w:tc>
        <w:tc>
          <w:tcPr>
            <w:tcW w:w="603" w:type="pct"/>
            <w:tcBorders>
              <w:top w:val="single" w:sz="4" w:space="0" w:color="000000"/>
              <w:bottom w:val="single" w:sz="4" w:space="0" w:color="auto"/>
            </w:tcBorders>
            <w:shd w:val="clear" w:color="auto" w:fill="auto"/>
            <w:tcMar>
              <w:left w:w="10" w:type="dxa"/>
              <w:right w:w="10" w:type="dxa"/>
            </w:tcMar>
            <w:vAlign w:val="center"/>
          </w:tcPr>
          <w:p w14:paraId="2B6F3A8F" w14:textId="6B10532C" w:rsidR="00A735D6" w:rsidRPr="00825805" w:rsidRDefault="00A735D6" w:rsidP="00825805">
            <w:pPr>
              <w:pStyle w:val="TblTextCenter"/>
              <w:rPr>
                <w:b/>
              </w:rPr>
            </w:pPr>
            <w:r w:rsidRPr="00825805">
              <w:rPr>
                <w:b/>
              </w:rPr>
              <w:t>Any Grade</w:t>
            </w:r>
            <w:r w:rsidRPr="003E1CF4">
              <w:rPr>
                <w:b/>
                <w:vertAlign w:val="superscript"/>
              </w:rPr>
              <w:t>6</w:t>
            </w:r>
          </w:p>
        </w:tc>
        <w:tc>
          <w:tcPr>
            <w:tcW w:w="470" w:type="pct"/>
            <w:tcBorders>
              <w:top w:val="single" w:sz="4" w:space="0" w:color="000000"/>
              <w:bottom w:val="single" w:sz="4" w:space="0" w:color="auto"/>
            </w:tcBorders>
            <w:shd w:val="clear" w:color="auto" w:fill="auto"/>
            <w:tcMar>
              <w:left w:w="10" w:type="dxa"/>
              <w:right w:w="10" w:type="dxa"/>
            </w:tcMar>
            <w:vAlign w:val="center"/>
          </w:tcPr>
          <w:p w14:paraId="652645EE" w14:textId="77777777" w:rsidR="00A735D6" w:rsidRPr="00825805" w:rsidRDefault="00A735D6" w:rsidP="00825805">
            <w:pPr>
              <w:pStyle w:val="TblTextCenter"/>
              <w:rPr>
                <w:b/>
              </w:rPr>
            </w:pPr>
            <w:r w:rsidRPr="00825805">
              <w:rPr>
                <w:b/>
              </w:rPr>
              <w:t>Grade 3</w:t>
            </w:r>
          </w:p>
        </w:tc>
        <w:tc>
          <w:tcPr>
            <w:tcW w:w="470" w:type="pct"/>
            <w:tcBorders>
              <w:top w:val="single" w:sz="4" w:space="0" w:color="000000"/>
              <w:bottom w:val="single" w:sz="4" w:space="0" w:color="auto"/>
            </w:tcBorders>
            <w:shd w:val="clear" w:color="auto" w:fill="auto"/>
            <w:tcMar>
              <w:left w:w="10" w:type="dxa"/>
              <w:right w:w="10" w:type="dxa"/>
            </w:tcMar>
            <w:vAlign w:val="center"/>
          </w:tcPr>
          <w:p w14:paraId="0855AE54" w14:textId="77777777" w:rsidR="00A735D6" w:rsidRPr="00825805" w:rsidRDefault="00A735D6" w:rsidP="00825805">
            <w:pPr>
              <w:pStyle w:val="TblTextCenter"/>
              <w:rPr>
                <w:b/>
              </w:rPr>
            </w:pPr>
            <w:r w:rsidRPr="00825805">
              <w:rPr>
                <w:b/>
              </w:rPr>
              <w:t>Grade 4</w:t>
            </w:r>
          </w:p>
        </w:tc>
      </w:tr>
      <w:tr w:rsidR="003E1CF4" w:rsidRPr="00511840" w14:paraId="50A823F3" w14:textId="77777777" w:rsidTr="003E1CF4">
        <w:trPr>
          <w:cantSplit/>
          <w:jc w:val="center"/>
        </w:trPr>
        <w:tc>
          <w:tcPr>
            <w:tcW w:w="1901" w:type="pct"/>
            <w:tcBorders>
              <w:top w:val="single" w:sz="4" w:space="0" w:color="000000"/>
            </w:tcBorders>
            <w:shd w:val="clear" w:color="auto" w:fill="auto"/>
            <w:tcMar>
              <w:left w:w="10" w:type="dxa"/>
              <w:right w:w="10" w:type="dxa"/>
            </w:tcMar>
          </w:tcPr>
          <w:p w14:paraId="5591C6D0" w14:textId="77777777" w:rsidR="00A735D6" w:rsidRPr="003E1CF4" w:rsidRDefault="00A735D6" w:rsidP="00825805">
            <w:pPr>
              <w:pStyle w:val="TblTextLeft"/>
              <w:rPr>
                <w:b/>
              </w:rPr>
            </w:pPr>
            <w:r w:rsidRPr="003E1CF4">
              <w:rPr>
                <w:b/>
              </w:rPr>
              <w:t>Subjects with ≥1 injection site reaction</w:t>
            </w:r>
            <w:r w:rsidRPr="003E1CF4">
              <w:rPr>
                <w:b/>
                <w:vertAlign w:val="superscript"/>
              </w:rPr>
              <w:t>3, 4</w:t>
            </w:r>
          </w:p>
        </w:tc>
        <w:tc>
          <w:tcPr>
            <w:tcW w:w="609" w:type="pct"/>
            <w:tcBorders>
              <w:top w:val="single" w:sz="4" w:space="0" w:color="auto"/>
            </w:tcBorders>
            <w:shd w:val="clear" w:color="auto" w:fill="auto"/>
            <w:tcMar>
              <w:left w:w="10" w:type="dxa"/>
              <w:right w:w="10" w:type="dxa"/>
            </w:tcMar>
            <w:vAlign w:val="center"/>
          </w:tcPr>
          <w:p w14:paraId="5484F1D4" w14:textId="77777777" w:rsidR="00A735D6" w:rsidRPr="00825805" w:rsidRDefault="00A735D6" w:rsidP="00825805">
            <w:pPr>
              <w:pStyle w:val="TblTextCenter"/>
            </w:pPr>
            <w:r w:rsidRPr="00825805">
              <w:t>51</w:t>
            </w:r>
          </w:p>
        </w:tc>
        <w:tc>
          <w:tcPr>
            <w:tcW w:w="474" w:type="pct"/>
            <w:tcBorders>
              <w:top w:val="single" w:sz="4" w:space="0" w:color="auto"/>
            </w:tcBorders>
            <w:shd w:val="clear" w:color="auto" w:fill="auto"/>
            <w:tcMar>
              <w:left w:w="10" w:type="dxa"/>
              <w:right w:w="10" w:type="dxa"/>
            </w:tcMar>
            <w:vAlign w:val="center"/>
          </w:tcPr>
          <w:p w14:paraId="0B3E2ACF" w14:textId="77777777" w:rsidR="00A735D6" w:rsidRPr="00825805" w:rsidRDefault="00A735D6" w:rsidP="00825805">
            <w:pPr>
              <w:pStyle w:val="TblTextCenter"/>
            </w:pPr>
            <w:r w:rsidRPr="00825805">
              <w:t>1</w:t>
            </w:r>
          </w:p>
        </w:tc>
        <w:tc>
          <w:tcPr>
            <w:tcW w:w="474" w:type="pct"/>
            <w:tcBorders>
              <w:top w:val="single" w:sz="4" w:space="0" w:color="auto"/>
            </w:tcBorders>
            <w:shd w:val="clear" w:color="auto" w:fill="auto"/>
            <w:tcMar>
              <w:left w:w="10" w:type="dxa"/>
              <w:right w:w="10" w:type="dxa"/>
            </w:tcMar>
            <w:vAlign w:val="center"/>
          </w:tcPr>
          <w:p w14:paraId="6AFD040A" w14:textId="77777777" w:rsidR="00A735D6" w:rsidRPr="00825805" w:rsidRDefault="00A735D6" w:rsidP="00825805">
            <w:pPr>
              <w:pStyle w:val="TblTextCenter"/>
            </w:pPr>
            <w:r w:rsidRPr="00825805">
              <w:t>0</w:t>
            </w:r>
          </w:p>
        </w:tc>
        <w:tc>
          <w:tcPr>
            <w:tcW w:w="603" w:type="pct"/>
            <w:tcBorders>
              <w:top w:val="single" w:sz="4" w:space="0" w:color="auto"/>
            </w:tcBorders>
            <w:shd w:val="clear" w:color="auto" w:fill="auto"/>
            <w:tcMar>
              <w:left w:w="10" w:type="dxa"/>
              <w:right w:w="10" w:type="dxa"/>
            </w:tcMar>
            <w:vAlign w:val="center"/>
          </w:tcPr>
          <w:p w14:paraId="0790E05C" w14:textId="77777777" w:rsidR="00A735D6" w:rsidRPr="00825805" w:rsidRDefault="00A735D6" w:rsidP="00825805">
            <w:pPr>
              <w:pStyle w:val="TblTextCenter"/>
            </w:pPr>
            <w:r w:rsidRPr="00825805">
              <w:t>52</w:t>
            </w:r>
          </w:p>
        </w:tc>
        <w:tc>
          <w:tcPr>
            <w:tcW w:w="470" w:type="pct"/>
            <w:tcBorders>
              <w:top w:val="single" w:sz="4" w:space="0" w:color="auto"/>
            </w:tcBorders>
            <w:shd w:val="clear" w:color="auto" w:fill="auto"/>
            <w:tcMar>
              <w:left w:w="10" w:type="dxa"/>
              <w:right w:w="10" w:type="dxa"/>
            </w:tcMar>
            <w:vAlign w:val="center"/>
          </w:tcPr>
          <w:p w14:paraId="5BFBCC1D" w14:textId="77777777" w:rsidR="00A735D6" w:rsidRPr="00825805" w:rsidRDefault="00A735D6" w:rsidP="00825805">
            <w:pPr>
              <w:pStyle w:val="TblTextCenter"/>
            </w:pPr>
            <w:r w:rsidRPr="00825805">
              <w:t>2</w:t>
            </w:r>
          </w:p>
        </w:tc>
        <w:tc>
          <w:tcPr>
            <w:tcW w:w="470" w:type="pct"/>
            <w:tcBorders>
              <w:top w:val="single" w:sz="4" w:space="0" w:color="auto"/>
            </w:tcBorders>
            <w:shd w:val="clear" w:color="auto" w:fill="auto"/>
            <w:tcMar>
              <w:left w:w="10" w:type="dxa"/>
              <w:right w:w="10" w:type="dxa"/>
            </w:tcMar>
            <w:vAlign w:val="center"/>
          </w:tcPr>
          <w:p w14:paraId="65D25232" w14:textId="77777777" w:rsidR="00A735D6" w:rsidRPr="00825805" w:rsidRDefault="00A735D6" w:rsidP="00825805">
            <w:pPr>
              <w:pStyle w:val="TblTextCenter"/>
            </w:pPr>
            <w:r w:rsidRPr="00825805">
              <w:t>0</w:t>
            </w:r>
          </w:p>
        </w:tc>
      </w:tr>
      <w:tr w:rsidR="00825805" w:rsidRPr="00511840" w14:paraId="6F4155CB" w14:textId="77777777" w:rsidTr="003E1CF4">
        <w:trPr>
          <w:cantSplit/>
          <w:jc w:val="center"/>
        </w:trPr>
        <w:tc>
          <w:tcPr>
            <w:tcW w:w="1901" w:type="pct"/>
            <w:shd w:val="clear" w:color="auto" w:fill="auto"/>
            <w:tcMar>
              <w:left w:w="10" w:type="dxa"/>
              <w:right w:w="10" w:type="dxa"/>
            </w:tcMar>
          </w:tcPr>
          <w:p w14:paraId="5D780EAC" w14:textId="6DA255B3" w:rsidR="00A735D6" w:rsidRPr="00825805" w:rsidRDefault="00A735D6" w:rsidP="00AC7ED1">
            <w:pPr>
              <w:pStyle w:val="TblTextLeft"/>
              <w:ind w:left="130"/>
            </w:pPr>
            <w:r w:rsidRPr="00825805">
              <w:t>Local Tenderness</w:t>
            </w:r>
          </w:p>
        </w:tc>
        <w:tc>
          <w:tcPr>
            <w:tcW w:w="609" w:type="pct"/>
            <w:shd w:val="clear" w:color="auto" w:fill="auto"/>
            <w:tcMar>
              <w:left w:w="10" w:type="dxa"/>
              <w:right w:w="10" w:type="dxa"/>
            </w:tcMar>
            <w:vAlign w:val="center"/>
          </w:tcPr>
          <w:p w14:paraId="61D7BDD1" w14:textId="77777777" w:rsidR="00A735D6" w:rsidRPr="00825805" w:rsidRDefault="00A735D6" w:rsidP="00825805">
            <w:pPr>
              <w:pStyle w:val="TblTextCenter"/>
            </w:pPr>
            <w:r w:rsidRPr="00825805">
              <w:t>48</w:t>
            </w:r>
          </w:p>
        </w:tc>
        <w:tc>
          <w:tcPr>
            <w:tcW w:w="474" w:type="pct"/>
            <w:shd w:val="clear" w:color="auto" w:fill="auto"/>
            <w:tcMar>
              <w:left w:w="10" w:type="dxa"/>
              <w:right w:w="10" w:type="dxa"/>
            </w:tcMar>
            <w:vAlign w:val="center"/>
          </w:tcPr>
          <w:p w14:paraId="2C99D2E5" w14:textId="77777777" w:rsidR="00A735D6" w:rsidRPr="00825805" w:rsidRDefault="00A735D6" w:rsidP="00825805">
            <w:pPr>
              <w:pStyle w:val="TblTextCenter"/>
            </w:pPr>
            <w:r w:rsidRPr="00825805">
              <w:t>1</w:t>
            </w:r>
          </w:p>
        </w:tc>
        <w:tc>
          <w:tcPr>
            <w:tcW w:w="474" w:type="pct"/>
            <w:shd w:val="clear" w:color="auto" w:fill="auto"/>
            <w:tcMar>
              <w:left w:w="10" w:type="dxa"/>
              <w:right w:w="10" w:type="dxa"/>
            </w:tcMar>
            <w:vAlign w:val="center"/>
          </w:tcPr>
          <w:p w14:paraId="243C581C" w14:textId="77777777" w:rsidR="00A735D6" w:rsidRPr="00825805" w:rsidRDefault="00A735D6" w:rsidP="00825805">
            <w:pPr>
              <w:pStyle w:val="TblTextCenter"/>
            </w:pPr>
            <w:r w:rsidRPr="00825805">
              <w:t>0</w:t>
            </w:r>
          </w:p>
        </w:tc>
        <w:tc>
          <w:tcPr>
            <w:tcW w:w="603" w:type="pct"/>
            <w:shd w:val="clear" w:color="auto" w:fill="auto"/>
            <w:tcMar>
              <w:left w:w="10" w:type="dxa"/>
              <w:right w:w="10" w:type="dxa"/>
            </w:tcMar>
            <w:vAlign w:val="center"/>
          </w:tcPr>
          <w:p w14:paraId="3A0CF780" w14:textId="77777777" w:rsidR="00A735D6" w:rsidRPr="00825805" w:rsidRDefault="00A735D6" w:rsidP="00825805">
            <w:pPr>
              <w:pStyle w:val="TblTextCenter"/>
            </w:pPr>
            <w:r w:rsidRPr="00825805">
              <w:t>47</w:t>
            </w:r>
          </w:p>
        </w:tc>
        <w:tc>
          <w:tcPr>
            <w:tcW w:w="470" w:type="pct"/>
            <w:shd w:val="clear" w:color="auto" w:fill="auto"/>
            <w:tcMar>
              <w:left w:w="10" w:type="dxa"/>
              <w:right w:w="10" w:type="dxa"/>
            </w:tcMar>
            <w:vAlign w:val="center"/>
          </w:tcPr>
          <w:p w14:paraId="1E7FAE5D" w14:textId="77777777" w:rsidR="00A735D6" w:rsidRPr="00825805" w:rsidRDefault="00A735D6" w:rsidP="00825805">
            <w:pPr>
              <w:pStyle w:val="TblTextCenter"/>
            </w:pPr>
            <w:r w:rsidRPr="00825805">
              <w:t>1</w:t>
            </w:r>
          </w:p>
        </w:tc>
        <w:tc>
          <w:tcPr>
            <w:tcW w:w="470" w:type="pct"/>
            <w:shd w:val="clear" w:color="auto" w:fill="auto"/>
            <w:tcMar>
              <w:left w:w="10" w:type="dxa"/>
              <w:right w:w="10" w:type="dxa"/>
            </w:tcMar>
            <w:vAlign w:val="center"/>
          </w:tcPr>
          <w:p w14:paraId="2350D67E" w14:textId="77777777" w:rsidR="00A735D6" w:rsidRPr="00825805" w:rsidRDefault="00A735D6" w:rsidP="00825805">
            <w:pPr>
              <w:pStyle w:val="TblTextCenter"/>
            </w:pPr>
            <w:r w:rsidRPr="00825805">
              <w:t>0</w:t>
            </w:r>
          </w:p>
        </w:tc>
      </w:tr>
      <w:tr w:rsidR="00825805" w:rsidRPr="00511840" w14:paraId="7F365389" w14:textId="77777777" w:rsidTr="003E1CF4">
        <w:trPr>
          <w:cantSplit/>
          <w:jc w:val="center"/>
        </w:trPr>
        <w:tc>
          <w:tcPr>
            <w:tcW w:w="1901" w:type="pct"/>
            <w:shd w:val="clear" w:color="auto" w:fill="auto"/>
            <w:tcMar>
              <w:left w:w="10" w:type="dxa"/>
              <w:right w:w="10" w:type="dxa"/>
            </w:tcMar>
          </w:tcPr>
          <w:p w14:paraId="38854B87" w14:textId="35C25F0C" w:rsidR="00A735D6" w:rsidRPr="00825805" w:rsidRDefault="00A735D6" w:rsidP="00AC7ED1">
            <w:pPr>
              <w:pStyle w:val="TblTextLeft"/>
              <w:ind w:left="130"/>
            </w:pPr>
            <w:r w:rsidRPr="00825805">
              <w:t>Local Pain</w:t>
            </w:r>
          </w:p>
        </w:tc>
        <w:tc>
          <w:tcPr>
            <w:tcW w:w="609" w:type="pct"/>
            <w:shd w:val="clear" w:color="auto" w:fill="auto"/>
            <w:tcMar>
              <w:left w:w="10" w:type="dxa"/>
              <w:right w:w="10" w:type="dxa"/>
            </w:tcMar>
            <w:vAlign w:val="center"/>
          </w:tcPr>
          <w:p w14:paraId="6CAF3A67" w14:textId="77777777" w:rsidR="00A735D6" w:rsidRPr="00825805" w:rsidRDefault="00A735D6" w:rsidP="00825805">
            <w:pPr>
              <w:pStyle w:val="TblTextCenter"/>
            </w:pPr>
            <w:r w:rsidRPr="00825805">
              <w:t>37</w:t>
            </w:r>
          </w:p>
        </w:tc>
        <w:tc>
          <w:tcPr>
            <w:tcW w:w="474" w:type="pct"/>
            <w:shd w:val="clear" w:color="auto" w:fill="auto"/>
            <w:tcMar>
              <w:left w:w="10" w:type="dxa"/>
              <w:right w:w="10" w:type="dxa"/>
            </w:tcMar>
            <w:vAlign w:val="center"/>
          </w:tcPr>
          <w:p w14:paraId="196082BF" w14:textId="77777777" w:rsidR="00A735D6" w:rsidRPr="00825805" w:rsidRDefault="00A735D6" w:rsidP="00825805">
            <w:pPr>
              <w:pStyle w:val="TblTextCenter"/>
            </w:pPr>
            <w:r w:rsidRPr="00825805">
              <w:t>1</w:t>
            </w:r>
          </w:p>
        </w:tc>
        <w:tc>
          <w:tcPr>
            <w:tcW w:w="474" w:type="pct"/>
            <w:shd w:val="clear" w:color="auto" w:fill="auto"/>
            <w:tcMar>
              <w:left w:w="10" w:type="dxa"/>
              <w:right w:w="10" w:type="dxa"/>
            </w:tcMar>
            <w:vAlign w:val="center"/>
          </w:tcPr>
          <w:p w14:paraId="2684A0A5" w14:textId="77777777" w:rsidR="00A735D6" w:rsidRPr="00825805" w:rsidRDefault="00A735D6" w:rsidP="00825805">
            <w:pPr>
              <w:pStyle w:val="TblTextCenter"/>
            </w:pPr>
            <w:r w:rsidRPr="00825805">
              <w:t>0</w:t>
            </w:r>
          </w:p>
        </w:tc>
        <w:tc>
          <w:tcPr>
            <w:tcW w:w="603" w:type="pct"/>
            <w:shd w:val="clear" w:color="auto" w:fill="auto"/>
            <w:tcMar>
              <w:left w:w="10" w:type="dxa"/>
              <w:right w:w="10" w:type="dxa"/>
            </w:tcMar>
            <w:vAlign w:val="center"/>
          </w:tcPr>
          <w:p w14:paraId="4913A9D1" w14:textId="77777777" w:rsidR="00A735D6" w:rsidRPr="00825805" w:rsidRDefault="00A735D6" w:rsidP="00825805">
            <w:pPr>
              <w:pStyle w:val="TblTextCenter"/>
            </w:pPr>
            <w:r w:rsidRPr="00825805">
              <w:t>36</w:t>
            </w:r>
          </w:p>
        </w:tc>
        <w:tc>
          <w:tcPr>
            <w:tcW w:w="470" w:type="pct"/>
            <w:shd w:val="clear" w:color="auto" w:fill="auto"/>
            <w:tcMar>
              <w:left w:w="10" w:type="dxa"/>
              <w:right w:w="10" w:type="dxa"/>
            </w:tcMar>
            <w:vAlign w:val="center"/>
          </w:tcPr>
          <w:p w14:paraId="12668288" w14:textId="77777777" w:rsidR="00A735D6" w:rsidRPr="00825805" w:rsidRDefault="00A735D6" w:rsidP="00825805">
            <w:pPr>
              <w:pStyle w:val="TblTextCenter"/>
            </w:pPr>
            <w:r w:rsidRPr="00825805">
              <w:t>1</w:t>
            </w:r>
          </w:p>
        </w:tc>
        <w:tc>
          <w:tcPr>
            <w:tcW w:w="470" w:type="pct"/>
            <w:shd w:val="clear" w:color="auto" w:fill="auto"/>
            <w:tcMar>
              <w:left w:w="10" w:type="dxa"/>
              <w:right w:w="10" w:type="dxa"/>
            </w:tcMar>
            <w:vAlign w:val="center"/>
          </w:tcPr>
          <w:p w14:paraId="01AA5973" w14:textId="77777777" w:rsidR="00A735D6" w:rsidRPr="00825805" w:rsidRDefault="00A735D6" w:rsidP="00825805">
            <w:pPr>
              <w:pStyle w:val="TblTextCenter"/>
            </w:pPr>
            <w:r w:rsidRPr="00825805">
              <w:t>0</w:t>
            </w:r>
          </w:p>
        </w:tc>
      </w:tr>
      <w:tr w:rsidR="00825805" w:rsidRPr="00511840" w14:paraId="46DE3FD9" w14:textId="77777777" w:rsidTr="003E1CF4">
        <w:trPr>
          <w:cantSplit/>
          <w:jc w:val="center"/>
        </w:trPr>
        <w:tc>
          <w:tcPr>
            <w:tcW w:w="1901" w:type="pct"/>
            <w:shd w:val="clear" w:color="auto" w:fill="auto"/>
            <w:tcMar>
              <w:left w:w="10" w:type="dxa"/>
              <w:right w:w="10" w:type="dxa"/>
            </w:tcMar>
          </w:tcPr>
          <w:p w14:paraId="622FA8E7" w14:textId="7C82C6A8" w:rsidR="00A735D6" w:rsidRPr="00825805" w:rsidRDefault="00A735D6" w:rsidP="00AC7ED1">
            <w:pPr>
              <w:pStyle w:val="TblTextLeft"/>
              <w:ind w:left="130"/>
            </w:pPr>
            <w:r w:rsidRPr="00825805">
              <w:t>Firmness / Swelling</w:t>
            </w:r>
          </w:p>
        </w:tc>
        <w:tc>
          <w:tcPr>
            <w:tcW w:w="609" w:type="pct"/>
            <w:shd w:val="clear" w:color="auto" w:fill="auto"/>
            <w:tcMar>
              <w:left w:w="10" w:type="dxa"/>
              <w:right w:w="10" w:type="dxa"/>
            </w:tcMar>
            <w:vAlign w:val="center"/>
          </w:tcPr>
          <w:p w14:paraId="596F8E24" w14:textId="77777777" w:rsidR="00A735D6" w:rsidRPr="00825805" w:rsidRDefault="00A735D6" w:rsidP="00825805">
            <w:pPr>
              <w:pStyle w:val="TblTextCenter"/>
            </w:pPr>
            <w:r w:rsidRPr="00825805">
              <w:t>5</w:t>
            </w:r>
          </w:p>
        </w:tc>
        <w:tc>
          <w:tcPr>
            <w:tcW w:w="474" w:type="pct"/>
            <w:shd w:val="clear" w:color="auto" w:fill="auto"/>
            <w:tcMar>
              <w:left w:w="10" w:type="dxa"/>
              <w:right w:w="10" w:type="dxa"/>
            </w:tcMar>
            <w:vAlign w:val="center"/>
          </w:tcPr>
          <w:p w14:paraId="27ACEE52" w14:textId="77777777" w:rsidR="00A735D6" w:rsidRPr="00825805" w:rsidRDefault="00A735D6" w:rsidP="00825805">
            <w:pPr>
              <w:pStyle w:val="TblTextCenter"/>
            </w:pPr>
            <w:r w:rsidRPr="00825805">
              <w:t>0</w:t>
            </w:r>
          </w:p>
        </w:tc>
        <w:tc>
          <w:tcPr>
            <w:tcW w:w="474" w:type="pct"/>
            <w:shd w:val="clear" w:color="auto" w:fill="auto"/>
            <w:tcMar>
              <w:left w:w="10" w:type="dxa"/>
              <w:right w:w="10" w:type="dxa"/>
            </w:tcMar>
            <w:vAlign w:val="center"/>
          </w:tcPr>
          <w:p w14:paraId="303F8134" w14:textId="77777777" w:rsidR="00A735D6" w:rsidRPr="00825805" w:rsidRDefault="00A735D6" w:rsidP="00825805">
            <w:pPr>
              <w:pStyle w:val="TblTextCenter"/>
            </w:pPr>
            <w:r w:rsidRPr="00825805">
              <w:t>0</w:t>
            </w:r>
          </w:p>
        </w:tc>
        <w:tc>
          <w:tcPr>
            <w:tcW w:w="603" w:type="pct"/>
            <w:shd w:val="clear" w:color="auto" w:fill="auto"/>
            <w:tcMar>
              <w:left w:w="10" w:type="dxa"/>
              <w:right w:w="10" w:type="dxa"/>
            </w:tcMar>
            <w:vAlign w:val="center"/>
          </w:tcPr>
          <w:p w14:paraId="0F4C7153" w14:textId="77777777" w:rsidR="00A735D6" w:rsidRPr="00825805" w:rsidRDefault="00A735D6" w:rsidP="00825805">
            <w:pPr>
              <w:pStyle w:val="TblTextCenter"/>
            </w:pPr>
            <w:r w:rsidRPr="00825805">
              <w:t>3</w:t>
            </w:r>
          </w:p>
        </w:tc>
        <w:tc>
          <w:tcPr>
            <w:tcW w:w="470" w:type="pct"/>
            <w:shd w:val="clear" w:color="auto" w:fill="auto"/>
            <w:tcMar>
              <w:left w:w="10" w:type="dxa"/>
              <w:right w:w="10" w:type="dxa"/>
            </w:tcMar>
            <w:vAlign w:val="center"/>
          </w:tcPr>
          <w:p w14:paraId="02A430EF" w14:textId="77777777" w:rsidR="00A735D6" w:rsidRPr="00825805" w:rsidRDefault="00A735D6" w:rsidP="00825805">
            <w:pPr>
              <w:pStyle w:val="TblTextCenter"/>
            </w:pPr>
            <w:r w:rsidRPr="00825805">
              <w:t>0</w:t>
            </w:r>
          </w:p>
        </w:tc>
        <w:tc>
          <w:tcPr>
            <w:tcW w:w="470" w:type="pct"/>
            <w:shd w:val="clear" w:color="auto" w:fill="auto"/>
            <w:tcMar>
              <w:left w:w="10" w:type="dxa"/>
              <w:right w:w="10" w:type="dxa"/>
            </w:tcMar>
            <w:vAlign w:val="center"/>
          </w:tcPr>
          <w:p w14:paraId="6FF5E1A4" w14:textId="77777777" w:rsidR="00A735D6" w:rsidRPr="00825805" w:rsidRDefault="00A735D6" w:rsidP="00825805">
            <w:pPr>
              <w:pStyle w:val="TblTextCenter"/>
            </w:pPr>
            <w:r w:rsidRPr="00825805">
              <w:t>0</w:t>
            </w:r>
          </w:p>
        </w:tc>
      </w:tr>
      <w:tr w:rsidR="00825805" w:rsidRPr="00511840" w14:paraId="69F98A87" w14:textId="77777777" w:rsidTr="003E1CF4">
        <w:trPr>
          <w:cantSplit/>
          <w:jc w:val="center"/>
        </w:trPr>
        <w:tc>
          <w:tcPr>
            <w:tcW w:w="1901" w:type="pct"/>
            <w:shd w:val="clear" w:color="auto" w:fill="auto"/>
            <w:tcMar>
              <w:left w:w="10" w:type="dxa"/>
              <w:right w:w="10" w:type="dxa"/>
            </w:tcMar>
          </w:tcPr>
          <w:p w14:paraId="57444E8F" w14:textId="657816B6" w:rsidR="00A735D6" w:rsidRPr="00825805" w:rsidRDefault="00A735D6" w:rsidP="00AC7ED1">
            <w:pPr>
              <w:pStyle w:val="TblTextLeft"/>
              <w:ind w:left="130"/>
            </w:pPr>
            <w:r w:rsidRPr="00825805">
              <w:t>Redness</w:t>
            </w:r>
          </w:p>
        </w:tc>
        <w:tc>
          <w:tcPr>
            <w:tcW w:w="609" w:type="pct"/>
            <w:shd w:val="clear" w:color="auto" w:fill="auto"/>
            <w:tcMar>
              <w:left w:w="10" w:type="dxa"/>
              <w:right w:w="10" w:type="dxa"/>
            </w:tcMar>
            <w:vAlign w:val="center"/>
          </w:tcPr>
          <w:p w14:paraId="72869EE9" w14:textId="77777777" w:rsidR="00A735D6" w:rsidRPr="00825805" w:rsidRDefault="00A735D6" w:rsidP="00825805">
            <w:pPr>
              <w:pStyle w:val="TblTextCenter"/>
            </w:pPr>
            <w:r w:rsidRPr="00825805">
              <w:t>4</w:t>
            </w:r>
          </w:p>
        </w:tc>
        <w:tc>
          <w:tcPr>
            <w:tcW w:w="474" w:type="pct"/>
            <w:shd w:val="clear" w:color="auto" w:fill="auto"/>
            <w:tcMar>
              <w:left w:w="10" w:type="dxa"/>
              <w:right w:w="10" w:type="dxa"/>
            </w:tcMar>
            <w:vAlign w:val="center"/>
          </w:tcPr>
          <w:p w14:paraId="318B3E1E" w14:textId="77777777" w:rsidR="00A735D6" w:rsidRPr="00825805" w:rsidRDefault="00A735D6" w:rsidP="00825805">
            <w:pPr>
              <w:pStyle w:val="TblTextCenter"/>
            </w:pPr>
            <w:r w:rsidRPr="00825805">
              <w:t>0</w:t>
            </w:r>
          </w:p>
        </w:tc>
        <w:tc>
          <w:tcPr>
            <w:tcW w:w="474" w:type="pct"/>
            <w:shd w:val="clear" w:color="auto" w:fill="auto"/>
            <w:tcMar>
              <w:left w:w="10" w:type="dxa"/>
              <w:right w:w="10" w:type="dxa"/>
            </w:tcMar>
            <w:vAlign w:val="center"/>
          </w:tcPr>
          <w:p w14:paraId="45DAC6E9" w14:textId="77777777" w:rsidR="00A735D6" w:rsidRPr="00825805" w:rsidRDefault="00A735D6" w:rsidP="00825805">
            <w:pPr>
              <w:pStyle w:val="TblTextCenter"/>
            </w:pPr>
            <w:r w:rsidRPr="00825805">
              <w:t>0</w:t>
            </w:r>
          </w:p>
        </w:tc>
        <w:tc>
          <w:tcPr>
            <w:tcW w:w="603" w:type="pct"/>
            <w:shd w:val="clear" w:color="auto" w:fill="auto"/>
            <w:tcMar>
              <w:left w:w="10" w:type="dxa"/>
              <w:right w:w="10" w:type="dxa"/>
            </w:tcMar>
            <w:vAlign w:val="center"/>
          </w:tcPr>
          <w:p w14:paraId="750DB374" w14:textId="77777777" w:rsidR="00A735D6" w:rsidRPr="00825805" w:rsidRDefault="00A735D6" w:rsidP="00825805">
            <w:pPr>
              <w:pStyle w:val="TblTextCenter"/>
            </w:pPr>
            <w:r w:rsidRPr="00825805">
              <w:t>1</w:t>
            </w:r>
          </w:p>
        </w:tc>
        <w:tc>
          <w:tcPr>
            <w:tcW w:w="470" w:type="pct"/>
            <w:shd w:val="clear" w:color="auto" w:fill="auto"/>
            <w:tcMar>
              <w:left w:w="10" w:type="dxa"/>
              <w:right w:w="10" w:type="dxa"/>
            </w:tcMar>
            <w:vAlign w:val="center"/>
          </w:tcPr>
          <w:p w14:paraId="29AA6F0A" w14:textId="77777777" w:rsidR="00A735D6" w:rsidRPr="00825805" w:rsidRDefault="00A735D6" w:rsidP="00825805">
            <w:pPr>
              <w:pStyle w:val="TblTextCenter"/>
            </w:pPr>
            <w:r w:rsidRPr="00825805">
              <w:t>0</w:t>
            </w:r>
          </w:p>
        </w:tc>
        <w:tc>
          <w:tcPr>
            <w:tcW w:w="470" w:type="pct"/>
            <w:shd w:val="clear" w:color="auto" w:fill="auto"/>
            <w:tcMar>
              <w:left w:w="10" w:type="dxa"/>
              <w:right w:w="10" w:type="dxa"/>
            </w:tcMar>
            <w:vAlign w:val="center"/>
          </w:tcPr>
          <w:p w14:paraId="0A729CE4" w14:textId="77777777" w:rsidR="00A735D6" w:rsidRPr="00825805" w:rsidRDefault="00A735D6" w:rsidP="00825805">
            <w:pPr>
              <w:pStyle w:val="TblTextCenter"/>
            </w:pPr>
            <w:r w:rsidRPr="00825805">
              <w:t>0</w:t>
            </w:r>
          </w:p>
        </w:tc>
      </w:tr>
      <w:tr w:rsidR="00825805" w:rsidRPr="00511840" w14:paraId="70E140DF" w14:textId="77777777" w:rsidTr="003E1CF4">
        <w:trPr>
          <w:cantSplit/>
          <w:jc w:val="center"/>
        </w:trPr>
        <w:tc>
          <w:tcPr>
            <w:tcW w:w="1901" w:type="pct"/>
            <w:shd w:val="clear" w:color="auto" w:fill="auto"/>
            <w:tcMar>
              <w:left w:w="10" w:type="dxa"/>
              <w:right w:w="10" w:type="dxa"/>
            </w:tcMar>
          </w:tcPr>
          <w:p w14:paraId="2544439F" w14:textId="77777777" w:rsidR="00A735D6" w:rsidRPr="003E1CF4" w:rsidRDefault="00A735D6" w:rsidP="00825805">
            <w:pPr>
              <w:pStyle w:val="TblTextLeft"/>
              <w:rPr>
                <w:b/>
              </w:rPr>
            </w:pPr>
            <w:r w:rsidRPr="003E1CF4">
              <w:rPr>
                <w:b/>
              </w:rPr>
              <w:t>Subjects with ≥1  systemic  reaction</w:t>
            </w:r>
            <w:r w:rsidRPr="003E1CF4">
              <w:rPr>
                <w:b/>
                <w:vertAlign w:val="superscript"/>
              </w:rPr>
              <w:t>3,5</w:t>
            </w:r>
          </w:p>
        </w:tc>
        <w:tc>
          <w:tcPr>
            <w:tcW w:w="609" w:type="pct"/>
            <w:shd w:val="clear" w:color="auto" w:fill="auto"/>
            <w:tcMar>
              <w:left w:w="10" w:type="dxa"/>
              <w:right w:w="10" w:type="dxa"/>
            </w:tcMar>
            <w:vAlign w:val="center"/>
          </w:tcPr>
          <w:p w14:paraId="46E2F7CA" w14:textId="77777777" w:rsidR="00A735D6" w:rsidRPr="00825805" w:rsidRDefault="00A735D6" w:rsidP="00825805">
            <w:pPr>
              <w:pStyle w:val="TblTextCenter"/>
            </w:pPr>
            <w:r w:rsidRPr="00825805">
              <w:t>34</w:t>
            </w:r>
          </w:p>
        </w:tc>
        <w:tc>
          <w:tcPr>
            <w:tcW w:w="474" w:type="pct"/>
            <w:shd w:val="clear" w:color="auto" w:fill="auto"/>
            <w:tcMar>
              <w:left w:w="10" w:type="dxa"/>
              <w:right w:w="10" w:type="dxa"/>
            </w:tcMar>
            <w:vAlign w:val="center"/>
          </w:tcPr>
          <w:p w14:paraId="0C48CFBC" w14:textId="77777777" w:rsidR="00A735D6" w:rsidRPr="00825805" w:rsidRDefault="00A735D6" w:rsidP="00825805">
            <w:pPr>
              <w:pStyle w:val="TblTextCenter"/>
            </w:pPr>
            <w:r w:rsidRPr="00825805">
              <w:t>2</w:t>
            </w:r>
          </w:p>
        </w:tc>
        <w:tc>
          <w:tcPr>
            <w:tcW w:w="474" w:type="pct"/>
            <w:shd w:val="clear" w:color="auto" w:fill="auto"/>
            <w:tcMar>
              <w:left w:w="10" w:type="dxa"/>
              <w:right w:w="10" w:type="dxa"/>
            </w:tcMar>
            <w:vAlign w:val="center"/>
          </w:tcPr>
          <w:p w14:paraId="6056207C" w14:textId="77777777" w:rsidR="00A735D6" w:rsidRPr="00825805" w:rsidRDefault="00A735D6" w:rsidP="00825805">
            <w:pPr>
              <w:pStyle w:val="TblTextCenter"/>
            </w:pPr>
            <w:r w:rsidRPr="00825805">
              <w:t>&lt;1</w:t>
            </w:r>
          </w:p>
        </w:tc>
        <w:tc>
          <w:tcPr>
            <w:tcW w:w="603" w:type="pct"/>
            <w:shd w:val="clear" w:color="auto" w:fill="auto"/>
            <w:tcMar>
              <w:left w:w="10" w:type="dxa"/>
              <w:right w:w="10" w:type="dxa"/>
            </w:tcMar>
            <w:vAlign w:val="center"/>
          </w:tcPr>
          <w:p w14:paraId="63290FEF" w14:textId="77777777" w:rsidR="00A735D6" w:rsidRPr="00825805" w:rsidRDefault="00A735D6" w:rsidP="00825805">
            <w:pPr>
              <w:pStyle w:val="TblTextCenter"/>
            </w:pPr>
            <w:r w:rsidRPr="00825805">
              <w:t>36</w:t>
            </w:r>
          </w:p>
        </w:tc>
        <w:tc>
          <w:tcPr>
            <w:tcW w:w="470" w:type="pct"/>
            <w:shd w:val="clear" w:color="auto" w:fill="auto"/>
            <w:tcMar>
              <w:left w:w="10" w:type="dxa"/>
              <w:right w:w="10" w:type="dxa"/>
            </w:tcMar>
            <w:vAlign w:val="center"/>
          </w:tcPr>
          <w:p w14:paraId="39552A54" w14:textId="77777777" w:rsidR="00A735D6" w:rsidRPr="00825805" w:rsidRDefault="00A735D6" w:rsidP="00825805">
            <w:pPr>
              <w:pStyle w:val="TblTextCenter"/>
            </w:pPr>
            <w:r w:rsidRPr="00825805">
              <w:t>3</w:t>
            </w:r>
          </w:p>
        </w:tc>
        <w:tc>
          <w:tcPr>
            <w:tcW w:w="470" w:type="pct"/>
            <w:shd w:val="clear" w:color="auto" w:fill="auto"/>
            <w:tcMar>
              <w:left w:w="10" w:type="dxa"/>
              <w:right w:w="10" w:type="dxa"/>
            </w:tcMar>
            <w:vAlign w:val="center"/>
          </w:tcPr>
          <w:p w14:paraId="13459E94" w14:textId="77777777" w:rsidR="00A735D6" w:rsidRPr="00825805" w:rsidRDefault="00A735D6" w:rsidP="00825805">
            <w:pPr>
              <w:pStyle w:val="TblTextCenter"/>
            </w:pPr>
            <w:r w:rsidRPr="00825805">
              <w:t>&lt;1</w:t>
            </w:r>
          </w:p>
        </w:tc>
      </w:tr>
      <w:tr w:rsidR="00825805" w:rsidRPr="00511840" w14:paraId="072F0969" w14:textId="77777777" w:rsidTr="003E1CF4">
        <w:trPr>
          <w:cantSplit/>
          <w:jc w:val="center"/>
        </w:trPr>
        <w:tc>
          <w:tcPr>
            <w:tcW w:w="1901" w:type="pct"/>
            <w:shd w:val="clear" w:color="auto" w:fill="auto"/>
            <w:tcMar>
              <w:left w:w="10" w:type="dxa"/>
              <w:right w:w="10" w:type="dxa"/>
            </w:tcMar>
          </w:tcPr>
          <w:p w14:paraId="0C829231" w14:textId="03AEB347" w:rsidR="00A735D6" w:rsidRPr="00825805" w:rsidRDefault="00A735D6" w:rsidP="00AC7ED1">
            <w:pPr>
              <w:pStyle w:val="TblTextLeft"/>
              <w:ind w:left="130"/>
            </w:pPr>
            <w:r w:rsidRPr="00825805">
              <w:t>Headache</w:t>
            </w:r>
          </w:p>
        </w:tc>
        <w:tc>
          <w:tcPr>
            <w:tcW w:w="609" w:type="pct"/>
            <w:shd w:val="clear" w:color="auto" w:fill="auto"/>
            <w:tcMar>
              <w:left w:w="10" w:type="dxa"/>
              <w:right w:w="10" w:type="dxa"/>
            </w:tcMar>
            <w:vAlign w:val="center"/>
          </w:tcPr>
          <w:p w14:paraId="082F19ED" w14:textId="77777777" w:rsidR="00A735D6" w:rsidRPr="00825805" w:rsidRDefault="00A735D6" w:rsidP="00825805">
            <w:pPr>
              <w:pStyle w:val="TblTextCenter"/>
            </w:pPr>
            <w:r w:rsidRPr="00825805">
              <w:t>20</w:t>
            </w:r>
          </w:p>
        </w:tc>
        <w:tc>
          <w:tcPr>
            <w:tcW w:w="474" w:type="pct"/>
            <w:shd w:val="clear" w:color="auto" w:fill="auto"/>
            <w:tcMar>
              <w:left w:w="10" w:type="dxa"/>
              <w:right w:w="10" w:type="dxa"/>
            </w:tcMar>
            <w:vAlign w:val="center"/>
          </w:tcPr>
          <w:p w14:paraId="12024E73" w14:textId="77777777" w:rsidR="00A735D6" w:rsidRPr="00825805" w:rsidRDefault="00A735D6" w:rsidP="00825805">
            <w:pPr>
              <w:pStyle w:val="TblTextCenter"/>
            </w:pPr>
            <w:r w:rsidRPr="00825805">
              <w:t>1</w:t>
            </w:r>
          </w:p>
        </w:tc>
        <w:tc>
          <w:tcPr>
            <w:tcW w:w="474" w:type="pct"/>
            <w:shd w:val="clear" w:color="auto" w:fill="auto"/>
            <w:tcMar>
              <w:left w:w="10" w:type="dxa"/>
              <w:right w:w="10" w:type="dxa"/>
            </w:tcMar>
            <w:vAlign w:val="center"/>
          </w:tcPr>
          <w:p w14:paraId="7D8851D6" w14:textId="77777777" w:rsidR="00A735D6" w:rsidRPr="00825805" w:rsidRDefault="00A735D6" w:rsidP="00825805">
            <w:pPr>
              <w:pStyle w:val="TblTextCenter"/>
            </w:pPr>
            <w:r w:rsidRPr="00825805">
              <w:t>0</w:t>
            </w:r>
          </w:p>
        </w:tc>
        <w:tc>
          <w:tcPr>
            <w:tcW w:w="603" w:type="pct"/>
            <w:shd w:val="clear" w:color="auto" w:fill="auto"/>
            <w:tcMar>
              <w:left w:w="10" w:type="dxa"/>
              <w:right w:w="10" w:type="dxa"/>
            </w:tcMar>
            <w:vAlign w:val="center"/>
          </w:tcPr>
          <w:p w14:paraId="71B88A8E" w14:textId="77777777" w:rsidR="00A735D6" w:rsidRPr="00825805" w:rsidRDefault="00A735D6" w:rsidP="00825805">
            <w:pPr>
              <w:pStyle w:val="TblTextCenter"/>
            </w:pPr>
            <w:r w:rsidRPr="00825805">
              <w:t>21</w:t>
            </w:r>
          </w:p>
        </w:tc>
        <w:tc>
          <w:tcPr>
            <w:tcW w:w="470" w:type="pct"/>
            <w:shd w:val="clear" w:color="auto" w:fill="auto"/>
            <w:tcMar>
              <w:left w:w="10" w:type="dxa"/>
              <w:right w:w="10" w:type="dxa"/>
            </w:tcMar>
            <w:vAlign w:val="center"/>
          </w:tcPr>
          <w:p w14:paraId="4FA867B1" w14:textId="77777777" w:rsidR="00A735D6" w:rsidRPr="00825805" w:rsidRDefault="00A735D6" w:rsidP="00825805">
            <w:pPr>
              <w:pStyle w:val="TblTextCenter"/>
            </w:pPr>
            <w:r w:rsidRPr="00825805">
              <w:t>2</w:t>
            </w:r>
          </w:p>
        </w:tc>
        <w:tc>
          <w:tcPr>
            <w:tcW w:w="470" w:type="pct"/>
            <w:shd w:val="clear" w:color="auto" w:fill="auto"/>
            <w:tcMar>
              <w:left w:w="10" w:type="dxa"/>
              <w:right w:w="10" w:type="dxa"/>
            </w:tcMar>
            <w:vAlign w:val="center"/>
          </w:tcPr>
          <w:p w14:paraId="0A9EBFC1" w14:textId="77777777" w:rsidR="00A735D6" w:rsidRPr="00825805" w:rsidRDefault="00A735D6" w:rsidP="00825805">
            <w:pPr>
              <w:pStyle w:val="TblTextCenter"/>
            </w:pPr>
            <w:r w:rsidRPr="00825805">
              <w:t>&lt;1</w:t>
            </w:r>
          </w:p>
        </w:tc>
      </w:tr>
      <w:tr w:rsidR="00825805" w:rsidRPr="00511840" w14:paraId="754F7D10" w14:textId="77777777" w:rsidTr="003E1CF4">
        <w:trPr>
          <w:cantSplit/>
          <w:jc w:val="center"/>
        </w:trPr>
        <w:tc>
          <w:tcPr>
            <w:tcW w:w="1901" w:type="pct"/>
            <w:shd w:val="clear" w:color="auto" w:fill="auto"/>
            <w:tcMar>
              <w:left w:w="10" w:type="dxa"/>
              <w:right w:w="10" w:type="dxa"/>
            </w:tcMar>
          </w:tcPr>
          <w:p w14:paraId="3288C0C3" w14:textId="60206F6D" w:rsidR="00A735D6" w:rsidRPr="00825805" w:rsidRDefault="00A735D6" w:rsidP="00AC7ED1">
            <w:pPr>
              <w:pStyle w:val="TblTextLeft"/>
              <w:ind w:left="130"/>
            </w:pPr>
            <w:r w:rsidRPr="00825805">
              <w:t>Fatigue</w:t>
            </w:r>
          </w:p>
        </w:tc>
        <w:tc>
          <w:tcPr>
            <w:tcW w:w="609" w:type="pct"/>
            <w:shd w:val="clear" w:color="auto" w:fill="auto"/>
            <w:tcMar>
              <w:left w:w="10" w:type="dxa"/>
              <w:right w:w="10" w:type="dxa"/>
            </w:tcMar>
            <w:vAlign w:val="center"/>
          </w:tcPr>
          <w:p w14:paraId="4357B47C" w14:textId="77777777" w:rsidR="00A735D6" w:rsidRPr="00825805" w:rsidRDefault="00A735D6" w:rsidP="00825805">
            <w:pPr>
              <w:pStyle w:val="TblTextCenter"/>
            </w:pPr>
            <w:r w:rsidRPr="00825805">
              <w:t>17</w:t>
            </w:r>
          </w:p>
        </w:tc>
        <w:tc>
          <w:tcPr>
            <w:tcW w:w="474" w:type="pct"/>
            <w:shd w:val="clear" w:color="auto" w:fill="auto"/>
            <w:tcMar>
              <w:left w:w="10" w:type="dxa"/>
              <w:right w:w="10" w:type="dxa"/>
            </w:tcMar>
            <w:vAlign w:val="center"/>
          </w:tcPr>
          <w:p w14:paraId="16B3C301" w14:textId="77777777" w:rsidR="00A735D6" w:rsidRPr="00825805" w:rsidRDefault="00A735D6" w:rsidP="00825805">
            <w:pPr>
              <w:pStyle w:val="TblTextCenter"/>
            </w:pPr>
            <w:r w:rsidRPr="00825805">
              <w:t>1</w:t>
            </w:r>
          </w:p>
        </w:tc>
        <w:tc>
          <w:tcPr>
            <w:tcW w:w="474" w:type="pct"/>
            <w:shd w:val="clear" w:color="auto" w:fill="auto"/>
            <w:tcMar>
              <w:left w:w="10" w:type="dxa"/>
              <w:right w:w="10" w:type="dxa"/>
            </w:tcMar>
            <w:vAlign w:val="center"/>
          </w:tcPr>
          <w:p w14:paraId="094CBB8F" w14:textId="77777777" w:rsidR="00A735D6" w:rsidRPr="00825805" w:rsidRDefault="00A735D6" w:rsidP="00825805">
            <w:pPr>
              <w:pStyle w:val="TblTextCenter"/>
            </w:pPr>
            <w:r w:rsidRPr="00825805">
              <w:t>0</w:t>
            </w:r>
          </w:p>
        </w:tc>
        <w:tc>
          <w:tcPr>
            <w:tcW w:w="603" w:type="pct"/>
            <w:shd w:val="clear" w:color="auto" w:fill="auto"/>
            <w:tcMar>
              <w:left w:w="10" w:type="dxa"/>
              <w:right w:w="10" w:type="dxa"/>
            </w:tcMar>
            <w:vAlign w:val="center"/>
          </w:tcPr>
          <w:p w14:paraId="5FC40748" w14:textId="77777777" w:rsidR="00A735D6" w:rsidRPr="00825805" w:rsidRDefault="00A735D6" w:rsidP="00825805">
            <w:pPr>
              <w:pStyle w:val="TblTextCenter"/>
            </w:pPr>
            <w:r w:rsidRPr="00825805">
              <w:t>17</w:t>
            </w:r>
          </w:p>
        </w:tc>
        <w:tc>
          <w:tcPr>
            <w:tcW w:w="470" w:type="pct"/>
            <w:shd w:val="clear" w:color="auto" w:fill="auto"/>
            <w:tcMar>
              <w:left w:w="10" w:type="dxa"/>
              <w:right w:w="10" w:type="dxa"/>
            </w:tcMar>
            <w:vAlign w:val="center"/>
          </w:tcPr>
          <w:p w14:paraId="7E58470B" w14:textId="77777777" w:rsidR="00A735D6" w:rsidRPr="00825805" w:rsidRDefault="00A735D6" w:rsidP="00825805">
            <w:pPr>
              <w:pStyle w:val="TblTextCenter"/>
            </w:pPr>
            <w:r w:rsidRPr="00825805">
              <w:t>1</w:t>
            </w:r>
          </w:p>
        </w:tc>
        <w:tc>
          <w:tcPr>
            <w:tcW w:w="470" w:type="pct"/>
            <w:shd w:val="clear" w:color="auto" w:fill="auto"/>
            <w:tcMar>
              <w:left w:w="10" w:type="dxa"/>
              <w:right w:w="10" w:type="dxa"/>
            </w:tcMar>
            <w:vAlign w:val="center"/>
          </w:tcPr>
          <w:p w14:paraId="1BAA74CC" w14:textId="77777777" w:rsidR="00A735D6" w:rsidRPr="00825805" w:rsidRDefault="00A735D6" w:rsidP="00825805">
            <w:pPr>
              <w:pStyle w:val="TblTextCenter"/>
            </w:pPr>
            <w:r w:rsidRPr="00825805">
              <w:t>0</w:t>
            </w:r>
          </w:p>
        </w:tc>
      </w:tr>
      <w:tr w:rsidR="00825805" w:rsidRPr="00511840" w14:paraId="49BB9F81" w14:textId="77777777" w:rsidTr="003E1CF4">
        <w:trPr>
          <w:cantSplit/>
          <w:jc w:val="center"/>
        </w:trPr>
        <w:tc>
          <w:tcPr>
            <w:tcW w:w="1901" w:type="pct"/>
            <w:shd w:val="clear" w:color="auto" w:fill="auto"/>
            <w:tcMar>
              <w:left w:w="10" w:type="dxa"/>
              <w:right w:w="10" w:type="dxa"/>
            </w:tcMar>
          </w:tcPr>
          <w:p w14:paraId="057DCF8B" w14:textId="575F911F" w:rsidR="00A735D6" w:rsidRPr="00825805" w:rsidRDefault="00A735D6" w:rsidP="00AC7ED1">
            <w:pPr>
              <w:pStyle w:val="TblTextLeft"/>
              <w:ind w:left="130"/>
            </w:pPr>
            <w:r w:rsidRPr="00825805">
              <w:t>Muscle Pain</w:t>
            </w:r>
          </w:p>
        </w:tc>
        <w:tc>
          <w:tcPr>
            <w:tcW w:w="609" w:type="pct"/>
            <w:shd w:val="clear" w:color="auto" w:fill="auto"/>
            <w:tcMar>
              <w:left w:w="10" w:type="dxa"/>
              <w:right w:w="10" w:type="dxa"/>
            </w:tcMar>
            <w:vAlign w:val="center"/>
          </w:tcPr>
          <w:p w14:paraId="468FBD5F" w14:textId="77777777" w:rsidR="00A735D6" w:rsidRPr="00825805" w:rsidRDefault="00A735D6" w:rsidP="00825805">
            <w:pPr>
              <w:pStyle w:val="TblTextCenter"/>
            </w:pPr>
            <w:r w:rsidRPr="00825805">
              <w:t>13</w:t>
            </w:r>
          </w:p>
        </w:tc>
        <w:tc>
          <w:tcPr>
            <w:tcW w:w="474" w:type="pct"/>
            <w:shd w:val="clear" w:color="auto" w:fill="auto"/>
            <w:tcMar>
              <w:left w:w="10" w:type="dxa"/>
              <w:right w:w="10" w:type="dxa"/>
            </w:tcMar>
            <w:vAlign w:val="center"/>
          </w:tcPr>
          <w:p w14:paraId="1360AFFE" w14:textId="77777777" w:rsidR="00A735D6" w:rsidRPr="00825805" w:rsidRDefault="00A735D6" w:rsidP="00825805">
            <w:pPr>
              <w:pStyle w:val="TblTextCenter"/>
            </w:pPr>
            <w:r w:rsidRPr="00825805">
              <w:t>1</w:t>
            </w:r>
          </w:p>
        </w:tc>
        <w:tc>
          <w:tcPr>
            <w:tcW w:w="474" w:type="pct"/>
            <w:shd w:val="clear" w:color="auto" w:fill="auto"/>
            <w:tcMar>
              <w:left w:w="10" w:type="dxa"/>
              <w:right w:w="10" w:type="dxa"/>
            </w:tcMar>
            <w:vAlign w:val="center"/>
          </w:tcPr>
          <w:p w14:paraId="7F4C6BE0" w14:textId="77777777" w:rsidR="00A735D6" w:rsidRPr="00825805" w:rsidRDefault="00A735D6" w:rsidP="00825805">
            <w:pPr>
              <w:pStyle w:val="TblTextCenter"/>
            </w:pPr>
            <w:r w:rsidRPr="00825805">
              <w:t>0</w:t>
            </w:r>
          </w:p>
        </w:tc>
        <w:tc>
          <w:tcPr>
            <w:tcW w:w="603" w:type="pct"/>
            <w:shd w:val="clear" w:color="auto" w:fill="auto"/>
            <w:tcMar>
              <w:left w:w="10" w:type="dxa"/>
              <w:right w:w="10" w:type="dxa"/>
            </w:tcMar>
            <w:vAlign w:val="center"/>
          </w:tcPr>
          <w:p w14:paraId="31D370F4" w14:textId="77777777" w:rsidR="00A735D6" w:rsidRPr="00825805" w:rsidRDefault="00A735D6" w:rsidP="00825805">
            <w:pPr>
              <w:pStyle w:val="TblTextCenter"/>
            </w:pPr>
            <w:r w:rsidRPr="00825805">
              <w:t>12</w:t>
            </w:r>
          </w:p>
        </w:tc>
        <w:tc>
          <w:tcPr>
            <w:tcW w:w="470" w:type="pct"/>
            <w:shd w:val="clear" w:color="auto" w:fill="auto"/>
            <w:tcMar>
              <w:left w:w="10" w:type="dxa"/>
              <w:right w:w="10" w:type="dxa"/>
            </w:tcMar>
            <w:vAlign w:val="center"/>
          </w:tcPr>
          <w:p w14:paraId="17A10ECB" w14:textId="77777777" w:rsidR="00A735D6" w:rsidRPr="00825805" w:rsidRDefault="00A735D6" w:rsidP="00825805">
            <w:pPr>
              <w:pStyle w:val="TblTextCenter"/>
            </w:pPr>
            <w:r w:rsidRPr="00825805">
              <w:t>1</w:t>
            </w:r>
          </w:p>
        </w:tc>
        <w:tc>
          <w:tcPr>
            <w:tcW w:w="470" w:type="pct"/>
            <w:shd w:val="clear" w:color="auto" w:fill="auto"/>
            <w:tcMar>
              <w:left w:w="10" w:type="dxa"/>
              <w:right w:w="10" w:type="dxa"/>
            </w:tcMar>
            <w:vAlign w:val="center"/>
          </w:tcPr>
          <w:p w14:paraId="18C14688" w14:textId="77777777" w:rsidR="00A735D6" w:rsidRPr="00825805" w:rsidRDefault="00A735D6" w:rsidP="00825805">
            <w:pPr>
              <w:pStyle w:val="TblTextCenter"/>
            </w:pPr>
            <w:r w:rsidRPr="00825805">
              <w:t>0</w:t>
            </w:r>
          </w:p>
        </w:tc>
      </w:tr>
      <w:tr w:rsidR="00825805" w:rsidRPr="00511840" w14:paraId="3C97AB7A" w14:textId="77777777" w:rsidTr="003E1CF4">
        <w:trPr>
          <w:cantSplit/>
          <w:jc w:val="center"/>
        </w:trPr>
        <w:tc>
          <w:tcPr>
            <w:tcW w:w="1901" w:type="pct"/>
            <w:shd w:val="clear" w:color="auto" w:fill="auto"/>
            <w:tcMar>
              <w:left w:w="10" w:type="dxa"/>
              <w:right w:w="10" w:type="dxa"/>
            </w:tcMar>
          </w:tcPr>
          <w:p w14:paraId="3DE2F85F" w14:textId="084F3B04" w:rsidR="00A735D6" w:rsidRPr="00825805" w:rsidRDefault="00A735D6" w:rsidP="00AC7ED1">
            <w:pPr>
              <w:pStyle w:val="TblTextLeft"/>
              <w:ind w:left="130"/>
            </w:pPr>
            <w:r w:rsidRPr="00825805">
              <w:t>Joint Pain</w:t>
            </w:r>
          </w:p>
        </w:tc>
        <w:tc>
          <w:tcPr>
            <w:tcW w:w="609" w:type="pct"/>
            <w:shd w:val="clear" w:color="auto" w:fill="auto"/>
            <w:tcMar>
              <w:left w:w="10" w:type="dxa"/>
              <w:right w:w="10" w:type="dxa"/>
            </w:tcMar>
            <w:vAlign w:val="center"/>
          </w:tcPr>
          <w:p w14:paraId="475F2C8D" w14:textId="77777777" w:rsidR="00A735D6" w:rsidRPr="00825805" w:rsidRDefault="00A735D6" w:rsidP="00825805">
            <w:pPr>
              <w:pStyle w:val="TblTextCenter"/>
            </w:pPr>
            <w:r w:rsidRPr="00825805">
              <w:t>10</w:t>
            </w:r>
          </w:p>
        </w:tc>
        <w:tc>
          <w:tcPr>
            <w:tcW w:w="474" w:type="pct"/>
            <w:shd w:val="clear" w:color="auto" w:fill="auto"/>
            <w:tcMar>
              <w:left w:w="10" w:type="dxa"/>
              <w:right w:w="10" w:type="dxa"/>
            </w:tcMar>
            <w:vAlign w:val="center"/>
          </w:tcPr>
          <w:p w14:paraId="293D0779" w14:textId="77777777" w:rsidR="00A735D6" w:rsidRPr="00825805" w:rsidRDefault="00A735D6" w:rsidP="00825805">
            <w:pPr>
              <w:pStyle w:val="TblTextCenter"/>
            </w:pPr>
            <w:r w:rsidRPr="00825805">
              <w:t>1</w:t>
            </w:r>
          </w:p>
        </w:tc>
        <w:tc>
          <w:tcPr>
            <w:tcW w:w="474" w:type="pct"/>
            <w:shd w:val="clear" w:color="auto" w:fill="auto"/>
            <w:tcMar>
              <w:left w:w="10" w:type="dxa"/>
              <w:right w:w="10" w:type="dxa"/>
            </w:tcMar>
            <w:vAlign w:val="center"/>
          </w:tcPr>
          <w:p w14:paraId="2554762A" w14:textId="77777777" w:rsidR="00A735D6" w:rsidRPr="00825805" w:rsidRDefault="00A735D6" w:rsidP="00825805">
            <w:pPr>
              <w:pStyle w:val="TblTextCenter"/>
            </w:pPr>
            <w:r w:rsidRPr="00825805">
              <w:t>0</w:t>
            </w:r>
          </w:p>
        </w:tc>
        <w:tc>
          <w:tcPr>
            <w:tcW w:w="603" w:type="pct"/>
            <w:shd w:val="clear" w:color="auto" w:fill="auto"/>
            <w:tcMar>
              <w:left w:w="10" w:type="dxa"/>
              <w:right w:w="10" w:type="dxa"/>
            </w:tcMar>
            <w:vAlign w:val="center"/>
          </w:tcPr>
          <w:p w14:paraId="3445EE7E" w14:textId="77777777" w:rsidR="00A735D6" w:rsidRPr="00825805" w:rsidRDefault="00A735D6" w:rsidP="00825805">
            <w:pPr>
              <w:pStyle w:val="TblTextCenter"/>
            </w:pPr>
            <w:r w:rsidRPr="00825805">
              <w:t>10</w:t>
            </w:r>
          </w:p>
        </w:tc>
        <w:tc>
          <w:tcPr>
            <w:tcW w:w="470" w:type="pct"/>
            <w:shd w:val="clear" w:color="auto" w:fill="auto"/>
            <w:tcMar>
              <w:left w:w="10" w:type="dxa"/>
              <w:right w:w="10" w:type="dxa"/>
            </w:tcMar>
            <w:vAlign w:val="center"/>
          </w:tcPr>
          <w:p w14:paraId="79DB2B51" w14:textId="77777777" w:rsidR="00A735D6" w:rsidRPr="00825805" w:rsidRDefault="00A735D6" w:rsidP="00825805">
            <w:pPr>
              <w:pStyle w:val="TblTextCenter"/>
            </w:pPr>
            <w:r w:rsidRPr="00825805">
              <w:t>1</w:t>
            </w:r>
          </w:p>
        </w:tc>
        <w:tc>
          <w:tcPr>
            <w:tcW w:w="470" w:type="pct"/>
            <w:shd w:val="clear" w:color="auto" w:fill="auto"/>
            <w:tcMar>
              <w:left w:w="10" w:type="dxa"/>
              <w:right w:w="10" w:type="dxa"/>
            </w:tcMar>
            <w:vAlign w:val="center"/>
          </w:tcPr>
          <w:p w14:paraId="6819B091" w14:textId="77777777" w:rsidR="00A735D6" w:rsidRPr="00825805" w:rsidRDefault="00A735D6" w:rsidP="00825805">
            <w:pPr>
              <w:pStyle w:val="TblTextCenter"/>
            </w:pPr>
            <w:r w:rsidRPr="00825805">
              <w:t>0</w:t>
            </w:r>
          </w:p>
        </w:tc>
      </w:tr>
      <w:tr w:rsidR="00825805" w:rsidRPr="00511840" w14:paraId="53D08B95" w14:textId="77777777" w:rsidTr="003E1CF4">
        <w:trPr>
          <w:cantSplit/>
          <w:jc w:val="center"/>
        </w:trPr>
        <w:tc>
          <w:tcPr>
            <w:tcW w:w="1901" w:type="pct"/>
            <w:shd w:val="clear" w:color="auto" w:fill="auto"/>
            <w:tcMar>
              <w:left w:w="10" w:type="dxa"/>
              <w:right w:w="10" w:type="dxa"/>
            </w:tcMar>
          </w:tcPr>
          <w:p w14:paraId="219A4A61" w14:textId="6297B961" w:rsidR="00A735D6" w:rsidRPr="00825805" w:rsidRDefault="00A735D6" w:rsidP="00AC7ED1">
            <w:pPr>
              <w:pStyle w:val="TblTextLeft"/>
              <w:ind w:left="130"/>
            </w:pPr>
            <w:r w:rsidRPr="00825805">
              <w:t>Nausea</w:t>
            </w:r>
          </w:p>
        </w:tc>
        <w:tc>
          <w:tcPr>
            <w:tcW w:w="609" w:type="pct"/>
            <w:shd w:val="clear" w:color="auto" w:fill="auto"/>
            <w:tcMar>
              <w:left w:w="10" w:type="dxa"/>
              <w:right w:w="10" w:type="dxa"/>
            </w:tcMar>
            <w:vAlign w:val="center"/>
          </w:tcPr>
          <w:p w14:paraId="372423A9" w14:textId="77777777" w:rsidR="00A735D6" w:rsidRPr="00825805" w:rsidRDefault="00A735D6" w:rsidP="00825805">
            <w:pPr>
              <w:pStyle w:val="TblTextCenter"/>
            </w:pPr>
            <w:r w:rsidRPr="00825805">
              <w:t>9</w:t>
            </w:r>
          </w:p>
        </w:tc>
        <w:tc>
          <w:tcPr>
            <w:tcW w:w="474" w:type="pct"/>
            <w:shd w:val="clear" w:color="auto" w:fill="auto"/>
            <w:tcMar>
              <w:left w:w="10" w:type="dxa"/>
              <w:right w:w="10" w:type="dxa"/>
            </w:tcMar>
            <w:vAlign w:val="center"/>
          </w:tcPr>
          <w:p w14:paraId="0078DB9F" w14:textId="77777777" w:rsidR="00A735D6" w:rsidRPr="00825805" w:rsidRDefault="00A735D6" w:rsidP="00825805">
            <w:pPr>
              <w:pStyle w:val="TblTextCenter"/>
            </w:pPr>
            <w:r w:rsidRPr="00825805">
              <w:t>1</w:t>
            </w:r>
          </w:p>
        </w:tc>
        <w:tc>
          <w:tcPr>
            <w:tcW w:w="474" w:type="pct"/>
            <w:shd w:val="clear" w:color="auto" w:fill="auto"/>
            <w:tcMar>
              <w:left w:w="10" w:type="dxa"/>
              <w:right w:w="10" w:type="dxa"/>
            </w:tcMar>
            <w:vAlign w:val="center"/>
          </w:tcPr>
          <w:p w14:paraId="378E1258" w14:textId="77777777" w:rsidR="00A735D6" w:rsidRPr="00825805" w:rsidRDefault="00A735D6" w:rsidP="00825805">
            <w:pPr>
              <w:pStyle w:val="TblTextCenter"/>
            </w:pPr>
            <w:r w:rsidRPr="00825805">
              <w:t>&lt;1</w:t>
            </w:r>
          </w:p>
        </w:tc>
        <w:tc>
          <w:tcPr>
            <w:tcW w:w="603" w:type="pct"/>
            <w:shd w:val="clear" w:color="auto" w:fill="auto"/>
            <w:tcMar>
              <w:left w:w="10" w:type="dxa"/>
              <w:right w:w="10" w:type="dxa"/>
            </w:tcMar>
            <w:vAlign w:val="center"/>
          </w:tcPr>
          <w:p w14:paraId="60627A8E" w14:textId="77777777" w:rsidR="00A735D6" w:rsidRPr="00825805" w:rsidRDefault="00A735D6" w:rsidP="00825805">
            <w:pPr>
              <w:pStyle w:val="TblTextCenter"/>
            </w:pPr>
            <w:r w:rsidRPr="00825805">
              <w:t>9</w:t>
            </w:r>
          </w:p>
        </w:tc>
        <w:tc>
          <w:tcPr>
            <w:tcW w:w="470" w:type="pct"/>
            <w:shd w:val="clear" w:color="auto" w:fill="auto"/>
            <w:tcMar>
              <w:left w:w="10" w:type="dxa"/>
              <w:right w:w="10" w:type="dxa"/>
            </w:tcMar>
            <w:vAlign w:val="center"/>
          </w:tcPr>
          <w:p w14:paraId="3D0494EB" w14:textId="77777777" w:rsidR="00A735D6" w:rsidRPr="00825805" w:rsidRDefault="00A735D6" w:rsidP="00825805">
            <w:pPr>
              <w:pStyle w:val="TblTextCenter"/>
            </w:pPr>
            <w:r w:rsidRPr="00825805">
              <w:t>1</w:t>
            </w:r>
          </w:p>
        </w:tc>
        <w:tc>
          <w:tcPr>
            <w:tcW w:w="470" w:type="pct"/>
            <w:shd w:val="clear" w:color="auto" w:fill="auto"/>
            <w:tcMar>
              <w:left w:w="10" w:type="dxa"/>
              <w:right w:w="10" w:type="dxa"/>
            </w:tcMar>
            <w:vAlign w:val="center"/>
          </w:tcPr>
          <w:p w14:paraId="73D1D475" w14:textId="77777777" w:rsidR="00A735D6" w:rsidRPr="00825805" w:rsidRDefault="00A735D6" w:rsidP="00825805">
            <w:pPr>
              <w:pStyle w:val="TblTextCenter"/>
            </w:pPr>
            <w:r w:rsidRPr="00825805">
              <w:t>0</w:t>
            </w:r>
          </w:p>
        </w:tc>
      </w:tr>
      <w:tr w:rsidR="00825805" w:rsidRPr="00511840" w14:paraId="52D97D39" w14:textId="77777777" w:rsidTr="003E1CF4">
        <w:trPr>
          <w:cantSplit/>
          <w:jc w:val="center"/>
        </w:trPr>
        <w:tc>
          <w:tcPr>
            <w:tcW w:w="1901" w:type="pct"/>
            <w:shd w:val="clear" w:color="auto" w:fill="auto"/>
            <w:tcMar>
              <w:left w:w="10" w:type="dxa"/>
              <w:right w:w="10" w:type="dxa"/>
            </w:tcMar>
          </w:tcPr>
          <w:p w14:paraId="0287AF5F" w14:textId="71AFAF87" w:rsidR="00A735D6" w:rsidRPr="00825805" w:rsidRDefault="00A735D6" w:rsidP="00AC7ED1">
            <w:pPr>
              <w:pStyle w:val="TblTextLeft"/>
              <w:ind w:left="130"/>
            </w:pPr>
            <w:r w:rsidRPr="00825805">
              <w:t>Shivering / Chills</w:t>
            </w:r>
          </w:p>
        </w:tc>
        <w:tc>
          <w:tcPr>
            <w:tcW w:w="609" w:type="pct"/>
            <w:shd w:val="clear" w:color="auto" w:fill="auto"/>
            <w:tcMar>
              <w:left w:w="10" w:type="dxa"/>
              <w:right w:w="10" w:type="dxa"/>
            </w:tcMar>
            <w:vAlign w:val="center"/>
          </w:tcPr>
          <w:p w14:paraId="2A5F73A1" w14:textId="77777777" w:rsidR="00A735D6" w:rsidRPr="00825805" w:rsidRDefault="00A735D6" w:rsidP="00825805">
            <w:pPr>
              <w:pStyle w:val="TblTextCenter"/>
            </w:pPr>
            <w:r w:rsidRPr="00825805">
              <w:t>7</w:t>
            </w:r>
          </w:p>
        </w:tc>
        <w:tc>
          <w:tcPr>
            <w:tcW w:w="474" w:type="pct"/>
            <w:shd w:val="clear" w:color="auto" w:fill="auto"/>
            <w:tcMar>
              <w:left w:w="10" w:type="dxa"/>
              <w:right w:w="10" w:type="dxa"/>
            </w:tcMar>
            <w:vAlign w:val="center"/>
          </w:tcPr>
          <w:p w14:paraId="2AE3B019" w14:textId="77777777" w:rsidR="00A735D6" w:rsidRPr="00825805" w:rsidRDefault="00A735D6" w:rsidP="00825805">
            <w:pPr>
              <w:pStyle w:val="TblTextCenter"/>
            </w:pPr>
            <w:r w:rsidRPr="00825805">
              <w:t>1</w:t>
            </w:r>
          </w:p>
        </w:tc>
        <w:tc>
          <w:tcPr>
            <w:tcW w:w="474" w:type="pct"/>
            <w:shd w:val="clear" w:color="auto" w:fill="auto"/>
            <w:tcMar>
              <w:left w:w="10" w:type="dxa"/>
              <w:right w:w="10" w:type="dxa"/>
            </w:tcMar>
            <w:vAlign w:val="center"/>
          </w:tcPr>
          <w:p w14:paraId="7BE779EF" w14:textId="77777777" w:rsidR="00A735D6" w:rsidRPr="00825805" w:rsidRDefault="00A735D6" w:rsidP="00825805">
            <w:pPr>
              <w:pStyle w:val="TblTextCenter"/>
            </w:pPr>
            <w:r w:rsidRPr="00825805">
              <w:t>0</w:t>
            </w:r>
          </w:p>
        </w:tc>
        <w:tc>
          <w:tcPr>
            <w:tcW w:w="603" w:type="pct"/>
            <w:shd w:val="clear" w:color="auto" w:fill="auto"/>
            <w:tcMar>
              <w:left w:w="10" w:type="dxa"/>
              <w:right w:w="10" w:type="dxa"/>
            </w:tcMar>
            <w:vAlign w:val="center"/>
          </w:tcPr>
          <w:p w14:paraId="7A3DB145" w14:textId="77777777" w:rsidR="00A735D6" w:rsidRPr="00825805" w:rsidRDefault="00A735D6" w:rsidP="00825805">
            <w:pPr>
              <w:pStyle w:val="TblTextCenter"/>
            </w:pPr>
            <w:r w:rsidRPr="00825805">
              <w:t>6</w:t>
            </w:r>
          </w:p>
        </w:tc>
        <w:tc>
          <w:tcPr>
            <w:tcW w:w="470" w:type="pct"/>
            <w:shd w:val="clear" w:color="auto" w:fill="auto"/>
            <w:tcMar>
              <w:left w:w="10" w:type="dxa"/>
              <w:right w:w="10" w:type="dxa"/>
            </w:tcMar>
            <w:vAlign w:val="center"/>
          </w:tcPr>
          <w:p w14:paraId="2BC69031" w14:textId="77777777" w:rsidR="00A735D6" w:rsidRPr="00825805" w:rsidRDefault="00A735D6" w:rsidP="00825805">
            <w:pPr>
              <w:pStyle w:val="TblTextCenter"/>
            </w:pPr>
            <w:r w:rsidRPr="00825805">
              <w:t>1</w:t>
            </w:r>
          </w:p>
        </w:tc>
        <w:tc>
          <w:tcPr>
            <w:tcW w:w="470" w:type="pct"/>
            <w:shd w:val="clear" w:color="auto" w:fill="auto"/>
            <w:tcMar>
              <w:left w:w="10" w:type="dxa"/>
              <w:right w:w="10" w:type="dxa"/>
            </w:tcMar>
            <w:vAlign w:val="center"/>
          </w:tcPr>
          <w:p w14:paraId="7B965F78" w14:textId="77777777" w:rsidR="00A735D6" w:rsidRPr="00825805" w:rsidRDefault="00A735D6" w:rsidP="00825805">
            <w:pPr>
              <w:pStyle w:val="TblTextCenter"/>
            </w:pPr>
            <w:r w:rsidRPr="00825805">
              <w:t>0</w:t>
            </w:r>
          </w:p>
        </w:tc>
      </w:tr>
      <w:tr w:rsidR="00825805" w:rsidRPr="00511840" w14:paraId="02A98000" w14:textId="77777777" w:rsidTr="003E1CF4">
        <w:trPr>
          <w:cantSplit/>
          <w:jc w:val="center"/>
        </w:trPr>
        <w:tc>
          <w:tcPr>
            <w:tcW w:w="1901" w:type="pct"/>
            <w:shd w:val="clear" w:color="auto" w:fill="auto"/>
            <w:tcMar>
              <w:left w:w="10" w:type="dxa"/>
              <w:right w:w="10" w:type="dxa"/>
            </w:tcMar>
          </w:tcPr>
          <w:p w14:paraId="7CA5CCA5" w14:textId="7BEDC075" w:rsidR="00A735D6" w:rsidRPr="00825805" w:rsidRDefault="00A735D6" w:rsidP="00AC7ED1">
            <w:pPr>
              <w:pStyle w:val="TblTextLeft"/>
              <w:ind w:left="130"/>
            </w:pPr>
            <w:r w:rsidRPr="00825805">
              <w:t>Fever</w:t>
            </w:r>
            <w:r w:rsidRPr="003E1CF4">
              <w:rPr>
                <w:vertAlign w:val="superscript"/>
              </w:rPr>
              <w:t>6, 7</w:t>
            </w:r>
          </w:p>
        </w:tc>
        <w:tc>
          <w:tcPr>
            <w:tcW w:w="609" w:type="pct"/>
            <w:shd w:val="clear" w:color="auto" w:fill="auto"/>
            <w:tcMar>
              <w:left w:w="10" w:type="dxa"/>
              <w:right w:w="10" w:type="dxa"/>
            </w:tcMar>
            <w:vAlign w:val="center"/>
          </w:tcPr>
          <w:p w14:paraId="7FA8C714" w14:textId="77777777" w:rsidR="00A735D6" w:rsidRPr="00825805" w:rsidRDefault="00A735D6" w:rsidP="00825805">
            <w:pPr>
              <w:pStyle w:val="TblTextCenter"/>
            </w:pPr>
            <w:r w:rsidRPr="00825805">
              <w:t>2</w:t>
            </w:r>
          </w:p>
        </w:tc>
        <w:tc>
          <w:tcPr>
            <w:tcW w:w="474" w:type="pct"/>
            <w:shd w:val="clear" w:color="auto" w:fill="auto"/>
            <w:tcMar>
              <w:left w:w="10" w:type="dxa"/>
              <w:right w:w="10" w:type="dxa"/>
            </w:tcMar>
            <w:vAlign w:val="center"/>
          </w:tcPr>
          <w:p w14:paraId="08EA5543" w14:textId="77777777" w:rsidR="00A735D6" w:rsidRPr="00825805" w:rsidRDefault="00A735D6" w:rsidP="00825805">
            <w:pPr>
              <w:pStyle w:val="TblTextCenter"/>
            </w:pPr>
            <w:r w:rsidRPr="00825805">
              <w:t>&lt;1</w:t>
            </w:r>
          </w:p>
        </w:tc>
        <w:tc>
          <w:tcPr>
            <w:tcW w:w="474" w:type="pct"/>
            <w:shd w:val="clear" w:color="auto" w:fill="auto"/>
            <w:tcMar>
              <w:left w:w="10" w:type="dxa"/>
              <w:right w:w="10" w:type="dxa"/>
            </w:tcMar>
            <w:vAlign w:val="center"/>
          </w:tcPr>
          <w:p w14:paraId="20D59CB8" w14:textId="77777777" w:rsidR="00A735D6" w:rsidRPr="00825805" w:rsidRDefault="00A735D6" w:rsidP="00825805">
            <w:pPr>
              <w:pStyle w:val="TblTextCenter"/>
            </w:pPr>
            <w:r w:rsidRPr="00825805">
              <w:t>0</w:t>
            </w:r>
          </w:p>
        </w:tc>
        <w:tc>
          <w:tcPr>
            <w:tcW w:w="603" w:type="pct"/>
            <w:shd w:val="clear" w:color="auto" w:fill="auto"/>
            <w:tcMar>
              <w:left w:w="10" w:type="dxa"/>
              <w:right w:w="10" w:type="dxa"/>
            </w:tcMar>
            <w:vAlign w:val="center"/>
          </w:tcPr>
          <w:p w14:paraId="3DEA0D38" w14:textId="77777777" w:rsidR="00A735D6" w:rsidRPr="00825805" w:rsidRDefault="00A735D6" w:rsidP="00825805">
            <w:pPr>
              <w:pStyle w:val="TblTextCenter"/>
            </w:pPr>
            <w:r w:rsidRPr="00825805">
              <w:t>1</w:t>
            </w:r>
          </w:p>
        </w:tc>
        <w:tc>
          <w:tcPr>
            <w:tcW w:w="470" w:type="pct"/>
            <w:shd w:val="clear" w:color="auto" w:fill="auto"/>
            <w:tcMar>
              <w:left w:w="10" w:type="dxa"/>
              <w:right w:w="10" w:type="dxa"/>
            </w:tcMar>
            <w:vAlign w:val="center"/>
          </w:tcPr>
          <w:p w14:paraId="5709F708" w14:textId="77777777" w:rsidR="00A735D6" w:rsidRPr="00825805" w:rsidRDefault="00A735D6" w:rsidP="00825805">
            <w:pPr>
              <w:pStyle w:val="TblTextCenter"/>
            </w:pPr>
            <w:r w:rsidRPr="00825805">
              <w:t>&lt;1</w:t>
            </w:r>
          </w:p>
        </w:tc>
        <w:tc>
          <w:tcPr>
            <w:tcW w:w="470" w:type="pct"/>
            <w:shd w:val="clear" w:color="auto" w:fill="auto"/>
            <w:tcMar>
              <w:left w:w="10" w:type="dxa"/>
              <w:right w:w="10" w:type="dxa"/>
            </w:tcMar>
            <w:vAlign w:val="center"/>
          </w:tcPr>
          <w:p w14:paraId="3456D801" w14:textId="77777777" w:rsidR="00A735D6" w:rsidRPr="00825805" w:rsidRDefault="00A735D6" w:rsidP="00825805">
            <w:pPr>
              <w:pStyle w:val="TblTextCenter"/>
            </w:pPr>
            <w:r w:rsidRPr="00825805">
              <w:t>0</w:t>
            </w:r>
          </w:p>
        </w:tc>
      </w:tr>
      <w:tr w:rsidR="00C80099" w:rsidRPr="00511840" w14:paraId="03814F5D" w14:textId="77777777" w:rsidTr="003E1CF4">
        <w:trPr>
          <w:cantSplit/>
          <w:tblHeader/>
          <w:jc w:val="center"/>
        </w:trPr>
        <w:tc>
          <w:tcPr>
            <w:tcW w:w="5000" w:type="pct"/>
            <w:gridSpan w:val="7"/>
            <w:tcBorders>
              <w:bottom w:val="single" w:sz="12" w:space="0" w:color="auto"/>
            </w:tcBorders>
            <w:shd w:val="clear" w:color="auto" w:fill="auto"/>
          </w:tcPr>
          <w:p w14:paraId="1EF3A157" w14:textId="77777777" w:rsidR="00C80099" w:rsidRPr="003E1CF4" w:rsidRDefault="00C80099" w:rsidP="00825805">
            <w:pPr>
              <w:pStyle w:val="TblTextCenter"/>
              <w:rPr>
                <w:sz w:val="8"/>
                <w:szCs w:val="8"/>
              </w:rPr>
            </w:pPr>
          </w:p>
        </w:tc>
      </w:tr>
      <w:tr w:rsidR="00A735D6" w:rsidRPr="00511840" w14:paraId="2AA946CD" w14:textId="77777777" w:rsidTr="003E1CF4">
        <w:trPr>
          <w:cantSplit/>
          <w:tblHeader/>
          <w:jc w:val="center"/>
        </w:trPr>
        <w:tc>
          <w:tcPr>
            <w:tcW w:w="5000" w:type="pct"/>
            <w:gridSpan w:val="7"/>
            <w:tcBorders>
              <w:top w:val="single" w:sz="12" w:space="0" w:color="auto"/>
            </w:tcBorders>
            <w:shd w:val="clear" w:color="auto" w:fill="auto"/>
          </w:tcPr>
          <w:p w14:paraId="3BA0271D" w14:textId="57410987" w:rsidR="00A735D6" w:rsidRPr="00825805" w:rsidRDefault="00C80099" w:rsidP="00825805">
            <w:pPr>
              <w:pStyle w:val="TblFigFootnote"/>
            </w:pPr>
            <w:r w:rsidRPr="00825805">
              <w:t>N</w:t>
            </w:r>
            <w:r w:rsidR="00A735D6" w:rsidRPr="00825805">
              <w:t>OTE:</w:t>
            </w:r>
            <w:r w:rsidR="00A735D6" w:rsidRPr="00825805">
              <w:tab/>
              <w:t>Data based on the most severe response reported by subjects. Results ≥1% reported to nearest whole percent; results &gt;</w:t>
            </w:r>
            <w:r w:rsidR="00F44B72" w:rsidRPr="00825805">
              <w:t xml:space="preserve"> </w:t>
            </w:r>
            <w:r w:rsidR="00A735D6" w:rsidRPr="00825805">
              <w:t>0 but &lt;</w:t>
            </w:r>
            <w:r w:rsidR="00F44B72" w:rsidRPr="00825805">
              <w:t xml:space="preserve"> </w:t>
            </w:r>
            <w:r w:rsidR="00A735D6" w:rsidRPr="00825805">
              <w:t>1% reported as &lt;</w:t>
            </w:r>
            <w:r w:rsidR="00F44B72" w:rsidRPr="00825805">
              <w:t xml:space="preserve"> </w:t>
            </w:r>
            <w:r w:rsidR="00A735D6" w:rsidRPr="00825805">
              <w:t xml:space="preserve">1%. </w:t>
            </w:r>
          </w:p>
          <w:p w14:paraId="0A095656" w14:textId="573E1B76" w:rsidR="00A735D6" w:rsidRPr="00825805" w:rsidRDefault="00A735D6" w:rsidP="00825805">
            <w:pPr>
              <w:pStyle w:val="TblFigFootnote"/>
            </w:pPr>
            <w:r w:rsidRPr="001443F4">
              <w:rPr>
                <w:vertAlign w:val="superscript"/>
              </w:rPr>
              <w:t>1</w:t>
            </w:r>
            <w:r w:rsidRPr="00825805">
              <w:t xml:space="preserve"> Comparator</w:t>
            </w:r>
            <w:r w:rsidR="00C80099" w:rsidRPr="00825805">
              <w:t>: Q</w:t>
            </w:r>
            <w:r w:rsidRPr="00825805">
              <w:t>uadrivalent inactivated influenza vaccine</w:t>
            </w:r>
            <w:r w:rsidR="00C80099" w:rsidRPr="00825805">
              <w:t>, Fluarix Tetra,</w:t>
            </w:r>
            <w:r w:rsidRPr="00825805">
              <w:t xml:space="preserve"> manufactured by GlaxoSmithKline.</w:t>
            </w:r>
          </w:p>
          <w:p w14:paraId="2341E0B5" w14:textId="69AC9015" w:rsidR="00A735D6" w:rsidRPr="00825805" w:rsidRDefault="00A735D6" w:rsidP="00825805">
            <w:pPr>
              <w:pStyle w:val="TblFigFootnote"/>
            </w:pPr>
            <w:r w:rsidRPr="001443F4">
              <w:rPr>
                <w:vertAlign w:val="superscript"/>
              </w:rPr>
              <w:t>2</w:t>
            </w:r>
            <w:r w:rsidR="00541139" w:rsidRPr="00825805">
              <w:t xml:space="preserve"> </w:t>
            </w:r>
            <w:r w:rsidR="003429D6" w:rsidRPr="00825805">
              <w:t>PSC16</w:t>
            </w:r>
            <w:r w:rsidRPr="00825805">
              <w:t xml:space="preserve"> is registered as NCT02290509 under the National Clinical Trials registry.</w:t>
            </w:r>
          </w:p>
          <w:p w14:paraId="315653D3" w14:textId="469C07B9" w:rsidR="00A735D6" w:rsidRPr="00825805" w:rsidRDefault="00A735D6" w:rsidP="00825805">
            <w:pPr>
              <w:pStyle w:val="TblFigFootnote"/>
            </w:pPr>
            <w:r w:rsidRPr="001443F4">
              <w:rPr>
                <w:vertAlign w:val="superscript"/>
              </w:rPr>
              <w:t>3</w:t>
            </w:r>
            <w:r w:rsidRPr="00825805">
              <w:t xml:space="preserve"> Reactogenicity Populations were defined as all randomi</w:t>
            </w:r>
            <w:r w:rsidR="00F44B72" w:rsidRPr="00825805">
              <w:t>s</w:t>
            </w:r>
            <w:r w:rsidRPr="00825805">
              <w:t>ed subjects who received study vaccine according to the treatment actually received and who had at least one non-missing data point for injection site, systemic or body temperature reactogenicity categories. For local pain, tenderness and systemic reactions:  Grade 1 = No interference with activities.   Grade 2 = Prevented some activities, and headache may have required non-narcotic pain reliever.   Grade 3 = Prevented most or all normal activities or required prescription medications.  Grade 4 = Required visit to ER or hospitali</w:t>
            </w:r>
            <w:r w:rsidR="00F44B72" w:rsidRPr="00825805">
              <w:t>s</w:t>
            </w:r>
            <w:r w:rsidRPr="00825805">
              <w:t>ation. For injection site redness and firmness/swelling:  Grade 1=25 to ≤</w:t>
            </w:r>
            <w:r w:rsidR="00541139" w:rsidRPr="00825805">
              <w:t xml:space="preserve"> </w:t>
            </w:r>
            <w:r w:rsidRPr="00825805">
              <w:t>50 mm (small).  Grade 2=51 to ≤</w:t>
            </w:r>
            <w:r w:rsidR="00541139" w:rsidRPr="00825805">
              <w:t xml:space="preserve"> </w:t>
            </w:r>
            <w:r w:rsidRPr="00825805">
              <w:t>100 mm (medium).  Grade 3=&gt;</w:t>
            </w:r>
            <w:r w:rsidR="00541139" w:rsidRPr="00825805">
              <w:t xml:space="preserve"> </w:t>
            </w:r>
            <w:r w:rsidRPr="00825805">
              <w:t>100 mm (large).  Grade 4=necrosis or exfoliative dermatitis.</w:t>
            </w:r>
          </w:p>
          <w:p w14:paraId="57DA97D9" w14:textId="166ECBF3" w:rsidR="00A735D6" w:rsidRPr="00825805" w:rsidRDefault="00A735D6" w:rsidP="00825805">
            <w:pPr>
              <w:pStyle w:val="TblFigFootnote"/>
            </w:pPr>
            <w:r w:rsidRPr="001443F4">
              <w:rPr>
                <w:vertAlign w:val="superscript"/>
              </w:rPr>
              <w:t>4</w:t>
            </w:r>
            <w:r w:rsidRPr="00825805">
              <w:t xml:space="preserve"> Denominators for injection site reactions:  </w:t>
            </w:r>
            <w:r w:rsidR="00F44B72" w:rsidRPr="00825805">
              <w:t>Flublok Quadrivalent</w:t>
            </w:r>
            <w:r w:rsidRPr="00825805">
              <w:t xml:space="preserve"> n = 996, Comparator n =332. </w:t>
            </w:r>
          </w:p>
          <w:p w14:paraId="780043A2" w14:textId="41F2B898" w:rsidR="00A735D6" w:rsidRPr="00825805" w:rsidRDefault="00A735D6" w:rsidP="00825805">
            <w:pPr>
              <w:pStyle w:val="TblFigFootnote"/>
            </w:pPr>
            <w:r w:rsidRPr="001443F4">
              <w:rPr>
                <w:vertAlign w:val="superscript"/>
              </w:rPr>
              <w:t>5</w:t>
            </w:r>
            <w:r w:rsidRPr="00825805">
              <w:t xml:space="preserve"> Denominators for systemic reactions: </w:t>
            </w:r>
            <w:r w:rsidR="00F44B72" w:rsidRPr="00825805">
              <w:t>Flublok Quadrivalent</w:t>
            </w:r>
            <w:r w:rsidRPr="00825805">
              <w:t xml:space="preserve"> n = 994, Comparator n = 332.</w:t>
            </w:r>
          </w:p>
          <w:p w14:paraId="3D2F9BF5" w14:textId="262DF127" w:rsidR="00A735D6" w:rsidRPr="00825805" w:rsidRDefault="00A735D6" w:rsidP="00825805">
            <w:pPr>
              <w:pStyle w:val="TblFigFootnote"/>
            </w:pPr>
            <w:r w:rsidRPr="001443F4">
              <w:rPr>
                <w:vertAlign w:val="superscript"/>
              </w:rPr>
              <w:t>6</w:t>
            </w:r>
            <w:r w:rsidRPr="00825805">
              <w:t xml:space="preserve"> Denominators for fever:  </w:t>
            </w:r>
            <w:r w:rsidR="00F44B72" w:rsidRPr="00825805">
              <w:t>Flublok Quadrivalent</w:t>
            </w:r>
            <w:r w:rsidRPr="00825805">
              <w:t xml:space="preserve"> n = 990, Comparator n = 327. </w:t>
            </w:r>
          </w:p>
          <w:p w14:paraId="667ED474" w14:textId="60058D55" w:rsidR="00A735D6" w:rsidRPr="00825805" w:rsidRDefault="00A735D6" w:rsidP="00825805">
            <w:pPr>
              <w:pStyle w:val="TblFigFootnote"/>
            </w:pPr>
            <w:r w:rsidRPr="001443F4">
              <w:rPr>
                <w:vertAlign w:val="superscript"/>
              </w:rPr>
              <w:t>7</w:t>
            </w:r>
            <w:r w:rsidRPr="00825805">
              <w:t xml:space="preserve"> Fever defined as body temperature ≥</w:t>
            </w:r>
            <w:r w:rsidR="00541139" w:rsidRPr="00825805">
              <w:t xml:space="preserve"> </w:t>
            </w:r>
            <w:r w:rsidRPr="00825805">
              <w:t>38</w:t>
            </w:r>
            <w:r w:rsidR="00411BE3" w:rsidRPr="00825805">
              <w:t>.00</w:t>
            </w:r>
            <w:r w:rsidRPr="00825805">
              <w:t>°C. Grade 1 (≥</w:t>
            </w:r>
            <w:r w:rsidR="00541139" w:rsidRPr="00825805">
              <w:t xml:space="preserve"> </w:t>
            </w:r>
            <w:r w:rsidR="00411BE3" w:rsidRPr="00825805">
              <w:t>38.00</w:t>
            </w:r>
            <w:r w:rsidRPr="00825805">
              <w:t>º</w:t>
            </w:r>
            <w:r w:rsidR="00411BE3" w:rsidRPr="00825805">
              <w:t>C</w:t>
            </w:r>
            <w:r w:rsidRPr="00825805">
              <w:t xml:space="preserve"> to ≤</w:t>
            </w:r>
            <w:r w:rsidR="00541139" w:rsidRPr="00825805">
              <w:t xml:space="preserve"> </w:t>
            </w:r>
            <w:r w:rsidR="00411BE3" w:rsidRPr="00825805">
              <w:t>38.39</w:t>
            </w:r>
            <w:r w:rsidRPr="00825805">
              <w:t>º</w:t>
            </w:r>
            <w:r w:rsidR="00411BE3" w:rsidRPr="00825805">
              <w:t>C</w:t>
            </w:r>
            <w:r w:rsidRPr="00825805">
              <w:t>); Grade 2 (</w:t>
            </w:r>
            <w:r w:rsidR="00411BE3" w:rsidRPr="00825805">
              <w:t>38.44</w:t>
            </w:r>
            <w:r w:rsidRPr="00825805">
              <w:t>º</w:t>
            </w:r>
            <w:r w:rsidR="00411BE3" w:rsidRPr="00825805">
              <w:t>C</w:t>
            </w:r>
            <w:r w:rsidRPr="00825805">
              <w:t xml:space="preserve"> to ≤</w:t>
            </w:r>
            <w:r w:rsidR="00541139" w:rsidRPr="00825805">
              <w:t xml:space="preserve"> </w:t>
            </w:r>
            <w:r w:rsidR="00411BE3" w:rsidRPr="00825805">
              <w:t>38.89</w:t>
            </w:r>
            <w:r w:rsidRPr="00825805">
              <w:t>º</w:t>
            </w:r>
            <w:r w:rsidR="00411BE3" w:rsidRPr="00825805">
              <w:t>C</w:t>
            </w:r>
            <w:r w:rsidRPr="00825805">
              <w:t>); Grade 3 (</w:t>
            </w:r>
            <w:r w:rsidR="00411BE3" w:rsidRPr="00825805">
              <w:t>38.94</w:t>
            </w:r>
            <w:r w:rsidRPr="00825805">
              <w:t>º</w:t>
            </w:r>
            <w:r w:rsidR="00411BE3" w:rsidRPr="00825805">
              <w:t>C</w:t>
            </w:r>
            <w:r w:rsidRPr="00825805">
              <w:t xml:space="preserve"> to ≤</w:t>
            </w:r>
            <w:r w:rsidR="00541139" w:rsidRPr="00825805">
              <w:t xml:space="preserve"> </w:t>
            </w:r>
            <w:r w:rsidR="00411BE3" w:rsidRPr="00825805">
              <w:t>40</w:t>
            </w:r>
            <w:r w:rsidR="005274FC" w:rsidRPr="00825805">
              <w:t>.00</w:t>
            </w:r>
            <w:r w:rsidRPr="00825805">
              <w:t>°</w:t>
            </w:r>
            <w:r w:rsidR="00411BE3" w:rsidRPr="00825805">
              <w:t>C</w:t>
            </w:r>
            <w:r w:rsidRPr="00825805">
              <w:t>). Grade 4 &gt;</w:t>
            </w:r>
            <w:r w:rsidR="00541139" w:rsidRPr="00825805">
              <w:t xml:space="preserve"> </w:t>
            </w:r>
            <w:r w:rsidR="00411BE3" w:rsidRPr="00825805">
              <w:t>40</w:t>
            </w:r>
            <w:r w:rsidR="005274FC" w:rsidRPr="00825805">
              <w:t>.00</w:t>
            </w:r>
            <w:r w:rsidRPr="00825805">
              <w:t>°</w:t>
            </w:r>
            <w:r w:rsidR="00411BE3" w:rsidRPr="00825805">
              <w:t>C</w:t>
            </w:r>
            <w:r w:rsidRPr="00825805">
              <w:t xml:space="preserve">. </w:t>
            </w:r>
          </w:p>
        </w:tc>
      </w:tr>
    </w:tbl>
    <w:p w14:paraId="3B0DE616" w14:textId="6E74D393" w:rsidR="00A735D6" w:rsidRPr="00511840" w:rsidRDefault="00DB0AF7" w:rsidP="00F44B72">
      <w:pPr>
        <w:spacing w:before="120" w:after="120"/>
        <w:rPr>
          <w:lang w:val="en-AU"/>
        </w:rPr>
      </w:pPr>
      <w:r>
        <w:rPr>
          <w:lang w:val="en-AU"/>
        </w:rPr>
        <w:t>I</w:t>
      </w:r>
      <w:r w:rsidR="00A735D6" w:rsidRPr="00511840">
        <w:rPr>
          <w:lang w:val="en-AU"/>
        </w:rPr>
        <w:t xml:space="preserve">n study participants 50 years of age and older, injection site tenderness was reported by 34% and 37% of those receiving </w:t>
      </w:r>
      <w:r w:rsidR="005C4E5B" w:rsidRPr="00511840">
        <w:rPr>
          <w:lang w:val="en-AU"/>
        </w:rPr>
        <w:t>Flublok Quadrivalent</w:t>
      </w:r>
      <w:r w:rsidR="00A735D6" w:rsidRPr="00511840">
        <w:rPr>
          <w:lang w:val="en-AU"/>
        </w:rPr>
        <w:t xml:space="preserve"> or active comparator, respectively (</w:t>
      </w:r>
      <w:r w:rsidR="00F44B72" w:rsidRPr="00511840">
        <w:rPr>
          <w:color w:val="0000FF"/>
          <w:lang w:val="en-AU"/>
        </w:rPr>
        <w:fldChar w:fldCharType="begin"/>
      </w:r>
      <w:r w:rsidR="00F44B72" w:rsidRPr="00511840">
        <w:rPr>
          <w:color w:val="0000FF"/>
          <w:lang w:val="en-AU"/>
        </w:rPr>
        <w:instrText xml:space="preserve"> REF Table_20180109_111435SNPH \h  \* MERGEFORMAT </w:instrText>
      </w:r>
      <w:r w:rsidR="00F44B72" w:rsidRPr="00511840">
        <w:rPr>
          <w:color w:val="0000FF"/>
          <w:lang w:val="en-AU"/>
        </w:rPr>
      </w:r>
      <w:r w:rsidR="00F44B72" w:rsidRPr="00511840">
        <w:rPr>
          <w:color w:val="0000FF"/>
          <w:lang w:val="en-AU"/>
        </w:rPr>
        <w:fldChar w:fldCharType="separate"/>
      </w:r>
      <w:r w:rsidR="008266B0" w:rsidRPr="008266B0">
        <w:rPr>
          <w:color w:val="0000FF"/>
          <w:lang w:val="en-AU"/>
        </w:rPr>
        <w:t>Table 2</w:t>
      </w:r>
      <w:r w:rsidR="00F44B72" w:rsidRPr="00511840">
        <w:rPr>
          <w:color w:val="0000FF"/>
          <w:lang w:val="en-AU"/>
        </w:rPr>
        <w:fldChar w:fldCharType="end"/>
      </w:r>
      <w:r w:rsidR="00A735D6" w:rsidRPr="00511840">
        <w:rPr>
          <w:lang w:val="en-AU"/>
        </w:rPr>
        <w:t xml:space="preserve">). Onset usually </w:t>
      </w:r>
      <w:r w:rsidR="00F44B72" w:rsidRPr="00511840">
        <w:rPr>
          <w:lang w:val="en-AU"/>
        </w:rPr>
        <w:t>occurred</w:t>
      </w:r>
      <w:r w:rsidR="00A735D6" w:rsidRPr="00511840">
        <w:rPr>
          <w:lang w:val="en-AU"/>
        </w:rPr>
        <w:t xml:space="preserve"> within the first 3 days after vaccination. All resolved without sequelae.</w:t>
      </w:r>
    </w:p>
    <w:p w14:paraId="1F40BC00" w14:textId="71D8912E" w:rsidR="00A735D6" w:rsidRPr="00511840" w:rsidRDefault="00A735D6" w:rsidP="00A735D6">
      <w:pPr>
        <w:pStyle w:val="Caption"/>
        <w:rPr>
          <w:rFonts w:ascii="Times New Roman Bold" w:hAnsi="Times New Roman Bold"/>
          <w:vertAlign w:val="superscript"/>
          <w:lang w:val="en-AU"/>
        </w:rPr>
      </w:pPr>
      <w:bookmarkStart w:id="4" w:name="Table_20180109_111435SNPH"/>
      <w:bookmarkStart w:id="5" w:name="_Toc503262509"/>
      <w:r w:rsidRPr="00511840">
        <w:rPr>
          <w:lang w:val="en-AU"/>
        </w:rPr>
        <w:lastRenderedPageBreak/>
        <w:t>Table</w:t>
      </w:r>
      <w:r w:rsidR="0084140A">
        <w:rPr>
          <w:lang w:val="en-AU"/>
        </w:rPr>
        <w:t xml:space="preserve"> </w:t>
      </w:r>
      <w:r w:rsidRPr="00511840">
        <w:rPr>
          <w:lang w:val="en-AU"/>
        </w:rPr>
        <w:fldChar w:fldCharType="begin"/>
      </w:r>
      <w:r w:rsidRPr="00511840">
        <w:rPr>
          <w:lang w:val="en-AU"/>
        </w:rPr>
        <w:instrText xml:space="preserve"> SEQ Table \* ARABIC </w:instrText>
      </w:r>
      <w:r w:rsidRPr="00511840">
        <w:rPr>
          <w:lang w:val="en-AU"/>
        </w:rPr>
        <w:fldChar w:fldCharType="separate"/>
      </w:r>
      <w:r w:rsidR="008266B0">
        <w:rPr>
          <w:noProof/>
          <w:lang w:val="en-AU"/>
        </w:rPr>
        <w:t>2</w:t>
      </w:r>
      <w:r w:rsidRPr="00511840">
        <w:rPr>
          <w:lang w:val="en-AU"/>
        </w:rPr>
        <w:fldChar w:fldCharType="end"/>
      </w:r>
      <w:bookmarkEnd w:id="4"/>
      <w:r w:rsidRPr="00511840">
        <w:rPr>
          <w:lang w:val="en-AU"/>
        </w:rPr>
        <w:t xml:space="preserve">: Frequency of </w:t>
      </w:r>
      <w:r w:rsidR="00A25710">
        <w:rPr>
          <w:lang w:val="en-AU"/>
        </w:rPr>
        <w:t xml:space="preserve">Solicited </w:t>
      </w:r>
      <w:r w:rsidRPr="00511840">
        <w:rPr>
          <w:lang w:val="en-AU"/>
        </w:rPr>
        <w:t xml:space="preserve">Local Injection Site Reactions and Systemic Adverse Reactions within 7 Days of Administration of </w:t>
      </w:r>
      <w:r w:rsidR="00F44B72" w:rsidRPr="00511840">
        <w:rPr>
          <w:lang w:val="en-AU"/>
        </w:rPr>
        <w:t>Flublok Quadrivalent</w:t>
      </w:r>
      <w:r w:rsidRPr="00511840">
        <w:rPr>
          <w:lang w:val="en-AU"/>
        </w:rPr>
        <w:t xml:space="preserve"> or Comparator</w:t>
      </w:r>
      <w:r w:rsidR="00EF4645" w:rsidRPr="00EF4645">
        <w:rPr>
          <w:vertAlign w:val="superscript"/>
          <w:lang w:val="en-AU"/>
        </w:rPr>
        <w:t>1</w:t>
      </w:r>
      <w:r w:rsidRPr="00511840">
        <w:rPr>
          <w:lang w:val="en-AU"/>
        </w:rPr>
        <w:t xml:space="preserve"> in Adults 50 Years of Age and Older</w:t>
      </w:r>
      <w:r w:rsidR="00271BE3">
        <w:rPr>
          <w:lang w:val="en-AU"/>
        </w:rPr>
        <w:t xml:space="preserve"> </w:t>
      </w:r>
      <w:r w:rsidR="00271BE3" w:rsidRPr="00354153">
        <w:rPr>
          <w:lang w:val="en-AU"/>
        </w:rPr>
        <w:t xml:space="preserve">in </w:t>
      </w:r>
      <w:r w:rsidR="00F13B51">
        <w:rPr>
          <w:lang w:val="en-AU"/>
        </w:rPr>
        <w:t>PSC12</w:t>
      </w:r>
      <w:r w:rsidRPr="00511840">
        <w:rPr>
          <w:lang w:val="en-AU"/>
        </w:rPr>
        <w:t xml:space="preserve"> (Reactogenicity Populations)</w:t>
      </w:r>
      <w:r w:rsidRPr="00511840">
        <w:rPr>
          <w:rFonts w:ascii="Times New Roman Bold" w:hAnsi="Times New Roman Bold"/>
          <w:vertAlign w:val="superscript"/>
          <w:lang w:val="en-AU"/>
        </w:rPr>
        <w:t>2, 3</w:t>
      </w:r>
      <w:bookmarkEnd w:id="5"/>
    </w:p>
    <w:tbl>
      <w:tblPr>
        <w:tblW w:w="5000" w:type="pct"/>
        <w:jc w:val="center"/>
        <w:tblBorders>
          <w:top w:val="single" w:sz="2" w:space="0" w:color="000000"/>
        </w:tblBorders>
        <w:tblLook w:val="0000" w:firstRow="0" w:lastRow="0" w:firstColumn="0" w:lastColumn="0" w:noHBand="0" w:noVBand="0"/>
      </w:tblPr>
      <w:tblGrid>
        <w:gridCol w:w="3757"/>
        <w:gridCol w:w="975"/>
        <w:gridCol w:w="830"/>
        <w:gridCol w:w="830"/>
        <w:gridCol w:w="975"/>
        <w:gridCol w:w="830"/>
        <w:gridCol w:w="829"/>
      </w:tblGrid>
      <w:tr w:rsidR="003E1CF4" w:rsidRPr="00511840" w14:paraId="63B62495" w14:textId="77777777" w:rsidTr="00AC7ED1">
        <w:trPr>
          <w:cantSplit/>
          <w:jc w:val="center"/>
        </w:trPr>
        <w:tc>
          <w:tcPr>
            <w:tcW w:w="2081" w:type="pct"/>
            <w:vMerge w:val="restart"/>
            <w:tcBorders>
              <w:top w:val="single" w:sz="4" w:space="0" w:color="000000"/>
              <w:bottom w:val="single" w:sz="4" w:space="0" w:color="000000"/>
            </w:tcBorders>
            <w:shd w:val="clear" w:color="auto" w:fill="auto"/>
            <w:tcMar>
              <w:left w:w="10" w:type="dxa"/>
              <w:right w:w="10" w:type="dxa"/>
            </w:tcMar>
          </w:tcPr>
          <w:p w14:paraId="117915F5" w14:textId="77777777" w:rsidR="00A735D6" w:rsidRPr="00511840" w:rsidRDefault="00A735D6" w:rsidP="003E1CF4">
            <w:pPr>
              <w:pStyle w:val="TblHeadingCenter"/>
            </w:pPr>
            <w:r w:rsidRPr="00511840">
              <w:t>Reactogenicity Term</w:t>
            </w:r>
          </w:p>
        </w:tc>
        <w:tc>
          <w:tcPr>
            <w:tcW w:w="1460" w:type="pct"/>
            <w:gridSpan w:val="3"/>
            <w:tcBorders>
              <w:top w:val="single" w:sz="4" w:space="0" w:color="000000"/>
              <w:bottom w:val="single" w:sz="4" w:space="0" w:color="000000"/>
            </w:tcBorders>
            <w:shd w:val="clear" w:color="auto" w:fill="auto"/>
            <w:tcMar>
              <w:left w:w="10" w:type="dxa"/>
              <w:right w:w="10" w:type="dxa"/>
            </w:tcMar>
            <w:vAlign w:val="center"/>
          </w:tcPr>
          <w:p w14:paraId="6D4C1631" w14:textId="1D7D197D" w:rsidR="00A735D6" w:rsidRPr="00511840" w:rsidRDefault="005C4E5B" w:rsidP="003E1CF4">
            <w:pPr>
              <w:pStyle w:val="TblHeadingCenter"/>
            </w:pPr>
            <w:r w:rsidRPr="00511840">
              <w:t>Flublok Quadrivalent</w:t>
            </w:r>
          </w:p>
          <w:p w14:paraId="1AFC4CDD" w14:textId="77777777" w:rsidR="00A735D6" w:rsidRPr="00511840" w:rsidRDefault="00A735D6" w:rsidP="003E1CF4">
            <w:pPr>
              <w:pStyle w:val="TblHeadingCenter"/>
            </w:pPr>
            <w:r w:rsidRPr="00511840">
              <w:t>N=4312</w:t>
            </w:r>
          </w:p>
          <w:p w14:paraId="5C1D85E3" w14:textId="77777777" w:rsidR="00A735D6" w:rsidRPr="00511840" w:rsidRDefault="00A735D6" w:rsidP="003E1CF4">
            <w:pPr>
              <w:pStyle w:val="TblHeadingCenter"/>
            </w:pPr>
            <w:r w:rsidRPr="00511840">
              <w:t>%</w:t>
            </w:r>
          </w:p>
        </w:tc>
        <w:tc>
          <w:tcPr>
            <w:tcW w:w="1459" w:type="pct"/>
            <w:gridSpan w:val="3"/>
            <w:tcBorders>
              <w:top w:val="single" w:sz="4" w:space="0" w:color="000000"/>
              <w:bottom w:val="single" w:sz="4" w:space="0" w:color="000000"/>
            </w:tcBorders>
            <w:shd w:val="clear" w:color="auto" w:fill="auto"/>
            <w:tcMar>
              <w:left w:w="10" w:type="dxa"/>
              <w:right w:w="10" w:type="dxa"/>
            </w:tcMar>
            <w:vAlign w:val="center"/>
          </w:tcPr>
          <w:p w14:paraId="73A639DE" w14:textId="77777777" w:rsidR="00A735D6" w:rsidRPr="00511840" w:rsidRDefault="00A735D6" w:rsidP="003E1CF4">
            <w:pPr>
              <w:pStyle w:val="TblHeadingCenter"/>
            </w:pPr>
            <w:r w:rsidRPr="00511840">
              <w:t>Comparator</w:t>
            </w:r>
          </w:p>
          <w:p w14:paraId="4B06E2C6" w14:textId="77777777" w:rsidR="00A735D6" w:rsidRPr="00511840" w:rsidRDefault="00A735D6" w:rsidP="003E1CF4">
            <w:pPr>
              <w:pStyle w:val="TblHeadingCenter"/>
            </w:pPr>
            <w:r w:rsidRPr="00511840">
              <w:t>N=4327</w:t>
            </w:r>
          </w:p>
          <w:p w14:paraId="623699C6" w14:textId="77777777" w:rsidR="00A735D6" w:rsidRPr="00511840" w:rsidRDefault="00A735D6" w:rsidP="003E1CF4">
            <w:pPr>
              <w:pStyle w:val="TblHeadingCenter"/>
            </w:pPr>
            <w:r w:rsidRPr="00511840">
              <w:t>%</w:t>
            </w:r>
          </w:p>
        </w:tc>
      </w:tr>
      <w:tr w:rsidR="003E1CF4" w:rsidRPr="00511840" w14:paraId="64FBD084" w14:textId="77777777" w:rsidTr="00AC7ED1">
        <w:trPr>
          <w:cantSplit/>
          <w:jc w:val="center"/>
        </w:trPr>
        <w:tc>
          <w:tcPr>
            <w:tcW w:w="2081" w:type="pct"/>
            <w:vMerge/>
            <w:tcBorders>
              <w:top w:val="single" w:sz="4" w:space="0" w:color="auto"/>
              <w:bottom w:val="single" w:sz="4" w:space="0" w:color="000000"/>
            </w:tcBorders>
            <w:shd w:val="clear" w:color="auto" w:fill="auto"/>
            <w:tcMar>
              <w:left w:w="10" w:type="dxa"/>
              <w:right w:w="10" w:type="dxa"/>
            </w:tcMar>
            <w:vAlign w:val="bottom"/>
          </w:tcPr>
          <w:p w14:paraId="5DA6584C" w14:textId="77777777" w:rsidR="00A735D6" w:rsidRPr="00511840" w:rsidRDefault="00A735D6" w:rsidP="005C4E5B">
            <w:pPr>
              <w:spacing w:before="0"/>
              <w:rPr>
                <w:rFonts w:ascii="Arial Narrow" w:hAnsi="Arial Narrow"/>
                <w:sz w:val="20"/>
                <w:szCs w:val="20"/>
                <w:lang w:val="en-AU"/>
              </w:rPr>
            </w:pPr>
          </w:p>
        </w:tc>
        <w:tc>
          <w:tcPr>
            <w:tcW w:w="540" w:type="pct"/>
            <w:tcBorders>
              <w:top w:val="single" w:sz="4" w:space="0" w:color="000000"/>
              <w:bottom w:val="single" w:sz="4" w:space="0" w:color="auto"/>
            </w:tcBorders>
            <w:shd w:val="clear" w:color="auto" w:fill="auto"/>
            <w:tcMar>
              <w:left w:w="10" w:type="dxa"/>
              <w:right w:w="10" w:type="dxa"/>
            </w:tcMar>
            <w:vAlign w:val="center"/>
          </w:tcPr>
          <w:p w14:paraId="0A11B404" w14:textId="3FD4EFE0" w:rsidR="00A735D6" w:rsidRPr="003E1CF4" w:rsidRDefault="00A735D6" w:rsidP="003E1CF4">
            <w:pPr>
              <w:pStyle w:val="TblTextCenter"/>
              <w:rPr>
                <w:b/>
              </w:rPr>
            </w:pPr>
            <w:r w:rsidRPr="003E1CF4">
              <w:rPr>
                <w:b/>
              </w:rPr>
              <w:t>Any</w:t>
            </w:r>
            <w:r w:rsidR="005C4E5B" w:rsidRPr="003E1CF4">
              <w:rPr>
                <w:b/>
              </w:rPr>
              <w:t xml:space="preserve"> </w:t>
            </w:r>
            <w:r w:rsidRPr="003E1CF4">
              <w:rPr>
                <w:b/>
              </w:rPr>
              <w:t>Grade</w:t>
            </w:r>
          </w:p>
        </w:tc>
        <w:tc>
          <w:tcPr>
            <w:tcW w:w="460" w:type="pct"/>
            <w:tcBorders>
              <w:top w:val="single" w:sz="4" w:space="0" w:color="000000"/>
              <w:bottom w:val="single" w:sz="4" w:space="0" w:color="auto"/>
            </w:tcBorders>
            <w:shd w:val="clear" w:color="auto" w:fill="auto"/>
            <w:tcMar>
              <w:left w:w="10" w:type="dxa"/>
              <w:right w:w="10" w:type="dxa"/>
            </w:tcMar>
            <w:vAlign w:val="center"/>
          </w:tcPr>
          <w:p w14:paraId="6433A1DE" w14:textId="77777777" w:rsidR="00A735D6" w:rsidRPr="003E1CF4" w:rsidRDefault="00A735D6" w:rsidP="003E1CF4">
            <w:pPr>
              <w:pStyle w:val="TblTextCenter"/>
              <w:rPr>
                <w:b/>
              </w:rPr>
            </w:pPr>
            <w:r w:rsidRPr="003E1CF4">
              <w:rPr>
                <w:b/>
              </w:rPr>
              <w:t>Grade 3</w:t>
            </w:r>
          </w:p>
        </w:tc>
        <w:tc>
          <w:tcPr>
            <w:tcW w:w="460" w:type="pct"/>
            <w:tcBorders>
              <w:top w:val="single" w:sz="4" w:space="0" w:color="000000"/>
              <w:bottom w:val="single" w:sz="4" w:space="0" w:color="auto"/>
            </w:tcBorders>
            <w:shd w:val="clear" w:color="auto" w:fill="auto"/>
            <w:tcMar>
              <w:left w:w="10" w:type="dxa"/>
              <w:right w:w="10" w:type="dxa"/>
            </w:tcMar>
            <w:vAlign w:val="center"/>
          </w:tcPr>
          <w:p w14:paraId="2BD5A621" w14:textId="77777777" w:rsidR="00A735D6" w:rsidRPr="003E1CF4" w:rsidRDefault="00A735D6" w:rsidP="003E1CF4">
            <w:pPr>
              <w:pStyle w:val="TblTextCenter"/>
              <w:rPr>
                <w:b/>
              </w:rPr>
            </w:pPr>
            <w:r w:rsidRPr="003E1CF4">
              <w:rPr>
                <w:b/>
              </w:rPr>
              <w:t>Grade 4</w:t>
            </w:r>
          </w:p>
        </w:tc>
        <w:tc>
          <w:tcPr>
            <w:tcW w:w="540" w:type="pct"/>
            <w:tcBorders>
              <w:top w:val="single" w:sz="4" w:space="0" w:color="000000"/>
              <w:bottom w:val="single" w:sz="4" w:space="0" w:color="auto"/>
            </w:tcBorders>
            <w:shd w:val="clear" w:color="auto" w:fill="auto"/>
            <w:tcMar>
              <w:left w:w="10" w:type="dxa"/>
              <w:right w:w="10" w:type="dxa"/>
            </w:tcMar>
            <w:vAlign w:val="center"/>
          </w:tcPr>
          <w:p w14:paraId="12A8A77F" w14:textId="02A1B3B7" w:rsidR="00A735D6" w:rsidRPr="003E1CF4" w:rsidRDefault="00A735D6" w:rsidP="003E1CF4">
            <w:pPr>
              <w:pStyle w:val="TblTextCenter"/>
              <w:rPr>
                <w:b/>
              </w:rPr>
            </w:pPr>
            <w:r w:rsidRPr="003E1CF4">
              <w:rPr>
                <w:b/>
              </w:rPr>
              <w:t>Any</w:t>
            </w:r>
            <w:r w:rsidR="005C4E5B" w:rsidRPr="003E1CF4">
              <w:rPr>
                <w:b/>
              </w:rPr>
              <w:t xml:space="preserve"> </w:t>
            </w:r>
            <w:r w:rsidRPr="003E1CF4">
              <w:rPr>
                <w:b/>
              </w:rPr>
              <w:t>Grade</w:t>
            </w:r>
          </w:p>
        </w:tc>
        <w:tc>
          <w:tcPr>
            <w:tcW w:w="460" w:type="pct"/>
            <w:tcBorders>
              <w:top w:val="single" w:sz="4" w:space="0" w:color="000000"/>
              <w:bottom w:val="single" w:sz="4" w:space="0" w:color="auto"/>
            </w:tcBorders>
            <w:shd w:val="clear" w:color="auto" w:fill="auto"/>
            <w:tcMar>
              <w:left w:w="10" w:type="dxa"/>
              <w:right w:w="10" w:type="dxa"/>
            </w:tcMar>
            <w:vAlign w:val="center"/>
          </w:tcPr>
          <w:p w14:paraId="6B2E69D5" w14:textId="77777777" w:rsidR="00A735D6" w:rsidRPr="003E1CF4" w:rsidRDefault="00A735D6" w:rsidP="003E1CF4">
            <w:pPr>
              <w:pStyle w:val="TblTextCenter"/>
              <w:rPr>
                <w:b/>
              </w:rPr>
            </w:pPr>
            <w:r w:rsidRPr="003E1CF4">
              <w:rPr>
                <w:b/>
              </w:rPr>
              <w:t>Grade 3</w:t>
            </w:r>
          </w:p>
        </w:tc>
        <w:tc>
          <w:tcPr>
            <w:tcW w:w="459" w:type="pct"/>
            <w:tcBorders>
              <w:top w:val="single" w:sz="4" w:space="0" w:color="000000"/>
              <w:bottom w:val="single" w:sz="4" w:space="0" w:color="auto"/>
            </w:tcBorders>
            <w:shd w:val="clear" w:color="auto" w:fill="auto"/>
            <w:tcMar>
              <w:left w:w="10" w:type="dxa"/>
              <w:right w:w="10" w:type="dxa"/>
            </w:tcMar>
            <w:vAlign w:val="center"/>
          </w:tcPr>
          <w:p w14:paraId="6E9F0125" w14:textId="77777777" w:rsidR="00A735D6" w:rsidRPr="003E1CF4" w:rsidRDefault="00A735D6" w:rsidP="003E1CF4">
            <w:pPr>
              <w:pStyle w:val="TblTextCenter"/>
              <w:rPr>
                <w:b/>
              </w:rPr>
            </w:pPr>
            <w:r w:rsidRPr="003E1CF4">
              <w:rPr>
                <w:b/>
              </w:rPr>
              <w:t>Grade 4</w:t>
            </w:r>
          </w:p>
        </w:tc>
      </w:tr>
      <w:tr w:rsidR="003E1CF4" w:rsidRPr="00511840" w14:paraId="6D9D581B" w14:textId="77777777" w:rsidTr="00AC7ED1">
        <w:trPr>
          <w:cantSplit/>
          <w:jc w:val="center"/>
        </w:trPr>
        <w:tc>
          <w:tcPr>
            <w:tcW w:w="2081" w:type="pct"/>
            <w:tcBorders>
              <w:top w:val="single" w:sz="4" w:space="0" w:color="000000"/>
            </w:tcBorders>
            <w:shd w:val="clear" w:color="auto" w:fill="auto"/>
            <w:tcMar>
              <w:left w:w="10" w:type="dxa"/>
              <w:right w:w="10" w:type="dxa"/>
            </w:tcMar>
          </w:tcPr>
          <w:p w14:paraId="2B7B3D55" w14:textId="77777777" w:rsidR="00A735D6" w:rsidRPr="003E1CF4" w:rsidRDefault="00A735D6" w:rsidP="003E1CF4">
            <w:pPr>
              <w:pStyle w:val="TblTextLeft"/>
              <w:rPr>
                <w:b/>
              </w:rPr>
            </w:pPr>
            <w:r w:rsidRPr="003E1CF4">
              <w:rPr>
                <w:b/>
              </w:rPr>
              <w:t>Subjects with ≥1 injection site reaction</w:t>
            </w:r>
            <w:r w:rsidRPr="003E1CF4">
              <w:rPr>
                <w:b/>
                <w:vertAlign w:val="superscript"/>
              </w:rPr>
              <w:t>3, 4</w:t>
            </w:r>
          </w:p>
        </w:tc>
        <w:tc>
          <w:tcPr>
            <w:tcW w:w="540" w:type="pct"/>
            <w:tcBorders>
              <w:top w:val="single" w:sz="4" w:space="0" w:color="auto"/>
            </w:tcBorders>
            <w:shd w:val="clear" w:color="auto" w:fill="auto"/>
            <w:tcMar>
              <w:left w:w="10" w:type="dxa"/>
              <w:right w:w="10" w:type="dxa"/>
            </w:tcMar>
            <w:vAlign w:val="center"/>
          </w:tcPr>
          <w:p w14:paraId="31ECB681" w14:textId="77777777" w:rsidR="00A735D6" w:rsidRPr="003E1CF4" w:rsidRDefault="00A735D6" w:rsidP="003E1CF4">
            <w:pPr>
              <w:pStyle w:val="TblTextCenter"/>
            </w:pPr>
            <w:r w:rsidRPr="003E1CF4">
              <w:t>38</w:t>
            </w:r>
          </w:p>
        </w:tc>
        <w:tc>
          <w:tcPr>
            <w:tcW w:w="460" w:type="pct"/>
            <w:tcBorders>
              <w:top w:val="single" w:sz="4" w:space="0" w:color="auto"/>
            </w:tcBorders>
            <w:shd w:val="clear" w:color="auto" w:fill="auto"/>
            <w:tcMar>
              <w:left w:w="10" w:type="dxa"/>
              <w:right w:w="10" w:type="dxa"/>
            </w:tcMar>
            <w:vAlign w:val="center"/>
          </w:tcPr>
          <w:p w14:paraId="6122376C" w14:textId="77777777" w:rsidR="00A735D6" w:rsidRPr="003E1CF4" w:rsidRDefault="00A735D6" w:rsidP="003E1CF4">
            <w:pPr>
              <w:pStyle w:val="TblTextCenter"/>
            </w:pPr>
            <w:r w:rsidRPr="003E1CF4">
              <w:t>&lt;1</w:t>
            </w:r>
          </w:p>
        </w:tc>
        <w:tc>
          <w:tcPr>
            <w:tcW w:w="460" w:type="pct"/>
            <w:tcBorders>
              <w:top w:val="single" w:sz="4" w:space="0" w:color="auto"/>
            </w:tcBorders>
            <w:shd w:val="clear" w:color="auto" w:fill="auto"/>
            <w:tcMar>
              <w:left w:w="10" w:type="dxa"/>
              <w:right w:w="10" w:type="dxa"/>
            </w:tcMar>
            <w:vAlign w:val="center"/>
          </w:tcPr>
          <w:p w14:paraId="78B50BCA" w14:textId="77777777" w:rsidR="00A735D6" w:rsidRPr="003E1CF4" w:rsidRDefault="00A735D6" w:rsidP="003E1CF4">
            <w:pPr>
              <w:pStyle w:val="TblTextCenter"/>
            </w:pPr>
            <w:r w:rsidRPr="003E1CF4">
              <w:t>&lt;1</w:t>
            </w:r>
          </w:p>
        </w:tc>
        <w:tc>
          <w:tcPr>
            <w:tcW w:w="540" w:type="pct"/>
            <w:tcBorders>
              <w:top w:val="single" w:sz="4" w:space="0" w:color="auto"/>
            </w:tcBorders>
            <w:shd w:val="clear" w:color="auto" w:fill="auto"/>
            <w:tcMar>
              <w:left w:w="10" w:type="dxa"/>
              <w:right w:w="10" w:type="dxa"/>
            </w:tcMar>
            <w:vAlign w:val="center"/>
          </w:tcPr>
          <w:p w14:paraId="54923141" w14:textId="77777777" w:rsidR="00A735D6" w:rsidRPr="003E1CF4" w:rsidRDefault="00A735D6" w:rsidP="003E1CF4">
            <w:pPr>
              <w:pStyle w:val="TblTextCenter"/>
            </w:pPr>
            <w:r w:rsidRPr="003E1CF4">
              <w:t>40</w:t>
            </w:r>
          </w:p>
        </w:tc>
        <w:tc>
          <w:tcPr>
            <w:tcW w:w="460" w:type="pct"/>
            <w:tcBorders>
              <w:top w:val="single" w:sz="4" w:space="0" w:color="auto"/>
            </w:tcBorders>
            <w:shd w:val="clear" w:color="auto" w:fill="auto"/>
            <w:tcMar>
              <w:left w:w="10" w:type="dxa"/>
              <w:right w:w="10" w:type="dxa"/>
            </w:tcMar>
            <w:vAlign w:val="center"/>
          </w:tcPr>
          <w:p w14:paraId="0778619C" w14:textId="77777777" w:rsidR="00A735D6" w:rsidRPr="003E1CF4" w:rsidRDefault="00A735D6" w:rsidP="003E1CF4">
            <w:pPr>
              <w:pStyle w:val="TblTextCenter"/>
            </w:pPr>
            <w:r w:rsidRPr="003E1CF4">
              <w:t>&lt;1</w:t>
            </w:r>
          </w:p>
        </w:tc>
        <w:tc>
          <w:tcPr>
            <w:tcW w:w="459" w:type="pct"/>
            <w:tcBorders>
              <w:top w:val="single" w:sz="4" w:space="0" w:color="auto"/>
            </w:tcBorders>
            <w:shd w:val="clear" w:color="auto" w:fill="auto"/>
            <w:tcMar>
              <w:left w:w="10" w:type="dxa"/>
              <w:right w:w="10" w:type="dxa"/>
            </w:tcMar>
            <w:vAlign w:val="center"/>
          </w:tcPr>
          <w:p w14:paraId="30454CBA" w14:textId="77777777" w:rsidR="00A735D6" w:rsidRPr="003E1CF4" w:rsidRDefault="00A735D6" w:rsidP="003E1CF4">
            <w:pPr>
              <w:pStyle w:val="TblTextCenter"/>
            </w:pPr>
            <w:r w:rsidRPr="003E1CF4">
              <w:t>&lt;1</w:t>
            </w:r>
          </w:p>
        </w:tc>
      </w:tr>
      <w:tr w:rsidR="003E1CF4" w:rsidRPr="00511840" w14:paraId="69C8E47D" w14:textId="77777777" w:rsidTr="00AC7ED1">
        <w:trPr>
          <w:cantSplit/>
          <w:jc w:val="center"/>
        </w:trPr>
        <w:tc>
          <w:tcPr>
            <w:tcW w:w="2081" w:type="pct"/>
            <w:shd w:val="clear" w:color="auto" w:fill="auto"/>
            <w:tcMar>
              <w:left w:w="10" w:type="dxa"/>
              <w:right w:w="10" w:type="dxa"/>
            </w:tcMar>
          </w:tcPr>
          <w:p w14:paraId="4849EA29" w14:textId="77777777" w:rsidR="00A735D6" w:rsidRPr="003E1CF4" w:rsidRDefault="00A735D6" w:rsidP="003E1CF4">
            <w:pPr>
              <w:pStyle w:val="TblTextLeft"/>
            </w:pPr>
            <w:r w:rsidRPr="003E1CF4">
              <w:t xml:space="preserve">   Local Tenderness</w:t>
            </w:r>
          </w:p>
        </w:tc>
        <w:tc>
          <w:tcPr>
            <w:tcW w:w="540" w:type="pct"/>
            <w:shd w:val="clear" w:color="auto" w:fill="auto"/>
            <w:tcMar>
              <w:left w:w="10" w:type="dxa"/>
              <w:right w:w="10" w:type="dxa"/>
            </w:tcMar>
            <w:vAlign w:val="center"/>
          </w:tcPr>
          <w:p w14:paraId="56A90587" w14:textId="77777777" w:rsidR="00A735D6" w:rsidRPr="003E1CF4" w:rsidRDefault="00A735D6" w:rsidP="003E1CF4">
            <w:pPr>
              <w:pStyle w:val="TblTextCenter"/>
            </w:pPr>
            <w:r w:rsidRPr="003E1CF4">
              <w:t>34</w:t>
            </w:r>
          </w:p>
        </w:tc>
        <w:tc>
          <w:tcPr>
            <w:tcW w:w="460" w:type="pct"/>
            <w:shd w:val="clear" w:color="auto" w:fill="auto"/>
            <w:tcMar>
              <w:left w:w="10" w:type="dxa"/>
              <w:right w:w="10" w:type="dxa"/>
            </w:tcMar>
            <w:vAlign w:val="center"/>
          </w:tcPr>
          <w:p w14:paraId="2D45F5B1" w14:textId="77777777" w:rsidR="00A735D6" w:rsidRPr="003E1CF4" w:rsidRDefault="00A735D6" w:rsidP="003E1CF4">
            <w:pPr>
              <w:pStyle w:val="TblTextCenter"/>
            </w:pPr>
            <w:r w:rsidRPr="003E1CF4">
              <w:t>&lt;1</w:t>
            </w:r>
          </w:p>
        </w:tc>
        <w:tc>
          <w:tcPr>
            <w:tcW w:w="460" w:type="pct"/>
            <w:shd w:val="clear" w:color="auto" w:fill="auto"/>
            <w:tcMar>
              <w:left w:w="10" w:type="dxa"/>
              <w:right w:w="10" w:type="dxa"/>
            </w:tcMar>
            <w:vAlign w:val="center"/>
          </w:tcPr>
          <w:p w14:paraId="6FEF657C" w14:textId="77777777" w:rsidR="00A735D6" w:rsidRPr="003E1CF4" w:rsidRDefault="00A735D6" w:rsidP="003E1CF4">
            <w:pPr>
              <w:pStyle w:val="TblTextCenter"/>
            </w:pPr>
            <w:r w:rsidRPr="003E1CF4">
              <w:t>&lt;1</w:t>
            </w:r>
          </w:p>
        </w:tc>
        <w:tc>
          <w:tcPr>
            <w:tcW w:w="540" w:type="pct"/>
            <w:shd w:val="clear" w:color="auto" w:fill="auto"/>
            <w:tcMar>
              <w:left w:w="10" w:type="dxa"/>
              <w:right w:w="10" w:type="dxa"/>
            </w:tcMar>
            <w:vAlign w:val="center"/>
          </w:tcPr>
          <w:p w14:paraId="4E152C40" w14:textId="77777777" w:rsidR="00A735D6" w:rsidRPr="003E1CF4" w:rsidRDefault="00A735D6" w:rsidP="003E1CF4">
            <w:pPr>
              <w:pStyle w:val="TblTextCenter"/>
            </w:pPr>
            <w:r w:rsidRPr="003E1CF4">
              <w:t>37</w:t>
            </w:r>
          </w:p>
        </w:tc>
        <w:tc>
          <w:tcPr>
            <w:tcW w:w="460" w:type="pct"/>
            <w:shd w:val="clear" w:color="auto" w:fill="auto"/>
            <w:tcMar>
              <w:left w:w="10" w:type="dxa"/>
              <w:right w:w="10" w:type="dxa"/>
            </w:tcMar>
            <w:vAlign w:val="center"/>
          </w:tcPr>
          <w:p w14:paraId="1D4F63CD" w14:textId="77777777" w:rsidR="00A735D6" w:rsidRPr="003E1CF4" w:rsidRDefault="00A735D6" w:rsidP="003E1CF4">
            <w:pPr>
              <w:pStyle w:val="TblTextCenter"/>
            </w:pPr>
            <w:r w:rsidRPr="003E1CF4">
              <w:t>&lt;1</w:t>
            </w:r>
          </w:p>
        </w:tc>
        <w:tc>
          <w:tcPr>
            <w:tcW w:w="459" w:type="pct"/>
            <w:shd w:val="clear" w:color="auto" w:fill="auto"/>
            <w:tcMar>
              <w:left w:w="10" w:type="dxa"/>
              <w:right w:w="10" w:type="dxa"/>
            </w:tcMar>
            <w:vAlign w:val="center"/>
          </w:tcPr>
          <w:p w14:paraId="09B46D11" w14:textId="77777777" w:rsidR="00A735D6" w:rsidRPr="003E1CF4" w:rsidRDefault="00A735D6" w:rsidP="003E1CF4">
            <w:pPr>
              <w:pStyle w:val="TblTextCenter"/>
            </w:pPr>
            <w:r w:rsidRPr="003E1CF4">
              <w:t>&lt;1</w:t>
            </w:r>
          </w:p>
        </w:tc>
      </w:tr>
      <w:tr w:rsidR="003E1CF4" w:rsidRPr="00511840" w14:paraId="008CC183" w14:textId="77777777" w:rsidTr="00AC7ED1">
        <w:trPr>
          <w:cantSplit/>
          <w:jc w:val="center"/>
        </w:trPr>
        <w:tc>
          <w:tcPr>
            <w:tcW w:w="2081" w:type="pct"/>
            <w:shd w:val="clear" w:color="auto" w:fill="auto"/>
            <w:tcMar>
              <w:left w:w="10" w:type="dxa"/>
              <w:right w:w="10" w:type="dxa"/>
            </w:tcMar>
          </w:tcPr>
          <w:p w14:paraId="5AF27BE8" w14:textId="77777777" w:rsidR="00A735D6" w:rsidRPr="003E1CF4" w:rsidRDefault="00A735D6" w:rsidP="003E1CF4">
            <w:pPr>
              <w:pStyle w:val="TblTextLeft"/>
            </w:pPr>
            <w:r w:rsidRPr="003E1CF4">
              <w:t xml:space="preserve">   Local Pain</w:t>
            </w:r>
          </w:p>
        </w:tc>
        <w:tc>
          <w:tcPr>
            <w:tcW w:w="540" w:type="pct"/>
            <w:shd w:val="clear" w:color="auto" w:fill="auto"/>
            <w:tcMar>
              <w:left w:w="10" w:type="dxa"/>
              <w:right w:w="10" w:type="dxa"/>
            </w:tcMar>
            <w:vAlign w:val="center"/>
          </w:tcPr>
          <w:p w14:paraId="23884DB9" w14:textId="77777777" w:rsidR="00A735D6" w:rsidRPr="003E1CF4" w:rsidRDefault="00A735D6" w:rsidP="003E1CF4">
            <w:pPr>
              <w:pStyle w:val="TblTextCenter"/>
            </w:pPr>
            <w:r w:rsidRPr="003E1CF4">
              <w:t>19</w:t>
            </w:r>
          </w:p>
        </w:tc>
        <w:tc>
          <w:tcPr>
            <w:tcW w:w="460" w:type="pct"/>
            <w:shd w:val="clear" w:color="auto" w:fill="auto"/>
            <w:tcMar>
              <w:left w:w="10" w:type="dxa"/>
              <w:right w:w="10" w:type="dxa"/>
            </w:tcMar>
            <w:vAlign w:val="center"/>
          </w:tcPr>
          <w:p w14:paraId="3F1A6EE6" w14:textId="77777777" w:rsidR="00A735D6" w:rsidRPr="003E1CF4" w:rsidRDefault="00A735D6" w:rsidP="003E1CF4">
            <w:pPr>
              <w:pStyle w:val="TblTextCenter"/>
            </w:pPr>
            <w:r w:rsidRPr="003E1CF4">
              <w:t>&lt;1</w:t>
            </w:r>
          </w:p>
        </w:tc>
        <w:tc>
          <w:tcPr>
            <w:tcW w:w="460" w:type="pct"/>
            <w:shd w:val="clear" w:color="auto" w:fill="auto"/>
            <w:tcMar>
              <w:left w:w="10" w:type="dxa"/>
              <w:right w:w="10" w:type="dxa"/>
            </w:tcMar>
            <w:vAlign w:val="center"/>
          </w:tcPr>
          <w:p w14:paraId="741D4C56" w14:textId="77777777" w:rsidR="00A735D6" w:rsidRPr="003E1CF4" w:rsidRDefault="00A735D6" w:rsidP="003E1CF4">
            <w:pPr>
              <w:pStyle w:val="TblTextCenter"/>
            </w:pPr>
            <w:r w:rsidRPr="003E1CF4">
              <w:t>0</w:t>
            </w:r>
          </w:p>
        </w:tc>
        <w:tc>
          <w:tcPr>
            <w:tcW w:w="540" w:type="pct"/>
            <w:shd w:val="clear" w:color="auto" w:fill="auto"/>
            <w:tcMar>
              <w:left w:w="10" w:type="dxa"/>
              <w:right w:w="10" w:type="dxa"/>
            </w:tcMar>
            <w:vAlign w:val="center"/>
          </w:tcPr>
          <w:p w14:paraId="230676D4" w14:textId="77777777" w:rsidR="00A735D6" w:rsidRPr="003E1CF4" w:rsidRDefault="00A735D6" w:rsidP="003E1CF4">
            <w:pPr>
              <w:pStyle w:val="TblTextCenter"/>
            </w:pPr>
            <w:r w:rsidRPr="003E1CF4">
              <w:t>22</w:t>
            </w:r>
          </w:p>
        </w:tc>
        <w:tc>
          <w:tcPr>
            <w:tcW w:w="460" w:type="pct"/>
            <w:shd w:val="clear" w:color="auto" w:fill="auto"/>
            <w:tcMar>
              <w:left w:w="10" w:type="dxa"/>
              <w:right w:w="10" w:type="dxa"/>
            </w:tcMar>
            <w:vAlign w:val="center"/>
          </w:tcPr>
          <w:p w14:paraId="4A0978F5" w14:textId="77777777" w:rsidR="00A735D6" w:rsidRPr="003E1CF4" w:rsidRDefault="00A735D6" w:rsidP="003E1CF4">
            <w:pPr>
              <w:pStyle w:val="TblTextCenter"/>
            </w:pPr>
            <w:r w:rsidRPr="003E1CF4">
              <w:t>&lt;1</w:t>
            </w:r>
          </w:p>
        </w:tc>
        <w:tc>
          <w:tcPr>
            <w:tcW w:w="459" w:type="pct"/>
            <w:shd w:val="clear" w:color="auto" w:fill="auto"/>
            <w:tcMar>
              <w:left w:w="10" w:type="dxa"/>
              <w:right w:w="10" w:type="dxa"/>
            </w:tcMar>
            <w:vAlign w:val="center"/>
          </w:tcPr>
          <w:p w14:paraId="687235F4" w14:textId="77777777" w:rsidR="00A735D6" w:rsidRPr="003E1CF4" w:rsidRDefault="00A735D6" w:rsidP="003E1CF4">
            <w:pPr>
              <w:pStyle w:val="TblTextCenter"/>
            </w:pPr>
            <w:r w:rsidRPr="003E1CF4">
              <w:t>&lt;1</w:t>
            </w:r>
          </w:p>
        </w:tc>
      </w:tr>
      <w:tr w:rsidR="003E1CF4" w:rsidRPr="00511840" w14:paraId="1519A06E" w14:textId="77777777" w:rsidTr="00AC7ED1">
        <w:trPr>
          <w:cantSplit/>
          <w:jc w:val="center"/>
        </w:trPr>
        <w:tc>
          <w:tcPr>
            <w:tcW w:w="2081" w:type="pct"/>
            <w:shd w:val="clear" w:color="auto" w:fill="auto"/>
            <w:tcMar>
              <w:left w:w="10" w:type="dxa"/>
              <w:right w:w="10" w:type="dxa"/>
            </w:tcMar>
          </w:tcPr>
          <w:p w14:paraId="32E87956" w14:textId="77777777" w:rsidR="00A735D6" w:rsidRPr="003E1CF4" w:rsidRDefault="00A735D6" w:rsidP="003E1CF4">
            <w:pPr>
              <w:pStyle w:val="TblTextLeft"/>
            </w:pPr>
            <w:r w:rsidRPr="003E1CF4">
              <w:t xml:space="preserve">   Firmness / Swelling</w:t>
            </w:r>
          </w:p>
        </w:tc>
        <w:tc>
          <w:tcPr>
            <w:tcW w:w="540" w:type="pct"/>
            <w:shd w:val="clear" w:color="auto" w:fill="auto"/>
            <w:tcMar>
              <w:left w:w="10" w:type="dxa"/>
              <w:right w:w="10" w:type="dxa"/>
            </w:tcMar>
            <w:vAlign w:val="center"/>
          </w:tcPr>
          <w:p w14:paraId="1B839B4F" w14:textId="77777777" w:rsidR="00A735D6" w:rsidRPr="003E1CF4" w:rsidRDefault="00A735D6" w:rsidP="003E1CF4">
            <w:pPr>
              <w:pStyle w:val="TblTextCenter"/>
            </w:pPr>
            <w:r w:rsidRPr="003E1CF4">
              <w:t>3</w:t>
            </w:r>
          </w:p>
        </w:tc>
        <w:tc>
          <w:tcPr>
            <w:tcW w:w="460" w:type="pct"/>
            <w:shd w:val="clear" w:color="auto" w:fill="auto"/>
            <w:tcMar>
              <w:left w:w="10" w:type="dxa"/>
              <w:right w:w="10" w:type="dxa"/>
            </w:tcMar>
            <w:vAlign w:val="center"/>
          </w:tcPr>
          <w:p w14:paraId="22E9D41F" w14:textId="77777777" w:rsidR="00A735D6" w:rsidRPr="003E1CF4" w:rsidRDefault="00A735D6" w:rsidP="003E1CF4">
            <w:pPr>
              <w:pStyle w:val="TblTextCenter"/>
            </w:pPr>
            <w:r w:rsidRPr="003E1CF4">
              <w:t>&lt;1</w:t>
            </w:r>
          </w:p>
        </w:tc>
        <w:tc>
          <w:tcPr>
            <w:tcW w:w="460" w:type="pct"/>
            <w:shd w:val="clear" w:color="auto" w:fill="auto"/>
            <w:tcMar>
              <w:left w:w="10" w:type="dxa"/>
              <w:right w:w="10" w:type="dxa"/>
            </w:tcMar>
            <w:vAlign w:val="center"/>
          </w:tcPr>
          <w:p w14:paraId="7F7B5DBF" w14:textId="77777777" w:rsidR="00A735D6" w:rsidRPr="003E1CF4" w:rsidRDefault="00A735D6" w:rsidP="003E1CF4">
            <w:pPr>
              <w:pStyle w:val="TblTextCenter"/>
            </w:pPr>
            <w:r w:rsidRPr="003E1CF4">
              <w:t>0</w:t>
            </w:r>
          </w:p>
        </w:tc>
        <w:tc>
          <w:tcPr>
            <w:tcW w:w="540" w:type="pct"/>
            <w:shd w:val="clear" w:color="auto" w:fill="auto"/>
            <w:tcMar>
              <w:left w:w="10" w:type="dxa"/>
              <w:right w:w="10" w:type="dxa"/>
            </w:tcMar>
            <w:vAlign w:val="center"/>
          </w:tcPr>
          <w:p w14:paraId="3AC85E96" w14:textId="77777777" w:rsidR="00A735D6" w:rsidRPr="003E1CF4" w:rsidRDefault="00A735D6" w:rsidP="003E1CF4">
            <w:pPr>
              <w:pStyle w:val="TblTextCenter"/>
            </w:pPr>
            <w:r w:rsidRPr="003E1CF4">
              <w:t>3</w:t>
            </w:r>
          </w:p>
        </w:tc>
        <w:tc>
          <w:tcPr>
            <w:tcW w:w="460" w:type="pct"/>
            <w:shd w:val="clear" w:color="auto" w:fill="auto"/>
            <w:tcMar>
              <w:left w:w="10" w:type="dxa"/>
              <w:right w:w="10" w:type="dxa"/>
            </w:tcMar>
            <w:vAlign w:val="center"/>
          </w:tcPr>
          <w:p w14:paraId="33E17BD5" w14:textId="77777777" w:rsidR="00A735D6" w:rsidRPr="003E1CF4" w:rsidRDefault="00A735D6" w:rsidP="003E1CF4">
            <w:pPr>
              <w:pStyle w:val="TblTextCenter"/>
            </w:pPr>
            <w:r w:rsidRPr="003E1CF4">
              <w:t>&lt;1</w:t>
            </w:r>
          </w:p>
        </w:tc>
        <w:tc>
          <w:tcPr>
            <w:tcW w:w="459" w:type="pct"/>
            <w:shd w:val="clear" w:color="auto" w:fill="auto"/>
            <w:tcMar>
              <w:left w:w="10" w:type="dxa"/>
              <w:right w:w="10" w:type="dxa"/>
            </w:tcMar>
            <w:vAlign w:val="center"/>
          </w:tcPr>
          <w:p w14:paraId="6C585DF6" w14:textId="77777777" w:rsidR="00A735D6" w:rsidRPr="003E1CF4" w:rsidRDefault="00A735D6" w:rsidP="003E1CF4">
            <w:pPr>
              <w:pStyle w:val="TblTextCenter"/>
            </w:pPr>
            <w:r w:rsidRPr="003E1CF4">
              <w:t>0</w:t>
            </w:r>
          </w:p>
        </w:tc>
      </w:tr>
      <w:tr w:rsidR="003E1CF4" w:rsidRPr="00511840" w14:paraId="6BC7C7BE" w14:textId="77777777" w:rsidTr="00AC7ED1">
        <w:trPr>
          <w:cantSplit/>
          <w:jc w:val="center"/>
        </w:trPr>
        <w:tc>
          <w:tcPr>
            <w:tcW w:w="2081" w:type="pct"/>
            <w:shd w:val="clear" w:color="auto" w:fill="auto"/>
            <w:tcMar>
              <w:left w:w="10" w:type="dxa"/>
              <w:right w:w="10" w:type="dxa"/>
            </w:tcMar>
          </w:tcPr>
          <w:p w14:paraId="132C4B65" w14:textId="77777777" w:rsidR="00A735D6" w:rsidRPr="003E1CF4" w:rsidRDefault="00A735D6" w:rsidP="003E1CF4">
            <w:pPr>
              <w:pStyle w:val="TblTextLeft"/>
            </w:pPr>
            <w:r w:rsidRPr="003E1CF4">
              <w:t xml:space="preserve">   Redness</w:t>
            </w:r>
          </w:p>
        </w:tc>
        <w:tc>
          <w:tcPr>
            <w:tcW w:w="540" w:type="pct"/>
            <w:shd w:val="clear" w:color="auto" w:fill="auto"/>
            <w:tcMar>
              <w:left w:w="10" w:type="dxa"/>
              <w:right w:w="10" w:type="dxa"/>
            </w:tcMar>
            <w:vAlign w:val="center"/>
          </w:tcPr>
          <w:p w14:paraId="25551458" w14:textId="77777777" w:rsidR="00A735D6" w:rsidRPr="003E1CF4" w:rsidRDefault="00A735D6" w:rsidP="003E1CF4">
            <w:pPr>
              <w:pStyle w:val="TblTextCenter"/>
            </w:pPr>
            <w:r w:rsidRPr="003E1CF4">
              <w:t>3</w:t>
            </w:r>
          </w:p>
        </w:tc>
        <w:tc>
          <w:tcPr>
            <w:tcW w:w="460" w:type="pct"/>
            <w:shd w:val="clear" w:color="auto" w:fill="auto"/>
            <w:tcMar>
              <w:left w:w="10" w:type="dxa"/>
              <w:right w:w="10" w:type="dxa"/>
            </w:tcMar>
            <w:vAlign w:val="center"/>
          </w:tcPr>
          <w:p w14:paraId="4BFA45B7" w14:textId="77777777" w:rsidR="00A735D6" w:rsidRPr="003E1CF4" w:rsidRDefault="00A735D6" w:rsidP="003E1CF4">
            <w:pPr>
              <w:pStyle w:val="TblTextCenter"/>
            </w:pPr>
            <w:r w:rsidRPr="003E1CF4">
              <w:t>&lt;1</w:t>
            </w:r>
          </w:p>
        </w:tc>
        <w:tc>
          <w:tcPr>
            <w:tcW w:w="460" w:type="pct"/>
            <w:shd w:val="clear" w:color="auto" w:fill="auto"/>
            <w:tcMar>
              <w:left w:w="10" w:type="dxa"/>
              <w:right w:w="10" w:type="dxa"/>
            </w:tcMar>
            <w:vAlign w:val="center"/>
          </w:tcPr>
          <w:p w14:paraId="5B515DD6" w14:textId="77777777" w:rsidR="00A735D6" w:rsidRPr="003E1CF4" w:rsidRDefault="00A735D6" w:rsidP="003E1CF4">
            <w:pPr>
              <w:pStyle w:val="TblTextCenter"/>
            </w:pPr>
            <w:r w:rsidRPr="003E1CF4">
              <w:t>0</w:t>
            </w:r>
          </w:p>
        </w:tc>
        <w:tc>
          <w:tcPr>
            <w:tcW w:w="540" w:type="pct"/>
            <w:shd w:val="clear" w:color="auto" w:fill="auto"/>
            <w:tcMar>
              <w:left w:w="10" w:type="dxa"/>
              <w:right w:w="10" w:type="dxa"/>
            </w:tcMar>
            <w:vAlign w:val="center"/>
          </w:tcPr>
          <w:p w14:paraId="5B89CB35" w14:textId="77777777" w:rsidR="00A735D6" w:rsidRPr="003E1CF4" w:rsidRDefault="00A735D6" w:rsidP="003E1CF4">
            <w:pPr>
              <w:pStyle w:val="TblTextCenter"/>
            </w:pPr>
            <w:r w:rsidRPr="003E1CF4">
              <w:t>2</w:t>
            </w:r>
          </w:p>
        </w:tc>
        <w:tc>
          <w:tcPr>
            <w:tcW w:w="460" w:type="pct"/>
            <w:shd w:val="clear" w:color="auto" w:fill="auto"/>
            <w:tcMar>
              <w:left w:w="10" w:type="dxa"/>
              <w:right w:w="10" w:type="dxa"/>
            </w:tcMar>
            <w:vAlign w:val="center"/>
          </w:tcPr>
          <w:p w14:paraId="5045A2BE" w14:textId="77777777" w:rsidR="00A735D6" w:rsidRPr="003E1CF4" w:rsidRDefault="00A735D6" w:rsidP="003E1CF4">
            <w:pPr>
              <w:pStyle w:val="TblTextCenter"/>
            </w:pPr>
            <w:r w:rsidRPr="003E1CF4">
              <w:t>&lt;1</w:t>
            </w:r>
          </w:p>
        </w:tc>
        <w:tc>
          <w:tcPr>
            <w:tcW w:w="459" w:type="pct"/>
            <w:shd w:val="clear" w:color="auto" w:fill="auto"/>
            <w:tcMar>
              <w:left w:w="10" w:type="dxa"/>
              <w:right w:w="10" w:type="dxa"/>
            </w:tcMar>
            <w:vAlign w:val="center"/>
          </w:tcPr>
          <w:p w14:paraId="1A8141D8" w14:textId="77777777" w:rsidR="00A735D6" w:rsidRPr="003E1CF4" w:rsidRDefault="00A735D6" w:rsidP="003E1CF4">
            <w:pPr>
              <w:pStyle w:val="TblTextCenter"/>
            </w:pPr>
            <w:r w:rsidRPr="003E1CF4">
              <w:t>0</w:t>
            </w:r>
          </w:p>
        </w:tc>
      </w:tr>
      <w:tr w:rsidR="003E1CF4" w:rsidRPr="00511840" w14:paraId="2A1CADA3" w14:textId="77777777" w:rsidTr="00AC7ED1">
        <w:trPr>
          <w:cantSplit/>
          <w:jc w:val="center"/>
        </w:trPr>
        <w:tc>
          <w:tcPr>
            <w:tcW w:w="2081" w:type="pct"/>
            <w:shd w:val="clear" w:color="auto" w:fill="auto"/>
            <w:tcMar>
              <w:left w:w="10" w:type="dxa"/>
              <w:right w:w="10" w:type="dxa"/>
            </w:tcMar>
          </w:tcPr>
          <w:p w14:paraId="6A46C0C7" w14:textId="783A6B0A" w:rsidR="00A735D6" w:rsidRPr="003E1CF4" w:rsidRDefault="003E1CF4" w:rsidP="003E1CF4">
            <w:pPr>
              <w:pStyle w:val="TblTextLeft"/>
              <w:rPr>
                <w:b/>
              </w:rPr>
            </w:pPr>
            <w:r w:rsidRPr="003E1CF4">
              <w:rPr>
                <w:b/>
              </w:rPr>
              <w:t xml:space="preserve">Subjects with ≥1 systemic </w:t>
            </w:r>
            <w:r w:rsidR="00A735D6" w:rsidRPr="003E1CF4">
              <w:rPr>
                <w:b/>
              </w:rPr>
              <w:t>reactogenicity event</w:t>
            </w:r>
            <w:r w:rsidR="00A735D6" w:rsidRPr="003E1CF4">
              <w:rPr>
                <w:b/>
                <w:vertAlign w:val="superscript"/>
              </w:rPr>
              <w:t>3,5</w:t>
            </w:r>
          </w:p>
        </w:tc>
        <w:tc>
          <w:tcPr>
            <w:tcW w:w="540" w:type="pct"/>
            <w:shd w:val="clear" w:color="auto" w:fill="auto"/>
            <w:tcMar>
              <w:left w:w="10" w:type="dxa"/>
              <w:right w:w="10" w:type="dxa"/>
            </w:tcMar>
            <w:vAlign w:val="center"/>
          </w:tcPr>
          <w:p w14:paraId="375E7CC4" w14:textId="77777777" w:rsidR="00A735D6" w:rsidRPr="003E1CF4" w:rsidRDefault="00A735D6" w:rsidP="003E1CF4">
            <w:pPr>
              <w:pStyle w:val="TblTextCenter"/>
            </w:pPr>
            <w:r w:rsidRPr="003E1CF4">
              <w:t>25</w:t>
            </w:r>
          </w:p>
        </w:tc>
        <w:tc>
          <w:tcPr>
            <w:tcW w:w="460" w:type="pct"/>
            <w:shd w:val="clear" w:color="auto" w:fill="auto"/>
            <w:tcMar>
              <w:left w:w="10" w:type="dxa"/>
              <w:right w:w="10" w:type="dxa"/>
            </w:tcMar>
            <w:vAlign w:val="center"/>
          </w:tcPr>
          <w:p w14:paraId="3EE54950" w14:textId="77777777" w:rsidR="00A735D6" w:rsidRPr="003E1CF4" w:rsidRDefault="00A735D6" w:rsidP="003E1CF4">
            <w:pPr>
              <w:pStyle w:val="TblTextCenter"/>
            </w:pPr>
            <w:r w:rsidRPr="003E1CF4">
              <w:t>1</w:t>
            </w:r>
          </w:p>
        </w:tc>
        <w:tc>
          <w:tcPr>
            <w:tcW w:w="460" w:type="pct"/>
            <w:shd w:val="clear" w:color="auto" w:fill="auto"/>
            <w:tcMar>
              <w:left w:w="10" w:type="dxa"/>
              <w:right w:w="10" w:type="dxa"/>
            </w:tcMar>
            <w:vAlign w:val="center"/>
          </w:tcPr>
          <w:p w14:paraId="7D3A614B" w14:textId="77777777" w:rsidR="00A735D6" w:rsidRPr="003E1CF4" w:rsidRDefault="00A735D6" w:rsidP="003E1CF4">
            <w:pPr>
              <w:pStyle w:val="TblTextCenter"/>
            </w:pPr>
            <w:r w:rsidRPr="003E1CF4">
              <w:t>&lt;1</w:t>
            </w:r>
          </w:p>
        </w:tc>
        <w:tc>
          <w:tcPr>
            <w:tcW w:w="540" w:type="pct"/>
            <w:shd w:val="clear" w:color="auto" w:fill="auto"/>
            <w:tcMar>
              <w:left w:w="10" w:type="dxa"/>
              <w:right w:w="10" w:type="dxa"/>
            </w:tcMar>
            <w:vAlign w:val="center"/>
          </w:tcPr>
          <w:p w14:paraId="43B37547" w14:textId="77777777" w:rsidR="00A735D6" w:rsidRPr="003E1CF4" w:rsidRDefault="00A735D6" w:rsidP="003E1CF4">
            <w:pPr>
              <w:pStyle w:val="TblTextCenter"/>
            </w:pPr>
            <w:r w:rsidRPr="003E1CF4">
              <w:t>26</w:t>
            </w:r>
          </w:p>
        </w:tc>
        <w:tc>
          <w:tcPr>
            <w:tcW w:w="460" w:type="pct"/>
            <w:shd w:val="clear" w:color="auto" w:fill="auto"/>
            <w:tcMar>
              <w:left w:w="10" w:type="dxa"/>
              <w:right w:w="10" w:type="dxa"/>
            </w:tcMar>
            <w:vAlign w:val="center"/>
          </w:tcPr>
          <w:p w14:paraId="56A70885" w14:textId="77777777" w:rsidR="00A735D6" w:rsidRPr="003E1CF4" w:rsidRDefault="00A735D6" w:rsidP="003E1CF4">
            <w:pPr>
              <w:pStyle w:val="TblTextCenter"/>
            </w:pPr>
            <w:r w:rsidRPr="003E1CF4">
              <w:t>1</w:t>
            </w:r>
          </w:p>
        </w:tc>
        <w:tc>
          <w:tcPr>
            <w:tcW w:w="459" w:type="pct"/>
            <w:shd w:val="clear" w:color="auto" w:fill="auto"/>
            <w:tcMar>
              <w:left w:w="10" w:type="dxa"/>
              <w:right w:w="10" w:type="dxa"/>
            </w:tcMar>
            <w:vAlign w:val="center"/>
          </w:tcPr>
          <w:p w14:paraId="60FECD73" w14:textId="77777777" w:rsidR="00A735D6" w:rsidRPr="003E1CF4" w:rsidRDefault="00A735D6" w:rsidP="003E1CF4">
            <w:pPr>
              <w:pStyle w:val="TblTextCenter"/>
            </w:pPr>
            <w:r w:rsidRPr="003E1CF4">
              <w:t>&lt;1</w:t>
            </w:r>
          </w:p>
        </w:tc>
      </w:tr>
      <w:tr w:rsidR="003E1CF4" w:rsidRPr="00511840" w14:paraId="1F8245F7" w14:textId="77777777" w:rsidTr="00AC7ED1">
        <w:trPr>
          <w:cantSplit/>
          <w:jc w:val="center"/>
        </w:trPr>
        <w:tc>
          <w:tcPr>
            <w:tcW w:w="2081" w:type="pct"/>
            <w:shd w:val="clear" w:color="auto" w:fill="auto"/>
            <w:tcMar>
              <w:left w:w="10" w:type="dxa"/>
              <w:right w:w="10" w:type="dxa"/>
            </w:tcMar>
          </w:tcPr>
          <w:p w14:paraId="293E1F88" w14:textId="77777777" w:rsidR="00A735D6" w:rsidRPr="003E1CF4" w:rsidRDefault="00A735D6" w:rsidP="003E1CF4">
            <w:pPr>
              <w:pStyle w:val="TblTextLeft"/>
            </w:pPr>
            <w:r w:rsidRPr="003E1CF4">
              <w:t xml:space="preserve">   Headache</w:t>
            </w:r>
          </w:p>
        </w:tc>
        <w:tc>
          <w:tcPr>
            <w:tcW w:w="540" w:type="pct"/>
            <w:shd w:val="clear" w:color="auto" w:fill="auto"/>
            <w:tcMar>
              <w:left w:w="10" w:type="dxa"/>
              <w:right w:w="10" w:type="dxa"/>
            </w:tcMar>
            <w:vAlign w:val="center"/>
          </w:tcPr>
          <w:p w14:paraId="4F4C6BAA" w14:textId="77777777" w:rsidR="00A735D6" w:rsidRPr="003E1CF4" w:rsidRDefault="00A735D6" w:rsidP="003E1CF4">
            <w:pPr>
              <w:pStyle w:val="TblTextCenter"/>
            </w:pPr>
            <w:r w:rsidRPr="003E1CF4">
              <w:t>13</w:t>
            </w:r>
          </w:p>
        </w:tc>
        <w:tc>
          <w:tcPr>
            <w:tcW w:w="460" w:type="pct"/>
            <w:shd w:val="clear" w:color="auto" w:fill="auto"/>
            <w:tcMar>
              <w:left w:w="10" w:type="dxa"/>
              <w:right w:w="10" w:type="dxa"/>
            </w:tcMar>
            <w:vAlign w:val="center"/>
          </w:tcPr>
          <w:p w14:paraId="41CB28A2" w14:textId="77777777" w:rsidR="00A735D6" w:rsidRPr="003E1CF4" w:rsidRDefault="00A735D6" w:rsidP="003E1CF4">
            <w:pPr>
              <w:pStyle w:val="TblTextCenter"/>
            </w:pPr>
            <w:r w:rsidRPr="003E1CF4">
              <w:t>&lt;1</w:t>
            </w:r>
          </w:p>
        </w:tc>
        <w:tc>
          <w:tcPr>
            <w:tcW w:w="460" w:type="pct"/>
            <w:shd w:val="clear" w:color="auto" w:fill="auto"/>
            <w:tcMar>
              <w:left w:w="10" w:type="dxa"/>
              <w:right w:w="10" w:type="dxa"/>
            </w:tcMar>
            <w:vAlign w:val="center"/>
          </w:tcPr>
          <w:p w14:paraId="29E29A75" w14:textId="77777777" w:rsidR="00A735D6" w:rsidRPr="003E1CF4" w:rsidRDefault="00A735D6" w:rsidP="003E1CF4">
            <w:pPr>
              <w:pStyle w:val="TblTextCenter"/>
            </w:pPr>
            <w:r w:rsidRPr="003E1CF4">
              <w:t>&lt;1</w:t>
            </w:r>
          </w:p>
        </w:tc>
        <w:tc>
          <w:tcPr>
            <w:tcW w:w="540" w:type="pct"/>
            <w:shd w:val="clear" w:color="auto" w:fill="auto"/>
            <w:tcMar>
              <w:left w:w="10" w:type="dxa"/>
              <w:right w:w="10" w:type="dxa"/>
            </w:tcMar>
            <w:vAlign w:val="center"/>
          </w:tcPr>
          <w:p w14:paraId="754C388B" w14:textId="77777777" w:rsidR="00A735D6" w:rsidRPr="003E1CF4" w:rsidRDefault="00A735D6" w:rsidP="003E1CF4">
            <w:pPr>
              <w:pStyle w:val="TblTextCenter"/>
            </w:pPr>
            <w:r w:rsidRPr="003E1CF4">
              <w:t>14</w:t>
            </w:r>
          </w:p>
        </w:tc>
        <w:tc>
          <w:tcPr>
            <w:tcW w:w="460" w:type="pct"/>
            <w:shd w:val="clear" w:color="auto" w:fill="auto"/>
            <w:tcMar>
              <w:left w:w="10" w:type="dxa"/>
              <w:right w:w="10" w:type="dxa"/>
            </w:tcMar>
            <w:vAlign w:val="center"/>
          </w:tcPr>
          <w:p w14:paraId="082215A0" w14:textId="77777777" w:rsidR="00A735D6" w:rsidRPr="003E1CF4" w:rsidRDefault="00A735D6" w:rsidP="003E1CF4">
            <w:pPr>
              <w:pStyle w:val="TblTextCenter"/>
            </w:pPr>
            <w:r w:rsidRPr="003E1CF4">
              <w:t>1</w:t>
            </w:r>
          </w:p>
        </w:tc>
        <w:tc>
          <w:tcPr>
            <w:tcW w:w="459" w:type="pct"/>
            <w:shd w:val="clear" w:color="auto" w:fill="auto"/>
            <w:tcMar>
              <w:left w:w="10" w:type="dxa"/>
              <w:right w:w="10" w:type="dxa"/>
            </w:tcMar>
            <w:vAlign w:val="center"/>
          </w:tcPr>
          <w:p w14:paraId="1EA4489C" w14:textId="77777777" w:rsidR="00A735D6" w:rsidRPr="003E1CF4" w:rsidRDefault="00A735D6" w:rsidP="003E1CF4">
            <w:pPr>
              <w:pStyle w:val="TblTextCenter"/>
            </w:pPr>
            <w:r w:rsidRPr="003E1CF4">
              <w:t>&lt;1</w:t>
            </w:r>
          </w:p>
        </w:tc>
      </w:tr>
      <w:tr w:rsidR="003E1CF4" w:rsidRPr="00511840" w14:paraId="1C723FD7" w14:textId="77777777" w:rsidTr="00AC7ED1">
        <w:trPr>
          <w:cantSplit/>
          <w:jc w:val="center"/>
        </w:trPr>
        <w:tc>
          <w:tcPr>
            <w:tcW w:w="2081" w:type="pct"/>
            <w:shd w:val="clear" w:color="auto" w:fill="auto"/>
            <w:tcMar>
              <w:left w:w="10" w:type="dxa"/>
              <w:right w:w="10" w:type="dxa"/>
            </w:tcMar>
          </w:tcPr>
          <w:p w14:paraId="63C2DE88" w14:textId="77777777" w:rsidR="00A735D6" w:rsidRPr="003E1CF4" w:rsidRDefault="00A735D6" w:rsidP="003E1CF4">
            <w:pPr>
              <w:pStyle w:val="TblTextLeft"/>
            </w:pPr>
            <w:r w:rsidRPr="003E1CF4">
              <w:t xml:space="preserve">   Fatigue</w:t>
            </w:r>
          </w:p>
        </w:tc>
        <w:tc>
          <w:tcPr>
            <w:tcW w:w="540" w:type="pct"/>
            <w:shd w:val="clear" w:color="auto" w:fill="auto"/>
            <w:tcMar>
              <w:left w:w="10" w:type="dxa"/>
              <w:right w:w="10" w:type="dxa"/>
            </w:tcMar>
            <w:vAlign w:val="center"/>
          </w:tcPr>
          <w:p w14:paraId="45E00463" w14:textId="77777777" w:rsidR="00A735D6" w:rsidRPr="003E1CF4" w:rsidRDefault="00A735D6" w:rsidP="003E1CF4">
            <w:pPr>
              <w:pStyle w:val="TblTextCenter"/>
            </w:pPr>
            <w:r w:rsidRPr="003E1CF4">
              <w:t>12</w:t>
            </w:r>
          </w:p>
        </w:tc>
        <w:tc>
          <w:tcPr>
            <w:tcW w:w="460" w:type="pct"/>
            <w:shd w:val="clear" w:color="auto" w:fill="auto"/>
            <w:tcMar>
              <w:left w:w="10" w:type="dxa"/>
              <w:right w:w="10" w:type="dxa"/>
            </w:tcMar>
            <w:vAlign w:val="center"/>
          </w:tcPr>
          <w:p w14:paraId="3E1522E8" w14:textId="77777777" w:rsidR="00A735D6" w:rsidRPr="003E1CF4" w:rsidRDefault="00A735D6" w:rsidP="003E1CF4">
            <w:pPr>
              <w:pStyle w:val="TblTextCenter"/>
            </w:pPr>
            <w:r w:rsidRPr="003E1CF4">
              <w:t>&lt;1</w:t>
            </w:r>
          </w:p>
        </w:tc>
        <w:tc>
          <w:tcPr>
            <w:tcW w:w="460" w:type="pct"/>
            <w:shd w:val="clear" w:color="auto" w:fill="auto"/>
            <w:tcMar>
              <w:left w:w="10" w:type="dxa"/>
              <w:right w:w="10" w:type="dxa"/>
            </w:tcMar>
            <w:vAlign w:val="center"/>
          </w:tcPr>
          <w:p w14:paraId="4BE8E90F" w14:textId="77777777" w:rsidR="00A735D6" w:rsidRPr="003E1CF4" w:rsidRDefault="00A735D6" w:rsidP="003E1CF4">
            <w:pPr>
              <w:pStyle w:val="TblTextCenter"/>
            </w:pPr>
            <w:r w:rsidRPr="003E1CF4">
              <w:t>0</w:t>
            </w:r>
          </w:p>
        </w:tc>
        <w:tc>
          <w:tcPr>
            <w:tcW w:w="540" w:type="pct"/>
            <w:shd w:val="clear" w:color="auto" w:fill="auto"/>
            <w:tcMar>
              <w:left w:w="10" w:type="dxa"/>
              <w:right w:w="10" w:type="dxa"/>
            </w:tcMar>
            <w:vAlign w:val="center"/>
          </w:tcPr>
          <w:p w14:paraId="4141C8EE" w14:textId="77777777" w:rsidR="00A735D6" w:rsidRPr="003E1CF4" w:rsidRDefault="00A735D6" w:rsidP="003E1CF4">
            <w:pPr>
              <w:pStyle w:val="TblTextCenter"/>
            </w:pPr>
            <w:r w:rsidRPr="003E1CF4">
              <w:t>12</w:t>
            </w:r>
          </w:p>
        </w:tc>
        <w:tc>
          <w:tcPr>
            <w:tcW w:w="460" w:type="pct"/>
            <w:shd w:val="clear" w:color="auto" w:fill="auto"/>
            <w:tcMar>
              <w:left w:w="10" w:type="dxa"/>
              <w:right w:w="10" w:type="dxa"/>
            </w:tcMar>
            <w:vAlign w:val="center"/>
          </w:tcPr>
          <w:p w14:paraId="13C61C32" w14:textId="77777777" w:rsidR="00A735D6" w:rsidRPr="003E1CF4" w:rsidRDefault="00A735D6" w:rsidP="003E1CF4">
            <w:pPr>
              <w:pStyle w:val="TblTextCenter"/>
            </w:pPr>
            <w:r w:rsidRPr="003E1CF4">
              <w:t>&lt;1</w:t>
            </w:r>
          </w:p>
        </w:tc>
        <w:tc>
          <w:tcPr>
            <w:tcW w:w="459" w:type="pct"/>
            <w:shd w:val="clear" w:color="auto" w:fill="auto"/>
            <w:tcMar>
              <w:left w:w="10" w:type="dxa"/>
              <w:right w:w="10" w:type="dxa"/>
            </w:tcMar>
            <w:vAlign w:val="center"/>
          </w:tcPr>
          <w:p w14:paraId="32345373" w14:textId="77777777" w:rsidR="00A735D6" w:rsidRPr="003E1CF4" w:rsidRDefault="00A735D6" w:rsidP="003E1CF4">
            <w:pPr>
              <w:pStyle w:val="TblTextCenter"/>
            </w:pPr>
            <w:r w:rsidRPr="003E1CF4">
              <w:t>&lt;1</w:t>
            </w:r>
          </w:p>
        </w:tc>
      </w:tr>
      <w:tr w:rsidR="003E1CF4" w:rsidRPr="00511840" w14:paraId="0190CD1A" w14:textId="77777777" w:rsidTr="00AC7ED1">
        <w:trPr>
          <w:cantSplit/>
          <w:jc w:val="center"/>
        </w:trPr>
        <w:tc>
          <w:tcPr>
            <w:tcW w:w="2081" w:type="pct"/>
            <w:shd w:val="clear" w:color="auto" w:fill="auto"/>
            <w:tcMar>
              <w:left w:w="10" w:type="dxa"/>
              <w:right w:w="10" w:type="dxa"/>
            </w:tcMar>
          </w:tcPr>
          <w:p w14:paraId="6607E582" w14:textId="77777777" w:rsidR="00A735D6" w:rsidRPr="003E1CF4" w:rsidRDefault="00A735D6" w:rsidP="003E1CF4">
            <w:pPr>
              <w:pStyle w:val="TblTextLeft"/>
            </w:pPr>
            <w:r w:rsidRPr="003E1CF4">
              <w:t xml:space="preserve">   Muscle Pain</w:t>
            </w:r>
          </w:p>
        </w:tc>
        <w:tc>
          <w:tcPr>
            <w:tcW w:w="540" w:type="pct"/>
            <w:shd w:val="clear" w:color="auto" w:fill="auto"/>
            <w:tcMar>
              <w:left w:w="10" w:type="dxa"/>
              <w:right w:w="10" w:type="dxa"/>
            </w:tcMar>
            <w:vAlign w:val="center"/>
          </w:tcPr>
          <w:p w14:paraId="57FC943A" w14:textId="77777777" w:rsidR="00A735D6" w:rsidRPr="003E1CF4" w:rsidRDefault="00A735D6" w:rsidP="003E1CF4">
            <w:pPr>
              <w:pStyle w:val="TblTextCenter"/>
            </w:pPr>
            <w:r w:rsidRPr="003E1CF4">
              <w:t>9</w:t>
            </w:r>
          </w:p>
        </w:tc>
        <w:tc>
          <w:tcPr>
            <w:tcW w:w="460" w:type="pct"/>
            <w:shd w:val="clear" w:color="auto" w:fill="auto"/>
            <w:tcMar>
              <w:left w:w="10" w:type="dxa"/>
              <w:right w:w="10" w:type="dxa"/>
            </w:tcMar>
            <w:vAlign w:val="center"/>
          </w:tcPr>
          <w:p w14:paraId="0FCF5369" w14:textId="77777777" w:rsidR="00A735D6" w:rsidRPr="003E1CF4" w:rsidRDefault="00A735D6" w:rsidP="003E1CF4">
            <w:pPr>
              <w:pStyle w:val="TblTextCenter"/>
            </w:pPr>
            <w:r w:rsidRPr="003E1CF4">
              <w:t>&lt;1</w:t>
            </w:r>
          </w:p>
        </w:tc>
        <w:tc>
          <w:tcPr>
            <w:tcW w:w="460" w:type="pct"/>
            <w:shd w:val="clear" w:color="auto" w:fill="auto"/>
            <w:tcMar>
              <w:left w:w="10" w:type="dxa"/>
              <w:right w:w="10" w:type="dxa"/>
            </w:tcMar>
            <w:vAlign w:val="center"/>
          </w:tcPr>
          <w:p w14:paraId="1FBF8A8F" w14:textId="77777777" w:rsidR="00A735D6" w:rsidRPr="003E1CF4" w:rsidRDefault="00A735D6" w:rsidP="003E1CF4">
            <w:pPr>
              <w:pStyle w:val="TblTextCenter"/>
            </w:pPr>
            <w:r w:rsidRPr="003E1CF4">
              <w:t>&lt;1</w:t>
            </w:r>
          </w:p>
        </w:tc>
        <w:tc>
          <w:tcPr>
            <w:tcW w:w="540" w:type="pct"/>
            <w:shd w:val="clear" w:color="auto" w:fill="auto"/>
            <w:tcMar>
              <w:left w:w="10" w:type="dxa"/>
              <w:right w:w="10" w:type="dxa"/>
            </w:tcMar>
            <w:vAlign w:val="center"/>
          </w:tcPr>
          <w:p w14:paraId="12335842" w14:textId="77777777" w:rsidR="00A735D6" w:rsidRPr="003E1CF4" w:rsidRDefault="00A735D6" w:rsidP="003E1CF4">
            <w:pPr>
              <w:pStyle w:val="TblTextCenter"/>
            </w:pPr>
            <w:r w:rsidRPr="003E1CF4">
              <w:t>9</w:t>
            </w:r>
          </w:p>
        </w:tc>
        <w:tc>
          <w:tcPr>
            <w:tcW w:w="460" w:type="pct"/>
            <w:shd w:val="clear" w:color="auto" w:fill="auto"/>
            <w:tcMar>
              <w:left w:w="10" w:type="dxa"/>
              <w:right w:w="10" w:type="dxa"/>
            </w:tcMar>
            <w:vAlign w:val="center"/>
          </w:tcPr>
          <w:p w14:paraId="56CD9A51" w14:textId="77777777" w:rsidR="00A735D6" w:rsidRPr="003E1CF4" w:rsidRDefault="00A735D6" w:rsidP="003E1CF4">
            <w:pPr>
              <w:pStyle w:val="TblTextCenter"/>
            </w:pPr>
            <w:r w:rsidRPr="003E1CF4">
              <w:t>&lt;1</w:t>
            </w:r>
          </w:p>
        </w:tc>
        <w:tc>
          <w:tcPr>
            <w:tcW w:w="459" w:type="pct"/>
            <w:shd w:val="clear" w:color="auto" w:fill="auto"/>
            <w:tcMar>
              <w:left w:w="10" w:type="dxa"/>
              <w:right w:w="10" w:type="dxa"/>
            </w:tcMar>
            <w:vAlign w:val="center"/>
          </w:tcPr>
          <w:p w14:paraId="28A5F410" w14:textId="77777777" w:rsidR="00A735D6" w:rsidRPr="003E1CF4" w:rsidRDefault="00A735D6" w:rsidP="003E1CF4">
            <w:pPr>
              <w:pStyle w:val="TblTextCenter"/>
            </w:pPr>
            <w:r w:rsidRPr="003E1CF4">
              <w:t>&lt;1</w:t>
            </w:r>
          </w:p>
        </w:tc>
      </w:tr>
      <w:tr w:rsidR="003E1CF4" w:rsidRPr="00511840" w14:paraId="5656087F" w14:textId="77777777" w:rsidTr="00AC7ED1">
        <w:trPr>
          <w:cantSplit/>
          <w:jc w:val="center"/>
        </w:trPr>
        <w:tc>
          <w:tcPr>
            <w:tcW w:w="2081" w:type="pct"/>
            <w:shd w:val="clear" w:color="auto" w:fill="auto"/>
            <w:tcMar>
              <w:left w:w="10" w:type="dxa"/>
              <w:right w:w="10" w:type="dxa"/>
            </w:tcMar>
          </w:tcPr>
          <w:p w14:paraId="2B191645" w14:textId="77777777" w:rsidR="00A735D6" w:rsidRPr="003E1CF4" w:rsidRDefault="00A735D6" w:rsidP="003E1CF4">
            <w:pPr>
              <w:pStyle w:val="TblTextLeft"/>
            </w:pPr>
            <w:r w:rsidRPr="003E1CF4">
              <w:t xml:space="preserve">   Joint Pain</w:t>
            </w:r>
          </w:p>
        </w:tc>
        <w:tc>
          <w:tcPr>
            <w:tcW w:w="540" w:type="pct"/>
            <w:shd w:val="clear" w:color="auto" w:fill="auto"/>
            <w:tcMar>
              <w:left w:w="10" w:type="dxa"/>
              <w:right w:w="10" w:type="dxa"/>
            </w:tcMar>
            <w:vAlign w:val="center"/>
          </w:tcPr>
          <w:p w14:paraId="7C7814E7" w14:textId="77777777" w:rsidR="00A735D6" w:rsidRPr="003E1CF4" w:rsidRDefault="00A735D6" w:rsidP="003E1CF4">
            <w:pPr>
              <w:pStyle w:val="TblTextCenter"/>
            </w:pPr>
            <w:r w:rsidRPr="003E1CF4">
              <w:t>8</w:t>
            </w:r>
          </w:p>
        </w:tc>
        <w:tc>
          <w:tcPr>
            <w:tcW w:w="460" w:type="pct"/>
            <w:shd w:val="clear" w:color="auto" w:fill="auto"/>
            <w:tcMar>
              <w:left w:w="10" w:type="dxa"/>
              <w:right w:w="10" w:type="dxa"/>
            </w:tcMar>
            <w:vAlign w:val="center"/>
          </w:tcPr>
          <w:p w14:paraId="25C6E455" w14:textId="77777777" w:rsidR="00A735D6" w:rsidRPr="003E1CF4" w:rsidRDefault="00A735D6" w:rsidP="003E1CF4">
            <w:pPr>
              <w:pStyle w:val="TblTextCenter"/>
            </w:pPr>
            <w:r w:rsidRPr="003E1CF4">
              <w:t>&lt;1</w:t>
            </w:r>
          </w:p>
        </w:tc>
        <w:tc>
          <w:tcPr>
            <w:tcW w:w="460" w:type="pct"/>
            <w:shd w:val="clear" w:color="auto" w:fill="auto"/>
            <w:tcMar>
              <w:left w:w="10" w:type="dxa"/>
              <w:right w:w="10" w:type="dxa"/>
            </w:tcMar>
            <w:vAlign w:val="center"/>
          </w:tcPr>
          <w:p w14:paraId="5A325D3B" w14:textId="77777777" w:rsidR="00A735D6" w:rsidRPr="003E1CF4" w:rsidRDefault="00A735D6" w:rsidP="003E1CF4">
            <w:pPr>
              <w:pStyle w:val="TblTextCenter"/>
            </w:pPr>
            <w:r w:rsidRPr="003E1CF4">
              <w:t>0</w:t>
            </w:r>
          </w:p>
        </w:tc>
        <w:tc>
          <w:tcPr>
            <w:tcW w:w="540" w:type="pct"/>
            <w:shd w:val="clear" w:color="auto" w:fill="auto"/>
            <w:tcMar>
              <w:left w:w="10" w:type="dxa"/>
              <w:right w:w="10" w:type="dxa"/>
            </w:tcMar>
            <w:vAlign w:val="center"/>
          </w:tcPr>
          <w:p w14:paraId="592F7DCB" w14:textId="77777777" w:rsidR="00A735D6" w:rsidRPr="003E1CF4" w:rsidRDefault="00A735D6" w:rsidP="003E1CF4">
            <w:pPr>
              <w:pStyle w:val="TblTextCenter"/>
            </w:pPr>
            <w:r w:rsidRPr="003E1CF4">
              <w:t>8</w:t>
            </w:r>
          </w:p>
        </w:tc>
        <w:tc>
          <w:tcPr>
            <w:tcW w:w="460" w:type="pct"/>
            <w:shd w:val="clear" w:color="auto" w:fill="auto"/>
            <w:tcMar>
              <w:left w:w="10" w:type="dxa"/>
              <w:right w:w="10" w:type="dxa"/>
            </w:tcMar>
            <w:vAlign w:val="center"/>
          </w:tcPr>
          <w:p w14:paraId="0DF9BB07" w14:textId="77777777" w:rsidR="00A735D6" w:rsidRPr="003E1CF4" w:rsidRDefault="00A735D6" w:rsidP="003E1CF4">
            <w:pPr>
              <w:pStyle w:val="TblTextCenter"/>
            </w:pPr>
            <w:r w:rsidRPr="003E1CF4">
              <w:t>&lt;1</w:t>
            </w:r>
          </w:p>
        </w:tc>
        <w:tc>
          <w:tcPr>
            <w:tcW w:w="459" w:type="pct"/>
            <w:shd w:val="clear" w:color="auto" w:fill="auto"/>
            <w:tcMar>
              <w:left w:w="10" w:type="dxa"/>
              <w:right w:w="10" w:type="dxa"/>
            </w:tcMar>
            <w:vAlign w:val="center"/>
          </w:tcPr>
          <w:p w14:paraId="4088ACB2" w14:textId="77777777" w:rsidR="00A735D6" w:rsidRPr="003E1CF4" w:rsidRDefault="00A735D6" w:rsidP="003E1CF4">
            <w:pPr>
              <w:pStyle w:val="TblTextCenter"/>
            </w:pPr>
            <w:r w:rsidRPr="003E1CF4">
              <w:t>&lt;1</w:t>
            </w:r>
          </w:p>
        </w:tc>
      </w:tr>
      <w:tr w:rsidR="003E1CF4" w:rsidRPr="00511840" w14:paraId="43ACD329" w14:textId="77777777" w:rsidTr="00AC7ED1">
        <w:trPr>
          <w:cantSplit/>
          <w:jc w:val="center"/>
        </w:trPr>
        <w:tc>
          <w:tcPr>
            <w:tcW w:w="2081" w:type="pct"/>
            <w:shd w:val="clear" w:color="auto" w:fill="auto"/>
            <w:tcMar>
              <w:left w:w="10" w:type="dxa"/>
              <w:right w:w="10" w:type="dxa"/>
            </w:tcMar>
          </w:tcPr>
          <w:p w14:paraId="3D90D631" w14:textId="77777777" w:rsidR="00A735D6" w:rsidRPr="003E1CF4" w:rsidRDefault="00A735D6" w:rsidP="003E1CF4">
            <w:pPr>
              <w:pStyle w:val="TblTextLeft"/>
            </w:pPr>
            <w:r w:rsidRPr="003E1CF4">
              <w:t xml:space="preserve">   Nausea</w:t>
            </w:r>
          </w:p>
        </w:tc>
        <w:tc>
          <w:tcPr>
            <w:tcW w:w="540" w:type="pct"/>
            <w:shd w:val="clear" w:color="auto" w:fill="auto"/>
            <w:tcMar>
              <w:left w:w="10" w:type="dxa"/>
              <w:right w:w="10" w:type="dxa"/>
            </w:tcMar>
            <w:vAlign w:val="center"/>
          </w:tcPr>
          <w:p w14:paraId="7875D869" w14:textId="77777777" w:rsidR="00A735D6" w:rsidRPr="003E1CF4" w:rsidRDefault="00A735D6" w:rsidP="003E1CF4">
            <w:pPr>
              <w:pStyle w:val="TblTextCenter"/>
            </w:pPr>
            <w:r w:rsidRPr="003E1CF4">
              <w:t>5</w:t>
            </w:r>
          </w:p>
        </w:tc>
        <w:tc>
          <w:tcPr>
            <w:tcW w:w="460" w:type="pct"/>
            <w:shd w:val="clear" w:color="auto" w:fill="auto"/>
            <w:tcMar>
              <w:left w:w="10" w:type="dxa"/>
              <w:right w:w="10" w:type="dxa"/>
            </w:tcMar>
            <w:vAlign w:val="center"/>
          </w:tcPr>
          <w:p w14:paraId="5BFC2057" w14:textId="77777777" w:rsidR="00A735D6" w:rsidRPr="003E1CF4" w:rsidRDefault="00A735D6" w:rsidP="003E1CF4">
            <w:pPr>
              <w:pStyle w:val="TblTextCenter"/>
            </w:pPr>
            <w:r w:rsidRPr="003E1CF4">
              <w:t>&lt;1</w:t>
            </w:r>
          </w:p>
        </w:tc>
        <w:tc>
          <w:tcPr>
            <w:tcW w:w="460" w:type="pct"/>
            <w:shd w:val="clear" w:color="auto" w:fill="auto"/>
            <w:tcMar>
              <w:left w:w="10" w:type="dxa"/>
              <w:right w:w="10" w:type="dxa"/>
            </w:tcMar>
            <w:vAlign w:val="center"/>
          </w:tcPr>
          <w:p w14:paraId="72718E88" w14:textId="77777777" w:rsidR="00A735D6" w:rsidRPr="003E1CF4" w:rsidRDefault="00A735D6" w:rsidP="003E1CF4">
            <w:pPr>
              <w:pStyle w:val="TblTextCenter"/>
            </w:pPr>
            <w:r w:rsidRPr="003E1CF4">
              <w:t>0</w:t>
            </w:r>
          </w:p>
        </w:tc>
        <w:tc>
          <w:tcPr>
            <w:tcW w:w="540" w:type="pct"/>
            <w:shd w:val="clear" w:color="auto" w:fill="auto"/>
            <w:tcMar>
              <w:left w:w="10" w:type="dxa"/>
              <w:right w:w="10" w:type="dxa"/>
            </w:tcMar>
            <w:vAlign w:val="center"/>
          </w:tcPr>
          <w:p w14:paraId="0975EAF3" w14:textId="77777777" w:rsidR="00A735D6" w:rsidRPr="003E1CF4" w:rsidRDefault="00A735D6" w:rsidP="003E1CF4">
            <w:pPr>
              <w:pStyle w:val="TblTextCenter"/>
            </w:pPr>
            <w:r w:rsidRPr="003E1CF4">
              <w:t>5</w:t>
            </w:r>
          </w:p>
        </w:tc>
        <w:tc>
          <w:tcPr>
            <w:tcW w:w="460" w:type="pct"/>
            <w:shd w:val="clear" w:color="auto" w:fill="auto"/>
            <w:tcMar>
              <w:left w:w="10" w:type="dxa"/>
              <w:right w:w="10" w:type="dxa"/>
            </w:tcMar>
            <w:vAlign w:val="center"/>
          </w:tcPr>
          <w:p w14:paraId="0BC3235A" w14:textId="77777777" w:rsidR="00A735D6" w:rsidRPr="003E1CF4" w:rsidRDefault="00A735D6" w:rsidP="003E1CF4">
            <w:pPr>
              <w:pStyle w:val="TblTextCenter"/>
            </w:pPr>
            <w:r w:rsidRPr="003E1CF4">
              <w:t>&lt;1</w:t>
            </w:r>
          </w:p>
        </w:tc>
        <w:tc>
          <w:tcPr>
            <w:tcW w:w="459" w:type="pct"/>
            <w:shd w:val="clear" w:color="auto" w:fill="auto"/>
            <w:tcMar>
              <w:left w:w="10" w:type="dxa"/>
              <w:right w:w="10" w:type="dxa"/>
            </w:tcMar>
            <w:vAlign w:val="center"/>
          </w:tcPr>
          <w:p w14:paraId="582FFA94" w14:textId="77777777" w:rsidR="00A735D6" w:rsidRPr="003E1CF4" w:rsidRDefault="00A735D6" w:rsidP="003E1CF4">
            <w:pPr>
              <w:pStyle w:val="TblTextCenter"/>
            </w:pPr>
            <w:r w:rsidRPr="003E1CF4">
              <w:t>&lt;1</w:t>
            </w:r>
          </w:p>
        </w:tc>
      </w:tr>
      <w:tr w:rsidR="003E1CF4" w:rsidRPr="00511840" w14:paraId="1F49E308" w14:textId="77777777" w:rsidTr="00AC7ED1">
        <w:trPr>
          <w:cantSplit/>
          <w:jc w:val="center"/>
        </w:trPr>
        <w:tc>
          <w:tcPr>
            <w:tcW w:w="2081" w:type="pct"/>
            <w:shd w:val="clear" w:color="auto" w:fill="auto"/>
            <w:tcMar>
              <w:left w:w="10" w:type="dxa"/>
              <w:right w:w="10" w:type="dxa"/>
            </w:tcMar>
          </w:tcPr>
          <w:p w14:paraId="582DAC1A" w14:textId="77777777" w:rsidR="00A735D6" w:rsidRPr="003E1CF4" w:rsidRDefault="00A735D6" w:rsidP="003E1CF4">
            <w:pPr>
              <w:pStyle w:val="TblTextLeft"/>
            </w:pPr>
            <w:r w:rsidRPr="003E1CF4">
              <w:t xml:space="preserve">   Shivering / Chills</w:t>
            </w:r>
          </w:p>
        </w:tc>
        <w:tc>
          <w:tcPr>
            <w:tcW w:w="540" w:type="pct"/>
            <w:shd w:val="clear" w:color="auto" w:fill="auto"/>
            <w:tcMar>
              <w:left w:w="10" w:type="dxa"/>
              <w:right w:w="10" w:type="dxa"/>
            </w:tcMar>
            <w:vAlign w:val="center"/>
          </w:tcPr>
          <w:p w14:paraId="6B3043F9" w14:textId="77777777" w:rsidR="00A735D6" w:rsidRPr="003E1CF4" w:rsidRDefault="00A735D6" w:rsidP="003E1CF4">
            <w:pPr>
              <w:pStyle w:val="TblTextCenter"/>
            </w:pPr>
            <w:r w:rsidRPr="003E1CF4">
              <w:t>5</w:t>
            </w:r>
          </w:p>
        </w:tc>
        <w:tc>
          <w:tcPr>
            <w:tcW w:w="460" w:type="pct"/>
            <w:shd w:val="clear" w:color="auto" w:fill="auto"/>
            <w:tcMar>
              <w:left w:w="10" w:type="dxa"/>
              <w:right w:w="10" w:type="dxa"/>
            </w:tcMar>
            <w:vAlign w:val="center"/>
          </w:tcPr>
          <w:p w14:paraId="35ACA231" w14:textId="77777777" w:rsidR="00A735D6" w:rsidRPr="003E1CF4" w:rsidRDefault="00A735D6" w:rsidP="003E1CF4">
            <w:pPr>
              <w:pStyle w:val="TblTextCenter"/>
            </w:pPr>
            <w:r w:rsidRPr="003E1CF4">
              <w:t>&lt;1</w:t>
            </w:r>
          </w:p>
        </w:tc>
        <w:tc>
          <w:tcPr>
            <w:tcW w:w="460" w:type="pct"/>
            <w:shd w:val="clear" w:color="auto" w:fill="auto"/>
            <w:tcMar>
              <w:left w:w="10" w:type="dxa"/>
              <w:right w:w="10" w:type="dxa"/>
            </w:tcMar>
            <w:vAlign w:val="center"/>
          </w:tcPr>
          <w:p w14:paraId="3AD6F9A8" w14:textId="77777777" w:rsidR="00A735D6" w:rsidRPr="003E1CF4" w:rsidRDefault="00A735D6" w:rsidP="003E1CF4">
            <w:pPr>
              <w:pStyle w:val="TblTextCenter"/>
            </w:pPr>
            <w:r w:rsidRPr="003E1CF4">
              <w:t>0</w:t>
            </w:r>
          </w:p>
        </w:tc>
        <w:tc>
          <w:tcPr>
            <w:tcW w:w="540" w:type="pct"/>
            <w:shd w:val="clear" w:color="auto" w:fill="auto"/>
            <w:tcMar>
              <w:left w:w="10" w:type="dxa"/>
              <w:right w:w="10" w:type="dxa"/>
            </w:tcMar>
            <w:vAlign w:val="center"/>
          </w:tcPr>
          <w:p w14:paraId="64348349" w14:textId="77777777" w:rsidR="00A735D6" w:rsidRPr="003E1CF4" w:rsidRDefault="00A735D6" w:rsidP="003E1CF4">
            <w:pPr>
              <w:pStyle w:val="TblTextCenter"/>
            </w:pPr>
            <w:r w:rsidRPr="003E1CF4">
              <w:t>4</w:t>
            </w:r>
          </w:p>
        </w:tc>
        <w:tc>
          <w:tcPr>
            <w:tcW w:w="460" w:type="pct"/>
            <w:shd w:val="clear" w:color="auto" w:fill="auto"/>
            <w:tcMar>
              <w:left w:w="10" w:type="dxa"/>
              <w:right w:w="10" w:type="dxa"/>
            </w:tcMar>
            <w:vAlign w:val="center"/>
          </w:tcPr>
          <w:p w14:paraId="4D9D7EE1" w14:textId="77777777" w:rsidR="00A735D6" w:rsidRPr="003E1CF4" w:rsidRDefault="00A735D6" w:rsidP="003E1CF4">
            <w:pPr>
              <w:pStyle w:val="TblTextCenter"/>
            </w:pPr>
            <w:r w:rsidRPr="003E1CF4">
              <w:t>&lt;1</w:t>
            </w:r>
          </w:p>
        </w:tc>
        <w:tc>
          <w:tcPr>
            <w:tcW w:w="459" w:type="pct"/>
            <w:shd w:val="clear" w:color="auto" w:fill="auto"/>
            <w:tcMar>
              <w:left w:w="10" w:type="dxa"/>
              <w:right w:w="10" w:type="dxa"/>
            </w:tcMar>
            <w:vAlign w:val="center"/>
          </w:tcPr>
          <w:p w14:paraId="2E196524" w14:textId="77777777" w:rsidR="00A735D6" w:rsidRPr="003E1CF4" w:rsidRDefault="00A735D6" w:rsidP="003E1CF4">
            <w:pPr>
              <w:pStyle w:val="TblTextCenter"/>
            </w:pPr>
            <w:r w:rsidRPr="003E1CF4">
              <w:t>&lt;1</w:t>
            </w:r>
          </w:p>
        </w:tc>
      </w:tr>
      <w:tr w:rsidR="003E1CF4" w:rsidRPr="00511840" w14:paraId="4C48A46A" w14:textId="77777777" w:rsidTr="00AC7ED1">
        <w:trPr>
          <w:cantSplit/>
          <w:jc w:val="center"/>
        </w:trPr>
        <w:tc>
          <w:tcPr>
            <w:tcW w:w="2081" w:type="pct"/>
            <w:tcBorders>
              <w:bottom w:val="single" w:sz="12" w:space="0" w:color="auto"/>
            </w:tcBorders>
            <w:shd w:val="clear" w:color="auto" w:fill="auto"/>
            <w:tcMar>
              <w:left w:w="10" w:type="dxa"/>
              <w:right w:w="10" w:type="dxa"/>
            </w:tcMar>
            <w:vAlign w:val="bottom"/>
          </w:tcPr>
          <w:p w14:paraId="70977249" w14:textId="77777777" w:rsidR="00A735D6" w:rsidRPr="003E1CF4" w:rsidRDefault="00A735D6" w:rsidP="003E1CF4">
            <w:pPr>
              <w:pStyle w:val="TblTextLeft"/>
            </w:pPr>
            <w:r w:rsidRPr="003E1CF4">
              <w:t xml:space="preserve">   Fever</w:t>
            </w:r>
            <w:r w:rsidRPr="003E1CF4">
              <w:rPr>
                <w:vertAlign w:val="superscript"/>
              </w:rPr>
              <w:t>6,7</w:t>
            </w:r>
          </w:p>
        </w:tc>
        <w:tc>
          <w:tcPr>
            <w:tcW w:w="540" w:type="pct"/>
            <w:tcBorders>
              <w:bottom w:val="single" w:sz="12" w:space="0" w:color="auto"/>
            </w:tcBorders>
            <w:shd w:val="clear" w:color="auto" w:fill="auto"/>
            <w:tcMar>
              <w:left w:w="10" w:type="dxa"/>
              <w:right w:w="10" w:type="dxa"/>
            </w:tcMar>
            <w:vAlign w:val="center"/>
          </w:tcPr>
          <w:p w14:paraId="7D084630" w14:textId="77777777" w:rsidR="00A735D6" w:rsidRPr="003E1CF4" w:rsidRDefault="00A735D6" w:rsidP="003E1CF4">
            <w:pPr>
              <w:pStyle w:val="TblTextCenter"/>
            </w:pPr>
            <w:r w:rsidRPr="003E1CF4">
              <w:t>&lt;1</w:t>
            </w:r>
          </w:p>
        </w:tc>
        <w:tc>
          <w:tcPr>
            <w:tcW w:w="460" w:type="pct"/>
            <w:tcBorders>
              <w:bottom w:val="single" w:sz="12" w:space="0" w:color="auto"/>
            </w:tcBorders>
            <w:shd w:val="clear" w:color="auto" w:fill="auto"/>
            <w:tcMar>
              <w:left w:w="10" w:type="dxa"/>
              <w:right w:w="10" w:type="dxa"/>
            </w:tcMar>
            <w:vAlign w:val="center"/>
          </w:tcPr>
          <w:p w14:paraId="4179A064" w14:textId="77777777" w:rsidR="00A735D6" w:rsidRPr="003E1CF4" w:rsidRDefault="00A735D6" w:rsidP="003E1CF4">
            <w:pPr>
              <w:pStyle w:val="TblTextCenter"/>
            </w:pPr>
            <w:r w:rsidRPr="003E1CF4">
              <w:t>&lt;1</w:t>
            </w:r>
          </w:p>
        </w:tc>
        <w:tc>
          <w:tcPr>
            <w:tcW w:w="460" w:type="pct"/>
            <w:tcBorders>
              <w:bottom w:val="single" w:sz="12" w:space="0" w:color="auto"/>
            </w:tcBorders>
            <w:shd w:val="clear" w:color="auto" w:fill="auto"/>
            <w:tcMar>
              <w:left w:w="10" w:type="dxa"/>
              <w:right w:w="10" w:type="dxa"/>
            </w:tcMar>
            <w:vAlign w:val="center"/>
          </w:tcPr>
          <w:p w14:paraId="720AE707" w14:textId="77777777" w:rsidR="00A735D6" w:rsidRPr="003E1CF4" w:rsidRDefault="00A735D6" w:rsidP="003E1CF4">
            <w:pPr>
              <w:pStyle w:val="TblTextCenter"/>
            </w:pPr>
            <w:r w:rsidRPr="003E1CF4">
              <w:t>0</w:t>
            </w:r>
          </w:p>
        </w:tc>
        <w:tc>
          <w:tcPr>
            <w:tcW w:w="540" w:type="pct"/>
            <w:tcBorders>
              <w:bottom w:val="single" w:sz="12" w:space="0" w:color="auto"/>
            </w:tcBorders>
            <w:shd w:val="clear" w:color="auto" w:fill="auto"/>
            <w:tcMar>
              <w:left w:w="10" w:type="dxa"/>
              <w:right w:w="10" w:type="dxa"/>
            </w:tcMar>
            <w:vAlign w:val="center"/>
          </w:tcPr>
          <w:p w14:paraId="274DFB6B" w14:textId="77777777" w:rsidR="00A735D6" w:rsidRPr="003E1CF4" w:rsidRDefault="00A735D6" w:rsidP="003E1CF4">
            <w:pPr>
              <w:pStyle w:val="TblTextCenter"/>
            </w:pPr>
            <w:r w:rsidRPr="003E1CF4">
              <w:t>1</w:t>
            </w:r>
          </w:p>
        </w:tc>
        <w:tc>
          <w:tcPr>
            <w:tcW w:w="460" w:type="pct"/>
            <w:tcBorders>
              <w:bottom w:val="single" w:sz="12" w:space="0" w:color="auto"/>
            </w:tcBorders>
            <w:shd w:val="clear" w:color="auto" w:fill="auto"/>
            <w:tcMar>
              <w:left w:w="10" w:type="dxa"/>
              <w:right w:w="10" w:type="dxa"/>
            </w:tcMar>
            <w:vAlign w:val="center"/>
          </w:tcPr>
          <w:p w14:paraId="75B305B8" w14:textId="77777777" w:rsidR="00A735D6" w:rsidRPr="003E1CF4" w:rsidRDefault="00A735D6" w:rsidP="003E1CF4">
            <w:pPr>
              <w:pStyle w:val="TblTextCenter"/>
            </w:pPr>
            <w:r w:rsidRPr="003E1CF4">
              <w:t>&lt;1</w:t>
            </w:r>
          </w:p>
        </w:tc>
        <w:tc>
          <w:tcPr>
            <w:tcW w:w="459" w:type="pct"/>
            <w:tcBorders>
              <w:bottom w:val="single" w:sz="12" w:space="0" w:color="auto"/>
            </w:tcBorders>
            <w:shd w:val="clear" w:color="auto" w:fill="auto"/>
            <w:tcMar>
              <w:left w:w="10" w:type="dxa"/>
              <w:right w:w="10" w:type="dxa"/>
            </w:tcMar>
            <w:vAlign w:val="center"/>
          </w:tcPr>
          <w:p w14:paraId="6FEF597B" w14:textId="77777777" w:rsidR="00A735D6" w:rsidRPr="003E1CF4" w:rsidRDefault="00A735D6" w:rsidP="003E1CF4">
            <w:pPr>
              <w:pStyle w:val="TblTextCenter"/>
            </w:pPr>
            <w:r w:rsidRPr="003E1CF4">
              <w:t>0</w:t>
            </w:r>
          </w:p>
        </w:tc>
      </w:tr>
      <w:tr w:rsidR="00A735D6" w:rsidRPr="00541139" w14:paraId="2244046D" w14:textId="77777777" w:rsidTr="003E1CF4">
        <w:trPr>
          <w:cantSplit/>
          <w:jc w:val="center"/>
        </w:trPr>
        <w:tc>
          <w:tcPr>
            <w:tcW w:w="5000" w:type="pct"/>
            <w:gridSpan w:val="7"/>
            <w:tcBorders>
              <w:top w:val="single" w:sz="12" w:space="0" w:color="auto"/>
            </w:tcBorders>
            <w:shd w:val="clear" w:color="auto" w:fill="auto"/>
            <w:tcMar>
              <w:left w:w="10" w:type="dxa"/>
              <w:right w:w="10" w:type="dxa"/>
            </w:tcMar>
            <w:vAlign w:val="bottom"/>
          </w:tcPr>
          <w:p w14:paraId="19D86388" w14:textId="77777777" w:rsidR="00A735D6" w:rsidRPr="003E1CF4" w:rsidRDefault="00A735D6" w:rsidP="003E1CF4">
            <w:pPr>
              <w:pStyle w:val="TblFigFootnote"/>
            </w:pPr>
            <w:r w:rsidRPr="003E1CF4">
              <w:t>NOTE:</w:t>
            </w:r>
            <w:r w:rsidRPr="003E1CF4">
              <w:tab/>
              <w:t xml:space="preserve">Data based on the most severe response reported by subjects. Results ≥1% reported to nearest whole percent; results &gt;0 but &lt;1% reported as &lt;1%. </w:t>
            </w:r>
          </w:p>
          <w:p w14:paraId="1D6F16E6" w14:textId="2AECF23A" w:rsidR="00A735D6" w:rsidRPr="003E1CF4" w:rsidRDefault="00A735D6" w:rsidP="003E1CF4">
            <w:pPr>
              <w:pStyle w:val="TblFigFootnote"/>
            </w:pPr>
            <w:r w:rsidRPr="006F3F14">
              <w:rPr>
                <w:vertAlign w:val="superscript"/>
              </w:rPr>
              <w:t>1</w:t>
            </w:r>
            <w:r w:rsidRPr="003E1CF4">
              <w:t>Comparator</w:t>
            </w:r>
            <w:r w:rsidR="00320920" w:rsidRPr="003E1CF4">
              <w:t>: Q</w:t>
            </w:r>
            <w:r w:rsidRPr="003E1CF4">
              <w:t xml:space="preserve">uadrivalent inactivated influenza vaccine, Fluarix </w:t>
            </w:r>
            <w:r w:rsidR="00320920" w:rsidRPr="003E1CF4">
              <w:t>Tetra</w:t>
            </w:r>
            <w:r w:rsidRPr="003E1CF4">
              <w:t>, manufactured by GlaxoSmithKline.</w:t>
            </w:r>
          </w:p>
          <w:p w14:paraId="49CE3BC3" w14:textId="5B3BCDA8" w:rsidR="00A735D6" w:rsidRPr="003E1CF4" w:rsidRDefault="00A735D6" w:rsidP="003E1CF4">
            <w:pPr>
              <w:pStyle w:val="TblFigFootnote"/>
            </w:pPr>
            <w:r w:rsidRPr="006F3F14">
              <w:rPr>
                <w:vertAlign w:val="superscript"/>
              </w:rPr>
              <w:t>2</w:t>
            </w:r>
            <w:r w:rsidRPr="003E1CF4">
              <w:t xml:space="preserve"> </w:t>
            </w:r>
            <w:r w:rsidR="003429D6" w:rsidRPr="003E1CF4">
              <w:t xml:space="preserve">PSC12 </w:t>
            </w:r>
            <w:r w:rsidRPr="003E1CF4">
              <w:t>is registered as NCT02285998 under the National Clinical Trials registry.</w:t>
            </w:r>
          </w:p>
          <w:p w14:paraId="07D78940" w14:textId="11C787AB" w:rsidR="00A735D6" w:rsidRPr="003E1CF4" w:rsidRDefault="00A735D6" w:rsidP="003E1CF4">
            <w:pPr>
              <w:pStyle w:val="TblFigFootnote"/>
            </w:pPr>
            <w:r w:rsidRPr="006F3F14">
              <w:rPr>
                <w:vertAlign w:val="superscript"/>
              </w:rPr>
              <w:t>3</w:t>
            </w:r>
            <w:r w:rsidRPr="003E1CF4">
              <w:t xml:space="preserve"> Reactogenicity Populations were defined as all randomized subjects who received study vaccine according to the treatment actually received and who had at least one non-missing data point for injection site, systemic or body temperature reactogenicity categories. For local pain, tenderness, and systemic reactions:  Grade 1=No interference with activity.  Grade 2=Some interference with activity.  Grade 3=Prevents daily activity.  Grade 4=Required ER visit or hospitali</w:t>
            </w:r>
            <w:r w:rsidR="005C4E5B" w:rsidRPr="003E1CF4">
              <w:t>s</w:t>
            </w:r>
            <w:r w:rsidRPr="003E1CF4">
              <w:t xml:space="preserve">ation. For injection site redness and firmness/swelling:  Grade 1=25 to ≤50 mm (small).  Grade 2=51 to ≤100 mm (medium).  Grade 3=&gt;100 mm (large).  Grade 4=necrosis or exfoliative dermatitis. </w:t>
            </w:r>
          </w:p>
          <w:p w14:paraId="72B914D1" w14:textId="422CB048" w:rsidR="00A735D6" w:rsidRPr="003E1CF4" w:rsidRDefault="00A735D6" w:rsidP="003E1CF4">
            <w:pPr>
              <w:pStyle w:val="TblFigFootnote"/>
            </w:pPr>
            <w:r w:rsidRPr="006F3F14">
              <w:rPr>
                <w:vertAlign w:val="superscript"/>
              </w:rPr>
              <w:t>4</w:t>
            </w:r>
            <w:r w:rsidRPr="003E1CF4">
              <w:t xml:space="preserve"> Denominators for injection site reactions: </w:t>
            </w:r>
            <w:r w:rsidR="005C4E5B" w:rsidRPr="003E1CF4">
              <w:t>Flublok Quadrivalent</w:t>
            </w:r>
            <w:r w:rsidRPr="003E1CF4">
              <w:t xml:space="preserve"> n = 4307, Comparator n = 4319.</w:t>
            </w:r>
          </w:p>
          <w:p w14:paraId="41609B73" w14:textId="1E2C112C" w:rsidR="00A735D6" w:rsidRPr="003E1CF4" w:rsidRDefault="00A735D6" w:rsidP="003E1CF4">
            <w:pPr>
              <w:pStyle w:val="TblFigFootnote"/>
            </w:pPr>
            <w:r w:rsidRPr="006F3F14">
              <w:rPr>
                <w:vertAlign w:val="superscript"/>
              </w:rPr>
              <w:t>5</w:t>
            </w:r>
            <w:r w:rsidRPr="003E1CF4">
              <w:t xml:space="preserve"> Denominators for systemic reactions: </w:t>
            </w:r>
            <w:r w:rsidR="005C4E5B" w:rsidRPr="003E1CF4">
              <w:t>Flublok Quadrivalent</w:t>
            </w:r>
            <w:r w:rsidRPr="003E1CF4">
              <w:t xml:space="preserve"> n = 4306, Comparator n = 4318.</w:t>
            </w:r>
          </w:p>
          <w:p w14:paraId="323858A1" w14:textId="5624F6CD" w:rsidR="00A735D6" w:rsidRPr="003E1CF4" w:rsidRDefault="00A735D6" w:rsidP="003E1CF4">
            <w:pPr>
              <w:pStyle w:val="TblFigFootnote"/>
            </w:pPr>
            <w:r w:rsidRPr="006F3F14">
              <w:rPr>
                <w:vertAlign w:val="superscript"/>
              </w:rPr>
              <w:t>6</w:t>
            </w:r>
            <w:r w:rsidRPr="003E1CF4">
              <w:t xml:space="preserve"> Denominators for fever: </w:t>
            </w:r>
            <w:r w:rsidR="005C4E5B" w:rsidRPr="003E1CF4">
              <w:t>Flublok Quadrivalent</w:t>
            </w:r>
            <w:r w:rsidRPr="003E1CF4">
              <w:t xml:space="preserve"> n = 4262, Comparator n = 4282.</w:t>
            </w:r>
          </w:p>
          <w:p w14:paraId="36ACE7C3" w14:textId="34F15F2C" w:rsidR="00A735D6" w:rsidRPr="003E1CF4" w:rsidRDefault="00A735D6" w:rsidP="003E1CF4">
            <w:pPr>
              <w:pStyle w:val="TblFigFootnote"/>
            </w:pPr>
            <w:r w:rsidRPr="006F3F14">
              <w:rPr>
                <w:vertAlign w:val="superscript"/>
              </w:rPr>
              <w:t>7</w:t>
            </w:r>
            <w:r w:rsidRPr="003E1CF4">
              <w:t xml:space="preserve"> Fever defined as body temperature ≥38</w:t>
            </w:r>
            <w:r w:rsidR="005274FC" w:rsidRPr="003E1CF4">
              <w:t>.00</w:t>
            </w:r>
            <w:r w:rsidRPr="003E1CF4">
              <w:t>°C. Grade 1 (≥</w:t>
            </w:r>
            <w:r w:rsidR="00541139" w:rsidRPr="003E1CF4">
              <w:t xml:space="preserve"> </w:t>
            </w:r>
            <w:r w:rsidR="005274FC" w:rsidRPr="003E1CF4">
              <w:t>38.00</w:t>
            </w:r>
            <w:r w:rsidRPr="003E1CF4">
              <w:t>º</w:t>
            </w:r>
            <w:r w:rsidR="005274FC" w:rsidRPr="003E1CF4">
              <w:t>C</w:t>
            </w:r>
            <w:r w:rsidRPr="003E1CF4">
              <w:t xml:space="preserve"> to ≤</w:t>
            </w:r>
            <w:r w:rsidR="005274FC" w:rsidRPr="003E1CF4">
              <w:t xml:space="preserve"> 38.39</w:t>
            </w:r>
            <w:r w:rsidRPr="003E1CF4">
              <w:t>º</w:t>
            </w:r>
            <w:r w:rsidR="005274FC" w:rsidRPr="003E1CF4">
              <w:t>C</w:t>
            </w:r>
            <w:r w:rsidRPr="003E1CF4">
              <w:t>); Grade 2 (</w:t>
            </w:r>
            <w:r w:rsidR="005274FC" w:rsidRPr="003E1CF4">
              <w:t>38.44</w:t>
            </w:r>
            <w:r w:rsidRPr="003E1CF4">
              <w:t>º</w:t>
            </w:r>
            <w:r w:rsidR="005274FC" w:rsidRPr="003E1CF4">
              <w:t>C</w:t>
            </w:r>
            <w:r w:rsidRPr="003E1CF4">
              <w:t xml:space="preserve"> to ≤</w:t>
            </w:r>
            <w:r w:rsidR="005274FC" w:rsidRPr="003E1CF4">
              <w:t xml:space="preserve"> 38.89</w:t>
            </w:r>
            <w:r w:rsidRPr="003E1CF4">
              <w:t>º</w:t>
            </w:r>
            <w:r w:rsidR="005274FC" w:rsidRPr="003E1CF4">
              <w:t>C</w:t>
            </w:r>
            <w:r w:rsidRPr="003E1CF4">
              <w:t>); Grade 3 (</w:t>
            </w:r>
            <w:r w:rsidR="005274FC" w:rsidRPr="003E1CF4">
              <w:t>38.94</w:t>
            </w:r>
            <w:r w:rsidRPr="003E1CF4">
              <w:t>º</w:t>
            </w:r>
            <w:r w:rsidR="005274FC" w:rsidRPr="003E1CF4">
              <w:t>C</w:t>
            </w:r>
            <w:r w:rsidRPr="003E1CF4">
              <w:t xml:space="preserve"> to ≤</w:t>
            </w:r>
            <w:r w:rsidR="005274FC" w:rsidRPr="003E1CF4">
              <w:t xml:space="preserve"> 40.00</w:t>
            </w:r>
            <w:r w:rsidRPr="003E1CF4">
              <w:t>°</w:t>
            </w:r>
            <w:r w:rsidR="005274FC" w:rsidRPr="003E1CF4">
              <w:t>C</w:t>
            </w:r>
            <w:r w:rsidRPr="003E1CF4">
              <w:t>). Grade 4 &gt;</w:t>
            </w:r>
            <w:r w:rsidR="005274FC" w:rsidRPr="003E1CF4">
              <w:t xml:space="preserve"> 40.00</w:t>
            </w:r>
            <w:r w:rsidRPr="003E1CF4">
              <w:t>°</w:t>
            </w:r>
            <w:r w:rsidR="005274FC" w:rsidRPr="003E1CF4">
              <w:t>C</w:t>
            </w:r>
            <w:r w:rsidRPr="003E1CF4">
              <w:t>.</w:t>
            </w:r>
          </w:p>
        </w:tc>
      </w:tr>
    </w:tbl>
    <w:p w14:paraId="7D136F2E" w14:textId="06D9166D" w:rsidR="00AC7ED1" w:rsidRPr="00AC7ED1" w:rsidRDefault="00AC7ED1" w:rsidP="002600A1">
      <w:pPr>
        <w:pStyle w:val="Caption"/>
        <w:pageBreakBefore/>
        <w:rPr>
          <w:sz w:val="22"/>
          <w:szCs w:val="22"/>
          <w:lang w:val="en-AU"/>
        </w:rPr>
      </w:pPr>
      <w:r w:rsidRPr="00AC7ED1">
        <w:rPr>
          <w:lang w:val="en-AU"/>
        </w:rPr>
        <w:lastRenderedPageBreak/>
        <w:t>Table </w:t>
      </w:r>
      <w:r w:rsidRPr="00AC7ED1">
        <w:rPr>
          <w:lang w:val="en-AU"/>
        </w:rPr>
        <w:fldChar w:fldCharType="begin"/>
      </w:r>
      <w:r w:rsidRPr="00AC7ED1">
        <w:rPr>
          <w:lang w:val="en-AU"/>
        </w:rPr>
        <w:instrText xml:space="preserve"> SEQ Table \* ARABIC </w:instrText>
      </w:r>
      <w:r w:rsidRPr="00AC7ED1">
        <w:rPr>
          <w:lang w:val="en-AU"/>
        </w:rPr>
        <w:fldChar w:fldCharType="separate"/>
      </w:r>
      <w:r w:rsidR="008266B0">
        <w:rPr>
          <w:noProof/>
          <w:lang w:val="en-AU"/>
        </w:rPr>
        <w:t>3</w:t>
      </w:r>
      <w:r w:rsidRPr="00AC7ED1">
        <w:rPr>
          <w:lang w:val="en-AU"/>
        </w:rPr>
        <w:fldChar w:fldCharType="end"/>
      </w:r>
      <w:r w:rsidRPr="00AC7ED1">
        <w:rPr>
          <w:lang w:val="en-AU"/>
        </w:rPr>
        <w:t xml:space="preserve"> ­ Frequency of </w:t>
      </w:r>
      <w:r w:rsidR="006F3F14">
        <w:rPr>
          <w:lang w:val="en-AU"/>
        </w:rPr>
        <w:t>U</w:t>
      </w:r>
      <w:r w:rsidRPr="00AC7ED1">
        <w:rPr>
          <w:lang w:val="en-AU"/>
        </w:rPr>
        <w:t xml:space="preserve">nsolicited </w:t>
      </w:r>
      <w:r w:rsidR="006F3F14">
        <w:rPr>
          <w:lang w:val="en-AU"/>
        </w:rPr>
        <w:t>A</w:t>
      </w:r>
      <w:r w:rsidRPr="00AC7ED1">
        <w:rPr>
          <w:lang w:val="en-AU"/>
        </w:rPr>
        <w:t xml:space="preserve">dverse </w:t>
      </w:r>
      <w:r w:rsidR="006F3F14">
        <w:rPr>
          <w:lang w:val="en-AU"/>
        </w:rPr>
        <w:t>R</w:t>
      </w:r>
      <w:r w:rsidRPr="00AC7ED1">
        <w:rPr>
          <w:lang w:val="en-AU"/>
        </w:rPr>
        <w:t xml:space="preserve">eactions </w:t>
      </w:r>
      <w:r w:rsidR="006F3F14">
        <w:rPr>
          <w:lang w:val="en-AU"/>
        </w:rPr>
        <w:t>F</w:t>
      </w:r>
      <w:r w:rsidRPr="00AC7ED1">
        <w:rPr>
          <w:lang w:val="en-AU"/>
        </w:rPr>
        <w:t xml:space="preserve">ollowing </w:t>
      </w:r>
      <w:r w:rsidR="006F3F14">
        <w:rPr>
          <w:lang w:val="en-AU"/>
        </w:rPr>
        <w:t>A</w:t>
      </w:r>
      <w:r w:rsidRPr="00AC7ED1">
        <w:rPr>
          <w:lang w:val="en-AU"/>
        </w:rPr>
        <w:t xml:space="preserve">dministration of Flublok Quadrivalent in PSC12 and PSC16 </w:t>
      </w:r>
    </w:p>
    <w:tbl>
      <w:tblPr>
        <w:tblStyle w:val="TableGrid"/>
        <w:tblW w:w="0" w:type="auto"/>
        <w:jc w:val="center"/>
        <w:tblBorders>
          <w:top w:val="single" w:sz="2"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AC7ED1" w:rsidRPr="00AC7ED1" w14:paraId="7093F836" w14:textId="77777777" w:rsidTr="00864BBA">
        <w:trPr>
          <w:cantSplit/>
          <w:tblHeader/>
          <w:jc w:val="center"/>
        </w:trPr>
        <w:tc>
          <w:tcPr>
            <w:tcW w:w="1803" w:type="dxa"/>
            <w:tcBorders>
              <w:top w:val="single" w:sz="4" w:space="0" w:color="000000"/>
              <w:bottom w:val="single" w:sz="4" w:space="0" w:color="000000"/>
            </w:tcBorders>
            <w:shd w:val="clear" w:color="auto" w:fill="auto"/>
          </w:tcPr>
          <w:p w14:paraId="6D9D246E" w14:textId="77777777" w:rsidR="00AC7ED1" w:rsidRPr="00AC7ED1" w:rsidRDefault="00AC7ED1" w:rsidP="00864BBA">
            <w:pPr>
              <w:pStyle w:val="TblHeadingCenter"/>
              <w:rPr>
                <w:lang w:val="en-AU"/>
              </w:rPr>
            </w:pPr>
          </w:p>
        </w:tc>
        <w:tc>
          <w:tcPr>
            <w:tcW w:w="3606" w:type="dxa"/>
            <w:gridSpan w:val="2"/>
            <w:tcBorders>
              <w:top w:val="single" w:sz="4" w:space="0" w:color="000000"/>
              <w:bottom w:val="single" w:sz="4" w:space="0" w:color="000000"/>
            </w:tcBorders>
            <w:shd w:val="clear" w:color="auto" w:fill="auto"/>
          </w:tcPr>
          <w:p w14:paraId="408B7F61" w14:textId="77777777" w:rsidR="00AC7ED1" w:rsidRPr="00AC7ED1" w:rsidRDefault="00AC7ED1" w:rsidP="00864BBA">
            <w:pPr>
              <w:pStyle w:val="TblHeadingCenter"/>
              <w:rPr>
                <w:lang w:val="en-AU"/>
              </w:rPr>
            </w:pPr>
            <w:r w:rsidRPr="00AC7ED1">
              <w:rPr>
                <w:lang w:val="en-AU"/>
              </w:rPr>
              <w:t>PSC16 Adults aged 18-49 years</w:t>
            </w:r>
          </w:p>
        </w:tc>
        <w:tc>
          <w:tcPr>
            <w:tcW w:w="3607" w:type="dxa"/>
            <w:gridSpan w:val="2"/>
            <w:tcBorders>
              <w:top w:val="single" w:sz="4" w:space="0" w:color="000000"/>
              <w:bottom w:val="single" w:sz="4" w:space="0" w:color="000000"/>
            </w:tcBorders>
            <w:shd w:val="clear" w:color="auto" w:fill="auto"/>
          </w:tcPr>
          <w:p w14:paraId="42A289F9" w14:textId="77777777" w:rsidR="00AC7ED1" w:rsidRPr="00AC7ED1" w:rsidRDefault="00AC7ED1" w:rsidP="00864BBA">
            <w:pPr>
              <w:pStyle w:val="TblHeadingCenter"/>
              <w:rPr>
                <w:lang w:val="en-AU"/>
              </w:rPr>
            </w:pPr>
            <w:r w:rsidRPr="00AC7ED1">
              <w:rPr>
                <w:lang w:val="en-AU"/>
              </w:rPr>
              <w:t>PSC12 Adults aged ≥ 50 years</w:t>
            </w:r>
          </w:p>
        </w:tc>
      </w:tr>
      <w:tr w:rsidR="00AC7ED1" w:rsidRPr="00AC7ED1" w14:paraId="213F926C" w14:textId="77777777" w:rsidTr="00864BBA">
        <w:trPr>
          <w:cantSplit/>
          <w:jc w:val="center"/>
        </w:trPr>
        <w:tc>
          <w:tcPr>
            <w:tcW w:w="1803" w:type="dxa"/>
            <w:tcBorders>
              <w:top w:val="single" w:sz="4" w:space="0" w:color="000000"/>
            </w:tcBorders>
            <w:shd w:val="clear" w:color="auto" w:fill="auto"/>
          </w:tcPr>
          <w:p w14:paraId="77A618E3" w14:textId="77777777" w:rsidR="00AC7ED1" w:rsidRPr="00AC7ED1" w:rsidRDefault="00AC7ED1" w:rsidP="00864BBA">
            <w:pPr>
              <w:pStyle w:val="TblTextCenter"/>
              <w:rPr>
                <w:lang w:val="en-AU"/>
              </w:rPr>
            </w:pPr>
          </w:p>
        </w:tc>
        <w:tc>
          <w:tcPr>
            <w:tcW w:w="1803" w:type="dxa"/>
            <w:tcBorders>
              <w:top w:val="single" w:sz="4" w:space="0" w:color="000000"/>
            </w:tcBorders>
            <w:shd w:val="clear" w:color="auto" w:fill="auto"/>
            <w:vAlign w:val="bottom"/>
          </w:tcPr>
          <w:p w14:paraId="3A15C49C" w14:textId="77777777" w:rsidR="00AC7ED1" w:rsidRPr="00AC7ED1" w:rsidRDefault="00AC7ED1" w:rsidP="00864BBA">
            <w:pPr>
              <w:pStyle w:val="TblTextCenter"/>
              <w:rPr>
                <w:b/>
                <w:lang w:val="en-AU"/>
              </w:rPr>
            </w:pPr>
            <w:r w:rsidRPr="00AC7ED1">
              <w:rPr>
                <w:b/>
                <w:lang w:val="en-AU"/>
              </w:rPr>
              <w:t>Flublok Quadrivalent</w:t>
            </w:r>
          </w:p>
          <w:p w14:paraId="70247028" w14:textId="77777777" w:rsidR="00AC7ED1" w:rsidRPr="00AC7ED1" w:rsidRDefault="00AC7ED1" w:rsidP="00864BBA">
            <w:pPr>
              <w:pStyle w:val="TblTextCenter"/>
              <w:rPr>
                <w:b/>
                <w:lang w:val="en-AU"/>
              </w:rPr>
            </w:pPr>
            <w:r w:rsidRPr="00AC7ED1">
              <w:rPr>
                <w:b/>
                <w:lang w:val="en-AU"/>
              </w:rPr>
              <w:t>N=998</w:t>
            </w:r>
          </w:p>
          <w:p w14:paraId="40EFA66B" w14:textId="77777777" w:rsidR="00AC7ED1" w:rsidRPr="00AC7ED1" w:rsidRDefault="00AC7ED1" w:rsidP="00864BBA">
            <w:pPr>
              <w:pStyle w:val="TblTextCenter"/>
              <w:rPr>
                <w:lang w:val="en-AU"/>
              </w:rPr>
            </w:pPr>
            <w:r w:rsidRPr="00AC7ED1">
              <w:rPr>
                <w:b/>
                <w:lang w:val="en-AU"/>
              </w:rPr>
              <w:t>%</w:t>
            </w:r>
          </w:p>
        </w:tc>
        <w:tc>
          <w:tcPr>
            <w:tcW w:w="1803" w:type="dxa"/>
            <w:tcBorders>
              <w:top w:val="single" w:sz="4" w:space="0" w:color="000000"/>
            </w:tcBorders>
            <w:shd w:val="clear" w:color="auto" w:fill="auto"/>
            <w:vAlign w:val="bottom"/>
          </w:tcPr>
          <w:p w14:paraId="44D02253" w14:textId="77777777" w:rsidR="00AC7ED1" w:rsidRPr="00AC7ED1" w:rsidRDefault="00AC7ED1" w:rsidP="00864BBA">
            <w:pPr>
              <w:pStyle w:val="TblTextCenter"/>
              <w:rPr>
                <w:b/>
                <w:lang w:val="en-AU"/>
              </w:rPr>
            </w:pPr>
            <w:r w:rsidRPr="00AC7ED1">
              <w:rPr>
                <w:b/>
                <w:lang w:val="en-AU"/>
              </w:rPr>
              <w:t>Comparator</w:t>
            </w:r>
          </w:p>
          <w:p w14:paraId="7FC1A09E" w14:textId="77777777" w:rsidR="00AC7ED1" w:rsidRPr="00AC7ED1" w:rsidRDefault="00AC7ED1" w:rsidP="00864BBA">
            <w:pPr>
              <w:pStyle w:val="TblTextCenter"/>
              <w:rPr>
                <w:b/>
                <w:lang w:val="en-AU"/>
              </w:rPr>
            </w:pPr>
            <w:r w:rsidRPr="00AC7ED1">
              <w:rPr>
                <w:b/>
                <w:lang w:val="en-AU"/>
              </w:rPr>
              <w:t>N=332</w:t>
            </w:r>
          </w:p>
          <w:p w14:paraId="423BBEC4" w14:textId="77777777" w:rsidR="00AC7ED1" w:rsidRPr="00AC7ED1" w:rsidRDefault="00AC7ED1" w:rsidP="00864BBA">
            <w:pPr>
              <w:pStyle w:val="TblTextCenter"/>
              <w:rPr>
                <w:lang w:val="en-AU"/>
              </w:rPr>
            </w:pPr>
            <w:r w:rsidRPr="00AC7ED1">
              <w:rPr>
                <w:b/>
                <w:lang w:val="en-AU"/>
              </w:rPr>
              <w:t>%</w:t>
            </w:r>
          </w:p>
        </w:tc>
        <w:tc>
          <w:tcPr>
            <w:tcW w:w="1803" w:type="dxa"/>
            <w:tcBorders>
              <w:top w:val="single" w:sz="4" w:space="0" w:color="000000"/>
            </w:tcBorders>
            <w:shd w:val="clear" w:color="auto" w:fill="auto"/>
            <w:vAlign w:val="bottom"/>
          </w:tcPr>
          <w:p w14:paraId="0912384D" w14:textId="77777777" w:rsidR="00AC7ED1" w:rsidRPr="00AC7ED1" w:rsidRDefault="00AC7ED1" w:rsidP="00864BBA">
            <w:pPr>
              <w:pStyle w:val="TblTextCenter"/>
              <w:rPr>
                <w:b/>
                <w:lang w:val="en-AU"/>
              </w:rPr>
            </w:pPr>
            <w:r w:rsidRPr="00AC7ED1">
              <w:rPr>
                <w:b/>
                <w:lang w:val="en-AU"/>
              </w:rPr>
              <w:t>Flublok Quadrivalent</w:t>
            </w:r>
          </w:p>
          <w:p w14:paraId="1B06A64F" w14:textId="77777777" w:rsidR="00AC7ED1" w:rsidRPr="00AC7ED1" w:rsidRDefault="00AC7ED1" w:rsidP="00864BBA">
            <w:pPr>
              <w:pStyle w:val="TblTextCenter"/>
              <w:rPr>
                <w:b/>
                <w:lang w:val="en-AU"/>
              </w:rPr>
            </w:pPr>
            <w:r w:rsidRPr="00AC7ED1">
              <w:rPr>
                <w:b/>
                <w:lang w:val="en-AU"/>
              </w:rPr>
              <w:t>N=4328</w:t>
            </w:r>
          </w:p>
          <w:p w14:paraId="6926F159" w14:textId="77777777" w:rsidR="00AC7ED1" w:rsidRPr="00AC7ED1" w:rsidRDefault="00AC7ED1" w:rsidP="00864BBA">
            <w:pPr>
              <w:pStyle w:val="TblTextCenter"/>
              <w:rPr>
                <w:lang w:val="en-AU"/>
              </w:rPr>
            </w:pPr>
            <w:r w:rsidRPr="00AC7ED1">
              <w:rPr>
                <w:b/>
                <w:lang w:val="en-AU"/>
              </w:rPr>
              <w:t>%</w:t>
            </w:r>
          </w:p>
        </w:tc>
        <w:tc>
          <w:tcPr>
            <w:tcW w:w="1804" w:type="dxa"/>
            <w:tcBorders>
              <w:top w:val="single" w:sz="4" w:space="0" w:color="000000"/>
            </w:tcBorders>
            <w:shd w:val="clear" w:color="auto" w:fill="auto"/>
            <w:vAlign w:val="bottom"/>
          </w:tcPr>
          <w:p w14:paraId="1605DC92" w14:textId="77777777" w:rsidR="00AC7ED1" w:rsidRPr="00AC7ED1" w:rsidRDefault="00AC7ED1" w:rsidP="00864BBA">
            <w:pPr>
              <w:pStyle w:val="TblTextCenter"/>
              <w:rPr>
                <w:b/>
                <w:lang w:val="en-AU"/>
              </w:rPr>
            </w:pPr>
            <w:r w:rsidRPr="00AC7ED1">
              <w:rPr>
                <w:b/>
                <w:lang w:val="en-AU"/>
              </w:rPr>
              <w:t>Comparator</w:t>
            </w:r>
          </w:p>
          <w:p w14:paraId="79EB7C77" w14:textId="77777777" w:rsidR="00AC7ED1" w:rsidRPr="00AC7ED1" w:rsidRDefault="00AC7ED1" w:rsidP="00864BBA">
            <w:pPr>
              <w:pStyle w:val="TblTextCenter"/>
              <w:rPr>
                <w:b/>
                <w:lang w:val="en-AU"/>
              </w:rPr>
            </w:pPr>
            <w:r w:rsidRPr="00AC7ED1">
              <w:rPr>
                <w:b/>
                <w:lang w:val="en-AU"/>
              </w:rPr>
              <w:t>N=4344</w:t>
            </w:r>
          </w:p>
          <w:p w14:paraId="5A12E09B" w14:textId="77777777" w:rsidR="00AC7ED1" w:rsidRPr="00AC7ED1" w:rsidRDefault="00AC7ED1" w:rsidP="00864BBA">
            <w:pPr>
              <w:pStyle w:val="TblTextCenter"/>
              <w:rPr>
                <w:lang w:val="en-AU"/>
              </w:rPr>
            </w:pPr>
            <w:r w:rsidRPr="00AC7ED1">
              <w:rPr>
                <w:b/>
                <w:lang w:val="en-AU"/>
              </w:rPr>
              <w:t>%</w:t>
            </w:r>
          </w:p>
        </w:tc>
      </w:tr>
      <w:tr w:rsidR="00AC7ED1" w:rsidRPr="00AC7ED1" w14:paraId="36DFE88A" w14:textId="77777777" w:rsidTr="00864BBA">
        <w:trPr>
          <w:cantSplit/>
          <w:jc w:val="center"/>
        </w:trPr>
        <w:tc>
          <w:tcPr>
            <w:tcW w:w="9016" w:type="dxa"/>
            <w:gridSpan w:val="5"/>
            <w:shd w:val="clear" w:color="auto" w:fill="auto"/>
          </w:tcPr>
          <w:p w14:paraId="1EE0F33B" w14:textId="77777777" w:rsidR="00AC7ED1" w:rsidRPr="00AC7ED1" w:rsidRDefault="00AC7ED1" w:rsidP="00864BBA">
            <w:pPr>
              <w:pStyle w:val="TblTextCenter"/>
              <w:jc w:val="left"/>
              <w:rPr>
                <w:b/>
                <w:bCs/>
                <w:lang w:val="en-AU"/>
              </w:rPr>
            </w:pPr>
            <w:r w:rsidRPr="00AC7ED1">
              <w:rPr>
                <w:b/>
                <w:bCs/>
                <w:iCs/>
                <w:szCs w:val="24"/>
                <w:lang w:val="en-AU"/>
              </w:rPr>
              <w:t>Gastrointestinal disorders</w:t>
            </w:r>
          </w:p>
        </w:tc>
      </w:tr>
      <w:tr w:rsidR="00AC7ED1" w:rsidRPr="00AC7ED1" w14:paraId="4EC386A5" w14:textId="77777777" w:rsidTr="00864BBA">
        <w:trPr>
          <w:cantSplit/>
          <w:jc w:val="center"/>
        </w:trPr>
        <w:tc>
          <w:tcPr>
            <w:tcW w:w="1803" w:type="dxa"/>
            <w:shd w:val="clear" w:color="auto" w:fill="auto"/>
          </w:tcPr>
          <w:p w14:paraId="46E8C243" w14:textId="41358ECE" w:rsidR="00AC7ED1" w:rsidRPr="00AC7ED1" w:rsidRDefault="00AC7ED1" w:rsidP="00AC7ED1">
            <w:pPr>
              <w:pStyle w:val="TblTextCenter"/>
              <w:ind w:left="176"/>
              <w:rPr>
                <w:lang w:val="en-AU"/>
              </w:rPr>
            </w:pPr>
            <w:r w:rsidRPr="00AC7ED1">
              <w:rPr>
                <w:iCs/>
                <w:szCs w:val="24"/>
                <w:lang w:val="en-AU"/>
              </w:rPr>
              <w:t>Diarrhoea</w:t>
            </w:r>
          </w:p>
        </w:tc>
        <w:tc>
          <w:tcPr>
            <w:tcW w:w="1803" w:type="dxa"/>
            <w:shd w:val="clear" w:color="auto" w:fill="auto"/>
            <w:vAlign w:val="center"/>
          </w:tcPr>
          <w:p w14:paraId="6A714CCB" w14:textId="77777777" w:rsidR="00AC7ED1" w:rsidRPr="00AC7ED1" w:rsidRDefault="00AC7ED1" w:rsidP="00864BBA">
            <w:pPr>
              <w:pStyle w:val="TblTextCenter"/>
              <w:rPr>
                <w:lang w:val="en-AU"/>
              </w:rPr>
            </w:pPr>
            <w:r w:rsidRPr="00AC7ED1">
              <w:rPr>
                <w:rFonts w:eastAsia="MS Mincho"/>
                <w:iCs/>
                <w:szCs w:val="24"/>
                <w:lang w:val="en-AU"/>
              </w:rPr>
              <w:t>0.2</w:t>
            </w:r>
          </w:p>
        </w:tc>
        <w:tc>
          <w:tcPr>
            <w:tcW w:w="1803" w:type="dxa"/>
            <w:shd w:val="clear" w:color="auto" w:fill="auto"/>
            <w:vAlign w:val="center"/>
          </w:tcPr>
          <w:p w14:paraId="179BFA64" w14:textId="77777777" w:rsidR="00AC7ED1" w:rsidRPr="00AC7ED1" w:rsidRDefault="00AC7ED1" w:rsidP="00864BBA">
            <w:pPr>
              <w:pStyle w:val="TblTextCenter"/>
              <w:rPr>
                <w:lang w:val="en-AU"/>
              </w:rPr>
            </w:pPr>
            <w:r w:rsidRPr="00AC7ED1">
              <w:rPr>
                <w:iCs/>
                <w:szCs w:val="24"/>
                <w:lang w:val="en-AU"/>
              </w:rPr>
              <w:t>0</w:t>
            </w:r>
          </w:p>
        </w:tc>
        <w:tc>
          <w:tcPr>
            <w:tcW w:w="1803" w:type="dxa"/>
            <w:shd w:val="clear" w:color="auto" w:fill="auto"/>
            <w:vAlign w:val="center"/>
          </w:tcPr>
          <w:p w14:paraId="55E17E5B" w14:textId="77777777" w:rsidR="00AC7ED1" w:rsidRPr="00AC7ED1" w:rsidRDefault="00AC7ED1" w:rsidP="00864BBA">
            <w:pPr>
              <w:pStyle w:val="TblTextCenter"/>
              <w:rPr>
                <w:lang w:val="en-AU"/>
              </w:rPr>
            </w:pPr>
            <w:r w:rsidRPr="00AC7ED1">
              <w:rPr>
                <w:rFonts w:eastAsia="MS Mincho"/>
                <w:iCs/>
                <w:szCs w:val="24"/>
                <w:lang w:val="en-AU"/>
              </w:rPr>
              <w:t>0.1</w:t>
            </w:r>
          </w:p>
        </w:tc>
        <w:tc>
          <w:tcPr>
            <w:tcW w:w="1804" w:type="dxa"/>
            <w:shd w:val="clear" w:color="auto" w:fill="auto"/>
            <w:vAlign w:val="center"/>
          </w:tcPr>
          <w:p w14:paraId="46B95375" w14:textId="77777777" w:rsidR="00AC7ED1" w:rsidRPr="00AC7ED1" w:rsidRDefault="00AC7ED1" w:rsidP="00864BBA">
            <w:pPr>
              <w:pStyle w:val="TblTextCenter"/>
              <w:rPr>
                <w:lang w:val="en-AU"/>
              </w:rPr>
            </w:pPr>
            <w:r w:rsidRPr="00AC7ED1">
              <w:rPr>
                <w:rFonts w:eastAsia="MS Mincho"/>
                <w:iCs/>
                <w:szCs w:val="24"/>
                <w:lang w:val="en-AU"/>
              </w:rPr>
              <w:t>0</w:t>
            </w:r>
          </w:p>
        </w:tc>
      </w:tr>
      <w:tr w:rsidR="00AC7ED1" w:rsidRPr="00AC7ED1" w14:paraId="388276E8" w14:textId="77777777" w:rsidTr="00864BBA">
        <w:trPr>
          <w:cantSplit/>
          <w:jc w:val="center"/>
        </w:trPr>
        <w:tc>
          <w:tcPr>
            <w:tcW w:w="9016" w:type="dxa"/>
            <w:gridSpan w:val="5"/>
            <w:shd w:val="clear" w:color="auto" w:fill="auto"/>
          </w:tcPr>
          <w:p w14:paraId="3E114B4C" w14:textId="77777777" w:rsidR="00AC7ED1" w:rsidRPr="00AC7ED1" w:rsidRDefault="00AC7ED1" w:rsidP="00864BBA">
            <w:pPr>
              <w:pStyle w:val="TblTextCenter"/>
              <w:jc w:val="left"/>
              <w:rPr>
                <w:b/>
                <w:bCs/>
                <w:lang w:val="en-AU"/>
              </w:rPr>
            </w:pPr>
            <w:r w:rsidRPr="00AC7ED1">
              <w:rPr>
                <w:b/>
                <w:bCs/>
                <w:iCs/>
                <w:szCs w:val="24"/>
                <w:lang w:val="en-AU"/>
              </w:rPr>
              <w:t>General disorders and administration site conditions</w:t>
            </w:r>
          </w:p>
        </w:tc>
      </w:tr>
      <w:tr w:rsidR="00AC7ED1" w:rsidRPr="00AC7ED1" w14:paraId="537D5C25" w14:textId="77777777" w:rsidTr="00864BBA">
        <w:trPr>
          <w:cantSplit/>
          <w:jc w:val="center"/>
        </w:trPr>
        <w:tc>
          <w:tcPr>
            <w:tcW w:w="1803" w:type="dxa"/>
            <w:shd w:val="clear" w:color="auto" w:fill="auto"/>
            <w:vAlign w:val="center"/>
          </w:tcPr>
          <w:p w14:paraId="00186306" w14:textId="77777777" w:rsidR="00AC7ED1" w:rsidRPr="00AC7ED1" w:rsidRDefault="00AC7ED1" w:rsidP="00AC7ED1">
            <w:pPr>
              <w:pStyle w:val="TblTextCenter"/>
              <w:rPr>
                <w:lang w:val="en-AU"/>
              </w:rPr>
            </w:pPr>
            <w:r w:rsidRPr="00AC7ED1">
              <w:rPr>
                <w:iCs/>
                <w:szCs w:val="24"/>
                <w:lang w:val="en-AU"/>
              </w:rPr>
              <w:t>Flu-like symptoms</w:t>
            </w:r>
          </w:p>
        </w:tc>
        <w:tc>
          <w:tcPr>
            <w:tcW w:w="1803" w:type="dxa"/>
            <w:shd w:val="clear" w:color="auto" w:fill="auto"/>
            <w:vAlign w:val="center"/>
          </w:tcPr>
          <w:p w14:paraId="429B8E42" w14:textId="77777777" w:rsidR="00AC7ED1" w:rsidRPr="00AC7ED1" w:rsidRDefault="00AC7ED1" w:rsidP="00864BBA">
            <w:pPr>
              <w:pStyle w:val="TblTextCenter"/>
              <w:rPr>
                <w:lang w:val="en-AU"/>
              </w:rPr>
            </w:pPr>
            <w:r w:rsidRPr="00AC7ED1">
              <w:rPr>
                <w:rFonts w:eastAsia="MS Mincho"/>
                <w:iCs/>
                <w:szCs w:val="24"/>
                <w:lang w:val="en-AU"/>
              </w:rPr>
              <w:t>0</w:t>
            </w:r>
          </w:p>
        </w:tc>
        <w:tc>
          <w:tcPr>
            <w:tcW w:w="1803" w:type="dxa"/>
            <w:shd w:val="clear" w:color="auto" w:fill="auto"/>
            <w:vAlign w:val="center"/>
          </w:tcPr>
          <w:p w14:paraId="64AD52D7" w14:textId="77777777" w:rsidR="00AC7ED1" w:rsidRPr="00AC7ED1" w:rsidRDefault="00AC7ED1" w:rsidP="00864BBA">
            <w:pPr>
              <w:pStyle w:val="TblTextCenter"/>
              <w:rPr>
                <w:lang w:val="en-AU"/>
              </w:rPr>
            </w:pPr>
            <w:r w:rsidRPr="00AC7ED1">
              <w:rPr>
                <w:rFonts w:eastAsia="MS Mincho"/>
                <w:iCs/>
                <w:szCs w:val="24"/>
                <w:lang w:val="en-AU"/>
              </w:rPr>
              <w:t>0</w:t>
            </w:r>
          </w:p>
        </w:tc>
        <w:tc>
          <w:tcPr>
            <w:tcW w:w="1803" w:type="dxa"/>
            <w:shd w:val="clear" w:color="auto" w:fill="auto"/>
            <w:vAlign w:val="center"/>
          </w:tcPr>
          <w:p w14:paraId="684FF9EA" w14:textId="77777777" w:rsidR="00AC7ED1" w:rsidRPr="00AC7ED1" w:rsidRDefault="00AC7ED1" w:rsidP="00864BBA">
            <w:pPr>
              <w:pStyle w:val="TblTextCenter"/>
              <w:rPr>
                <w:lang w:val="en-AU"/>
              </w:rPr>
            </w:pPr>
            <w:r w:rsidRPr="00AC7ED1">
              <w:rPr>
                <w:rFonts w:eastAsia="MS Mincho"/>
                <w:iCs/>
                <w:szCs w:val="24"/>
                <w:lang w:val="en-AU"/>
              </w:rPr>
              <w:t>0.2</w:t>
            </w:r>
          </w:p>
        </w:tc>
        <w:tc>
          <w:tcPr>
            <w:tcW w:w="1804" w:type="dxa"/>
            <w:shd w:val="clear" w:color="auto" w:fill="auto"/>
            <w:vAlign w:val="center"/>
          </w:tcPr>
          <w:p w14:paraId="5F3370DB" w14:textId="77777777" w:rsidR="00AC7ED1" w:rsidRPr="00AC7ED1" w:rsidRDefault="00AC7ED1" w:rsidP="00864BBA">
            <w:pPr>
              <w:pStyle w:val="TblTextCenter"/>
              <w:rPr>
                <w:lang w:val="en-AU"/>
              </w:rPr>
            </w:pPr>
            <w:r w:rsidRPr="00AC7ED1">
              <w:rPr>
                <w:rFonts w:eastAsia="MS Mincho"/>
                <w:iCs/>
                <w:szCs w:val="24"/>
                <w:lang w:val="en-AU"/>
              </w:rPr>
              <w:t>0.2</w:t>
            </w:r>
          </w:p>
        </w:tc>
      </w:tr>
      <w:tr w:rsidR="00AC7ED1" w:rsidRPr="00AC7ED1" w14:paraId="1CAE2A89" w14:textId="77777777" w:rsidTr="00864BBA">
        <w:trPr>
          <w:cantSplit/>
          <w:jc w:val="center"/>
        </w:trPr>
        <w:tc>
          <w:tcPr>
            <w:tcW w:w="1803" w:type="dxa"/>
            <w:shd w:val="clear" w:color="auto" w:fill="auto"/>
          </w:tcPr>
          <w:p w14:paraId="0B44E870" w14:textId="77777777" w:rsidR="00AC7ED1" w:rsidRPr="00AC7ED1" w:rsidRDefault="00AC7ED1" w:rsidP="00AC7ED1">
            <w:pPr>
              <w:pStyle w:val="TblTextCenter"/>
              <w:rPr>
                <w:lang w:val="en-AU"/>
              </w:rPr>
            </w:pPr>
            <w:r w:rsidRPr="00AC7ED1">
              <w:rPr>
                <w:iCs/>
                <w:szCs w:val="24"/>
                <w:lang w:val="en-AU"/>
              </w:rPr>
              <w:t>Injection site pruritus</w:t>
            </w:r>
          </w:p>
        </w:tc>
        <w:tc>
          <w:tcPr>
            <w:tcW w:w="1803" w:type="dxa"/>
            <w:shd w:val="clear" w:color="auto" w:fill="auto"/>
            <w:vAlign w:val="center"/>
          </w:tcPr>
          <w:p w14:paraId="6D95C0DD" w14:textId="77777777" w:rsidR="00AC7ED1" w:rsidRPr="00AC7ED1" w:rsidRDefault="00AC7ED1" w:rsidP="00864BBA">
            <w:pPr>
              <w:pStyle w:val="TblTextCenter"/>
              <w:rPr>
                <w:lang w:val="en-AU"/>
              </w:rPr>
            </w:pPr>
            <w:r w:rsidRPr="00AC7ED1">
              <w:rPr>
                <w:rFonts w:eastAsia="MS Mincho"/>
                <w:iCs/>
                <w:szCs w:val="24"/>
                <w:lang w:val="en-AU"/>
              </w:rPr>
              <w:t>0.1</w:t>
            </w:r>
          </w:p>
        </w:tc>
        <w:tc>
          <w:tcPr>
            <w:tcW w:w="1803" w:type="dxa"/>
            <w:shd w:val="clear" w:color="auto" w:fill="auto"/>
            <w:vAlign w:val="center"/>
          </w:tcPr>
          <w:p w14:paraId="2514D69F" w14:textId="77777777" w:rsidR="00AC7ED1" w:rsidRPr="00AC7ED1" w:rsidRDefault="00AC7ED1" w:rsidP="00864BBA">
            <w:pPr>
              <w:pStyle w:val="TblTextCenter"/>
              <w:rPr>
                <w:lang w:val="en-AU"/>
              </w:rPr>
            </w:pPr>
            <w:r w:rsidRPr="00AC7ED1">
              <w:rPr>
                <w:rFonts w:eastAsia="MS Mincho"/>
                <w:iCs/>
                <w:szCs w:val="24"/>
                <w:lang w:val="en-AU"/>
              </w:rPr>
              <w:t>0</w:t>
            </w:r>
          </w:p>
        </w:tc>
        <w:tc>
          <w:tcPr>
            <w:tcW w:w="1803" w:type="dxa"/>
            <w:shd w:val="clear" w:color="auto" w:fill="auto"/>
            <w:vAlign w:val="center"/>
          </w:tcPr>
          <w:p w14:paraId="2B7A60D0" w14:textId="77777777" w:rsidR="00AC7ED1" w:rsidRPr="00AC7ED1" w:rsidRDefault="00AC7ED1" w:rsidP="00864BBA">
            <w:pPr>
              <w:pStyle w:val="TblTextCenter"/>
              <w:rPr>
                <w:lang w:val="en-AU"/>
              </w:rPr>
            </w:pPr>
            <w:r w:rsidRPr="00AC7ED1">
              <w:rPr>
                <w:rFonts w:eastAsia="MS Mincho"/>
                <w:iCs/>
                <w:szCs w:val="24"/>
                <w:lang w:val="en-AU"/>
              </w:rPr>
              <w:t>0.1</w:t>
            </w:r>
          </w:p>
        </w:tc>
        <w:tc>
          <w:tcPr>
            <w:tcW w:w="1804" w:type="dxa"/>
            <w:shd w:val="clear" w:color="auto" w:fill="auto"/>
            <w:vAlign w:val="center"/>
          </w:tcPr>
          <w:p w14:paraId="10E0D73E" w14:textId="77777777" w:rsidR="00AC7ED1" w:rsidRPr="00AC7ED1" w:rsidRDefault="00AC7ED1" w:rsidP="00864BBA">
            <w:pPr>
              <w:pStyle w:val="TblTextCenter"/>
              <w:rPr>
                <w:lang w:val="en-AU"/>
              </w:rPr>
            </w:pPr>
            <w:r w:rsidRPr="00AC7ED1">
              <w:rPr>
                <w:rFonts w:eastAsia="MS Mincho"/>
                <w:iCs/>
                <w:szCs w:val="24"/>
                <w:lang w:val="en-AU"/>
              </w:rPr>
              <w:t>0.1</w:t>
            </w:r>
          </w:p>
        </w:tc>
      </w:tr>
      <w:tr w:rsidR="00AC7ED1" w:rsidRPr="00AC7ED1" w14:paraId="5657F84A" w14:textId="77777777" w:rsidTr="00864BBA">
        <w:trPr>
          <w:cantSplit/>
          <w:jc w:val="center"/>
        </w:trPr>
        <w:tc>
          <w:tcPr>
            <w:tcW w:w="9016" w:type="dxa"/>
            <w:gridSpan w:val="5"/>
            <w:shd w:val="clear" w:color="auto" w:fill="auto"/>
          </w:tcPr>
          <w:p w14:paraId="60A28868" w14:textId="77777777" w:rsidR="00AC7ED1" w:rsidRPr="00AC7ED1" w:rsidRDefault="00AC7ED1" w:rsidP="00864BBA">
            <w:pPr>
              <w:pStyle w:val="TblTextCenter"/>
              <w:jc w:val="left"/>
              <w:rPr>
                <w:b/>
                <w:bCs/>
                <w:lang w:val="en-AU"/>
              </w:rPr>
            </w:pPr>
            <w:r w:rsidRPr="00AC7ED1">
              <w:rPr>
                <w:b/>
                <w:bCs/>
                <w:iCs/>
                <w:szCs w:val="24"/>
                <w:lang w:val="en-AU"/>
              </w:rPr>
              <w:t>Skin and subcutaneous tissue disorders</w:t>
            </w:r>
          </w:p>
        </w:tc>
      </w:tr>
      <w:tr w:rsidR="00AC7ED1" w:rsidRPr="00AC7ED1" w14:paraId="528D6A10" w14:textId="77777777" w:rsidTr="00864BBA">
        <w:trPr>
          <w:cantSplit/>
          <w:jc w:val="center"/>
        </w:trPr>
        <w:tc>
          <w:tcPr>
            <w:tcW w:w="1803" w:type="dxa"/>
            <w:shd w:val="clear" w:color="auto" w:fill="auto"/>
          </w:tcPr>
          <w:p w14:paraId="07DD080D" w14:textId="77777777" w:rsidR="00AC7ED1" w:rsidRPr="00AC7ED1" w:rsidRDefault="00AC7ED1" w:rsidP="00AC7ED1">
            <w:pPr>
              <w:pStyle w:val="TblTextCenter"/>
              <w:rPr>
                <w:lang w:val="en-AU"/>
              </w:rPr>
            </w:pPr>
            <w:r w:rsidRPr="00AC7ED1">
              <w:rPr>
                <w:iCs/>
                <w:szCs w:val="24"/>
                <w:lang w:val="en-AU"/>
              </w:rPr>
              <w:t>Pruritus</w:t>
            </w:r>
          </w:p>
        </w:tc>
        <w:tc>
          <w:tcPr>
            <w:tcW w:w="1803" w:type="dxa"/>
            <w:shd w:val="clear" w:color="auto" w:fill="auto"/>
            <w:vAlign w:val="center"/>
          </w:tcPr>
          <w:p w14:paraId="458A940B" w14:textId="77777777" w:rsidR="00AC7ED1" w:rsidRPr="00AC7ED1" w:rsidRDefault="00AC7ED1" w:rsidP="00864BBA">
            <w:pPr>
              <w:pStyle w:val="TblTextCenter"/>
              <w:rPr>
                <w:lang w:val="en-AU"/>
              </w:rPr>
            </w:pPr>
            <w:r w:rsidRPr="00AC7ED1">
              <w:rPr>
                <w:rFonts w:eastAsia="MS Mincho"/>
                <w:iCs/>
                <w:szCs w:val="24"/>
                <w:lang w:val="en-AU"/>
              </w:rPr>
              <w:t>0.2</w:t>
            </w:r>
          </w:p>
        </w:tc>
        <w:tc>
          <w:tcPr>
            <w:tcW w:w="1803" w:type="dxa"/>
            <w:shd w:val="clear" w:color="auto" w:fill="auto"/>
            <w:vAlign w:val="center"/>
          </w:tcPr>
          <w:p w14:paraId="705E421C" w14:textId="77777777" w:rsidR="00AC7ED1" w:rsidRPr="00AC7ED1" w:rsidRDefault="00AC7ED1" w:rsidP="00864BBA">
            <w:pPr>
              <w:pStyle w:val="TblTextCenter"/>
              <w:rPr>
                <w:lang w:val="en-AU"/>
              </w:rPr>
            </w:pPr>
            <w:r w:rsidRPr="00AC7ED1">
              <w:rPr>
                <w:rFonts w:eastAsia="MS Mincho"/>
                <w:iCs/>
                <w:szCs w:val="24"/>
                <w:lang w:val="en-AU"/>
              </w:rPr>
              <w:t>0</w:t>
            </w:r>
          </w:p>
        </w:tc>
        <w:tc>
          <w:tcPr>
            <w:tcW w:w="1803" w:type="dxa"/>
            <w:shd w:val="clear" w:color="auto" w:fill="auto"/>
            <w:vAlign w:val="center"/>
          </w:tcPr>
          <w:p w14:paraId="6B1B1D63" w14:textId="77777777" w:rsidR="00AC7ED1" w:rsidRPr="00AC7ED1" w:rsidRDefault="00AC7ED1" w:rsidP="00864BBA">
            <w:pPr>
              <w:pStyle w:val="TblTextCenter"/>
              <w:rPr>
                <w:lang w:val="en-AU"/>
              </w:rPr>
            </w:pPr>
            <w:r w:rsidRPr="00AC7ED1">
              <w:rPr>
                <w:rFonts w:eastAsia="MS Mincho"/>
                <w:iCs/>
                <w:szCs w:val="24"/>
                <w:lang w:val="en-AU"/>
              </w:rPr>
              <w:t>0.02</w:t>
            </w:r>
          </w:p>
        </w:tc>
        <w:tc>
          <w:tcPr>
            <w:tcW w:w="1804" w:type="dxa"/>
            <w:shd w:val="clear" w:color="auto" w:fill="auto"/>
            <w:vAlign w:val="center"/>
          </w:tcPr>
          <w:p w14:paraId="0A434A7E" w14:textId="77777777" w:rsidR="00AC7ED1" w:rsidRPr="00AC7ED1" w:rsidRDefault="00AC7ED1" w:rsidP="00864BBA">
            <w:pPr>
              <w:pStyle w:val="TblTextCenter"/>
              <w:rPr>
                <w:lang w:val="en-AU"/>
              </w:rPr>
            </w:pPr>
            <w:r w:rsidRPr="00AC7ED1">
              <w:rPr>
                <w:rFonts w:eastAsia="MS Mincho"/>
                <w:iCs/>
                <w:szCs w:val="24"/>
                <w:lang w:val="en-AU"/>
              </w:rPr>
              <w:t>0.1</w:t>
            </w:r>
          </w:p>
        </w:tc>
      </w:tr>
      <w:tr w:rsidR="00AC7ED1" w:rsidRPr="00AC7ED1" w14:paraId="04AE595B" w14:textId="77777777" w:rsidTr="00864BBA">
        <w:trPr>
          <w:cantSplit/>
          <w:jc w:val="center"/>
        </w:trPr>
        <w:tc>
          <w:tcPr>
            <w:tcW w:w="1803" w:type="dxa"/>
            <w:shd w:val="clear" w:color="auto" w:fill="auto"/>
          </w:tcPr>
          <w:p w14:paraId="162ABAB0" w14:textId="77777777" w:rsidR="00AC7ED1" w:rsidRPr="00AC7ED1" w:rsidRDefault="00AC7ED1" w:rsidP="00AC7ED1">
            <w:pPr>
              <w:pStyle w:val="TblTextCenter"/>
              <w:rPr>
                <w:lang w:val="en-AU"/>
              </w:rPr>
            </w:pPr>
            <w:r w:rsidRPr="00AC7ED1">
              <w:rPr>
                <w:iCs/>
                <w:szCs w:val="24"/>
                <w:lang w:val="en-AU"/>
              </w:rPr>
              <w:t>Dermatitis</w:t>
            </w:r>
          </w:p>
        </w:tc>
        <w:tc>
          <w:tcPr>
            <w:tcW w:w="1803" w:type="dxa"/>
            <w:shd w:val="clear" w:color="auto" w:fill="auto"/>
            <w:vAlign w:val="center"/>
          </w:tcPr>
          <w:p w14:paraId="0048A15F" w14:textId="77777777" w:rsidR="00AC7ED1" w:rsidRPr="00AC7ED1" w:rsidRDefault="00AC7ED1" w:rsidP="00864BBA">
            <w:pPr>
              <w:pStyle w:val="TblTextCenter"/>
              <w:rPr>
                <w:lang w:val="en-AU"/>
              </w:rPr>
            </w:pPr>
            <w:r w:rsidRPr="00AC7ED1">
              <w:rPr>
                <w:rFonts w:eastAsia="MS Mincho"/>
                <w:iCs/>
                <w:szCs w:val="24"/>
                <w:lang w:val="en-AU"/>
              </w:rPr>
              <w:t>0.1</w:t>
            </w:r>
          </w:p>
        </w:tc>
        <w:tc>
          <w:tcPr>
            <w:tcW w:w="1803" w:type="dxa"/>
            <w:shd w:val="clear" w:color="auto" w:fill="auto"/>
            <w:vAlign w:val="center"/>
          </w:tcPr>
          <w:p w14:paraId="7D636C29" w14:textId="77777777" w:rsidR="00AC7ED1" w:rsidRPr="00AC7ED1" w:rsidRDefault="00AC7ED1" w:rsidP="00864BBA">
            <w:pPr>
              <w:pStyle w:val="TblTextCenter"/>
              <w:rPr>
                <w:lang w:val="en-AU"/>
              </w:rPr>
            </w:pPr>
            <w:r w:rsidRPr="00AC7ED1">
              <w:rPr>
                <w:iCs/>
                <w:szCs w:val="24"/>
                <w:lang w:val="en-AU"/>
              </w:rPr>
              <w:t>0</w:t>
            </w:r>
          </w:p>
        </w:tc>
        <w:tc>
          <w:tcPr>
            <w:tcW w:w="1803" w:type="dxa"/>
            <w:shd w:val="clear" w:color="auto" w:fill="auto"/>
            <w:vAlign w:val="center"/>
          </w:tcPr>
          <w:p w14:paraId="6A395901" w14:textId="77777777" w:rsidR="00AC7ED1" w:rsidRPr="00AC7ED1" w:rsidRDefault="00AC7ED1" w:rsidP="00864BBA">
            <w:pPr>
              <w:pStyle w:val="TblTextCenter"/>
              <w:rPr>
                <w:lang w:val="en-AU"/>
              </w:rPr>
            </w:pPr>
            <w:r w:rsidRPr="00AC7ED1">
              <w:rPr>
                <w:rFonts w:eastAsia="MS Mincho"/>
                <w:iCs/>
                <w:szCs w:val="24"/>
                <w:lang w:val="en-AU"/>
              </w:rPr>
              <w:t>0</w:t>
            </w:r>
          </w:p>
        </w:tc>
        <w:tc>
          <w:tcPr>
            <w:tcW w:w="1804" w:type="dxa"/>
            <w:shd w:val="clear" w:color="auto" w:fill="auto"/>
            <w:vAlign w:val="center"/>
          </w:tcPr>
          <w:p w14:paraId="35186A2F" w14:textId="77777777" w:rsidR="00AC7ED1" w:rsidRPr="00AC7ED1" w:rsidRDefault="00AC7ED1" w:rsidP="00864BBA">
            <w:pPr>
              <w:pStyle w:val="TblTextCenter"/>
              <w:rPr>
                <w:lang w:val="en-AU"/>
              </w:rPr>
            </w:pPr>
            <w:r w:rsidRPr="00AC7ED1">
              <w:rPr>
                <w:rFonts w:eastAsia="MS Mincho"/>
                <w:iCs/>
                <w:szCs w:val="24"/>
                <w:lang w:val="en-AU"/>
              </w:rPr>
              <w:t>0</w:t>
            </w:r>
          </w:p>
        </w:tc>
      </w:tr>
      <w:tr w:rsidR="00AC7ED1" w:rsidRPr="00AC7ED1" w14:paraId="3E5F5924" w14:textId="77777777" w:rsidTr="00864BBA">
        <w:trPr>
          <w:cantSplit/>
          <w:jc w:val="center"/>
        </w:trPr>
        <w:tc>
          <w:tcPr>
            <w:tcW w:w="1803" w:type="dxa"/>
            <w:shd w:val="clear" w:color="auto" w:fill="auto"/>
          </w:tcPr>
          <w:p w14:paraId="2FA6A817" w14:textId="77777777" w:rsidR="00AC7ED1" w:rsidRPr="00AC7ED1" w:rsidRDefault="00AC7ED1" w:rsidP="00AC7ED1">
            <w:pPr>
              <w:pStyle w:val="TblTextCenter"/>
              <w:rPr>
                <w:lang w:val="en-AU"/>
              </w:rPr>
            </w:pPr>
            <w:r w:rsidRPr="00AC7ED1">
              <w:rPr>
                <w:iCs/>
                <w:szCs w:val="24"/>
                <w:lang w:val="en-AU"/>
              </w:rPr>
              <w:t>Rash</w:t>
            </w:r>
          </w:p>
        </w:tc>
        <w:tc>
          <w:tcPr>
            <w:tcW w:w="1803" w:type="dxa"/>
            <w:shd w:val="clear" w:color="auto" w:fill="auto"/>
            <w:vAlign w:val="center"/>
          </w:tcPr>
          <w:p w14:paraId="278B3E64" w14:textId="77777777" w:rsidR="00AC7ED1" w:rsidRPr="00AC7ED1" w:rsidRDefault="00AC7ED1" w:rsidP="00864BBA">
            <w:pPr>
              <w:pStyle w:val="TblTextCenter"/>
              <w:rPr>
                <w:lang w:val="en-AU"/>
              </w:rPr>
            </w:pPr>
            <w:r w:rsidRPr="00AC7ED1">
              <w:rPr>
                <w:rFonts w:eastAsia="MS Mincho"/>
                <w:iCs/>
                <w:szCs w:val="24"/>
                <w:lang w:val="en-AU"/>
              </w:rPr>
              <w:t>0.1</w:t>
            </w:r>
          </w:p>
        </w:tc>
        <w:tc>
          <w:tcPr>
            <w:tcW w:w="1803" w:type="dxa"/>
            <w:shd w:val="clear" w:color="auto" w:fill="auto"/>
            <w:vAlign w:val="center"/>
          </w:tcPr>
          <w:p w14:paraId="23E55979" w14:textId="77777777" w:rsidR="00AC7ED1" w:rsidRPr="00AC7ED1" w:rsidRDefault="00AC7ED1" w:rsidP="00864BBA">
            <w:pPr>
              <w:pStyle w:val="TblTextCenter"/>
              <w:rPr>
                <w:lang w:val="en-AU"/>
              </w:rPr>
            </w:pPr>
            <w:r w:rsidRPr="00AC7ED1">
              <w:rPr>
                <w:iCs/>
                <w:szCs w:val="24"/>
                <w:lang w:val="en-AU"/>
              </w:rPr>
              <w:t>0</w:t>
            </w:r>
          </w:p>
        </w:tc>
        <w:tc>
          <w:tcPr>
            <w:tcW w:w="1803" w:type="dxa"/>
            <w:shd w:val="clear" w:color="auto" w:fill="auto"/>
            <w:vAlign w:val="center"/>
          </w:tcPr>
          <w:p w14:paraId="30A633F3" w14:textId="77777777" w:rsidR="00AC7ED1" w:rsidRPr="00AC7ED1" w:rsidRDefault="00AC7ED1" w:rsidP="00864BBA">
            <w:pPr>
              <w:pStyle w:val="TblTextCenter"/>
              <w:rPr>
                <w:lang w:val="en-AU"/>
              </w:rPr>
            </w:pPr>
            <w:r w:rsidRPr="00AC7ED1">
              <w:rPr>
                <w:rFonts w:eastAsia="MS Mincho"/>
                <w:iCs/>
                <w:szCs w:val="24"/>
                <w:lang w:val="en-AU"/>
              </w:rPr>
              <w:t>0</w:t>
            </w:r>
          </w:p>
        </w:tc>
        <w:tc>
          <w:tcPr>
            <w:tcW w:w="1804" w:type="dxa"/>
            <w:shd w:val="clear" w:color="auto" w:fill="auto"/>
            <w:vAlign w:val="center"/>
          </w:tcPr>
          <w:p w14:paraId="7323C592" w14:textId="77777777" w:rsidR="00AC7ED1" w:rsidRPr="00AC7ED1" w:rsidRDefault="00AC7ED1" w:rsidP="00864BBA">
            <w:pPr>
              <w:pStyle w:val="TblTextCenter"/>
              <w:rPr>
                <w:lang w:val="en-AU"/>
              </w:rPr>
            </w:pPr>
            <w:r w:rsidRPr="00AC7ED1">
              <w:rPr>
                <w:rFonts w:eastAsia="MS Mincho"/>
                <w:iCs/>
                <w:szCs w:val="24"/>
                <w:lang w:val="en-AU"/>
              </w:rPr>
              <w:t>0</w:t>
            </w:r>
          </w:p>
        </w:tc>
      </w:tr>
      <w:tr w:rsidR="00AC7ED1" w:rsidRPr="00AC7ED1" w14:paraId="089EBD0B" w14:textId="77777777" w:rsidTr="00864BBA">
        <w:trPr>
          <w:cantSplit/>
          <w:jc w:val="center"/>
        </w:trPr>
        <w:tc>
          <w:tcPr>
            <w:tcW w:w="1803" w:type="dxa"/>
            <w:shd w:val="clear" w:color="auto" w:fill="auto"/>
          </w:tcPr>
          <w:p w14:paraId="6AEB9184" w14:textId="77777777" w:rsidR="00AC7ED1" w:rsidRPr="00AC7ED1" w:rsidRDefault="00AC7ED1" w:rsidP="00AC7ED1">
            <w:pPr>
              <w:pStyle w:val="TblTextCenter"/>
              <w:rPr>
                <w:lang w:val="en-AU"/>
              </w:rPr>
            </w:pPr>
            <w:r w:rsidRPr="00AC7ED1">
              <w:rPr>
                <w:iCs/>
                <w:szCs w:val="24"/>
                <w:lang w:val="en-AU"/>
              </w:rPr>
              <w:t>Urticaria</w:t>
            </w:r>
          </w:p>
        </w:tc>
        <w:tc>
          <w:tcPr>
            <w:tcW w:w="1803" w:type="dxa"/>
            <w:shd w:val="clear" w:color="auto" w:fill="auto"/>
            <w:vAlign w:val="center"/>
          </w:tcPr>
          <w:p w14:paraId="6A3A742E" w14:textId="77777777" w:rsidR="00AC7ED1" w:rsidRPr="00AC7ED1" w:rsidRDefault="00AC7ED1" w:rsidP="00864BBA">
            <w:pPr>
              <w:pStyle w:val="TblTextCenter"/>
              <w:rPr>
                <w:lang w:val="en-AU"/>
              </w:rPr>
            </w:pPr>
            <w:r w:rsidRPr="00AC7ED1">
              <w:rPr>
                <w:iCs/>
                <w:szCs w:val="24"/>
                <w:lang w:val="en-AU"/>
              </w:rPr>
              <w:t>0</w:t>
            </w:r>
          </w:p>
        </w:tc>
        <w:tc>
          <w:tcPr>
            <w:tcW w:w="1803" w:type="dxa"/>
            <w:shd w:val="clear" w:color="auto" w:fill="auto"/>
            <w:vAlign w:val="center"/>
          </w:tcPr>
          <w:p w14:paraId="5F87F308" w14:textId="77777777" w:rsidR="00AC7ED1" w:rsidRPr="00AC7ED1" w:rsidRDefault="00AC7ED1" w:rsidP="00864BBA">
            <w:pPr>
              <w:pStyle w:val="TblTextCenter"/>
              <w:rPr>
                <w:lang w:val="en-AU"/>
              </w:rPr>
            </w:pPr>
            <w:r w:rsidRPr="00AC7ED1">
              <w:rPr>
                <w:rFonts w:eastAsia="MS Mincho"/>
                <w:iCs/>
                <w:szCs w:val="24"/>
                <w:lang w:val="en-AU"/>
              </w:rPr>
              <w:t>0</w:t>
            </w:r>
          </w:p>
        </w:tc>
        <w:tc>
          <w:tcPr>
            <w:tcW w:w="1803" w:type="dxa"/>
            <w:shd w:val="clear" w:color="auto" w:fill="auto"/>
            <w:vAlign w:val="center"/>
          </w:tcPr>
          <w:p w14:paraId="7D837070" w14:textId="77777777" w:rsidR="00AC7ED1" w:rsidRPr="00AC7ED1" w:rsidRDefault="00AC7ED1" w:rsidP="00864BBA">
            <w:pPr>
              <w:pStyle w:val="TblTextCenter"/>
              <w:rPr>
                <w:lang w:val="en-AU"/>
              </w:rPr>
            </w:pPr>
            <w:r w:rsidRPr="00AC7ED1">
              <w:rPr>
                <w:rFonts w:eastAsia="MS Mincho"/>
                <w:iCs/>
                <w:szCs w:val="24"/>
                <w:lang w:val="en-AU"/>
              </w:rPr>
              <w:t>0.02</w:t>
            </w:r>
          </w:p>
        </w:tc>
        <w:tc>
          <w:tcPr>
            <w:tcW w:w="1804" w:type="dxa"/>
            <w:shd w:val="clear" w:color="auto" w:fill="auto"/>
            <w:vAlign w:val="center"/>
          </w:tcPr>
          <w:p w14:paraId="367D8687" w14:textId="77777777" w:rsidR="00AC7ED1" w:rsidRPr="00AC7ED1" w:rsidRDefault="00AC7ED1" w:rsidP="00864BBA">
            <w:pPr>
              <w:pStyle w:val="TblTextCenter"/>
              <w:rPr>
                <w:lang w:val="en-AU"/>
              </w:rPr>
            </w:pPr>
            <w:r w:rsidRPr="00AC7ED1">
              <w:rPr>
                <w:rFonts w:eastAsia="MS Mincho"/>
                <w:iCs/>
                <w:szCs w:val="24"/>
                <w:lang w:val="en-AU"/>
              </w:rPr>
              <w:t>0</w:t>
            </w:r>
          </w:p>
        </w:tc>
      </w:tr>
      <w:tr w:rsidR="00AC7ED1" w:rsidRPr="00AC7ED1" w14:paraId="078626DA" w14:textId="77777777" w:rsidTr="00864BBA">
        <w:trPr>
          <w:cantSplit/>
          <w:jc w:val="center"/>
        </w:trPr>
        <w:tc>
          <w:tcPr>
            <w:tcW w:w="9016" w:type="dxa"/>
            <w:gridSpan w:val="5"/>
            <w:shd w:val="clear" w:color="auto" w:fill="auto"/>
          </w:tcPr>
          <w:p w14:paraId="4CC6F3DC" w14:textId="77777777" w:rsidR="00AC7ED1" w:rsidRPr="00AC7ED1" w:rsidRDefault="00AC7ED1" w:rsidP="00864BBA">
            <w:pPr>
              <w:pStyle w:val="TblTextCenter"/>
              <w:jc w:val="left"/>
              <w:rPr>
                <w:b/>
                <w:bCs/>
                <w:lang w:val="en-AU"/>
              </w:rPr>
            </w:pPr>
            <w:r w:rsidRPr="00AC7ED1">
              <w:rPr>
                <w:b/>
                <w:bCs/>
                <w:iCs/>
                <w:szCs w:val="24"/>
                <w:lang w:val="en-AU"/>
              </w:rPr>
              <w:t>Nervous system disorders</w:t>
            </w:r>
          </w:p>
        </w:tc>
      </w:tr>
      <w:tr w:rsidR="00AC7ED1" w:rsidRPr="00AC7ED1" w14:paraId="040878A1" w14:textId="77777777" w:rsidTr="00864BBA">
        <w:trPr>
          <w:cantSplit/>
          <w:jc w:val="center"/>
        </w:trPr>
        <w:tc>
          <w:tcPr>
            <w:tcW w:w="1803" w:type="dxa"/>
            <w:shd w:val="clear" w:color="auto" w:fill="auto"/>
          </w:tcPr>
          <w:p w14:paraId="408D2A33" w14:textId="77777777" w:rsidR="00AC7ED1" w:rsidRPr="00AC7ED1" w:rsidRDefault="00AC7ED1" w:rsidP="00AC7ED1">
            <w:pPr>
              <w:pStyle w:val="TblTextCenter"/>
              <w:rPr>
                <w:lang w:val="en-AU"/>
              </w:rPr>
            </w:pPr>
            <w:r w:rsidRPr="00AC7ED1">
              <w:rPr>
                <w:iCs/>
                <w:szCs w:val="24"/>
                <w:lang w:val="en-AU"/>
              </w:rPr>
              <w:t>Dizziness</w:t>
            </w:r>
          </w:p>
        </w:tc>
        <w:tc>
          <w:tcPr>
            <w:tcW w:w="1803" w:type="dxa"/>
            <w:shd w:val="clear" w:color="auto" w:fill="auto"/>
            <w:vAlign w:val="center"/>
          </w:tcPr>
          <w:p w14:paraId="0298B86E" w14:textId="77777777" w:rsidR="00AC7ED1" w:rsidRPr="00AC7ED1" w:rsidRDefault="00AC7ED1" w:rsidP="00864BBA">
            <w:pPr>
              <w:pStyle w:val="TblTextCenter"/>
              <w:rPr>
                <w:lang w:val="en-AU"/>
              </w:rPr>
            </w:pPr>
            <w:r w:rsidRPr="00AC7ED1">
              <w:rPr>
                <w:iCs/>
                <w:szCs w:val="24"/>
                <w:lang w:val="en-AU"/>
              </w:rPr>
              <w:t>0</w:t>
            </w:r>
          </w:p>
        </w:tc>
        <w:tc>
          <w:tcPr>
            <w:tcW w:w="1803" w:type="dxa"/>
            <w:shd w:val="clear" w:color="auto" w:fill="auto"/>
            <w:vAlign w:val="center"/>
          </w:tcPr>
          <w:p w14:paraId="37E7F588" w14:textId="77777777" w:rsidR="00AC7ED1" w:rsidRPr="00AC7ED1" w:rsidRDefault="00AC7ED1" w:rsidP="00864BBA">
            <w:pPr>
              <w:pStyle w:val="TblTextCenter"/>
              <w:rPr>
                <w:lang w:val="en-AU"/>
              </w:rPr>
            </w:pPr>
            <w:r w:rsidRPr="00AC7ED1">
              <w:rPr>
                <w:rFonts w:eastAsia="MS Mincho"/>
                <w:iCs/>
                <w:szCs w:val="24"/>
                <w:lang w:val="en-AU"/>
              </w:rPr>
              <w:t>0</w:t>
            </w:r>
          </w:p>
        </w:tc>
        <w:tc>
          <w:tcPr>
            <w:tcW w:w="1803" w:type="dxa"/>
            <w:shd w:val="clear" w:color="auto" w:fill="auto"/>
            <w:vAlign w:val="center"/>
          </w:tcPr>
          <w:p w14:paraId="58C32445" w14:textId="77777777" w:rsidR="00AC7ED1" w:rsidRPr="00AC7ED1" w:rsidRDefault="00AC7ED1" w:rsidP="00864BBA">
            <w:pPr>
              <w:pStyle w:val="TblTextCenter"/>
              <w:rPr>
                <w:lang w:val="en-AU"/>
              </w:rPr>
            </w:pPr>
            <w:r w:rsidRPr="00AC7ED1">
              <w:rPr>
                <w:rFonts w:eastAsia="MS Mincho"/>
                <w:iCs/>
                <w:szCs w:val="24"/>
                <w:lang w:val="en-AU"/>
              </w:rPr>
              <w:t>0.05</w:t>
            </w:r>
          </w:p>
        </w:tc>
        <w:tc>
          <w:tcPr>
            <w:tcW w:w="1804" w:type="dxa"/>
            <w:shd w:val="clear" w:color="auto" w:fill="auto"/>
            <w:vAlign w:val="center"/>
          </w:tcPr>
          <w:p w14:paraId="51534EF2" w14:textId="77777777" w:rsidR="00AC7ED1" w:rsidRPr="00AC7ED1" w:rsidRDefault="00AC7ED1" w:rsidP="00864BBA">
            <w:pPr>
              <w:pStyle w:val="TblTextCenter"/>
              <w:rPr>
                <w:lang w:val="en-AU"/>
              </w:rPr>
            </w:pPr>
            <w:r w:rsidRPr="00AC7ED1">
              <w:rPr>
                <w:rFonts w:eastAsia="MS Mincho"/>
                <w:iCs/>
                <w:szCs w:val="24"/>
                <w:lang w:val="en-AU"/>
              </w:rPr>
              <w:t>0.1</w:t>
            </w:r>
          </w:p>
        </w:tc>
      </w:tr>
      <w:tr w:rsidR="00AC7ED1" w:rsidRPr="00AC7ED1" w14:paraId="5FCCCF4D" w14:textId="77777777" w:rsidTr="00864BBA">
        <w:trPr>
          <w:cantSplit/>
          <w:jc w:val="center"/>
        </w:trPr>
        <w:tc>
          <w:tcPr>
            <w:tcW w:w="9016" w:type="dxa"/>
            <w:gridSpan w:val="5"/>
            <w:shd w:val="clear" w:color="auto" w:fill="auto"/>
          </w:tcPr>
          <w:p w14:paraId="54085C61" w14:textId="77777777" w:rsidR="00AC7ED1" w:rsidRPr="00AC7ED1" w:rsidRDefault="00AC7ED1" w:rsidP="00864BBA">
            <w:pPr>
              <w:pStyle w:val="TblTextCenter"/>
              <w:jc w:val="left"/>
              <w:rPr>
                <w:rFonts w:eastAsia="MS Mincho"/>
                <w:b/>
                <w:bCs/>
                <w:iCs/>
                <w:szCs w:val="24"/>
                <w:lang w:val="en-AU"/>
              </w:rPr>
            </w:pPr>
            <w:r w:rsidRPr="00AC7ED1">
              <w:rPr>
                <w:b/>
                <w:bCs/>
                <w:iCs/>
                <w:szCs w:val="24"/>
                <w:lang w:val="en-AU"/>
              </w:rPr>
              <w:t>Respiratory, thoracic and mediastinal disorders</w:t>
            </w:r>
          </w:p>
        </w:tc>
      </w:tr>
      <w:tr w:rsidR="00AC7ED1" w:rsidRPr="00AC7ED1" w14:paraId="53FC2B8D" w14:textId="77777777" w:rsidTr="00864BBA">
        <w:trPr>
          <w:cantSplit/>
          <w:jc w:val="center"/>
        </w:trPr>
        <w:tc>
          <w:tcPr>
            <w:tcW w:w="1803" w:type="dxa"/>
            <w:shd w:val="clear" w:color="auto" w:fill="auto"/>
          </w:tcPr>
          <w:p w14:paraId="4F39A38D" w14:textId="77777777" w:rsidR="00AC7ED1" w:rsidRPr="00AC7ED1" w:rsidRDefault="00AC7ED1" w:rsidP="00AC7ED1">
            <w:pPr>
              <w:pStyle w:val="TblTextCenter"/>
              <w:ind w:left="34"/>
              <w:rPr>
                <w:iCs/>
                <w:szCs w:val="24"/>
                <w:lang w:val="en-AU"/>
              </w:rPr>
            </w:pPr>
            <w:r w:rsidRPr="00AC7ED1">
              <w:rPr>
                <w:iCs/>
                <w:szCs w:val="24"/>
                <w:lang w:val="en-AU"/>
              </w:rPr>
              <w:t>Cough</w:t>
            </w:r>
          </w:p>
        </w:tc>
        <w:tc>
          <w:tcPr>
            <w:tcW w:w="1803" w:type="dxa"/>
            <w:shd w:val="clear" w:color="auto" w:fill="auto"/>
            <w:vAlign w:val="center"/>
          </w:tcPr>
          <w:p w14:paraId="7144253F" w14:textId="77777777" w:rsidR="00AC7ED1" w:rsidRPr="00AC7ED1" w:rsidRDefault="00AC7ED1" w:rsidP="00864BBA">
            <w:pPr>
              <w:pStyle w:val="TblTextCenter"/>
              <w:rPr>
                <w:iCs/>
                <w:szCs w:val="24"/>
                <w:lang w:val="en-AU"/>
              </w:rPr>
            </w:pPr>
            <w:r w:rsidRPr="00AC7ED1">
              <w:rPr>
                <w:iCs/>
                <w:szCs w:val="24"/>
                <w:lang w:val="en-AU"/>
              </w:rPr>
              <w:t>0.1</w:t>
            </w:r>
          </w:p>
        </w:tc>
        <w:tc>
          <w:tcPr>
            <w:tcW w:w="1803" w:type="dxa"/>
            <w:shd w:val="clear" w:color="auto" w:fill="auto"/>
            <w:vAlign w:val="center"/>
          </w:tcPr>
          <w:p w14:paraId="5E55D799" w14:textId="77777777" w:rsidR="00AC7ED1" w:rsidRPr="00AC7ED1" w:rsidRDefault="00AC7ED1" w:rsidP="00864BBA">
            <w:pPr>
              <w:pStyle w:val="TblTextCenter"/>
              <w:rPr>
                <w:rFonts w:eastAsia="MS Mincho"/>
                <w:iCs/>
                <w:szCs w:val="24"/>
                <w:lang w:val="en-AU"/>
              </w:rPr>
            </w:pPr>
            <w:r w:rsidRPr="00AC7ED1">
              <w:rPr>
                <w:rFonts w:eastAsia="MS Mincho"/>
                <w:iCs/>
                <w:szCs w:val="24"/>
                <w:lang w:val="en-AU"/>
              </w:rPr>
              <w:t>0</w:t>
            </w:r>
          </w:p>
        </w:tc>
        <w:tc>
          <w:tcPr>
            <w:tcW w:w="1803" w:type="dxa"/>
            <w:shd w:val="clear" w:color="auto" w:fill="auto"/>
            <w:vAlign w:val="center"/>
          </w:tcPr>
          <w:p w14:paraId="1E3CF036" w14:textId="77777777" w:rsidR="00AC7ED1" w:rsidRPr="00AC7ED1" w:rsidRDefault="00AC7ED1" w:rsidP="00864BBA">
            <w:pPr>
              <w:pStyle w:val="TblTextCenter"/>
              <w:rPr>
                <w:rFonts w:eastAsia="MS Mincho"/>
                <w:iCs/>
                <w:szCs w:val="24"/>
                <w:lang w:val="en-AU"/>
              </w:rPr>
            </w:pPr>
            <w:r w:rsidRPr="00AC7ED1">
              <w:rPr>
                <w:rFonts w:eastAsia="MS Mincho"/>
                <w:iCs/>
                <w:szCs w:val="24"/>
                <w:lang w:val="en-AU"/>
              </w:rPr>
              <w:t>0.2</w:t>
            </w:r>
          </w:p>
        </w:tc>
        <w:tc>
          <w:tcPr>
            <w:tcW w:w="1804" w:type="dxa"/>
            <w:shd w:val="clear" w:color="auto" w:fill="auto"/>
            <w:vAlign w:val="center"/>
          </w:tcPr>
          <w:p w14:paraId="22D8031D" w14:textId="77777777" w:rsidR="00AC7ED1" w:rsidRPr="00AC7ED1" w:rsidRDefault="00AC7ED1" w:rsidP="00864BBA">
            <w:pPr>
              <w:pStyle w:val="TblTextCenter"/>
              <w:rPr>
                <w:rFonts w:eastAsia="MS Mincho"/>
                <w:iCs/>
                <w:szCs w:val="24"/>
                <w:lang w:val="en-AU"/>
              </w:rPr>
            </w:pPr>
            <w:r w:rsidRPr="00AC7ED1">
              <w:rPr>
                <w:rFonts w:eastAsia="MS Mincho"/>
                <w:iCs/>
                <w:szCs w:val="24"/>
                <w:lang w:val="en-AU"/>
              </w:rPr>
              <w:t>0.3</w:t>
            </w:r>
          </w:p>
        </w:tc>
      </w:tr>
      <w:tr w:rsidR="00AC7ED1" w:rsidRPr="00AC7ED1" w14:paraId="1FB45505" w14:textId="77777777" w:rsidTr="00864BBA">
        <w:trPr>
          <w:cantSplit/>
          <w:jc w:val="center"/>
        </w:trPr>
        <w:tc>
          <w:tcPr>
            <w:tcW w:w="1803" w:type="dxa"/>
            <w:tcBorders>
              <w:bottom w:val="single" w:sz="12" w:space="0" w:color="auto"/>
            </w:tcBorders>
            <w:shd w:val="clear" w:color="auto" w:fill="auto"/>
          </w:tcPr>
          <w:p w14:paraId="0C1FAD06" w14:textId="77777777" w:rsidR="00AC7ED1" w:rsidRPr="00AC7ED1" w:rsidRDefault="00AC7ED1" w:rsidP="00AC7ED1">
            <w:pPr>
              <w:pStyle w:val="TblTextCenter"/>
              <w:ind w:left="34"/>
              <w:rPr>
                <w:iCs/>
                <w:szCs w:val="24"/>
                <w:lang w:val="en-AU"/>
              </w:rPr>
            </w:pPr>
            <w:r w:rsidRPr="00AC7ED1">
              <w:rPr>
                <w:iCs/>
                <w:szCs w:val="24"/>
                <w:lang w:val="en-AU"/>
              </w:rPr>
              <w:t>Oropharyngeal pain</w:t>
            </w:r>
          </w:p>
        </w:tc>
        <w:tc>
          <w:tcPr>
            <w:tcW w:w="1803" w:type="dxa"/>
            <w:tcBorders>
              <w:bottom w:val="single" w:sz="12" w:space="0" w:color="auto"/>
            </w:tcBorders>
            <w:shd w:val="clear" w:color="auto" w:fill="auto"/>
            <w:vAlign w:val="center"/>
          </w:tcPr>
          <w:p w14:paraId="363D68C4" w14:textId="77777777" w:rsidR="00AC7ED1" w:rsidRPr="00AC7ED1" w:rsidRDefault="00AC7ED1" w:rsidP="00864BBA">
            <w:pPr>
              <w:pStyle w:val="TblTextCenter"/>
              <w:rPr>
                <w:iCs/>
                <w:szCs w:val="24"/>
                <w:lang w:val="en-AU"/>
              </w:rPr>
            </w:pPr>
            <w:r w:rsidRPr="00AC7ED1">
              <w:rPr>
                <w:iCs/>
                <w:szCs w:val="24"/>
                <w:lang w:val="en-AU"/>
              </w:rPr>
              <w:t>0.1</w:t>
            </w:r>
          </w:p>
        </w:tc>
        <w:tc>
          <w:tcPr>
            <w:tcW w:w="1803" w:type="dxa"/>
            <w:tcBorders>
              <w:bottom w:val="single" w:sz="12" w:space="0" w:color="auto"/>
            </w:tcBorders>
            <w:shd w:val="clear" w:color="auto" w:fill="auto"/>
            <w:vAlign w:val="center"/>
          </w:tcPr>
          <w:p w14:paraId="6CE8F9C6" w14:textId="77777777" w:rsidR="00AC7ED1" w:rsidRPr="00AC7ED1" w:rsidRDefault="00AC7ED1" w:rsidP="00864BBA">
            <w:pPr>
              <w:pStyle w:val="TblTextCenter"/>
              <w:rPr>
                <w:rFonts w:eastAsia="MS Mincho"/>
                <w:iCs/>
                <w:szCs w:val="24"/>
                <w:lang w:val="en-AU"/>
              </w:rPr>
            </w:pPr>
            <w:r w:rsidRPr="00AC7ED1">
              <w:rPr>
                <w:rFonts w:eastAsia="MS Mincho"/>
                <w:iCs/>
                <w:szCs w:val="24"/>
                <w:lang w:val="en-AU"/>
              </w:rPr>
              <w:t>0</w:t>
            </w:r>
          </w:p>
        </w:tc>
        <w:tc>
          <w:tcPr>
            <w:tcW w:w="1803" w:type="dxa"/>
            <w:tcBorders>
              <w:bottom w:val="single" w:sz="12" w:space="0" w:color="auto"/>
            </w:tcBorders>
            <w:shd w:val="clear" w:color="auto" w:fill="auto"/>
            <w:vAlign w:val="center"/>
          </w:tcPr>
          <w:p w14:paraId="40C30136" w14:textId="77777777" w:rsidR="00AC7ED1" w:rsidRPr="00AC7ED1" w:rsidRDefault="00AC7ED1" w:rsidP="00864BBA">
            <w:pPr>
              <w:pStyle w:val="TblTextCenter"/>
              <w:rPr>
                <w:rFonts w:eastAsia="MS Mincho"/>
                <w:iCs/>
                <w:szCs w:val="24"/>
                <w:lang w:val="en-AU"/>
              </w:rPr>
            </w:pPr>
            <w:r w:rsidRPr="00AC7ED1">
              <w:rPr>
                <w:rFonts w:eastAsia="MS Mincho"/>
                <w:iCs/>
                <w:szCs w:val="24"/>
                <w:lang w:val="en-AU"/>
              </w:rPr>
              <w:t>0.2</w:t>
            </w:r>
          </w:p>
        </w:tc>
        <w:tc>
          <w:tcPr>
            <w:tcW w:w="1804" w:type="dxa"/>
            <w:tcBorders>
              <w:bottom w:val="single" w:sz="12" w:space="0" w:color="auto"/>
            </w:tcBorders>
            <w:shd w:val="clear" w:color="auto" w:fill="auto"/>
            <w:vAlign w:val="center"/>
          </w:tcPr>
          <w:p w14:paraId="14125E32" w14:textId="77777777" w:rsidR="00AC7ED1" w:rsidRPr="00AC7ED1" w:rsidRDefault="00AC7ED1" w:rsidP="00864BBA">
            <w:pPr>
              <w:pStyle w:val="TblTextCenter"/>
              <w:rPr>
                <w:rFonts w:eastAsia="MS Mincho"/>
                <w:iCs/>
                <w:szCs w:val="24"/>
                <w:lang w:val="en-AU"/>
              </w:rPr>
            </w:pPr>
            <w:r w:rsidRPr="00AC7ED1">
              <w:rPr>
                <w:rFonts w:eastAsia="MS Mincho"/>
                <w:iCs/>
                <w:szCs w:val="24"/>
                <w:lang w:val="en-AU"/>
              </w:rPr>
              <w:t>0.3</w:t>
            </w:r>
          </w:p>
        </w:tc>
      </w:tr>
    </w:tbl>
    <w:p w14:paraId="0BD4C843" w14:textId="77777777" w:rsidR="00AC7ED1" w:rsidRPr="00AC7ED1" w:rsidRDefault="00AC7ED1" w:rsidP="005C4E5B">
      <w:pPr>
        <w:spacing w:before="120" w:after="120"/>
        <w:rPr>
          <w:lang w:val="en-AU"/>
        </w:rPr>
      </w:pPr>
    </w:p>
    <w:p w14:paraId="06EF5240" w14:textId="698AC5D7" w:rsidR="00A735D6" w:rsidRPr="00511840" w:rsidRDefault="00A735D6" w:rsidP="005C4E5B">
      <w:pPr>
        <w:spacing w:before="120" w:after="120"/>
        <w:rPr>
          <w:lang w:val="en-AU"/>
        </w:rPr>
      </w:pPr>
      <w:r w:rsidRPr="00511840">
        <w:rPr>
          <w:lang w:val="en-AU"/>
        </w:rPr>
        <w:t xml:space="preserve">In the 28 days following vaccination, one or more unsolicited adverse events occurred in 10.3% of </w:t>
      </w:r>
      <w:r w:rsidR="005C4E5B" w:rsidRPr="00511840">
        <w:rPr>
          <w:lang w:val="en-AU"/>
        </w:rPr>
        <w:t>Flublok Quadrivalent</w:t>
      </w:r>
      <w:r w:rsidRPr="00511840">
        <w:rPr>
          <w:lang w:val="en-AU"/>
        </w:rPr>
        <w:t xml:space="preserve"> and 10.5% of Comparator recipients in </w:t>
      </w:r>
      <w:r w:rsidR="005274FC">
        <w:rPr>
          <w:lang w:val="en-AU"/>
        </w:rPr>
        <w:t>PSC16</w:t>
      </w:r>
      <w:r w:rsidRPr="00511840">
        <w:rPr>
          <w:lang w:val="en-AU"/>
        </w:rPr>
        <w:t xml:space="preserve"> (adults 18-49 years of age) and in 13.9% of </w:t>
      </w:r>
      <w:r w:rsidR="005C4E5B" w:rsidRPr="00511840">
        <w:rPr>
          <w:lang w:val="en-AU"/>
        </w:rPr>
        <w:t>Flublok Quadrivalent</w:t>
      </w:r>
      <w:r w:rsidRPr="00511840">
        <w:rPr>
          <w:lang w:val="en-AU"/>
        </w:rPr>
        <w:t xml:space="preserve"> and 14.1% of Comparator recipients in </w:t>
      </w:r>
      <w:r w:rsidR="003429D6">
        <w:rPr>
          <w:lang w:val="en-AU"/>
        </w:rPr>
        <w:t xml:space="preserve">PSC12 </w:t>
      </w:r>
      <w:r w:rsidRPr="00511840">
        <w:rPr>
          <w:lang w:val="en-AU"/>
        </w:rPr>
        <w:t>(adults ≥</w:t>
      </w:r>
      <w:r w:rsidR="00E432F4">
        <w:rPr>
          <w:lang w:val="en-AU"/>
        </w:rPr>
        <w:t xml:space="preserve"> </w:t>
      </w:r>
      <w:r w:rsidRPr="00511840">
        <w:rPr>
          <w:lang w:val="en-AU"/>
        </w:rPr>
        <w:t>50 years of age). In both studies, rates of individual events were similar between treatment groups, and most events were mild to moderate in severity.</w:t>
      </w:r>
    </w:p>
    <w:p w14:paraId="1A97623B" w14:textId="346E5070" w:rsidR="008A694C" w:rsidRPr="00B05F5C" w:rsidRDefault="008A694C" w:rsidP="00B05F5C">
      <w:pPr>
        <w:pStyle w:val="Heading3"/>
        <w:numPr>
          <w:ilvl w:val="0"/>
          <w:numId w:val="0"/>
        </w:numPr>
        <w:ind w:left="680" w:hanging="680"/>
        <w:rPr>
          <w:lang w:val="en-AU"/>
        </w:rPr>
      </w:pPr>
      <w:r w:rsidRPr="00B05F5C">
        <w:rPr>
          <w:lang w:val="en-AU"/>
        </w:rPr>
        <w:t>Data from post-marketing experience</w:t>
      </w:r>
    </w:p>
    <w:p w14:paraId="605EF239" w14:textId="06AE300E" w:rsidR="008A694C" w:rsidRPr="00511840" w:rsidRDefault="008A694C" w:rsidP="008A694C">
      <w:pPr>
        <w:spacing w:before="120" w:after="120"/>
        <w:rPr>
          <w:lang w:val="en-AU"/>
        </w:rPr>
      </w:pPr>
      <w:r w:rsidRPr="00511840">
        <w:rPr>
          <w:lang w:val="en-AU"/>
        </w:rPr>
        <w:t xml:space="preserve">The following adverse events have been reported during the post-marketing use of Flublok Quadrivalent. Because these events are reported voluntarily from a population of uncertain size, it is not always possible to reliably estimate their frequency. </w:t>
      </w:r>
    </w:p>
    <w:p w14:paraId="357F51EB" w14:textId="77777777" w:rsidR="008A694C" w:rsidRPr="00320920" w:rsidRDefault="008A694C" w:rsidP="008A694C">
      <w:pPr>
        <w:pStyle w:val="ListParagraph"/>
        <w:numPr>
          <w:ilvl w:val="0"/>
          <w:numId w:val="1"/>
        </w:numPr>
        <w:spacing w:before="120" w:after="120"/>
        <w:rPr>
          <w:rFonts w:ascii="Times New Roman" w:hAnsi="Times New Roman"/>
          <w:lang w:val="en-AU"/>
        </w:rPr>
      </w:pPr>
      <w:r w:rsidRPr="00320920">
        <w:rPr>
          <w:rFonts w:ascii="Times New Roman" w:hAnsi="Times New Roman"/>
          <w:i/>
          <w:lang w:val="en-AU"/>
        </w:rPr>
        <w:t>Immune system disorders</w:t>
      </w:r>
      <w:r w:rsidRPr="00320920">
        <w:rPr>
          <w:rFonts w:ascii="Times New Roman" w:hAnsi="Times New Roman"/>
          <w:lang w:val="en-AU"/>
        </w:rPr>
        <w:t xml:space="preserve">: anaphylaxis, anaphylactoid reactions, allergic reactions, and other forms of hypersensitivity.  </w:t>
      </w:r>
    </w:p>
    <w:p w14:paraId="24530207" w14:textId="77777777" w:rsidR="0046644A" w:rsidRPr="00354153" w:rsidRDefault="0046644A" w:rsidP="0046644A">
      <w:pPr>
        <w:pStyle w:val="Heading3"/>
        <w:numPr>
          <w:ilvl w:val="0"/>
          <w:numId w:val="0"/>
        </w:numPr>
        <w:ind w:left="680" w:hanging="680"/>
        <w:rPr>
          <w:lang w:val="en-AU"/>
        </w:rPr>
      </w:pPr>
      <w:r w:rsidRPr="00354153">
        <w:rPr>
          <w:lang w:val="en-AU"/>
        </w:rPr>
        <w:t>Reporting suspected adverse effects</w:t>
      </w:r>
    </w:p>
    <w:p w14:paraId="2000656D" w14:textId="67DC9DF5" w:rsidR="009E4A3A" w:rsidRDefault="009E4A3A" w:rsidP="00E432F4">
      <w:pPr>
        <w:tabs>
          <w:tab w:val="left" w:pos="1440"/>
          <w:tab w:val="left" w:pos="2160"/>
        </w:tabs>
        <w:spacing w:before="120"/>
        <w:rPr>
          <w:lang w:val="en-AU"/>
        </w:rPr>
      </w:pPr>
      <w:r w:rsidRPr="00511840">
        <w:rPr>
          <w:lang w:val="en-AU"/>
        </w:rPr>
        <w:t xml:space="preserve">Reporting suspected adverse reactions after registration of the medicinal product is important. It allows continued monitoring of the benefit-risk balance of the medicinal product. </w:t>
      </w:r>
      <w:r w:rsidRPr="00511840">
        <w:rPr>
          <w:lang w:val="en-AU"/>
        </w:rPr>
        <w:lastRenderedPageBreak/>
        <w:t xml:space="preserve">Healthcare professionals are asked to report any suspected adverse reactions at </w:t>
      </w:r>
      <w:hyperlink r:id="rId8" w:history="1">
        <w:r w:rsidRPr="00511840">
          <w:rPr>
            <w:lang w:val="en-AU"/>
          </w:rPr>
          <w:t>www.tga.gov.au/reporting-problems</w:t>
        </w:r>
      </w:hyperlink>
      <w:r w:rsidR="00E432F4">
        <w:rPr>
          <w:lang w:val="en-AU"/>
        </w:rPr>
        <w:t>.</w:t>
      </w:r>
    </w:p>
    <w:p w14:paraId="24CDEDB4" w14:textId="77777777" w:rsidR="0046644A" w:rsidRPr="00511840" w:rsidRDefault="0046644A" w:rsidP="00E432F4">
      <w:pPr>
        <w:tabs>
          <w:tab w:val="left" w:pos="1440"/>
          <w:tab w:val="left" w:pos="2160"/>
        </w:tabs>
        <w:spacing w:before="120"/>
        <w:rPr>
          <w:lang w:val="en-AU"/>
        </w:rPr>
      </w:pPr>
    </w:p>
    <w:p w14:paraId="4A3FBF05" w14:textId="77777777" w:rsidR="001A3992" w:rsidRPr="00511840" w:rsidRDefault="001A3992" w:rsidP="00412545">
      <w:pPr>
        <w:pStyle w:val="Heading2"/>
        <w:keepLines/>
        <w:spacing w:before="0" w:after="120"/>
        <w:rPr>
          <w:lang w:val="en-AU"/>
        </w:rPr>
      </w:pPr>
      <w:r w:rsidRPr="00511840">
        <w:rPr>
          <w:lang w:val="en-AU"/>
        </w:rPr>
        <w:t>Overdose</w:t>
      </w:r>
    </w:p>
    <w:p w14:paraId="0A900B0C" w14:textId="4FE9A338" w:rsidR="009E4A3A" w:rsidRDefault="009E4A3A" w:rsidP="00412545">
      <w:pPr>
        <w:tabs>
          <w:tab w:val="left" w:pos="1440"/>
          <w:tab w:val="left" w:pos="2160"/>
        </w:tabs>
        <w:spacing w:before="120"/>
        <w:rPr>
          <w:lang w:val="en-AU"/>
        </w:rPr>
      </w:pPr>
      <w:r w:rsidRPr="00511840">
        <w:rPr>
          <w:lang w:val="en-AU"/>
        </w:rPr>
        <w:t>For</w:t>
      </w:r>
      <w:r w:rsidR="00A87C8F">
        <w:rPr>
          <w:lang w:val="en-AU"/>
        </w:rPr>
        <w:t xml:space="preserve"> information on the management of overdose, </w:t>
      </w:r>
      <w:r w:rsidRPr="00511840">
        <w:rPr>
          <w:lang w:val="en-AU"/>
        </w:rPr>
        <w:t>contact the Poisons Information Centre, telephone number 13 11 26.</w:t>
      </w:r>
    </w:p>
    <w:p w14:paraId="512782E5" w14:textId="77777777" w:rsidR="00DB0AF7" w:rsidRPr="00511840" w:rsidRDefault="00DB0AF7" w:rsidP="00412545">
      <w:pPr>
        <w:tabs>
          <w:tab w:val="left" w:pos="1440"/>
          <w:tab w:val="left" w:pos="2160"/>
        </w:tabs>
        <w:spacing w:before="120"/>
        <w:rPr>
          <w:lang w:val="en-AU"/>
        </w:rPr>
      </w:pPr>
    </w:p>
    <w:p w14:paraId="6C915FC9" w14:textId="77777777" w:rsidR="001A3992" w:rsidRPr="00511840" w:rsidRDefault="001A3992" w:rsidP="00412545">
      <w:pPr>
        <w:pStyle w:val="Heading1"/>
        <w:keepNext w:val="0"/>
        <w:pageBreakBefore w:val="0"/>
        <w:spacing w:before="0" w:after="120"/>
        <w:rPr>
          <w:lang w:val="en-AU"/>
        </w:rPr>
      </w:pPr>
      <w:r w:rsidRPr="00511840">
        <w:rPr>
          <w:lang w:val="en-AU"/>
        </w:rPr>
        <w:t>Pharmacological properties</w:t>
      </w:r>
    </w:p>
    <w:p w14:paraId="201491D1" w14:textId="77777777" w:rsidR="001A3992" w:rsidRPr="00511840" w:rsidRDefault="001A3992" w:rsidP="00412545">
      <w:pPr>
        <w:pStyle w:val="Heading2"/>
        <w:spacing w:before="0" w:after="120"/>
        <w:rPr>
          <w:lang w:val="en-AU"/>
        </w:rPr>
      </w:pPr>
      <w:r w:rsidRPr="00511840">
        <w:rPr>
          <w:lang w:val="en-AU"/>
        </w:rPr>
        <w:t xml:space="preserve">Pharmacodynamic properties </w:t>
      </w:r>
    </w:p>
    <w:p w14:paraId="502AB2B3" w14:textId="62E1AF37" w:rsidR="007E668E" w:rsidRPr="00511840" w:rsidRDefault="007E668E" w:rsidP="00412545">
      <w:pPr>
        <w:rPr>
          <w:lang w:val="en-AU"/>
        </w:rPr>
      </w:pPr>
      <w:r w:rsidRPr="00511840">
        <w:rPr>
          <w:lang w:val="en-AU"/>
        </w:rPr>
        <w:t xml:space="preserve">Pharmacotherapeutic group: </w:t>
      </w:r>
      <w:r w:rsidR="00A735D6" w:rsidRPr="00511840">
        <w:rPr>
          <w:lang w:val="en-AU"/>
        </w:rPr>
        <w:t>influenza</w:t>
      </w:r>
      <w:r w:rsidRPr="00511840">
        <w:rPr>
          <w:lang w:val="en-AU"/>
        </w:rPr>
        <w:t xml:space="preserve"> vaccine, ATC code: J07</w:t>
      </w:r>
      <w:r w:rsidR="00A735D6" w:rsidRPr="00511840">
        <w:rPr>
          <w:lang w:val="en-AU"/>
        </w:rPr>
        <w:t>BB</w:t>
      </w:r>
      <w:r w:rsidR="00C25CE9">
        <w:rPr>
          <w:lang w:val="en-AU"/>
        </w:rPr>
        <w:t>04</w:t>
      </w:r>
    </w:p>
    <w:p w14:paraId="2403524F" w14:textId="10DC6199" w:rsidR="0024632F" w:rsidRPr="00B05F5C" w:rsidRDefault="0024632F" w:rsidP="00B05F5C">
      <w:pPr>
        <w:pStyle w:val="Heading3"/>
        <w:numPr>
          <w:ilvl w:val="0"/>
          <w:numId w:val="0"/>
        </w:numPr>
        <w:ind w:left="680" w:hanging="680"/>
        <w:rPr>
          <w:lang w:val="en-AU"/>
        </w:rPr>
      </w:pPr>
      <w:r w:rsidRPr="00B05F5C">
        <w:rPr>
          <w:lang w:val="en-AU"/>
        </w:rPr>
        <w:t>Mechanism of action</w:t>
      </w:r>
    </w:p>
    <w:p w14:paraId="45F26433" w14:textId="77777777" w:rsidR="00AC7ED1" w:rsidRDefault="008A694C" w:rsidP="00AC7ED1">
      <w:pPr>
        <w:spacing w:before="120" w:after="120"/>
        <w:rPr>
          <w:lang w:val="en-AU"/>
        </w:rPr>
      </w:pPr>
      <w:r w:rsidRPr="00511840">
        <w:rPr>
          <w:lang w:val="en-AU"/>
        </w:rPr>
        <w:t xml:space="preserve">Flublok Quadrivalent contains recombinant HA proteins of the four strains of influenza virus specified by health authorities for inclusion in the annual seasonal vaccine.  </w:t>
      </w:r>
    </w:p>
    <w:p w14:paraId="1648E2DD" w14:textId="4E314331" w:rsidR="008A694C" w:rsidRPr="00AC7ED1" w:rsidRDefault="00AC7ED1" w:rsidP="00AC7ED1">
      <w:pPr>
        <w:spacing w:before="120" w:after="120"/>
      </w:pPr>
      <w:r w:rsidRPr="00AC7ED1">
        <w:t>Using the recombinant production technology, the HA in Flublok Quadrivalent has an identical primary structure to the HA in the wild type virus strains selected for seasonal vaccines without the mutations that may occur when the virus is adapted to grow in a culture matrix that is foreign to the wild-type strain. This assures the vaccine viral strains represent antigens that are an exact match to the WHO selected strains which induce the desired humoral immune response</w:t>
      </w:r>
      <w:r w:rsidR="00F10A64">
        <w:t xml:space="preserve"> </w:t>
      </w:r>
      <w:r w:rsidRPr="00AC7ED1">
        <w:t>(as</w:t>
      </w:r>
      <w:r w:rsidR="008A694C" w:rsidRPr="00AC7ED1">
        <w:t xml:space="preserve"> measured by HI antibody that is known to protect against influenza infection</w:t>
      </w:r>
      <w:r w:rsidRPr="00AC7ED1">
        <w:t>)</w:t>
      </w:r>
      <w:r w:rsidR="008A694C" w:rsidRPr="00AC7ED1">
        <w:t>.</w:t>
      </w:r>
    </w:p>
    <w:p w14:paraId="053408E9" w14:textId="13708A27" w:rsidR="008A694C" w:rsidRPr="00511840" w:rsidRDefault="008A694C" w:rsidP="00AC7ED1">
      <w:pPr>
        <w:spacing w:before="120" w:after="120"/>
        <w:rPr>
          <w:lang w:val="en-AU"/>
        </w:rPr>
      </w:pPr>
      <w:r w:rsidRPr="00511840">
        <w:rPr>
          <w:lang w:val="en-AU"/>
        </w:rPr>
        <w:t>Antibodies against one influenza virus type or subtype confer limited or no protection against another. Furthermore, antibodies to one antigenic variant of influenza virus might not protect against a new antigenic variant of the same type or subtype.  Frequent development of antigenic variants through antigenic drift is the virologic basis for seasonal epidemics and the reason for the usual replacement of one or more influenza virus strains in each year's influenza vaccine.  Therefore, influenza vaccines are standardi</w:t>
      </w:r>
      <w:r w:rsidR="00A87C8F">
        <w:rPr>
          <w:lang w:val="en-AU"/>
        </w:rPr>
        <w:t>s</w:t>
      </w:r>
      <w:r w:rsidRPr="00511840">
        <w:rPr>
          <w:lang w:val="en-AU"/>
        </w:rPr>
        <w:t xml:space="preserve">ed to contain the hemagglutinins of influenza virus strains (i.e., typically two type A and two type B), representing the influenza viruses likely to be circulating in the upcoming season. </w:t>
      </w:r>
    </w:p>
    <w:p w14:paraId="38469734" w14:textId="21F83BB0" w:rsidR="008A694C" w:rsidRDefault="008A694C" w:rsidP="00AC7ED1">
      <w:pPr>
        <w:spacing w:before="120" w:after="120"/>
        <w:rPr>
          <w:lang w:val="en-AU"/>
        </w:rPr>
      </w:pPr>
      <w:r w:rsidRPr="00511840">
        <w:rPr>
          <w:lang w:val="en-AU"/>
        </w:rPr>
        <w:t>Annual influenza vaccination is recommended because immunity during the year after vaccination declines and because circulating strains of influenza virus change from year to year.</w:t>
      </w:r>
    </w:p>
    <w:p w14:paraId="2E79706D" w14:textId="73D56614" w:rsidR="001A3992" w:rsidRPr="00B05F5C" w:rsidRDefault="001A3992" w:rsidP="00B05F5C">
      <w:pPr>
        <w:pStyle w:val="Heading3"/>
        <w:numPr>
          <w:ilvl w:val="0"/>
          <w:numId w:val="0"/>
        </w:numPr>
        <w:ind w:left="680" w:hanging="680"/>
        <w:rPr>
          <w:lang w:val="en-AU"/>
        </w:rPr>
      </w:pPr>
      <w:r w:rsidRPr="00B05F5C">
        <w:rPr>
          <w:lang w:val="en-AU"/>
        </w:rPr>
        <w:t>Clinical trials</w:t>
      </w:r>
    </w:p>
    <w:p w14:paraId="7735B5DE" w14:textId="77777777" w:rsidR="00A3615D" w:rsidRPr="00511840" w:rsidRDefault="00A3615D" w:rsidP="00B05F5C">
      <w:pPr>
        <w:pStyle w:val="Heading4"/>
        <w:numPr>
          <w:ilvl w:val="0"/>
          <w:numId w:val="0"/>
        </w:numPr>
        <w:ind w:left="862" w:hanging="862"/>
        <w:rPr>
          <w:lang w:val="en-AU"/>
        </w:rPr>
      </w:pPr>
      <w:r w:rsidRPr="00511840">
        <w:rPr>
          <w:lang w:val="en-AU"/>
        </w:rPr>
        <w:t xml:space="preserve">Immunogenicity </w:t>
      </w:r>
      <w:bookmarkStart w:id="6" w:name="15.2.1_Immunogenicity_of_“Trade_Name”_in"/>
      <w:bookmarkEnd w:id="6"/>
    </w:p>
    <w:p w14:paraId="628EEB79" w14:textId="09695171" w:rsidR="00A3615D" w:rsidRPr="00511840" w:rsidRDefault="00A3615D" w:rsidP="00A3615D">
      <w:pPr>
        <w:autoSpaceDE w:val="0"/>
        <w:autoSpaceDN w:val="0"/>
        <w:adjustRightInd w:val="0"/>
        <w:spacing w:before="120" w:after="120"/>
        <w:rPr>
          <w:lang w:val="en-AU"/>
        </w:rPr>
      </w:pPr>
      <w:r w:rsidRPr="00511840">
        <w:rPr>
          <w:lang w:val="en-AU"/>
        </w:rPr>
        <w:t>Immunogenicity of Flublok Quadrivalent was evaluated in healthy adults of 18-49 years of age in a randomi</w:t>
      </w:r>
      <w:r w:rsidR="00A87C8F">
        <w:rPr>
          <w:lang w:val="en-AU"/>
        </w:rPr>
        <w:t>s</w:t>
      </w:r>
      <w:r w:rsidRPr="00511840">
        <w:rPr>
          <w:lang w:val="en-AU"/>
        </w:rPr>
        <w:t>ed, observer-blind, active controlled, multi-centre trial conducted during the 2014-2015 influenza season (</w:t>
      </w:r>
      <w:r w:rsidR="005274FC">
        <w:rPr>
          <w:lang w:val="en-AU"/>
        </w:rPr>
        <w:t>PSC16</w:t>
      </w:r>
      <w:r w:rsidRPr="00511840">
        <w:rPr>
          <w:lang w:val="en-AU"/>
        </w:rPr>
        <w:t xml:space="preserve">). </w:t>
      </w:r>
    </w:p>
    <w:p w14:paraId="1FEC7B78" w14:textId="2FD9FDCF" w:rsidR="00A3615D" w:rsidRPr="00511840" w:rsidRDefault="00A3615D" w:rsidP="00A3615D">
      <w:pPr>
        <w:autoSpaceDE w:val="0"/>
        <w:autoSpaceDN w:val="0"/>
        <w:adjustRightInd w:val="0"/>
        <w:spacing w:before="120" w:after="120"/>
        <w:rPr>
          <w:lang w:val="en-AU"/>
        </w:rPr>
      </w:pPr>
      <w:r w:rsidRPr="00511840">
        <w:rPr>
          <w:lang w:val="en-AU"/>
        </w:rPr>
        <w:t>In</w:t>
      </w:r>
      <w:r w:rsidR="00541139">
        <w:rPr>
          <w:lang w:val="en-AU"/>
        </w:rPr>
        <w:t xml:space="preserve"> </w:t>
      </w:r>
      <w:r w:rsidR="005274FC">
        <w:rPr>
          <w:lang w:val="en-AU"/>
        </w:rPr>
        <w:t>PSC16</w:t>
      </w:r>
      <w:r w:rsidRPr="00511840">
        <w:rPr>
          <w:lang w:val="en-AU"/>
        </w:rPr>
        <w:t xml:space="preserve">, subjects received Flublok Quadrivalent (N=998) or the comparator </w:t>
      </w:r>
      <w:r w:rsidR="00A87C8F">
        <w:rPr>
          <w:lang w:val="en-AU"/>
        </w:rPr>
        <w:t>q</w:t>
      </w:r>
      <w:r w:rsidRPr="00511840">
        <w:rPr>
          <w:lang w:val="en-AU"/>
        </w:rPr>
        <w:t>uadrivalent inactivated influenza vaccine (IIV4) (N=332)</w:t>
      </w:r>
      <w:r w:rsidR="00A87C8F">
        <w:rPr>
          <w:lang w:val="en-AU"/>
        </w:rPr>
        <w:t xml:space="preserve"> licensed in US and </w:t>
      </w:r>
      <w:r w:rsidR="00A87C8F" w:rsidRPr="00541139">
        <w:rPr>
          <w:lang w:val="en-AU"/>
        </w:rPr>
        <w:t>Australia</w:t>
      </w:r>
      <w:r w:rsidRPr="00541139">
        <w:rPr>
          <w:lang w:val="en-AU"/>
        </w:rPr>
        <w:t>. Immunogenicity</w:t>
      </w:r>
      <w:r w:rsidRPr="00511840">
        <w:rPr>
          <w:lang w:val="en-AU"/>
        </w:rPr>
        <w:t xml:space="preserve"> was assessed before and 28 days after administration of a single dose of study vaccine.</w:t>
      </w:r>
    </w:p>
    <w:p w14:paraId="4E495D65" w14:textId="391F0E58" w:rsidR="00A3615D" w:rsidRPr="00511840" w:rsidRDefault="00A3615D" w:rsidP="00A3615D">
      <w:pPr>
        <w:autoSpaceDE w:val="0"/>
        <w:autoSpaceDN w:val="0"/>
        <w:adjustRightInd w:val="0"/>
        <w:spacing w:before="120" w:after="120"/>
        <w:rPr>
          <w:lang w:val="en-AU"/>
        </w:rPr>
      </w:pPr>
      <w:r w:rsidRPr="00511840">
        <w:rPr>
          <w:lang w:val="en-AU"/>
        </w:rPr>
        <w:lastRenderedPageBreak/>
        <w:t>HI geometric mean titr</w:t>
      </w:r>
      <w:r w:rsidR="00A87C8F">
        <w:rPr>
          <w:lang w:val="en-AU"/>
        </w:rPr>
        <w:t>e</w:t>
      </w:r>
      <w:r w:rsidRPr="00511840">
        <w:rPr>
          <w:lang w:val="en-AU"/>
        </w:rPr>
        <w:t>s (GMTs) were determined for the two vaccine groups for each vaccine antigen. Immunogenicity was compared by calculating the difference in seroconversion rates (SCR) and the ratios of GMTs of Comparator to Flublok Quadrivalent. Seroconversion was defined as either a pre-vaccination HI titre of &lt;</w:t>
      </w:r>
      <w:r w:rsidR="00A87C8F">
        <w:rPr>
          <w:lang w:val="en-AU"/>
        </w:rPr>
        <w:t xml:space="preserve"> </w:t>
      </w:r>
      <w:r w:rsidRPr="00511840">
        <w:rPr>
          <w:lang w:val="en-AU"/>
        </w:rPr>
        <w:t>1:10 and a post-vaccination HI titre of ≥</w:t>
      </w:r>
      <w:r w:rsidR="00A87C8F">
        <w:rPr>
          <w:lang w:val="en-AU"/>
        </w:rPr>
        <w:t xml:space="preserve"> </w:t>
      </w:r>
      <w:r w:rsidRPr="00511840">
        <w:rPr>
          <w:lang w:val="en-AU"/>
        </w:rPr>
        <w:t>1:40, or a pre-vaccination HI titre of ≥</w:t>
      </w:r>
      <w:r w:rsidR="00A87C8F">
        <w:rPr>
          <w:lang w:val="en-AU"/>
        </w:rPr>
        <w:t xml:space="preserve"> </w:t>
      </w:r>
      <w:r w:rsidRPr="00511840">
        <w:rPr>
          <w:lang w:val="en-AU"/>
        </w:rPr>
        <w:t>1:10 and a minimum 4- fold rise in post vaccination HI titre, at Day 28.</w:t>
      </w:r>
    </w:p>
    <w:p w14:paraId="6F90CB5F" w14:textId="7FEF357A" w:rsidR="00A3615D" w:rsidRDefault="005274FC" w:rsidP="00A3615D">
      <w:pPr>
        <w:autoSpaceDE w:val="0"/>
        <w:autoSpaceDN w:val="0"/>
        <w:adjustRightInd w:val="0"/>
        <w:spacing w:before="120" w:after="120"/>
        <w:rPr>
          <w:lang w:val="en-AU"/>
        </w:rPr>
      </w:pPr>
      <w:r>
        <w:rPr>
          <w:lang w:val="en-AU"/>
        </w:rPr>
        <w:t>PSC16</w:t>
      </w:r>
      <w:r w:rsidR="00A3615D" w:rsidRPr="00511840">
        <w:rPr>
          <w:lang w:val="en-AU"/>
        </w:rPr>
        <w:t xml:space="preserve"> had </w:t>
      </w:r>
      <w:r w:rsidR="00C410EA" w:rsidRPr="00354153">
        <w:rPr>
          <w:lang w:val="en-AU"/>
        </w:rPr>
        <w:t xml:space="preserve">eight </w:t>
      </w:r>
      <w:r w:rsidR="00A3615D" w:rsidRPr="00511840">
        <w:rPr>
          <w:lang w:val="en-AU"/>
        </w:rPr>
        <w:t xml:space="preserve">co-primary endpoints: GMTs and Day 28 HI seroconversion rates for each of the four antigens contained in the study vaccines. </w:t>
      </w:r>
    </w:p>
    <w:p w14:paraId="20D6F9FE" w14:textId="41766BF7" w:rsidR="00A3615D" w:rsidRPr="00511840" w:rsidRDefault="00A3615D" w:rsidP="00A3615D">
      <w:pPr>
        <w:autoSpaceDE w:val="0"/>
        <w:autoSpaceDN w:val="0"/>
        <w:adjustRightInd w:val="0"/>
        <w:spacing w:before="120" w:after="120"/>
        <w:rPr>
          <w:lang w:val="en-AU"/>
        </w:rPr>
      </w:pPr>
      <w:r w:rsidRPr="00511840">
        <w:rPr>
          <w:lang w:val="en-AU"/>
        </w:rPr>
        <w:t>Success in meeting the GMTs endpoint was pre-defined as an upper bound (UB) of the two-sided 95% CI of GMT</w:t>
      </w:r>
      <w:r w:rsidR="00320920">
        <w:rPr>
          <w:lang w:val="en-AU"/>
        </w:rPr>
        <w:t xml:space="preserve"> </w:t>
      </w:r>
      <w:r w:rsidRPr="00511840">
        <w:rPr>
          <w:vertAlign w:val="subscript"/>
          <w:lang w:val="en-AU"/>
        </w:rPr>
        <w:t>Comparator</w:t>
      </w:r>
      <w:r w:rsidRPr="00511840">
        <w:rPr>
          <w:lang w:val="en-AU"/>
        </w:rPr>
        <w:t xml:space="preserve"> / GMT </w:t>
      </w:r>
      <w:r w:rsidRPr="00511840">
        <w:rPr>
          <w:vertAlign w:val="subscript"/>
          <w:lang w:val="en-AU"/>
        </w:rPr>
        <w:t>Flublok Quadrivalent</w:t>
      </w:r>
      <w:r w:rsidRPr="00511840">
        <w:rPr>
          <w:lang w:val="en-AU"/>
        </w:rPr>
        <w:t xml:space="preserve">  ≤ 1.5. Flublok Quadrivalent met the success criterion for GMTs for three of the four antigens.  The very low titres in both vaccine groups yielded a ratio that did not meet the success criteria for the B/Victoria lineage antigen (</w:t>
      </w:r>
      <w:r w:rsidRPr="00511840">
        <w:rPr>
          <w:color w:val="0000FF"/>
          <w:lang w:val="en-AU"/>
        </w:rPr>
        <w:fldChar w:fldCharType="begin"/>
      </w:r>
      <w:r w:rsidRPr="00511840">
        <w:rPr>
          <w:color w:val="0000FF"/>
          <w:lang w:val="en-AU"/>
        </w:rPr>
        <w:instrText xml:space="preserve"> REF _Ref20408093 \h  \* MERGEFORMAT </w:instrText>
      </w:r>
      <w:r w:rsidRPr="00511840">
        <w:rPr>
          <w:color w:val="0000FF"/>
          <w:lang w:val="en-AU"/>
        </w:rPr>
      </w:r>
      <w:r w:rsidRPr="00511840">
        <w:rPr>
          <w:color w:val="0000FF"/>
          <w:lang w:val="en-AU"/>
        </w:rPr>
        <w:fldChar w:fldCharType="separate"/>
      </w:r>
      <w:r w:rsidR="008266B0" w:rsidRPr="008266B0">
        <w:rPr>
          <w:color w:val="0000FF"/>
          <w:lang w:val="en-AU"/>
        </w:rPr>
        <w:t>Table 4</w:t>
      </w:r>
      <w:r w:rsidRPr="00511840">
        <w:rPr>
          <w:color w:val="0000FF"/>
          <w:lang w:val="en-AU"/>
        </w:rPr>
        <w:fldChar w:fldCharType="end"/>
      </w:r>
      <w:r w:rsidRPr="00511840">
        <w:rPr>
          <w:lang w:val="en-AU"/>
        </w:rPr>
        <w:t>).</w:t>
      </w:r>
    </w:p>
    <w:p w14:paraId="4EABC712" w14:textId="57314A70" w:rsidR="00A3615D" w:rsidRPr="00511840" w:rsidRDefault="00A3615D" w:rsidP="00A3615D">
      <w:pPr>
        <w:pStyle w:val="Caption"/>
        <w:rPr>
          <w:b w:val="0"/>
          <w:sz w:val="22"/>
          <w:lang w:val="en-AU"/>
        </w:rPr>
      </w:pPr>
      <w:r w:rsidRPr="00511840">
        <w:rPr>
          <w:b w:val="0"/>
          <w:sz w:val="22"/>
          <w:lang w:val="en-AU"/>
        </w:rPr>
        <w:t xml:space="preserve"> </w:t>
      </w:r>
      <w:bookmarkStart w:id="7" w:name="_Ref20408093"/>
      <w:r w:rsidRPr="00511840">
        <w:rPr>
          <w:lang w:val="en-AU"/>
        </w:rPr>
        <w:t>Table </w:t>
      </w:r>
      <w:r w:rsidRPr="00511840">
        <w:rPr>
          <w:lang w:val="en-AU"/>
        </w:rPr>
        <w:fldChar w:fldCharType="begin"/>
      </w:r>
      <w:r w:rsidRPr="00511840">
        <w:rPr>
          <w:lang w:val="en-AU"/>
        </w:rPr>
        <w:instrText xml:space="preserve"> SEQ Table \* ARABIC </w:instrText>
      </w:r>
      <w:r w:rsidRPr="00511840">
        <w:rPr>
          <w:lang w:val="en-AU"/>
        </w:rPr>
        <w:fldChar w:fldCharType="separate"/>
      </w:r>
      <w:r w:rsidR="008266B0">
        <w:rPr>
          <w:noProof/>
          <w:lang w:val="en-AU"/>
        </w:rPr>
        <w:t>4</w:t>
      </w:r>
      <w:r w:rsidRPr="00511840">
        <w:rPr>
          <w:lang w:val="en-AU"/>
        </w:rPr>
        <w:fldChar w:fldCharType="end"/>
      </w:r>
      <w:bookmarkEnd w:id="7"/>
      <w:r w:rsidRPr="00511840">
        <w:rPr>
          <w:lang w:val="en-AU"/>
        </w:rPr>
        <w:t xml:space="preserve"> ­ Comparison of Day 28 Post-Vaccination GMT for Flublok Quadrivalent and Comparator in Adults 18-49 Years of Age, </w:t>
      </w:r>
      <w:r w:rsidR="005274FC">
        <w:rPr>
          <w:lang w:val="en-AU"/>
        </w:rPr>
        <w:t>PSC16</w:t>
      </w:r>
      <w:r w:rsidR="00541139">
        <w:rPr>
          <w:lang w:val="en-AU"/>
        </w:rPr>
        <w:t xml:space="preserve"> </w:t>
      </w:r>
      <w:r w:rsidRPr="00511840">
        <w:rPr>
          <w:lang w:val="en-AU"/>
        </w:rPr>
        <w:t>(Immunogenicity Population)</w:t>
      </w:r>
      <w:r w:rsidRPr="00511840">
        <w:rPr>
          <w:vertAlign w:val="superscript"/>
          <w:lang w:val="en-AU"/>
        </w:rPr>
        <w:t>1,2</w:t>
      </w:r>
    </w:p>
    <w:tbl>
      <w:tblPr>
        <w:tblW w:w="5000" w:type="pct"/>
        <w:jc w:val="center"/>
        <w:tblBorders>
          <w:top w:val="single" w:sz="2" w:space="0" w:color="000000"/>
        </w:tblBorders>
        <w:tblLook w:val="04A0" w:firstRow="1" w:lastRow="0" w:firstColumn="1" w:lastColumn="0" w:noHBand="0" w:noVBand="1"/>
      </w:tblPr>
      <w:tblGrid>
        <w:gridCol w:w="1119"/>
        <w:gridCol w:w="2829"/>
        <w:gridCol w:w="2684"/>
        <w:gridCol w:w="2394"/>
      </w:tblGrid>
      <w:tr w:rsidR="00A3615D" w:rsidRPr="00511840" w14:paraId="5C9971EC" w14:textId="77777777" w:rsidTr="003E1CF4">
        <w:trPr>
          <w:cantSplit/>
          <w:tblHeader/>
          <w:jc w:val="center"/>
        </w:trPr>
        <w:tc>
          <w:tcPr>
            <w:tcW w:w="620" w:type="pct"/>
            <w:tcBorders>
              <w:top w:val="single" w:sz="4" w:space="0" w:color="000000"/>
              <w:bottom w:val="single" w:sz="4" w:space="0" w:color="000000"/>
            </w:tcBorders>
            <w:shd w:val="clear" w:color="auto" w:fill="auto"/>
            <w:vAlign w:val="center"/>
          </w:tcPr>
          <w:p w14:paraId="2F00E9A9" w14:textId="77777777" w:rsidR="00A3615D" w:rsidRPr="00511840" w:rsidRDefault="00A3615D" w:rsidP="003E1CF4">
            <w:pPr>
              <w:pStyle w:val="TblHeadingCenter"/>
            </w:pPr>
            <w:r w:rsidRPr="00511840">
              <w:t>Antigen</w:t>
            </w:r>
          </w:p>
        </w:tc>
        <w:tc>
          <w:tcPr>
            <w:tcW w:w="1567" w:type="pct"/>
            <w:tcBorders>
              <w:top w:val="single" w:sz="4" w:space="0" w:color="000000"/>
              <w:bottom w:val="single" w:sz="4" w:space="0" w:color="000000"/>
            </w:tcBorders>
            <w:shd w:val="clear" w:color="auto" w:fill="auto"/>
            <w:vAlign w:val="center"/>
          </w:tcPr>
          <w:p w14:paraId="2E115DB0" w14:textId="77777777" w:rsidR="00A3615D" w:rsidRPr="00511840" w:rsidRDefault="00A3615D" w:rsidP="003E1CF4">
            <w:pPr>
              <w:pStyle w:val="TblHeadingCenter"/>
            </w:pPr>
            <w:r w:rsidRPr="00511840">
              <w:t>Post-vaccination GMT Flublok Quadrivalent</w:t>
            </w:r>
          </w:p>
          <w:p w14:paraId="5110D65B" w14:textId="05DDEE73" w:rsidR="00A3615D" w:rsidRPr="00511840" w:rsidRDefault="00A3615D" w:rsidP="003E1CF4">
            <w:pPr>
              <w:pStyle w:val="TblHeadingCenter"/>
            </w:pPr>
            <w:r w:rsidRPr="00511840">
              <w:t xml:space="preserve"> N=969</w:t>
            </w:r>
          </w:p>
        </w:tc>
        <w:tc>
          <w:tcPr>
            <w:tcW w:w="1487" w:type="pct"/>
            <w:tcBorders>
              <w:top w:val="single" w:sz="4" w:space="0" w:color="000000"/>
              <w:bottom w:val="single" w:sz="4" w:space="0" w:color="000000"/>
            </w:tcBorders>
            <w:shd w:val="clear" w:color="auto" w:fill="auto"/>
            <w:vAlign w:val="center"/>
          </w:tcPr>
          <w:p w14:paraId="0DFC325C" w14:textId="77777777" w:rsidR="00A3615D" w:rsidRPr="00511840" w:rsidRDefault="00A3615D" w:rsidP="003E1CF4">
            <w:pPr>
              <w:pStyle w:val="TblHeadingCenter"/>
            </w:pPr>
            <w:r w:rsidRPr="00511840">
              <w:t>Post-vaccination GMT Comparator N=323</w:t>
            </w:r>
          </w:p>
        </w:tc>
        <w:tc>
          <w:tcPr>
            <w:tcW w:w="1327" w:type="pct"/>
            <w:tcBorders>
              <w:top w:val="single" w:sz="4" w:space="0" w:color="000000"/>
              <w:bottom w:val="single" w:sz="4" w:space="0" w:color="000000"/>
            </w:tcBorders>
            <w:shd w:val="clear" w:color="auto" w:fill="auto"/>
          </w:tcPr>
          <w:p w14:paraId="27F542F4" w14:textId="77777777" w:rsidR="00A3615D" w:rsidRPr="00511840" w:rsidRDefault="00A3615D" w:rsidP="003E1CF4">
            <w:pPr>
              <w:pStyle w:val="TblHeadingCenter"/>
            </w:pPr>
            <w:r w:rsidRPr="00511840">
              <w:t xml:space="preserve">GMT Ratio </w:t>
            </w:r>
          </w:p>
          <w:p w14:paraId="6955BE91" w14:textId="77777777" w:rsidR="00A3615D" w:rsidRPr="00511840" w:rsidRDefault="00A3615D" w:rsidP="003E1CF4">
            <w:pPr>
              <w:pStyle w:val="TblHeadingCenter"/>
            </w:pPr>
            <w:r w:rsidRPr="00511840">
              <w:t xml:space="preserve">Comparator/ Flublok Quadrivalent </w:t>
            </w:r>
          </w:p>
          <w:p w14:paraId="1F24A9F9" w14:textId="288AA12B" w:rsidR="00A3615D" w:rsidRPr="00511840" w:rsidRDefault="00A3615D" w:rsidP="003E1CF4">
            <w:pPr>
              <w:pStyle w:val="TblHeadingCenter"/>
            </w:pPr>
            <w:r w:rsidRPr="00511840">
              <w:t>(95% CI)</w:t>
            </w:r>
          </w:p>
        </w:tc>
      </w:tr>
      <w:tr w:rsidR="00A3615D" w:rsidRPr="00511840" w14:paraId="31D2FB0A" w14:textId="77777777" w:rsidTr="003E1CF4">
        <w:trPr>
          <w:cantSplit/>
          <w:jc w:val="center"/>
        </w:trPr>
        <w:tc>
          <w:tcPr>
            <w:tcW w:w="620" w:type="pct"/>
            <w:tcBorders>
              <w:top w:val="single" w:sz="4" w:space="0" w:color="000000"/>
            </w:tcBorders>
            <w:shd w:val="clear" w:color="auto" w:fill="auto"/>
            <w:vAlign w:val="center"/>
          </w:tcPr>
          <w:p w14:paraId="05B45AFB" w14:textId="77777777" w:rsidR="00A3615D" w:rsidRPr="003E1CF4" w:rsidRDefault="00A3615D" w:rsidP="003E1CF4">
            <w:pPr>
              <w:pStyle w:val="TblTextCenter"/>
            </w:pPr>
            <w:r w:rsidRPr="003E1CF4">
              <w:t>A/H1N1</w:t>
            </w:r>
          </w:p>
        </w:tc>
        <w:tc>
          <w:tcPr>
            <w:tcW w:w="1567" w:type="pct"/>
            <w:tcBorders>
              <w:top w:val="single" w:sz="4" w:space="0" w:color="000000"/>
            </w:tcBorders>
            <w:shd w:val="clear" w:color="auto" w:fill="auto"/>
            <w:vAlign w:val="center"/>
          </w:tcPr>
          <w:p w14:paraId="73130667" w14:textId="77777777" w:rsidR="00A3615D" w:rsidRPr="003E1CF4" w:rsidRDefault="00A3615D" w:rsidP="003E1CF4">
            <w:pPr>
              <w:pStyle w:val="TblTextCenter"/>
            </w:pPr>
            <w:r w:rsidRPr="003E1CF4">
              <w:t>493</w:t>
            </w:r>
          </w:p>
        </w:tc>
        <w:tc>
          <w:tcPr>
            <w:tcW w:w="1487" w:type="pct"/>
            <w:tcBorders>
              <w:top w:val="single" w:sz="4" w:space="0" w:color="000000"/>
            </w:tcBorders>
            <w:shd w:val="clear" w:color="auto" w:fill="auto"/>
            <w:vAlign w:val="center"/>
          </w:tcPr>
          <w:p w14:paraId="3BE9989A" w14:textId="77777777" w:rsidR="00A3615D" w:rsidRPr="003E1CF4" w:rsidRDefault="00A3615D" w:rsidP="003E1CF4">
            <w:pPr>
              <w:pStyle w:val="TblTextCenter"/>
            </w:pPr>
            <w:r w:rsidRPr="003E1CF4">
              <w:t>397</w:t>
            </w:r>
          </w:p>
        </w:tc>
        <w:tc>
          <w:tcPr>
            <w:tcW w:w="1327" w:type="pct"/>
            <w:tcBorders>
              <w:top w:val="single" w:sz="4" w:space="0" w:color="000000"/>
            </w:tcBorders>
            <w:shd w:val="clear" w:color="auto" w:fill="auto"/>
          </w:tcPr>
          <w:p w14:paraId="0B90171A" w14:textId="77777777" w:rsidR="00A3615D" w:rsidRPr="003E1CF4" w:rsidRDefault="00A3615D" w:rsidP="003E1CF4">
            <w:pPr>
              <w:pStyle w:val="TblTextCenter"/>
            </w:pPr>
            <w:r w:rsidRPr="003E1CF4">
              <w:t>0.81 (0.71, 0.92)</w:t>
            </w:r>
          </w:p>
        </w:tc>
      </w:tr>
      <w:tr w:rsidR="00A3615D" w:rsidRPr="00511840" w14:paraId="7D23EABF" w14:textId="77777777" w:rsidTr="003E1CF4">
        <w:trPr>
          <w:cantSplit/>
          <w:jc w:val="center"/>
        </w:trPr>
        <w:tc>
          <w:tcPr>
            <w:tcW w:w="620" w:type="pct"/>
            <w:shd w:val="clear" w:color="auto" w:fill="auto"/>
            <w:vAlign w:val="center"/>
          </w:tcPr>
          <w:p w14:paraId="05F58A20" w14:textId="77777777" w:rsidR="00A3615D" w:rsidRPr="003E1CF4" w:rsidRDefault="00A3615D" w:rsidP="003E1CF4">
            <w:pPr>
              <w:pStyle w:val="TblTextCenter"/>
            </w:pPr>
            <w:r w:rsidRPr="003E1CF4">
              <w:t>A/H3N2</w:t>
            </w:r>
          </w:p>
        </w:tc>
        <w:tc>
          <w:tcPr>
            <w:tcW w:w="1567" w:type="pct"/>
            <w:shd w:val="clear" w:color="auto" w:fill="auto"/>
            <w:vAlign w:val="center"/>
          </w:tcPr>
          <w:p w14:paraId="37C098C9" w14:textId="77777777" w:rsidR="00A3615D" w:rsidRPr="003E1CF4" w:rsidRDefault="00A3615D" w:rsidP="003E1CF4">
            <w:pPr>
              <w:pStyle w:val="TblTextCenter"/>
            </w:pPr>
            <w:r w:rsidRPr="003E1CF4">
              <w:t>748</w:t>
            </w:r>
          </w:p>
        </w:tc>
        <w:tc>
          <w:tcPr>
            <w:tcW w:w="1487" w:type="pct"/>
            <w:shd w:val="clear" w:color="auto" w:fill="auto"/>
            <w:vAlign w:val="center"/>
          </w:tcPr>
          <w:p w14:paraId="72B22278" w14:textId="77777777" w:rsidR="00A3615D" w:rsidRPr="003E1CF4" w:rsidRDefault="00A3615D" w:rsidP="003E1CF4">
            <w:pPr>
              <w:pStyle w:val="TblTextCenter"/>
            </w:pPr>
            <w:r w:rsidRPr="003E1CF4">
              <w:t>377</w:t>
            </w:r>
          </w:p>
        </w:tc>
        <w:tc>
          <w:tcPr>
            <w:tcW w:w="1327" w:type="pct"/>
            <w:shd w:val="clear" w:color="auto" w:fill="auto"/>
          </w:tcPr>
          <w:p w14:paraId="36E1526D" w14:textId="77777777" w:rsidR="00A3615D" w:rsidRPr="003E1CF4" w:rsidRDefault="00A3615D" w:rsidP="003E1CF4">
            <w:pPr>
              <w:pStyle w:val="TblTextCenter"/>
            </w:pPr>
            <w:r w:rsidRPr="003E1CF4">
              <w:t>0.50 (0.44, 0.57)</w:t>
            </w:r>
          </w:p>
        </w:tc>
      </w:tr>
      <w:tr w:rsidR="00A3615D" w:rsidRPr="00511840" w14:paraId="35459F70" w14:textId="77777777" w:rsidTr="003E1CF4">
        <w:trPr>
          <w:cantSplit/>
          <w:jc w:val="center"/>
        </w:trPr>
        <w:tc>
          <w:tcPr>
            <w:tcW w:w="620" w:type="pct"/>
            <w:shd w:val="clear" w:color="auto" w:fill="auto"/>
            <w:vAlign w:val="center"/>
          </w:tcPr>
          <w:p w14:paraId="65F1A8B5" w14:textId="77777777" w:rsidR="00A3615D" w:rsidRPr="003E1CF4" w:rsidRDefault="00A3615D" w:rsidP="003E1CF4">
            <w:pPr>
              <w:pStyle w:val="TblTextCenter"/>
            </w:pPr>
            <w:r w:rsidRPr="003E1CF4">
              <w:t>B/Yamagata</w:t>
            </w:r>
          </w:p>
        </w:tc>
        <w:tc>
          <w:tcPr>
            <w:tcW w:w="1567" w:type="pct"/>
            <w:shd w:val="clear" w:color="auto" w:fill="auto"/>
            <w:vAlign w:val="center"/>
          </w:tcPr>
          <w:p w14:paraId="02E20365" w14:textId="77777777" w:rsidR="00A3615D" w:rsidRPr="003E1CF4" w:rsidRDefault="00A3615D" w:rsidP="003E1CF4">
            <w:pPr>
              <w:pStyle w:val="TblTextCenter"/>
            </w:pPr>
            <w:r w:rsidRPr="003E1CF4">
              <w:t>156</w:t>
            </w:r>
          </w:p>
        </w:tc>
        <w:tc>
          <w:tcPr>
            <w:tcW w:w="1487" w:type="pct"/>
            <w:shd w:val="clear" w:color="auto" w:fill="auto"/>
            <w:vAlign w:val="center"/>
          </w:tcPr>
          <w:p w14:paraId="33A8F2CA" w14:textId="77777777" w:rsidR="00A3615D" w:rsidRPr="003E1CF4" w:rsidRDefault="00A3615D" w:rsidP="003E1CF4">
            <w:pPr>
              <w:pStyle w:val="TblTextCenter"/>
            </w:pPr>
            <w:r w:rsidRPr="003E1CF4">
              <w:t>134</w:t>
            </w:r>
          </w:p>
        </w:tc>
        <w:tc>
          <w:tcPr>
            <w:tcW w:w="1327" w:type="pct"/>
            <w:shd w:val="clear" w:color="auto" w:fill="auto"/>
          </w:tcPr>
          <w:p w14:paraId="7376F298" w14:textId="77777777" w:rsidR="00A3615D" w:rsidRPr="003E1CF4" w:rsidRDefault="00A3615D" w:rsidP="003E1CF4">
            <w:pPr>
              <w:pStyle w:val="TblTextCenter"/>
            </w:pPr>
            <w:r w:rsidRPr="003E1CF4">
              <w:t>0.86 ( 0.74, 0.99)</w:t>
            </w:r>
          </w:p>
        </w:tc>
      </w:tr>
      <w:tr w:rsidR="00A3615D" w:rsidRPr="00511840" w14:paraId="0756A3D1" w14:textId="77777777" w:rsidTr="003E1CF4">
        <w:trPr>
          <w:cantSplit/>
          <w:jc w:val="center"/>
        </w:trPr>
        <w:tc>
          <w:tcPr>
            <w:tcW w:w="620" w:type="pct"/>
            <w:tcBorders>
              <w:bottom w:val="single" w:sz="12" w:space="0" w:color="auto"/>
            </w:tcBorders>
            <w:shd w:val="clear" w:color="auto" w:fill="auto"/>
            <w:vAlign w:val="center"/>
          </w:tcPr>
          <w:p w14:paraId="4B026D05" w14:textId="77777777" w:rsidR="00A3615D" w:rsidRPr="003E1CF4" w:rsidRDefault="00A3615D" w:rsidP="003E1CF4">
            <w:pPr>
              <w:pStyle w:val="TblTextCenter"/>
            </w:pPr>
            <w:r w:rsidRPr="003E1CF4">
              <w:t>B/Victoria</w:t>
            </w:r>
          </w:p>
        </w:tc>
        <w:tc>
          <w:tcPr>
            <w:tcW w:w="1567" w:type="pct"/>
            <w:tcBorders>
              <w:bottom w:val="single" w:sz="12" w:space="0" w:color="auto"/>
            </w:tcBorders>
            <w:shd w:val="clear" w:color="auto" w:fill="auto"/>
            <w:vAlign w:val="center"/>
          </w:tcPr>
          <w:p w14:paraId="371D30C8" w14:textId="77777777" w:rsidR="00A3615D" w:rsidRPr="003E1CF4" w:rsidRDefault="00A3615D" w:rsidP="003E1CF4">
            <w:pPr>
              <w:pStyle w:val="TblTextCenter"/>
            </w:pPr>
            <w:r w:rsidRPr="003E1CF4">
              <w:t>43</w:t>
            </w:r>
          </w:p>
        </w:tc>
        <w:tc>
          <w:tcPr>
            <w:tcW w:w="1487" w:type="pct"/>
            <w:tcBorders>
              <w:bottom w:val="single" w:sz="12" w:space="0" w:color="auto"/>
            </w:tcBorders>
            <w:shd w:val="clear" w:color="auto" w:fill="auto"/>
            <w:vAlign w:val="center"/>
          </w:tcPr>
          <w:p w14:paraId="75E54BEF" w14:textId="77777777" w:rsidR="00A3615D" w:rsidRPr="003E1CF4" w:rsidRDefault="00A3615D" w:rsidP="003E1CF4">
            <w:pPr>
              <w:pStyle w:val="TblTextCenter"/>
            </w:pPr>
            <w:r w:rsidRPr="003E1CF4">
              <w:t>64</w:t>
            </w:r>
          </w:p>
        </w:tc>
        <w:tc>
          <w:tcPr>
            <w:tcW w:w="1327" w:type="pct"/>
            <w:tcBorders>
              <w:bottom w:val="single" w:sz="12" w:space="0" w:color="auto"/>
            </w:tcBorders>
            <w:shd w:val="clear" w:color="auto" w:fill="auto"/>
          </w:tcPr>
          <w:p w14:paraId="789F0383" w14:textId="77777777" w:rsidR="00A3615D" w:rsidRPr="003E1CF4" w:rsidRDefault="00A3615D" w:rsidP="003E1CF4">
            <w:pPr>
              <w:pStyle w:val="TblTextCenter"/>
            </w:pPr>
            <w:r w:rsidRPr="003E1CF4">
              <w:t>1.49 (1.29, 1.71)</w:t>
            </w:r>
          </w:p>
        </w:tc>
      </w:tr>
      <w:tr w:rsidR="003E1CF4" w:rsidRPr="00511840" w14:paraId="0F45A71F" w14:textId="77777777" w:rsidTr="003E1CF4">
        <w:trPr>
          <w:cantSplit/>
          <w:jc w:val="center"/>
        </w:trPr>
        <w:tc>
          <w:tcPr>
            <w:tcW w:w="5000" w:type="pct"/>
            <w:gridSpan w:val="4"/>
            <w:tcBorders>
              <w:top w:val="single" w:sz="12" w:space="0" w:color="auto"/>
            </w:tcBorders>
            <w:shd w:val="clear" w:color="auto" w:fill="auto"/>
            <w:vAlign w:val="center"/>
          </w:tcPr>
          <w:p w14:paraId="2E5F0B6A" w14:textId="77777777" w:rsidR="003E1CF4" w:rsidRPr="00511840" w:rsidRDefault="003E1CF4" w:rsidP="003E1CF4">
            <w:pPr>
              <w:pStyle w:val="TblFigFootnote"/>
              <w:rPr>
                <w:lang w:val="en-AU"/>
              </w:rPr>
            </w:pPr>
          </w:p>
        </w:tc>
      </w:tr>
    </w:tbl>
    <w:p w14:paraId="21D739B5" w14:textId="05E94554" w:rsidR="00A3615D" w:rsidRPr="00511840" w:rsidRDefault="00A3615D" w:rsidP="00A3615D">
      <w:pPr>
        <w:autoSpaceDE w:val="0"/>
        <w:autoSpaceDN w:val="0"/>
        <w:adjustRightInd w:val="0"/>
        <w:spacing w:before="0"/>
        <w:rPr>
          <w:rFonts w:ascii="Arial Narrow" w:hAnsi="Arial Narrow"/>
          <w:sz w:val="20"/>
          <w:szCs w:val="20"/>
          <w:lang w:val="en-AU"/>
        </w:rPr>
      </w:pPr>
      <w:r w:rsidRPr="00511840">
        <w:rPr>
          <w:rFonts w:ascii="Arial Narrow" w:hAnsi="Arial Narrow"/>
          <w:sz w:val="20"/>
          <w:szCs w:val="20"/>
          <w:lang w:val="en-AU"/>
        </w:rPr>
        <w:t>Abbreviations: CI, confidence interval; GMT, geometric mean titr</w:t>
      </w:r>
      <w:r w:rsidR="00A87C8F">
        <w:rPr>
          <w:rFonts w:ascii="Arial Narrow" w:hAnsi="Arial Narrow"/>
          <w:sz w:val="20"/>
          <w:szCs w:val="20"/>
          <w:lang w:val="en-AU"/>
        </w:rPr>
        <w:t>e</w:t>
      </w:r>
      <w:r w:rsidRPr="00511840">
        <w:rPr>
          <w:rFonts w:ascii="Arial Narrow" w:hAnsi="Arial Narrow"/>
          <w:sz w:val="20"/>
          <w:szCs w:val="20"/>
          <w:lang w:val="en-AU"/>
        </w:rPr>
        <w:t xml:space="preserve">. </w:t>
      </w:r>
    </w:p>
    <w:p w14:paraId="58CD91BF" w14:textId="0BCF0E42" w:rsidR="00A3615D" w:rsidRPr="00511840" w:rsidRDefault="00A3615D" w:rsidP="00A3615D">
      <w:pPr>
        <w:autoSpaceDE w:val="0"/>
        <w:autoSpaceDN w:val="0"/>
        <w:adjustRightInd w:val="0"/>
        <w:spacing w:before="0"/>
        <w:rPr>
          <w:rFonts w:ascii="Arial Narrow" w:hAnsi="Arial Narrow"/>
          <w:sz w:val="20"/>
          <w:szCs w:val="20"/>
          <w:lang w:val="en-AU"/>
        </w:rPr>
      </w:pPr>
      <w:r w:rsidRPr="00511840">
        <w:rPr>
          <w:rFonts w:ascii="Arial Narrow" w:hAnsi="Arial Narrow"/>
          <w:sz w:val="20"/>
          <w:szCs w:val="20"/>
          <w:vertAlign w:val="superscript"/>
          <w:lang w:val="en-AU"/>
        </w:rPr>
        <w:t>1</w:t>
      </w:r>
      <w:r w:rsidRPr="00511840">
        <w:rPr>
          <w:rFonts w:ascii="Arial Narrow" w:hAnsi="Arial Narrow"/>
          <w:sz w:val="20"/>
          <w:szCs w:val="20"/>
          <w:lang w:val="en-AU"/>
        </w:rPr>
        <w:t xml:space="preserve"> HI titr</w:t>
      </w:r>
      <w:r w:rsidR="00A87C8F">
        <w:rPr>
          <w:rFonts w:ascii="Arial Narrow" w:hAnsi="Arial Narrow"/>
          <w:sz w:val="20"/>
          <w:szCs w:val="20"/>
          <w:lang w:val="en-AU"/>
        </w:rPr>
        <w:t>e</w:t>
      </w:r>
      <w:r w:rsidRPr="00511840">
        <w:rPr>
          <w:rFonts w:ascii="Arial Narrow" w:hAnsi="Arial Narrow"/>
          <w:sz w:val="20"/>
          <w:szCs w:val="20"/>
          <w:lang w:val="en-AU"/>
        </w:rPr>
        <w:t>s were assayed using egg-derived antigens.</w:t>
      </w:r>
    </w:p>
    <w:p w14:paraId="615D20AE" w14:textId="6D5DD4C0" w:rsidR="00A3615D" w:rsidRPr="00511840" w:rsidRDefault="00A3615D" w:rsidP="00A3615D">
      <w:pPr>
        <w:autoSpaceDE w:val="0"/>
        <w:autoSpaceDN w:val="0"/>
        <w:adjustRightInd w:val="0"/>
        <w:spacing w:before="0"/>
        <w:rPr>
          <w:rFonts w:ascii="Arial Narrow" w:hAnsi="Arial Narrow"/>
          <w:sz w:val="20"/>
          <w:szCs w:val="20"/>
          <w:lang w:val="en-AU"/>
        </w:rPr>
      </w:pPr>
      <w:r w:rsidRPr="00A87C8F">
        <w:rPr>
          <w:rFonts w:ascii="Arial Narrow" w:hAnsi="Arial Narrow"/>
          <w:sz w:val="20"/>
          <w:szCs w:val="20"/>
          <w:vertAlign w:val="superscript"/>
          <w:lang w:val="en-AU"/>
        </w:rPr>
        <w:t>2</w:t>
      </w:r>
      <w:r w:rsidRPr="00A87C8F">
        <w:rPr>
          <w:rFonts w:ascii="Arial Narrow" w:hAnsi="Arial Narrow"/>
          <w:sz w:val="20"/>
          <w:szCs w:val="20"/>
          <w:lang w:val="en-AU"/>
        </w:rPr>
        <w:t xml:space="preserve"> Comparator: </w:t>
      </w:r>
      <w:r w:rsidR="00A87C8F" w:rsidRPr="00A87C8F">
        <w:rPr>
          <w:rFonts w:ascii="Arial Narrow" w:hAnsi="Arial Narrow"/>
          <w:sz w:val="20"/>
          <w:szCs w:val="20"/>
          <w:lang w:val="en-AU"/>
        </w:rPr>
        <w:t>Q</w:t>
      </w:r>
      <w:r w:rsidRPr="00A87C8F">
        <w:rPr>
          <w:rFonts w:ascii="Arial Narrow" w:hAnsi="Arial Narrow"/>
          <w:sz w:val="20"/>
          <w:szCs w:val="20"/>
          <w:lang w:val="en-AU"/>
        </w:rPr>
        <w:t xml:space="preserve">uadrivalent inactivated influenza vaccine, </w:t>
      </w:r>
      <w:r w:rsidRPr="00541139">
        <w:rPr>
          <w:rFonts w:ascii="Arial Narrow" w:hAnsi="Arial Narrow"/>
          <w:sz w:val="20"/>
          <w:szCs w:val="20"/>
          <w:lang w:val="en-AU"/>
        </w:rPr>
        <w:t xml:space="preserve">Fluarix </w:t>
      </w:r>
      <w:r w:rsidR="00A87C8F" w:rsidRPr="00541139">
        <w:rPr>
          <w:rFonts w:ascii="Arial Narrow" w:hAnsi="Arial Narrow"/>
          <w:sz w:val="20"/>
          <w:szCs w:val="20"/>
          <w:lang w:val="en-AU"/>
        </w:rPr>
        <w:t>Tetra</w:t>
      </w:r>
      <w:r w:rsidRPr="00541139">
        <w:rPr>
          <w:rFonts w:ascii="Arial Narrow" w:hAnsi="Arial Narrow"/>
          <w:sz w:val="20"/>
          <w:szCs w:val="20"/>
          <w:lang w:val="en-AU"/>
        </w:rPr>
        <w:t>,</w:t>
      </w:r>
      <w:r w:rsidRPr="00A87C8F">
        <w:rPr>
          <w:rFonts w:ascii="Arial Narrow" w:hAnsi="Arial Narrow"/>
          <w:sz w:val="20"/>
          <w:szCs w:val="20"/>
          <w:lang w:val="en-AU"/>
        </w:rPr>
        <w:t xml:space="preserve"> manufactured by GlaxoSmithKline.</w:t>
      </w:r>
    </w:p>
    <w:p w14:paraId="4CBB9A50" w14:textId="77777777" w:rsidR="00A3615D" w:rsidRPr="00511840" w:rsidRDefault="00A3615D" w:rsidP="00A3615D">
      <w:pPr>
        <w:autoSpaceDE w:val="0"/>
        <w:autoSpaceDN w:val="0"/>
        <w:adjustRightInd w:val="0"/>
        <w:spacing w:before="0"/>
        <w:rPr>
          <w:sz w:val="22"/>
          <w:lang w:val="en-AU"/>
        </w:rPr>
      </w:pPr>
    </w:p>
    <w:p w14:paraId="541BC681" w14:textId="06533E97" w:rsidR="00A3615D" w:rsidRPr="00511840" w:rsidRDefault="00A3615D" w:rsidP="00A3615D">
      <w:pPr>
        <w:autoSpaceDE w:val="0"/>
        <w:autoSpaceDN w:val="0"/>
        <w:adjustRightInd w:val="0"/>
        <w:spacing w:before="120" w:after="120"/>
        <w:rPr>
          <w:lang w:val="en-AU"/>
        </w:rPr>
      </w:pPr>
      <w:r w:rsidRPr="00511840">
        <w:rPr>
          <w:lang w:val="en-AU"/>
        </w:rPr>
        <w:t>Success in meeting the SCR endpoint was pre-defined as an upper bound (UB) of the two-sided 95% CI of SCR Comparator – SCR Flublok Quadrivalent ≤</w:t>
      </w:r>
      <w:r w:rsidR="000C5DB2">
        <w:rPr>
          <w:lang w:val="en-AU"/>
        </w:rPr>
        <w:t xml:space="preserve"> </w:t>
      </w:r>
      <w:r w:rsidRPr="00511840">
        <w:rPr>
          <w:lang w:val="en-AU"/>
        </w:rPr>
        <w:t>10%. Flublok Quadrivalent met the success criterion for SCRs for three of the four antigens (</w:t>
      </w:r>
      <w:r w:rsidRPr="00511840">
        <w:rPr>
          <w:color w:val="0000FF"/>
          <w:lang w:val="en-AU"/>
        </w:rPr>
        <w:fldChar w:fldCharType="begin"/>
      </w:r>
      <w:r w:rsidRPr="00511840">
        <w:rPr>
          <w:color w:val="0000FF"/>
          <w:lang w:val="en-AU"/>
        </w:rPr>
        <w:instrText xml:space="preserve"> REF _Ref20408427 \h  \* MERGEFORMAT </w:instrText>
      </w:r>
      <w:r w:rsidRPr="00511840">
        <w:rPr>
          <w:color w:val="0000FF"/>
          <w:lang w:val="en-AU"/>
        </w:rPr>
      </w:r>
      <w:r w:rsidRPr="00511840">
        <w:rPr>
          <w:color w:val="0000FF"/>
          <w:lang w:val="en-AU"/>
        </w:rPr>
        <w:fldChar w:fldCharType="separate"/>
      </w:r>
      <w:r w:rsidR="008266B0" w:rsidRPr="008266B0">
        <w:rPr>
          <w:color w:val="0000FF"/>
          <w:lang w:val="en-AU"/>
        </w:rPr>
        <w:t>Table 5</w:t>
      </w:r>
      <w:r w:rsidRPr="00511840">
        <w:rPr>
          <w:color w:val="0000FF"/>
          <w:lang w:val="en-AU"/>
        </w:rPr>
        <w:fldChar w:fldCharType="end"/>
      </w:r>
      <w:r w:rsidRPr="00511840">
        <w:rPr>
          <w:lang w:val="en-AU"/>
        </w:rPr>
        <w:t>). The HI response to the B/Victoria lineage antigen in both vaccine groups was low and did not meet the success criterion.</w:t>
      </w:r>
    </w:p>
    <w:p w14:paraId="018398BF" w14:textId="59E45CB8" w:rsidR="00A3615D" w:rsidRPr="00511840" w:rsidRDefault="00A3615D" w:rsidP="002600A1">
      <w:pPr>
        <w:pStyle w:val="Caption"/>
        <w:pageBreakBefore/>
        <w:rPr>
          <w:b w:val="0"/>
          <w:lang w:val="en-AU"/>
        </w:rPr>
      </w:pPr>
      <w:r w:rsidRPr="00511840">
        <w:rPr>
          <w:b w:val="0"/>
          <w:sz w:val="22"/>
          <w:lang w:val="en-AU"/>
        </w:rPr>
        <w:lastRenderedPageBreak/>
        <w:t xml:space="preserve"> </w:t>
      </w:r>
      <w:bookmarkStart w:id="8" w:name="_Ref20408427"/>
      <w:r w:rsidRPr="00511840">
        <w:rPr>
          <w:lang w:val="en-AU"/>
        </w:rPr>
        <w:t>Table </w:t>
      </w:r>
      <w:r w:rsidRPr="00511840">
        <w:rPr>
          <w:lang w:val="en-AU"/>
        </w:rPr>
        <w:fldChar w:fldCharType="begin"/>
      </w:r>
      <w:r w:rsidRPr="00511840">
        <w:rPr>
          <w:lang w:val="en-AU"/>
        </w:rPr>
        <w:instrText xml:space="preserve"> SEQ Table \* ARABIC </w:instrText>
      </w:r>
      <w:r w:rsidRPr="00511840">
        <w:rPr>
          <w:lang w:val="en-AU"/>
        </w:rPr>
        <w:fldChar w:fldCharType="separate"/>
      </w:r>
      <w:r w:rsidR="008266B0">
        <w:rPr>
          <w:noProof/>
          <w:lang w:val="en-AU"/>
        </w:rPr>
        <w:t>5</w:t>
      </w:r>
      <w:r w:rsidRPr="00511840">
        <w:rPr>
          <w:lang w:val="en-AU"/>
        </w:rPr>
        <w:fldChar w:fldCharType="end"/>
      </w:r>
      <w:bookmarkEnd w:id="8"/>
      <w:r w:rsidRPr="00511840">
        <w:rPr>
          <w:lang w:val="en-AU"/>
        </w:rPr>
        <w:t xml:space="preserve"> ­ Comparison of Day 28 Seroconversion Rates for Flublok Quadrivalent and Comparator in Adults 18-49 Years of Age, </w:t>
      </w:r>
      <w:r w:rsidR="003429D6">
        <w:rPr>
          <w:lang w:val="en-AU"/>
        </w:rPr>
        <w:t>PSC16</w:t>
      </w:r>
      <w:r w:rsidRPr="00511840">
        <w:rPr>
          <w:lang w:val="en-AU"/>
        </w:rPr>
        <w:t xml:space="preserve"> (Immunogenicity Population)</w:t>
      </w:r>
      <w:r w:rsidRPr="00511840">
        <w:rPr>
          <w:vertAlign w:val="superscript"/>
          <w:lang w:val="en-AU"/>
        </w:rPr>
        <w:t>1,2</w:t>
      </w:r>
    </w:p>
    <w:tbl>
      <w:tblPr>
        <w:tblW w:w="5000" w:type="pct"/>
        <w:jc w:val="center"/>
        <w:tblBorders>
          <w:top w:val="single" w:sz="2" w:space="0" w:color="000000"/>
        </w:tblBorders>
        <w:tblLook w:val="04A0" w:firstRow="1" w:lastRow="0" w:firstColumn="1" w:lastColumn="0" w:noHBand="0" w:noVBand="1"/>
      </w:tblPr>
      <w:tblGrid>
        <w:gridCol w:w="1120"/>
        <w:gridCol w:w="2117"/>
        <w:gridCol w:w="1724"/>
        <w:gridCol w:w="4065"/>
      </w:tblGrid>
      <w:tr w:rsidR="00A3615D" w:rsidRPr="00511840" w14:paraId="02F8621A" w14:textId="77777777" w:rsidTr="003E1CF4">
        <w:trPr>
          <w:cantSplit/>
          <w:tblHeader/>
          <w:jc w:val="center"/>
        </w:trPr>
        <w:tc>
          <w:tcPr>
            <w:tcW w:w="620" w:type="pct"/>
            <w:tcBorders>
              <w:top w:val="single" w:sz="4" w:space="0" w:color="000000"/>
              <w:bottom w:val="single" w:sz="4" w:space="0" w:color="000000"/>
            </w:tcBorders>
            <w:shd w:val="clear" w:color="auto" w:fill="auto"/>
            <w:vAlign w:val="center"/>
          </w:tcPr>
          <w:p w14:paraId="308799A0" w14:textId="77777777" w:rsidR="00A3615D" w:rsidRPr="00511840" w:rsidRDefault="00A3615D" w:rsidP="003E1CF4">
            <w:pPr>
              <w:pStyle w:val="TblHeadingCenter"/>
            </w:pPr>
            <w:r w:rsidRPr="00511840">
              <w:t>Antigen</w:t>
            </w:r>
          </w:p>
        </w:tc>
        <w:tc>
          <w:tcPr>
            <w:tcW w:w="1173" w:type="pct"/>
            <w:tcBorders>
              <w:top w:val="single" w:sz="4" w:space="0" w:color="000000"/>
              <w:bottom w:val="single" w:sz="4" w:space="0" w:color="000000"/>
            </w:tcBorders>
            <w:shd w:val="clear" w:color="auto" w:fill="auto"/>
            <w:vAlign w:val="center"/>
          </w:tcPr>
          <w:p w14:paraId="7191D354" w14:textId="6B92AD12" w:rsidR="00A3615D" w:rsidRPr="0072160B" w:rsidRDefault="00A3615D" w:rsidP="003E1CF4">
            <w:pPr>
              <w:pStyle w:val="TblHeadingCenter"/>
            </w:pPr>
            <w:r w:rsidRPr="0072160B">
              <w:t>SCR (%, 95% CI)</w:t>
            </w:r>
          </w:p>
          <w:p w14:paraId="59F66B09" w14:textId="5D752178" w:rsidR="00A3615D" w:rsidRPr="0072160B" w:rsidRDefault="00A3615D" w:rsidP="003E1CF4">
            <w:pPr>
              <w:pStyle w:val="TblHeadingCenter"/>
            </w:pPr>
            <w:r w:rsidRPr="0072160B">
              <w:t>Flublok Quadrivalent</w:t>
            </w:r>
          </w:p>
          <w:p w14:paraId="5D1D587B" w14:textId="75067EC7" w:rsidR="00A3615D" w:rsidRPr="0072160B" w:rsidRDefault="00A3615D" w:rsidP="003E1CF4">
            <w:pPr>
              <w:pStyle w:val="TblHeadingCenter"/>
            </w:pPr>
            <w:r w:rsidRPr="0072160B">
              <w:t>N=969</w:t>
            </w:r>
          </w:p>
        </w:tc>
        <w:tc>
          <w:tcPr>
            <w:tcW w:w="955" w:type="pct"/>
            <w:tcBorders>
              <w:top w:val="single" w:sz="4" w:space="0" w:color="000000"/>
              <w:bottom w:val="single" w:sz="4" w:space="0" w:color="000000"/>
            </w:tcBorders>
            <w:shd w:val="clear" w:color="auto" w:fill="auto"/>
            <w:vAlign w:val="center"/>
          </w:tcPr>
          <w:p w14:paraId="00CCAFDE" w14:textId="153A8039" w:rsidR="00A3615D" w:rsidRPr="00511840" w:rsidRDefault="00A3615D" w:rsidP="003E1CF4">
            <w:pPr>
              <w:pStyle w:val="TblHeadingCenter"/>
            </w:pPr>
            <w:r w:rsidRPr="00511840">
              <w:t>SCR (%, 95% CI)</w:t>
            </w:r>
          </w:p>
          <w:p w14:paraId="1D82C787" w14:textId="0055BBCA" w:rsidR="00A3615D" w:rsidRPr="00511840" w:rsidRDefault="00A3615D" w:rsidP="003E1CF4">
            <w:pPr>
              <w:pStyle w:val="TblHeadingCenter"/>
            </w:pPr>
            <w:r w:rsidRPr="00511840">
              <w:t>Comparator</w:t>
            </w:r>
          </w:p>
          <w:p w14:paraId="49D8455B" w14:textId="478391F2" w:rsidR="00A3615D" w:rsidRPr="00511840" w:rsidRDefault="00A3615D" w:rsidP="003E1CF4">
            <w:pPr>
              <w:pStyle w:val="TblHeadingCenter"/>
            </w:pPr>
            <w:r w:rsidRPr="00511840">
              <w:t>N=323</w:t>
            </w:r>
          </w:p>
        </w:tc>
        <w:tc>
          <w:tcPr>
            <w:tcW w:w="2252" w:type="pct"/>
            <w:tcBorders>
              <w:top w:val="single" w:sz="4" w:space="0" w:color="000000"/>
              <w:bottom w:val="single" w:sz="4" w:space="0" w:color="000000"/>
            </w:tcBorders>
            <w:shd w:val="clear" w:color="auto" w:fill="auto"/>
            <w:vAlign w:val="center"/>
          </w:tcPr>
          <w:p w14:paraId="0DC4B54F" w14:textId="7411E6E2" w:rsidR="00A3615D" w:rsidRPr="00511840" w:rsidRDefault="00A3615D" w:rsidP="003E1CF4">
            <w:pPr>
              <w:pStyle w:val="TblHeadingCenter"/>
            </w:pPr>
            <w:r w:rsidRPr="00511840">
              <w:t>SCR Difference (%)</w:t>
            </w:r>
          </w:p>
          <w:p w14:paraId="08E98DFA" w14:textId="68ADB8AD" w:rsidR="00A3615D" w:rsidRPr="00511840" w:rsidRDefault="00A3615D" w:rsidP="003E1CF4">
            <w:pPr>
              <w:pStyle w:val="TblHeadingCenter"/>
            </w:pPr>
            <w:r w:rsidRPr="00511840">
              <w:t>Comparator – Flublok Quadrivalent [95% CI]</w:t>
            </w:r>
          </w:p>
        </w:tc>
      </w:tr>
      <w:tr w:rsidR="00A3615D" w:rsidRPr="00511840" w14:paraId="07F0804C" w14:textId="77777777" w:rsidTr="003E1CF4">
        <w:trPr>
          <w:cantSplit/>
          <w:jc w:val="center"/>
        </w:trPr>
        <w:tc>
          <w:tcPr>
            <w:tcW w:w="620" w:type="pct"/>
            <w:tcBorders>
              <w:top w:val="single" w:sz="4" w:space="0" w:color="000000"/>
            </w:tcBorders>
            <w:shd w:val="clear" w:color="auto" w:fill="auto"/>
            <w:vAlign w:val="center"/>
          </w:tcPr>
          <w:p w14:paraId="0DD82E5B" w14:textId="77777777" w:rsidR="00A3615D" w:rsidRPr="003E1CF4" w:rsidRDefault="00A3615D" w:rsidP="003E1CF4">
            <w:pPr>
              <w:pStyle w:val="TblTextCenter"/>
            </w:pPr>
            <w:r w:rsidRPr="003E1CF4">
              <w:t>A/H1N1</w:t>
            </w:r>
          </w:p>
        </w:tc>
        <w:tc>
          <w:tcPr>
            <w:tcW w:w="1173" w:type="pct"/>
            <w:tcBorders>
              <w:top w:val="single" w:sz="4" w:space="0" w:color="000000"/>
            </w:tcBorders>
            <w:shd w:val="clear" w:color="auto" w:fill="auto"/>
            <w:vAlign w:val="center"/>
          </w:tcPr>
          <w:p w14:paraId="3977014C" w14:textId="77777777" w:rsidR="00A3615D" w:rsidRPr="003E1CF4" w:rsidRDefault="00A3615D" w:rsidP="003E1CF4">
            <w:pPr>
              <w:pStyle w:val="TblTextCenter"/>
            </w:pPr>
            <w:r w:rsidRPr="003E1CF4">
              <w:t>66.7 (63.6, 69.6)</w:t>
            </w:r>
          </w:p>
        </w:tc>
        <w:tc>
          <w:tcPr>
            <w:tcW w:w="955" w:type="pct"/>
            <w:tcBorders>
              <w:top w:val="single" w:sz="4" w:space="0" w:color="000000"/>
            </w:tcBorders>
            <w:shd w:val="clear" w:color="auto" w:fill="auto"/>
            <w:vAlign w:val="center"/>
          </w:tcPr>
          <w:p w14:paraId="25799FD8" w14:textId="77777777" w:rsidR="00A3615D" w:rsidRPr="003E1CF4" w:rsidRDefault="00A3615D" w:rsidP="003E1CF4">
            <w:pPr>
              <w:pStyle w:val="TblTextCenter"/>
            </w:pPr>
            <w:r w:rsidRPr="003E1CF4">
              <w:t>63.5 (58.0, 68.7)</w:t>
            </w:r>
          </w:p>
        </w:tc>
        <w:tc>
          <w:tcPr>
            <w:tcW w:w="2252" w:type="pct"/>
            <w:tcBorders>
              <w:top w:val="single" w:sz="4" w:space="0" w:color="000000"/>
            </w:tcBorders>
            <w:shd w:val="clear" w:color="auto" w:fill="auto"/>
            <w:vAlign w:val="center"/>
          </w:tcPr>
          <w:p w14:paraId="45F5F623" w14:textId="77777777" w:rsidR="00A3615D" w:rsidRPr="003E1CF4" w:rsidRDefault="00A3615D" w:rsidP="003E1CF4">
            <w:pPr>
              <w:pStyle w:val="TblTextCenter"/>
            </w:pPr>
            <w:r w:rsidRPr="003E1CF4">
              <w:t>-3.2 (-9.2, 2.8)</w:t>
            </w:r>
          </w:p>
        </w:tc>
      </w:tr>
      <w:tr w:rsidR="00A3615D" w:rsidRPr="00511840" w14:paraId="347BF84E" w14:textId="77777777" w:rsidTr="003E1CF4">
        <w:trPr>
          <w:cantSplit/>
          <w:jc w:val="center"/>
        </w:trPr>
        <w:tc>
          <w:tcPr>
            <w:tcW w:w="620" w:type="pct"/>
            <w:shd w:val="clear" w:color="auto" w:fill="auto"/>
            <w:vAlign w:val="center"/>
          </w:tcPr>
          <w:p w14:paraId="3076A672" w14:textId="77777777" w:rsidR="00A3615D" w:rsidRPr="003E1CF4" w:rsidRDefault="00A3615D" w:rsidP="003E1CF4">
            <w:pPr>
              <w:pStyle w:val="TblTextCenter"/>
            </w:pPr>
            <w:r w:rsidRPr="003E1CF4">
              <w:t>A/H3N2</w:t>
            </w:r>
          </w:p>
        </w:tc>
        <w:tc>
          <w:tcPr>
            <w:tcW w:w="1173" w:type="pct"/>
            <w:shd w:val="clear" w:color="auto" w:fill="auto"/>
            <w:vAlign w:val="center"/>
          </w:tcPr>
          <w:p w14:paraId="52DC3E27" w14:textId="77777777" w:rsidR="00A3615D" w:rsidRPr="003E1CF4" w:rsidRDefault="00A3615D" w:rsidP="003E1CF4">
            <w:pPr>
              <w:pStyle w:val="TblTextCenter"/>
            </w:pPr>
            <w:r w:rsidRPr="003E1CF4">
              <w:t>72.1 (69.2, 74.9)</w:t>
            </w:r>
          </w:p>
        </w:tc>
        <w:tc>
          <w:tcPr>
            <w:tcW w:w="955" w:type="pct"/>
            <w:shd w:val="clear" w:color="auto" w:fill="auto"/>
            <w:vAlign w:val="center"/>
          </w:tcPr>
          <w:p w14:paraId="664936BB" w14:textId="77777777" w:rsidR="00A3615D" w:rsidRPr="003E1CF4" w:rsidRDefault="00A3615D" w:rsidP="003E1CF4">
            <w:pPr>
              <w:pStyle w:val="TblTextCenter"/>
            </w:pPr>
            <w:r w:rsidRPr="003E1CF4">
              <w:t>57.0 (51.4, 62.4)</w:t>
            </w:r>
          </w:p>
        </w:tc>
        <w:tc>
          <w:tcPr>
            <w:tcW w:w="2252" w:type="pct"/>
            <w:shd w:val="clear" w:color="auto" w:fill="auto"/>
            <w:vAlign w:val="center"/>
          </w:tcPr>
          <w:p w14:paraId="21C59899" w14:textId="77777777" w:rsidR="00A3615D" w:rsidRPr="003E1CF4" w:rsidRDefault="00A3615D" w:rsidP="003E1CF4">
            <w:pPr>
              <w:pStyle w:val="TblTextCenter"/>
            </w:pPr>
            <w:r w:rsidRPr="003E1CF4">
              <w:t>-15.2 (-21.3, -9.1)</w:t>
            </w:r>
          </w:p>
        </w:tc>
      </w:tr>
      <w:tr w:rsidR="00A3615D" w:rsidRPr="00511840" w14:paraId="2D2FE7E1" w14:textId="77777777" w:rsidTr="003E1CF4">
        <w:trPr>
          <w:cantSplit/>
          <w:jc w:val="center"/>
        </w:trPr>
        <w:tc>
          <w:tcPr>
            <w:tcW w:w="620" w:type="pct"/>
            <w:shd w:val="clear" w:color="auto" w:fill="auto"/>
            <w:vAlign w:val="center"/>
          </w:tcPr>
          <w:p w14:paraId="12F19032" w14:textId="77777777" w:rsidR="00A3615D" w:rsidRPr="003E1CF4" w:rsidRDefault="00A3615D" w:rsidP="003E1CF4">
            <w:pPr>
              <w:pStyle w:val="TblTextCenter"/>
            </w:pPr>
            <w:r w:rsidRPr="003E1CF4">
              <w:t>B/Yamagata</w:t>
            </w:r>
          </w:p>
        </w:tc>
        <w:tc>
          <w:tcPr>
            <w:tcW w:w="1173" w:type="pct"/>
            <w:shd w:val="clear" w:color="auto" w:fill="auto"/>
            <w:vAlign w:val="center"/>
          </w:tcPr>
          <w:p w14:paraId="5835890E" w14:textId="77777777" w:rsidR="00A3615D" w:rsidRPr="003E1CF4" w:rsidRDefault="00A3615D" w:rsidP="003E1CF4">
            <w:pPr>
              <w:pStyle w:val="TblTextCenter"/>
            </w:pPr>
            <w:r w:rsidRPr="003E1CF4">
              <w:t>59.6 (56.5, 62.8)</w:t>
            </w:r>
          </w:p>
        </w:tc>
        <w:tc>
          <w:tcPr>
            <w:tcW w:w="955" w:type="pct"/>
            <w:shd w:val="clear" w:color="auto" w:fill="auto"/>
            <w:vAlign w:val="center"/>
          </w:tcPr>
          <w:p w14:paraId="18D7D573" w14:textId="77777777" w:rsidR="00A3615D" w:rsidRPr="003E1CF4" w:rsidRDefault="00A3615D" w:rsidP="003E1CF4">
            <w:pPr>
              <w:pStyle w:val="TblTextCenter"/>
            </w:pPr>
            <w:r w:rsidRPr="003E1CF4">
              <w:t>60.4 (54.8, 65.7)</w:t>
            </w:r>
          </w:p>
        </w:tc>
        <w:tc>
          <w:tcPr>
            <w:tcW w:w="2252" w:type="pct"/>
            <w:shd w:val="clear" w:color="auto" w:fill="auto"/>
            <w:vAlign w:val="center"/>
          </w:tcPr>
          <w:p w14:paraId="2B245DD1" w14:textId="77777777" w:rsidR="00A3615D" w:rsidRPr="003E1CF4" w:rsidRDefault="00A3615D" w:rsidP="003E1CF4">
            <w:pPr>
              <w:pStyle w:val="TblTextCenter"/>
            </w:pPr>
            <w:r w:rsidRPr="003E1CF4">
              <w:t>0.7 (-5.4, 6.9)</w:t>
            </w:r>
          </w:p>
        </w:tc>
      </w:tr>
      <w:tr w:rsidR="00A3615D" w:rsidRPr="00511840" w14:paraId="67048A8C" w14:textId="77777777" w:rsidTr="003E1CF4">
        <w:trPr>
          <w:cantSplit/>
          <w:jc w:val="center"/>
        </w:trPr>
        <w:tc>
          <w:tcPr>
            <w:tcW w:w="620" w:type="pct"/>
            <w:tcBorders>
              <w:bottom w:val="single" w:sz="12" w:space="0" w:color="auto"/>
            </w:tcBorders>
            <w:shd w:val="clear" w:color="auto" w:fill="auto"/>
            <w:vAlign w:val="center"/>
          </w:tcPr>
          <w:p w14:paraId="21DF6B1F" w14:textId="77777777" w:rsidR="00A3615D" w:rsidRPr="003E1CF4" w:rsidRDefault="00A3615D" w:rsidP="003E1CF4">
            <w:pPr>
              <w:pStyle w:val="TblTextCenter"/>
            </w:pPr>
            <w:r w:rsidRPr="003E1CF4">
              <w:t>B/Victoria</w:t>
            </w:r>
          </w:p>
        </w:tc>
        <w:tc>
          <w:tcPr>
            <w:tcW w:w="1173" w:type="pct"/>
            <w:tcBorders>
              <w:bottom w:val="single" w:sz="12" w:space="0" w:color="auto"/>
            </w:tcBorders>
            <w:shd w:val="clear" w:color="auto" w:fill="auto"/>
            <w:vAlign w:val="center"/>
          </w:tcPr>
          <w:p w14:paraId="131D4993" w14:textId="77777777" w:rsidR="00A3615D" w:rsidRPr="003E1CF4" w:rsidRDefault="00A3615D" w:rsidP="003E1CF4">
            <w:pPr>
              <w:pStyle w:val="TblTextCenter"/>
            </w:pPr>
            <w:r w:rsidRPr="003E1CF4">
              <w:t>40.6 (37.4, 43.7)</w:t>
            </w:r>
          </w:p>
        </w:tc>
        <w:tc>
          <w:tcPr>
            <w:tcW w:w="955" w:type="pct"/>
            <w:tcBorders>
              <w:bottom w:val="single" w:sz="12" w:space="0" w:color="auto"/>
            </w:tcBorders>
            <w:shd w:val="clear" w:color="auto" w:fill="auto"/>
            <w:vAlign w:val="center"/>
          </w:tcPr>
          <w:p w14:paraId="659C408D" w14:textId="77777777" w:rsidR="00A3615D" w:rsidRPr="003E1CF4" w:rsidRDefault="00A3615D" w:rsidP="003E1CF4">
            <w:pPr>
              <w:pStyle w:val="TblTextCenter"/>
            </w:pPr>
            <w:r w:rsidRPr="003E1CF4">
              <w:t>58.2 (52.6, 63.6)</w:t>
            </w:r>
          </w:p>
        </w:tc>
        <w:tc>
          <w:tcPr>
            <w:tcW w:w="2252" w:type="pct"/>
            <w:tcBorders>
              <w:bottom w:val="single" w:sz="12" w:space="0" w:color="auto"/>
            </w:tcBorders>
            <w:shd w:val="clear" w:color="auto" w:fill="auto"/>
            <w:vAlign w:val="center"/>
          </w:tcPr>
          <w:p w14:paraId="36654B3F" w14:textId="77777777" w:rsidR="00A3615D" w:rsidRPr="003E1CF4" w:rsidRDefault="00A3615D" w:rsidP="003E1CF4">
            <w:pPr>
              <w:pStyle w:val="TblTextCenter"/>
            </w:pPr>
            <w:r w:rsidRPr="003E1CF4">
              <w:t>17.6 (11.4, 23.9)</w:t>
            </w:r>
          </w:p>
        </w:tc>
      </w:tr>
      <w:tr w:rsidR="003E1CF4" w:rsidRPr="00511840" w14:paraId="17B49156" w14:textId="77777777" w:rsidTr="003E1CF4">
        <w:trPr>
          <w:cantSplit/>
          <w:jc w:val="center"/>
        </w:trPr>
        <w:tc>
          <w:tcPr>
            <w:tcW w:w="5000" w:type="pct"/>
            <w:gridSpan w:val="4"/>
            <w:tcBorders>
              <w:top w:val="single" w:sz="12" w:space="0" w:color="auto"/>
            </w:tcBorders>
            <w:shd w:val="clear" w:color="auto" w:fill="auto"/>
            <w:vAlign w:val="center"/>
          </w:tcPr>
          <w:p w14:paraId="3C580495" w14:textId="77777777" w:rsidR="003E1CF4" w:rsidRPr="00511840" w:rsidRDefault="003E1CF4" w:rsidP="003E1CF4">
            <w:pPr>
              <w:pStyle w:val="TblFigFootnote"/>
              <w:rPr>
                <w:lang w:val="en-AU"/>
              </w:rPr>
            </w:pPr>
          </w:p>
        </w:tc>
      </w:tr>
    </w:tbl>
    <w:p w14:paraId="344414D2" w14:textId="77777777" w:rsidR="00A3615D" w:rsidRPr="00511840" w:rsidRDefault="00A3615D" w:rsidP="00A3615D">
      <w:pPr>
        <w:keepNext/>
        <w:autoSpaceDE w:val="0"/>
        <w:autoSpaceDN w:val="0"/>
        <w:adjustRightInd w:val="0"/>
        <w:spacing w:before="0"/>
        <w:rPr>
          <w:rFonts w:ascii="Arial Narrow" w:hAnsi="Arial Narrow"/>
          <w:sz w:val="20"/>
          <w:szCs w:val="20"/>
          <w:lang w:val="en-AU"/>
        </w:rPr>
      </w:pPr>
      <w:r w:rsidRPr="00511840">
        <w:rPr>
          <w:rFonts w:ascii="Arial Narrow" w:hAnsi="Arial Narrow"/>
          <w:sz w:val="20"/>
          <w:szCs w:val="20"/>
          <w:lang w:val="en-AU"/>
        </w:rPr>
        <w:t xml:space="preserve">Abbreviations: CI, confidence interval; SCR, seroconversion rate </w:t>
      </w:r>
    </w:p>
    <w:p w14:paraId="32DF8EB6" w14:textId="7B408C19" w:rsidR="00A3615D" w:rsidRPr="00541139" w:rsidRDefault="00A3615D" w:rsidP="00A3615D">
      <w:pPr>
        <w:keepNext/>
        <w:autoSpaceDE w:val="0"/>
        <w:autoSpaceDN w:val="0"/>
        <w:adjustRightInd w:val="0"/>
        <w:spacing w:before="0"/>
        <w:rPr>
          <w:rFonts w:ascii="Arial Narrow" w:hAnsi="Arial Narrow"/>
          <w:sz w:val="20"/>
          <w:szCs w:val="20"/>
          <w:lang w:val="en-AU"/>
        </w:rPr>
      </w:pPr>
      <w:r w:rsidRPr="00511840">
        <w:rPr>
          <w:rFonts w:ascii="Arial Narrow" w:hAnsi="Arial Narrow"/>
          <w:sz w:val="20"/>
          <w:szCs w:val="20"/>
          <w:vertAlign w:val="superscript"/>
          <w:lang w:val="en-AU"/>
        </w:rPr>
        <w:t>1</w:t>
      </w:r>
      <w:r w:rsidRPr="00511840">
        <w:rPr>
          <w:rFonts w:ascii="Arial Narrow" w:hAnsi="Arial Narrow"/>
          <w:sz w:val="20"/>
          <w:szCs w:val="20"/>
          <w:lang w:val="en-AU"/>
        </w:rPr>
        <w:t xml:space="preserve"> </w:t>
      </w:r>
      <w:r w:rsidRPr="00541139">
        <w:rPr>
          <w:rFonts w:ascii="Arial Narrow" w:hAnsi="Arial Narrow"/>
          <w:sz w:val="20"/>
          <w:szCs w:val="20"/>
          <w:lang w:val="en-AU"/>
        </w:rPr>
        <w:t>HI titr</w:t>
      </w:r>
      <w:r w:rsidR="000C5DB2" w:rsidRPr="00541139">
        <w:rPr>
          <w:rFonts w:ascii="Arial Narrow" w:hAnsi="Arial Narrow"/>
          <w:sz w:val="20"/>
          <w:szCs w:val="20"/>
          <w:lang w:val="en-AU"/>
        </w:rPr>
        <w:t>e</w:t>
      </w:r>
      <w:r w:rsidRPr="00541139">
        <w:rPr>
          <w:rFonts w:ascii="Arial Narrow" w:hAnsi="Arial Narrow"/>
          <w:sz w:val="20"/>
          <w:szCs w:val="20"/>
          <w:lang w:val="en-AU"/>
        </w:rPr>
        <w:t xml:space="preserve">s were assayed using egg-derived antigens. </w:t>
      </w:r>
    </w:p>
    <w:p w14:paraId="4572AE77" w14:textId="7AF901BB" w:rsidR="00A3615D" w:rsidRPr="00511840" w:rsidRDefault="00A3615D" w:rsidP="00A3615D">
      <w:pPr>
        <w:keepNext/>
        <w:autoSpaceDE w:val="0"/>
        <w:autoSpaceDN w:val="0"/>
        <w:adjustRightInd w:val="0"/>
        <w:spacing w:before="0"/>
        <w:rPr>
          <w:rFonts w:ascii="Arial Narrow" w:hAnsi="Arial Narrow"/>
          <w:sz w:val="20"/>
          <w:szCs w:val="20"/>
          <w:lang w:val="en-AU"/>
        </w:rPr>
      </w:pPr>
      <w:r w:rsidRPr="00541139">
        <w:rPr>
          <w:rFonts w:ascii="Arial Narrow" w:hAnsi="Arial Narrow"/>
          <w:sz w:val="20"/>
          <w:szCs w:val="20"/>
          <w:vertAlign w:val="superscript"/>
          <w:lang w:val="en-AU"/>
        </w:rPr>
        <w:t xml:space="preserve">2 </w:t>
      </w:r>
      <w:r w:rsidRPr="00541139">
        <w:rPr>
          <w:rFonts w:ascii="Arial Narrow" w:hAnsi="Arial Narrow"/>
          <w:sz w:val="20"/>
          <w:szCs w:val="20"/>
          <w:lang w:val="en-AU"/>
        </w:rPr>
        <w:t>Comparator</w:t>
      </w:r>
      <w:r w:rsidR="000C5DB2" w:rsidRPr="00541139">
        <w:rPr>
          <w:rFonts w:ascii="Arial Narrow" w:hAnsi="Arial Narrow"/>
          <w:sz w:val="20"/>
          <w:szCs w:val="20"/>
          <w:lang w:val="en-AU"/>
        </w:rPr>
        <w:t xml:space="preserve">: </w:t>
      </w:r>
      <w:r w:rsidRPr="00541139">
        <w:rPr>
          <w:rFonts w:ascii="Arial Narrow" w:hAnsi="Arial Narrow"/>
          <w:sz w:val="20"/>
          <w:szCs w:val="20"/>
          <w:lang w:val="en-AU"/>
        </w:rPr>
        <w:t xml:space="preserve"> </w:t>
      </w:r>
      <w:r w:rsidR="000C5DB2" w:rsidRPr="00541139">
        <w:rPr>
          <w:rFonts w:ascii="Arial Narrow" w:hAnsi="Arial Narrow"/>
          <w:sz w:val="20"/>
          <w:szCs w:val="20"/>
          <w:lang w:val="en-AU"/>
        </w:rPr>
        <w:t>Q</w:t>
      </w:r>
      <w:r w:rsidRPr="00541139">
        <w:rPr>
          <w:rFonts w:ascii="Arial Narrow" w:hAnsi="Arial Narrow"/>
          <w:sz w:val="20"/>
          <w:szCs w:val="20"/>
          <w:lang w:val="en-AU"/>
        </w:rPr>
        <w:t xml:space="preserve">uadrivalent inactivated influenza vaccine, Fluarix </w:t>
      </w:r>
      <w:r w:rsidR="000C5DB2" w:rsidRPr="00541139">
        <w:rPr>
          <w:rFonts w:ascii="Arial Narrow" w:hAnsi="Arial Narrow"/>
          <w:sz w:val="20"/>
          <w:szCs w:val="20"/>
          <w:lang w:val="en-AU"/>
        </w:rPr>
        <w:t>Tetra</w:t>
      </w:r>
      <w:r w:rsidRPr="00541139">
        <w:rPr>
          <w:rFonts w:ascii="Arial Narrow" w:hAnsi="Arial Narrow"/>
          <w:sz w:val="20"/>
          <w:szCs w:val="20"/>
          <w:lang w:val="en-AU"/>
        </w:rPr>
        <w:t>, manufactured by GlaxoSmithKline.</w:t>
      </w:r>
    </w:p>
    <w:p w14:paraId="5B9BD69B" w14:textId="77777777" w:rsidR="00A3615D" w:rsidRPr="00511840" w:rsidRDefault="00A3615D" w:rsidP="00A3615D">
      <w:pPr>
        <w:autoSpaceDE w:val="0"/>
        <w:autoSpaceDN w:val="0"/>
        <w:adjustRightInd w:val="0"/>
        <w:spacing w:before="0"/>
        <w:rPr>
          <w:sz w:val="22"/>
          <w:szCs w:val="22"/>
          <w:lang w:val="en-AU"/>
        </w:rPr>
      </w:pPr>
    </w:p>
    <w:p w14:paraId="53D805EE" w14:textId="316E923F" w:rsidR="00E656C5" w:rsidRDefault="005274FC" w:rsidP="00E656C5">
      <w:pPr>
        <w:autoSpaceDE w:val="0"/>
        <w:autoSpaceDN w:val="0"/>
        <w:adjustRightInd w:val="0"/>
        <w:spacing w:before="120" w:after="120"/>
        <w:rPr>
          <w:lang w:val="en-AU"/>
        </w:rPr>
      </w:pPr>
      <w:r>
        <w:rPr>
          <w:lang w:val="en-AU"/>
        </w:rPr>
        <w:t>PSC16</w:t>
      </w:r>
      <w:r w:rsidR="00A3615D" w:rsidRPr="00511840">
        <w:rPr>
          <w:lang w:val="en-AU"/>
        </w:rPr>
        <w:t xml:space="preserve"> in adults 18-49 years was conducted in parallel to </w:t>
      </w:r>
      <w:r>
        <w:rPr>
          <w:lang w:val="en-AU"/>
        </w:rPr>
        <w:t xml:space="preserve">PSC12 </w:t>
      </w:r>
      <w:r w:rsidR="00A3615D" w:rsidRPr="00511840">
        <w:rPr>
          <w:lang w:val="en-AU"/>
        </w:rPr>
        <w:t xml:space="preserve">in adults of 50 years of age and older. These adults 18-49 years were vaccinated during the same influenza season (2014-2015 Northern Hemisphere influenza season) and received the same Flublok Quadrivalent formulation (same vaccine strain composition) as adults of 50 years of age and older in </w:t>
      </w:r>
      <w:r>
        <w:rPr>
          <w:lang w:val="en-AU"/>
        </w:rPr>
        <w:t>PSC12</w:t>
      </w:r>
      <w:r w:rsidR="00A3615D" w:rsidRPr="00511840">
        <w:rPr>
          <w:lang w:val="en-AU"/>
        </w:rPr>
        <w:t xml:space="preserve">. The immune response induced by Flublok Quadrivalent was assessed by the same </w:t>
      </w:r>
      <w:r>
        <w:rPr>
          <w:lang w:val="en-AU"/>
        </w:rPr>
        <w:t xml:space="preserve">HI </w:t>
      </w:r>
      <w:r w:rsidR="00A3615D" w:rsidRPr="00511840">
        <w:rPr>
          <w:lang w:val="en-AU"/>
        </w:rPr>
        <w:t xml:space="preserve">assay and performed by the same laboratory for both studies. </w:t>
      </w:r>
      <w:r w:rsidR="00B70A23" w:rsidRPr="00354153">
        <w:rPr>
          <w:lang w:val="en-AU"/>
        </w:rPr>
        <w:t>The</w:t>
      </w:r>
      <w:r w:rsidR="00B70A23">
        <w:rPr>
          <w:lang w:val="en-AU"/>
        </w:rPr>
        <w:t xml:space="preserve"> </w:t>
      </w:r>
      <w:r w:rsidR="00A3615D" w:rsidRPr="00511840">
        <w:rPr>
          <w:lang w:val="en-AU"/>
        </w:rPr>
        <w:t>immunogenicity results in adults 18-49 years</w:t>
      </w:r>
      <w:r w:rsidR="00B70A23">
        <w:rPr>
          <w:lang w:val="en-AU"/>
        </w:rPr>
        <w:t xml:space="preserve"> </w:t>
      </w:r>
      <w:r w:rsidR="00B70A23" w:rsidRPr="00354153">
        <w:rPr>
          <w:lang w:val="en-AU"/>
        </w:rPr>
        <w:t>of age</w:t>
      </w:r>
      <w:r w:rsidR="00A3615D" w:rsidRPr="00354153">
        <w:rPr>
          <w:lang w:val="en-AU"/>
        </w:rPr>
        <w:t xml:space="preserve"> </w:t>
      </w:r>
      <w:r w:rsidR="00A3615D" w:rsidRPr="00511840">
        <w:rPr>
          <w:lang w:val="en-AU"/>
        </w:rPr>
        <w:t>(</w:t>
      </w:r>
      <w:r>
        <w:rPr>
          <w:lang w:val="en-AU"/>
        </w:rPr>
        <w:t>PSC16</w:t>
      </w:r>
      <w:r w:rsidR="00A3615D" w:rsidRPr="00511840">
        <w:rPr>
          <w:lang w:val="en-AU"/>
        </w:rPr>
        <w:t>) and adults 50 years</w:t>
      </w:r>
      <w:r w:rsidR="00B70A23">
        <w:rPr>
          <w:lang w:val="en-AU"/>
        </w:rPr>
        <w:t xml:space="preserve"> </w:t>
      </w:r>
      <w:r w:rsidR="00B70A23" w:rsidRPr="00354153">
        <w:rPr>
          <w:lang w:val="en-AU"/>
        </w:rPr>
        <w:t>of age</w:t>
      </w:r>
      <w:r w:rsidR="00A3615D" w:rsidRPr="00511840">
        <w:rPr>
          <w:lang w:val="en-AU"/>
        </w:rPr>
        <w:t xml:space="preserve"> </w:t>
      </w:r>
      <w:r w:rsidR="00A60F10">
        <w:rPr>
          <w:lang w:val="en-AU"/>
        </w:rPr>
        <w:t xml:space="preserve">and older </w:t>
      </w:r>
      <w:r w:rsidR="00A3615D" w:rsidRPr="00511840">
        <w:rPr>
          <w:lang w:val="en-AU"/>
        </w:rPr>
        <w:t>(</w:t>
      </w:r>
      <w:r>
        <w:rPr>
          <w:lang w:val="en-AU"/>
        </w:rPr>
        <w:t>PSC12</w:t>
      </w:r>
      <w:r w:rsidR="00541139">
        <w:rPr>
          <w:lang w:val="en-AU"/>
        </w:rPr>
        <w:t>)</w:t>
      </w:r>
      <w:r w:rsidR="00A3615D" w:rsidRPr="00511840">
        <w:rPr>
          <w:lang w:val="en-AU"/>
        </w:rPr>
        <w:t xml:space="preserve"> </w:t>
      </w:r>
      <w:r w:rsidR="00B70A23" w:rsidRPr="00354153">
        <w:rPr>
          <w:lang w:val="en-AU"/>
        </w:rPr>
        <w:t>are presented in</w:t>
      </w:r>
      <w:r w:rsidR="00B70A23" w:rsidRPr="00B70A23">
        <w:rPr>
          <w:color w:val="0070C0"/>
          <w:lang w:val="en-AU"/>
        </w:rPr>
        <w:t xml:space="preserve"> </w:t>
      </w:r>
      <w:r w:rsidR="00A3615D" w:rsidRPr="00511840">
        <w:rPr>
          <w:color w:val="0000FF"/>
          <w:lang w:val="en-AU"/>
        </w:rPr>
        <w:fldChar w:fldCharType="begin"/>
      </w:r>
      <w:r w:rsidR="00A3615D" w:rsidRPr="00511840">
        <w:rPr>
          <w:color w:val="0000FF"/>
          <w:lang w:val="en-AU"/>
        </w:rPr>
        <w:instrText xml:space="preserve"> REF _Ref20408474 \h  \* MERGEFORMAT </w:instrText>
      </w:r>
      <w:r w:rsidR="00A3615D" w:rsidRPr="00511840">
        <w:rPr>
          <w:color w:val="0000FF"/>
          <w:lang w:val="en-AU"/>
        </w:rPr>
      </w:r>
      <w:r w:rsidR="00A3615D" w:rsidRPr="00511840">
        <w:rPr>
          <w:color w:val="0000FF"/>
          <w:lang w:val="en-AU"/>
        </w:rPr>
        <w:fldChar w:fldCharType="separate"/>
      </w:r>
      <w:r w:rsidR="008266B0" w:rsidRPr="008266B0">
        <w:rPr>
          <w:color w:val="0000FF"/>
          <w:lang w:val="en-AU"/>
        </w:rPr>
        <w:t>Table 6</w:t>
      </w:r>
      <w:r w:rsidR="00A3615D" w:rsidRPr="00511840">
        <w:rPr>
          <w:color w:val="0000FF"/>
          <w:lang w:val="en-AU"/>
        </w:rPr>
        <w:fldChar w:fldCharType="end"/>
      </w:r>
      <w:r w:rsidR="00B70A23">
        <w:rPr>
          <w:lang w:val="en-AU"/>
        </w:rPr>
        <w:t>.</w:t>
      </w:r>
      <w:r w:rsidR="00E656C5">
        <w:rPr>
          <w:lang w:val="en-AU"/>
        </w:rPr>
        <w:t xml:space="preserve">  </w:t>
      </w:r>
    </w:p>
    <w:p w14:paraId="2544209F" w14:textId="21686E07" w:rsidR="00E656C5" w:rsidRPr="00511840" w:rsidRDefault="00E656C5" w:rsidP="00E656C5">
      <w:pPr>
        <w:autoSpaceDE w:val="0"/>
        <w:autoSpaceDN w:val="0"/>
        <w:adjustRightInd w:val="0"/>
        <w:spacing w:before="120" w:after="120"/>
        <w:rPr>
          <w:lang w:val="en-AU"/>
        </w:rPr>
      </w:pPr>
      <w:r w:rsidRPr="00511840">
        <w:rPr>
          <w:lang w:val="en-AU"/>
        </w:rPr>
        <w:t>The HA immune response induced by Flublok Quadrivalent in Adults 18-49 years is similar to that observed in adults ≥</w:t>
      </w:r>
      <w:r>
        <w:rPr>
          <w:lang w:val="en-AU"/>
        </w:rPr>
        <w:t xml:space="preserve"> </w:t>
      </w:r>
      <w:r w:rsidRPr="00511840">
        <w:rPr>
          <w:lang w:val="en-AU"/>
        </w:rPr>
        <w:t xml:space="preserve">50 years. </w:t>
      </w:r>
    </w:p>
    <w:p w14:paraId="41A436D3" w14:textId="557CA644" w:rsidR="00E656C5" w:rsidRPr="00511840" w:rsidRDefault="00E656C5" w:rsidP="00E656C5">
      <w:pPr>
        <w:autoSpaceDE w:val="0"/>
        <w:autoSpaceDN w:val="0"/>
        <w:adjustRightInd w:val="0"/>
        <w:spacing w:before="120" w:after="120"/>
        <w:rPr>
          <w:b/>
          <w:i/>
          <w:lang w:val="en-AU"/>
        </w:rPr>
      </w:pPr>
      <w:r w:rsidRPr="00511840">
        <w:rPr>
          <w:lang w:val="en-AU"/>
        </w:rPr>
        <w:t>Therefore, based on these immunogenicity data, the relative efficacy of Flublok Quadrivalent in adults 18-49 years is expected to be at least similar to the relative efficacy observed in adult</w:t>
      </w:r>
      <w:r w:rsidR="00F10A64">
        <w:rPr>
          <w:lang w:val="en-AU"/>
        </w:rPr>
        <w:t>s</w:t>
      </w:r>
      <w:r w:rsidRPr="00511840">
        <w:rPr>
          <w:lang w:val="en-AU"/>
        </w:rPr>
        <w:t xml:space="preserve"> ≥</w:t>
      </w:r>
      <w:r>
        <w:rPr>
          <w:lang w:val="en-AU"/>
        </w:rPr>
        <w:t xml:space="preserve"> </w:t>
      </w:r>
      <w:r w:rsidRPr="00511840">
        <w:rPr>
          <w:lang w:val="en-AU"/>
        </w:rPr>
        <w:t>50 years.</w:t>
      </w:r>
      <w:r w:rsidR="00F10A64">
        <w:rPr>
          <w:lang w:val="en-AU"/>
        </w:rPr>
        <w:t xml:space="preserve"> However relative efficacy was not studied in PSC16.</w:t>
      </w:r>
      <w:r w:rsidRPr="00511840">
        <w:rPr>
          <w:lang w:val="en-AU"/>
        </w:rPr>
        <w:t xml:space="preserve"> </w:t>
      </w:r>
    </w:p>
    <w:p w14:paraId="147C4DD2" w14:textId="68FC722D" w:rsidR="00A3615D" w:rsidRPr="00511840" w:rsidRDefault="00A3615D" w:rsidP="00A3615D">
      <w:pPr>
        <w:pStyle w:val="Caption"/>
        <w:rPr>
          <w:b w:val="0"/>
          <w:i/>
          <w:lang w:val="en-AU"/>
        </w:rPr>
      </w:pPr>
      <w:r w:rsidRPr="00511840">
        <w:rPr>
          <w:b w:val="0"/>
          <w:sz w:val="22"/>
          <w:lang w:val="en-AU"/>
        </w:rPr>
        <w:t xml:space="preserve"> </w:t>
      </w:r>
      <w:bookmarkStart w:id="9" w:name="_Ref20408474"/>
      <w:r w:rsidRPr="00511840">
        <w:rPr>
          <w:lang w:val="en-AU"/>
        </w:rPr>
        <w:t>Table </w:t>
      </w:r>
      <w:r w:rsidRPr="00511840">
        <w:rPr>
          <w:lang w:val="en-AU"/>
        </w:rPr>
        <w:fldChar w:fldCharType="begin"/>
      </w:r>
      <w:r w:rsidRPr="00511840">
        <w:rPr>
          <w:lang w:val="en-AU"/>
        </w:rPr>
        <w:instrText xml:space="preserve"> SEQ Table \* ARABIC </w:instrText>
      </w:r>
      <w:r w:rsidRPr="00511840">
        <w:rPr>
          <w:lang w:val="en-AU"/>
        </w:rPr>
        <w:fldChar w:fldCharType="separate"/>
      </w:r>
      <w:r w:rsidR="008266B0">
        <w:rPr>
          <w:noProof/>
          <w:lang w:val="en-AU"/>
        </w:rPr>
        <w:t>6</w:t>
      </w:r>
      <w:r w:rsidRPr="00511840">
        <w:rPr>
          <w:lang w:val="en-AU"/>
        </w:rPr>
        <w:fldChar w:fldCharType="end"/>
      </w:r>
      <w:bookmarkEnd w:id="9"/>
      <w:r w:rsidRPr="00511840">
        <w:rPr>
          <w:lang w:val="en-AU"/>
        </w:rPr>
        <w:t xml:space="preserve"> ­ Summary of </w:t>
      </w:r>
      <w:r w:rsidR="005274FC">
        <w:rPr>
          <w:lang w:val="en-AU"/>
        </w:rPr>
        <w:t xml:space="preserve">HI </w:t>
      </w:r>
      <w:r w:rsidRPr="00511840">
        <w:rPr>
          <w:lang w:val="en-AU"/>
        </w:rPr>
        <w:t>Antibody Response to Flublok Quadrivalent for Each Strain in Adults 18-49 years (</w:t>
      </w:r>
      <w:r w:rsidR="005274FC">
        <w:rPr>
          <w:lang w:val="en-AU"/>
        </w:rPr>
        <w:t>PSC16</w:t>
      </w:r>
      <w:r w:rsidRPr="00511840">
        <w:rPr>
          <w:lang w:val="en-AU"/>
        </w:rPr>
        <w:t>) and Adults</w:t>
      </w:r>
      <w:r w:rsidR="000929A0">
        <w:rPr>
          <w:lang w:val="en-AU"/>
        </w:rPr>
        <w:t xml:space="preserve"> </w:t>
      </w:r>
      <w:r w:rsidRPr="00511840">
        <w:rPr>
          <w:lang w:val="en-AU"/>
        </w:rPr>
        <w:t>≥</w:t>
      </w:r>
      <w:r w:rsidR="000929A0">
        <w:rPr>
          <w:lang w:val="en-AU"/>
        </w:rPr>
        <w:t xml:space="preserve"> </w:t>
      </w:r>
      <w:r w:rsidRPr="00511840">
        <w:rPr>
          <w:lang w:val="en-AU"/>
        </w:rPr>
        <w:t>50 years (</w:t>
      </w:r>
      <w:r w:rsidR="005274FC">
        <w:rPr>
          <w:lang w:val="en-AU"/>
        </w:rPr>
        <w:t>PSC12</w:t>
      </w:r>
      <w:r w:rsidRPr="00511840">
        <w:rPr>
          <w:lang w:val="en-AU"/>
        </w:rPr>
        <w:t>) - Immunogenicity Analysis Set</w:t>
      </w:r>
    </w:p>
    <w:tbl>
      <w:tblPr>
        <w:tblW w:w="5000" w:type="pct"/>
        <w:jc w:val="center"/>
        <w:tblBorders>
          <w:top w:val="single" w:sz="2" w:space="0" w:color="000000"/>
        </w:tblBorders>
        <w:tblLook w:val="04A0" w:firstRow="1" w:lastRow="0" w:firstColumn="1" w:lastColumn="0" w:noHBand="0" w:noVBand="1"/>
      </w:tblPr>
      <w:tblGrid>
        <w:gridCol w:w="3940"/>
        <w:gridCol w:w="2580"/>
        <w:gridCol w:w="2506"/>
      </w:tblGrid>
      <w:tr w:rsidR="00A3615D" w:rsidRPr="00511840" w14:paraId="66CF9A05" w14:textId="77777777" w:rsidTr="00E656C5">
        <w:trPr>
          <w:cantSplit/>
          <w:trHeight w:val="505"/>
          <w:tblHeader/>
          <w:jc w:val="center"/>
        </w:trPr>
        <w:tc>
          <w:tcPr>
            <w:tcW w:w="2183" w:type="pct"/>
            <w:tcBorders>
              <w:top w:val="single" w:sz="4" w:space="0" w:color="000000"/>
              <w:bottom w:val="single" w:sz="4" w:space="0" w:color="000000"/>
            </w:tcBorders>
            <w:shd w:val="clear" w:color="auto" w:fill="auto"/>
          </w:tcPr>
          <w:p w14:paraId="7FC23240" w14:textId="77777777" w:rsidR="00A3615D" w:rsidRPr="00511840" w:rsidRDefault="00A3615D" w:rsidP="003E1CF4">
            <w:pPr>
              <w:pStyle w:val="TblHeadingCenter"/>
            </w:pPr>
          </w:p>
        </w:tc>
        <w:tc>
          <w:tcPr>
            <w:tcW w:w="1429" w:type="pct"/>
            <w:tcBorders>
              <w:top w:val="single" w:sz="4" w:space="0" w:color="000000"/>
              <w:bottom w:val="single" w:sz="4" w:space="0" w:color="000000"/>
            </w:tcBorders>
            <w:shd w:val="clear" w:color="auto" w:fill="auto"/>
          </w:tcPr>
          <w:p w14:paraId="580EAD98" w14:textId="77777777" w:rsidR="00A3615D" w:rsidRPr="00511840" w:rsidRDefault="00A3615D" w:rsidP="003E1CF4">
            <w:pPr>
              <w:pStyle w:val="TblHeadingCenter"/>
            </w:pPr>
            <w:r w:rsidRPr="00511840">
              <w:t>Adults 18-49 years</w:t>
            </w:r>
          </w:p>
          <w:p w14:paraId="4626933C" w14:textId="77777777" w:rsidR="00A3615D" w:rsidRPr="00511840" w:rsidRDefault="00A3615D" w:rsidP="003E1CF4">
            <w:pPr>
              <w:pStyle w:val="TblHeadingCenter"/>
            </w:pPr>
            <w:r w:rsidRPr="00511840">
              <w:t>N=969</w:t>
            </w:r>
          </w:p>
        </w:tc>
        <w:tc>
          <w:tcPr>
            <w:tcW w:w="1388" w:type="pct"/>
            <w:tcBorders>
              <w:top w:val="single" w:sz="4" w:space="0" w:color="000000"/>
              <w:bottom w:val="single" w:sz="4" w:space="0" w:color="000000"/>
            </w:tcBorders>
            <w:shd w:val="clear" w:color="auto" w:fill="auto"/>
          </w:tcPr>
          <w:p w14:paraId="50EB37AB" w14:textId="58BE5097" w:rsidR="00A3615D" w:rsidRPr="00511840" w:rsidRDefault="00A3615D" w:rsidP="003E1CF4">
            <w:pPr>
              <w:pStyle w:val="TblHeadingCenter"/>
            </w:pPr>
            <w:r w:rsidRPr="00511840">
              <w:t>Adults ≥</w:t>
            </w:r>
            <w:r w:rsidR="000C5DB2">
              <w:t xml:space="preserve"> </w:t>
            </w:r>
            <w:r w:rsidRPr="00511840">
              <w:t>50 years</w:t>
            </w:r>
          </w:p>
          <w:p w14:paraId="6AC370E9" w14:textId="77777777" w:rsidR="00A3615D" w:rsidRPr="00511840" w:rsidRDefault="00A3615D" w:rsidP="003E1CF4">
            <w:pPr>
              <w:pStyle w:val="TblHeadingCenter"/>
            </w:pPr>
            <w:r w:rsidRPr="00511840">
              <w:t>N=314</w:t>
            </w:r>
          </w:p>
        </w:tc>
      </w:tr>
      <w:tr w:rsidR="00695469" w:rsidRPr="00511840" w14:paraId="6DD5C7CC" w14:textId="77777777" w:rsidTr="00E656C5">
        <w:trPr>
          <w:cantSplit/>
          <w:trHeight w:val="277"/>
          <w:jc w:val="center"/>
        </w:trPr>
        <w:tc>
          <w:tcPr>
            <w:tcW w:w="5000" w:type="pct"/>
            <w:gridSpan w:val="3"/>
            <w:shd w:val="clear" w:color="auto" w:fill="auto"/>
            <w:vAlign w:val="center"/>
          </w:tcPr>
          <w:p w14:paraId="31C8579C" w14:textId="69C69F08" w:rsidR="00695469" w:rsidRPr="003E1CF4" w:rsidRDefault="00695469" w:rsidP="003E1CF4">
            <w:pPr>
              <w:pStyle w:val="TblTextLeft"/>
              <w:rPr>
                <w:b/>
              </w:rPr>
            </w:pPr>
            <w:r w:rsidRPr="003E1CF4">
              <w:rPr>
                <w:b/>
              </w:rPr>
              <w:t>GMT pre-vaccination (95% CI)</w:t>
            </w:r>
          </w:p>
        </w:tc>
      </w:tr>
      <w:tr w:rsidR="00E656C5" w:rsidRPr="00511840" w14:paraId="4096D995" w14:textId="77777777" w:rsidTr="00E656C5">
        <w:trPr>
          <w:cantSplit/>
          <w:trHeight w:val="252"/>
          <w:jc w:val="center"/>
        </w:trPr>
        <w:tc>
          <w:tcPr>
            <w:tcW w:w="2183" w:type="pct"/>
            <w:shd w:val="clear" w:color="auto" w:fill="auto"/>
          </w:tcPr>
          <w:p w14:paraId="23AE5497" w14:textId="10BFB098" w:rsidR="00E656C5" w:rsidRPr="003E1CF4" w:rsidRDefault="00E656C5" w:rsidP="00E656C5">
            <w:pPr>
              <w:pStyle w:val="TblTextCenter"/>
            </w:pPr>
            <w:r w:rsidRPr="003E1CF4">
              <w:t xml:space="preserve">A/California/7/2009 (H1N1) </w:t>
            </w:r>
          </w:p>
        </w:tc>
        <w:tc>
          <w:tcPr>
            <w:tcW w:w="1429" w:type="pct"/>
            <w:shd w:val="clear" w:color="auto" w:fill="auto"/>
          </w:tcPr>
          <w:p w14:paraId="71EFE837" w14:textId="24E6799B" w:rsidR="00E656C5" w:rsidRPr="003E1CF4" w:rsidRDefault="00E656C5" w:rsidP="00E656C5">
            <w:pPr>
              <w:pStyle w:val="TblTextCenter"/>
            </w:pPr>
            <w:r w:rsidRPr="003E1CF4">
              <w:t>59 (54; 65)</w:t>
            </w:r>
          </w:p>
        </w:tc>
        <w:tc>
          <w:tcPr>
            <w:tcW w:w="1388" w:type="pct"/>
            <w:shd w:val="clear" w:color="auto" w:fill="auto"/>
          </w:tcPr>
          <w:p w14:paraId="1BAC6B23" w14:textId="38D4069A" w:rsidR="00E656C5" w:rsidRPr="003E1CF4" w:rsidRDefault="00E656C5" w:rsidP="00E656C5">
            <w:pPr>
              <w:pStyle w:val="TblTextCenter"/>
            </w:pPr>
            <w:r w:rsidRPr="003E1CF4">
              <w:t>44 (38; 51)</w:t>
            </w:r>
          </w:p>
        </w:tc>
      </w:tr>
      <w:tr w:rsidR="00E656C5" w:rsidRPr="00511840" w14:paraId="2325BDB4" w14:textId="77777777" w:rsidTr="00E656C5">
        <w:trPr>
          <w:cantSplit/>
          <w:trHeight w:val="252"/>
          <w:jc w:val="center"/>
        </w:trPr>
        <w:tc>
          <w:tcPr>
            <w:tcW w:w="2183" w:type="pct"/>
            <w:shd w:val="clear" w:color="auto" w:fill="auto"/>
          </w:tcPr>
          <w:p w14:paraId="39610F59" w14:textId="77777777" w:rsidR="00E656C5" w:rsidRPr="003E1CF4" w:rsidRDefault="00E656C5" w:rsidP="00E656C5">
            <w:pPr>
              <w:pStyle w:val="TblTextCenter"/>
            </w:pPr>
            <w:r w:rsidRPr="003E1CF4">
              <w:t xml:space="preserve">A/Texas/50/2012 (H3N2) </w:t>
            </w:r>
          </w:p>
        </w:tc>
        <w:tc>
          <w:tcPr>
            <w:tcW w:w="1429" w:type="pct"/>
            <w:shd w:val="clear" w:color="auto" w:fill="auto"/>
          </w:tcPr>
          <w:p w14:paraId="5B96A0EC" w14:textId="77777777" w:rsidR="00E656C5" w:rsidRPr="003E1CF4" w:rsidRDefault="00E656C5" w:rsidP="00E656C5">
            <w:pPr>
              <w:pStyle w:val="TblTextCenter"/>
            </w:pPr>
            <w:r w:rsidRPr="003E1CF4">
              <w:t>74 (68; 82)</w:t>
            </w:r>
          </w:p>
        </w:tc>
        <w:tc>
          <w:tcPr>
            <w:tcW w:w="1388" w:type="pct"/>
            <w:shd w:val="clear" w:color="auto" w:fill="auto"/>
          </w:tcPr>
          <w:p w14:paraId="3CA86489" w14:textId="77777777" w:rsidR="00E656C5" w:rsidRPr="003E1CF4" w:rsidRDefault="00E656C5" w:rsidP="00E656C5">
            <w:pPr>
              <w:pStyle w:val="TblTextCenter"/>
            </w:pPr>
            <w:r w:rsidRPr="003E1CF4">
              <w:t>87 (73; 103)</w:t>
            </w:r>
          </w:p>
        </w:tc>
      </w:tr>
      <w:tr w:rsidR="00E656C5" w:rsidRPr="00511840" w14:paraId="6B8D12C7" w14:textId="77777777" w:rsidTr="00E656C5">
        <w:trPr>
          <w:cantSplit/>
          <w:trHeight w:val="252"/>
          <w:jc w:val="center"/>
        </w:trPr>
        <w:tc>
          <w:tcPr>
            <w:tcW w:w="2183" w:type="pct"/>
            <w:shd w:val="clear" w:color="auto" w:fill="auto"/>
          </w:tcPr>
          <w:p w14:paraId="79EB6560" w14:textId="77777777" w:rsidR="00E656C5" w:rsidRPr="003E1CF4" w:rsidRDefault="00E656C5" w:rsidP="00E656C5">
            <w:pPr>
              <w:pStyle w:val="TblTextCenter"/>
            </w:pPr>
            <w:r w:rsidRPr="003E1CF4">
              <w:t>B/Massachusetts/02/2012 (Yamagata lineage)</w:t>
            </w:r>
          </w:p>
        </w:tc>
        <w:tc>
          <w:tcPr>
            <w:tcW w:w="1429" w:type="pct"/>
            <w:shd w:val="clear" w:color="auto" w:fill="auto"/>
          </w:tcPr>
          <w:p w14:paraId="569CFC8C" w14:textId="77777777" w:rsidR="00E656C5" w:rsidRPr="003E1CF4" w:rsidRDefault="00E656C5" w:rsidP="00E656C5">
            <w:pPr>
              <w:pStyle w:val="TblTextCenter"/>
            </w:pPr>
            <w:r w:rsidRPr="003E1CF4">
              <w:t>26 (24; 29)</w:t>
            </w:r>
          </w:p>
        </w:tc>
        <w:tc>
          <w:tcPr>
            <w:tcW w:w="1388" w:type="pct"/>
            <w:shd w:val="clear" w:color="auto" w:fill="auto"/>
          </w:tcPr>
          <w:p w14:paraId="5F917D9E" w14:textId="77777777" w:rsidR="00E656C5" w:rsidRPr="003E1CF4" w:rsidRDefault="00E656C5" w:rsidP="00E656C5">
            <w:pPr>
              <w:pStyle w:val="TblTextCenter"/>
            </w:pPr>
            <w:r w:rsidRPr="003E1CF4">
              <w:t>17 (15; 20)</w:t>
            </w:r>
          </w:p>
        </w:tc>
      </w:tr>
      <w:tr w:rsidR="00E656C5" w:rsidRPr="00511840" w14:paraId="5F173A7F" w14:textId="77777777" w:rsidTr="00E656C5">
        <w:trPr>
          <w:cantSplit/>
          <w:trHeight w:val="233"/>
          <w:jc w:val="center"/>
        </w:trPr>
        <w:tc>
          <w:tcPr>
            <w:tcW w:w="2183" w:type="pct"/>
            <w:shd w:val="clear" w:color="auto" w:fill="auto"/>
          </w:tcPr>
          <w:p w14:paraId="1E164A37" w14:textId="77777777" w:rsidR="00E656C5" w:rsidRPr="003E1CF4" w:rsidRDefault="00E656C5" w:rsidP="00E656C5">
            <w:pPr>
              <w:pStyle w:val="TblTextCenter"/>
            </w:pPr>
            <w:r w:rsidRPr="003E1CF4">
              <w:t xml:space="preserve">B/Brisbane/60/2008 (Victoria lineage) </w:t>
            </w:r>
          </w:p>
        </w:tc>
        <w:tc>
          <w:tcPr>
            <w:tcW w:w="1429" w:type="pct"/>
            <w:shd w:val="clear" w:color="auto" w:fill="auto"/>
          </w:tcPr>
          <w:p w14:paraId="5829E570" w14:textId="77777777" w:rsidR="00E656C5" w:rsidRPr="003E1CF4" w:rsidRDefault="00E656C5" w:rsidP="00E656C5">
            <w:pPr>
              <w:pStyle w:val="TblTextCenter"/>
            </w:pPr>
            <w:r w:rsidRPr="003E1CF4">
              <w:t>12 (11; 13)</w:t>
            </w:r>
          </w:p>
        </w:tc>
        <w:tc>
          <w:tcPr>
            <w:tcW w:w="1388" w:type="pct"/>
            <w:shd w:val="clear" w:color="auto" w:fill="auto"/>
          </w:tcPr>
          <w:p w14:paraId="5A53E223" w14:textId="77777777" w:rsidR="00E656C5" w:rsidRPr="003E1CF4" w:rsidRDefault="00E656C5" w:rsidP="00E656C5">
            <w:pPr>
              <w:pStyle w:val="TblTextCenter"/>
            </w:pPr>
            <w:r w:rsidRPr="003E1CF4">
              <w:t>14 (12; 15)</w:t>
            </w:r>
          </w:p>
        </w:tc>
      </w:tr>
      <w:tr w:rsidR="00E656C5" w:rsidRPr="00511840" w14:paraId="3EF4E3BE" w14:textId="77777777" w:rsidTr="00E656C5">
        <w:trPr>
          <w:cantSplit/>
          <w:trHeight w:val="268"/>
          <w:jc w:val="center"/>
        </w:trPr>
        <w:tc>
          <w:tcPr>
            <w:tcW w:w="5000" w:type="pct"/>
            <w:gridSpan w:val="3"/>
            <w:shd w:val="clear" w:color="auto" w:fill="auto"/>
            <w:vAlign w:val="center"/>
          </w:tcPr>
          <w:p w14:paraId="01C35DDF" w14:textId="464E2E0C" w:rsidR="00E656C5" w:rsidRPr="003E1CF4" w:rsidRDefault="00E656C5" w:rsidP="00E656C5">
            <w:pPr>
              <w:pStyle w:val="TblTextLeft"/>
              <w:rPr>
                <w:b/>
              </w:rPr>
            </w:pPr>
            <w:r w:rsidRPr="003E1CF4">
              <w:rPr>
                <w:b/>
              </w:rPr>
              <w:t>GMT post-vaccination (95% CI)</w:t>
            </w:r>
          </w:p>
        </w:tc>
      </w:tr>
      <w:tr w:rsidR="00E656C5" w:rsidRPr="00511840" w14:paraId="688F82BB" w14:textId="77777777" w:rsidTr="00E656C5">
        <w:trPr>
          <w:cantSplit/>
          <w:trHeight w:val="252"/>
          <w:jc w:val="center"/>
        </w:trPr>
        <w:tc>
          <w:tcPr>
            <w:tcW w:w="2183" w:type="pct"/>
            <w:shd w:val="clear" w:color="auto" w:fill="auto"/>
          </w:tcPr>
          <w:p w14:paraId="53D1BE8D" w14:textId="77777777" w:rsidR="00E656C5" w:rsidRPr="003E1CF4" w:rsidRDefault="00E656C5" w:rsidP="00E656C5">
            <w:pPr>
              <w:pStyle w:val="TblTextCenter"/>
            </w:pPr>
            <w:r w:rsidRPr="003E1CF4">
              <w:t>A/California/7/2009 (H1N1)</w:t>
            </w:r>
          </w:p>
        </w:tc>
        <w:tc>
          <w:tcPr>
            <w:tcW w:w="1429" w:type="pct"/>
            <w:shd w:val="clear" w:color="auto" w:fill="auto"/>
          </w:tcPr>
          <w:p w14:paraId="3087FF7D" w14:textId="77777777" w:rsidR="00E656C5" w:rsidRPr="003E1CF4" w:rsidRDefault="00E656C5" w:rsidP="00E656C5">
            <w:pPr>
              <w:pStyle w:val="TblTextCenter"/>
            </w:pPr>
            <w:r w:rsidRPr="003E1CF4">
              <w:t>493 (460; 527)</w:t>
            </w:r>
          </w:p>
        </w:tc>
        <w:tc>
          <w:tcPr>
            <w:tcW w:w="1388" w:type="pct"/>
            <w:shd w:val="clear" w:color="auto" w:fill="auto"/>
          </w:tcPr>
          <w:p w14:paraId="6C613733" w14:textId="77777777" w:rsidR="00E656C5" w:rsidRPr="003E1CF4" w:rsidRDefault="00E656C5" w:rsidP="00E656C5">
            <w:pPr>
              <w:pStyle w:val="TblTextCenter"/>
            </w:pPr>
            <w:r w:rsidRPr="003E1CF4">
              <w:t>190 (164; 221)</w:t>
            </w:r>
          </w:p>
        </w:tc>
      </w:tr>
      <w:tr w:rsidR="00E656C5" w:rsidRPr="00511840" w14:paraId="1E945F91" w14:textId="77777777" w:rsidTr="00E656C5">
        <w:trPr>
          <w:cantSplit/>
          <w:trHeight w:val="252"/>
          <w:jc w:val="center"/>
        </w:trPr>
        <w:tc>
          <w:tcPr>
            <w:tcW w:w="2183" w:type="pct"/>
            <w:shd w:val="clear" w:color="auto" w:fill="auto"/>
          </w:tcPr>
          <w:p w14:paraId="64972CA7" w14:textId="77777777" w:rsidR="00E656C5" w:rsidRPr="003E1CF4" w:rsidRDefault="00E656C5" w:rsidP="00E656C5">
            <w:pPr>
              <w:pStyle w:val="TblTextCenter"/>
            </w:pPr>
            <w:r w:rsidRPr="003E1CF4">
              <w:t>A/Texas/50/2012 (H3N2)</w:t>
            </w:r>
          </w:p>
        </w:tc>
        <w:tc>
          <w:tcPr>
            <w:tcW w:w="1429" w:type="pct"/>
            <w:shd w:val="clear" w:color="auto" w:fill="auto"/>
          </w:tcPr>
          <w:p w14:paraId="1698F204" w14:textId="77777777" w:rsidR="00E656C5" w:rsidRPr="003E1CF4" w:rsidRDefault="00E656C5" w:rsidP="00E656C5">
            <w:pPr>
              <w:pStyle w:val="TblTextCenter"/>
            </w:pPr>
            <w:r w:rsidRPr="003E1CF4">
              <w:t>748 (700; 800)</w:t>
            </w:r>
          </w:p>
        </w:tc>
        <w:tc>
          <w:tcPr>
            <w:tcW w:w="1388" w:type="pct"/>
            <w:shd w:val="clear" w:color="auto" w:fill="auto"/>
          </w:tcPr>
          <w:p w14:paraId="048933C9" w14:textId="77777777" w:rsidR="00E656C5" w:rsidRPr="003E1CF4" w:rsidRDefault="00E656C5" w:rsidP="00E656C5">
            <w:pPr>
              <w:pStyle w:val="TblTextCenter"/>
            </w:pPr>
            <w:r w:rsidRPr="003E1CF4">
              <w:t>522(462; 589)</w:t>
            </w:r>
          </w:p>
        </w:tc>
      </w:tr>
      <w:tr w:rsidR="00E656C5" w:rsidRPr="00511840" w14:paraId="37B79D45" w14:textId="77777777" w:rsidTr="00E656C5">
        <w:trPr>
          <w:cantSplit/>
          <w:trHeight w:val="233"/>
          <w:jc w:val="center"/>
        </w:trPr>
        <w:tc>
          <w:tcPr>
            <w:tcW w:w="2183" w:type="pct"/>
            <w:shd w:val="clear" w:color="auto" w:fill="auto"/>
          </w:tcPr>
          <w:p w14:paraId="3D230455" w14:textId="77777777" w:rsidR="00E656C5" w:rsidRPr="003E1CF4" w:rsidRDefault="00E656C5" w:rsidP="00E656C5">
            <w:pPr>
              <w:pStyle w:val="TblTextCenter"/>
            </w:pPr>
            <w:r w:rsidRPr="003E1CF4">
              <w:t>B/Massachusetts/02/2012 (Yamagata lineage)</w:t>
            </w:r>
          </w:p>
        </w:tc>
        <w:tc>
          <w:tcPr>
            <w:tcW w:w="1429" w:type="pct"/>
            <w:shd w:val="clear" w:color="auto" w:fill="auto"/>
          </w:tcPr>
          <w:p w14:paraId="036A15BD" w14:textId="77777777" w:rsidR="00E656C5" w:rsidRPr="003E1CF4" w:rsidRDefault="00E656C5" w:rsidP="00E656C5">
            <w:pPr>
              <w:pStyle w:val="TblTextCenter"/>
            </w:pPr>
            <w:r w:rsidRPr="003E1CF4">
              <w:t>156 (145; 168)</w:t>
            </w:r>
          </w:p>
        </w:tc>
        <w:tc>
          <w:tcPr>
            <w:tcW w:w="1388" w:type="pct"/>
            <w:shd w:val="clear" w:color="auto" w:fill="auto"/>
          </w:tcPr>
          <w:p w14:paraId="17D09382" w14:textId="77777777" w:rsidR="00E656C5" w:rsidRPr="003E1CF4" w:rsidRDefault="00E656C5" w:rsidP="00E656C5">
            <w:pPr>
              <w:pStyle w:val="TblTextCenter"/>
            </w:pPr>
            <w:r w:rsidRPr="003E1CF4">
              <w:t>55 (48; 64)</w:t>
            </w:r>
          </w:p>
        </w:tc>
      </w:tr>
      <w:tr w:rsidR="00E656C5" w:rsidRPr="00511840" w14:paraId="0865EAEC" w14:textId="77777777" w:rsidTr="00E656C5">
        <w:trPr>
          <w:cantSplit/>
          <w:trHeight w:val="252"/>
          <w:jc w:val="center"/>
        </w:trPr>
        <w:tc>
          <w:tcPr>
            <w:tcW w:w="2183" w:type="pct"/>
            <w:shd w:val="clear" w:color="auto" w:fill="auto"/>
          </w:tcPr>
          <w:p w14:paraId="1A193F01" w14:textId="77777777" w:rsidR="00E656C5" w:rsidRPr="003E1CF4" w:rsidRDefault="00E656C5" w:rsidP="00E656C5">
            <w:pPr>
              <w:pStyle w:val="TblTextCenter"/>
            </w:pPr>
            <w:r w:rsidRPr="003E1CF4">
              <w:lastRenderedPageBreak/>
              <w:t>B/Brisbane/60/2008 (Victoria lineage)</w:t>
            </w:r>
          </w:p>
        </w:tc>
        <w:tc>
          <w:tcPr>
            <w:tcW w:w="1429" w:type="pct"/>
            <w:shd w:val="clear" w:color="auto" w:fill="auto"/>
          </w:tcPr>
          <w:p w14:paraId="5592C228" w14:textId="77777777" w:rsidR="00E656C5" w:rsidRPr="003E1CF4" w:rsidRDefault="00E656C5" w:rsidP="00E656C5">
            <w:pPr>
              <w:pStyle w:val="TblTextCenter"/>
            </w:pPr>
            <w:r w:rsidRPr="003E1CF4">
              <w:t>43 (40; 46)</w:t>
            </w:r>
          </w:p>
        </w:tc>
        <w:tc>
          <w:tcPr>
            <w:tcW w:w="1388" w:type="pct"/>
            <w:shd w:val="clear" w:color="auto" w:fill="auto"/>
          </w:tcPr>
          <w:p w14:paraId="7A2F6C98" w14:textId="77777777" w:rsidR="00E656C5" w:rsidRPr="003E1CF4" w:rsidRDefault="00E656C5" w:rsidP="00E656C5">
            <w:pPr>
              <w:pStyle w:val="TblTextCenter"/>
            </w:pPr>
            <w:r w:rsidRPr="003E1CF4">
              <w:t>29 (26; 33)</w:t>
            </w:r>
          </w:p>
        </w:tc>
      </w:tr>
      <w:tr w:rsidR="00E656C5" w:rsidRPr="00511840" w14:paraId="530A7435" w14:textId="77777777" w:rsidTr="00E656C5">
        <w:trPr>
          <w:cantSplit/>
          <w:trHeight w:val="349"/>
          <w:jc w:val="center"/>
        </w:trPr>
        <w:tc>
          <w:tcPr>
            <w:tcW w:w="5000" w:type="pct"/>
            <w:gridSpan w:val="3"/>
            <w:shd w:val="clear" w:color="auto" w:fill="auto"/>
            <w:vAlign w:val="center"/>
          </w:tcPr>
          <w:p w14:paraId="5E613A67" w14:textId="5D9E677F" w:rsidR="00E656C5" w:rsidRPr="003E1CF4" w:rsidRDefault="00E656C5" w:rsidP="00E656C5">
            <w:pPr>
              <w:pStyle w:val="TblTextLeft"/>
              <w:rPr>
                <w:b/>
              </w:rPr>
            </w:pPr>
            <w:r w:rsidRPr="003E1CF4">
              <w:rPr>
                <w:b/>
              </w:rPr>
              <w:t>SCR % (95% CI)</w:t>
            </w:r>
          </w:p>
        </w:tc>
      </w:tr>
      <w:tr w:rsidR="00E656C5" w:rsidRPr="00511840" w14:paraId="6EF88375" w14:textId="77777777" w:rsidTr="00E656C5">
        <w:trPr>
          <w:cantSplit/>
          <w:trHeight w:val="252"/>
          <w:jc w:val="center"/>
        </w:trPr>
        <w:tc>
          <w:tcPr>
            <w:tcW w:w="2183" w:type="pct"/>
            <w:shd w:val="clear" w:color="auto" w:fill="auto"/>
          </w:tcPr>
          <w:p w14:paraId="5318F995" w14:textId="77777777" w:rsidR="00E656C5" w:rsidRPr="003E1CF4" w:rsidRDefault="00E656C5" w:rsidP="00E656C5">
            <w:pPr>
              <w:pStyle w:val="TblTextCenter"/>
            </w:pPr>
            <w:r w:rsidRPr="003E1CF4">
              <w:t>A/California/7/2009 (H1N1)</w:t>
            </w:r>
          </w:p>
        </w:tc>
        <w:tc>
          <w:tcPr>
            <w:tcW w:w="1429" w:type="pct"/>
            <w:shd w:val="clear" w:color="auto" w:fill="auto"/>
          </w:tcPr>
          <w:p w14:paraId="002BAB4A" w14:textId="77777777" w:rsidR="00E656C5" w:rsidRPr="003E1CF4" w:rsidRDefault="00E656C5" w:rsidP="00E656C5">
            <w:pPr>
              <w:pStyle w:val="TblTextCenter"/>
            </w:pPr>
            <w:r w:rsidRPr="003E1CF4">
              <w:t>66.7 (63.6; 69.6)</w:t>
            </w:r>
          </w:p>
        </w:tc>
        <w:tc>
          <w:tcPr>
            <w:tcW w:w="1388" w:type="pct"/>
            <w:shd w:val="clear" w:color="auto" w:fill="auto"/>
          </w:tcPr>
          <w:p w14:paraId="2656E76A" w14:textId="77777777" w:rsidR="00E656C5" w:rsidRPr="003E1CF4" w:rsidRDefault="00E656C5" w:rsidP="00E656C5">
            <w:pPr>
              <w:pStyle w:val="TblTextCenter"/>
            </w:pPr>
            <w:r w:rsidRPr="003E1CF4">
              <w:t>44.9 (39.3; 50.6)</w:t>
            </w:r>
          </w:p>
        </w:tc>
      </w:tr>
      <w:tr w:rsidR="00E656C5" w:rsidRPr="00511840" w14:paraId="34D9546F" w14:textId="77777777" w:rsidTr="00E656C5">
        <w:trPr>
          <w:cantSplit/>
          <w:trHeight w:val="252"/>
          <w:jc w:val="center"/>
        </w:trPr>
        <w:tc>
          <w:tcPr>
            <w:tcW w:w="2183" w:type="pct"/>
            <w:shd w:val="clear" w:color="auto" w:fill="auto"/>
          </w:tcPr>
          <w:p w14:paraId="4ED7FF56" w14:textId="77777777" w:rsidR="00E656C5" w:rsidRPr="003E1CF4" w:rsidRDefault="00E656C5" w:rsidP="00E656C5">
            <w:pPr>
              <w:pStyle w:val="TblTextCenter"/>
            </w:pPr>
            <w:r w:rsidRPr="003E1CF4">
              <w:t>A/Texas/50/2012 (H3N2)</w:t>
            </w:r>
          </w:p>
        </w:tc>
        <w:tc>
          <w:tcPr>
            <w:tcW w:w="1429" w:type="pct"/>
            <w:shd w:val="clear" w:color="auto" w:fill="auto"/>
          </w:tcPr>
          <w:p w14:paraId="4F6B6C5E" w14:textId="77777777" w:rsidR="00E656C5" w:rsidRPr="003E1CF4" w:rsidRDefault="00E656C5" w:rsidP="00E656C5">
            <w:pPr>
              <w:pStyle w:val="TblTextCenter"/>
            </w:pPr>
            <w:r w:rsidRPr="003E1CF4">
              <w:t>72.1 (69.2; 74.9)</w:t>
            </w:r>
          </w:p>
        </w:tc>
        <w:tc>
          <w:tcPr>
            <w:tcW w:w="1388" w:type="pct"/>
            <w:shd w:val="clear" w:color="auto" w:fill="auto"/>
          </w:tcPr>
          <w:p w14:paraId="67294217" w14:textId="77777777" w:rsidR="00E656C5" w:rsidRPr="003E1CF4" w:rsidRDefault="00E656C5" w:rsidP="00E656C5">
            <w:pPr>
              <w:pStyle w:val="TblTextCenter"/>
            </w:pPr>
            <w:r w:rsidRPr="003E1CF4">
              <w:t>54.5 (48.8; 60.1)</w:t>
            </w:r>
          </w:p>
        </w:tc>
      </w:tr>
      <w:tr w:rsidR="00E656C5" w:rsidRPr="00511840" w14:paraId="2B9493C7" w14:textId="77777777" w:rsidTr="00E656C5">
        <w:trPr>
          <w:cantSplit/>
          <w:trHeight w:val="242"/>
          <w:jc w:val="center"/>
        </w:trPr>
        <w:tc>
          <w:tcPr>
            <w:tcW w:w="2183" w:type="pct"/>
            <w:shd w:val="clear" w:color="auto" w:fill="auto"/>
          </w:tcPr>
          <w:p w14:paraId="1088E544" w14:textId="77777777" w:rsidR="00E656C5" w:rsidRPr="003E1CF4" w:rsidRDefault="00E656C5" w:rsidP="00E656C5">
            <w:pPr>
              <w:pStyle w:val="TblTextCenter"/>
            </w:pPr>
            <w:r w:rsidRPr="003E1CF4">
              <w:t>B/Massachusetts/02/2012 (Yamagata lineage)</w:t>
            </w:r>
          </w:p>
        </w:tc>
        <w:tc>
          <w:tcPr>
            <w:tcW w:w="1429" w:type="pct"/>
            <w:shd w:val="clear" w:color="auto" w:fill="auto"/>
          </w:tcPr>
          <w:p w14:paraId="6ED02B5B" w14:textId="77777777" w:rsidR="00E656C5" w:rsidRPr="003E1CF4" w:rsidRDefault="00E656C5" w:rsidP="00E656C5">
            <w:pPr>
              <w:pStyle w:val="TblTextCenter"/>
            </w:pPr>
            <w:r w:rsidRPr="003E1CF4">
              <w:t>59.6 (56.5; 62.8)</w:t>
            </w:r>
          </w:p>
        </w:tc>
        <w:tc>
          <w:tcPr>
            <w:tcW w:w="1388" w:type="pct"/>
            <w:shd w:val="clear" w:color="auto" w:fill="auto"/>
          </w:tcPr>
          <w:p w14:paraId="431C311A" w14:textId="77777777" w:rsidR="00E656C5" w:rsidRPr="003E1CF4" w:rsidRDefault="00E656C5" w:rsidP="00E656C5">
            <w:pPr>
              <w:pStyle w:val="TblTextCenter"/>
            </w:pPr>
            <w:r w:rsidRPr="003E1CF4">
              <w:t>38.9 (33.4; 44.5)</w:t>
            </w:r>
          </w:p>
        </w:tc>
      </w:tr>
      <w:tr w:rsidR="00E656C5" w:rsidRPr="00511840" w14:paraId="15833612" w14:textId="77777777" w:rsidTr="00E656C5">
        <w:trPr>
          <w:cantSplit/>
          <w:trHeight w:val="252"/>
          <w:jc w:val="center"/>
        </w:trPr>
        <w:tc>
          <w:tcPr>
            <w:tcW w:w="2183" w:type="pct"/>
            <w:tcBorders>
              <w:bottom w:val="single" w:sz="12" w:space="0" w:color="auto"/>
            </w:tcBorders>
            <w:shd w:val="clear" w:color="auto" w:fill="auto"/>
          </w:tcPr>
          <w:p w14:paraId="7DF61141" w14:textId="77777777" w:rsidR="00E656C5" w:rsidRPr="003E1CF4" w:rsidRDefault="00E656C5" w:rsidP="00E656C5">
            <w:pPr>
              <w:pStyle w:val="TblTextCenter"/>
            </w:pPr>
            <w:r w:rsidRPr="003E1CF4">
              <w:t>B/Brisbane/60/2008 (Victoria lineage)</w:t>
            </w:r>
          </w:p>
        </w:tc>
        <w:tc>
          <w:tcPr>
            <w:tcW w:w="1429" w:type="pct"/>
            <w:tcBorders>
              <w:bottom w:val="single" w:sz="12" w:space="0" w:color="auto"/>
            </w:tcBorders>
            <w:shd w:val="clear" w:color="auto" w:fill="auto"/>
          </w:tcPr>
          <w:p w14:paraId="6400F441" w14:textId="77777777" w:rsidR="00E656C5" w:rsidRPr="003E1CF4" w:rsidRDefault="00E656C5" w:rsidP="00E656C5">
            <w:pPr>
              <w:pStyle w:val="TblTextCenter"/>
            </w:pPr>
            <w:r w:rsidRPr="003E1CF4">
              <w:t>40.6 (37.4; 43.7)</w:t>
            </w:r>
          </w:p>
        </w:tc>
        <w:tc>
          <w:tcPr>
            <w:tcW w:w="1388" w:type="pct"/>
            <w:tcBorders>
              <w:bottom w:val="single" w:sz="12" w:space="0" w:color="auto"/>
            </w:tcBorders>
            <w:shd w:val="clear" w:color="auto" w:fill="auto"/>
          </w:tcPr>
          <w:p w14:paraId="13A75561" w14:textId="77777777" w:rsidR="00E656C5" w:rsidRPr="003E1CF4" w:rsidRDefault="00E656C5" w:rsidP="00E656C5">
            <w:pPr>
              <w:pStyle w:val="TblTextCenter"/>
            </w:pPr>
            <w:r w:rsidRPr="003E1CF4">
              <w:t>21.0 (16.6; 25.9)</w:t>
            </w:r>
          </w:p>
        </w:tc>
      </w:tr>
      <w:tr w:rsidR="00E656C5" w:rsidRPr="00511840" w14:paraId="70C81FC2" w14:textId="77777777" w:rsidTr="00E656C5">
        <w:trPr>
          <w:cantSplit/>
          <w:trHeight w:val="252"/>
          <w:jc w:val="center"/>
        </w:trPr>
        <w:tc>
          <w:tcPr>
            <w:tcW w:w="5000" w:type="pct"/>
            <w:gridSpan w:val="3"/>
            <w:tcBorders>
              <w:top w:val="single" w:sz="12" w:space="0" w:color="auto"/>
            </w:tcBorders>
            <w:shd w:val="clear" w:color="auto" w:fill="auto"/>
          </w:tcPr>
          <w:p w14:paraId="0030F232" w14:textId="77777777" w:rsidR="00E656C5" w:rsidRPr="00511840" w:rsidRDefault="00E656C5" w:rsidP="00E656C5">
            <w:pPr>
              <w:pStyle w:val="TblFigFootnote"/>
              <w:spacing w:before="0" w:after="0"/>
              <w:rPr>
                <w:lang w:val="en-AU"/>
              </w:rPr>
            </w:pPr>
          </w:p>
        </w:tc>
      </w:tr>
    </w:tbl>
    <w:p w14:paraId="65BDFD1F" w14:textId="77777777" w:rsidR="00A3615D" w:rsidRPr="00511840" w:rsidRDefault="00A3615D" w:rsidP="00A3615D">
      <w:pPr>
        <w:autoSpaceDE w:val="0"/>
        <w:autoSpaceDN w:val="0"/>
        <w:adjustRightInd w:val="0"/>
        <w:spacing w:before="0"/>
        <w:rPr>
          <w:rFonts w:ascii="Arial Narrow" w:hAnsi="Arial Narrow"/>
          <w:sz w:val="20"/>
          <w:szCs w:val="20"/>
          <w:lang w:val="en-AU"/>
        </w:rPr>
      </w:pPr>
      <w:r w:rsidRPr="00511840">
        <w:rPr>
          <w:rFonts w:ascii="Arial Narrow" w:hAnsi="Arial Narrow"/>
          <w:sz w:val="20"/>
          <w:szCs w:val="20"/>
          <w:lang w:val="en-AU"/>
        </w:rPr>
        <w:t xml:space="preserve">N=number of subjects with available data for the considered endpoint </w:t>
      </w:r>
    </w:p>
    <w:p w14:paraId="44A46B06" w14:textId="73017026" w:rsidR="00A3615D" w:rsidRPr="00511840" w:rsidRDefault="00A3615D" w:rsidP="00A3615D">
      <w:pPr>
        <w:autoSpaceDE w:val="0"/>
        <w:autoSpaceDN w:val="0"/>
        <w:adjustRightInd w:val="0"/>
        <w:spacing w:before="0"/>
        <w:rPr>
          <w:rFonts w:ascii="Arial Narrow" w:hAnsi="Arial Narrow"/>
          <w:sz w:val="20"/>
          <w:szCs w:val="20"/>
          <w:lang w:val="en-AU"/>
        </w:rPr>
      </w:pPr>
      <w:r w:rsidRPr="00511840">
        <w:rPr>
          <w:rFonts w:ascii="Arial Narrow" w:hAnsi="Arial Narrow"/>
          <w:sz w:val="20"/>
          <w:szCs w:val="20"/>
          <w:lang w:val="en-AU"/>
        </w:rPr>
        <w:t>GMT: Geometric Mean Titr</w:t>
      </w:r>
      <w:r w:rsidR="000C5DB2">
        <w:rPr>
          <w:rFonts w:ascii="Arial Narrow" w:hAnsi="Arial Narrow"/>
          <w:sz w:val="20"/>
          <w:szCs w:val="20"/>
          <w:lang w:val="en-AU"/>
        </w:rPr>
        <w:t>e</w:t>
      </w:r>
      <w:r w:rsidRPr="00511840">
        <w:rPr>
          <w:rFonts w:ascii="Arial Narrow" w:hAnsi="Arial Narrow"/>
          <w:sz w:val="20"/>
          <w:szCs w:val="20"/>
          <w:lang w:val="en-AU"/>
        </w:rPr>
        <w:t xml:space="preserve">; CI: Confidence Interval; SCR: Seroconversion rate </w:t>
      </w:r>
    </w:p>
    <w:p w14:paraId="72AA9A12" w14:textId="77777777" w:rsidR="00A3615D" w:rsidRPr="00511840" w:rsidRDefault="00A3615D" w:rsidP="00A3615D">
      <w:pPr>
        <w:autoSpaceDE w:val="0"/>
        <w:autoSpaceDN w:val="0"/>
        <w:adjustRightInd w:val="0"/>
        <w:spacing w:before="0"/>
        <w:rPr>
          <w:b/>
          <w:i/>
          <w:sz w:val="22"/>
          <w:szCs w:val="22"/>
          <w:lang w:val="en-AU"/>
        </w:rPr>
      </w:pPr>
    </w:p>
    <w:p w14:paraId="09439E6E" w14:textId="22E5D1FD" w:rsidR="00A3615D" w:rsidRPr="00511840" w:rsidRDefault="000C5DB2" w:rsidP="00B05F5C">
      <w:pPr>
        <w:pStyle w:val="Heading4"/>
        <w:numPr>
          <w:ilvl w:val="0"/>
          <w:numId w:val="0"/>
        </w:numPr>
        <w:ind w:left="862" w:hanging="862"/>
        <w:rPr>
          <w:lang w:val="en-AU"/>
        </w:rPr>
      </w:pPr>
      <w:r>
        <w:rPr>
          <w:lang w:val="en-AU"/>
        </w:rPr>
        <w:t>E</w:t>
      </w:r>
      <w:r w:rsidR="00A3615D" w:rsidRPr="00511840">
        <w:rPr>
          <w:lang w:val="en-AU"/>
        </w:rPr>
        <w:t>fficacy</w:t>
      </w:r>
    </w:p>
    <w:p w14:paraId="022198D0" w14:textId="3FB78A88" w:rsidR="00A3615D" w:rsidRPr="00511840" w:rsidRDefault="005274FC" w:rsidP="00695469">
      <w:pPr>
        <w:tabs>
          <w:tab w:val="left" w:pos="567"/>
        </w:tabs>
        <w:spacing w:before="120" w:after="120"/>
        <w:rPr>
          <w:lang w:val="en-AU"/>
        </w:rPr>
      </w:pPr>
      <w:r>
        <w:rPr>
          <w:lang w:val="en-AU"/>
        </w:rPr>
        <w:t>PSC12</w:t>
      </w:r>
      <w:r w:rsidR="00A3615D" w:rsidRPr="00511840">
        <w:rPr>
          <w:lang w:val="en-AU"/>
        </w:rPr>
        <w:t xml:space="preserve"> evaluated the efficacy of </w:t>
      </w:r>
      <w:r w:rsidR="00695469" w:rsidRPr="00511840">
        <w:rPr>
          <w:lang w:val="en-AU"/>
        </w:rPr>
        <w:t>Flublok Quadrivalent</w:t>
      </w:r>
      <w:r w:rsidR="00A3615D" w:rsidRPr="00511840">
        <w:rPr>
          <w:lang w:val="en-AU"/>
        </w:rPr>
        <w:t xml:space="preserve"> in a randomi</w:t>
      </w:r>
      <w:r w:rsidR="000C5DB2">
        <w:rPr>
          <w:lang w:val="en-AU"/>
        </w:rPr>
        <w:t>s</w:t>
      </w:r>
      <w:r w:rsidR="00A3615D" w:rsidRPr="00511840">
        <w:rPr>
          <w:lang w:val="en-AU"/>
        </w:rPr>
        <w:t>ed, observer-blind, active controlled, multi-centr</w:t>
      </w:r>
      <w:r w:rsidR="000C5DB2">
        <w:rPr>
          <w:lang w:val="en-AU"/>
        </w:rPr>
        <w:t>e</w:t>
      </w:r>
      <w:r w:rsidR="00A3615D" w:rsidRPr="00511840">
        <w:rPr>
          <w:lang w:val="en-AU"/>
        </w:rPr>
        <w:t xml:space="preserve"> trial conducted during the 2014-2015 influenza season in the Unites States in adults 50 years of age and older.</w:t>
      </w:r>
    </w:p>
    <w:p w14:paraId="5E772EE4" w14:textId="32344E86" w:rsidR="00A3615D" w:rsidRPr="00511840" w:rsidRDefault="00A3615D" w:rsidP="00695469">
      <w:pPr>
        <w:tabs>
          <w:tab w:val="left" w:pos="567"/>
        </w:tabs>
        <w:spacing w:before="120" w:after="120"/>
        <w:rPr>
          <w:lang w:val="en-AU"/>
        </w:rPr>
      </w:pPr>
      <w:r w:rsidRPr="00511840">
        <w:rPr>
          <w:lang w:val="en-AU"/>
        </w:rPr>
        <w:t>A total of 8963 healthy, medically stable adults were randomi</w:t>
      </w:r>
      <w:r w:rsidR="000C5DB2">
        <w:rPr>
          <w:lang w:val="en-AU"/>
        </w:rPr>
        <w:t>s</w:t>
      </w:r>
      <w:r w:rsidRPr="00511840">
        <w:rPr>
          <w:lang w:val="en-AU"/>
        </w:rPr>
        <w:t xml:space="preserve">ed in a 1:1 ratio to receive a single dose of </w:t>
      </w:r>
      <w:r w:rsidR="00695469" w:rsidRPr="00511840">
        <w:rPr>
          <w:lang w:val="en-AU"/>
        </w:rPr>
        <w:t xml:space="preserve">Flublok Quadrivalent </w:t>
      </w:r>
      <w:r w:rsidRPr="00511840">
        <w:rPr>
          <w:lang w:val="en-AU"/>
        </w:rPr>
        <w:t xml:space="preserve">k (n=4474) or a </w:t>
      </w:r>
      <w:r w:rsidR="000C5DB2">
        <w:rPr>
          <w:lang w:val="en-AU"/>
        </w:rPr>
        <w:t>Q</w:t>
      </w:r>
      <w:r w:rsidRPr="00511840">
        <w:rPr>
          <w:lang w:val="en-AU"/>
        </w:rPr>
        <w:t>uadrivalent inactivated influenza vaccine</w:t>
      </w:r>
      <w:r w:rsidR="000C5DB2">
        <w:rPr>
          <w:lang w:val="en-AU"/>
        </w:rPr>
        <w:t xml:space="preserve"> licensed in the US and Australia </w:t>
      </w:r>
      <w:r w:rsidR="0084140A">
        <w:rPr>
          <w:lang w:val="en-AU"/>
        </w:rPr>
        <w:t xml:space="preserve">(n=4489). </w:t>
      </w:r>
      <w:r w:rsidRPr="00511840">
        <w:rPr>
          <w:lang w:val="en-AU"/>
        </w:rPr>
        <w:t>A total of 5186 (60%) subjects were 50-64 years of age and 3486 (40%) were ≥ 65 years of age.</w:t>
      </w:r>
    </w:p>
    <w:p w14:paraId="1D4ED6EB" w14:textId="2E5191DE" w:rsidR="00A3615D" w:rsidRPr="00511840" w:rsidRDefault="00A3615D" w:rsidP="00695469">
      <w:pPr>
        <w:tabs>
          <w:tab w:val="left" w:pos="567"/>
        </w:tabs>
        <w:spacing w:before="120" w:after="120"/>
        <w:rPr>
          <w:lang w:val="en-AU"/>
        </w:rPr>
      </w:pPr>
      <w:r w:rsidRPr="00511840">
        <w:rPr>
          <w:lang w:val="en-AU"/>
        </w:rPr>
        <w:t>Real-time polymerase chain reaction (rtPCR)-confirmed influenza was assessed by active and passive surveillance for influenza-like illness (ILI) beginning 2 weeks post-vaccination until the end of the influenza season, approximately 6 months post- vaccination. ILI was defined as having at least one symptom (no specified duration) in each of two categories of respiratory and systemic symptoms. Respiratory symptoms included sore throat, cough, sputum production, wheezing and difficulty breathing. Systemic symptoms included fever &gt;</w:t>
      </w:r>
      <w:r w:rsidR="00695469" w:rsidRPr="00511840">
        <w:rPr>
          <w:lang w:val="en-AU"/>
        </w:rPr>
        <w:t xml:space="preserve"> </w:t>
      </w:r>
      <w:r w:rsidRPr="00511840">
        <w:rPr>
          <w:lang w:val="en-AU"/>
        </w:rPr>
        <w:t>37°C oral, chills, fatigue, headache and myalgia. A nasopharyngeal swab sample was collected for rtPCR testing from subjects with an episode of ILI. Reflex viral culture was performed on rtPCR-positive samples.</w:t>
      </w:r>
    </w:p>
    <w:p w14:paraId="7BD0627B" w14:textId="0322D1E5" w:rsidR="00F10A64" w:rsidRPr="002779BA" w:rsidRDefault="00A3615D" w:rsidP="00F10A64">
      <w:pPr>
        <w:spacing w:before="120" w:after="120"/>
        <w:rPr>
          <w:color w:val="auto"/>
        </w:rPr>
      </w:pPr>
      <w:bookmarkStart w:id="10" w:name="_Hlk56151265"/>
      <w:r w:rsidRPr="00511840">
        <w:rPr>
          <w:lang w:val="en-AU"/>
        </w:rPr>
        <w:t>The primary efficacy endpoint of</w:t>
      </w:r>
      <w:r w:rsidR="00541139">
        <w:rPr>
          <w:lang w:val="en-AU"/>
        </w:rPr>
        <w:t xml:space="preserve"> </w:t>
      </w:r>
      <w:r w:rsidR="003429D6">
        <w:rPr>
          <w:lang w:val="en-AU"/>
        </w:rPr>
        <w:t>PSC12</w:t>
      </w:r>
      <w:r w:rsidR="0084140A">
        <w:rPr>
          <w:lang w:val="en-AU"/>
        </w:rPr>
        <w:t xml:space="preserve"> </w:t>
      </w:r>
      <w:r w:rsidRPr="00511840">
        <w:rPr>
          <w:lang w:val="en-AU"/>
        </w:rPr>
        <w:t>was rtPCR-positive, protocol-defined ILI due to any strain of influenza. Antigenic and phylogenetic evaluations of the similarity (“matching”) of clinical isolates to vaccine antigens were not performed. US epidemiological data for the 2014-2015 influenza season indicated that Influenza A (H3N2) viruses predominated and that most influenza A/H3N2 viruses were antigenically dissimilar while A/H1N1 and B viruses were antigenically similar to vaccine antigens. PCR assay distinguished influenza A H1, A H3 and B viruses.</w:t>
      </w:r>
      <w:bookmarkStart w:id="11" w:name="_Hlk71896531"/>
      <w:r w:rsidRPr="00511840">
        <w:rPr>
          <w:lang w:val="en-AU"/>
        </w:rPr>
        <w:t xml:space="preserve"> </w:t>
      </w:r>
      <w:r w:rsidR="002779BA" w:rsidRPr="002779BA">
        <w:rPr>
          <w:color w:val="auto"/>
          <w:lang w:val="en-AU"/>
        </w:rPr>
        <w:t xml:space="preserve">The relative vaccine efficacy (rVE) for rtPCR-positive protocol-defined ILI due to any influenza strain was +30% (95% CI: 10-47%) meeting the pre-specified non-inferiority criterion (defined as a lower bound of the two sided 95% CI &gt;-20%) </w:t>
      </w:r>
      <w:r w:rsidR="009B2996">
        <w:rPr>
          <w:color w:val="auto"/>
          <w:lang w:val="en-AU"/>
        </w:rPr>
        <w:t>(</w:t>
      </w:r>
      <w:r w:rsidR="002779BA" w:rsidRPr="002779BA">
        <w:rPr>
          <w:color w:val="auto"/>
          <w:lang w:val="en-AU"/>
        </w:rPr>
        <w:fldChar w:fldCharType="begin"/>
      </w:r>
      <w:r w:rsidR="002779BA" w:rsidRPr="002779BA">
        <w:rPr>
          <w:color w:val="auto"/>
          <w:lang w:val="en-AU"/>
        </w:rPr>
        <w:instrText xml:space="preserve"> REF _Ref21937906 \h  \* MERGEFORMAT </w:instrText>
      </w:r>
      <w:r w:rsidR="002779BA" w:rsidRPr="002779BA">
        <w:rPr>
          <w:color w:val="auto"/>
          <w:lang w:val="en-AU"/>
        </w:rPr>
      </w:r>
      <w:r w:rsidR="002779BA" w:rsidRPr="002779BA">
        <w:rPr>
          <w:color w:val="auto"/>
          <w:lang w:val="en-AU"/>
        </w:rPr>
        <w:fldChar w:fldCharType="separate"/>
      </w:r>
      <w:r w:rsidR="008266B0" w:rsidRPr="008266B0">
        <w:rPr>
          <w:color w:val="auto"/>
          <w:lang w:val="en-AU"/>
        </w:rPr>
        <w:t>Table 7</w:t>
      </w:r>
      <w:r w:rsidR="002779BA" w:rsidRPr="002779BA">
        <w:rPr>
          <w:color w:val="auto"/>
          <w:lang w:val="en-AU"/>
        </w:rPr>
        <w:fldChar w:fldCharType="end"/>
      </w:r>
      <w:r w:rsidR="009B2996">
        <w:rPr>
          <w:color w:val="auto"/>
          <w:lang w:val="en-AU"/>
        </w:rPr>
        <w:t>)</w:t>
      </w:r>
      <w:r w:rsidR="002779BA" w:rsidRPr="002779BA">
        <w:rPr>
          <w:color w:val="auto"/>
          <w:lang w:val="en-AU"/>
        </w:rPr>
        <w:t xml:space="preserve">. Flublok Quadrivalent also met the pre-specified exploratory criterion for superiority (defined as a lower bound of the two sided 95% CI &gt;+9%). However, neither the non-inferiority nor superiority criterion was met when B strains were analysed separately to A strains due to too small number of B cases. The overall superior vaccine performance was driven by the </w:t>
      </w:r>
      <w:r w:rsidR="002779BA" w:rsidRPr="002779BA">
        <w:rPr>
          <w:color w:val="auto"/>
          <w:lang w:val="en-AU"/>
        </w:rPr>
        <w:lastRenderedPageBreak/>
        <w:t>predominance of influenza A strains, and there are no clinical trials data with true efficacy endpoints from other seasons available for Flublok Quadrivalent.</w:t>
      </w:r>
    </w:p>
    <w:bookmarkEnd w:id="10"/>
    <w:bookmarkEnd w:id="11"/>
    <w:p w14:paraId="24DF9589" w14:textId="221300A0" w:rsidR="00A3615D" w:rsidRPr="00511840" w:rsidRDefault="00A3615D" w:rsidP="00695469">
      <w:pPr>
        <w:tabs>
          <w:tab w:val="left" w:pos="567"/>
        </w:tabs>
        <w:spacing w:before="120" w:after="120"/>
        <w:rPr>
          <w:lang w:val="en-AU"/>
        </w:rPr>
      </w:pPr>
      <w:r w:rsidRPr="00511840">
        <w:rPr>
          <w:lang w:val="en-AU"/>
        </w:rPr>
        <w:t xml:space="preserve">Of the 4328 participants exposed to </w:t>
      </w:r>
      <w:r w:rsidR="00695469" w:rsidRPr="00511840">
        <w:rPr>
          <w:lang w:val="en-AU"/>
        </w:rPr>
        <w:t>Flublok Quadrivalent</w:t>
      </w:r>
      <w:r w:rsidRPr="00511840">
        <w:rPr>
          <w:lang w:val="en-AU"/>
        </w:rPr>
        <w:t xml:space="preserve"> in a phase 3 active-controlled study (</w:t>
      </w:r>
      <w:r w:rsidR="003429D6">
        <w:rPr>
          <w:lang w:val="en-AU"/>
        </w:rPr>
        <w:t>PSC12</w:t>
      </w:r>
      <w:r w:rsidRPr="00511840">
        <w:rPr>
          <w:lang w:val="en-AU"/>
        </w:rPr>
        <w:t>), a total of 1759 were 65 years or older. Although no differences in safety or efficacy were observed between older and younger participants, the number of patients aged 65 and over in this study was not sufficient to determine statistically whether this age group will respond differently from younger individuals.</w:t>
      </w:r>
    </w:p>
    <w:p w14:paraId="16B694B2" w14:textId="7566C3C1" w:rsidR="00A3615D" w:rsidRPr="00511840" w:rsidRDefault="00695469" w:rsidP="00695469">
      <w:pPr>
        <w:pStyle w:val="Caption"/>
        <w:rPr>
          <w:lang w:val="en-AU"/>
        </w:rPr>
      </w:pPr>
      <w:r w:rsidRPr="00511840">
        <w:rPr>
          <w:b w:val="0"/>
          <w:sz w:val="22"/>
          <w:lang w:val="en-AU"/>
        </w:rPr>
        <w:t xml:space="preserve"> </w:t>
      </w:r>
      <w:bookmarkStart w:id="12" w:name="_Ref21937906"/>
      <w:r w:rsidRPr="00511840">
        <w:rPr>
          <w:lang w:val="en-AU"/>
        </w:rPr>
        <w:t>Table </w:t>
      </w:r>
      <w:r w:rsidRPr="00511840">
        <w:rPr>
          <w:lang w:val="en-AU"/>
        </w:rPr>
        <w:fldChar w:fldCharType="begin"/>
      </w:r>
      <w:r w:rsidRPr="00511840">
        <w:rPr>
          <w:lang w:val="en-AU"/>
        </w:rPr>
        <w:instrText xml:space="preserve"> SEQ Table \* ARABIC </w:instrText>
      </w:r>
      <w:r w:rsidRPr="00511840">
        <w:rPr>
          <w:lang w:val="en-AU"/>
        </w:rPr>
        <w:fldChar w:fldCharType="separate"/>
      </w:r>
      <w:r w:rsidR="008266B0">
        <w:rPr>
          <w:noProof/>
          <w:lang w:val="en-AU"/>
        </w:rPr>
        <w:t>7</w:t>
      </w:r>
      <w:r w:rsidRPr="00511840">
        <w:rPr>
          <w:lang w:val="en-AU"/>
        </w:rPr>
        <w:fldChar w:fldCharType="end"/>
      </w:r>
      <w:bookmarkEnd w:id="12"/>
      <w:r w:rsidRPr="00511840">
        <w:rPr>
          <w:lang w:val="en-AU"/>
        </w:rPr>
        <w:t xml:space="preserve"> ­ </w:t>
      </w:r>
      <w:r w:rsidR="00A3615D" w:rsidRPr="00511840">
        <w:rPr>
          <w:lang w:val="en-AU"/>
        </w:rPr>
        <w:t xml:space="preserve">Relative Vaccine Efficacy (rVE) of </w:t>
      </w:r>
      <w:r w:rsidRPr="00511840">
        <w:rPr>
          <w:lang w:val="en-AU"/>
        </w:rPr>
        <w:t>Flublok Quadrivalent</w:t>
      </w:r>
      <w:r w:rsidR="00A3615D" w:rsidRPr="00511840">
        <w:rPr>
          <w:lang w:val="en-AU"/>
        </w:rPr>
        <w:t xml:space="preserve"> versus Comparator against Laboratory-Confirmed Influenza, Regardless of Antigenic Similarity to Vaccine Antigens, Adults 50 Years of Age and Older, </w:t>
      </w:r>
      <w:r w:rsidR="005274FC">
        <w:rPr>
          <w:lang w:val="en-AU"/>
        </w:rPr>
        <w:t xml:space="preserve">PSC12 </w:t>
      </w:r>
      <w:r w:rsidR="00A3615D" w:rsidRPr="00511840">
        <w:rPr>
          <w:lang w:val="en-AU"/>
        </w:rPr>
        <w:t>(Efficacy Population)</w:t>
      </w:r>
      <w:r w:rsidR="00A3615D" w:rsidRPr="00511840">
        <w:rPr>
          <w:vertAlign w:val="superscript"/>
          <w:lang w:val="en-AU"/>
        </w:rPr>
        <w:t>1</w:t>
      </w:r>
    </w:p>
    <w:tbl>
      <w:tblPr>
        <w:tblW w:w="5000" w:type="pct"/>
        <w:jc w:val="center"/>
        <w:tblBorders>
          <w:top w:val="single" w:sz="2" w:space="0" w:color="000000"/>
        </w:tblBorders>
        <w:tblLook w:val="04A0" w:firstRow="1" w:lastRow="0" w:firstColumn="1" w:lastColumn="0" w:noHBand="0" w:noVBand="1"/>
      </w:tblPr>
      <w:tblGrid>
        <w:gridCol w:w="2555"/>
        <w:gridCol w:w="708"/>
        <w:gridCol w:w="1558"/>
        <w:gridCol w:w="850"/>
        <w:gridCol w:w="1276"/>
        <w:gridCol w:w="850"/>
        <w:gridCol w:w="1229"/>
      </w:tblGrid>
      <w:tr w:rsidR="003E1CF4" w:rsidRPr="00511840" w14:paraId="330C779D" w14:textId="77777777" w:rsidTr="0090596A">
        <w:trPr>
          <w:cantSplit/>
          <w:trHeight w:val="783"/>
          <w:tblHeader/>
          <w:jc w:val="center"/>
        </w:trPr>
        <w:tc>
          <w:tcPr>
            <w:tcW w:w="1415" w:type="pct"/>
            <w:vMerge w:val="restart"/>
            <w:tcBorders>
              <w:top w:val="single" w:sz="4" w:space="0" w:color="000000"/>
              <w:bottom w:val="single" w:sz="4" w:space="0" w:color="000000"/>
            </w:tcBorders>
            <w:shd w:val="clear" w:color="auto" w:fill="auto"/>
          </w:tcPr>
          <w:p w14:paraId="75733778" w14:textId="77777777" w:rsidR="00A3615D" w:rsidRPr="00511840" w:rsidRDefault="00A3615D" w:rsidP="003E1CF4">
            <w:pPr>
              <w:pStyle w:val="TblHeadingCenter"/>
            </w:pPr>
          </w:p>
        </w:tc>
        <w:tc>
          <w:tcPr>
            <w:tcW w:w="1255" w:type="pct"/>
            <w:gridSpan w:val="2"/>
            <w:tcBorders>
              <w:top w:val="single" w:sz="4" w:space="0" w:color="000000"/>
              <w:bottom w:val="single" w:sz="4" w:space="0" w:color="000000"/>
            </w:tcBorders>
            <w:shd w:val="clear" w:color="auto" w:fill="auto"/>
            <w:vAlign w:val="center"/>
          </w:tcPr>
          <w:p w14:paraId="6023E962" w14:textId="628D751A" w:rsidR="00A3615D" w:rsidRPr="00511840" w:rsidRDefault="00695469" w:rsidP="003E1CF4">
            <w:pPr>
              <w:pStyle w:val="TblHeadingCenter"/>
            </w:pPr>
            <w:r w:rsidRPr="00511840">
              <w:t>Flublok Quadrivalent</w:t>
            </w:r>
            <w:r w:rsidR="00A3615D" w:rsidRPr="00511840">
              <w:t xml:space="preserve"> (N=4303)</w:t>
            </w:r>
          </w:p>
        </w:tc>
        <w:tc>
          <w:tcPr>
            <w:tcW w:w="1178" w:type="pct"/>
            <w:gridSpan w:val="2"/>
            <w:tcBorders>
              <w:top w:val="single" w:sz="4" w:space="0" w:color="000000"/>
              <w:bottom w:val="single" w:sz="4" w:space="0" w:color="000000"/>
            </w:tcBorders>
            <w:shd w:val="clear" w:color="auto" w:fill="auto"/>
            <w:vAlign w:val="center"/>
          </w:tcPr>
          <w:p w14:paraId="09F8AB2D" w14:textId="23CB8BBB" w:rsidR="00695469" w:rsidRPr="00511840" w:rsidRDefault="00A3615D" w:rsidP="003E1CF4">
            <w:pPr>
              <w:pStyle w:val="TblHeadingCenter"/>
            </w:pPr>
            <w:r w:rsidRPr="00511840">
              <w:t>Comparator</w:t>
            </w:r>
          </w:p>
          <w:p w14:paraId="5CBD38EE" w14:textId="67D24D9F" w:rsidR="00A3615D" w:rsidRPr="00511840" w:rsidRDefault="00A3615D" w:rsidP="003E1CF4">
            <w:pPr>
              <w:pStyle w:val="TblHeadingCenter"/>
            </w:pPr>
            <w:r w:rsidRPr="00511840">
              <w:t>(N=4301)</w:t>
            </w:r>
          </w:p>
        </w:tc>
        <w:tc>
          <w:tcPr>
            <w:tcW w:w="471" w:type="pct"/>
            <w:vMerge w:val="restart"/>
            <w:tcBorders>
              <w:top w:val="single" w:sz="4" w:space="0" w:color="000000"/>
              <w:bottom w:val="single" w:sz="4" w:space="0" w:color="000000"/>
            </w:tcBorders>
            <w:shd w:val="clear" w:color="auto" w:fill="auto"/>
            <w:vAlign w:val="center"/>
          </w:tcPr>
          <w:p w14:paraId="623DE49E" w14:textId="77777777" w:rsidR="00A3615D" w:rsidRPr="00511840" w:rsidRDefault="00A3615D" w:rsidP="003E1CF4">
            <w:pPr>
              <w:pStyle w:val="TblHeadingCenter"/>
            </w:pPr>
            <w:r w:rsidRPr="00511840">
              <w:t>RR</w:t>
            </w:r>
          </w:p>
        </w:tc>
        <w:tc>
          <w:tcPr>
            <w:tcW w:w="681" w:type="pct"/>
            <w:vMerge w:val="restart"/>
            <w:tcBorders>
              <w:top w:val="single" w:sz="4" w:space="0" w:color="000000"/>
              <w:bottom w:val="single" w:sz="4" w:space="0" w:color="000000"/>
            </w:tcBorders>
            <w:shd w:val="clear" w:color="auto" w:fill="auto"/>
            <w:vAlign w:val="center"/>
          </w:tcPr>
          <w:p w14:paraId="7B785949" w14:textId="77777777" w:rsidR="00A3615D" w:rsidRPr="00511840" w:rsidRDefault="00A3615D" w:rsidP="003E1CF4">
            <w:pPr>
              <w:pStyle w:val="TblHeadingCenter"/>
            </w:pPr>
            <w:r w:rsidRPr="00511840">
              <w:t>rVE %</w:t>
            </w:r>
          </w:p>
          <w:p w14:paraId="53064832" w14:textId="77777777" w:rsidR="00A3615D" w:rsidRPr="00511840" w:rsidRDefault="00A3615D" w:rsidP="003E1CF4">
            <w:pPr>
              <w:pStyle w:val="TblHeadingCenter"/>
            </w:pPr>
            <w:r w:rsidRPr="00511840">
              <w:t>(95% CI)</w:t>
            </w:r>
          </w:p>
        </w:tc>
      </w:tr>
      <w:tr w:rsidR="0090596A" w:rsidRPr="00511840" w14:paraId="043E1A8C" w14:textId="77777777" w:rsidTr="0090596A">
        <w:trPr>
          <w:cantSplit/>
          <w:trHeight w:val="261"/>
          <w:tblHeader/>
          <w:jc w:val="center"/>
        </w:trPr>
        <w:tc>
          <w:tcPr>
            <w:tcW w:w="1415" w:type="pct"/>
            <w:vMerge/>
            <w:tcBorders>
              <w:top w:val="single" w:sz="4" w:space="0" w:color="auto"/>
              <w:bottom w:val="single" w:sz="4" w:space="0" w:color="000000"/>
            </w:tcBorders>
            <w:shd w:val="clear" w:color="auto" w:fill="auto"/>
          </w:tcPr>
          <w:p w14:paraId="00558686" w14:textId="77777777" w:rsidR="00A3615D" w:rsidRPr="00511840" w:rsidRDefault="00A3615D" w:rsidP="00695469">
            <w:pPr>
              <w:tabs>
                <w:tab w:val="left" w:pos="567"/>
              </w:tabs>
              <w:spacing w:before="0"/>
              <w:rPr>
                <w:rFonts w:ascii="Arial Narrow" w:hAnsi="Arial Narrow"/>
                <w:b/>
                <w:sz w:val="20"/>
                <w:szCs w:val="20"/>
                <w:lang w:val="en-AU"/>
              </w:rPr>
            </w:pPr>
          </w:p>
        </w:tc>
        <w:tc>
          <w:tcPr>
            <w:tcW w:w="392" w:type="pct"/>
            <w:tcBorders>
              <w:top w:val="single" w:sz="4" w:space="0" w:color="000000"/>
              <w:bottom w:val="single" w:sz="4" w:space="0" w:color="auto"/>
            </w:tcBorders>
            <w:shd w:val="clear" w:color="auto" w:fill="auto"/>
            <w:vAlign w:val="center"/>
          </w:tcPr>
          <w:p w14:paraId="6C1676E7" w14:textId="77777777" w:rsidR="00A3615D" w:rsidRPr="0090596A" w:rsidRDefault="00A3615D" w:rsidP="003E1CF4">
            <w:pPr>
              <w:pStyle w:val="TblTextCenter"/>
              <w:rPr>
                <w:b/>
              </w:rPr>
            </w:pPr>
            <w:r w:rsidRPr="0090596A">
              <w:rPr>
                <w:b/>
              </w:rPr>
              <w:t>n</w:t>
            </w:r>
          </w:p>
        </w:tc>
        <w:tc>
          <w:tcPr>
            <w:tcW w:w="863" w:type="pct"/>
            <w:tcBorders>
              <w:top w:val="single" w:sz="4" w:space="0" w:color="000000"/>
              <w:bottom w:val="single" w:sz="4" w:space="0" w:color="auto"/>
            </w:tcBorders>
            <w:shd w:val="clear" w:color="auto" w:fill="auto"/>
            <w:vAlign w:val="center"/>
          </w:tcPr>
          <w:p w14:paraId="34DC6CEA" w14:textId="3329E0C5" w:rsidR="00A3615D" w:rsidRPr="0090596A" w:rsidRDefault="00A3615D" w:rsidP="003E1CF4">
            <w:pPr>
              <w:pStyle w:val="TblTextCenter"/>
              <w:rPr>
                <w:b/>
              </w:rPr>
            </w:pPr>
            <w:r w:rsidRPr="0090596A">
              <w:rPr>
                <w:b/>
              </w:rPr>
              <w:t xml:space="preserve">Attack Rate </w:t>
            </w:r>
            <w:r w:rsidR="0090596A">
              <w:rPr>
                <w:b/>
              </w:rPr>
              <w:br/>
            </w:r>
            <w:r w:rsidRPr="0090596A">
              <w:rPr>
                <w:b/>
              </w:rPr>
              <w:t>% (n/N)</w:t>
            </w:r>
          </w:p>
        </w:tc>
        <w:tc>
          <w:tcPr>
            <w:tcW w:w="471" w:type="pct"/>
            <w:tcBorders>
              <w:top w:val="single" w:sz="4" w:space="0" w:color="000000"/>
              <w:bottom w:val="single" w:sz="4" w:space="0" w:color="auto"/>
            </w:tcBorders>
            <w:shd w:val="clear" w:color="auto" w:fill="auto"/>
            <w:vAlign w:val="center"/>
          </w:tcPr>
          <w:p w14:paraId="074B0B94" w14:textId="77777777" w:rsidR="00A3615D" w:rsidRPr="0090596A" w:rsidRDefault="00A3615D" w:rsidP="003E1CF4">
            <w:pPr>
              <w:pStyle w:val="TblTextCenter"/>
              <w:rPr>
                <w:b/>
              </w:rPr>
            </w:pPr>
            <w:r w:rsidRPr="0090596A">
              <w:rPr>
                <w:b/>
              </w:rPr>
              <w:t>n</w:t>
            </w:r>
          </w:p>
        </w:tc>
        <w:tc>
          <w:tcPr>
            <w:tcW w:w="707" w:type="pct"/>
            <w:tcBorders>
              <w:top w:val="single" w:sz="4" w:space="0" w:color="000000"/>
              <w:bottom w:val="single" w:sz="4" w:space="0" w:color="auto"/>
            </w:tcBorders>
            <w:shd w:val="clear" w:color="auto" w:fill="auto"/>
            <w:vAlign w:val="center"/>
          </w:tcPr>
          <w:p w14:paraId="6507D394" w14:textId="77777777" w:rsidR="00A3615D" w:rsidRPr="0090596A" w:rsidRDefault="00A3615D" w:rsidP="003E1CF4">
            <w:pPr>
              <w:pStyle w:val="TblTextCenter"/>
              <w:rPr>
                <w:b/>
              </w:rPr>
            </w:pPr>
            <w:r w:rsidRPr="0090596A">
              <w:rPr>
                <w:b/>
              </w:rPr>
              <w:t>Attack Rate % (n/N)</w:t>
            </w:r>
          </w:p>
        </w:tc>
        <w:tc>
          <w:tcPr>
            <w:tcW w:w="471" w:type="pct"/>
            <w:vMerge/>
            <w:tcBorders>
              <w:top w:val="nil"/>
              <w:bottom w:val="single" w:sz="4" w:space="0" w:color="000000"/>
            </w:tcBorders>
            <w:shd w:val="clear" w:color="auto" w:fill="auto"/>
            <w:vAlign w:val="center"/>
          </w:tcPr>
          <w:p w14:paraId="784CB20C" w14:textId="77777777" w:rsidR="00A3615D" w:rsidRPr="00511840" w:rsidRDefault="00A3615D" w:rsidP="00695469">
            <w:pPr>
              <w:tabs>
                <w:tab w:val="left" w:pos="567"/>
              </w:tabs>
              <w:spacing w:before="0"/>
              <w:jc w:val="center"/>
              <w:rPr>
                <w:rFonts w:ascii="Arial Narrow" w:hAnsi="Arial Narrow"/>
                <w:sz w:val="20"/>
                <w:szCs w:val="20"/>
                <w:lang w:val="en-AU"/>
              </w:rPr>
            </w:pPr>
          </w:p>
        </w:tc>
        <w:tc>
          <w:tcPr>
            <w:tcW w:w="681" w:type="pct"/>
            <w:vMerge/>
            <w:tcBorders>
              <w:top w:val="nil"/>
              <w:bottom w:val="single" w:sz="4" w:space="0" w:color="000000"/>
            </w:tcBorders>
            <w:shd w:val="clear" w:color="auto" w:fill="auto"/>
            <w:vAlign w:val="center"/>
          </w:tcPr>
          <w:p w14:paraId="31577C08" w14:textId="77777777" w:rsidR="00A3615D" w:rsidRPr="00511840" w:rsidRDefault="00A3615D" w:rsidP="00695469">
            <w:pPr>
              <w:tabs>
                <w:tab w:val="left" w:pos="567"/>
              </w:tabs>
              <w:spacing w:before="0"/>
              <w:jc w:val="center"/>
              <w:rPr>
                <w:rFonts w:ascii="Arial Narrow" w:hAnsi="Arial Narrow"/>
                <w:sz w:val="20"/>
                <w:szCs w:val="20"/>
                <w:lang w:val="en-AU"/>
              </w:rPr>
            </w:pPr>
          </w:p>
        </w:tc>
      </w:tr>
      <w:tr w:rsidR="0090596A" w:rsidRPr="00511840" w14:paraId="0218E791" w14:textId="77777777" w:rsidTr="0090596A">
        <w:trPr>
          <w:cantSplit/>
          <w:trHeight w:val="261"/>
          <w:jc w:val="center"/>
        </w:trPr>
        <w:tc>
          <w:tcPr>
            <w:tcW w:w="1415" w:type="pct"/>
            <w:tcBorders>
              <w:top w:val="single" w:sz="4" w:space="0" w:color="000000"/>
            </w:tcBorders>
            <w:shd w:val="clear" w:color="auto" w:fill="auto"/>
          </w:tcPr>
          <w:p w14:paraId="5D8D25F4" w14:textId="4703E165" w:rsidR="00A3615D" w:rsidRPr="003E1CF4" w:rsidRDefault="00A3615D" w:rsidP="003E1CF4">
            <w:pPr>
              <w:pStyle w:val="TblTextCenter"/>
            </w:pPr>
            <w:r w:rsidRPr="003E1CF4">
              <w:t>All rtPCR-positive Influenza</w:t>
            </w:r>
            <w:r w:rsidR="00EF4645" w:rsidRPr="00EF4645">
              <w:rPr>
                <w:vertAlign w:val="superscript"/>
              </w:rPr>
              <w:t>2</w:t>
            </w:r>
          </w:p>
        </w:tc>
        <w:tc>
          <w:tcPr>
            <w:tcW w:w="392" w:type="pct"/>
            <w:tcBorders>
              <w:top w:val="single" w:sz="4" w:space="0" w:color="auto"/>
            </w:tcBorders>
            <w:shd w:val="clear" w:color="auto" w:fill="auto"/>
            <w:vAlign w:val="center"/>
          </w:tcPr>
          <w:p w14:paraId="0AF5EB38" w14:textId="77777777" w:rsidR="00A3615D" w:rsidRPr="003E1CF4" w:rsidRDefault="00A3615D" w:rsidP="003E1CF4">
            <w:pPr>
              <w:pStyle w:val="TblTextCenter"/>
            </w:pPr>
            <w:r w:rsidRPr="003E1CF4">
              <w:t>96</w:t>
            </w:r>
          </w:p>
        </w:tc>
        <w:tc>
          <w:tcPr>
            <w:tcW w:w="863" w:type="pct"/>
            <w:tcBorders>
              <w:top w:val="single" w:sz="4" w:space="0" w:color="auto"/>
            </w:tcBorders>
            <w:shd w:val="clear" w:color="auto" w:fill="auto"/>
            <w:vAlign w:val="center"/>
          </w:tcPr>
          <w:p w14:paraId="174D7433" w14:textId="77777777" w:rsidR="00A3615D" w:rsidRPr="003E1CF4" w:rsidRDefault="00A3615D" w:rsidP="003E1CF4">
            <w:pPr>
              <w:pStyle w:val="TblTextCenter"/>
            </w:pPr>
            <w:r w:rsidRPr="003E1CF4">
              <w:t>2.2</w:t>
            </w:r>
          </w:p>
        </w:tc>
        <w:tc>
          <w:tcPr>
            <w:tcW w:w="471" w:type="pct"/>
            <w:tcBorders>
              <w:top w:val="single" w:sz="4" w:space="0" w:color="auto"/>
            </w:tcBorders>
            <w:shd w:val="clear" w:color="auto" w:fill="auto"/>
            <w:vAlign w:val="center"/>
          </w:tcPr>
          <w:p w14:paraId="116F8C7E" w14:textId="77777777" w:rsidR="00A3615D" w:rsidRPr="003E1CF4" w:rsidRDefault="00A3615D" w:rsidP="003E1CF4">
            <w:pPr>
              <w:pStyle w:val="TblTextCenter"/>
            </w:pPr>
            <w:r w:rsidRPr="003E1CF4">
              <w:t>138</w:t>
            </w:r>
          </w:p>
        </w:tc>
        <w:tc>
          <w:tcPr>
            <w:tcW w:w="707" w:type="pct"/>
            <w:tcBorders>
              <w:top w:val="single" w:sz="4" w:space="0" w:color="auto"/>
            </w:tcBorders>
            <w:shd w:val="clear" w:color="auto" w:fill="auto"/>
            <w:vAlign w:val="center"/>
          </w:tcPr>
          <w:p w14:paraId="7F6D6794" w14:textId="77777777" w:rsidR="00A3615D" w:rsidRPr="003E1CF4" w:rsidRDefault="00A3615D" w:rsidP="003E1CF4">
            <w:pPr>
              <w:pStyle w:val="TblTextCenter"/>
            </w:pPr>
            <w:r w:rsidRPr="003E1CF4">
              <w:t>3.2</w:t>
            </w:r>
          </w:p>
        </w:tc>
        <w:tc>
          <w:tcPr>
            <w:tcW w:w="471" w:type="pct"/>
            <w:tcBorders>
              <w:top w:val="single" w:sz="4" w:space="0" w:color="000000"/>
            </w:tcBorders>
            <w:shd w:val="clear" w:color="auto" w:fill="auto"/>
            <w:vAlign w:val="center"/>
          </w:tcPr>
          <w:p w14:paraId="232BA69B" w14:textId="77777777" w:rsidR="00A3615D" w:rsidRPr="003E1CF4" w:rsidRDefault="00A3615D" w:rsidP="003E1CF4">
            <w:pPr>
              <w:pStyle w:val="TblTextCenter"/>
            </w:pPr>
            <w:r w:rsidRPr="003E1CF4">
              <w:t>0.70</w:t>
            </w:r>
          </w:p>
        </w:tc>
        <w:tc>
          <w:tcPr>
            <w:tcW w:w="681" w:type="pct"/>
            <w:tcBorders>
              <w:top w:val="single" w:sz="4" w:space="0" w:color="000000"/>
            </w:tcBorders>
            <w:shd w:val="clear" w:color="auto" w:fill="auto"/>
            <w:vAlign w:val="center"/>
          </w:tcPr>
          <w:p w14:paraId="5CA35C4D" w14:textId="77777777" w:rsidR="00A3615D" w:rsidRPr="003E1CF4" w:rsidRDefault="00A3615D" w:rsidP="003E1CF4">
            <w:pPr>
              <w:pStyle w:val="TblTextCenter"/>
            </w:pPr>
            <w:r w:rsidRPr="003E1CF4">
              <w:t>30 (10, 47)</w:t>
            </w:r>
          </w:p>
        </w:tc>
      </w:tr>
      <w:tr w:rsidR="0090596A" w:rsidRPr="00511840" w14:paraId="78877413" w14:textId="77777777" w:rsidTr="0090596A">
        <w:trPr>
          <w:cantSplit/>
          <w:trHeight w:val="261"/>
          <w:jc w:val="center"/>
        </w:trPr>
        <w:tc>
          <w:tcPr>
            <w:tcW w:w="1415" w:type="pct"/>
            <w:shd w:val="clear" w:color="auto" w:fill="auto"/>
          </w:tcPr>
          <w:p w14:paraId="1078673E" w14:textId="77777777" w:rsidR="00A3615D" w:rsidRPr="003E1CF4" w:rsidRDefault="00A3615D" w:rsidP="003E1CF4">
            <w:pPr>
              <w:pStyle w:val="TblTextCenter"/>
            </w:pPr>
            <w:r w:rsidRPr="003E1CF4">
              <w:t>All rtPCR-positive Influenza A</w:t>
            </w:r>
            <w:r w:rsidRPr="00EF4645">
              <w:rPr>
                <w:vertAlign w:val="superscript"/>
              </w:rPr>
              <w:t>3</w:t>
            </w:r>
          </w:p>
        </w:tc>
        <w:tc>
          <w:tcPr>
            <w:tcW w:w="392" w:type="pct"/>
            <w:shd w:val="clear" w:color="auto" w:fill="auto"/>
            <w:vAlign w:val="center"/>
          </w:tcPr>
          <w:p w14:paraId="761D6687" w14:textId="77777777" w:rsidR="00A3615D" w:rsidRPr="003E1CF4" w:rsidRDefault="00A3615D" w:rsidP="003E1CF4">
            <w:pPr>
              <w:pStyle w:val="TblTextCenter"/>
            </w:pPr>
            <w:r w:rsidRPr="003E1CF4">
              <w:t>73</w:t>
            </w:r>
          </w:p>
        </w:tc>
        <w:tc>
          <w:tcPr>
            <w:tcW w:w="863" w:type="pct"/>
            <w:shd w:val="clear" w:color="auto" w:fill="auto"/>
            <w:vAlign w:val="center"/>
          </w:tcPr>
          <w:p w14:paraId="60F331F1" w14:textId="77777777" w:rsidR="00A3615D" w:rsidRPr="003E1CF4" w:rsidRDefault="00A3615D" w:rsidP="003E1CF4">
            <w:pPr>
              <w:pStyle w:val="TblTextCenter"/>
            </w:pPr>
            <w:r w:rsidRPr="003E1CF4">
              <w:t>1.7</w:t>
            </w:r>
          </w:p>
        </w:tc>
        <w:tc>
          <w:tcPr>
            <w:tcW w:w="471" w:type="pct"/>
            <w:shd w:val="clear" w:color="auto" w:fill="auto"/>
            <w:vAlign w:val="center"/>
          </w:tcPr>
          <w:p w14:paraId="6CCFCFC7" w14:textId="77777777" w:rsidR="00A3615D" w:rsidRPr="003E1CF4" w:rsidRDefault="00A3615D" w:rsidP="003E1CF4">
            <w:pPr>
              <w:pStyle w:val="TblTextCenter"/>
            </w:pPr>
            <w:r w:rsidRPr="003E1CF4">
              <w:t>114</w:t>
            </w:r>
          </w:p>
        </w:tc>
        <w:tc>
          <w:tcPr>
            <w:tcW w:w="707" w:type="pct"/>
            <w:shd w:val="clear" w:color="auto" w:fill="auto"/>
            <w:vAlign w:val="center"/>
          </w:tcPr>
          <w:p w14:paraId="7B62EE57" w14:textId="77777777" w:rsidR="00A3615D" w:rsidRPr="003E1CF4" w:rsidRDefault="00A3615D" w:rsidP="003E1CF4">
            <w:pPr>
              <w:pStyle w:val="TblTextCenter"/>
            </w:pPr>
            <w:r w:rsidRPr="003E1CF4">
              <w:t>2.7</w:t>
            </w:r>
          </w:p>
        </w:tc>
        <w:tc>
          <w:tcPr>
            <w:tcW w:w="471" w:type="pct"/>
            <w:shd w:val="clear" w:color="auto" w:fill="auto"/>
            <w:vAlign w:val="center"/>
          </w:tcPr>
          <w:p w14:paraId="1D5E72EC" w14:textId="77777777" w:rsidR="00A3615D" w:rsidRPr="003E1CF4" w:rsidRDefault="00A3615D" w:rsidP="003E1CF4">
            <w:pPr>
              <w:pStyle w:val="TblTextCenter"/>
            </w:pPr>
            <w:r w:rsidRPr="003E1CF4">
              <w:t>0.64</w:t>
            </w:r>
          </w:p>
        </w:tc>
        <w:tc>
          <w:tcPr>
            <w:tcW w:w="681" w:type="pct"/>
            <w:shd w:val="clear" w:color="auto" w:fill="auto"/>
            <w:vAlign w:val="center"/>
          </w:tcPr>
          <w:p w14:paraId="4B6B9031" w14:textId="77777777" w:rsidR="00A3615D" w:rsidRPr="003E1CF4" w:rsidRDefault="00A3615D" w:rsidP="003E1CF4">
            <w:pPr>
              <w:pStyle w:val="TblTextCenter"/>
            </w:pPr>
            <w:r w:rsidRPr="003E1CF4">
              <w:t>36 (14, 53)</w:t>
            </w:r>
          </w:p>
        </w:tc>
      </w:tr>
      <w:tr w:rsidR="0090596A" w:rsidRPr="00511840" w14:paraId="0F19ED76" w14:textId="77777777" w:rsidTr="0090596A">
        <w:trPr>
          <w:cantSplit/>
          <w:trHeight w:val="272"/>
          <w:jc w:val="center"/>
        </w:trPr>
        <w:tc>
          <w:tcPr>
            <w:tcW w:w="1415" w:type="pct"/>
            <w:shd w:val="clear" w:color="auto" w:fill="auto"/>
          </w:tcPr>
          <w:p w14:paraId="7F7CF9A8" w14:textId="77777777" w:rsidR="00A3615D" w:rsidRPr="003E1CF4" w:rsidRDefault="00A3615D" w:rsidP="003E1CF4">
            <w:pPr>
              <w:pStyle w:val="TblTextCenter"/>
            </w:pPr>
            <w:r w:rsidRPr="003E1CF4">
              <w:t>All rtPCR-positive Influenza B</w:t>
            </w:r>
            <w:r w:rsidRPr="00EF4645">
              <w:rPr>
                <w:vertAlign w:val="superscript"/>
              </w:rPr>
              <w:t>3</w:t>
            </w:r>
          </w:p>
        </w:tc>
        <w:tc>
          <w:tcPr>
            <w:tcW w:w="392" w:type="pct"/>
            <w:shd w:val="clear" w:color="auto" w:fill="auto"/>
            <w:vAlign w:val="center"/>
          </w:tcPr>
          <w:p w14:paraId="78828C80" w14:textId="77777777" w:rsidR="00A3615D" w:rsidRPr="003E1CF4" w:rsidRDefault="00A3615D" w:rsidP="003E1CF4">
            <w:pPr>
              <w:pStyle w:val="TblTextCenter"/>
            </w:pPr>
            <w:r w:rsidRPr="003E1CF4">
              <w:t>23</w:t>
            </w:r>
          </w:p>
        </w:tc>
        <w:tc>
          <w:tcPr>
            <w:tcW w:w="863" w:type="pct"/>
            <w:shd w:val="clear" w:color="auto" w:fill="auto"/>
            <w:vAlign w:val="center"/>
          </w:tcPr>
          <w:p w14:paraId="43550F0C" w14:textId="77777777" w:rsidR="00A3615D" w:rsidRPr="003E1CF4" w:rsidRDefault="00A3615D" w:rsidP="003E1CF4">
            <w:pPr>
              <w:pStyle w:val="TblTextCenter"/>
            </w:pPr>
            <w:r w:rsidRPr="003E1CF4">
              <w:t>0.5</w:t>
            </w:r>
          </w:p>
        </w:tc>
        <w:tc>
          <w:tcPr>
            <w:tcW w:w="471" w:type="pct"/>
            <w:shd w:val="clear" w:color="auto" w:fill="auto"/>
            <w:vAlign w:val="center"/>
          </w:tcPr>
          <w:p w14:paraId="312F25A3" w14:textId="77777777" w:rsidR="00A3615D" w:rsidRPr="003E1CF4" w:rsidRDefault="00A3615D" w:rsidP="003E1CF4">
            <w:pPr>
              <w:pStyle w:val="TblTextCenter"/>
            </w:pPr>
            <w:r w:rsidRPr="003E1CF4">
              <w:t>24</w:t>
            </w:r>
          </w:p>
        </w:tc>
        <w:tc>
          <w:tcPr>
            <w:tcW w:w="707" w:type="pct"/>
            <w:shd w:val="clear" w:color="auto" w:fill="auto"/>
            <w:vAlign w:val="center"/>
          </w:tcPr>
          <w:p w14:paraId="78C3B5BA" w14:textId="77777777" w:rsidR="00A3615D" w:rsidRPr="003E1CF4" w:rsidRDefault="00A3615D" w:rsidP="003E1CF4">
            <w:pPr>
              <w:pStyle w:val="TblTextCenter"/>
            </w:pPr>
            <w:r w:rsidRPr="003E1CF4">
              <w:t>0.6</w:t>
            </w:r>
          </w:p>
        </w:tc>
        <w:tc>
          <w:tcPr>
            <w:tcW w:w="471" w:type="pct"/>
            <w:shd w:val="clear" w:color="auto" w:fill="auto"/>
            <w:vAlign w:val="center"/>
          </w:tcPr>
          <w:p w14:paraId="071FA6C5" w14:textId="77777777" w:rsidR="00A3615D" w:rsidRPr="003E1CF4" w:rsidRDefault="00A3615D" w:rsidP="003E1CF4">
            <w:pPr>
              <w:pStyle w:val="TblTextCenter"/>
            </w:pPr>
            <w:r w:rsidRPr="003E1CF4">
              <w:t>0.96</w:t>
            </w:r>
          </w:p>
        </w:tc>
        <w:tc>
          <w:tcPr>
            <w:tcW w:w="681" w:type="pct"/>
            <w:shd w:val="clear" w:color="auto" w:fill="auto"/>
            <w:vAlign w:val="center"/>
          </w:tcPr>
          <w:p w14:paraId="644D9354" w14:textId="77777777" w:rsidR="00A3615D" w:rsidRPr="003E1CF4" w:rsidRDefault="00A3615D" w:rsidP="003E1CF4">
            <w:pPr>
              <w:pStyle w:val="TblTextCenter"/>
            </w:pPr>
            <w:r w:rsidRPr="003E1CF4">
              <w:t>4 (-72, 46)</w:t>
            </w:r>
          </w:p>
        </w:tc>
      </w:tr>
      <w:tr w:rsidR="0090596A" w:rsidRPr="00511840" w14:paraId="31AFCB04" w14:textId="77777777" w:rsidTr="0090596A">
        <w:trPr>
          <w:cantSplit/>
          <w:trHeight w:val="272"/>
          <w:jc w:val="center"/>
        </w:trPr>
        <w:tc>
          <w:tcPr>
            <w:tcW w:w="1415" w:type="pct"/>
            <w:tcBorders>
              <w:bottom w:val="single" w:sz="12" w:space="0" w:color="auto"/>
            </w:tcBorders>
            <w:shd w:val="clear" w:color="auto" w:fill="auto"/>
          </w:tcPr>
          <w:p w14:paraId="70B78994" w14:textId="77777777" w:rsidR="00A3615D" w:rsidRPr="003E1CF4" w:rsidRDefault="00A3615D" w:rsidP="003E1CF4">
            <w:pPr>
              <w:pStyle w:val="TblTextCenter"/>
            </w:pPr>
            <w:r w:rsidRPr="003E1CF4">
              <w:t>All Culture-confirmed Protocol-defined ILI</w:t>
            </w:r>
            <w:r w:rsidRPr="00EF4645">
              <w:rPr>
                <w:vertAlign w:val="superscript"/>
              </w:rPr>
              <w:t>3,4</w:t>
            </w:r>
          </w:p>
        </w:tc>
        <w:tc>
          <w:tcPr>
            <w:tcW w:w="392" w:type="pct"/>
            <w:tcBorders>
              <w:bottom w:val="single" w:sz="12" w:space="0" w:color="auto"/>
            </w:tcBorders>
            <w:shd w:val="clear" w:color="auto" w:fill="auto"/>
            <w:vAlign w:val="center"/>
          </w:tcPr>
          <w:p w14:paraId="4C25D811" w14:textId="77777777" w:rsidR="00A3615D" w:rsidRPr="003E1CF4" w:rsidRDefault="00A3615D" w:rsidP="003E1CF4">
            <w:pPr>
              <w:pStyle w:val="TblTextCenter"/>
            </w:pPr>
            <w:r w:rsidRPr="003E1CF4">
              <w:t>58</w:t>
            </w:r>
          </w:p>
        </w:tc>
        <w:tc>
          <w:tcPr>
            <w:tcW w:w="863" w:type="pct"/>
            <w:tcBorders>
              <w:bottom w:val="single" w:sz="12" w:space="0" w:color="auto"/>
            </w:tcBorders>
            <w:shd w:val="clear" w:color="auto" w:fill="auto"/>
            <w:vAlign w:val="center"/>
          </w:tcPr>
          <w:p w14:paraId="62DEF431" w14:textId="77777777" w:rsidR="00A3615D" w:rsidRPr="003E1CF4" w:rsidRDefault="00A3615D" w:rsidP="003E1CF4">
            <w:pPr>
              <w:pStyle w:val="TblTextCenter"/>
            </w:pPr>
            <w:r w:rsidRPr="003E1CF4">
              <w:t>1.3</w:t>
            </w:r>
          </w:p>
        </w:tc>
        <w:tc>
          <w:tcPr>
            <w:tcW w:w="471" w:type="pct"/>
            <w:tcBorders>
              <w:bottom w:val="single" w:sz="12" w:space="0" w:color="auto"/>
            </w:tcBorders>
            <w:shd w:val="clear" w:color="auto" w:fill="auto"/>
            <w:vAlign w:val="center"/>
          </w:tcPr>
          <w:p w14:paraId="1E4AEAD9" w14:textId="77777777" w:rsidR="00A3615D" w:rsidRPr="003E1CF4" w:rsidRDefault="00A3615D" w:rsidP="003E1CF4">
            <w:pPr>
              <w:pStyle w:val="TblTextCenter"/>
            </w:pPr>
            <w:r w:rsidRPr="003E1CF4">
              <w:t>101</w:t>
            </w:r>
          </w:p>
        </w:tc>
        <w:tc>
          <w:tcPr>
            <w:tcW w:w="707" w:type="pct"/>
            <w:tcBorders>
              <w:bottom w:val="single" w:sz="12" w:space="0" w:color="auto"/>
            </w:tcBorders>
            <w:shd w:val="clear" w:color="auto" w:fill="auto"/>
            <w:vAlign w:val="center"/>
          </w:tcPr>
          <w:p w14:paraId="3B2041A7" w14:textId="77777777" w:rsidR="00A3615D" w:rsidRPr="003E1CF4" w:rsidRDefault="00A3615D" w:rsidP="003E1CF4">
            <w:pPr>
              <w:pStyle w:val="TblTextCenter"/>
            </w:pPr>
            <w:r w:rsidRPr="003E1CF4">
              <w:t>2.3</w:t>
            </w:r>
          </w:p>
        </w:tc>
        <w:tc>
          <w:tcPr>
            <w:tcW w:w="471" w:type="pct"/>
            <w:tcBorders>
              <w:bottom w:val="single" w:sz="12" w:space="0" w:color="auto"/>
            </w:tcBorders>
            <w:shd w:val="clear" w:color="auto" w:fill="auto"/>
            <w:vAlign w:val="center"/>
          </w:tcPr>
          <w:p w14:paraId="5F836DB2" w14:textId="77777777" w:rsidR="00A3615D" w:rsidRPr="003E1CF4" w:rsidRDefault="00A3615D" w:rsidP="003E1CF4">
            <w:pPr>
              <w:pStyle w:val="TblTextCenter"/>
            </w:pPr>
            <w:r w:rsidRPr="003E1CF4">
              <w:t>0.57</w:t>
            </w:r>
          </w:p>
        </w:tc>
        <w:tc>
          <w:tcPr>
            <w:tcW w:w="681" w:type="pct"/>
            <w:tcBorders>
              <w:bottom w:val="single" w:sz="12" w:space="0" w:color="auto"/>
            </w:tcBorders>
            <w:shd w:val="clear" w:color="auto" w:fill="auto"/>
            <w:vAlign w:val="center"/>
          </w:tcPr>
          <w:p w14:paraId="5014312F" w14:textId="77777777" w:rsidR="00A3615D" w:rsidRPr="003E1CF4" w:rsidRDefault="00A3615D" w:rsidP="003E1CF4">
            <w:pPr>
              <w:pStyle w:val="TblTextCenter"/>
            </w:pPr>
            <w:r w:rsidRPr="003E1CF4">
              <w:t>43 (21, 59)</w:t>
            </w:r>
          </w:p>
        </w:tc>
      </w:tr>
      <w:tr w:rsidR="003E1CF4" w:rsidRPr="00511840" w14:paraId="0E3EAE33" w14:textId="77777777" w:rsidTr="003E1CF4">
        <w:trPr>
          <w:cantSplit/>
          <w:trHeight w:val="272"/>
          <w:jc w:val="center"/>
        </w:trPr>
        <w:tc>
          <w:tcPr>
            <w:tcW w:w="5000" w:type="pct"/>
            <w:gridSpan w:val="7"/>
            <w:tcBorders>
              <w:top w:val="single" w:sz="12" w:space="0" w:color="auto"/>
            </w:tcBorders>
            <w:shd w:val="clear" w:color="auto" w:fill="auto"/>
          </w:tcPr>
          <w:p w14:paraId="1A9CD907" w14:textId="77777777" w:rsidR="003E1CF4" w:rsidRPr="00511840" w:rsidRDefault="003E1CF4" w:rsidP="003E1CF4">
            <w:pPr>
              <w:pStyle w:val="TblFigFootnote"/>
              <w:rPr>
                <w:lang w:val="en-AU"/>
              </w:rPr>
            </w:pPr>
          </w:p>
        </w:tc>
      </w:tr>
    </w:tbl>
    <w:p w14:paraId="1C4DE8FB" w14:textId="77777777" w:rsidR="00695469" w:rsidRPr="00511840" w:rsidRDefault="00A3615D" w:rsidP="00695469">
      <w:pPr>
        <w:tabs>
          <w:tab w:val="left" w:pos="567"/>
        </w:tabs>
        <w:spacing w:before="0"/>
        <w:rPr>
          <w:rFonts w:ascii="Arial Narrow" w:hAnsi="Arial Narrow"/>
          <w:sz w:val="20"/>
          <w:szCs w:val="20"/>
          <w:lang w:val="en-AU"/>
        </w:rPr>
      </w:pPr>
      <w:r w:rsidRPr="00511840">
        <w:rPr>
          <w:rFonts w:ascii="Arial Narrow" w:hAnsi="Arial Narrow"/>
          <w:sz w:val="20"/>
          <w:szCs w:val="20"/>
          <w:lang w:val="en-AU"/>
        </w:rPr>
        <w:t xml:space="preserve">Abbreviations: rtPCR=reverse transcriptase polymerase chain reaction; </w:t>
      </w:r>
    </w:p>
    <w:p w14:paraId="65801F39" w14:textId="77777777" w:rsidR="000929A0" w:rsidRDefault="00A3615D" w:rsidP="00695469">
      <w:pPr>
        <w:tabs>
          <w:tab w:val="left" w:pos="567"/>
        </w:tabs>
        <w:spacing w:before="0"/>
        <w:rPr>
          <w:rFonts w:ascii="Arial Narrow" w:hAnsi="Arial Narrow"/>
          <w:sz w:val="20"/>
          <w:szCs w:val="20"/>
          <w:lang w:val="en-AU"/>
        </w:rPr>
      </w:pPr>
      <w:r w:rsidRPr="000929A0">
        <w:rPr>
          <w:rFonts w:ascii="Arial Narrow" w:hAnsi="Arial Narrow"/>
          <w:sz w:val="20"/>
          <w:szCs w:val="20"/>
          <w:lang w:val="en-AU"/>
        </w:rPr>
        <w:t>Comparator</w:t>
      </w:r>
      <w:r w:rsidR="000929A0">
        <w:rPr>
          <w:rFonts w:ascii="Arial Narrow" w:hAnsi="Arial Narrow"/>
          <w:sz w:val="20"/>
          <w:szCs w:val="20"/>
          <w:lang w:val="en-AU"/>
        </w:rPr>
        <w:t>: Q</w:t>
      </w:r>
      <w:r w:rsidRPr="00511840">
        <w:rPr>
          <w:rFonts w:ascii="Arial Narrow" w:hAnsi="Arial Narrow"/>
          <w:sz w:val="20"/>
          <w:szCs w:val="20"/>
          <w:lang w:val="en-AU"/>
        </w:rPr>
        <w:t xml:space="preserve">uadrivalent inactivated influenza vaccine, </w:t>
      </w:r>
      <w:r w:rsidRPr="00541139">
        <w:rPr>
          <w:rFonts w:ascii="Arial Narrow" w:hAnsi="Arial Narrow"/>
          <w:sz w:val="20"/>
          <w:szCs w:val="20"/>
          <w:lang w:val="en-AU"/>
        </w:rPr>
        <w:t xml:space="preserve">Fluarix </w:t>
      </w:r>
      <w:r w:rsidR="000929A0" w:rsidRPr="00541139">
        <w:rPr>
          <w:rFonts w:ascii="Arial Narrow" w:hAnsi="Arial Narrow"/>
          <w:sz w:val="20"/>
          <w:szCs w:val="20"/>
          <w:lang w:val="en-AU"/>
        </w:rPr>
        <w:t>Tetra</w:t>
      </w:r>
      <w:r w:rsidRPr="00541139">
        <w:rPr>
          <w:rFonts w:ascii="Arial Narrow" w:hAnsi="Arial Narrow"/>
          <w:sz w:val="20"/>
          <w:szCs w:val="20"/>
          <w:lang w:val="en-AU"/>
        </w:rPr>
        <w:t>, manufactured</w:t>
      </w:r>
      <w:r w:rsidRPr="00511840">
        <w:rPr>
          <w:rFonts w:ascii="Arial Narrow" w:hAnsi="Arial Narrow"/>
          <w:sz w:val="20"/>
          <w:szCs w:val="20"/>
          <w:lang w:val="en-AU"/>
        </w:rPr>
        <w:t xml:space="preserve"> by GlaxoSmithKline; </w:t>
      </w:r>
    </w:p>
    <w:p w14:paraId="49F13ADE" w14:textId="7457C07B" w:rsidR="00695469" w:rsidRPr="00511840" w:rsidRDefault="00A3615D" w:rsidP="00695469">
      <w:pPr>
        <w:tabs>
          <w:tab w:val="left" w:pos="567"/>
        </w:tabs>
        <w:spacing w:before="0"/>
        <w:rPr>
          <w:rFonts w:ascii="Arial Narrow" w:hAnsi="Arial Narrow"/>
          <w:sz w:val="20"/>
          <w:szCs w:val="20"/>
          <w:lang w:val="en-AU"/>
        </w:rPr>
      </w:pPr>
      <w:r w:rsidRPr="00511840">
        <w:rPr>
          <w:rFonts w:ascii="Arial Narrow" w:hAnsi="Arial Narrow"/>
          <w:sz w:val="20"/>
          <w:szCs w:val="20"/>
          <w:lang w:val="en-AU"/>
        </w:rPr>
        <w:t xml:space="preserve">n=number of influenza cases; </w:t>
      </w:r>
    </w:p>
    <w:p w14:paraId="407E7238" w14:textId="77777777" w:rsidR="00695469" w:rsidRPr="00511840" w:rsidRDefault="00A3615D" w:rsidP="00695469">
      <w:pPr>
        <w:tabs>
          <w:tab w:val="left" w:pos="567"/>
        </w:tabs>
        <w:spacing w:before="0"/>
        <w:rPr>
          <w:rFonts w:ascii="Arial Narrow" w:hAnsi="Arial Narrow"/>
          <w:sz w:val="20"/>
          <w:szCs w:val="20"/>
          <w:lang w:val="en-AU"/>
        </w:rPr>
      </w:pPr>
      <w:r w:rsidRPr="00511840">
        <w:rPr>
          <w:rFonts w:ascii="Arial Narrow" w:hAnsi="Arial Narrow"/>
          <w:sz w:val="20"/>
          <w:szCs w:val="20"/>
          <w:lang w:val="en-AU"/>
        </w:rPr>
        <w:t xml:space="preserve">N=number of subjects in treatment group; </w:t>
      </w:r>
    </w:p>
    <w:p w14:paraId="400C245B" w14:textId="268F896A" w:rsidR="00A3615D" w:rsidRPr="00511840" w:rsidRDefault="00A3615D" w:rsidP="00695469">
      <w:pPr>
        <w:tabs>
          <w:tab w:val="left" w:pos="567"/>
        </w:tabs>
        <w:spacing w:before="0"/>
        <w:rPr>
          <w:rFonts w:ascii="Arial Narrow" w:hAnsi="Arial Narrow"/>
          <w:sz w:val="20"/>
          <w:szCs w:val="20"/>
          <w:lang w:val="en-AU"/>
        </w:rPr>
      </w:pPr>
      <w:r w:rsidRPr="00511840">
        <w:rPr>
          <w:rFonts w:ascii="Arial Narrow" w:hAnsi="Arial Narrow"/>
          <w:sz w:val="20"/>
          <w:szCs w:val="20"/>
          <w:lang w:val="en-AU"/>
        </w:rPr>
        <w:t xml:space="preserve">RR=relative risk (Attack Rate </w:t>
      </w:r>
      <w:r w:rsidR="00695469" w:rsidRPr="00511840">
        <w:rPr>
          <w:rFonts w:ascii="Arial Narrow" w:hAnsi="Arial Narrow"/>
          <w:sz w:val="20"/>
          <w:szCs w:val="20"/>
          <w:lang w:val="en-AU"/>
        </w:rPr>
        <w:t>Flublok Quadrivalent</w:t>
      </w:r>
      <w:r w:rsidRPr="00511840">
        <w:rPr>
          <w:rFonts w:ascii="Arial Narrow" w:hAnsi="Arial Narrow"/>
          <w:sz w:val="20"/>
          <w:szCs w:val="20"/>
          <w:lang w:val="en-AU"/>
        </w:rPr>
        <w:t xml:space="preserve">/Attack Rate </w:t>
      </w:r>
      <w:r w:rsidR="000929A0">
        <w:rPr>
          <w:rFonts w:ascii="Arial Narrow" w:hAnsi="Arial Narrow"/>
          <w:sz w:val="20"/>
          <w:szCs w:val="20"/>
          <w:lang w:val="en-AU"/>
        </w:rPr>
        <w:t>Comparator</w:t>
      </w:r>
      <w:r w:rsidRPr="00511840">
        <w:rPr>
          <w:rFonts w:ascii="Arial Narrow" w:hAnsi="Arial Narrow"/>
          <w:sz w:val="20"/>
          <w:szCs w:val="20"/>
          <w:lang w:val="en-AU"/>
        </w:rPr>
        <w:t xml:space="preserve">); rVE = [(1-RR) x 100]. </w:t>
      </w:r>
    </w:p>
    <w:p w14:paraId="2CDB90F9" w14:textId="77777777" w:rsidR="00A3615D" w:rsidRPr="00511840" w:rsidRDefault="00A3615D" w:rsidP="00695469">
      <w:pPr>
        <w:tabs>
          <w:tab w:val="left" w:pos="567"/>
        </w:tabs>
        <w:spacing w:before="0"/>
        <w:rPr>
          <w:rFonts w:ascii="Arial Narrow" w:hAnsi="Arial Narrow"/>
          <w:sz w:val="20"/>
          <w:szCs w:val="20"/>
          <w:lang w:val="en-AU"/>
        </w:rPr>
      </w:pPr>
      <w:r w:rsidRPr="00511840">
        <w:rPr>
          <w:rFonts w:ascii="Arial Narrow" w:hAnsi="Arial Narrow"/>
          <w:sz w:val="20"/>
          <w:szCs w:val="20"/>
          <w:vertAlign w:val="superscript"/>
          <w:lang w:val="en-AU"/>
        </w:rPr>
        <w:t>1</w:t>
      </w:r>
      <w:r w:rsidRPr="00511840">
        <w:rPr>
          <w:rFonts w:ascii="Arial Narrow" w:hAnsi="Arial Narrow"/>
          <w:sz w:val="20"/>
          <w:szCs w:val="20"/>
          <w:lang w:val="en-AU"/>
        </w:rPr>
        <w:t xml:space="preserve"> Excluded subjects with protocol deviations that could adversely affect efficacy.</w:t>
      </w:r>
    </w:p>
    <w:p w14:paraId="7E557918" w14:textId="77777777" w:rsidR="00A3615D" w:rsidRPr="00511840" w:rsidRDefault="00A3615D" w:rsidP="00695469">
      <w:pPr>
        <w:tabs>
          <w:tab w:val="left" w:pos="567"/>
        </w:tabs>
        <w:spacing w:before="0"/>
        <w:rPr>
          <w:rFonts w:ascii="Arial Narrow" w:hAnsi="Arial Narrow"/>
          <w:sz w:val="20"/>
          <w:szCs w:val="20"/>
          <w:lang w:val="en-AU"/>
        </w:rPr>
      </w:pPr>
      <w:r w:rsidRPr="00511840">
        <w:rPr>
          <w:rFonts w:ascii="Arial Narrow" w:hAnsi="Arial Narrow"/>
          <w:sz w:val="20"/>
          <w:szCs w:val="20"/>
          <w:vertAlign w:val="superscript"/>
          <w:lang w:val="en-AU"/>
        </w:rPr>
        <w:t>2</w:t>
      </w:r>
      <w:r w:rsidRPr="00511840">
        <w:rPr>
          <w:rFonts w:ascii="Arial Narrow" w:hAnsi="Arial Narrow"/>
          <w:sz w:val="20"/>
          <w:szCs w:val="20"/>
          <w:lang w:val="en-AU"/>
        </w:rPr>
        <w:t xml:space="preserve"> Primary Analysis. All cases of rtPCR-confirmed influenza are included.</w:t>
      </w:r>
    </w:p>
    <w:p w14:paraId="3013895A" w14:textId="77777777" w:rsidR="00A3615D" w:rsidRPr="00511840" w:rsidRDefault="00A3615D" w:rsidP="00695469">
      <w:pPr>
        <w:tabs>
          <w:tab w:val="left" w:pos="567"/>
        </w:tabs>
        <w:spacing w:before="0"/>
        <w:rPr>
          <w:rFonts w:ascii="Arial Narrow" w:hAnsi="Arial Narrow"/>
          <w:sz w:val="20"/>
          <w:szCs w:val="20"/>
          <w:lang w:val="en-AU"/>
        </w:rPr>
      </w:pPr>
      <w:r w:rsidRPr="00511840">
        <w:rPr>
          <w:rFonts w:ascii="Arial Narrow" w:hAnsi="Arial Narrow"/>
          <w:sz w:val="20"/>
          <w:szCs w:val="20"/>
          <w:vertAlign w:val="superscript"/>
          <w:lang w:val="en-AU"/>
        </w:rPr>
        <w:t xml:space="preserve">3 </w:t>
      </w:r>
      <w:r w:rsidRPr="00511840">
        <w:rPr>
          <w:rFonts w:ascii="Arial Narrow" w:hAnsi="Arial Narrow"/>
          <w:i/>
          <w:sz w:val="20"/>
          <w:szCs w:val="20"/>
          <w:lang w:val="en-AU"/>
        </w:rPr>
        <w:t>Post hoc</w:t>
      </w:r>
      <w:r w:rsidRPr="00511840">
        <w:rPr>
          <w:rFonts w:ascii="Arial Narrow" w:hAnsi="Arial Narrow"/>
          <w:sz w:val="20"/>
          <w:szCs w:val="20"/>
          <w:lang w:val="en-AU"/>
        </w:rPr>
        <w:t xml:space="preserve"> analyses. All cases of influenza A were A/H3N2. Cases of influenza B were not distinguished by lineage. </w:t>
      </w:r>
    </w:p>
    <w:p w14:paraId="78891071" w14:textId="77777777" w:rsidR="00A3615D" w:rsidRPr="00511840" w:rsidRDefault="00A3615D" w:rsidP="00695469">
      <w:pPr>
        <w:tabs>
          <w:tab w:val="left" w:pos="567"/>
        </w:tabs>
        <w:spacing w:before="0"/>
        <w:rPr>
          <w:rFonts w:ascii="Arial Narrow" w:hAnsi="Arial Narrow"/>
          <w:sz w:val="20"/>
          <w:szCs w:val="20"/>
          <w:lang w:val="en-AU"/>
        </w:rPr>
      </w:pPr>
      <w:r w:rsidRPr="00511840">
        <w:rPr>
          <w:rFonts w:ascii="Arial Narrow" w:hAnsi="Arial Narrow"/>
          <w:sz w:val="20"/>
          <w:szCs w:val="20"/>
          <w:vertAlign w:val="superscript"/>
          <w:lang w:val="en-AU"/>
        </w:rPr>
        <w:t>4</w:t>
      </w:r>
      <w:r w:rsidRPr="00511840">
        <w:rPr>
          <w:rFonts w:ascii="Arial Narrow" w:hAnsi="Arial Narrow"/>
          <w:sz w:val="20"/>
          <w:szCs w:val="20"/>
          <w:lang w:val="en-AU"/>
        </w:rPr>
        <w:t xml:space="preserve"> Culture of rtPCR-positive samples was performed in MDCK cells.</w:t>
      </w:r>
    </w:p>
    <w:p w14:paraId="2A5118C6" w14:textId="77777777" w:rsidR="00A3615D" w:rsidRPr="00511840" w:rsidRDefault="00A3615D" w:rsidP="00B05F5C">
      <w:pPr>
        <w:pStyle w:val="Heading5"/>
        <w:numPr>
          <w:ilvl w:val="0"/>
          <w:numId w:val="0"/>
        </w:numPr>
        <w:ind w:left="1009" w:hanging="1009"/>
        <w:rPr>
          <w:lang w:val="en-AU"/>
        </w:rPr>
      </w:pPr>
      <w:r w:rsidRPr="00511840">
        <w:rPr>
          <w:lang w:val="en-AU"/>
        </w:rPr>
        <w:t>Efficacy of trivalent recombinant influenza vaccine (RIV3)</w:t>
      </w:r>
    </w:p>
    <w:p w14:paraId="04302F03" w14:textId="2C2D9A41" w:rsidR="00A3615D" w:rsidRPr="00511840" w:rsidRDefault="00A3615D" w:rsidP="00695469">
      <w:pPr>
        <w:tabs>
          <w:tab w:val="left" w:pos="567"/>
        </w:tabs>
        <w:spacing w:before="120" w:after="120"/>
        <w:rPr>
          <w:lang w:val="en-AU"/>
        </w:rPr>
      </w:pPr>
      <w:r w:rsidRPr="00511840">
        <w:rPr>
          <w:lang w:val="en-AU"/>
        </w:rPr>
        <w:t xml:space="preserve">The efficacy of trivalent recombinant influenza vaccine (RIV3) is relevant to </w:t>
      </w:r>
      <w:r w:rsidR="00695469" w:rsidRPr="00511840">
        <w:rPr>
          <w:lang w:val="en-AU"/>
        </w:rPr>
        <w:t>Flublok Quadrivalent</w:t>
      </w:r>
      <w:r w:rsidRPr="00511840">
        <w:rPr>
          <w:lang w:val="en-AU"/>
        </w:rPr>
        <w:t xml:space="preserve"> because both vaccines are manufactured using the same process and have overlapping compositions.</w:t>
      </w:r>
    </w:p>
    <w:p w14:paraId="501B0117" w14:textId="3123DDB7" w:rsidR="00A3615D" w:rsidRPr="00511840" w:rsidRDefault="00A3615D" w:rsidP="00695469">
      <w:pPr>
        <w:tabs>
          <w:tab w:val="left" w:pos="567"/>
        </w:tabs>
        <w:spacing w:before="120" w:after="120"/>
        <w:rPr>
          <w:lang w:val="en-AU"/>
        </w:rPr>
      </w:pPr>
      <w:r w:rsidRPr="00511840">
        <w:rPr>
          <w:lang w:val="en-AU"/>
        </w:rPr>
        <w:t>The efficacy of trivalent recombinant influenza vaccine in protecting against influenza illness was evaluated in a randomized, observer-blind, placebo-controlled multi</w:t>
      </w:r>
      <w:r w:rsidR="000929A0">
        <w:rPr>
          <w:lang w:val="en-AU"/>
        </w:rPr>
        <w:t>-</w:t>
      </w:r>
      <w:r w:rsidRPr="00511840">
        <w:rPr>
          <w:lang w:val="en-AU"/>
        </w:rPr>
        <w:t>centr</w:t>
      </w:r>
      <w:r w:rsidR="000929A0">
        <w:rPr>
          <w:lang w:val="en-AU"/>
        </w:rPr>
        <w:t>e</w:t>
      </w:r>
      <w:r w:rsidRPr="00511840">
        <w:rPr>
          <w:lang w:val="en-AU"/>
        </w:rPr>
        <w:t xml:space="preserve"> trial conducted in the US during the 2007-2008 influenza season in adults 18-49 years of age (</w:t>
      </w:r>
      <w:r w:rsidR="00F57640">
        <w:rPr>
          <w:lang w:val="en-AU"/>
        </w:rPr>
        <w:t>PSC04</w:t>
      </w:r>
      <w:r w:rsidRPr="00511840">
        <w:rPr>
          <w:lang w:val="en-AU"/>
        </w:rPr>
        <w:t>).</w:t>
      </w:r>
    </w:p>
    <w:p w14:paraId="3705A081" w14:textId="47FD7206" w:rsidR="00A3615D" w:rsidRPr="00511840" w:rsidRDefault="00F57640" w:rsidP="00695469">
      <w:pPr>
        <w:tabs>
          <w:tab w:val="left" w:pos="567"/>
        </w:tabs>
        <w:spacing w:before="120" w:after="120"/>
        <w:rPr>
          <w:lang w:val="en-AU"/>
        </w:rPr>
      </w:pPr>
      <w:r>
        <w:rPr>
          <w:lang w:val="en-AU"/>
        </w:rPr>
        <w:t xml:space="preserve">PSC04 </w:t>
      </w:r>
      <w:r w:rsidR="00A3615D" w:rsidRPr="00511840">
        <w:rPr>
          <w:lang w:val="en-AU"/>
        </w:rPr>
        <w:t>enrolled and vaccinated 4648 healthy adults randomi</w:t>
      </w:r>
      <w:r w:rsidR="000929A0">
        <w:rPr>
          <w:lang w:val="en-AU"/>
        </w:rPr>
        <w:t>s</w:t>
      </w:r>
      <w:r w:rsidR="00A3615D" w:rsidRPr="00511840">
        <w:rPr>
          <w:lang w:val="en-AU"/>
        </w:rPr>
        <w:t xml:space="preserve">ed in a 1:1 ratio to receive a single dose of RIV3 (n=2344) or saline placebo (n=2304). </w:t>
      </w:r>
    </w:p>
    <w:p w14:paraId="6DEB43D6" w14:textId="5A0E2CE7" w:rsidR="00A3615D" w:rsidRPr="00511840" w:rsidRDefault="00A3615D" w:rsidP="00695469">
      <w:pPr>
        <w:tabs>
          <w:tab w:val="left" w:pos="567"/>
        </w:tabs>
        <w:spacing w:before="120" w:after="120"/>
        <w:rPr>
          <w:lang w:val="en-AU"/>
        </w:rPr>
      </w:pPr>
      <w:r w:rsidRPr="00511840">
        <w:rPr>
          <w:lang w:val="en-AU"/>
        </w:rPr>
        <w:t>Culture-confirmed influenza was assessed by active and passive surveillance for ILI beginning 2 weeks post-vaccination until the end of the influenza season, approximately 7 months post- vaccination</w:t>
      </w:r>
      <w:r w:rsidRPr="00511840">
        <w:rPr>
          <w:shd w:val="clear" w:color="auto" w:fill="FFFFFF"/>
          <w:lang w:val="en-AU"/>
        </w:rPr>
        <w:t>.</w:t>
      </w:r>
    </w:p>
    <w:p w14:paraId="759653D0" w14:textId="610C2107" w:rsidR="00A3615D" w:rsidRPr="00511840" w:rsidRDefault="00A3615D" w:rsidP="00695469">
      <w:pPr>
        <w:tabs>
          <w:tab w:val="left" w:pos="567"/>
        </w:tabs>
        <w:spacing w:before="120" w:after="120"/>
        <w:rPr>
          <w:lang w:val="en-AU"/>
        </w:rPr>
      </w:pPr>
      <w:r w:rsidRPr="00511840">
        <w:rPr>
          <w:lang w:val="en-AU"/>
        </w:rPr>
        <w:lastRenderedPageBreak/>
        <w:t xml:space="preserve">The primary efficacy endpoint of </w:t>
      </w:r>
      <w:r w:rsidR="00F57640">
        <w:rPr>
          <w:lang w:val="en-AU"/>
        </w:rPr>
        <w:t>PSC04</w:t>
      </w:r>
      <w:r w:rsidRPr="00511840">
        <w:rPr>
          <w:lang w:val="en-AU"/>
        </w:rPr>
        <w:t xml:space="preserve"> was defined as an ILI with a positive culture for an influenza virus strain antigenically resembling a strain represented in RIV3. ILI is defined as fever of ≥</w:t>
      </w:r>
      <w:r w:rsidR="000929A0">
        <w:rPr>
          <w:lang w:val="en-AU"/>
        </w:rPr>
        <w:t xml:space="preserve"> </w:t>
      </w:r>
      <w:r w:rsidRPr="00511840">
        <w:rPr>
          <w:lang w:val="en-AU"/>
        </w:rPr>
        <w:t xml:space="preserve">37.8°C oral accompanied by cough, sore throat, or both, on the same or consecutive days. Attack rates and vaccine efficacy (VE), defined as the reduction in the influenza rate for RIV3 relative to placebo, were calculated for the total vaccinated cohort (n=4648). </w:t>
      </w:r>
    </w:p>
    <w:p w14:paraId="231A4222" w14:textId="77777777" w:rsidR="00A3615D" w:rsidRPr="00511840" w:rsidRDefault="00A3615D" w:rsidP="00695469">
      <w:pPr>
        <w:tabs>
          <w:tab w:val="left" w:pos="567"/>
        </w:tabs>
        <w:spacing w:before="120" w:after="120"/>
        <w:rPr>
          <w:lang w:val="en-AU"/>
        </w:rPr>
      </w:pPr>
      <w:r w:rsidRPr="00511840">
        <w:rPr>
          <w:lang w:val="en-AU"/>
        </w:rPr>
        <w:t>The pre-defined success criterion for the primary efficacy analysis was that the lower bound of the 95% confidence interval (CI) of VE should be at least 40%.</w:t>
      </w:r>
    </w:p>
    <w:p w14:paraId="4167D7A9" w14:textId="2A8A8AD0" w:rsidR="00A3615D" w:rsidRPr="00511840" w:rsidRDefault="00A3615D" w:rsidP="00695469">
      <w:pPr>
        <w:tabs>
          <w:tab w:val="left" w:pos="567"/>
        </w:tabs>
        <w:spacing w:before="120" w:after="120"/>
        <w:rPr>
          <w:lang w:val="en-AU"/>
        </w:rPr>
      </w:pPr>
      <w:r w:rsidRPr="00511840">
        <w:rPr>
          <w:lang w:val="en-AU"/>
        </w:rPr>
        <w:t xml:space="preserve">Due to very small number of cultured confirmed influenza cases with matched strains, an exploratory analysis of VE of RIV3 against all strains, regardless of antigenic match, isolated from any subject with an ILI, not necessarily meeting ILI criteria was done, demonstrated an efficacy estimate of 44.8% (95% CI 24.4, 60.0). See </w:t>
      </w:r>
      <w:r w:rsidR="00695469" w:rsidRPr="00511840">
        <w:rPr>
          <w:color w:val="0000FF"/>
          <w:lang w:val="en-AU"/>
        </w:rPr>
        <w:fldChar w:fldCharType="begin"/>
      </w:r>
      <w:r w:rsidR="00695469" w:rsidRPr="00511840">
        <w:rPr>
          <w:color w:val="0000FF"/>
          <w:lang w:val="en-AU"/>
        </w:rPr>
        <w:instrText xml:space="preserve"> REF _Ref20408857 \h  \* MERGEFORMAT </w:instrText>
      </w:r>
      <w:r w:rsidR="00695469" w:rsidRPr="00511840">
        <w:rPr>
          <w:color w:val="0000FF"/>
          <w:lang w:val="en-AU"/>
        </w:rPr>
      </w:r>
      <w:r w:rsidR="00695469" w:rsidRPr="00511840">
        <w:rPr>
          <w:color w:val="0000FF"/>
          <w:lang w:val="en-AU"/>
        </w:rPr>
        <w:fldChar w:fldCharType="separate"/>
      </w:r>
      <w:r w:rsidR="008266B0" w:rsidRPr="008266B0">
        <w:rPr>
          <w:color w:val="0000FF"/>
          <w:lang w:val="en-AU"/>
        </w:rPr>
        <w:t>Table 8</w:t>
      </w:r>
      <w:r w:rsidR="00695469" w:rsidRPr="00511840">
        <w:rPr>
          <w:color w:val="0000FF"/>
          <w:lang w:val="en-AU"/>
        </w:rPr>
        <w:fldChar w:fldCharType="end"/>
      </w:r>
      <w:r w:rsidR="00695469" w:rsidRPr="00511840">
        <w:rPr>
          <w:color w:val="0000FF"/>
          <w:lang w:val="en-AU"/>
        </w:rPr>
        <w:t xml:space="preserve"> </w:t>
      </w:r>
      <w:r w:rsidRPr="00511840">
        <w:rPr>
          <w:lang w:val="en-AU"/>
        </w:rPr>
        <w:t>or VE by case definition.</w:t>
      </w:r>
    </w:p>
    <w:p w14:paraId="0FFED64F" w14:textId="3C096574" w:rsidR="00A3615D" w:rsidRPr="00511840" w:rsidRDefault="00695469" w:rsidP="00695469">
      <w:pPr>
        <w:pStyle w:val="Caption"/>
        <w:rPr>
          <w:b w:val="0"/>
          <w:sz w:val="22"/>
          <w:lang w:val="en-AU"/>
        </w:rPr>
      </w:pPr>
      <w:r w:rsidRPr="00511840">
        <w:rPr>
          <w:b w:val="0"/>
          <w:sz w:val="22"/>
          <w:lang w:val="en-AU"/>
        </w:rPr>
        <w:t xml:space="preserve"> </w:t>
      </w:r>
      <w:bookmarkStart w:id="13" w:name="_Ref20408857"/>
      <w:r w:rsidRPr="00511840">
        <w:rPr>
          <w:lang w:val="en-AU"/>
        </w:rPr>
        <w:t>Table </w:t>
      </w:r>
      <w:r w:rsidRPr="00511840">
        <w:rPr>
          <w:lang w:val="en-AU"/>
        </w:rPr>
        <w:fldChar w:fldCharType="begin"/>
      </w:r>
      <w:r w:rsidRPr="00511840">
        <w:rPr>
          <w:lang w:val="en-AU"/>
        </w:rPr>
        <w:instrText xml:space="preserve"> SEQ Table \* ARABIC </w:instrText>
      </w:r>
      <w:r w:rsidRPr="00511840">
        <w:rPr>
          <w:lang w:val="en-AU"/>
        </w:rPr>
        <w:fldChar w:fldCharType="separate"/>
      </w:r>
      <w:r w:rsidR="008266B0">
        <w:rPr>
          <w:noProof/>
          <w:lang w:val="en-AU"/>
        </w:rPr>
        <w:t>8</w:t>
      </w:r>
      <w:r w:rsidRPr="00511840">
        <w:rPr>
          <w:lang w:val="en-AU"/>
        </w:rPr>
        <w:fldChar w:fldCharType="end"/>
      </w:r>
      <w:bookmarkEnd w:id="13"/>
      <w:r w:rsidRPr="00511840">
        <w:rPr>
          <w:lang w:val="en-AU"/>
        </w:rPr>
        <w:t xml:space="preserve"> ­ </w:t>
      </w:r>
      <w:r w:rsidR="00A3615D" w:rsidRPr="00511840">
        <w:rPr>
          <w:lang w:val="en-AU"/>
        </w:rPr>
        <w:t xml:space="preserve">Vaccine Efficacy Against Culture-Confirmed Influenza </w:t>
      </w:r>
      <w:r w:rsidR="0084140A">
        <w:rPr>
          <w:lang w:val="en-AU"/>
        </w:rPr>
        <w:br/>
      </w:r>
      <w:r w:rsidR="00A3615D" w:rsidRPr="00511840">
        <w:rPr>
          <w:lang w:val="en-AU"/>
        </w:rPr>
        <w:t xml:space="preserve">in Healthy Adults 18-49 Years of Age, </w:t>
      </w:r>
      <w:r w:rsidR="00F57640">
        <w:rPr>
          <w:lang w:val="en-AU"/>
        </w:rPr>
        <w:t>PSC04</w:t>
      </w:r>
      <w:r w:rsidR="00A3615D" w:rsidRPr="00511840">
        <w:rPr>
          <w:lang w:val="en-AU"/>
        </w:rPr>
        <w:t>*</w:t>
      </w:r>
    </w:p>
    <w:tbl>
      <w:tblPr>
        <w:tblW w:w="5000" w:type="pct"/>
        <w:jc w:val="center"/>
        <w:tblBorders>
          <w:top w:val="single" w:sz="2" w:space="0" w:color="000000"/>
        </w:tblBorders>
        <w:tblLook w:val="04A0" w:firstRow="1" w:lastRow="0" w:firstColumn="1" w:lastColumn="0" w:noHBand="0" w:noVBand="1"/>
      </w:tblPr>
      <w:tblGrid>
        <w:gridCol w:w="1929"/>
        <w:gridCol w:w="745"/>
        <w:gridCol w:w="723"/>
        <w:gridCol w:w="1013"/>
        <w:gridCol w:w="1040"/>
        <w:gridCol w:w="1995"/>
        <w:gridCol w:w="1581"/>
      </w:tblGrid>
      <w:tr w:rsidR="00A3615D" w:rsidRPr="00511840" w14:paraId="24B3E657" w14:textId="77777777" w:rsidTr="0090596A">
        <w:trPr>
          <w:cantSplit/>
          <w:trHeight w:val="638"/>
          <w:tblHeader/>
          <w:jc w:val="center"/>
        </w:trPr>
        <w:tc>
          <w:tcPr>
            <w:tcW w:w="1070" w:type="pct"/>
            <w:vMerge w:val="restart"/>
            <w:tcBorders>
              <w:top w:val="single" w:sz="4" w:space="0" w:color="000000"/>
              <w:bottom w:val="single" w:sz="4" w:space="0" w:color="000000"/>
            </w:tcBorders>
            <w:shd w:val="clear" w:color="auto" w:fill="auto"/>
            <w:vAlign w:val="center"/>
          </w:tcPr>
          <w:p w14:paraId="3E704900" w14:textId="77777777" w:rsidR="00A3615D" w:rsidRPr="00511840" w:rsidRDefault="00A3615D" w:rsidP="003E1CF4">
            <w:pPr>
              <w:pStyle w:val="TblHeadingCenter"/>
            </w:pPr>
            <w:r w:rsidRPr="00511840">
              <w:t>Case definition</w:t>
            </w:r>
          </w:p>
        </w:tc>
        <w:tc>
          <w:tcPr>
            <w:tcW w:w="804" w:type="pct"/>
            <w:gridSpan w:val="2"/>
            <w:tcBorders>
              <w:top w:val="single" w:sz="4" w:space="0" w:color="000000"/>
              <w:bottom w:val="single" w:sz="4" w:space="0" w:color="000000"/>
            </w:tcBorders>
            <w:shd w:val="clear" w:color="auto" w:fill="auto"/>
            <w:vAlign w:val="center"/>
          </w:tcPr>
          <w:p w14:paraId="27D26633" w14:textId="77777777" w:rsidR="00695469" w:rsidRPr="00511840" w:rsidRDefault="00A3615D" w:rsidP="003E1CF4">
            <w:pPr>
              <w:pStyle w:val="TblHeadingCenter"/>
            </w:pPr>
            <w:r w:rsidRPr="00511840">
              <w:t>RIV3</w:t>
            </w:r>
          </w:p>
          <w:p w14:paraId="74AD5698" w14:textId="4DA770DE" w:rsidR="00A3615D" w:rsidRPr="00511840" w:rsidRDefault="00A3615D" w:rsidP="003E1CF4">
            <w:pPr>
              <w:pStyle w:val="TblHeadingCenter"/>
            </w:pPr>
            <w:r w:rsidRPr="00511840">
              <w:t>(N=2344)</w:t>
            </w:r>
          </w:p>
        </w:tc>
        <w:tc>
          <w:tcPr>
            <w:tcW w:w="1141" w:type="pct"/>
            <w:gridSpan w:val="2"/>
            <w:tcBorders>
              <w:top w:val="single" w:sz="4" w:space="0" w:color="000000"/>
              <w:bottom w:val="single" w:sz="4" w:space="0" w:color="000000"/>
            </w:tcBorders>
            <w:shd w:val="clear" w:color="auto" w:fill="auto"/>
            <w:vAlign w:val="center"/>
          </w:tcPr>
          <w:p w14:paraId="38DFFE01" w14:textId="77777777" w:rsidR="00A3615D" w:rsidRPr="00511840" w:rsidRDefault="00A3615D" w:rsidP="003E1CF4">
            <w:pPr>
              <w:pStyle w:val="TblHeadingCenter"/>
            </w:pPr>
            <w:r w:rsidRPr="00511840">
              <w:t>Saline Placebo (N=2304)</w:t>
            </w:r>
          </w:p>
        </w:tc>
        <w:tc>
          <w:tcPr>
            <w:tcW w:w="1107" w:type="pct"/>
            <w:vMerge w:val="restart"/>
            <w:tcBorders>
              <w:top w:val="single" w:sz="4" w:space="0" w:color="000000"/>
              <w:bottom w:val="single" w:sz="4" w:space="0" w:color="000000"/>
            </w:tcBorders>
            <w:shd w:val="clear" w:color="auto" w:fill="auto"/>
            <w:vAlign w:val="center"/>
          </w:tcPr>
          <w:p w14:paraId="04203EB7" w14:textId="77777777" w:rsidR="00A3615D" w:rsidRPr="00511840" w:rsidRDefault="00A3615D" w:rsidP="003E1CF4">
            <w:pPr>
              <w:pStyle w:val="TblHeadingCenter"/>
            </w:pPr>
            <w:r w:rsidRPr="00511840">
              <w:t>RIV3 Vaccine Efficacy</w:t>
            </w:r>
            <w:r w:rsidRPr="00511840">
              <w:rPr>
                <w:vertAlign w:val="superscript"/>
              </w:rPr>
              <w:t>2</w:t>
            </w:r>
            <w:r w:rsidRPr="00511840">
              <w:t xml:space="preserve"> %</w:t>
            </w:r>
          </w:p>
        </w:tc>
        <w:tc>
          <w:tcPr>
            <w:tcW w:w="877" w:type="pct"/>
            <w:vMerge w:val="restart"/>
            <w:tcBorders>
              <w:top w:val="single" w:sz="4" w:space="0" w:color="000000"/>
              <w:bottom w:val="single" w:sz="4" w:space="0" w:color="000000"/>
            </w:tcBorders>
            <w:shd w:val="clear" w:color="auto" w:fill="auto"/>
            <w:vAlign w:val="center"/>
          </w:tcPr>
          <w:p w14:paraId="6412977E" w14:textId="77777777" w:rsidR="00A3615D" w:rsidRPr="00511840" w:rsidRDefault="00A3615D" w:rsidP="003E1CF4">
            <w:pPr>
              <w:pStyle w:val="TblHeadingCenter"/>
            </w:pPr>
            <w:r w:rsidRPr="00511840">
              <w:t>95% Confidence</w:t>
            </w:r>
          </w:p>
          <w:p w14:paraId="384AB2A3" w14:textId="77777777" w:rsidR="00A3615D" w:rsidRPr="00511840" w:rsidRDefault="00A3615D" w:rsidP="003E1CF4">
            <w:pPr>
              <w:pStyle w:val="TblHeadingCenter"/>
            </w:pPr>
            <w:r w:rsidRPr="00511840">
              <w:t>Interval</w:t>
            </w:r>
          </w:p>
        </w:tc>
      </w:tr>
      <w:tr w:rsidR="00A3615D" w:rsidRPr="00511840" w14:paraId="7B7B5C1A" w14:textId="77777777" w:rsidTr="0090596A">
        <w:trPr>
          <w:cantSplit/>
          <w:trHeight w:val="145"/>
          <w:tblHeader/>
          <w:jc w:val="center"/>
        </w:trPr>
        <w:tc>
          <w:tcPr>
            <w:tcW w:w="1070" w:type="pct"/>
            <w:vMerge/>
            <w:tcBorders>
              <w:top w:val="single" w:sz="4" w:space="0" w:color="auto"/>
              <w:bottom w:val="single" w:sz="4" w:space="0" w:color="000000"/>
            </w:tcBorders>
            <w:shd w:val="clear" w:color="auto" w:fill="auto"/>
            <w:vAlign w:val="center"/>
          </w:tcPr>
          <w:p w14:paraId="24986A41" w14:textId="77777777" w:rsidR="00A3615D" w:rsidRPr="00511840" w:rsidRDefault="00A3615D" w:rsidP="00695469">
            <w:pPr>
              <w:tabs>
                <w:tab w:val="left" w:pos="567"/>
              </w:tabs>
              <w:spacing w:before="0"/>
              <w:rPr>
                <w:rFonts w:ascii="Arial Narrow" w:hAnsi="Arial Narrow"/>
                <w:b/>
                <w:sz w:val="20"/>
                <w:szCs w:val="20"/>
                <w:lang w:val="en-AU"/>
              </w:rPr>
            </w:pPr>
          </w:p>
        </w:tc>
        <w:tc>
          <w:tcPr>
            <w:tcW w:w="403" w:type="pct"/>
            <w:tcBorders>
              <w:top w:val="single" w:sz="4" w:space="0" w:color="000000"/>
              <w:bottom w:val="single" w:sz="4" w:space="0" w:color="auto"/>
            </w:tcBorders>
            <w:shd w:val="clear" w:color="auto" w:fill="auto"/>
            <w:vAlign w:val="center"/>
          </w:tcPr>
          <w:p w14:paraId="06310081" w14:textId="77777777" w:rsidR="00A3615D" w:rsidRPr="0090596A" w:rsidRDefault="00A3615D" w:rsidP="003E1CF4">
            <w:pPr>
              <w:pStyle w:val="TblTextCenter"/>
              <w:rPr>
                <w:b/>
              </w:rPr>
            </w:pPr>
            <w:r w:rsidRPr="0090596A">
              <w:rPr>
                <w:b/>
              </w:rPr>
              <w:t>Cases,</w:t>
            </w:r>
          </w:p>
          <w:p w14:paraId="20ED13E1" w14:textId="77777777" w:rsidR="00A3615D" w:rsidRPr="0090596A" w:rsidRDefault="00A3615D" w:rsidP="003E1CF4">
            <w:pPr>
              <w:pStyle w:val="TblTextCenter"/>
              <w:rPr>
                <w:b/>
              </w:rPr>
            </w:pPr>
            <w:r w:rsidRPr="0090596A">
              <w:rPr>
                <w:b/>
              </w:rPr>
              <w:t>n</w:t>
            </w:r>
          </w:p>
        </w:tc>
        <w:tc>
          <w:tcPr>
            <w:tcW w:w="402" w:type="pct"/>
            <w:tcBorders>
              <w:top w:val="single" w:sz="4" w:space="0" w:color="000000"/>
              <w:bottom w:val="single" w:sz="4" w:space="0" w:color="auto"/>
            </w:tcBorders>
            <w:shd w:val="clear" w:color="auto" w:fill="auto"/>
            <w:vAlign w:val="center"/>
          </w:tcPr>
          <w:p w14:paraId="42206F5C" w14:textId="77777777" w:rsidR="00A3615D" w:rsidRPr="0090596A" w:rsidRDefault="00A3615D" w:rsidP="003E1CF4">
            <w:pPr>
              <w:pStyle w:val="TblTextCenter"/>
              <w:rPr>
                <w:b/>
              </w:rPr>
            </w:pPr>
            <w:r w:rsidRPr="0090596A">
              <w:rPr>
                <w:b/>
              </w:rPr>
              <w:t>Rate, %</w:t>
            </w:r>
          </w:p>
        </w:tc>
        <w:tc>
          <w:tcPr>
            <w:tcW w:w="563" w:type="pct"/>
            <w:tcBorders>
              <w:top w:val="single" w:sz="4" w:space="0" w:color="000000"/>
              <w:bottom w:val="single" w:sz="4" w:space="0" w:color="auto"/>
            </w:tcBorders>
            <w:shd w:val="clear" w:color="auto" w:fill="auto"/>
            <w:vAlign w:val="center"/>
          </w:tcPr>
          <w:p w14:paraId="715D0758" w14:textId="77777777" w:rsidR="00A3615D" w:rsidRPr="0090596A" w:rsidRDefault="00A3615D" w:rsidP="003E1CF4">
            <w:pPr>
              <w:pStyle w:val="TblTextCenter"/>
              <w:rPr>
                <w:b/>
              </w:rPr>
            </w:pPr>
            <w:r w:rsidRPr="0090596A">
              <w:rPr>
                <w:b/>
              </w:rPr>
              <w:t>Cases,</w:t>
            </w:r>
          </w:p>
          <w:p w14:paraId="18EF9C87" w14:textId="77777777" w:rsidR="00A3615D" w:rsidRPr="0090596A" w:rsidRDefault="00A3615D" w:rsidP="003E1CF4">
            <w:pPr>
              <w:pStyle w:val="TblTextCenter"/>
              <w:rPr>
                <w:b/>
              </w:rPr>
            </w:pPr>
            <w:r w:rsidRPr="0090596A">
              <w:rPr>
                <w:b/>
              </w:rPr>
              <w:t>n</w:t>
            </w:r>
          </w:p>
        </w:tc>
        <w:tc>
          <w:tcPr>
            <w:tcW w:w="578" w:type="pct"/>
            <w:tcBorders>
              <w:top w:val="single" w:sz="4" w:space="0" w:color="000000"/>
              <w:bottom w:val="single" w:sz="4" w:space="0" w:color="auto"/>
            </w:tcBorders>
            <w:shd w:val="clear" w:color="auto" w:fill="auto"/>
            <w:vAlign w:val="center"/>
          </w:tcPr>
          <w:p w14:paraId="3B54ADB3" w14:textId="77777777" w:rsidR="00A3615D" w:rsidRPr="0090596A" w:rsidRDefault="00A3615D" w:rsidP="003E1CF4">
            <w:pPr>
              <w:pStyle w:val="TblTextCenter"/>
              <w:rPr>
                <w:b/>
              </w:rPr>
            </w:pPr>
            <w:r w:rsidRPr="0090596A">
              <w:rPr>
                <w:b/>
              </w:rPr>
              <w:t>Rate, %</w:t>
            </w:r>
          </w:p>
        </w:tc>
        <w:tc>
          <w:tcPr>
            <w:tcW w:w="1107" w:type="pct"/>
            <w:vMerge/>
            <w:tcBorders>
              <w:top w:val="nil"/>
              <w:bottom w:val="single" w:sz="4" w:space="0" w:color="000000"/>
            </w:tcBorders>
            <w:shd w:val="clear" w:color="auto" w:fill="auto"/>
            <w:vAlign w:val="center"/>
          </w:tcPr>
          <w:p w14:paraId="3A9890E2" w14:textId="77777777" w:rsidR="00A3615D" w:rsidRPr="00511840" w:rsidRDefault="00A3615D" w:rsidP="00695469">
            <w:pPr>
              <w:tabs>
                <w:tab w:val="left" w:pos="567"/>
              </w:tabs>
              <w:spacing w:before="0"/>
              <w:rPr>
                <w:rFonts w:ascii="Arial Narrow" w:hAnsi="Arial Narrow"/>
                <w:sz w:val="20"/>
                <w:szCs w:val="20"/>
                <w:lang w:val="en-AU"/>
              </w:rPr>
            </w:pPr>
          </w:p>
        </w:tc>
        <w:tc>
          <w:tcPr>
            <w:tcW w:w="877" w:type="pct"/>
            <w:vMerge/>
            <w:tcBorders>
              <w:top w:val="nil"/>
              <w:bottom w:val="single" w:sz="4" w:space="0" w:color="000000"/>
            </w:tcBorders>
            <w:shd w:val="clear" w:color="auto" w:fill="auto"/>
            <w:vAlign w:val="center"/>
          </w:tcPr>
          <w:p w14:paraId="09FAF450" w14:textId="77777777" w:rsidR="00A3615D" w:rsidRPr="00511840" w:rsidRDefault="00A3615D" w:rsidP="00695469">
            <w:pPr>
              <w:tabs>
                <w:tab w:val="left" w:pos="567"/>
              </w:tabs>
              <w:spacing w:before="0"/>
              <w:rPr>
                <w:rFonts w:ascii="Arial Narrow" w:hAnsi="Arial Narrow"/>
                <w:sz w:val="20"/>
                <w:szCs w:val="20"/>
                <w:lang w:val="en-AU"/>
              </w:rPr>
            </w:pPr>
          </w:p>
        </w:tc>
      </w:tr>
      <w:tr w:rsidR="00A3615D" w:rsidRPr="00511840" w14:paraId="1DD19642" w14:textId="77777777" w:rsidTr="003E1CF4">
        <w:trPr>
          <w:cantSplit/>
          <w:trHeight w:val="260"/>
          <w:jc w:val="center"/>
        </w:trPr>
        <w:tc>
          <w:tcPr>
            <w:tcW w:w="5000" w:type="pct"/>
            <w:gridSpan w:val="7"/>
            <w:shd w:val="clear" w:color="auto" w:fill="auto"/>
            <w:vAlign w:val="center"/>
          </w:tcPr>
          <w:p w14:paraId="468956BE" w14:textId="77777777" w:rsidR="00A3615D" w:rsidRPr="0090596A" w:rsidRDefault="00A3615D" w:rsidP="0090596A">
            <w:pPr>
              <w:pStyle w:val="TblTextLeft"/>
              <w:rPr>
                <w:b/>
              </w:rPr>
            </w:pPr>
            <w:r w:rsidRPr="0090596A">
              <w:rPr>
                <w:b/>
              </w:rPr>
              <w:t>Positive culture with a strain represented in the vaccine</w:t>
            </w:r>
          </w:p>
        </w:tc>
      </w:tr>
      <w:tr w:rsidR="00A3615D" w:rsidRPr="00511840" w14:paraId="7B06F8DA" w14:textId="77777777" w:rsidTr="003E1CF4">
        <w:trPr>
          <w:cantSplit/>
          <w:trHeight w:val="260"/>
          <w:jc w:val="center"/>
        </w:trPr>
        <w:tc>
          <w:tcPr>
            <w:tcW w:w="1070" w:type="pct"/>
            <w:shd w:val="clear" w:color="auto" w:fill="auto"/>
            <w:vAlign w:val="center"/>
          </w:tcPr>
          <w:p w14:paraId="0C7E36A6" w14:textId="77777777" w:rsidR="00A3615D" w:rsidRPr="003E1CF4" w:rsidRDefault="00A3615D" w:rsidP="003E1CF4">
            <w:pPr>
              <w:pStyle w:val="TblTextCenter"/>
            </w:pPr>
            <w:r w:rsidRPr="003E1CF4">
              <w:t>CDC-ILI1, all matched strains</w:t>
            </w:r>
            <w:r w:rsidRPr="00EF4645">
              <w:rPr>
                <w:vertAlign w:val="superscript"/>
              </w:rPr>
              <w:t>3</w:t>
            </w:r>
          </w:p>
        </w:tc>
        <w:tc>
          <w:tcPr>
            <w:tcW w:w="403" w:type="pct"/>
            <w:shd w:val="clear" w:color="auto" w:fill="auto"/>
            <w:vAlign w:val="center"/>
          </w:tcPr>
          <w:p w14:paraId="61033B85" w14:textId="77777777" w:rsidR="00A3615D" w:rsidRPr="003E1CF4" w:rsidRDefault="00A3615D" w:rsidP="003E1CF4">
            <w:pPr>
              <w:pStyle w:val="TblTextCenter"/>
            </w:pPr>
            <w:r w:rsidRPr="003E1CF4">
              <w:t>1</w:t>
            </w:r>
          </w:p>
        </w:tc>
        <w:tc>
          <w:tcPr>
            <w:tcW w:w="402" w:type="pct"/>
            <w:shd w:val="clear" w:color="auto" w:fill="auto"/>
            <w:vAlign w:val="center"/>
          </w:tcPr>
          <w:p w14:paraId="540F4684" w14:textId="77777777" w:rsidR="00A3615D" w:rsidRPr="003E1CF4" w:rsidRDefault="00A3615D" w:rsidP="003E1CF4">
            <w:pPr>
              <w:pStyle w:val="TblTextCenter"/>
            </w:pPr>
            <w:r w:rsidRPr="003E1CF4">
              <w:t>0.04</w:t>
            </w:r>
          </w:p>
        </w:tc>
        <w:tc>
          <w:tcPr>
            <w:tcW w:w="563" w:type="pct"/>
            <w:shd w:val="clear" w:color="auto" w:fill="auto"/>
            <w:vAlign w:val="center"/>
          </w:tcPr>
          <w:p w14:paraId="691110B0" w14:textId="77777777" w:rsidR="00A3615D" w:rsidRPr="003E1CF4" w:rsidRDefault="00A3615D" w:rsidP="003E1CF4">
            <w:pPr>
              <w:pStyle w:val="TblTextCenter"/>
            </w:pPr>
            <w:r w:rsidRPr="003E1CF4">
              <w:t>4</w:t>
            </w:r>
          </w:p>
        </w:tc>
        <w:tc>
          <w:tcPr>
            <w:tcW w:w="578" w:type="pct"/>
            <w:shd w:val="clear" w:color="auto" w:fill="auto"/>
            <w:vAlign w:val="center"/>
          </w:tcPr>
          <w:p w14:paraId="4EBA2EDE" w14:textId="77777777" w:rsidR="00A3615D" w:rsidRPr="003E1CF4" w:rsidRDefault="00A3615D" w:rsidP="003E1CF4">
            <w:pPr>
              <w:pStyle w:val="TblTextCenter"/>
            </w:pPr>
            <w:r w:rsidRPr="003E1CF4">
              <w:t>0.2</w:t>
            </w:r>
          </w:p>
        </w:tc>
        <w:tc>
          <w:tcPr>
            <w:tcW w:w="1107" w:type="pct"/>
            <w:shd w:val="clear" w:color="auto" w:fill="auto"/>
            <w:vAlign w:val="center"/>
          </w:tcPr>
          <w:p w14:paraId="57A4C8F3" w14:textId="77777777" w:rsidR="00A3615D" w:rsidRPr="003E1CF4" w:rsidRDefault="00A3615D" w:rsidP="003E1CF4">
            <w:pPr>
              <w:pStyle w:val="TblTextCenter"/>
            </w:pPr>
            <w:r w:rsidRPr="003E1CF4">
              <w:t>75.4</w:t>
            </w:r>
          </w:p>
        </w:tc>
        <w:tc>
          <w:tcPr>
            <w:tcW w:w="877" w:type="pct"/>
            <w:shd w:val="clear" w:color="auto" w:fill="auto"/>
            <w:vAlign w:val="center"/>
          </w:tcPr>
          <w:p w14:paraId="67BDE4FF" w14:textId="77777777" w:rsidR="00A3615D" w:rsidRPr="003E1CF4" w:rsidRDefault="00A3615D" w:rsidP="003E1CF4">
            <w:pPr>
              <w:pStyle w:val="TblTextCenter"/>
            </w:pPr>
            <w:r w:rsidRPr="003E1CF4">
              <w:t>(-148.0, 99.5)</w:t>
            </w:r>
          </w:p>
        </w:tc>
      </w:tr>
      <w:tr w:rsidR="00A3615D" w:rsidRPr="00511840" w14:paraId="2B6F0E79" w14:textId="77777777" w:rsidTr="003E1CF4">
        <w:trPr>
          <w:cantSplit/>
          <w:trHeight w:val="342"/>
          <w:jc w:val="center"/>
        </w:trPr>
        <w:tc>
          <w:tcPr>
            <w:tcW w:w="1070" w:type="pct"/>
            <w:shd w:val="clear" w:color="auto" w:fill="auto"/>
            <w:vAlign w:val="center"/>
          </w:tcPr>
          <w:p w14:paraId="5585CAD1" w14:textId="0838A7A1" w:rsidR="00A3615D" w:rsidRPr="003E1CF4" w:rsidRDefault="00A3615D" w:rsidP="003E1CF4">
            <w:pPr>
              <w:pStyle w:val="TblTextCenter"/>
            </w:pPr>
            <w:r w:rsidRPr="003E1CF4">
              <w:t>Any ILI, all matched strains</w:t>
            </w:r>
            <w:r w:rsidR="00EF4645" w:rsidRPr="00EF4645">
              <w:rPr>
                <w:vertAlign w:val="superscript"/>
              </w:rPr>
              <w:t>4,5</w:t>
            </w:r>
          </w:p>
        </w:tc>
        <w:tc>
          <w:tcPr>
            <w:tcW w:w="403" w:type="pct"/>
            <w:shd w:val="clear" w:color="auto" w:fill="auto"/>
            <w:vAlign w:val="center"/>
          </w:tcPr>
          <w:p w14:paraId="08C28514" w14:textId="77777777" w:rsidR="00A3615D" w:rsidRPr="003E1CF4" w:rsidRDefault="00A3615D" w:rsidP="003E1CF4">
            <w:pPr>
              <w:pStyle w:val="TblTextCenter"/>
            </w:pPr>
            <w:r w:rsidRPr="003E1CF4">
              <w:t>2</w:t>
            </w:r>
          </w:p>
        </w:tc>
        <w:tc>
          <w:tcPr>
            <w:tcW w:w="402" w:type="pct"/>
            <w:shd w:val="clear" w:color="auto" w:fill="auto"/>
            <w:vAlign w:val="center"/>
          </w:tcPr>
          <w:p w14:paraId="2977F8E1" w14:textId="77777777" w:rsidR="00A3615D" w:rsidRPr="003E1CF4" w:rsidRDefault="00A3615D" w:rsidP="003E1CF4">
            <w:pPr>
              <w:pStyle w:val="TblTextCenter"/>
            </w:pPr>
            <w:r w:rsidRPr="003E1CF4">
              <w:t>0.1</w:t>
            </w:r>
          </w:p>
        </w:tc>
        <w:tc>
          <w:tcPr>
            <w:tcW w:w="563" w:type="pct"/>
            <w:shd w:val="clear" w:color="auto" w:fill="auto"/>
            <w:vAlign w:val="center"/>
          </w:tcPr>
          <w:p w14:paraId="7A939472" w14:textId="77777777" w:rsidR="00A3615D" w:rsidRPr="003E1CF4" w:rsidRDefault="00A3615D" w:rsidP="003E1CF4">
            <w:pPr>
              <w:pStyle w:val="TblTextCenter"/>
            </w:pPr>
            <w:r w:rsidRPr="003E1CF4">
              <w:t>6</w:t>
            </w:r>
          </w:p>
        </w:tc>
        <w:tc>
          <w:tcPr>
            <w:tcW w:w="578" w:type="pct"/>
            <w:shd w:val="clear" w:color="auto" w:fill="auto"/>
            <w:vAlign w:val="center"/>
          </w:tcPr>
          <w:p w14:paraId="0AB2C8E9" w14:textId="77777777" w:rsidR="00A3615D" w:rsidRPr="003E1CF4" w:rsidRDefault="00A3615D" w:rsidP="003E1CF4">
            <w:pPr>
              <w:pStyle w:val="TblTextCenter"/>
            </w:pPr>
            <w:r w:rsidRPr="003E1CF4">
              <w:t>0.3</w:t>
            </w:r>
          </w:p>
        </w:tc>
        <w:tc>
          <w:tcPr>
            <w:tcW w:w="1107" w:type="pct"/>
            <w:shd w:val="clear" w:color="auto" w:fill="auto"/>
            <w:vAlign w:val="center"/>
          </w:tcPr>
          <w:p w14:paraId="07D250EA" w14:textId="77777777" w:rsidR="00A3615D" w:rsidRPr="003E1CF4" w:rsidRDefault="00A3615D" w:rsidP="003E1CF4">
            <w:pPr>
              <w:pStyle w:val="TblTextCenter"/>
            </w:pPr>
            <w:r w:rsidRPr="003E1CF4">
              <w:t>67.2</w:t>
            </w:r>
          </w:p>
        </w:tc>
        <w:tc>
          <w:tcPr>
            <w:tcW w:w="877" w:type="pct"/>
            <w:shd w:val="clear" w:color="auto" w:fill="auto"/>
            <w:vAlign w:val="center"/>
          </w:tcPr>
          <w:p w14:paraId="2A76D250" w14:textId="77777777" w:rsidR="00A3615D" w:rsidRPr="003E1CF4" w:rsidRDefault="00A3615D" w:rsidP="003E1CF4">
            <w:pPr>
              <w:pStyle w:val="TblTextCenter"/>
            </w:pPr>
            <w:r w:rsidRPr="003E1CF4">
              <w:t>(-83.2, 96.8)</w:t>
            </w:r>
          </w:p>
        </w:tc>
      </w:tr>
      <w:tr w:rsidR="00A3615D" w:rsidRPr="00511840" w14:paraId="130F2C25" w14:textId="77777777" w:rsidTr="003E1CF4">
        <w:trPr>
          <w:cantSplit/>
          <w:trHeight w:val="260"/>
          <w:jc w:val="center"/>
        </w:trPr>
        <w:tc>
          <w:tcPr>
            <w:tcW w:w="5000" w:type="pct"/>
            <w:gridSpan w:val="7"/>
            <w:shd w:val="clear" w:color="auto" w:fill="auto"/>
            <w:vAlign w:val="center"/>
          </w:tcPr>
          <w:p w14:paraId="5E8AEF67" w14:textId="77777777" w:rsidR="00A3615D" w:rsidRPr="0090596A" w:rsidRDefault="00A3615D" w:rsidP="0090596A">
            <w:pPr>
              <w:pStyle w:val="TblTextLeft"/>
              <w:rPr>
                <w:b/>
              </w:rPr>
            </w:pPr>
            <w:r w:rsidRPr="0090596A">
              <w:rPr>
                <w:b/>
              </w:rPr>
              <w:t>Positive culture with any strain, regardless of match to the vaccine</w:t>
            </w:r>
          </w:p>
        </w:tc>
      </w:tr>
      <w:tr w:rsidR="00A3615D" w:rsidRPr="00511840" w14:paraId="28438713" w14:textId="77777777" w:rsidTr="003E1CF4">
        <w:trPr>
          <w:cantSplit/>
          <w:trHeight w:val="260"/>
          <w:jc w:val="center"/>
        </w:trPr>
        <w:tc>
          <w:tcPr>
            <w:tcW w:w="1070" w:type="pct"/>
            <w:shd w:val="clear" w:color="auto" w:fill="auto"/>
            <w:vAlign w:val="center"/>
          </w:tcPr>
          <w:p w14:paraId="481D463B" w14:textId="00838496" w:rsidR="00A3615D" w:rsidRPr="003E1CF4" w:rsidRDefault="00A3615D" w:rsidP="003E1CF4">
            <w:pPr>
              <w:pStyle w:val="TblTextCenter"/>
            </w:pPr>
            <w:r w:rsidRPr="003E1CF4">
              <w:t>CDC-ILI</w:t>
            </w:r>
            <w:r w:rsidRPr="00EF4645">
              <w:rPr>
                <w:vertAlign w:val="superscript"/>
              </w:rPr>
              <w:t>1,</w:t>
            </w:r>
            <w:r w:rsidRPr="003E1CF4">
              <w:t xml:space="preserve"> all strains</w:t>
            </w:r>
            <w:r w:rsidR="00EF4645" w:rsidRPr="00EF4645">
              <w:rPr>
                <w:vertAlign w:val="superscript"/>
              </w:rPr>
              <w:t>6</w:t>
            </w:r>
          </w:p>
        </w:tc>
        <w:tc>
          <w:tcPr>
            <w:tcW w:w="403" w:type="pct"/>
            <w:shd w:val="clear" w:color="auto" w:fill="auto"/>
            <w:vAlign w:val="center"/>
          </w:tcPr>
          <w:p w14:paraId="261C2784" w14:textId="77777777" w:rsidR="00A3615D" w:rsidRPr="003E1CF4" w:rsidRDefault="00A3615D" w:rsidP="003E1CF4">
            <w:pPr>
              <w:pStyle w:val="TblTextCenter"/>
            </w:pPr>
            <w:r w:rsidRPr="003E1CF4">
              <w:t>44</w:t>
            </w:r>
          </w:p>
        </w:tc>
        <w:tc>
          <w:tcPr>
            <w:tcW w:w="402" w:type="pct"/>
            <w:shd w:val="clear" w:color="auto" w:fill="auto"/>
            <w:vAlign w:val="center"/>
          </w:tcPr>
          <w:p w14:paraId="2124C3E1" w14:textId="77777777" w:rsidR="00A3615D" w:rsidRPr="003E1CF4" w:rsidRDefault="00A3615D" w:rsidP="003E1CF4">
            <w:pPr>
              <w:pStyle w:val="TblTextCenter"/>
            </w:pPr>
            <w:r w:rsidRPr="003E1CF4">
              <w:t>1.9</w:t>
            </w:r>
          </w:p>
        </w:tc>
        <w:tc>
          <w:tcPr>
            <w:tcW w:w="563" w:type="pct"/>
            <w:shd w:val="clear" w:color="auto" w:fill="auto"/>
            <w:vAlign w:val="center"/>
          </w:tcPr>
          <w:p w14:paraId="1A7B48CF" w14:textId="77777777" w:rsidR="00A3615D" w:rsidRPr="003E1CF4" w:rsidRDefault="00A3615D" w:rsidP="003E1CF4">
            <w:pPr>
              <w:pStyle w:val="TblTextCenter"/>
            </w:pPr>
            <w:r w:rsidRPr="003E1CF4">
              <w:t>78</w:t>
            </w:r>
          </w:p>
        </w:tc>
        <w:tc>
          <w:tcPr>
            <w:tcW w:w="578" w:type="pct"/>
            <w:shd w:val="clear" w:color="auto" w:fill="auto"/>
            <w:vAlign w:val="center"/>
          </w:tcPr>
          <w:p w14:paraId="06A4FE47" w14:textId="77777777" w:rsidR="00A3615D" w:rsidRPr="003E1CF4" w:rsidRDefault="00A3615D" w:rsidP="003E1CF4">
            <w:pPr>
              <w:pStyle w:val="TblTextCenter"/>
            </w:pPr>
            <w:r w:rsidRPr="003E1CF4">
              <w:t>3.4</w:t>
            </w:r>
          </w:p>
        </w:tc>
        <w:tc>
          <w:tcPr>
            <w:tcW w:w="1107" w:type="pct"/>
            <w:shd w:val="clear" w:color="auto" w:fill="auto"/>
            <w:vAlign w:val="center"/>
          </w:tcPr>
          <w:p w14:paraId="02BB8B71" w14:textId="77777777" w:rsidR="00A3615D" w:rsidRPr="003E1CF4" w:rsidRDefault="00A3615D" w:rsidP="003E1CF4">
            <w:pPr>
              <w:pStyle w:val="TblTextCenter"/>
            </w:pPr>
            <w:r w:rsidRPr="003E1CF4">
              <w:t>44.6</w:t>
            </w:r>
          </w:p>
        </w:tc>
        <w:tc>
          <w:tcPr>
            <w:tcW w:w="877" w:type="pct"/>
            <w:shd w:val="clear" w:color="auto" w:fill="auto"/>
            <w:vAlign w:val="center"/>
          </w:tcPr>
          <w:p w14:paraId="6FE11084" w14:textId="77777777" w:rsidR="00A3615D" w:rsidRPr="003E1CF4" w:rsidRDefault="00A3615D" w:rsidP="003E1CF4">
            <w:pPr>
              <w:pStyle w:val="TblTextCenter"/>
            </w:pPr>
            <w:r w:rsidRPr="003E1CF4">
              <w:t>(18.8, 62.6)</w:t>
            </w:r>
          </w:p>
        </w:tc>
      </w:tr>
      <w:tr w:rsidR="00A3615D" w:rsidRPr="00511840" w14:paraId="5E87C270" w14:textId="77777777" w:rsidTr="003E1CF4">
        <w:trPr>
          <w:cantSplit/>
          <w:trHeight w:val="260"/>
          <w:jc w:val="center"/>
        </w:trPr>
        <w:tc>
          <w:tcPr>
            <w:tcW w:w="1070" w:type="pct"/>
            <w:shd w:val="clear" w:color="auto" w:fill="auto"/>
            <w:vAlign w:val="center"/>
          </w:tcPr>
          <w:p w14:paraId="41A1BCB1" w14:textId="77777777" w:rsidR="00A3615D" w:rsidRPr="003E1CF4" w:rsidRDefault="00A3615D" w:rsidP="003E1CF4">
            <w:pPr>
              <w:pStyle w:val="TblTextCenter"/>
            </w:pPr>
            <w:r w:rsidRPr="003E1CF4">
              <w:t>Sub-Type A</w:t>
            </w:r>
          </w:p>
        </w:tc>
        <w:tc>
          <w:tcPr>
            <w:tcW w:w="403" w:type="pct"/>
            <w:shd w:val="clear" w:color="auto" w:fill="auto"/>
            <w:vAlign w:val="center"/>
          </w:tcPr>
          <w:p w14:paraId="74D0B581" w14:textId="77777777" w:rsidR="00A3615D" w:rsidRPr="003E1CF4" w:rsidRDefault="00A3615D" w:rsidP="003E1CF4">
            <w:pPr>
              <w:pStyle w:val="TblTextCenter"/>
            </w:pPr>
            <w:r w:rsidRPr="003E1CF4">
              <w:t>26</w:t>
            </w:r>
          </w:p>
        </w:tc>
        <w:tc>
          <w:tcPr>
            <w:tcW w:w="402" w:type="pct"/>
            <w:shd w:val="clear" w:color="auto" w:fill="auto"/>
            <w:vAlign w:val="center"/>
          </w:tcPr>
          <w:p w14:paraId="05D00297" w14:textId="77777777" w:rsidR="00A3615D" w:rsidRPr="003E1CF4" w:rsidRDefault="00A3615D" w:rsidP="003E1CF4">
            <w:pPr>
              <w:pStyle w:val="TblTextCenter"/>
            </w:pPr>
            <w:r w:rsidRPr="003E1CF4">
              <w:t>1.1</w:t>
            </w:r>
          </w:p>
        </w:tc>
        <w:tc>
          <w:tcPr>
            <w:tcW w:w="563" w:type="pct"/>
            <w:shd w:val="clear" w:color="auto" w:fill="auto"/>
            <w:vAlign w:val="center"/>
          </w:tcPr>
          <w:p w14:paraId="17FFFD8D" w14:textId="77777777" w:rsidR="00A3615D" w:rsidRPr="003E1CF4" w:rsidRDefault="00A3615D" w:rsidP="003E1CF4">
            <w:pPr>
              <w:pStyle w:val="TblTextCenter"/>
            </w:pPr>
            <w:r w:rsidRPr="003E1CF4">
              <w:t>56</w:t>
            </w:r>
          </w:p>
        </w:tc>
        <w:tc>
          <w:tcPr>
            <w:tcW w:w="578" w:type="pct"/>
            <w:shd w:val="clear" w:color="auto" w:fill="auto"/>
            <w:vAlign w:val="center"/>
          </w:tcPr>
          <w:p w14:paraId="52AEC185" w14:textId="77777777" w:rsidR="00A3615D" w:rsidRPr="003E1CF4" w:rsidRDefault="00A3615D" w:rsidP="003E1CF4">
            <w:pPr>
              <w:pStyle w:val="TblTextCenter"/>
            </w:pPr>
            <w:r w:rsidRPr="003E1CF4">
              <w:t>2.4</w:t>
            </w:r>
          </w:p>
        </w:tc>
        <w:tc>
          <w:tcPr>
            <w:tcW w:w="1107" w:type="pct"/>
            <w:shd w:val="clear" w:color="auto" w:fill="auto"/>
            <w:vAlign w:val="center"/>
          </w:tcPr>
          <w:p w14:paraId="1542E71B" w14:textId="77777777" w:rsidR="00A3615D" w:rsidRPr="003E1CF4" w:rsidRDefault="00A3615D" w:rsidP="003E1CF4">
            <w:pPr>
              <w:pStyle w:val="TblTextCenter"/>
            </w:pPr>
            <w:r w:rsidRPr="003E1CF4">
              <w:t>54.4</w:t>
            </w:r>
          </w:p>
        </w:tc>
        <w:tc>
          <w:tcPr>
            <w:tcW w:w="877" w:type="pct"/>
            <w:shd w:val="clear" w:color="auto" w:fill="auto"/>
            <w:vAlign w:val="center"/>
          </w:tcPr>
          <w:p w14:paraId="42A8BDD7" w14:textId="77777777" w:rsidR="00A3615D" w:rsidRPr="003E1CF4" w:rsidRDefault="00A3615D" w:rsidP="003E1CF4">
            <w:pPr>
              <w:pStyle w:val="TblTextCenter"/>
            </w:pPr>
            <w:r w:rsidRPr="003E1CF4">
              <w:t>(26.1, 72.5)</w:t>
            </w:r>
          </w:p>
        </w:tc>
      </w:tr>
      <w:tr w:rsidR="00A3615D" w:rsidRPr="00511840" w14:paraId="3ADB9A9B" w14:textId="77777777" w:rsidTr="003E1CF4">
        <w:trPr>
          <w:cantSplit/>
          <w:trHeight w:val="271"/>
          <w:jc w:val="center"/>
        </w:trPr>
        <w:tc>
          <w:tcPr>
            <w:tcW w:w="1070" w:type="pct"/>
            <w:shd w:val="clear" w:color="auto" w:fill="auto"/>
            <w:vAlign w:val="center"/>
          </w:tcPr>
          <w:p w14:paraId="193B1AA8" w14:textId="77777777" w:rsidR="00A3615D" w:rsidRPr="003E1CF4" w:rsidRDefault="00A3615D" w:rsidP="003E1CF4">
            <w:pPr>
              <w:pStyle w:val="TblTextCenter"/>
            </w:pPr>
            <w:r w:rsidRPr="003E1CF4">
              <w:t>Type B</w:t>
            </w:r>
          </w:p>
        </w:tc>
        <w:tc>
          <w:tcPr>
            <w:tcW w:w="403" w:type="pct"/>
            <w:shd w:val="clear" w:color="auto" w:fill="auto"/>
            <w:vAlign w:val="center"/>
          </w:tcPr>
          <w:p w14:paraId="0B7A5BF4" w14:textId="77777777" w:rsidR="00A3615D" w:rsidRPr="003E1CF4" w:rsidRDefault="00A3615D" w:rsidP="003E1CF4">
            <w:pPr>
              <w:pStyle w:val="TblTextCenter"/>
            </w:pPr>
            <w:r w:rsidRPr="003E1CF4">
              <w:t>18</w:t>
            </w:r>
          </w:p>
        </w:tc>
        <w:tc>
          <w:tcPr>
            <w:tcW w:w="402" w:type="pct"/>
            <w:shd w:val="clear" w:color="auto" w:fill="auto"/>
            <w:vAlign w:val="center"/>
          </w:tcPr>
          <w:p w14:paraId="7026469A" w14:textId="77777777" w:rsidR="00A3615D" w:rsidRPr="003E1CF4" w:rsidRDefault="00A3615D" w:rsidP="003E1CF4">
            <w:pPr>
              <w:pStyle w:val="TblTextCenter"/>
            </w:pPr>
            <w:r w:rsidRPr="003E1CF4">
              <w:t>0.8</w:t>
            </w:r>
          </w:p>
        </w:tc>
        <w:tc>
          <w:tcPr>
            <w:tcW w:w="563" w:type="pct"/>
            <w:shd w:val="clear" w:color="auto" w:fill="auto"/>
            <w:vAlign w:val="center"/>
          </w:tcPr>
          <w:p w14:paraId="076F6D2C" w14:textId="77777777" w:rsidR="00A3615D" w:rsidRPr="003E1CF4" w:rsidRDefault="00A3615D" w:rsidP="003E1CF4">
            <w:pPr>
              <w:pStyle w:val="TblTextCenter"/>
            </w:pPr>
            <w:r w:rsidRPr="003E1CF4">
              <w:t>23</w:t>
            </w:r>
          </w:p>
        </w:tc>
        <w:tc>
          <w:tcPr>
            <w:tcW w:w="578" w:type="pct"/>
            <w:shd w:val="clear" w:color="auto" w:fill="auto"/>
            <w:vAlign w:val="center"/>
          </w:tcPr>
          <w:p w14:paraId="58BBE1C3" w14:textId="77777777" w:rsidR="00A3615D" w:rsidRPr="003E1CF4" w:rsidRDefault="00A3615D" w:rsidP="003E1CF4">
            <w:pPr>
              <w:pStyle w:val="TblTextCenter"/>
            </w:pPr>
            <w:r w:rsidRPr="003E1CF4">
              <w:t>1.0</w:t>
            </w:r>
          </w:p>
        </w:tc>
        <w:tc>
          <w:tcPr>
            <w:tcW w:w="1107" w:type="pct"/>
            <w:shd w:val="clear" w:color="auto" w:fill="auto"/>
            <w:vAlign w:val="center"/>
          </w:tcPr>
          <w:p w14:paraId="3AD0D932" w14:textId="77777777" w:rsidR="00A3615D" w:rsidRPr="003E1CF4" w:rsidRDefault="00A3615D" w:rsidP="003E1CF4">
            <w:pPr>
              <w:pStyle w:val="TblTextCenter"/>
            </w:pPr>
            <w:r w:rsidRPr="003E1CF4">
              <w:t>23.1</w:t>
            </w:r>
          </w:p>
        </w:tc>
        <w:tc>
          <w:tcPr>
            <w:tcW w:w="877" w:type="pct"/>
            <w:shd w:val="clear" w:color="auto" w:fill="auto"/>
            <w:vAlign w:val="center"/>
          </w:tcPr>
          <w:p w14:paraId="79292775" w14:textId="77777777" w:rsidR="00A3615D" w:rsidRPr="003E1CF4" w:rsidRDefault="00A3615D" w:rsidP="003E1CF4">
            <w:pPr>
              <w:pStyle w:val="TblTextCenter"/>
            </w:pPr>
            <w:r w:rsidRPr="003E1CF4">
              <w:t>(-49.0, 60.9)</w:t>
            </w:r>
          </w:p>
        </w:tc>
      </w:tr>
      <w:tr w:rsidR="00A3615D" w:rsidRPr="00511840" w14:paraId="5533CB0F" w14:textId="77777777" w:rsidTr="003E1CF4">
        <w:trPr>
          <w:cantSplit/>
          <w:trHeight w:val="271"/>
          <w:jc w:val="center"/>
        </w:trPr>
        <w:tc>
          <w:tcPr>
            <w:tcW w:w="1070" w:type="pct"/>
            <w:shd w:val="clear" w:color="auto" w:fill="auto"/>
            <w:vAlign w:val="center"/>
          </w:tcPr>
          <w:p w14:paraId="15C703C1" w14:textId="508231B4" w:rsidR="00A3615D" w:rsidRPr="003E1CF4" w:rsidRDefault="00A3615D" w:rsidP="003E1CF4">
            <w:pPr>
              <w:pStyle w:val="TblTextCenter"/>
            </w:pPr>
            <w:r w:rsidRPr="003E1CF4">
              <w:t>Any ILI, all strains</w:t>
            </w:r>
            <w:r w:rsidR="00EF4645" w:rsidRPr="00EF4645">
              <w:rPr>
                <w:vertAlign w:val="superscript"/>
              </w:rPr>
              <w:t>4</w:t>
            </w:r>
          </w:p>
        </w:tc>
        <w:tc>
          <w:tcPr>
            <w:tcW w:w="403" w:type="pct"/>
            <w:shd w:val="clear" w:color="auto" w:fill="auto"/>
            <w:vAlign w:val="center"/>
          </w:tcPr>
          <w:p w14:paraId="0EE7B59E" w14:textId="77777777" w:rsidR="00A3615D" w:rsidRPr="003E1CF4" w:rsidRDefault="00A3615D" w:rsidP="003E1CF4">
            <w:pPr>
              <w:pStyle w:val="TblTextCenter"/>
            </w:pPr>
            <w:r w:rsidRPr="003E1CF4">
              <w:t>64</w:t>
            </w:r>
          </w:p>
        </w:tc>
        <w:tc>
          <w:tcPr>
            <w:tcW w:w="402" w:type="pct"/>
            <w:shd w:val="clear" w:color="auto" w:fill="auto"/>
            <w:vAlign w:val="center"/>
          </w:tcPr>
          <w:p w14:paraId="6A2F3235" w14:textId="77777777" w:rsidR="00A3615D" w:rsidRPr="003E1CF4" w:rsidRDefault="00A3615D" w:rsidP="003E1CF4">
            <w:pPr>
              <w:pStyle w:val="TblTextCenter"/>
            </w:pPr>
            <w:r w:rsidRPr="003E1CF4">
              <w:t>2.7</w:t>
            </w:r>
          </w:p>
        </w:tc>
        <w:tc>
          <w:tcPr>
            <w:tcW w:w="563" w:type="pct"/>
            <w:shd w:val="clear" w:color="auto" w:fill="auto"/>
            <w:vAlign w:val="center"/>
          </w:tcPr>
          <w:p w14:paraId="2FA603DB" w14:textId="77777777" w:rsidR="00A3615D" w:rsidRPr="003E1CF4" w:rsidRDefault="00A3615D" w:rsidP="003E1CF4">
            <w:pPr>
              <w:pStyle w:val="TblTextCenter"/>
            </w:pPr>
            <w:r w:rsidRPr="003E1CF4">
              <w:t>114</w:t>
            </w:r>
          </w:p>
        </w:tc>
        <w:tc>
          <w:tcPr>
            <w:tcW w:w="578" w:type="pct"/>
            <w:shd w:val="clear" w:color="auto" w:fill="auto"/>
            <w:vAlign w:val="center"/>
          </w:tcPr>
          <w:p w14:paraId="0EEEB1EB" w14:textId="77777777" w:rsidR="00A3615D" w:rsidRPr="003E1CF4" w:rsidRDefault="00A3615D" w:rsidP="003E1CF4">
            <w:pPr>
              <w:pStyle w:val="TblTextCenter"/>
            </w:pPr>
            <w:r w:rsidRPr="003E1CF4">
              <w:t>4.9</w:t>
            </w:r>
          </w:p>
        </w:tc>
        <w:tc>
          <w:tcPr>
            <w:tcW w:w="1107" w:type="pct"/>
            <w:shd w:val="clear" w:color="auto" w:fill="auto"/>
            <w:vAlign w:val="center"/>
          </w:tcPr>
          <w:p w14:paraId="762C312D" w14:textId="77777777" w:rsidR="00A3615D" w:rsidRPr="003E1CF4" w:rsidRDefault="00A3615D" w:rsidP="003E1CF4">
            <w:pPr>
              <w:pStyle w:val="TblTextCenter"/>
            </w:pPr>
            <w:r w:rsidRPr="003E1CF4">
              <w:t>44.8</w:t>
            </w:r>
          </w:p>
        </w:tc>
        <w:tc>
          <w:tcPr>
            <w:tcW w:w="877" w:type="pct"/>
            <w:shd w:val="clear" w:color="auto" w:fill="auto"/>
            <w:vAlign w:val="center"/>
          </w:tcPr>
          <w:p w14:paraId="18677D04" w14:textId="77777777" w:rsidR="00A3615D" w:rsidRPr="003E1CF4" w:rsidRDefault="00A3615D" w:rsidP="003E1CF4">
            <w:pPr>
              <w:pStyle w:val="TblTextCenter"/>
            </w:pPr>
            <w:r w:rsidRPr="003E1CF4">
              <w:t>(24.4, 60.0)</w:t>
            </w:r>
          </w:p>
        </w:tc>
      </w:tr>
      <w:tr w:rsidR="00A3615D" w:rsidRPr="00511840" w14:paraId="0D242218" w14:textId="77777777" w:rsidTr="003E1CF4">
        <w:trPr>
          <w:cantSplit/>
          <w:trHeight w:val="271"/>
          <w:jc w:val="center"/>
        </w:trPr>
        <w:tc>
          <w:tcPr>
            <w:tcW w:w="1070" w:type="pct"/>
            <w:shd w:val="clear" w:color="auto" w:fill="auto"/>
            <w:vAlign w:val="center"/>
          </w:tcPr>
          <w:p w14:paraId="3F01D8AA" w14:textId="77777777" w:rsidR="00A3615D" w:rsidRPr="003E1CF4" w:rsidRDefault="00A3615D" w:rsidP="003E1CF4">
            <w:pPr>
              <w:pStyle w:val="TblTextCenter"/>
            </w:pPr>
            <w:r w:rsidRPr="003E1CF4">
              <w:t>Sub-Type A</w:t>
            </w:r>
          </w:p>
        </w:tc>
        <w:tc>
          <w:tcPr>
            <w:tcW w:w="403" w:type="pct"/>
            <w:shd w:val="clear" w:color="auto" w:fill="auto"/>
            <w:vAlign w:val="center"/>
          </w:tcPr>
          <w:p w14:paraId="44E1BFE8" w14:textId="77777777" w:rsidR="00A3615D" w:rsidRPr="003E1CF4" w:rsidRDefault="00A3615D" w:rsidP="003E1CF4">
            <w:pPr>
              <w:pStyle w:val="TblTextCenter"/>
            </w:pPr>
            <w:r w:rsidRPr="003E1CF4">
              <w:t>41</w:t>
            </w:r>
          </w:p>
        </w:tc>
        <w:tc>
          <w:tcPr>
            <w:tcW w:w="402" w:type="pct"/>
            <w:shd w:val="clear" w:color="auto" w:fill="auto"/>
            <w:vAlign w:val="center"/>
          </w:tcPr>
          <w:p w14:paraId="238C126E" w14:textId="77777777" w:rsidR="00A3615D" w:rsidRPr="003E1CF4" w:rsidRDefault="00A3615D" w:rsidP="003E1CF4">
            <w:pPr>
              <w:pStyle w:val="TblTextCenter"/>
            </w:pPr>
            <w:r w:rsidRPr="003E1CF4">
              <w:t>1.7</w:t>
            </w:r>
          </w:p>
        </w:tc>
        <w:tc>
          <w:tcPr>
            <w:tcW w:w="563" w:type="pct"/>
            <w:shd w:val="clear" w:color="auto" w:fill="auto"/>
            <w:vAlign w:val="center"/>
          </w:tcPr>
          <w:p w14:paraId="4FABD60F" w14:textId="77777777" w:rsidR="00A3615D" w:rsidRPr="003E1CF4" w:rsidRDefault="00A3615D" w:rsidP="003E1CF4">
            <w:pPr>
              <w:pStyle w:val="TblTextCenter"/>
            </w:pPr>
            <w:r w:rsidRPr="003E1CF4">
              <w:t>79</w:t>
            </w:r>
          </w:p>
        </w:tc>
        <w:tc>
          <w:tcPr>
            <w:tcW w:w="578" w:type="pct"/>
            <w:shd w:val="clear" w:color="auto" w:fill="auto"/>
            <w:vAlign w:val="center"/>
          </w:tcPr>
          <w:p w14:paraId="0E3FDDF6" w14:textId="77777777" w:rsidR="00A3615D" w:rsidRPr="003E1CF4" w:rsidRDefault="00A3615D" w:rsidP="003E1CF4">
            <w:pPr>
              <w:pStyle w:val="TblTextCenter"/>
            </w:pPr>
            <w:r w:rsidRPr="003E1CF4">
              <w:t>3.4</w:t>
            </w:r>
          </w:p>
        </w:tc>
        <w:tc>
          <w:tcPr>
            <w:tcW w:w="1107" w:type="pct"/>
            <w:shd w:val="clear" w:color="auto" w:fill="auto"/>
            <w:vAlign w:val="center"/>
          </w:tcPr>
          <w:p w14:paraId="4332D80B" w14:textId="77777777" w:rsidR="00A3615D" w:rsidRPr="003E1CF4" w:rsidRDefault="00A3615D" w:rsidP="003E1CF4">
            <w:pPr>
              <w:pStyle w:val="TblTextCenter"/>
            </w:pPr>
            <w:r w:rsidRPr="003E1CF4">
              <w:t>49.0</w:t>
            </w:r>
          </w:p>
        </w:tc>
        <w:tc>
          <w:tcPr>
            <w:tcW w:w="877" w:type="pct"/>
            <w:shd w:val="clear" w:color="auto" w:fill="auto"/>
            <w:vAlign w:val="center"/>
          </w:tcPr>
          <w:p w14:paraId="1097083F" w14:textId="77777777" w:rsidR="00A3615D" w:rsidRPr="003E1CF4" w:rsidRDefault="00A3615D" w:rsidP="003E1CF4">
            <w:pPr>
              <w:pStyle w:val="TblTextCenter"/>
            </w:pPr>
            <w:r w:rsidRPr="003E1CF4">
              <w:t>(24.7, 65.9)</w:t>
            </w:r>
          </w:p>
        </w:tc>
      </w:tr>
      <w:tr w:rsidR="00A3615D" w:rsidRPr="00511840" w14:paraId="44B65448" w14:textId="77777777" w:rsidTr="003E1CF4">
        <w:trPr>
          <w:cantSplit/>
          <w:trHeight w:val="342"/>
          <w:jc w:val="center"/>
        </w:trPr>
        <w:tc>
          <w:tcPr>
            <w:tcW w:w="1070" w:type="pct"/>
            <w:tcBorders>
              <w:bottom w:val="single" w:sz="12" w:space="0" w:color="auto"/>
            </w:tcBorders>
            <w:shd w:val="clear" w:color="auto" w:fill="auto"/>
            <w:vAlign w:val="center"/>
          </w:tcPr>
          <w:p w14:paraId="3E3CB7F4" w14:textId="77777777" w:rsidR="00A3615D" w:rsidRPr="003E1CF4" w:rsidRDefault="00A3615D" w:rsidP="003E1CF4">
            <w:pPr>
              <w:pStyle w:val="TblTextCenter"/>
            </w:pPr>
            <w:r w:rsidRPr="003E1CF4">
              <w:t>Type B</w:t>
            </w:r>
          </w:p>
        </w:tc>
        <w:tc>
          <w:tcPr>
            <w:tcW w:w="403" w:type="pct"/>
            <w:tcBorders>
              <w:bottom w:val="single" w:sz="12" w:space="0" w:color="auto"/>
            </w:tcBorders>
            <w:shd w:val="clear" w:color="auto" w:fill="auto"/>
            <w:vAlign w:val="center"/>
          </w:tcPr>
          <w:p w14:paraId="3A69DF30" w14:textId="77777777" w:rsidR="00A3615D" w:rsidRPr="003E1CF4" w:rsidRDefault="00A3615D" w:rsidP="003E1CF4">
            <w:pPr>
              <w:pStyle w:val="TblTextCenter"/>
            </w:pPr>
            <w:r w:rsidRPr="003E1CF4">
              <w:t>23</w:t>
            </w:r>
          </w:p>
        </w:tc>
        <w:tc>
          <w:tcPr>
            <w:tcW w:w="402" w:type="pct"/>
            <w:tcBorders>
              <w:bottom w:val="single" w:sz="12" w:space="0" w:color="auto"/>
            </w:tcBorders>
            <w:shd w:val="clear" w:color="auto" w:fill="auto"/>
            <w:vAlign w:val="center"/>
          </w:tcPr>
          <w:p w14:paraId="0AA3FC39" w14:textId="77777777" w:rsidR="00A3615D" w:rsidRPr="003E1CF4" w:rsidRDefault="00A3615D" w:rsidP="003E1CF4">
            <w:pPr>
              <w:pStyle w:val="TblTextCenter"/>
            </w:pPr>
            <w:r w:rsidRPr="003E1CF4">
              <w:t>1.0</w:t>
            </w:r>
          </w:p>
        </w:tc>
        <w:tc>
          <w:tcPr>
            <w:tcW w:w="563" w:type="pct"/>
            <w:tcBorders>
              <w:bottom w:val="single" w:sz="12" w:space="0" w:color="auto"/>
            </w:tcBorders>
            <w:shd w:val="clear" w:color="auto" w:fill="auto"/>
            <w:vAlign w:val="center"/>
          </w:tcPr>
          <w:p w14:paraId="500FCAA2" w14:textId="77777777" w:rsidR="00A3615D" w:rsidRPr="003E1CF4" w:rsidRDefault="00A3615D" w:rsidP="003E1CF4">
            <w:pPr>
              <w:pStyle w:val="TblTextCenter"/>
            </w:pPr>
            <w:r w:rsidRPr="003E1CF4">
              <w:t>36</w:t>
            </w:r>
          </w:p>
        </w:tc>
        <w:tc>
          <w:tcPr>
            <w:tcW w:w="578" w:type="pct"/>
            <w:tcBorders>
              <w:bottom w:val="single" w:sz="12" w:space="0" w:color="auto"/>
            </w:tcBorders>
            <w:shd w:val="clear" w:color="auto" w:fill="auto"/>
            <w:vAlign w:val="center"/>
          </w:tcPr>
          <w:p w14:paraId="08DD7DF9" w14:textId="77777777" w:rsidR="00A3615D" w:rsidRPr="003E1CF4" w:rsidRDefault="00A3615D" w:rsidP="003E1CF4">
            <w:pPr>
              <w:pStyle w:val="TblTextCenter"/>
            </w:pPr>
            <w:r w:rsidRPr="003E1CF4">
              <w:t>1.6</w:t>
            </w:r>
          </w:p>
        </w:tc>
        <w:tc>
          <w:tcPr>
            <w:tcW w:w="1107" w:type="pct"/>
            <w:tcBorders>
              <w:bottom w:val="single" w:sz="12" w:space="0" w:color="auto"/>
            </w:tcBorders>
            <w:shd w:val="clear" w:color="auto" w:fill="auto"/>
            <w:vAlign w:val="center"/>
          </w:tcPr>
          <w:p w14:paraId="34367A1F" w14:textId="77777777" w:rsidR="00A3615D" w:rsidRPr="003E1CF4" w:rsidRDefault="00A3615D" w:rsidP="003E1CF4">
            <w:pPr>
              <w:pStyle w:val="TblTextCenter"/>
            </w:pPr>
            <w:r w:rsidRPr="003E1CF4">
              <w:t>37.2</w:t>
            </w:r>
          </w:p>
        </w:tc>
        <w:tc>
          <w:tcPr>
            <w:tcW w:w="877" w:type="pct"/>
            <w:tcBorders>
              <w:bottom w:val="single" w:sz="12" w:space="0" w:color="auto"/>
            </w:tcBorders>
            <w:shd w:val="clear" w:color="auto" w:fill="auto"/>
            <w:vAlign w:val="center"/>
          </w:tcPr>
          <w:p w14:paraId="28F7C7BD" w14:textId="77777777" w:rsidR="00A3615D" w:rsidRPr="003E1CF4" w:rsidRDefault="00A3615D" w:rsidP="003E1CF4">
            <w:pPr>
              <w:pStyle w:val="TblTextCenter"/>
            </w:pPr>
            <w:r w:rsidRPr="003E1CF4">
              <w:t>(-8.9, 64.5)</w:t>
            </w:r>
          </w:p>
        </w:tc>
      </w:tr>
      <w:tr w:rsidR="003E1CF4" w:rsidRPr="00511840" w14:paraId="535135FB" w14:textId="77777777" w:rsidTr="003E1CF4">
        <w:trPr>
          <w:cantSplit/>
          <w:trHeight w:val="342"/>
          <w:jc w:val="center"/>
        </w:trPr>
        <w:tc>
          <w:tcPr>
            <w:tcW w:w="5000" w:type="pct"/>
            <w:gridSpan w:val="7"/>
            <w:tcBorders>
              <w:top w:val="single" w:sz="12" w:space="0" w:color="auto"/>
            </w:tcBorders>
            <w:shd w:val="clear" w:color="auto" w:fill="auto"/>
            <w:vAlign w:val="center"/>
          </w:tcPr>
          <w:p w14:paraId="533FD813" w14:textId="77777777" w:rsidR="003E1CF4" w:rsidRPr="00511840" w:rsidRDefault="003E1CF4" w:rsidP="003E1CF4">
            <w:pPr>
              <w:pStyle w:val="TblFigFootnote"/>
              <w:rPr>
                <w:lang w:val="en-AU"/>
              </w:rPr>
            </w:pPr>
          </w:p>
        </w:tc>
      </w:tr>
    </w:tbl>
    <w:p w14:paraId="21CC37F5" w14:textId="77777777" w:rsidR="00A3615D" w:rsidRPr="00511840" w:rsidRDefault="00A3615D" w:rsidP="00695469">
      <w:pPr>
        <w:tabs>
          <w:tab w:val="left" w:pos="567"/>
        </w:tabs>
        <w:spacing w:before="0"/>
        <w:rPr>
          <w:rFonts w:ascii="Arial Narrow" w:hAnsi="Arial Narrow"/>
          <w:sz w:val="20"/>
          <w:szCs w:val="20"/>
          <w:lang w:val="en-AU"/>
        </w:rPr>
      </w:pPr>
      <w:r w:rsidRPr="00511840">
        <w:rPr>
          <w:rFonts w:ascii="Arial Narrow" w:hAnsi="Arial Narrow"/>
          <w:sz w:val="20"/>
          <w:szCs w:val="20"/>
          <w:lang w:val="en-AU"/>
        </w:rPr>
        <w:t>* Vaccine efficacy (VE) = 1 minus the ratio of RIV3</w:t>
      </w:r>
      <w:r w:rsidRPr="00511840" w:rsidDel="001060B2">
        <w:rPr>
          <w:rFonts w:ascii="Arial Narrow" w:hAnsi="Arial Narrow"/>
          <w:sz w:val="20"/>
          <w:szCs w:val="20"/>
          <w:lang w:val="en-AU"/>
        </w:rPr>
        <w:t xml:space="preserve"> </w:t>
      </w:r>
      <w:r w:rsidRPr="00511840">
        <w:rPr>
          <w:rFonts w:ascii="Arial Narrow" w:hAnsi="Arial Narrow"/>
          <w:sz w:val="20"/>
          <w:szCs w:val="20"/>
          <w:lang w:val="en-AU"/>
        </w:rPr>
        <w:t>/placebo infection rates (10).</w:t>
      </w:r>
    </w:p>
    <w:p w14:paraId="328B77C3" w14:textId="00C53C3B" w:rsidR="00A3615D" w:rsidRPr="00511840" w:rsidRDefault="00A3615D" w:rsidP="00695469">
      <w:pPr>
        <w:tabs>
          <w:tab w:val="left" w:pos="567"/>
        </w:tabs>
        <w:spacing w:before="0"/>
        <w:rPr>
          <w:rFonts w:ascii="Arial Narrow" w:hAnsi="Arial Narrow"/>
          <w:sz w:val="20"/>
          <w:szCs w:val="20"/>
          <w:lang w:val="en-AU"/>
        </w:rPr>
      </w:pPr>
      <w:r w:rsidRPr="00511840">
        <w:rPr>
          <w:rFonts w:ascii="Arial Narrow" w:hAnsi="Arial Narrow"/>
          <w:sz w:val="20"/>
          <w:szCs w:val="20"/>
          <w:vertAlign w:val="superscript"/>
          <w:lang w:val="en-AU"/>
        </w:rPr>
        <w:t>1</w:t>
      </w:r>
      <w:r w:rsidRPr="00511840">
        <w:rPr>
          <w:rFonts w:ascii="Arial Narrow" w:hAnsi="Arial Narrow"/>
          <w:sz w:val="20"/>
          <w:szCs w:val="20"/>
          <w:lang w:val="en-AU"/>
        </w:rPr>
        <w:t xml:space="preserve"> Centers for Disease Control and Prevention - defined influenza-like illness (CDC-ILI) defined as fever of ≥</w:t>
      </w:r>
      <w:r w:rsidR="000929A0">
        <w:rPr>
          <w:rFonts w:ascii="Arial Narrow" w:hAnsi="Arial Narrow"/>
          <w:sz w:val="20"/>
          <w:szCs w:val="20"/>
          <w:lang w:val="en-AU"/>
        </w:rPr>
        <w:t xml:space="preserve"> </w:t>
      </w:r>
      <w:r w:rsidRPr="00511840">
        <w:rPr>
          <w:rFonts w:ascii="Arial Narrow" w:hAnsi="Arial Narrow"/>
          <w:sz w:val="20"/>
          <w:szCs w:val="20"/>
          <w:lang w:val="en-AU"/>
        </w:rPr>
        <w:t>(37.8°C oral accompanied by cough and/or sore throat, on the same day or on consecutive days.</w:t>
      </w:r>
    </w:p>
    <w:p w14:paraId="2B7E51CD" w14:textId="77777777" w:rsidR="00A3615D" w:rsidRPr="00511840" w:rsidRDefault="00A3615D" w:rsidP="00695469">
      <w:pPr>
        <w:tabs>
          <w:tab w:val="left" w:pos="567"/>
        </w:tabs>
        <w:spacing w:before="0"/>
        <w:rPr>
          <w:rFonts w:ascii="Arial Narrow" w:hAnsi="Arial Narrow"/>
          <w:sz w:val="20"/>
          <w:szCs w:val="20"/>
          <w:lang w:val="en-AU"/>
        </w:rPr>
      </w:pPr>
      <w:r w:rsidRPr="00511840">
        <w:rPr>
          <w:rFonts w:ascii="Arial Narrow" w:hAnsi="Arial Narrow"/>
          <w:sz w:val="20"/>
          <w:szCs w:val="20"/>
          <w:vertAlign w:val="superscript"/>
          <w:lang w:val="en-AU"/>
        </w:rPr>
        <w:t>2</w:t>
      </w:r>
      <w:r w:rsidRPr="00511840">
        <w:rPr>
          <w:rFonts w:ascii="Arial Narrow" w:hAnsi="Arial Narrow"/>
          <w:sz w:val="20"/>
          <w:szCs w:val="20"/>
          <w:lang w:val="en-AU"/>
        </w:rPr>
        <w:t xml:space="preserve"> Determined under the assumption of Poisson event rates, according to Breslow and Day, 1987.</w:t>
      </w:r>
    </w:p>
    <w:p w14:paraId="2814F6C6" w14:textId="61D658F9" w:rsidR="00A3615D" w:rsidRDefault="00A3615D" w:rsidP="00695469">
      <w:pPr>
        <w:tabs>
          <w:tab w:val="left" w:pos="567"/>
        </w:tabs>
        <w:spacing w:before="0"/>
        <w:rPr>
          <w:rFonts w:ascii="Arial Narrow" w:hAnsi="Arial Narrow"/>
          <w:sz w:val="20"/>
          <w:szCs w:val="20"/>
          <w:lang w:val="en-AU"/>
        </w:rPr>
      </w:pPr>
      <w:r w:rsidRPr="00511840">
        <w:rPr>
          <w:rFonts w:ascii="Arial Narrow" w:hAnsi="Arial Narrow"/>
          <w:sz w:val="20"/>
          <w:szCs w:val="20"/>
          <w:vertAlign w:val="superscript"/>
          <w:lang w:val="en-AU"/>
        </w:rPr>
        <w:t>3</w:t>
      </w:r>
      <w:r w:rsidRPr="00511840">
        <w:rPr>
          <w:rFonts w:ascii="Arial Narrow" w:hAnsi="Arial Narrow"/>
          <w:sz w:val="20"/>
          <w:szCs w:val="20"/>
          <w:lang w:val="en-AU"/>
        </w:rPr>
        <w:t xml:space="preserve"> Primary endpoint of trial. </w:t>
      </w:r>
    </w:p>
    <w:p w14:paraId="2912554A" w14:textId="77777777" w:rsidR="00EF4645" w:rsidRPr="00EF4645" w:rsidRDefault="00EF4645" w:rsidP="00EF4645">
      <w:pPr>
        <w:tabs>
          <w:tab w:val="left" w:pos="567"/>
        </w:tabs>
        <w:spacing w:before="0"/>
        <w:rPr>
          <w:rFonts w:ascii="Arial Narrow" w:hAnsi="Arial Narrow"/>
          <w:color w:val="auto"/>
          <w:sz w:val="20"/>
          <w:szCs w:val="20"/>
          <w:lang w:val="en-AU"/>
        </w:rPr>
      </w:pPr>
      <w:r w:rsidRPr="00EF4645">
        <w:rPr>
          <w:rFonts w:ascii="Arial Narrow" w:hAnsi="Arial Narrow"/>
          <w:color w:val="auto"/>
          <w:sz w:val="20"/>
          <w:szCs w:val="20"/>
          <w:vertAlign w:val="superscript"/>
          <w:lang w:val="en-AU"/>
        </w:rPr>
        <w:t xml:space="preserve">4 </w:t>
      </w:r>
      <w:r w:rsidRPr="00EF4645">
        <w:rPr>
          <w:rFonts w:ascii="Arial Narrow" w:hAnsi="Arial Narrow"/>
          <w:color w:val="auto"/>
          <w:sz w:val="20"/>
          <w:szCs w:val="20"/>
          <w:lang w:val="en-AU"/>
        </w:rPr>
        <w:t>All culture-confirmed cases are considered, regardless of whether they qualified as CDC-ILI.</w:t>
      </w:r>
    </w:p>
    <w:p w14:paraId="3F5EBAA5" w14:textId="77777777" w:rsidR="00EF4645" w:rsidRPr="00EF4645" w:rsidRDefault="00EF4645" w:rsidP="00EF4645">
      <w:pPr>
        <w:tabs>
          <w:tab w:val="left" w:pos="567"/>
        </w:tabs>
        <w:spacing w:before="0"/>
        <w:rPr>
          <w:rFonts w:ascii="Arial Narrow" w:hAnsi="Arial Narrow"/>
          <w:color w:val="auto"/>
          <w:sz w:val="20"/>
          <w:szCs w:val="20"/>
          <w:lang w:val="en-AU"/>
        </w:rPr>
      </w:pPr>
      <w:r w:rsidRPr="00EF4645">
        <w:rPr>
          <w:rFonts w:ascii="Arial Narrow" w:hAnsi="Arial Narrow"/>
          <w:color w:val="auto"/>
          <w:sz w:val="20"/>
          <w:szCs w:val="20"/>
          <w:vertAlign w:val="superscript"/>
          <w:lang w:val="en-AU"/>
        </w:rPr>
        <w:t>5</w:t>
      </w:r>
      <w:r w:rsidRPr="00EF4645">
        <w:rPr>
          <w:rFonts w:ascii="Arial Narrow" w:hAnsi="Arial Narrow"/>
          <w:color w:val="auto"/>
          <w:sz w:val="20"/>
          <w:szCs w:val="20"/>
          <w:lang w:val="en-AU"/>
        </w:rPr>
        <w:t xml:space="preserve"> Secondary endpoint of trial.</w:t>
      </w:r>
    </w:p>
    <w:p w14:paraId="302B1FB6" w14:textId="77777777" w:rsidR="00EF4645" w:rsidRPr="00EF4645" w:rsidRDefault="00EF4645" w:rsidP="00EF4645">
      <w:pPr>
        <w:tabs>
          <w:tab w:val="left" w:pos="567"/>
        </w:tabs>
        <w:spacing w:before="0"/>
        <w:rPr>
          <w:rFonts w:ascii="Arial Narrow" w:hAnsi="Arial Narrow"/>
          <w:color w:val="auto"/>
          <w:sz w:val="20"/>
          <w:szCs w:val="20"/>
          <w:lang w:val="en-AU"/>
        </w:rPr>
      </w:pPr>
      <w:r w:rsidRPr="00EF4645">
        <w:rPr>
          <w:rFonts w:ascii="Arial Narrow" w:hAnsi="Arial Narrow"/>
          <w:color w:val="auto"/>
          <w:sz w:val="20"/>
          <w:szCs w:val="20"/>
          <w:vertAlign w:val="superscript"/>
          <w:lang w:val="en-AU"/>
        </w:rPr>
        <w:t>6</w:t>
      </w:r>
      <w:r w:rsidRPr="00EF4645">
        <w:rPr>
          <w:rFonts w:ascii="Arial Narrow" w:hAnsi="Arial Narrow"/>
          <w:color w:val="auto"/>
          <w:sz w:val="20"/>
          <w:szCs w:val="20"/>
          <w:lang w:val="en-AU"/>
        </w:rPr>
        <w:t xml:space="preserve"> Exploratory (prespecified) endpoint of trial. </w:t>
      </w:r>
    </w:p>
    <w:p w14:paraId="224FB614" w14:textId="77777777" w:rsidR="008A694C" w:rsidRPr="00511840" w:rsidRDefault="008A694C" w:rsidP="00412545">
      <w:pPr>
        <w:tabs>
          <w:tab w:val="left" w:pos="567"/>
        </w:tabs>
        <w:spacing w:before="120" w:after="120"/>
        <w:rPr>
          <w:szCs w:val="20"/>
          <w:u w:val="single"/>
          <w:lang w:val="en-AU"/>
        </w:rPr>
      </w:pPr>
    </w:p>
    <w:p w14:paraId="7A81CDFC" w14:textId="3B6D6163" w:rsidR="001A3992" w:rsidRPr="00511840" w:rsidRDefault="001A3992" w:rsidP="00412545">
      <w:pPr>
        <w:pStyle w:val="Heading2"/>
        <w:spacing w:before="0" w:after="120"/>
        <w:rPr>
          <w:lang w:val="en-AU"/>
        </w:rPr>
      </w:pPr>
      <w:r w:rsidRPr="00511840">
        <w:rPr>
          <w:lang w:val="en-AU"/>
        </w:rPr>
        <w:t xml:space="preserve">Pharmacokinetic properties </w:t>
      </w:r>
    </w:p>
    <w:p w14:paraId="6E3DF2F2" w14:textId="70D84B75" w:rsidR="00BF5FB4" w:rsidRPr="00511840" w:rsidRDefault="00BF5FB4" w:rsidP="00354153">
      <w:pPr>
        <w:spacing w:before="120" w:after="120"/>
        <w:rPr>
          <w:lang w:val="en-AU"/>
        </w:rPr>
      </w:pPr>
      <w:r w:rsidRPr="00511840">
        <w:rPr>
          <w:lang w:val="en-AU"/>
        </w:rPr>
        <w:t>No pharmacokinetic studies have been performed.</w:t>
      </w:r>
    </w:p>
    <w:p w14:paraId="2572EDE1" w14:textId="77777777" w:rsidR="001A3992" w:rsidRPr="00511840" w:rsidRDefault="001A3992" w:rsidP="00412545">
      <w:pPr>
        <w:pStyle w:val="Heading2"/>
        <w:spacing w:before="0" w:after="120"/>
        <w:rPr>
          <w:lang w:val="en-AU"/>
        </w:rPr>
      </w:pPr>
      <w:r w:rsidRPr="00511840">
        <w:rPr>
          <w:lang w:val="en-AU"/>
        </w:rPr>
        <w:lastRenderedPageBreak/>
        <w:t>Preclinical safety data</w:t>
      </w:r>
    </w:p>
    <w:p w14:paraId="451C88DC" w14:textId="05224E4E" w:rsidR="001A3992" w:rsidRPr="00B05F5C" w:rsidRDefault="001A3992" w:rsidP="00B05F5C">
      <w:pPr>
        <w:pStyle w:val="Heading3"/>
        <w:numPr>
          <w:ilvl w:val="0"/>
          <w:numId w:val="0"/>
        </w:numPr>
      </w:pPr>
      <w:r w:rsidRPr="00B05F5C">
        <w:t>Genotoxicity</w:t>
      </w:r>
    </w:p>
    <w:p w14:paraId="72BB3BA2" w14:textId="67E5FBA9" w:rsidR="00BC364A" w:rsidRPr="00511840" w:rsidRDefault="00695469" w:rsidP="007A2156">
      <w:pPr>
        <w:spacing w:before="120" w:after="120"/>
        <w:rPr>
          <w:lang w:val="en-AU"/>
        </w:rPr>
      </w:pPr>
      <w:r w:rsidRPr="00511840">
        <w:rPr>
          <w:lang w:val="en-AU"/>
        </w:rPr>
        <w:t xml:space="preserve">Flublok Quadrivalent </w:t>
      </w:r>
      <w:r w:rsidR="007504FB" w:rsidRPr="00511840">
        <w:rPr>
          <w:lang w:val="en-AU"/>
        </w:rPr>
        <w:t xml:space="preserve">has not been evaluated </w:t>
      </w:r>
      <w:r w:rsidR="009D5E14" w:rsidRPr="00511840">
        <w:rPr>
          <w:lang w:val="en-AU"/>
        </w:rPr>
        <w:t>for</w:t>
      </w:r>
      <w:r w:rsidR="007504FB" w:rsidRPr="00511840">
        <w:rPr>
          <w:lang w:val="en-AU"/>
        </w:rPr>
        <w:t xml:space="preserve"> </w:t>
      </w:r>
      <w:r w:rsidR="009D5E14" w:rsidRPr="00511840">
        <w:rPr>
          <w:lang w:val="en-AU"/>
        </w:rPr>
        <w:t>genotoxic potential.</w:t>
      </w:r>
    </w:p>
    <w:p w14:paraId="13EB9C48" w14:textId="77777777" w:rsidR="001A3992" w:rsidRPr="00B05F5C" w:rsidRDefault="001A3992" w:rsidP="00B05F5C">
      <w:pPr>
        <w:pStyle w:val="Heading3"/>
        <w:numPr>
          <w:ilvl w:val="0"/>
          <w:numId w:val="0"/>
        </w:numPr>
      </w:pPr>
      <w:r w:rsidRPr="00B05F5C">
        <w:t>Carcinogenicity</w:t>
      </w:r>
    </w:p>
    <w:p w14:paraId="50D73552" w14:textId="33990EA2" w:rsidR="00024098" w:rsidRPr="00511840" w:rsidRDefault="00695469" w:rsidP="007A2156">
      <w:pPr>
        <w:spacing w:before="120" w:after="120"/>
        <w:rPr>
          <w:lang w:val="en-AU"/>
        </w:rPr>
      </w:pPr>
      <w:r w:rsidRPr="00511840">
        <w:rPr>
          <w:lang w:val="en-AU"/>
        </w:rPr>
        <w:t>Flublok Quadrivalent</w:t>
      </w:r>
      <w:r w:rsidR="009D5E14" w:rsidRPr="00511840">
        <w:rPr>
          <w:lang w:val="en-AU"/>
        </w:rPr>
        <w:t xml:space="preserve"> has not been evaluated for carcinogenic potential. </w:t>
      </w:r>
    </w:p>
    <w:p w14:paraId="477713C8" w14:textId="77777777" w:rsidR="00825805" w:rsidRPr="00511840" w:rsidRDefault="00825805" w:rsidP="00412545">
      <w:pPr>
        <w:rPr>
          <w:lang w:val="en-AU"/>
        </w:rPr>
      </w:pPr>
    </w:p>
    <w:p w14:paraId="6B256959" w14:textId="77777777" w:rsidR="001A3992" w:rsidRPr="00511840" w:rsidRDefault="001A3992" w:rsidP="00412545">
      <w:pPr>
        <w:pStyle w:val="Heading1"/>
        <w:keepNext w:val="0"/>
        <w:pageBreakBefore w:val="0"/>
        <w:spacing w:before="0" w:after="120"/>
        <w:rPr>
          <w:lang w:val="en-AU"/>
        </w:rPr>
      </w:pPr>
      <w:r w:rsidRPr="00511840">
        <w:rPr>
          <w:lang w:val="en-AU"/>
        </w:rPr>
        <w:t>Pharmaceutical particulars</w:t>
      </w:r>
    </w:p>
    <w:p w14:paraId="15475E04" w14:textId="77777777" w:rsidR="001A3992" w:rsidRPr="00511840" w:rsidRDefault="001A3992" w:rsidP="00412545">
      <w:pPr>
        <w:pStyle w:val="Heading2"/>
        <w:spacing w:before="0" w:after="120"/>
        <w:rPr>
          <w:lang w:val="en-AU"/>
        </w:rPr>
      </w:pPr>
      <w:r w:rsidRPr="00511840">
        <w:rPr>
          <w:lang w:val="en-AU"/>
        </w:rPr>
        <w:t xml:space="preserve">List of excipients </w:t>
      </w:r>
    </w:p>
    <w:p w14:paraId="009EBC35" w14:textId="65A517BD" w:rsidR="00D42B7A" w:rsidRDefault="00A735D6" w:rsidP="00354153">
      <w:pPr>
        <w:spacing w:before="120" w:after="120"/>
        <w:rPr>
          <w:lang w:val="en-AU"/>
        </w:rPr>
      </w:pPr>
      <w:r w:rsidRPr="00511840">
        <w:rPr>
          <w:lang w:val="en-AU"/>
        </w:rPr>
        <w:t xml:space="preserve">Sodium chloride, monobasic sodium phosphate, dibasic sodium phosphate, </w:t>
      </w:r>
      <w:r w:rsidR="00C25CE9">
        <w:rPr>
          <w:lang w:val="en-AU"/>
        </w:rPr>
        <w:t>p</w:t>
      </w:r>
      <w:r w:rsidRPr="00511840">
        <w:rPr>
          <w:lang w:val="en-AU"/>
        </w:rPr>
        <w:t>olysorbate 20</w:t>
      </w:r>
      <w:r w:rsidR="0046644A">
        <w:rPr>
          <w:lang w:val="en-AU"/>
        </w:rPr>
        <w:t xml:space="preserve"> </w:t>
      </w:r>
      <w:r w:rsidR="0046644A" w:rsidRPr="00354153">
        <w:rPr>
          <w:lang w:val="en-AU"/>
        </w:rPr>
        <w:t>and water for injections</w:t>
      </w:r>
      <w:r w:rsidR="00FC7A49">
        <w:rPr>
          <w:lang w:val="en-AU"/>
        </w:rPr>
        <w:t>.</w:t>
      </w:r>
      <w:r w:rsidRPr="00511840">
        <w:rPr>
          <w:lang w:val="en-AU"/>
        </w:rPr>
        <w:t xml:space="preserve"> </w:t>
      </w:r>
    </w:p>
    <w:p w14:paraId="72870505" w14:textId="77777777" w:rsidR="002779BA" w:rsidRPr="002779BA" w:rsidRDefault="002779BA" w:rsidP="002779BA">
      <w:pPr>
        <w:pStyle w:val="00-Paragraph"/>
        <w:rPr>
          <w:sz w:val="24"/>
          <w:lang w:val="en-AU"/>
        </w:rPr>
      </w:pPr>
      <w:bookmarkStart w:id="14" w:name="_Hlk54181175"/>
      <w:r w:rsidRPr="002779BA">
        <w:rPr>
          <w:sz w:val="24"/>
        </w:rPr>
        <w:t xml:space="preserve">Each 0.5 mL dose of Flublok Quadrivalent  may also contain residual amounts of baculovirus and </w:t>
      </w:r>
      <w:r w:rsidRPr="002779BA">
        <w:rPr>
          <w:i/>
          <w:sz w:val="24"/>
        </w:rPr>
        <w:t>Spodoptera frugiperda</w:t>
      </w:r>
      <w:r w:rsidRPr="002779BA">
        <w:rPr>
          <w:sz w:val="24"/>
        </w:rPr>
        <w:t xml:space="preserve"> cell proteins (≤ 19 microgram), baculovirus and cellular DNA (≤ 10 ng), and octoxinol 9 (≤ 100 microgram).</w:t>
      </w:r>
    </w:p>
    <w:bookmarkEnd w:id="14"/>
    <w:p w14:paraId="610923F4" w14:textId="1F3B384C" w:rsidR="00A0594A" w:rsidRPr="00511840" w:rsidRDefault="00A0594A" w:rsidP="00354153">
      <w:pPr>
        <w:pStyle w:val="00-Paragraph"/>
        <w:rPr>
          <w:sz w:val="24"/>
          <w:lang w:val="en-AU"/>
        </w:rPr>
      </w:pPr>
      <w:r w:rsidRPr="00511840">
        <w:rPr>
          <w:sz w:val="24"/>
          <w:lang w:val="en-AU"/>
        </w:rPr>
        <w:t>Flublok Quadrivalent does not contain egg proteins, antibiotics, or preservatives.</w:t>
      </w:r>
    </w:p>
    <w:p w14:paraId="4E5F058F" w14:textId="4A8C296A" w:rsidR="00A735D6" w:rsidRPr="00511840" w:rsidRDefault="00A735D6" w:rsidP="00354153">
      <w:pPr>
        <w:spacing w:before="120" w:after="120"/>
        <w:rPr>
          <w:lang w:val="en-AU"/>
        </w:rPr>
      </w:pPr>
      <w:r w:rsidRPr="00511840">
        <w:rPr>
          <w:lang w:val="en-AU"/>
        </w:rPr>
        <w:t>There is no gelatin added in Flu</w:t>
      </w:r>
      <w:r w:rsidR="00A0594A">
        <w:rPr>
          <w:lang w:val="en-AU"/>
        </w:rPr>
        <w:t>b</w:t>
      </w:r>
      <w:r w:rsidRPr="00511840">
        <w:rPr>
          <w:lang w:val="en-AU"/>
        </w:rPr>
        <w:t>lok Quadrivalent as a stabiliser.</w:t>
      </w:r>
    </w:p>
    <w:p w14:paraId="791788B3" w14:textId="77777777" w:rsidR="00A735D6" w:rsidRPr="00511840" w:rsidRDefault="00A735D6" w:rsidP="00412545">
      <w:pPr>
        <w:rPr>
          <w:lang w:val="en-AU"/>
        </w:rPr>
      </w:pPr>
    </w:p>
    <w:p w14:paraId="68A0ACF0" w14:textId="77777777" w:rsidR="001A3992" w:rsidRPr="00511840" w:rsidRDefault="001A3992" w:rsidP="00412545">
      <w:pPr>
        <w:pStyle w:val="Heading2"/>
        <w:keepLines/>
        <w:spacing w:before="0" w:after="120"/>
        <w:rPr>
          <w:lang w:val="en-AU"/>
        </w:rPr>
      </w:pPr>
      <w:r w:rsidRPr="00511840">
        <w:rPr>
          <w:lang w:val="en-AU"/>
        </w:rPr>
        <w:t xml:space="preserve">Incompatibilities </w:t>
      </w:r>
    </w:p>
    <w:p w14:paraId="1C18612E" w14:textId="77777777" w:rsidR="00DA19D8" w:rsidRPr="00511840" w:rsidRDefault="00DA19D8" w:rsidP="00412545">
      <w:pPr>
        <w:tabs>
          <w:tab w:val="left" w:pos="567"/>
        </w:tabs>
        <w:spacing w:before="120" w:after="120"/>
        <w:rPr>
          <w:rFonts w:eastAsia="Times New Roman"/>
          <w:noProof/>
          <w:lang w:val="en-AU"/>
        </w:rPr>
      </w:pPr>
      <w:r w:rsidRPr="00511840">
        <w:rPr>
          <w:rFonts w:eastAsia="Times New Roman"/>
          <w:noProof/>
          <w:lang w:val="en-AU"/>
        </w:rPr>
        <w:t>In the absence of compatibility studies, this medicinal product must not be mixed with other medicinal products.</w:t>
      </w:r>
    </w:p>
    <w:p w14:paraId="2BE21A51" w14:textId="77777777" w:rsidR="00DA19D8" w:rsidRPr="00511840" w:rsidRDefault="00DA19D8" w:rsidP="00412545">
      <w:pPr>
        <w:rPr>
          <w:lang w:val="en-AU"/>
        </w:rPr>
      </w:pPr>
    </w:p>
    <w:p w14:paraId="55AD834C" w14:textId="77777777" w:rsidR="001A3992" w:rsidRPr="00511840" w:rsidRDefault="001A3992" w:rsidP="00412545">
      <w:pPr>
        <w:pStyle w:val="Heading2"/>
        <w:spacing w:before="0" w:after="120"/>
        <w:rPr>
          <w:lang w:val="en-AU"/>
        </w:rPr>
      </w:pPr>
      <w:r w:rsidRPr="00511840">
        <w:rPr>
          <w:lang w:val="en-AU"/>
        </w:rPr>
        <w:t xml:space="preserve">Shelf life </w:t>
      </w:r>
    </w:p>
    <w:p w14:paraId="2A7C73F7" w14:textId="2B5EB448" w:rsidR="0024632F" w:rsidRPr="00511840" w:rsidRDefault="00695469" w:rsidP="00354153">
      <w:pPr>
        <w:spacing w:before="120" w:after="120"/>
        <w:rPr>
          <w:lang w:val="en-AU"/>
        </w:rPr>
      </w:pPr>
      <w:r w:rsidRPr="000A2F98">
        <w:rPr>
          <w:lang w:val="en-AU"/>
        </w:rPr>
        <w:t>12</w:t>
      </w:r>
      <w:r w:rsidR="00DA19D8" w:rsidRPr="000A2F98">
        <w:rPr>
          <w:lang w:val="en-AU"/>
        </w:rPr>
        <w:t xml:space="preserve"> months</w:t>
      </w:r>
      <w:r w:rsidR="0009084F" w:rsidRPr="000A2F98">
        <w:rPr>
          <w:lang w:val="en-AU"/>
        </w:rPr>
        <w:t xml:space="preserve"> when stored at 2</w:t>
      </w:r>
      <w:r w:rsidR="0009084F" w:rsidRPr="000A2F98">
        <w:rPr>
          <w:lang w:val="en-AU"/>
        </w:rPr>
        <w:sym w:font="Symbol" w:char="F0B0"/>
      </w:r>
      <w:r w:rsidR="0009084F" w:rsidRPr="000A2F98">
        <w:rPr>
          <w:lang w:val="en-AU"/>
        </w:rPr>
        <w:t>C to 8</w:t>
      </w:r>
      <w:r w:rsidR="0009084F" w:rsidRPr="000A2F98">
        <w:rPr>
          <w:lang w:val="en-AU"/>
        </w:rPr>
        <w:sym w:font="Symbol" w:char="F0B0"/>
      </w:r>
      <w:r w:rsidR="0009084F" w:rsidRPr="000A2F98">
        <w:rPr>
          <w:lang w:val="en-AU"/>
        </w:rPr>
        <w:t>C.</w:t>
      </w:r>
      <w:r w:rsidR="0009084F">
        <w:rPr>
          <w:lang w:val="en-AU"/>
        </w:rPr>
        <w:t xml:space="preserve"> </w:t>
      </w:r>
    </w:p>
    <w:p w14:paraId="7522F2BA" w14:textId="77777777" w:rsidR="00DA19D8" w:rsidRPr="00511840" w:rsidRDefault="00DA19D8" w:rsidP="00412545">
      <w:pPr>
        <w:rPr>
          <w:lang w:val="en-AU"/>
        </w:rPr>
      </w:pPr>
    </w:p>
    <w:p w14:paraId="03799164" w14:textId="77777777" w:rsidR="001A3992" w:rsidRPr="00511840" w:rsidRDefault="001A3992" w:rsidP="00412545">
      <w:pPr>
        <w:pStyle w:val="Heading2"/>
        <w:keepLines/>
        <w:spacing w:before="0" w:after="120"/>
        <w:rPr>
          <w:lang w:val="en-AU"/>
        </w:rPr>
      </w:pPr>
      <w:r w:rsidRPr="00511840">
        <w:rPr>
          <w:lang w:val="en-AU"/>
        </w:rPr>
        <w:t xml:space="preserve">Special precautions for storage </w:t>
      </w:r>
    </w:p>
    <w:p w14:paraId="69CB67D1" w14:textId="308E39A0" w:rsidR="00D70EC1" w:rsidRPr="00511840" w:rsidRDefault="00B0569C" w:rsidP="00412545">
      <w:pPr>
        <w:spacing w:before="120" w:after="120"/>
        <w:rPr>
          <w:lang w:val="en-AU"/>
        </w:rPr>
      </w:pPr>
      <w:r w:rsidRPr="00511840">
        <w:rPr>
          <w:lang w:val="en-AU"/>
        </w:rPr>
        <w:t>Store at 2</w:t>
      </w:r>
      <w:r w:rsidRPr="00511840">
        <w:rPr>
          <w:lang w:val="en-AU"/>
        </w:rPr>
        <w:sym w:font="Symbol" w:char="F0B0"/>
      </w:r>
      <w:r w:rsidRPr="00511840">
        <w:rPr>
          <w:lang w:val="en-AU"/>
        </w:rPr>
        <w:t>C to 8</w:t>
      </w:r>
      <w:r w:rsidRPr="00511840">
        <w:rPr>
          <w:lang w:val="en-AU"/>
        </w:rPr>
        <w:sym w:font="Symbol" w:char="F0B0"/>
      </w:r>
      <w:r w:rsidRPr="00511840">
        <w:rPr>
          <w:lang w:val="en-AU"/>
        </w:rPr>
        <w:t>C (Refrigerate. Do not freeze).</w:t>
      </w:r>
    </w:p>
    <w:p w14:paraId="15E93A4D" w14:textId="77777777" w:rsidR="00695469" w:rsidRPr="00511840" w:rsidRDefault="00695469" w:rsidP="00695469">
      <w:pPr>
        <w:spacing w:before="120" w:after="120"/>
        <w:rPr>
          <w:lang w:val="en-AU"/>
        </w:rPr>
      </w:pPr>
      <w:r w:rsidRPr="00511840">
        <w:rPr>
          <w:lang w:val="en-AU"/>
        </w:rPr>
        <w:t>Keep the syringe in the outer carton in order to protect from light.</w:t>
      </w:r>
    </w:p>
    <w:p w14:paraId="4B918D1C" w14:textId="77777777" w:rsidR="00B0569C" w:rsidRPr="00511840" w:rsidRDefault="00B0569C" w:rsidP="00412545">
      <w:pPr>
        <w:rPr>
          <w:lang w:val="en-AU"/>
        </w:rPr>
      </w:pPr>
    </w:p>
    <w:p w14:paraId="3B5AA97F" w14:textId="77777777" w:rsidR="001A3992" w:rsidRPr="00511840" w:rsidRDefault="001A3992" w:rsidP="00412545">
      <w:pPr>
        <w:pStyle w:val="Heading2"/>
        <w:spacing w:before="0" w:after="120"/>
        <w:rPr>
          <w:lang w:val="en-AU"/>
        </w:rPr>
      </w:pPr>
      <w:r w:rsidRPr="00511840">
        <w:rPr>
          <w:lang w:val="en-AU"/>
        </w:rPr>
        <w:t xml:space="preserve">Nature and contents of container </w:t>
      </w:r>
    </w:p>
    <w:p w14:paraId="5243096E" w14:textId="1B0D5C17" w:rsidR="007E668E" w:rsidRPr="00511840" w:rsidRDefault="007E668E" w:rsidP="00354153">
      <w:pPr>
        <w:spacing w:before="120" w:after="120"/>
        <w:rPr>
          <w:b/>
          <w:bCs/>
          <w:lang w:val="en-AU"/>
        </w:rPr>
      </w:pPr>
      <w:r w:rsidRPr="00511840">
        <w:rPr>
          <w:lang w:val="en-AU"/>
        </w:rPr>
        <w:t>Pack</w:t>
      </w:r>
      <w:r w:rsidR="00DA19D8" w:rsidRPr="00511840">
        <w:rPr>
          <w:lang w:val="en-AU"/>
        </w:rPr>
        <w:t xml:space="preserve"> </w:t>
      </w:r>
      <w:r w:rsidRPr="00511840">
        <w:rPr>
          <w:lang w:val="en-AU"/>
        </w:rPr>
        <w:t>of 1</w:t>
      </w:r>
      <w:r w:rsidR="00B96A4D">
        <w:rPr>
          <w:lang w:val="en-AU"/>
        </w:rPr>
        <w:t xml:space="preserve"> or</w:t>
      </w:r>
      <w:r w:rsidR="00DA19D8" w:rsidRPr="00511840">
        <w:rPr>
          <w:lang w:val="en-AU"/>
        </w:rPr>
        <w:t xml:space="preserve"> </w:t>
      </w:r>
      <w:r w:rsidR="00A735D6" w:rsidRPr="00511840">
        <w:rPr>
          <w:lang w:val="en-AU"/>
        </w:rPr>
        <w:t>10</w:t>
      </w:r>
      <w:r w:rsidR="00DA19D8" w:rsidRPr="00511840">
        <w:rPr>
          <w:lang w:val="en-AU"/>
        </w:rPr>
        <w:t xml:space="preserve"> single dose (0.5 mL) </w:t>
      </w:r>
      <w:r w:rsidR="00A735D6" w:rsidRPr="00511840">
        <w:rPr>
          <w:lang w:val="en-AU"/>
        </w:rPr>
        <w:t>syringes.</w:t>
      </w:r>
    </w:p>
    <w:p w14:paraId="5C6ACA30" w14:textId="77777777" w:rsidR="00A735D6" w:rsidRPr="00511840" w:rsidRDefault="00A735D6" w:rsidP="00354153">
      <w:pPr>
        <w:spacing w:before="120" w:after="120"/>
        <w:rPr>
          <w:lang w:val="en-AU"/>
        </w:rPr>
      </w:pPr>
      <w:r w:rsidRPr="00511840">
        <w:rPr>
          <w:lang w:val="en-AU"/>
        </w:rPr>
        <w:t>The single-dose, pre-filled syringes contain no natural rubber latex.</w:t>
      </w:r>
    </w:p>
    <w:p w14:paraId="508B9DCE" w14:textId="77777777" w:rsidR="00DA19D8" w:rsidRPr="00511840" w:rsidRDefault="00DA19D8" w:rsidP="00354153">
      <w:pPr>
        <w:tabs>
          <w:tab w:val="left" w:pos="567"/>
        </w:tabs>
        <w:spacing w:before="120" w:after="120"/>
        <w:rPr>
          <w:rFonts w:eastAsia="Times New Roman"/>
          <w:noProof/>
          <w:lang w:val="en-AU"/>
        </w:rPr>
      </w:pPr>
      <w:r w:rsidRPr="00511840">
        <w:rPr>
          <w:rFonts w:eastAsia="Times New Roman"/>
          <w:noProof/>
          <w:lang w:val="en-AU"/>
        </w:rPr>
        <w:t>Not all pack sizes may be marketed.</w:t>
      </w:r>
    </w:p>
    <w:p w14:paraId="1B8492F7" w14:textId="77777777" w:rsidR="007E668E" w:rsidRPr="00511840" w:rsidRDefault="007E668E" w:rsidP="00412545">
      <w:pPr>
        <w:spacing w:before="120" w:after="120"/>
        <w:rPr>
          <w:snapToGrid w:val="0"/>
          <w:lang w:val="en-AU"/>
        </w:rPr>
      </w:pPr>
    </w:p>
    <w:p w14:paraId="4806CF25" w14:textId="77777777" w:rsidR="001A3992" w:rsidRPr="00511840" w:rsidRDefault="001A3992" w:rsidP="00412545">
      <w:pPr>
        <w:pStyle w:val="Heading2"/>
        <w:spacing w:before="0" w:after="120"/>
        <w:rPr>
          <w:lang w:val="en-AU"/>
        </w:rPr>
      </w:pPr>
      <w:r w:rsidRPr="00511840">
        <w:rPr>
          <w:lang w:val="en-AU"/>
        </w:rPr>
        <w:lastRenderedPageBreak/>
        <w:t xml:space="preserve">Special precautions for disposal </w:t>
      </w:r>
    </w:p>
    <w:p w14:paraId="1EC44F80" w14:textId="0EB45C8E" w:rsidR="00B0569C" w:rsidRDefault="00B0569C" w:rsidP="00354153">
      <w:pPr>
        <w:spacing w:before="120" w:after="120"/>
        <w:rPr>
          <w:lang w:val="en-AU"/>
        </w:rPr>
      </w:pPr>
      <w:r w:rsidRPr="00511840">
        <w:rPr>
          <w:lang w:val="en-AU"/>
        </w:rPr>
        <w:t>After use, any remaining vaccine and container must be disposed of safely, according to locally acceptable procedures.</w:t>
      </w:r>
    </w:p>
    <w:p w14:paraId="384F639E" w14:textId="77777777" w:rsidR="00AD0D4C" w:rsidRDefault="00AD0D4C" w:rsidP="00354153">
      <w:pPr>
        <w:spacing w:before="120" w:after="120"/>
        <w:rPr>
          <w:lang w:val="en-AU"/>
        </w:rPr>
      </w:pPr>
    </w:p>
    <w:p w14:paraId="17298F98" w14:textId="77777777" w:rsidR="00AD0D4C" w:rsidRPr="00AD0D4C" w:rsidRDefault="00AD0D4C" w:rsidP="00AD0D4C">
      <w:pPr>
        <w:pStyle w:val="Heading2"/>
        <w:spacing w:before="0" w:after="120"/>
        <w:rPr>
          <w:lang w:val="en-AU"/>
        </w:rPr>
      </w:pPr>
      <w:r w:rsidRPr="00AD0D4C">
        <w:rPr>
          <w:lang w:val="en-AU"/>
        </w:rPr>
        <w:t xml:space="preserve">PHYSICOCHEMICAL PROPERTIES </w:t>
      </w:r>
    </w:p>
    <w:p w14:paraId="3076739D" w14:textId="77777777" w:rsidR="00AD0D4C" w:rsidRPr="00AD0D4C" w:rsidRDefault="00AD0D4C" w:rsidP="00AD0D4C">
      <w:pPr>
        <w:rPr>
          <w:color w:val="auto"/>
          <w:lang w:val="en-AU"/>
        </w:rPr>
      </w:pPr>
      <w:r w:rsidRPr="00AD0D4C">
        <w:rPr>
          <w:color w:val="auto"/>
          <w:lang w:val="en-AU"/>
        </w:rPr>
        <w:t>Not applicable to vaccines.</w:t>
      </w:r>
    </w:p>
    <w:p w14:paraId="3E3EBD3E" w14:textId="77777777" w:rsidR="00825805" w:rsidRPr="00825805" w:rsidRDefault="00825805" w:rsidP="00825805">
      <w:pPr>
        <w:rPr>
          <w:lang w:val="en-AU"/>
        </w:rPr>
      </w:pPr>
    </w:p>
    <w:p w14:paraId="79010573" w14:textId="77777777" w:rsidR="001A3992" w:rsidRPr="00511840" w:rsidRDefault="001A3992" w:rsidP="00412545">
      <w:pPr>
        <w:pStyle w:val="Heading1"/>
        <w:keepNext w:val="0"/>
        <w:pageBreakBefore w:val="0"/>
        <w:spacing w:before="0" w:after="120"/>
        <w:rPr>
          <w:lang w:val="en-AU"/>
        </w:rPr>
      </w:pPr>
      <w:r w:rsidRPr="00511840">
        <w:rPr>
          <w:lang w:val="en-AU"/>
        </w:rPr>
        <w:t>Medicine schedule (Poisons Standard)</w:t>
      </w:r>
    </w:p>
    <w:p w14:paraId="1821E122" w14:textId="77777777" w:rsidR="00B0569C" w:rsidRPr="00511840" w:rsidRDefault="00B0569C" w:rsidP="00354153">
      <w:pPr>
        <w:spacing w:before="120" w:after="120"/>
        <w:rPr>
          <w:lang w:val="en-AU"/>
        </w:rPr>
      </w:pPr>
      <w:r w:rsidRPr="00511840">
        <w:rPr>
          <w:lang w:val="en-AU"/>
        </w:rPr>
        <w:t>S4 Prescription Only Medicine</w:t>
      </w:r>
    </w:p>
    <w:p w14:paraId="07EEC859" w14:textId="77777777" w:rsidR="00825805" w:rsidRPr="00511840" w:rsidRDefault="00825805" w:rsidP="00412545">
      <w:pPr>
        <w:rPr>
          <w:lang w:val="en-AU"/>
        </w:rPr>
      </w:pPr>
    </w:p>
    <w:p w14:paraId="6BDBB40E" w14:textId="77777777" w:rsidR="001A3992" w:rsidRPr="00511840" w:rsidRDefault="001A3992" w:rsidP="00412545">
      <w:pPr>
        <w:pStyle w:val="Heading1"/>
        <w:keepNext w:val="0"/>
        <w:pageBreakBefore w:val="0"/>
        <w:spacing w:before="0" w:after="120"/>
        <w:rPr>
          <w:lang w:val="en-AU"/>
        </w:rPr>
      </w:pPr>
      <w:r w:rsidRPr="00511840">
        <w:rPr>
          <w:lang w:val="en-AU"/>
        </w:rPr>
        <w:t>Sponsor</w:t>
      </w:r>
    </w:p>
    <w:p w14:paraId="2F37DC1B" w14:textId="51135C75" w:rsidR="00B0569C" w:rsidRPr="00511840" w:rsidRDefault="00B0569C" w:rsidP="00354153">
      <w:pPr>
        <w:spacing w:before="120" w:after="120"/>
        <w:rPr>
          <w:lang w:val="en-AU"/>
        </w:rPr>
      </w:pPr>
      <w:r w:rsidRPr="00511840">
        <w:rPr>
          <w:b/>
          <w:lang w:val="en-AU"/>
        </w:rPr>
        <w:t>sanofi-aventis australia pty ltd</w:t>
      </w:r>
      <w:r w:rsidRPr="00511840">
        <w:rPr>
          <w:b/>
          <w:lang w:val="en-AU"/>
        </w:rPr>
        <w:br/>
      </w:r>
      <w:r w:rsidRPr="00511840">
        <w:rPr>
          <w:lang w:val="en-AU"/>
        </w:rPr>
        <w:t>12-24 Talavera Road</w:t>
      </w:r>
      <w:r w:rsidRPr="00511840">
        <w:rPr>
          <w:lang w:val="en-AU"/>
        </w:rPr>
        <w:br/>
        <w:t>Macquarie Park NSW 2113</w:t>
      </w:r>
      <w:r w:rsidRPr="00511840">
        <w:rPr>
          <w:lang w:val="en-AU"/>
        </w:rPr>
        <w:br/>
        <w:t>Australia</w:t>
      </w:r>
    </w:p>
    <w:p w14:paraId="0D03B374" w14:textId="77777777" w:rsidR="00B0569C" w:rsidRPr="00511840" w:rsidRDefault="00B0569C" w:rsidP="00354153">
      <w:pPr>
        <w:spacing w:before="120" w:after="120"/>
        <w:rPr>
          <w:lang w:val="en-AU"/>
        </w:rPr>
      </w:pPr>
      <w:r w:rsidRPr="00511840">
        <w:rPr>
          <w:lang w:val="en-AU"/>
        </w:rPr>
        <w:t>Tel: 1800 818 806</w:t>
      </w:r>
    </w:p>
    <w:p w14:paraId="6E88A31F" w14:textId="77777777" w:rsidR="00825805" w:rsidRPr="00511840" w:rsidRDefault="00825805" w:rsidP="00412545">
      <w:pPr>
        <w:rPr>
          <w:lang w:val="en-AU"/>
        </w:rPr>
      </w:pPr>
    </w:p>
    <w:p w14:paraId="58D45DEA" w14:textId="77777777" w:rsidR="001A3992" w:rsidRPr="00511840" w:rsidRDefault="001A3992" w:rsidP="00412545">
      <w:pPr>
        <w:pStyle w:val="Heading1"/>
        <w:keepNext w:val="0"/>
        <w:pageBreakBefore w:val="0"/>
        <w:spacing w:before="0" w:after="120"/>
        <w:rPr>
          <w:lang w:val="en-AU"/>
        </w:rPr>
      </w:pPr>
      <w:r w:rsidRPr="00511840">
        <w:rPr>
          <w:lang w:val="en-AU"/>
        </w:rPr>
        <w:t xml:space="preserve">Date of first approval  </w:t>
      </w:r>
    </w:p>
    <w:p w14:paraId="0AE6BD39" w14:textId="38611895" w:rsidR="00825805" w:rsidRDefault="0085096C" w:rsidP="00412545">
      <w:pPr>
        <w:rPr>
          <w:lang w:val="en-AU"/>
        </w:rPr>
      </w:pPr>
      <w:r>
        <w:rPr>
          <w:lang w:val="en-AU"/>
        </w:rPr>
        <w:t>13 May 2021</w:t>
      </w:r>
    </w:p>
    <w:p w14:paraId="7FF8EDAF" w14:textId="77777777" w:rsidR="0085096C" w:rsidRPr="00511840" w:rsidRDefault="0085096C" w:rsidP="00412545">
      <w:pPr>
        <w:rPr>
          <w:lang w:val="en-AU"/>
        </w:rPr>
      </w:pPr>
    </w:p>
    <w:p w14:paraId="01C30880" w14:textId="77777777" w:rsidR="001A3992" w:rsidRPr="00511840" w:rsidRDefault="001A3992" w:rsidP="00412545">
      <w:pPr>
        <w:pStyle w:val="Heading1"/>
        <w:keepNext w:val="0"/>
        <w:pageBreakBefore w:val="0"/>
        <w:spacing w:before="0" w:after="120"/>
        <w:rPr>
          <w:lang w:val="en-AU"/>
        </w:rPr>
      </w:pPr>
      <w:r w:rsidRPr="00511840">
        <w:rPr>
          <w:lang w:val="en-AU"/>
        </w:rPr>
        <w:t xml:space="preserve">Date of revision </w:t>
      </w:r>
    </w:p>
    <w:p w14:paraId="49DAFBFA" w14:textId="4FBFA897" w:rsidR="00320920" w:rsidRDefault="00320920">
      <w:pPr>
        <w:spacing w:before="0" w:after="200" w:line="276" w:lineRule="auto"/>
        <w:rPr>
          <w:rFonts w:ascii="Arial" w:eastAsia="MS Gothic" w:hAnsi="Arial" w:cs="Arial"/>
          <w:b/>
          <w:iCs/>
          <w:caps/>
          <w:color w:val="auto"/>
          <w:kern w:val="32"/>
          <w:sz w:val="22"/>
          <w:szCs w:val="28"/>
          <w:lang w:val="en-AU"/>
        </w:rPr>
      </w:pPr>
      <w:r>
        <w:rPr>
          <w:lang w:val="en-AU"/>
        </w:rPr>
        <w:br w:type="page"/>
      </w:r>
    </w:p>
    <w:p w14:paraId="06B38E63" w14:textId="77777777" w:rsidR="00B0569C" w:rsidRPr="00511840" w:rsidRDefault="00B0569C" w:rsidP="00412545">
      <w:pPr>
        <w:pStyle w:val="Heading2"/>
        <w:numPr>
          <w:ilvl w:val="0"/>
          <w:numId w:val="0"/>
        </w:numPr>
        <w:spacing w:before="0" w:after="120"/>
        <w:rPr>
          <w:lang w:val="en-AU"/>
        </w:rPr>
      </w:pPr>
    </w:p>
    <w:p w14:paraId="3229CE8C" w14:textId="6B662D0B" w:rsidR="001A3992" w:rsidRPr="00511840" w:rsidRDefault="001A3992" w:rsidP="00412545">
      <w:pPr>
        <w:pStyle w:val="Heading2"/>
        <w:numPr>
          <w:ilvl w:val="0"/>
          <w:numId w:val="0"/>
        </w:numPr>
        <w:spacing w:before="0" w:after="120"/>
        <w:rPr>
          <w:lang w:val="en-AU"/>
        </w:rPr>
      </w:pPr>
      <w:r w:rsidRPr="00511840">
        <w:rPr>
          <w:lang w:val="en-AU"/>
        </w:rPr>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ED0937" w:rsidRPr="00511840" w14:paraId="74791225" w14:textId="77777777" w:rsidTr="004D0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08E5A59C" w14:textId="77777777" w:rsidR="00ED0937" w:rsidRPr="00511840" w:rsidRDefault="00ED0937" w:rsidP="00412545">
            <w:pPr>
              <w:rPr>
                <w:sz w:val="20"/>
                <w:lang w:val="en-AU"/>
              </w:rPr>
            </w:pPr>
            <w:r w:rsidRPr="00511840">
              <w:rPr>
                <w:sz w:val="20"/>
                <w:lang w:val="en-AU"/>
              </w:rPr>
              <w:t>Section Changed</w:t>
            </w:r>
          </w:p>
        </w:tc>
        <w:tc>
          <w:tcPr>
            <w:tcW w:w="7858" w:type="dxa"/>
            <w:shd w:val="clear" w:color="auto" w:fill="F2F2F2" w:themeFill="background1" w:themeFillShade="F2"/>
            <w:vAlign w:val="center"/>
          </w:tcPr>
          <w:p w14:paraId="6D0F067E" w14:textId="77777777" w:rsidR="00ED0937" w:rsidRPr="00511840" w:rsidRDefault="00ED0937" w:rsidP="00412545">
            <w:pPr>
              <w:cnfStyle w:val="100000000000" w:firstRow="1" w:lastRow="0" w:firstColumn="0" w:lastColumn="0" w:oddVBand="0" w:evenVBand="0" w:oddHBand="0" w:evenHBand="0" w:firstRowFirstColumn="0" w:firstRowLastColumn="0" w:lastRowFirstColumn="0" w:lastRowLastColumn="0"/>
              <w:rPr>
                <w:sz w:val="20"/>
                <w:lang w:val="en-AU"/>
              </w:rPr>
            </w:pPr>
            <w:r w:rsidRPr="00511840">
              <w:rPr>
                <w:sz w:val="20"/>
                <w:lang w:val="en-AU"/>
              </w:rPr>
              <w:t>Summary of new information</w:t>
            </w:r>
          </w:p>
        </w:tc>
      </w:tr>
      <w:tr w:rsidR="00ED0937" w:rsidRPr="00511840" w14:paraId="73BBD13B" w14:textId="77777777" w:rsidTr="004D0FD8">
        <w:tc>
          <w:tcPr>
            <w:cnfStyle w:val="001000000000" w:firstRow="0" w:lastRow="0" w:firstColumn="1" w:lastColumn="0" w:oddVBand="0" w:evenVBand="0" w:oddHBand="0" w:evenHBand="0" w:firstRowFirstColumn="0" w:firstRowLastColumn="0" w:lastRowFirstColumn="0" w:lastRowLastColumn="0"/>
            <w:tcW w:w="1384" w:type="dxa"/>
            <w:vAlign w:val="center"/>
          </w:tcPr>
          <w:p w14:paraId="63BA17BD" w14:textId="77777777" w:rsidR="00ED0937" w:rsidRPr="00511840" w:rsidRDefault="00ED0937" w:rsidP="00412545">
            <w:pPr>
              <w:rPr>
                <w:lang w:val="en-AU"/>
              </w:rPr>
            </w:pPr>
          </w:p>
        </w:tc>
        <w:tc>
          <w:tcPr>
            <w:tcW w:w="7858" w:type="dxa"/>
            <w:vAlign w:val="center"/>
          </w:tcPr>
          <w:p w14:paraId="752DA910" w14:textId="77777777" w:rsidR="00ED0937" w:rsidRPr="00511840" w:rsidRDefault="00ED0937" w:rsidP="00412545">
            <w:pPr>
              <w:cnfStyle w:val="000000000000" w:firstRow="0" w:lastRow="0" w:firstColumn="0" w:lastColumn="0" w:oddVBand="0" w:evenVBand="0" w:oddHBand="0" w:evenHBand="0" w:firstRowFirstColumn="0" w:firstRowLastColumn="0" w:lastRowFirstColumn="0" w:lastRowLastColumn="0"/>
              <w:rPr>
                <w:lang w:val="en-AU"/>
              </w:rPr>
            </w:pPr>
          </w:p>
        </w:tc>
      </w:tr>
      <w:tr w:rsidR="00ED0937" w:rsidRPr="00511840" w14:paraId="420D0729" w14:textId="77777777" w:rsidTr="004D0FD8">
        <w:tc>
          <w:tcPr>
            <w:cnfStyle w:val="001000000000" w:firstRow="0" w:lastRow="0" w:firstColumn="1" w:lastColumn="0" w:oddVBand="0" w:evenVBand="0" w:oddHBand="0" w:evenHBand="0" w:firstRowFirstColumn="0" w:firstRowLastColumn="0" w:lastRowFirstColumn="0" w:lastRowLastColumn="0"/>
            <w:tcW w:w="1384" w:type="dxa"/>
            <w:vAlign w:val="center"/>
          </w:tcPr>
          <w:p w14:paraId="0756BF8B" w14:textId="77777777" w:rsidR="00ED0937" w:rsidRPr="00511840" w:rsidRDefault="00ED0937" w:rsidP="00412545">
            <w:pPr>
              <w:rPr>
                <w:lang w:val="en-AU"/>
              </w:rPr>
            </w:pPr>
          </w:p>
        </w:tc>
        <w:tc>
          <w:tcPr>
            <w:tcW w:w="7858" w:type="dxa"/>
            <w:vAlign w:val="center"/>
          </w:tcPr>
          <w:p w14:paraId="25FEFBC2" w14:textId="77777777" w:rsidR="00ED0937" w:rsidRPr="00511840" w:rsidRDefault="00ED0937" w:rsidP="00412545">
            <w:pPr>
              <w:cnfStyle w:val="000000000000" w:firstRow="0" w:lastRow="0" w:firstColumn="0" w:lastColumn="0" w:oddVBand="0" w:evenVBand="0" w:oddHBand="0" w:evenHBand="0" w:firstRowFirstColumn="0" w:firstRowLastColumn="0" w:lastRowFirstColumn="0" w:lastRowLastColumn="0"/>
              <w:rPr>
                <w:lang w:val="en-AU"/>
              </w:rPr>
            </w:pPr>
          </w:p>
        </w:tc>
      </w:tr>
      <w:tr w:rsidR="00ED0937" w:rsidRPr="00511840" w14:paraId="3658C5A4" w14:textId="77777777" w:rsidTr="004D0FD8">
        <w:tc>
          <w:tcPr>
            <w:cnfStyle w:val="001000000000" w:firstRow="0" w:lastRow="0" w:firstColumn="1" w:lastColumn="0" w:oddVBand="0" w:evenVBand="0" w:oddHBand="0" w:evenHBand="0" w:firstRowFirstColumn="0" w:firstRowLastColumn="0" w:lastRowFirstColumn="0" w:lastRowLastColumn="0"/>
            <w:tcW w:w="1384" w:type="dxa"/>
            <w:vAlign w:val="center"/>
          </w:tcPr>
          <w:p w14:paraId="08D886E4" w14:textId="77777777" w:rsidR="00ED0937" w:rsidRPr="00511840" w:rsidRDefault="00ED0937" w:rsidP="00412545">
            <w:pPr>
              <w:rPr>
                <w:lang w:val="en-AU"/>
              </w:rPr>
            </w:pPr>
          </w:p>
        </w:tc>
        <w:tc>
          <w:tcPr>
            <w:tcW w:w="7858" w:type="dxa"/>
            <w:vAlign w:val="center"/>
          </w:tcPr>
          <w:p w14:paraId="75BB87E1" w14:textId="77777777" w:rsidR="00ED0937" w:rsidRPr="00511840" w:rsidRDefault="00ED0937" w:rsidP="00412545">
            <w:pPr>
              <w:cnfStyle w:val="000000000000" w:firstRow="0" w:lastRow="0" w:firstColumn="0" w:lastColumn="0" w:oddVBand="0" w:evenVBand="0" w:oddHBand="0" w:evenHBand="0" w:firstRowFirstColumn="0" w:firstRowLastColumn="0" w:lastRowFirstColumn="0" w:lastRowLastColumn="0"/>
              <w:rPr>
                <w:lang w:val="en-AU"/>
              </w:rPr>
            </w:pPr>
          </w:p>
        </w:tc>
      </w:tr>
    </w:tbl>
    <w:p w14:paraId="322A4D08" w14:textId="77777777" w:rsidR="00960CD5" w:rsidRPr="00511840" w:rsidRDefault="00960CD5" w:rsidP="00320920">
      <w:pPr>
        <w:spacing w:after="120"/>
        <w:rPr>
          <w:lang w:val="en-AU"/>
        </w:rPr>
      </w:pPr>
    </w:p>
    <w:sectPr w:rsidR="00960CD5" w:rsidRPr="0051184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6048C" w14:textId="77777777" w:rsidR="002C41E7" w:rsidRDefault="002C41E7" w:rsidP="001A3992">
      <w:r>
        <w:separator/>
      </w:r>
    </w:p>
  </w:endnote>
  <w:endnote w:type="continuationSeparator" w:id="0">
    <w:p w14:paraId="5AA0A16E" w14:textId="77777777" w:rsidR="002C41E7" w:rsidRDefault="002C41E7" w:rsidP="001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0584" w14:textId="77777777" w:rsidR="00FA729C" w:rsidRDefault="00FA7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D0ACE" w14:textId="77777777" w:rsidR="002C41E7" w:rsidRDefault="002C41E7">
    <w:pPr>
      <w:pStyle w:val="Footer"/>
    </w:pPr>
  </w:p>
  <w:p w14:paraId="1A446C49" w14:textId="2323E166" w:rsidR="002C41E7" w:rsidRDefault="002C41E7" w:rsidP="006B49F1">
    <w:pPr>
      <w:pStyle w:val="Footer"/>
    </w:pPr>
    <w:r>
      <w:br/>
    </w:r>
  </w:p>
  <w:p w14:paraId="4DFAF221" w14:textId="48650F2D" w:rsidR="002C41E7" w:rsidRDefault="002C41E7">
    <w:pPr>
      <w:pStyle w:val="Footer"/>
    </w:pPr>
    <w:r>
      <w:t>flub-ccdsv4-piv1-</w:t>
    </w:r>
    <w:r w:rsidR="0085096C">
      <w:t>13may</w:t>
    </w:r>
    <w:r w:rsidR="00AD0D4C">
      <w:t>21</w:t>
    </w:r>
    <w:r>
      <w:tab/>
    </w:r>
    <w:sdt>
      <w:sdtPr>
        <w:id w:val="-1619370226"/>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4B135" w14:textId="77777777" w:rsidR="00FA729C" w:rsidRDefault="00FA7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C61E4" w14:textId="77777777" w:rsidR="002C41E7" w:rsidRDefault="002C41E7" w:rsidP="001A3992">
      <w:r>
        <w:separator/>
      </w:r>
    </w:p>
  </w:footnote>
  <w:footnote w:type="continuationSeparator" w:id="0">
    <w:p w14:paraId="47903647" w14:textId="77777777" w:rsidR="002C41E7" w:rsidRDefault="002C41E7" w:rsidP="001A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B36F0" w14:textId="77777777" w:rsidR="00FA729C" w:rsidRDefault="00FA7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8897"/>
    </w:tblGrid>
    <w:tr w:rsidR="002600A1" w:rsidRPr="000B2145" w14:paraId="5686D773" w14:textId="77777777" w:rsidTr="00D67C45">
      <w:trPr>
        <w:trHeight w:val="1012"/>
      </w:trPr>
      <w:tc>
        <w:tcPr>
          <w:tcW w:w="8897" w:type="dxa"/>
          <w:shd w:val="clear" w:color="auto" w:fill="E4F2E0"/>
        </w:tcPr>
        <w:p w14:paraId="47991351" w14:textId="77777777" w:rsidR="002600A1" w:rsidRPr="000B2145" w:rsidRDefault="002600A1" w:rsidP="002600A1">
          <w:pPr>
            <w:pStyle w:val="Footer"/>
            <w:rPr>
              <w:b/>
              <w:szCs w:val="18"/>
            </w:rPr>
          </w:pPr>
          <w:r w:rsidRPr="00EA0C3C">
            <w:rPr>
              <w:b/>
              <w:szCs w:val="18"/>
            </w:rPr>
            <w:t>Attachment 1:</w:t>
          </w:r>
          <w:r w:rsidRPr="004138A5">
            <w:rPr>
              <w:b/>
            </w:rPr>
            <w:t xml:space="preserve"> </w:t>
          </w:r>
          <w:r w:rsidRPr="00C234ED">
            <w:rPr>
              <w:b/>
            </w:rPr>
            <w:t>AusPAR - Flublok Quadrivalent – influenza haemagglutinin recombinant – Sanofi-Aventis Australia Pty Ltd – PM-2019-04824-1-2</w:t>
          </w:r>
          <w:r>
            <w:rPr>
              <w:b/>
            </w:rPr>
            <w:t xml:space="preserve"> </w:t>
          </w:r>
          <w:r w:rsidRPr="00C234ED">
            <w:rPr>
              <w:b/>
            </w:rPr>
            <w:t>Final 8 July 2021</w:t>
          </w:r>
          <w:r>
            <w:rPr>
              <w:b/>
              <w:szCs w:val="18"/>
            </w:rPr>
            <w:t xml:space="preserve"> </w:t>
          </w:r>
          <w:r w:rsidRPr="000B2145">
            <w:rPr>
              <w:b/>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Cs w:val="18"/>
              </w:rPr>
              <w:t>https://www.tga.gov.au/product-information-pi</w:t>
            </w:r>
          </w:hyperlink>
          <w:r w:rsidRPr="000B2145">
            <w:rPr>
              <w:b/>
              <w:szCs w:val="18"/>
              <w:u w:val="single"/>
            </w:rPr>
            <w:t>&gt;</w:t>
          </w:r>
        </w:p>
      </w:tc>
    </w:tr>
  </w:tbl>
  <w:p w14:paraId="0A9A6A1F" w14:textId="77777777" w:rsidR="00FA729C" w:rsidRDefault="00FA72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5E3BA" w14:textId="77777777" w:rsidR="00FA729C" w:rsidRDefault="00FA7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4B0C6AF0"/>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98F69C7E"/>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034E15F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B906B970"/>
    <w:lvl w:ilvl="0">
      <w:start w:val="1"/>
      <w:numFmt w:val="bullet"/>
      <w:pStyle w:val="ListBulletLevel1"/>
      <w:lvlText w:val=""/>
      <w:lvlJc w:val="left"/>
      <w:pPr>
        <w:tabs>
          <w:tab w:val="num" w:pos="360"/>
        </w:tabs>
        <w:ind w:left="360" w:hanging="360"/>
      </w:pPr>
      <w:rPr>
        <w:rFonts w:ascii="Symbol" w:hAnsi="Symbol" w:hint="default"/>
      </w:rPr>
    </w:lvl>
  </w:abstractNum>
  <w:abstractNum w:abstractNumId="4" w15:restartNumberingAfterBreak="0">
    <w:nsid w:val="01733F3E"/>
    <w:multiLevelType w:val="hybridMultilevel"/>
    <w:tmpl w:val="FCB8ED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9F099A"/>
    <w:multiLevelType w:val="hybridMultilevel"/>
    <w:tmpl w:val="FAAA05CA"/>
    <w:name w:val="LT_Heading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268D4"/>
    <w:multiLevelType w:val="multilevel"/>
    <w:tmpl w:val="4A287840"/>
    <w:name w:val="LT_Heading"/>
    <w:lvl w:ilvl="0">
      <w:start w:val="1"/>
      <w:numFmt w:val="decimal"/>
      <w:lvlRestart w:val="0"/>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62"/>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7" w15:restartNumberingAfterBreak="0">
    <w:nsid w:val="141C3793"/>
    <w:multiLevelType w:val="hybridMultilevel"/>
    <w:tmpl w:val="800E1130"/>
    <w:name w:val="LT_Heading32"/>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8" w15:restartNumberingAfterBreak="0">
    <w:nsid w:val="1D126162"/>
    <w:multiLevelType w:val="hybridMultilevel"/>
    <w:tmpl w:val="782C927A"/>
    <w:name w:val="LT_Heading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41614"/>
    <w:multiLevelType w:val="multilevel"/>
    <w:tmpl w:val="56767712"/>
    <w:lvl w:ilvl="0">
      <w:start w:val="1"/>
      <w:numFmt w:val="decimal"/>
      <w:lvlRestart w:val="0"/>
      <w:pStyle w:val="Heading1NoNumbering"/>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decimal"/>
      <w:lvlText w:val="%3."/>
      <w:lvlJc w:val="left"/>
      <w:pPr>
        <w:tabs>
          <w:tab w:val="num" w:pos="1440"/>
        </w:tabs>
        <w:ind w:left="1440" w:hanging="357"/>
      </w:pPr>
      <w:rPr>
        <w:rFonts w:hint="default"/>
      </w:rPr>
    </w:lvl>
    <w:lvl w:ilvl="3">
      <w:start w:val="1"/>
      <w:numFmt w:val="decimal"/>
      <w:lvlText w:val="%4."/>
      <w:lvlJc w:val="left"/>
      <w:pPr>
        <w:tabs>
          <w:tab w:val="num" w:pos="1803"/>
        </w:tabs>
        <w:ind w:left="1803" w:hanging="363"/>
      </w:pPr>
      <w:rPr>
        <w:rFonts w:hint="default"/>
      </w:rPr>
    </w:lvl>
    <w:lvl w:ilvl="4">
      <w:start w:val="1"/>
      <w:numFmt w:val="decimal"/>
      <w:lvlText w:val="%5."/>
      <w:lvlJc w:val="left"/>
      <w:pPr>
        <w:tabs>
          <w:tab w:val="num" w:pos="2160"/>
        </w:tabs>
        <w:ind w:left="2160" w:hanging="357"/>
      </w:pPr>
      <w:rPr>
        <w:rFonts w:hint="default"/>
      </w:rPr>
    </w:lvl>
    <w:lvl w:ilvl="5">
      <w:start w:val="1"/>
      <w:numFmt w:val="decimal"/>
      <w:lvlText w:val="%6."/>
      <w:lvlJc w:val="left"/>
      <w:pPr>
        <w:tabs>
          <w:tab w:val="num" w:pos="2523"/>
        </w:tabs>
        <w:ind w:left="2523" w:hanging="363"/>
      </w:pPr>
      <w:rPr>
        <w:rFonts w:hint="default"/>
      </w:rPr>
    </w:lvl>
    <w:lvl w:ilvl="6">
      <w:start w:val="1"/>
      <w:numFmt w:val="decimal"/>
      <w:lvlText w:val="%7."/>
      <w:lvlJc w:val="left"/>
      <w:pPr>
        <w:tabs>
          <w:tab w:val="num" w:pos="2880"/>
        </w:tabs>
        <w:ind w:left="2880" w:hanging="357"/>
      </w:pPr>
      <w:rPr>
        <w:rFonts w:hint="default"/>
      </w:rPr>
    </w:lvl>
    <w:lvl w:ilvl="7">
      <w:start w:val="1"/>
      <w:numFmt w:val="decimal"/>
      <w:lvlText w:val="%8."/>
      <w:lvlJc w:val="left"/>
      <w:pPr>
        <w:tabs>
          <w:tab w:val="num" w:pos="3243"/>
        </w:tabs>
        <w:ind w:left="3243" w:hanging="363"/>
      </w:pPr>
      <w:rPr>
        <w:rFonts w:hint="default"/>
      </w:rPr>
    </w:lvl>
    <w:lvl w:ilvl="8">
      <w:start w:val="1"/>
      <w:numFmt w:val="decimal"/>
      <w:lvlText w:val="%9."/>
      <w:lvlJc w:val="left"/>
      <w:pPr>
        <w:tabs>
          <w:tab w:val="num" w:pos="3600"/>
        </w:tabs>
        <w:ind w:left="3600" w:hanging="357"/>
      </w:pPr>
      <w:rPr>
        <w:rFonts w:hint="default"/>
      </w:rPr>
    </w:lvl>
  </w:abstractNum>
  <w:abstractNum w:abstractNumId="10" w15:restartNumberingAfterBreak="0">
    <w:nsid w:val="24435439"/>
    <w:multiLevelType w:val="hybridMultilevel"/>
    <w:tmpl w:val="D23AB816"/>
    <w:lvl w:ilvl="0" w:tplc="0C090001">
      <w:start w:val="1"/>
      <w:numFmt w:val="bullet"/>
      <w:pStyle w:val="TblText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E0D04"/>
    <w:multiLevelType w:val="hybridMultilevel"/>
    <w:tmpl w:val="EEA244E6"/>
    <w:lvl w:ilvl="0" w:tplc="FFFFFFFF">
      <w:start w:val="1"/>
      <w:numFmt w:val="lowerRoman"/>
      <w:pStyle w:val="ListNumber3"/>
      <w:lvlText w:val="%1)"/>
      <w:lvlJc w:val="left"/>
      <w:pPr>
        <w:tabs>
          <w:tab w:val="num" w:pos="1571"/>
        </w:tabs>
        <w:ind w:left="1276"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7B744D"/>
    <w:multiLevelType w:val="hybridMultilevel"/>
    <w:tmpl w:val="04601CAC"/>
    <w:name w:val="LT_Heading4"/>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13" w15:restartNumberingAfterBreak="0">
    <w:nsid w:val="37172DAE"/>
    <w:multiLevelType w:val="multilevel"/>
    <w:tmpl w:val="1BCA8AB6"/>
    <w:name w:val="LT_Number List Inclusion"/>
    <w:lvl w:ilvl="0">
      <w:start w:val="1"/>
      <w:numFmt w:val="decimalZero"/>
      <w:lvlRestart w:val="0"/>
      <w:pStyle w:val="NumberListInclusion"/>
      <w:lvlText w:val="I %1."/>
      <w:lvlJc w:val="left"/>
      <w:pPr>
        <w:tabs>
          <w:tab w:val="num" w:pos="691"/>
        </w:tabs>
        <w:ind w:left="691" w:hanging="69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9A4A34"/>
    <w:multiLevelType w:val="multilevel"/>
    <w:tmpl w:val="F78C3682"/>
    <w:name w:val="LT_Number List Exclusion"/>
    <w:lvl w:ilvl="0">
      <w:start w:val="1"/>
      <w:numFmt w:val="decimalZero"/>
      <w:lvlRestart w:val="0"/>
      <w:pStyle w:val="NumberListExclusion"/>
      <w:lvlText w:val="E %1."/>
      <w:lvlJc w:val="left"/>
      <w:pPr>
        <w:tabs>
          <w:tab w:val="num" w:pos="691"/>
        </w:tabs>
        <w:ind w:left="691" w:hanging="69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56A079A"/>
    <w:multiLevelType w:val="hybridMultilevel"/>
    <w:tmpl w:val="F32A5200"/>
    <w:name w:val="LT_Heading3"/>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16" w15:restartNumberingAfterBreak="0">
    <w:nsid w:val="57507084"/>
    <w:multiLevelType w:val="hybridMultilevel"/>
    <w:tmpl w:val="B916056E"/>
    <w:lvl w:ilvl="0" w:tplc="0C090001">
      <w:start w:val="1"/>
      <w:numFmt w:val="bullet"/>
      <w:pStyle w:val="ListNumbered"/>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9236ED"/>
    <w:multiLevelType w:val="hybridMultilevel"/>
    <w:tmpl w:val="AE4ABC46"/>
    <w:name w:val="LT_Heading6"/>
    <w:lvl w:ilvl="0" w:tplc="04090001">
      <w:start w:val="1"/>
      <w:numFmt w:val="bullet"/>
      <w:lvlText w:val=""/>
      <w:lvlJc w:val="left"/>
      <w:pPr>
        <w:tabs>
          <w:tab w:val="num" w:pos="783"/>
        </w:tabs>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15:restartNumberingAfterBreak="0">
    <w:nsid w:val="6EC97089"/>
    <w:multiLevelType w:val="multilevel"/>
    <w:tmpl w:val="44725752"/>
    <w:styleLink w:val="StyleHighlightsTNR8pointBoldAfter1pt"/>
    <w:lvl w:ilvl="0">
      <w:start w:val="1"/>
      <w:numFmt w:val="bullet"/>
      <w:lvlText w:val=""/>
      <w:lvlJc w:val="left"/>
      <w:pPr>
        <w:ind w:left="187" w:hanging="18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2613446"/>
    <w:multiLevelType w:val="hybridMultilevel"/>
    <w:tmpl w:val="D384F4F4"/>
    <w:lvl w:ilvl="0" w:tplc="0C090001">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8D5132"/>
    <w:multiLevelType w:val="hybridMultilevel"/>
    <w:tmpl w:val="EFC02C4E"/>
    <w:lvl w:ilvl="0" w:tplc="B114E86A">
      <w:start w:val="1"/>
      <w:numFmt w:val="bullet"/>
      <w:pStyle w:val="Bullet1"/>
      <w:lvlText w:val=""/>
      <w:lvlJc w:val="left"/>
      <w:pPr>
        <w:tabs>
          <w:tab w:val="num" w:pos="576"/>
        </w:tabs>
        <w:ind w:left="504" w:hanging="288"/>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11220D"/>
    <w:multiLevelType w:val="hybridMultilevel"/>
    <w:tmpl w:val="E814E93A"/>
    <w:lvl w:ilvl="0" w:tplc="0C090001">
      <w:start w:val="1"/>
      <w:numFmt w:val="bullet"/>
      <w:pStyle w:val="ListBulletLevel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1939E8"/>
    <w:multiLevelType w:val="hybridMultilevel"/>
    <w:tmpl w:val="5E988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401D6"/>
    <w:multiLevelType w:val="hybridMultilevel"/>
    <w:tmpl w:val="270C463E"/>
    <w:lvl w:ilvl="0" w:tplc="0C090001">
      <w:start w:val="1"/>
      <w:numFmt w:val="bullet"/>
      <w:pStyle w:val="ListAlphabeticalLevel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3"/>
  </w:num>
  <w:num w:numId="4">
    <w:abstractNumId w:val="19"/>
  </w:num>
  <w:num w:numId="5">
    <w:abstractNumId w:val="21"/>
  </w:num>
  <w:num w:numId="6">
    <w:abstractNumId w:val="10"/>
  </w:num>
  <w:num w:numId="7">
    <w:abstractNumId w:val="9"/>
  </w:num>
  <w:num w:numId="8">
    <w:abstractNumId w:val="3"/>
  </w:num>
  <w:num w:numId="9">
    <w:abstractNumId w:val="6"/>
  </w:num>
  <w:num w:numId="10">
    <w:abstractNumId w:val="22"/>
  </w:num>
  <w:num w:numId="11">
    <w:abstractNumId w:val="20"/>
  </w:num>
  <w:num w:numId="12">
    <w:abstractNumId w:val="14"/>
  </w:num>
  <w:num w:numId="13">
    <w:abstractNumId w:val="13"/>
  </w:num>
  <w:num w:numId="14">
    <w:abstractNumId w:val="1"/>
  </w:num>
  <w:num w:numId="15">
    <w:abstractNumId w:val="18"/>
  </w:num>
  <w:num w:numId="16">
    <w:abstractNumId w:val="2"/>
  </w:num>
  <w:num w:numId="17">
    <w:abstractNumId w:val="0"/>
  </w:num>
  <w:num w:numId="18">
    <w:abstractNumId w:val="11"/>
  </w:num>
  <w:num w:numId="19">
    <w:abstractNumId w:val="17"/>
  </w:num>
  <w:num w:numId="20">
    <w:abstractNumId w:val="6"/>
  </w:num>
  <w:num w:numId="21">
    <w:abstractNumId w:val="6"/>
  </w:num>
  <w:num w:numId="22">
    <w:abstractNumId w:val="6"/>
  </w:num>
  <w:num w:numId="2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E5"/>
    <w:rsid w:val="00006F54"/>
    <w:rsid w:val="000219B8"/>
    <w:rsid w:val="00024098"/>
    <w:rsid w:val="000375E8"/>
    <w:rsid w:val="000423D7"/>
    <w:rsid w:val="000435FD"/>
    <w:rsid w:val="00046031"/>
    <w:rsid w:val="00047E4B"/>
    <w:rsid w:val="00052997"/>
    <w:rsid w:val="0009084F"/>
    <w:rsid w:val="000911AA"/>
    <w:rsid w:val="00091B2B"/>
    <w:rsid w:val="000929A0"/>
    <w:rsid w:val="00097241"/>
    <w:rsid w:val="000A2F98"/>
    <w:rsid w:val="000B1BE6"/>
    <w:rsid w:val="000B539A"/>
    <w:rsid w:val="000C0E63"/>
    <w:rsid w:val="000C2C78"/>
    <w:rsid w:val="000C5A1E"/>
    <w:rsid w:val="000C5DB2"/>
    <w:rsid w:val="000D5169"/>
    <w:rsid w:val="000E1A58"/>
    <w:rsid w:val="0010103F"/>
    <w:rsid w:val="0011643D"/>
    <w:rsid w:val="00120FB1"/>
    <w:rsid w:val="0012230A"/>
    <w:rsid w:val="00132C28"/>
    <w:rsid w:val="001443F4"/>
    <w:rsid w:val="00165A9B"/>
    <w:rsid w:val="00176726"/>
    <w:rsid w:val="00194D6E"/>
    <w:rsid w:val="001A3992"/>
    <w:rsid w:val="001A613B"/>
    <w:rsid w:val="001B519B"/>
    <w:rsid w:val="001F1E18"/>
    <w:rsid w:val="001F690A"/>
    <w:rsid w:val="00200B68"/>
    <w:rsid w:val="002245D3"/>
    <w:rsid w:val="002300FB"/>
    <w:rsid w:val="0024632F"/>
    <w:rsid w:val="0025188B"/>
    <w:rsid w:val="002600A1"/>
    <w:rsid w:val="00270188"/>
    <w:rsid w:val="00271BE3"/>
    <w:rsid w:val="002770EC"/>
    <w:rsid w:val="002779BA"/>
    <w:rsid w:val="002839CF"/>
    <w:rsid w:val="00292D82"/>
    <w:rsid w:val="002A0F6F"/>
    <w:rsid w:val="002A661C"/>
    <w:rsid w:val="002C41E7"/>
    <w:rsid w:val="002C4B9A"/>
    <w:rsid w:val="002D5128"/>
    <w:rsid w:val="002E277D"/>
    <w:rsid w:val="002F338A"/>
    <w:rsid w:val="00307108"/>
    <w:rsid w:val="00320920"/>
    <w:rsid w:val="003369BE"/>
    <w:rsid w:val="003429D6"/>
    <w:rsid w:val="00347D8E"/>
    <w:rsid w:val="00354153"/>
    <w:rsid w:val="0036096B"/>
    <w:rsid w:val="00366C84"/>
    <w:rsid w:val="00370DFF"/>
    <w:rsid w:val="00375B6D"/>
    <w:rsid w:val="00386789"/>
    <w:rsid w:val="003A36AF"/>
    <w:rsid w:val="003A5E26"/>
    <w:rsid w:val="003A6B4E"/>
    <w:rsid w:val="003B692B"/>
    <w:rsid w:val="003B6FD3"/>
    <w:rsid w:val="003C149C"/>
    <w:rsid w:val="003C3FB2"/>
    <w:rsid w:val="003E1CF4"/>
    <w:rsid w:val="003E35DC"/>
    <w:rsid w:val="003E3F40"/>
    <w:rsid w:val="003E6DFA"/>
    <w:rsid w:val="004032BD"/>
    <w:rsid w:val="00407FF3"/>
    <w:rsid w:val="00411BE3"/>
    <w:rsid w:val="00412545"/>
    <w:rsid w:val="00420CC8"/>
    <w:rsid w:val="0042258E"/>
    <w:rsid w:val="00425F6F"/>
    <w:rsid w:val="00431ACD"/>
    <w:rsid w:val="0045160C"/>
    <w:rsid w:val="004524A1"/>
    <w:rsid w:val="00456B82"/>
    <w:rsid w:val="0046644A"/>
    <w:rsid w:val="00466BF1"/>
    <w:rsid w:val="00472A9B"/>
    <w:rsid w:val="00477BD3"/>
    <w:rsid w:val="00484703"/>
    <w:rsid w:val="004A05C7"/>
    <w:rsid w:val="004B16F3"/>
    <w:rsid w:val="004C6DE1"/>
    <w:rsid w:val="004D0FD8"/>
    <w:rsid w:val="004F0E4A"/>
    <w:rsid w:val="004F1C2B"/>
    <w:rsid w:val="00511840"/>
    <w:rsid w:val="00512BA0"/>
    <w:rsid w:val="00514ED3"/>
    <w:rsid w:val="00520A98"/>
    <w:rsid w:val="005274FC"/>
    <w:rsid w:val="00540DA0"/>
    <w:rsid w:val="00541139"/>
    <w:rsid w:val="005528BC"/>
    <w:rsid w:val="005528DB"/>
    <w:rsid w:val="00560D82"/>
    <w:rsid w:val="005B038E"/>
    <w:rsid w:val="005C3403"/>
    <w:rsid w:val="005C4E5B"/>
    <w:rsid w:val="005C550E"/>
    <w:rsid w:val="005E5D7E"/>
    <w:rsid w:val="00611DD4"/>
    <w:rsid w:val="006201C0"/>
    <w:rsid w:val="0062272E"/>
    <w:rsid w:val="0062537C"/>
    <w:rsid w:val="006300D9"/>
    <w:rsid w:val="00632178"/>
    <w:rsid w:val="00654C85"/>
    <w:rsid w:val="00655C93"/>
    <w:rsid w:val="0066035C"/>
    <w:rsid w:val="00687172"/>
    <w:rsid w:val="00695469"/>
    <w:rsid w:val="00696A7F"/>
    <w:rsid w:val="006B335D"/>
    <w:rsid w:val="006B49F1"/>
    <w:rsid w:val="006F34DC"/>
    <w:rsid w:val="006F3F14"/>
    <w:rsid w:val="006F4665"/>
    <w:rsid w:val="00703FA3"/>
    <w:rsid w:val="00714A4D"/>
    <w:rsid w:val="00717E34"/>
    <w:rsid w:val="0072160B"/>
    <w:rsid w:val="00734065"/>
    <w:rsid w:val="00744556"/>
    <w:rsid w:val="007504FB"/>
    <w:rsid w:val="0076060A"/>
    <w:rsid w:val="00771AD2"/>
    <w:rsid w:val="00797087"/>
    <w:rsid w:val="007A2156"/>
    <w:rsid w:val="007C1F0B"/>
    <w:rsid w:val="007C4C57"/>
    <w:rsid w:val="007C4FEC"/>
    <w:rsid w:val="007D03C7"/>
    <w:rsid w:val="007E668E"/>
    <w:rsid w:val="007F5866"/>
    <w:rsid w:val="00825805"/>
    <w:rsid w:val="008266B0"/>
    <w:rsid w:val="0084140A"/>
    <w:rsid w:val="0085096C"/>
    <w:rsid w:val="00864BBA"/>
    <w:rsid w:val="00882EEE"/>
    <w:rsid w:val="00890FD3"/>
    <w:rsid w:val="0089435B"/>
    <w:rsid w:val="008A694C"/>
    <w:rsid w:val="008B7E11"/>
    <w:rsid w:val="008C7AF9"/>
    <w:rsid w:val="008E79D8"/>
    <w:rsid w:val="00902D2C"/>
    <w:rsid w:val="00903F27"/>
    <w:rsid w:val="0090596A"/>
    <w:rsid w:val="0091264A"/>
    <w:rsid w:val="009219D5"/>
    <w:rsid w:val="00921B73"/>
    <w:rsid w:val="0092639F"/>
    <w:rsid w:val="0093381D"/>
    <w:rsid w:val="009466D4"/>
    <w:rsid w:val="00960CD5"/>
    <w:rsid w:val="00983B10"/>
    <w:rsid w:val="009955A7"/>
    <w:rsid w:val="009B2996"/>
    <w:rsid w:val="009B70EC"/>
    <w:rsid w:val="009C0D97"/>
    <w:rsid w:val="009D2F8E"/>
    <w:rsid w:val="009D5E14"/>
    <w:rsid w:val="009E4A3A"/>
    <w:rsid w:val="009E767C"/>
    <w:rsid w:val="009F4900"/>
    <w:rsid w:val="00A0594A"/>
    <w:rsid w:val="00A11843"/>
    <w:rsid w:val="00A25710"/>
    <w:rsid w:val="00A3615D"/>
    <w:rsid w:val="00A47DC6"/>
    <w:rsid w:val="00A60F10"/>
    <w:rsid w:val="00A61CB7"/>
    <w:rsid w:val="00A62F6D"/>
    <w:rsid w:val="00A735D6"/>
    <w:rsid w:val="00A81C02"/>
    <w:rsid w:val="00A87C8F"/>
    <w:rsid w:val="00AB396B"/>
    <w:rsid w:val="00AC7ED1"/>
    <w:rsid w:val="00AD0D4C"/>
    <w:rsid w:val="00AE5799"/>
    <w:rsid w:val="00B0569C"/>
    <w:rsid w:val="00B05F5C"/>
    <w:rsid w:val="00B13C5E"/>
    <w:rsid w:val="00B14C17"/>
    <w:rsid w:val="00B14F44"/>
    <w:rsid w:val="00B22E21"/>
    <w:rsid w:val="00B2795C"/>
    <w:rsid w:val="00B423EF"/>
    <w:rsid w:val="00B470DE"/>
    <w:rsid w:val="00B543E0"/>
    <w:rsid w:val="00B70A23"/>
    <w:rsid w:val="00B8618D"/>
    <w:rsid w:val="00B96A4D"/>
    <w:rsid w:val="00BC364A"/>
    <w:rsid w:val="00BC39CA"/>
    <w:rsid w:val="00BE57E5"/>
    <w:rsid w:val="00BF29A6"/>
    <w:rsid w:val="00BF5FB4"/>
    <w:rsid w:val="00C020EF"/>
    <w:rsid w:val="00C0394B"/>
    <w:rsid w:val="00C06693"/>
    <w:rsid w:val="00C217D0"/>
    <w:rsid w:val="00C25CE9"/>
    <w:rsid w:val="00C301BA"/>
    <w:rsid w:val="00C33002"/>
    <w:rsid w:val="00C410EA"/>
    <w:rsid w:val="00C43229"/>
    <w:rsid w:val="00C61F9C"/>
    <w:rsid w:val="00C65208"/>
    <w:rsid w:val="00C80099"/>
    <w:rsid w:val="00C82FFC"/>
    <w:rsid w:val="00C90A22"/>
    <w:rsid w:val="00C95448"/>
    <w:rsid w:val="00C971E9"/>
    <w:rsid w:val="00CA5C63"/>
    <w:rsid w:val="00CA6CCF"/>
    <w:rsid w:val="00CA73C2"/>
    <w:rsid w:val="00CC414A"/>
    <w:rsid w:val="00CD52E2"/>
    <w:rsid w:val="00CD72DE"/>
    <w:rsid w:val="00CE5549"/>
    <w:rsid w:val="00CE63D9"/>
    <w:rsid w:val="00D105E8"/>
    <w:rsid w:val="00D121EA"/>
    <w:rsid w:val="00D41319"/>
    <w:rsid w:val="00D42B7A"/>
    <w:rsid w:val="00D44BA0"/>
    <w:rsid w:val="00D44C06"/>
    <w:rsid w:val="00D46A5B"/>
    <w:rsid w:val="00D70EC1"/>
    <w:rsid w:val="00D77A6D"/>
    <w:rsid w:val="00D83F3F"/>
    <w:rsid w:val="00D86276"/>
    <w:rsid w:val="00D93431"/>
    <w:rsid w:val="00D96DAF"/>
    <w:rsid w:val="00DA19D8"/>
    <w:rsid w:val="00DB0AF7"/>
    <w:rsid w:val="00DD1FB2"/>
    <w:rsid w:val="00DD5DFB"/>
    <w:rsid w:val="00DE2723"/>
    <w:rsid w:val="00DF155D"/>
    <w:rsid w:val="00DF5E99"/>
    <w:rsid w:val="00E112BE"/>
    <w:rsid w:val="00E13160"/>
    <w:rsid w:val="00E20290"/>
    <w:rsid w:val="00E24BAD"/>
    <w:rsid w:val="00E25D6F"/>
    <w:rsid w:val="00E432F4"/>
    <w:rsid w:val="00E53688"/>
    <w:rsid w:val="00E6361B"/>
    <w:rsid w:val="00E63681"/>
    <w:rsid w:val="00E656C5"/>
    <w:rsid w:val="00E71F4B"/>
    <w:rsid w:val="00E74A56"/>
    <w:rsid w:val="00E76D23"/>
    <w:rsid w:val="00E8282E"/>
    <w:rsid w:val="00ED06B6"/>
    <w:rsid w:val="00ED0937"/>
    <w:rsid w:val="00ED2051"/>
    <w:rsid w:val="00EE2C88"/>
    <w:rsid w:val="00EE57D7"/>
    <w:rsid w:val="00EF4645"/>
    <w:rsid w:val="00F02286"/>
    <w:rsid w:val="00F05C68"/>
    <w:rsid w:val="00F10A64"/>
    <w:rsid w:val="00F13B51"/>
    <w:rsid w:val="00F234E6"/>
    <w:rsid w:val="00F42242"/>
    <w:rsid w:val="00F44B72"/>
    <w:rsid w:val="00F57640"/>
    <w:rsid w:val="00F74CC4"/>
    <w:rsid w:val="00F77B7A"/>
    <w:rsid w:val="00F97657"/>
    <w:rsid w:val="00FA729C"/>
    <w:rsid w:val="00FB23E5"/>
    <w:rsid w:val="00FB3A3E"/>
    <w:rsid w:val="00FC7A49"/>
    <w:rsid w:val="00FD0752"/>
    <w:rsid w:val="00FD3E22"/>
    <w:rsid w:val="00FD4643"/>
    <w:rsid w:val="00FE43D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3CD94FD"/>
  <w15:docId w15:val="{7147BF98-0974-434B-847F-7F93C838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8D"/>
    <w:pPr>
      <w:spacing w:before="240" w:after="0" w:line="240" w:lineRule="auto"/>
    </w:pPr>
    <w:rPr>
      <w:rFonts w:ascii="Times New Roman" w:eastAsia="MS Mincho" w:hAnsi="Times New Roman" w:cs="Times New Roman"/>
      <w:color w:val="000000"/>
      <w:sz w:val="24"/>
      <w:szCs w:val="24"/>
      <w:lang w:val="en-US"/>
    </w:rPr>
  </w:style>
  <w:style w:type="paragraph" w:styleId="Heading1">
    <w:name w:val="heading 1"/>
    <w:aliases w:val="wcp_Heading1,Heading1_Titre1,TitreI,Heading1_Titre1 Char,wcp_Heading1 Char,Titre_FR"/>
    <w:next w:val="Normal"/>
    <w:link w:val="Heading1Char"/>
    <w:qFormat/>
    <w:rsid w:val="008266B0"/>
    <w:pPr>
      <w:keepNext/>
      <w:pageBreakBefore/>
      <w:numPr>
        <w:numId w:val="9"/>
      </w:numPr>
      <w:spacing w:before="480" w:after="0" w:line="240" w:lineRule="auto"/>
      <w:outlineLvl w:val="0"/>
    </w:pPr>
    <w:rPr>
      <w:rFonts w:ascii="Arial" w:eastAsia="MS Gothic" w:hAnsi="Arial" w:cs="Arial"/>
      <w:b/>
      <w:bCs/>
      <w:caps/>
      <w:kern w:val="32"/>
      <w:sz w:val="28"/>
      <w:szCs w:val="32"/>
      <w:lang w:val="en-US"/>
    </w:rPr>
  </w:style>
  <w:style w:type="paragraph" w:styleId="Heading2">
    <w:name w:val="heading 2"/>
    <w:aliases w:val="wcp_Heading2,Heading2_Titre2,ValProHeading2,Chapter Title,Heading2_titre2"/>
    <w:basedOn w:val="Heading1"/>
    <w:next w:val="Normal"/>
    <w:link w:val="Heading2Char"/>
    <w:uiPriority w:val="9"/>
    <w:qFormat/>
    <w:rsid w:val="008266B0"/>
    <w:pPr>
      <w:pageBreakBefore w:val="0"/>
      <w:numPr>
        <w:ilvl w:val="1"/>
      </w:numPr>
      <w:outlineLvl w:val="1"/>
    </w:pPr>
    <w:rPr>
      <w:bCs w:val="0"/>
      <w:iCs/>
      <w:sz w:val="22"/>
      <w:szCs w:val="28"/>
    </w:rPr>
  </w:style>
  <w:style w:type="paragraph" w:styleId="Heading3">
    <w:name w:val="heading 3"/>
    <w:aliases w:val="wcp_Heading3,Heading3_Titre3,Section,Arial 12 Fett,Titre 31"/>
    <w:basedOn w:val="Heading1"/>
    <w:next w:val="Normal"/>
    <w:link w:val="Heading3Char"/>
    <w:uiPriority w:val="9"/>
    <w:qFormat/>
    <w:rsid w:val="008266B0"/>
    <w:pPr>
      <w:pageBreakBefore w:val="0"/>
      <w:numPr>
        <w:ilvl w:val="2"/>
      </w:numPr>
      <w:spacing w:before="360"/>
      <w:outlineLvl w:val="2"/>
    </w:pPr>
    <w:rPr>
      <w:bCs w:val="0"/>
      <w:caps w:val="0"/>
      <w:sz w:val="22"/>
      <w:szCs w:val="26"/>
    </w:rPr>
  </w:style>
  <w:style w:type="paragraph" w:styleId="Heading4">
    <w:name w:val="heading 4"/>
    <w:aliases w:val="wcp_Heading4,Heading4_Titre4"/>
    <w:basedOn w:val="Heading1"/>
    <w:next w:val="Normal"/>
    <w:link w:val="Heading4Char"/>
    <w:qFormat/>
    <w:rsid w:val="008266B0"/>
    <w:pPr>
      <w:pageBreakBefore w:val="0"/>
      <w:numPr>
        <w:ilvl w:val="3"/>
      </w:numPr>
      <w:spacing w:before="360"/>
      <w:outlineLvl w:val="3"/>
    </w:pPr>
    <w:rPr>
      <w:bCs w:val="0"/>
      <w:i/>
      <w:caps w:val="0"/>
      <w:sz w:val="22"/>
      <w:szCs w:val="28"/>
    </w:rPr>
  </w:style>
  <w:style w:type="paragraph" w:styleId="Heading5">
    <w:name w:val="heading 5"/>
    <w:aliases w:val="wcp_Heading5,Heading5_Titre5,Block Label,DO NOT USE, DO NOT USE"/>
    <w:basedOn w:val="Heading1"/>
    <w:next w:val="Normal"/>
    <w:link w:val="Heading5Char"/>
    <w:qFormat/>
    <w:rsid w:val="008266B0"/>
    <w:pPr>
      <w:pageBreakBefore w:val="0"/>
      <w:numPr>
        <w:ilvl w:val="4"/>
      </w:numPr>
      <w:spacing w:before="360"/>
      <w:outlineLvl w:val="4"/>
    </w:pPr>
    <w:rPr>
      <w:b w:val="0"/>
      <w:bCs w:val="0"/>
      <w:i/>
      <w:iCs/>
      <w:caps w:val="0"/>
      <w:sz w:val="22"/>
      <w:szCs w:val="26"/>
    </w:rPr>
  </w:style>
  <w:style w:type="paragraph" w:styleId="Heading6">
    <w:name w:val="heading 6"/>
    <w:aliases w:val="wcp_Heading6,Heading6_Titre6,DO NOT USE4,DO NOT USE41"/>
    <w:basedOn w:val="Heading1"/>
    <w:next w:val="Normal"/>
    <w:link w:val="Heading6Char"/>
    <w:qFormat/>
    <w:rsid w:val="008266B0"/>
    <w:pPr>
      <w:pageBreakBefore w:val="0"/>
      <w:numPr>
        <w:ilvl w:val="5"/>
      </w:numPr>
      <w:spacing w:before="360"/>
      <w:outlineLvl w:val="5"/>
    </w:pPr>
    <w:rPr>
      <w:b w:val="0"/>
      <w:bCs w:val="0"/>
      <w:caps w:val="0"/>
      <w:sz w:val="22"/>
      <w:szCs w:val="22"/>
    </w:rPr>
  </w:style>
  <w:style w:type="paragraph" w:styleId="Heading7">
    <w:name w:val="heading 7"/>
    <w:aliases w:val="wcp_Heading7,Heading7_Titre7"/>
    <w:basedOn w:val="Heading6"/>
    <w:next w:val="Normal"/>
    <w:link w:val="Heading7Char"/>
    <w:uiPriority w:val="99"/>
    <w:qFormat/>
    <w:rsid w:val="008266B0"/>
    <w:pPr>
      <w:numPr>
        <w:ilvl w:val="6"/>
      </w:numPr>
      <w:outlineLvl w:val="6"/>
    </w:pPr>
  </w:style>
  <w:style w:type="paragraph" w:styleId="Heading8">
    <w:name w:val="heading 8"/>
    <w:aliases w:val="wcp_Heading8,Heading8_Titre8,DO NOT USE2,DO NOT USE21,titre:d"/>
    <w:basedOn w:val="Heading6"/>
    <w:next w:val="Normal"/>
    <w:link w:val="Heading8Char"/>
    <w:uiPriority w:val="99"/>
    <w:qFormat/>
    <w:rsid w:val="008266B0"/>
    <w:pPr>
      <w:numPr>
        <w:ilvl w:val="7"/>
      </w:numPr>
      <w:outlineLvl w:val="7"/>
    </w:pPr>
    <w:rPr>
      <w:iCs/>
    </w:rPr>
  </w:style>
  <w:style w:type="paragraph" w:styleId="Heading9">
    <w:name w:val="heading 9"/>
    <w:aliases w:val="wcp_Heading9,Heading9_Titre9"/>
    <w:basedOn w:val="Heading6"/>
    <w:next w:val="Normal"/>
    <w:link w:val="Heading9Char"/>
    <w:qFormat/>
    <w:rsid w:val="008266B0"/>
    <w:pPr>
      <w:numPr>
        <w:ilvl w:val="8"/>
      </w:numPr>
      <w:tabs>
        <w:tab w:val="left" w:pos="179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cp_Heading1 Char1,Heading1_Titre1 Char1,TitreI Char,Heading1_Titre1 Char Char,wcp_Heading1 Char Char,Titre_FR Char"/>
    <w:basedOn w:val="DefaultParagraphFont"/>
    <w:link w:val="Heading1"/>
    <w:rsid w:val="001A3992"/>
    <w:rPr>
      <w:rFonts w:ascii="Arial" w:eastAsia="MS Gothic" w:hAnsi="Arial" w:cs="Arial"/>
      <w:b/>
      <w:bCs/>
      <w:caps/>
      <w:kern w:val="32"/>
      <w:sz w:val="28"/>
      <w:szCs w:val="32"/>
      <w:lang w:val="en-US"/>
    </w:rPr>
  </w:style>
  <w:style w:type="character" w:customStyle="1" w:styleId="Heading2Char">
    <w:name w:val="Heading 2 Char"/>
    <w:aliases w:val="wcp_Heading2 Char,Heading2_Titre2 Char,ValProHeading2 Char,Chapter Title Char,Heading2_titre2 Char"/>
    <w:basedOn w:val="DefaultParagraphFont"/>
    <w:link w:val="Heading2"/>
    <w:uiPriority w:val="9"/>
    <w:rsid w:val="001A3992"/>
    <w:rPr>
      <w:rFonts w:ascii="Arial" w:eastAsia="MS Gothic" w:hAnsi="Arial" w:cs="Arial"/>
      <w:b/>
      <w:iCs/>
      <w:caps/>
      <w:kern w:val="32"/>
      <w:szCs w:val="28"/>
      <w:lang w:val="en-US"/>
    </w:rPr>
  </w:style>
  <w:style w:type="character" w:customStyle="1" w:styleId="Heading3Char">
    <w:name w:val="Heading 3 Char"/>
    <w:aliases w:val="wcp_Heading3 Char,Heading3_Titre3 Char,Section Char,Arial 12 Fett Char,Titre 31 Char"/>
    <w:basedOn w:val="DefaultParagraphFont"/>
    <w:link w:val="Heading3"/>
    <w:uiPriority w:val="9"/>
    <w:rsid w:val="001A3992"/>
    <w:rPr>
      <w:rFonts w:ascii="Arial" w:eastAsia="MS Gothic" w:hAnsi="Arial" w:cs="Arial"/>
      <w:b/>
      <w:kern w:val="32"/>
      <w:szCs w:val="26"/>
      <w:lang w:val="en-US"/>
    </w:rPr>
  </w:style>
  <w:style w:type="character" w:customStyle="1" w:styleId="Heading4Char">
    <w:name w:val="Heading 4 Char"/>
    <w:aliases w:val="wcp_Heading4 Char,Heading4_Titre4 Char"/>
    <w:basedOn w:val="DefaultParagraphFont"/>
    <w:link w:val="Heading4"/>
    <w:rsid w:val="001A3992"/>
    <w:rPr>
      <w:rFonts w:ascii="Arial" w:eastAsia="MS Gothic" w:hAnsi="Arial" w:cs="Arial"/>
      <w:b/>
      <w:i/>
      <w:kern w:val="32"/>
      <w:szCs w:val="28"/>
      <w:lang w:val="en-US"/>
    </w:rPr>
  </w:style>
  <w:style w:type="character" w:customStyle="1" w:styleId="Heading5Char">
    <w:name w:val="Heading 5 Char"/>
    <w:aliases w:val="wcp_Heading5 Char,Heading5_Titre5 Char,Block Label Char,DO NOT USE Char, DO NOT USE Char"/>
    <w:basedOn w:val="DefaultParagraphFont"/>
    <w:link w:val="Heading5"/>
    <w:rsid w:val="001A3992"/>
    <w:rPr>
      <w:rFonts w:ascii="Arial" w:eastAsia="MS Gothic" w:hAnsi="Arial" w:cs="Arial"/>
      <w:i/>
      <w:iCs/>
      <w:kern w:val="32"/>
      <w:szCs w:val="26"/>
      <w:lang w:val="en-US"/>
    </w:rPr>
  </w:style>
  <w:style w:type="character" w:customStyle="1" w:styleId="Heading6Char">
    <w:name w:val="Heading 6 Char"/>
    <w:aliases w:val="wcp_Heading6 Char,Heading6_Titre6 Char,DO NOT USE4 Char,DO NOT USE41 Char"/>
    <w:basedOn w:val="DefaultParagraphFont"/>
    <w:link w:val="Heading6"/>
    <w:rsid w:val="001A3992"/>
    <w:rPr>
      <w:rFonts w:ascii="Arial" w:eastAsia="MS Gothic" w:hAnsi="Arial" w:cs="Arial"/>
      <w:kern w:val="32"/>
      <w:lang w:val="en-US"/>
    </w:rPr>
  </w:style>
  <w:style w:type="character" w:customStyle="1" w:styleId="Heading7Char">
    <w:name w:val="Heading 7 Char"/>
    <w:aliases w:val="wcp_Heading7 Char,Heading7_Titre7 Char"/>
    <w:basedOn w:val="DefaultParagraphFont"/>
    <w:link w:val="Heading7"/>
    <w:uiPriority w:val="99"/>
    <w:rsid w:val="001A3992"/>
    <w:rPr>
      <w:rFonts w:ascii="Arial" w:eastAsia="MS Gothic" w:hAnsi="Arial" w:cs="Arial"/>
      <w:kern w:val="32"/>
      <w:lang w:val="en-US"/>
    </w:rPr>
  </w:style>
  <w:style w:type="character" w:customStyle="1" w:styleId="Heading8Char">
    <w:name w:val="Heading 8 Char"/>
    <w:aliases w:val="wcp_Heading8 Char,Heading8_Titre8 Char,DO NOT USE2 Char,DO NOT USE21 Char,titre:d Char"/>
    <w:basedOn w:val="DefaultParagraphFont"/>
    <w:link w:val="Heading8"/>
    <w:uiPriority w:val="99"/>
    <w:rsid w:val="001A3992"/>
    <w:rPr>
      <w:rFonts w:ascii="Arial" w:eastAsia="MS Gothic" w:hAnsi="Arial" w:cs="Arial"/>
      <w:iCs/>
      <w:kern w:val="32"/>
      <w:lang w:val="en-US"/>
    </w:rPr>
  </w:style>
  <w:style w:type="character" w:customStyle="1" w:styleId="Heading9Char">
    <w:name w:val="Heading 9 Char"/>
    <w:aliases w:val="wcp_Heading9 Char,Heading9_Titre9 Char"/>
    <w:basedOn w:val="DefaultParagraphFont"/>
    <w:link w:val="Heading9"/>
    <w:rsid w:val="001A3992"/>
    <w:rPr>
      <w:rFonts w:ascii="Arial" w:eastAsia="MS Gothic" w:hAnsi="Arial" w:cs="Arial"/>
      <w:kern w:val="32"/>
      <w:lang w:val="en-US"/>
    </w:rPr>
  </w:style>
  <w:style w:type="paragraph" w:styleId="ListParagraph">
    <w:name w:val="List Paragraph"/>
    <w:basedOn w:val="Normal"/>
    <w:uiPriority w:val="1"/>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aliases w:val="Annotationtext,Comment Text Char2 Char,Comment Text Char1 Char Char,Comment Text Char Char Char Char,Comment Text Char Char1 Char,Comment Text Char Char,Car17,Car17 Car,Char,Comment Text Ch,Comment Text Char Char1,Comment Text Char1 Char"/>
    <w:basedOn w:val="Normal"/>
    <w:link w:val="CommentTextChar"/>
    <w:uiPriority w:val="99"/>
    <w:unhideWhenUsed/>
    <w:qFormat/>
    <w:rsid w:val="001A3992"/>
    <w:rPr>
      <w:rFonts w:ascii="Cambria" w:hAnsi="Cambria"/>
      <w:sz w:val="20"/>
      <w:szCs w:val="20"/>
    </w:rPr>
  </w:style>
  <w:style w:type="character" w:customStyle="1" w:styleId="CommentTextChar">
    <w:name w:val="Comment Text Char"/>
    <w:aliases w:val="Annotationtext Char,Comment Text Char2 Char Char,Comment Text Char1 Char Char Char,Comment Text Char Char Char Char Char,Comment Text Char Char1 Char Char,Comment Text Char Char Char,Car17 Char,Car17 Car Char,Char Char"/>
    <w:basedOn w:val="DefaultParagraphFont"/>
    <w:link w:val="CommentText"/>
    <w:uiPriority w:val="99"/>
    <w:rsid w:val="001A3992"/>
    <w:rPr>
      <w:rFonts w:ascii="Cambria" w:hAnsi="Cambria"/>
      <w:sz w:val="20"/>
      <w:szCs w:val="20"/>
    </w:rPr>
  </w:style>
  <w:style w:type="paragraph" w:styleId="FootnoteText">
    <w:name w:val="footnote text"/>
    <w:aliases w:val="wcp_Footnote"/>
    <w:basedOn w:val="Normal"/>
    <w:link w:val="FootnoteTextChar"/>
    <w:rsid w:val="00F77B7A"/>
    <w:pPr>
      <w:spacing w:before="20"/>
      <w:ind w:left="113" w:hanging="113"/>
    </w:pPr>
    <w:rPr>
      <w:sz w:val="22"/>
      <w:szCs w:val="20"/>
    </w:rPr>
  </w:style>
  <w:style w:type="character" w:customStyle="1" w:styleId="FootnoteTextChar">
    <w:name w:val="Footnote Text Char"/>
    <w:aliases w:val="wcp_Footnote Char"/>
    <w:basedOn w:val="DefaultParagraphFont"/>
    <w:link w:val="FootnoteText"/>
    <w:uiPriority w:val="99"/>
    <w:rsid w:val="001A3992"/>
    <w:rPr>
      <w:rFonts w:ascii="Times New Roman" w:eastAsia="MS Mincho" w:hAnsi="Times New Roman" w:cs="Times New Roman"/>
      <w:color w:val="000000"/>
      <w:szCs w:val="20"/>
      <w:lang w:val="en-US"/>
    </w:rPr>
  </w:style>
  <w:style w:type="character" w:styleId="FootnoteReference">
    <w:name w:val="footnote reference"/>
    <w:aliases w:val="wcpc_FootnoteMark"/>
    <w:rsid w:val="00F77B7A"/>
    <w:rPr>
      <w:rFonts w:ascii="Times New Roman" w:eastAsia="MS Mincho" w:hAnsi="Times New Roman"/>
      <w:color w:val="0000FF"/>
      <w:sz w:val="18"/>
      <w:vertAlign w:val="superscript"/>
    </w:rPr>
  </w:style>
  <w:style w:type="paragraph" w:styleId="ListBullet">
    <w:name w:val="List Bullet"/>
    <w:aliases w:val="wcp_ListBulleted1,List dot_point"/>
    <w:basedOn w:val="Normal"/>
    <w:link w:val="ListBulletChar"/>
    <w:rsid w:val="00F77B7A"/>
    <w:pPr>
      <w:numPr>
        <w:numId w:val="4"/>
      </w:numPr>
    </w:pPr>
  </w:style>
  <w:style w:type="character" w:styleId="Hyperlink">
    <w:name w:val="Hyperlink"/>
    <w:uiPriority w:val="99"/>
    <w:rsid w:val="00F77B7A"/>
    <w:rPr>
      <w:color w:val="0000FF"/>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link w:val="FooterChar"/>
    <w:rsid w:val="00F77B7A"/>
    <w:pPr>
      <w:tabs>
        <w:tab w:val="right" w:pos="9469"/>
      </w:tabs>
      <w:spacing w:after="0" w:line="240" w:lineRule="auto"/>
    </w:pPr>
    <w:rPr>
      <w:rFonts w:ascii="Arial" w:eastAsia="MS Gothic" w:hAnsi="Arial" w:cs="Times New Roman"/>
      <w:sz w:val="18"/>
      <w:szCs w:val="20"/>
      <w:lang w:val="en-US"/>
    </w:rPr>
  </w:style>
  <w:style w:type="character" w:customStyle="1" w:styleId="FooterChar">
    <w:name w:val="Footer Char"/>
    <w:basedOn w:val="DefaultParagraphFont"/>
    <w:link w:val="Footer"/>
    <w:rsid w:val="001A3992"/>
    <w:rPr>
      <w:rFonts w:ascii="Arial" w:eastAsia="MS Gothic" w:hAnsi="Arial" w:cs="Times New Roman"/>
      <w:sz w:val="18"/>
      <w:szCs w:val="20"/>
      <w:lang w:val="en-US"/>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link w:val="HeaderChar"/>
    <w:uiPriority w:val="99"/>
    <w:rsid w:val="00F77B7A"/>
    <w:pPr>
      <w:tabs>
        <w:tab w:val="left" w:pos="4536"/>
        <w:tab w:val="right" w:pos="9480"/>
      </w:tabs>
      <w:spacing w:after="0" w:line="240" w:lineRule="auto"/>
    </w:pPr>
    <w:rPr>
      <w:rFonts w:ascii="Arial" w:eastAsia="MS Gothic" w:hAnsi="Arial" w:cs="Times New Roman"/>
      <w:sz w:val="18"/>
      <w:szCs w:val="20"/>
      <w:lang w:val="en-US"/>
    </w:rPr>
  </w:style>
  <w:style w:type="character" w:customStyle="1" w:styleId="HeaderChar">
    <w:name w:val="Header Char"/>
    <w:basedOn w:val="DefaultParagraphFont"/>
    <w:link w:val="Header"/>
    <w:uiPriority w:val="99"/>
    <w:rsid w:val="00CA6CCF"/>
    <w:rPr>
      <w:rFonts w:ascii="Arial" w:eastAsia="MS Gothic" w:hAnsi="Arial" w:cs="Times New Roman"/>
      <w:sz w:val="18"/>
      <w:szCs w:val="20"/>
      <w:lang w:val="en-US"/>
    </w:rPr>
  </w:style>
  <w:style w:type="paragraph" w:customStyle="1" w:styleId="wcpTableContent">
    <w:name w:val="wcp_TableContent"/>
    <w:basedOn w:val="Normal"/>
    <w:link w:val="wcpTableContentChar"/>
    <w:rsid w:val="00C301BA"/>
    <w:pPr>
      <w:spacing w:before="40" w:after="40"/>
    </w:pPr>
    <w:rPr>
      <w:rFonts w:eastAsia="Times New Roman"/>
      <w:szCs w:val="20"/>
    </w:rPr>
  </w:style>
  <w:style w:type="paragraph" w:styleId="BodyTextIndent2">
    <w:name w:val="Body Text Indent 2"/>
    <w:basedOn w:val="Normal"/>
    <w:link w:val="BodyTextIndent2Char"/>
    <w:rsid w:val="000E1A58"/>
    <w:pPr>
      <w:ind w:left="567"/>
      <w:jc w:val="both"/>
    </w:pPr>
    <w:rPr>
      <w:rFonts w:ascii="Arial" w:eastAsia="Times New Roman" w:hAnsi="Arial"/>
      <w:szCs w:val="20"/>
      <w:lang w:val="en-GB"/>
    </w:rPr>
  </w:style>
  <w:style w:type="character" w:customStyle="1" w:styleId="BodyTextIndent2Char">
    <w:name w:val="Body Text Indent 2 Char"/>
    <w:basedOn w:val="DefaultParagraphFont"/>
    <w:link w:val="BodyTextIndent2"/>
    <w:rsid w:val="000E1A58"/>
    <w:rPr>
      <w:rFonts w:ascii="Arial" w:eastAsia="Times New Roman" w:hAnsi="Arial" w:cs="Times New Roman"/>
      <w:sz w:val="24"/>
      <w:szCs w:val="20"/>
      <w:lang w:val="en-GB"/>
    </w:rPr>
  </w:style>
  <w:style w:type="paragraph" w:styleId="BodyText">
    <w:name w:val="Body Text"/>
    <w:basedOn w:val="Normal"/>
    <w:link w:val="BodyTextChar"/>
    <w:unhideWhenUsed/>
    <w:rsid w:val="000E1A58"/>
    <w:pPr>
      <w:spacing w:after="120"/>
    </w:pPr>
  </w:style>
  <w:style w:type="character" w:customStyle="1" w:styleId="BodyTextChar">
    <w:name w:val="Body Text Char"/>
    <w:basedOn w:val="DefaultParagraphFont"/>
    <w:link w:val="BodyText"/>
    <w:rsid w:val="000E1A58"/>
  </w:style>
  <w:style w:type="paragraph" w:styleId="BodyText3">
    <w:name w:val="Body Text 3"/>
    <w:basedOn w:val="Normal"/>
    <w:link w:val="BodyText3Char"/>
    <w:unhideWhenUsed/>
    <w:rsid w:val="00514ED3"/>
    <w:pPr>
      <w:spacing w:after="120"/>
    </w:pPr>
    <w:rPr>
      <w:sz w:val="16"/>
      <w:szCs w:val="16"/>
    </w:rPr>
  </w:style>
  <w:style w:type="character" w:customStyle="1" w:styleId="BodyText3Char">
    <w:name w:val="Body Text 3 Char"/>
    <w:basedOn w:val="DefaultParagraphFont"/>
    <w:link w:val="BodyText3"/>
    <w:rsid w:val="00514ED3"/>
    <w:rPr>
      <w:sz w:val="16"/>
      <w:szCs w:val="16"/>
    </w:rPr>
  </w:style>
  <w:style w:type="paragraph" w:customStyle="1" w:styleId="Heading1NoTOC">
    <w:name w:val="Heading 1 NoTOC"/>
    <w:basedOn w:val="Heading1"/>
    <w:rsid w:val="00F77B7A"/>
    <w:pPr>
      <w:numPr>
        <w:numId w:val="0"/>
      </w:numPr>
      <w:outlineLvl w:val="9"/>
    </w:pPr>
  </w:style>
  <w:style w:type="paragraph" w:styleId="Title">
    <w:name w:val="Title"/>
    <w:next w:val="Normal"/>
    <w:link w:val="TitleChar"/>
    <w:uiPriority w:val="10"/>
    <w:qFormat/>
    <w:rsid w:val="00F77B7A"/>
    <w:pPr>
      <w:keepNext/>
      <w:spacing w:before="600" w:after="480" w:line="240" w:lineRule="auto"/>
      <w:jc w:val="center"/>
      <w:outlineLvl w:val="0"/>
    </w:pPr>
    <w:rPr>
      <w:rFonts w:ascii="Arial" w:eastAsia="MS Gothic" w:hAnsi="Arial" w:cs="Arial"/>
      <w:b/>
      <w:bCs/>
      <w:caps/>
      <w:szCs w:val="32"/>
      <w:lang w:val="en-US"/>
    </w:rPr>
  </w:style>
  <w:style w:type="character" w:customStyle="1" w:styleId="TitleChar">
    <w:name w:val="Title Char"/>
    <w:basedOn w:val="DefaultParagraphFont"/>
    <w:link w:val="Title"/>
    <w:uiPriority w:val="10"/>
    <w:rsid w:val="00C971E9"/>
    <w:rPr>
      <w:rFonts w:ascii="Arial" w:eastAsia="MS Gothic" w:hAnsi="Arial" w:cs="Arial"/>
      <w:b/>
      <w:bCs/>
      <w:caps/>
      <w:szCs w:val="32"/>
      <w:lang w:val="en-US"/>
    </w:rPr>
  </w:style>
  <w:style w:type="paragraph" w:customStyle="1" w:styleId="TitleNoToc">
    <w:name w:val="Title NoToc"/>
    <w:basedOn w:val="Title"/>
    <w:next w:val="Normal"/>
    <w:rsid w:val="00F77B7A"/>
    <w:pPr>
      <w:outlineLvl w:val="9"/>
    </w:pPr>
  </w:style>
  <w:style w:type="character" w:customStyle="1" w:styleId="InstructionsTextChar">
    <w:name w:val="Instructions Text Char"/>
    <w:link w:val="InstructionsText"/>
    <w:rsid w:val="00F77B7A"/>
    <w:rPr>
      <w:rFonts w:eastAsia="MS Mincho"/>
      <w:color w:val="000000"/>
      <w:sz w:val="24"/>
      <w:szCs w:val="24"/>
      <w:shd w:val="clear" w:color="auto" w:fill="FFCC66"/>
      <w:lang w:val="en-US"/>
    </w:rPr>
  </w:style>
  <w:style w:type="paragraph" w:customStyle="1" w:styleId="ListNumbered">
    <w:name w:val="List Numbered"/>
    <w:basedOn w:val="Normal"/>
    <w:rsid w:val="00F77B7A"/>
    <w:pPr>
      <w:numPr>
        <w:numId w:val="2"/>
      </w:numPr>
      <w:spacing w:before="120"/>
    </w:pPr>
  </w:style>
  <w:style w:type="paragraph" w:customStyle="1" w:styleId="ListBulletLevel1">
    <w:name w:val="List Bullet Level 1"/>
    <w:basedOn w:val="Normal"/>
    <w:rsid w:val="00F77B7A"/>
    <w:pPr>
      <w:numPr>
        <w:numId w:val="8"/>
      </w:numPr>
      <w:spacing w:before="120"/>
    </w:pPr>
  </w:style>
  <w:style w:type="paragraph" w:customStyle="1" w:styleId="ListAlphabeticalLevel1">
    <w:name w:val="List Alphabetical Level 1"/>
    <w:basedOn w:val="Normal"/>
    <w:rsid w:val="00F77B7A"/>
    <w:pPr>
      <w:spacing w:before="120"/>
    </w:pPr>
  </w:style>
  <w:style w:type="paragraph" w:styleId="Bibliography">
    <w:name w:val="Bibliography"/>
    <w:basedOn w:val="Normal"/>
    <w:next w:val="Normal"/>
    <w:rsid w:val="00F77B7A"/>
    <w:pPr>
      <w:ind w:left="357" w:hanging="357"/>
    </w:pPr>
  </w:style>
  <w:style w:type="paragraph" w:customStyle="1" w:styleId="ListBulletLevel2">
    <w:name w:val="List Bullet Level 2"/>
    <w:basedOn w:val="Normal"/>
    <w:rsid w:val="00F77B7A"/>
    <w:pPr>
      <w:numPr>
        <w:numId w:val="5"/>
      </w:numPr>
      <w:spacing w:before="120"/>
    </w:pPr>
    <w:rPr>
      <w:szCs w:val="20"/>
    </w:rPr>
  </w:style>
  <w:style w:type="paragraph" w:styleId="Caption">
    <w:name w:val="caption"/>
    <w:aliases w:val="wcp_Caption,Légende_Legend,Legend_Légende,Legend"/>
    <w:next w:val="Normal"/>
    <w:link w:val="CaptionChar"/>
    <w:qFormat/>
    <w:rsid w:val="00F77B7A"/>
    <w:pPr>
      <w:keepNext/>
      <w:spacing w:before="360" w:after="120" w:line="240" w:lineRule="auto"/>
      <w:jc w:val="center"/>
    </w:pPr>
    <w:rPr>
      <w:rFonts w:ascii="Arial" w:eastAsia="MS Gothic" w:hAnsi="Arial" w:cs="Arial"/>
      <w:b/>
      <w:bCs/>
      <w:sz w:val="20"/>
      <w:szCs w:val="20"/>
      <w:lang w:val="en-US"/>
    </w:rPr>
  </w:style>
  <w:style w:type="paragraph" w:customStyle="1" w:styleId="InstructionsText">
    <w:name w:val="Instructions Text"/>
    <w:basedOn w:val="Normal"/>
    <w:next w:val="Normal"/>
    <w:link w:val="InstructionsTextChar"/>
    <w:rsid w:val="00F77B7A"/>
    <w:pPr>
      <w:shd w:val="clear" w:color="auto" w:fill="FFCC66"/>
      <w:spacing w:before="40" w:after="40"/>
    </w:pPr>
    <w:rPr>
      <w:rFonts w:asciiTheme="minorHAnsi" w:hAnsiTheme="minorHAnsi" w:cstheme="minorBidi"/>
    </w:rPr>
  </w:style>
  <w:style w:type="paragraph" w:customStyle="1" w:styleId="Heading1NoNumbering">
    <w:name w:val="Heading 1 NoNumbering"/>
    <w:basedOn w:val="Heading1"/>
    <w:next w:val="Normal"/>
    <w:rsid w:val="00F77B7A"/>
    <w:pPr>
      <w:numPr>
        <w:numId w:val="7"/>
      </w:numPr>
    </w:pPr>
  </w:style>
  <w:style w:type="paragraph" w:customStyle="1" w:styleId="TblTextCenter">
    <w:name w:val="Tbl Text Center"/>
    <w:basedOn w:val="TblTextLeft"/>
    <w:rsid w:val="00F77B7A"/>
    <w:pPr>
      <w:jc w:val="center"/>
    </w:pPr>
  </w:style>
  <w:style w:type="paragraph" w:customStyle="1" w:styleId="TblTextLeft">
    <w:name w:val="Tbl Text Left"/>
    <w:rsid w:val="00F77B7A"/>
    <w:pPr>
      <w:spacing w:before="60" w:after="60" w:line="240" w:lineRule="auto"/>
    </w:pPr>
    <w:rPr>
      <w:rFonts w:ascii="Arial Narrow" w:eastAsia="MS Gothic" w:hAnsi="Arial Narrow" w:cs="Times New Roman"/>
      <w:sz w:val="20"/>
      <w:szCs w:val="20"/>
      <w:lang w:val="en-US"/>
    </w:rPr>
  </w:style>
  <w:style w:type="paragraph" w:customStyle="1" w:styleId="TblHeadingLeft">
    <w:name w:val="Tbl Heading Left"/>
    <w:rsid w:val="00F77B7A"/>
    <w:pPr>
      <w:spacing w:before="60" w:after="60" w:line="240" w:lineRule="auto"/>
    </w:pPr>
    <w:rPr>
      <w:rFonts w:ascii="Arial" w:eastAsia="MS Gothic" w:hAnsi="Arial" w:cs="Arial"/>
      <w:b/>
      <w:noProof/>
      <w:sz w:val="20"/>
      <w:szCs w:val="20"/>
      <w:lang w:val="de-DE"/>
    </w:rPr>
  </w:style>
  <w:style w:type="paragraph" w:customStyle="1" w:styleId="TblFigFootnote">
    <w:name w:val="Tbl Fig Footnote"/>
    <w:rsid w:val="00F77B7A"/>
    <w:pPr>
      <w:keepLines/>
      <w:adjustRightInd w:val="0"/>
      <w:snapToGrid w:val="0"/>
      <w:spacing w:before="20" w:after="20" w:line="240" w:lineRule="auto"/>
    </w:pPr>
    <w:rPr>
      <w:rFonts w:ascii="Arial Narrow" w:eastAsia="MS Gothic" w:hAnsi="Arial Narrow" w:cs="Times New Roman"/>
      <w:sz w:val="18"/>
      <w:szCs w:val="20"/>
      <w:lang w:val="en-US"/>
    </w:rPr>
  </w:style>
  <w:style w:type="paragraph" w:customStyle="1" w:styleId="TblHeadingCenter">
    <w:name w:val="Tbl Heading Center"/>
    <w:basedOn w:val="TblHeadingLeft"/>
    <w:rsid w:val="00F77B7A"/>
    <w:pPr>
      <w:jc w:val="center"/>
    </w:pPr>
  </w:style>
  <w:style w:type="paragraph" w:customStyle="1" w:styleId="HeaderLandscape">
    <w:name w:val="Header Landscape"/>
    <w:basedOn w:val="Header"/>
    <w:rsid w:val="00F77B7A"/>
    <w:pPr>
      <w:tabs>
        <w:tab w:val="clear" w:pos="4536"/>
        <w:tab w:val="clear" w:pos="9480"/>
        <w:tab w:val="left" w:pos="6804"/>
        <w:tab w:val="right" w:pos="14118"/>
      </w:tabs>
    </w:pPr>
  </w:style>
  <w:style w:type="paragraph" w:customStyle="1" w:styleId="FooterLandscape">
    <w:name w:val="Footer Landscape"/>
    <w:basedOn w:val="Footer"/>
    <w:rsid w:val="00F77B7A"/>
    <w:pPr>
      <w:tabs>
        <w:tab w:val="clear" w:pos="9469"/>
        <w:tab w:val="right" w:pos="14118"/>
      </w:tabs>
    </w:pPr>
  </w:style>
  <w:style w:type="character" w:customStyle="1" w:styleId="TblFigFootnoteReference">
    <w:name w:val="Tbl Fig Footnote Reference"/>
    <w:rsid w:val="00F77B7A"/>
    <w:rPr>
      <w:rFonts w:ascii="Arial Narrow" w:eastAsia="MS Gothic" w:hAnsi="Arial Narrow"/>
      <w:i/>
      <w:dstrike w:val="0"/>
      <w:noProof w:val="0"/>
      <w:position w:val="6"/>
      <w:sz w:val="18"/>
      <w:vertAlign w:val="baseline"/>
      <w:lang w:val="en-US"/>
    </w:rPr>
  </w:style>
  <w:style w:type="paragraph" w:customStyle="1" w:styleId="xCover">
    <w:name w:val="xCover"/>
    <w:rsid w:val="00F77B7A"/>
    <w:pPr>
      <w:spacing w:before="120" w:after="0" w:line="240" w:lineRule="auto"/>
    </w:pPr>
    <w:rPr>
      <w:rFonts w:ascii="Arial" w:eastAsia="MS Gothic" w:hAnsi="Arial" w:cs="Times New Roman"/>
      <w:sz w:val="20"/>
      <w:szCs w:val="20"/>
      <w:lang w:val="en-US"/>
    </w:rPr>
  </w:style>
  <w:style w:type="paragraph" w:customStyle="1" w:styleId="xCoverAddress">
    <w:name w:val="xCoverAddress"/>
    <w:basedOn w:val="xCover"/>
    <w:rsid w:val="00F77B7A"/>
    <w:pPr>
      <w:spacing w:before="0"/>
    </w:pPr>
  </w:style>
  <w:style w:type="paragraph" w:customStyle="1" w:styleId="xCoverDocType">
    <w:name w:val="xCoverDocType"/>
    <w:basedOn w:val="xCover"/>
    <w:rsid w:val="00F77B7A"/>
    <w:pPr>
      <w:spacing w:before="360"/>
      <w:jc w:val="center"/>
    </w:pPr>
    <w:rPr>
      <w:b/>
      <w:caps/>
      <w:sz w:val="28"/>
    </w:rPr>
  </w:style>
  <w:style w:type="paragraph" w:customStyle="1" w:styleId="xCoverDocTitle">
    <w:name w:val="xCoverDocTitle"/>
    <w:basedOn w:val="xCover"/>
    <w:rsid w:val="00F77B7A"/>
    <w:pPr>
      <w:spacing w:before="240"/>
      <w:jc w:val="center"/>
    </w:pPr>
    <w:rPr>
      <w:b/>
      <w:sz w:val="24"/>
    </w:rPr>
  </w:style>
  <w:style w:type="paragraph" w:styleId="EndnoteText">
    <w:name w:val="endnote text"/>
    <w:basedOn w:val="Normal"/>
    <w:link w:val="EndnoteTextChar"/>
    <w:uiPriority w:val="99"/>
    <w:semiHidden/>
    <w:rsid w:val="00F77B7A"/>
    <w:rPr>
      <w:sz w:val="22"/>
      <w:szCs w:val="20"/>
    </w:rPr>
  </w:style>
  <w:style w:type="character" w:customStyle="1" w:styleId="EndnoteTextChar">
    <w:name w:val="Endnote Text Char"/>
    <w:basedOn w:val="DefaultParagraphFont"/>
    <w:link w:val="EndnoteText"/>
    <w:uiPriority w:val="99"/>
    <w:semiHidden/>
    <w:rsid w:val="00C971E9"/>
    <w:rPr>
      <w:rFonts w:ascii="Times New Roman" w:eastAsia="MS Mincho" w:hAnsi="Times New Roman" w:cs="Times New Roman"/>
      <w:color w:val="000000"/>
      <w:szCs w:val="20"/>
      <w:lang w:val="en-US"/>
    </w:rPr>
  </w:style>
  <w:style w:type="character" w:styleId="EndnoteReference">
    <w:name w:val="endnote reference"/>
    <w:aliases w:val="wcpc_EndnoteMark,Ref CAll_Appel Ref"/>
    <w:semiHidden/>
    <w:rsid w:val="00F77B7A"/>
    <w:rPr>
      <w:vertAlign w:val="superscript"/>
    </w:rPr>
  </w:style>
  <w:style w:type="paragraph" w:styleId="MacroText">
    <w:name w:val="macro"/>
    <w:link w:val="MacroTextChar"/>
    <w:semiHidden/>
    <w:rsid w:val="00F77B7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C971E9"/>
    <w:rPr>
      <w:rFonts w:ascii="Courier New" w:eastAsia="Times New Roman" w:hAnsi="Courier New" w:cs="Times New Roman"/>
      <w:sz w:val="20"/>
      <w:szCs w:val="20"/>
      <w:lang w:val="en-US"/>
    </w:rPr>
  </w:style>
  <w:style w:type="paragraph" w:styleId="TableofFigures">
    <w:name w:val="table of figures"/>
    <w:next w:val="Normal"/>
    <w:semiHidden/>
    <w:rsid w:val="00F77B7A"/>
    <w:pPr>
      <w:tabs>
        <w:tab w:val="right" w:leader="dot" w:pos="9468"/>
      </w:tabs>
      <w:spacing w:before="120" w:after="0" w:line="240" w:lineRule="auto"/>
    </w:pPr>
    <w:rPr>
      <w:rFonts w:ascii="Arial" w:eastAsia="Times New Roman" w:hAnsi="Arial" w:cs="Times New Roman"/>
      <w:sz w:val="20"/>
      <w:szCs w:val="20"/>
      <w:lang w:val="en-US"/>
    </w:rPr>
  </w:style>
  <w:style w:type="paragraph" w:styleId="TableofAuthorities">
    <w:name w:val="table of authorities"/>
    <w:basedOn w:val="Normal"/>
    <w:next w:val="Normal"/>
    <w:semiHidden/>
    <w:rsid w:val="00F77B7A"/>
    <w:pPr>
      <w:ind w:left="240" w:hanging="240"/>
    </w:pPr>
  </w:style>
  <w:style w:type="character" w:customStyle="1" w:styleId="ReplaceText">
    <w:name w:val="Replace Text"/>
    <w:rsid w:val="00F77B7A"/>
    <w:rPr>
      <w:color w:val="FF00FF"/>
    </w:rPr>
  </w:style>
  <w:style w:type="paragraph" w:styleId="TOC1">
    <w:name w:val="toc 1"/>
    <w:next w:val="Normal"/>
    <w:uiPriority w:val="39"/>
    <w:rsid w:val="00F77B7A"/>
    <w:pPr>
      <w:tabs>
        <w:tab w:val="right" w:leader="dot" w:pos="9468"/>
      </w:tabs>
      <w:spacing w:before="240" w:after="0" w:line="240" w:lineRule="auto"/>
      <w:ind w:left="851" w:right="567" w:hanging="851"/>
    </w:pPr>
    <w:rPr>
      <w:rFonts w:ascii="Arial" w:eastAsia="Times New Roman" w:hAnsi="Arial" w:cs="Times New Roman"/>
      <w:b/>
      <w:caps/>
      <w:sz w:val="20"/>
      <w:szCs w:val="20"/>
      <w:lang w:val="en-US"/>
    </w:rPr>
  </w:style>
  <w:style w:type="paragraph" w:customStyle="1" w:styleId="ListAlphabeticalLevel2">
    <w:name w:val="List Alphabetical Level 2"/>
    <w:basedOn w:val="ListNumbered"/>
    <w:rsid w:val="00F77B7A"/>
    <w:pPr>
      <w:numPr>
        <w:numId w:val="3"/>
      </w:numPr>
    </w:pPr>
  </w:style>
  <w:style w:type="paragraph" w:styleId="Index1">
    <w:name w:val="index 1"/>
    <w:basedOn w:val="Normal"/>
    <w:next w:val="Normal"/>
    <w:semiHidden/>
    <w:rsid w:val="00F77B7A"/>
    <w:pPr>
      <w:tabs>
        <w:tab w:val="left" w:pos="1701"/>
        <w:tab w:val="left" w:pos="3402"/>
        <w:tab w:val="left" w:pos="5103"/>
      </w:tabs>
      <w:spacing w:before="0"/>
      <w:ind w:left="1701" w:hanging="1701"/>
    </w:pPr>
  </w:style>
  <w:style w:type="paragraph" w:styleId="TOAHeading">
    <w:name w:val="toa heading"/>
    <w:basedOn w:val="Normal"/>
    <w:next w:val="Normal"/>
    <w:semiHidden/>
    <w:rsid w:val="00F77B7A"/>
    <w:pPr>
      <w:spacing w:before="120"/>
    </w:pPr>
    <w:rPr>
      <w:rFonts w:ascii="Arial" w:hAnsi="Arial" w:cs="Arial"/>
      <w:b/>
      <w:bCs/>
    </w:rPr>
  </w:style>
  <w:style w:type="character" w:customStyle="1" w:styleId="Reference">
    <w:name w:val="Reference"/>
    <w:rsid w:val="00F77B7A"/>
    <w:rPr>
      <w:color w:val="0000FF"/>
    </w:rPr>
  </w:style>
  <w:style w:type="paragraph" w:customStyle="1" w:styleId="TblTextbulletedlist">
    <w:name w:val="Tbl Text bulleted list"/>
    <w:basedOn w:val="TblTextLeft"/>
    <w:rsid w:val="00F77B7A"/>
    <w:pPr>
      <w:numPr>
        <w:numId w:val="6"/>
      </w:numPr>
      <w:tabs>
        <w:tab w:val="left" w:pos="216"/>
      </w:tabs>
      <w:spacing w:before="0" w:after="0"/>
      <w:ind w:left="216" w:hanging="216"/>
    </w:pPr>
  </w:style>
  <w:style w:type="paragraph" w:styleId="TOC2">
    <w:name w:val="toc 2"/>
    <w:basedOn w:val="TOC1"/>
    <w:next w:val="Normal"/>
    <w:semiHidden/>
    <w:rsid w:val="00F77B7A"/>
    <w:rPr>
      <w:b w:val="0"/>
    </w:rPr>
  </w:style>
  <w:style w:type="character" w:styleId="PageNumber">
    <w:name w:val="page number"/>
    <w:basedOn w:val="DefaultParagraphFont"/>
    <w:rsid w:val="00F77B7A"/>
  </w:style>
  <w:style w:type="paragraph" w:styleId="TOC3">
    <w:name w:val="toc 3"/>
    <w:basedOn w:val="TOC1"/>
    <w:next w:val="Normal"/>
    <w:semiHidden/>
    <w:rsid w:val="00F77B7A"/>
    <w:pPr>
      <w:spacing w:before="120"/>
    </w:pPr>
    <w:rPr>
      <w:b w:val="0"/>
      <w:caps w:val="0"/>
    </w:rPr>
  </w:style>
  <w:style w:type="paragraph" w:styleId="TOC4">
    <w:name w:val="toc 4"/>
    <w:basedOn w:val="TOC1"/>
    <w:next w:val="Normal"/>
    <w:semiHidden/>
    <w:rsid w:val="00F77B7A"/>
    <w:pPr>
      <w:spacing w:before="40"/>
    </w:pPr>
    <w:rPr>
      <w:b w:val="0"/>
      <w:caps w:val="0"/>
      <w:szCs w:val="22"/>
    </w:rPr>
  </w:style>
  <w:style w:type="paragraph" w:styleId="TOC5">
    <w:name w:val="toc 5"/>
    <w:basedOn w:val="TOC1"/>
    <w:next w:val="Normal"/>
    <w:semiHidden/>
    <w:rsid w:val="00F77B7A"/>
    <w:pPr>
      <w:spacing w:before="0"/>
    </w:pPr>
    <w:rPr>
      <w:b w:val="0"/>
      <w:caps w:val="0"/>
    </w:rPr>
  </w:style>
  <w:style w:type="paragraph" w:styleId="TOC6">
    <w:name w:val="toc 6"/>
    <w:basedOn w:val="TOC1"/>
    <w:next w:val="Normal"/>
    <w:semiHidden/>
    <w:rsid w:val="00F77B7A"/>
    <w:pPr>
      <w:spacing w:before="0"/>
    </w:pPr>
    <w:rPr>
      <w:b w:val="0"/>
      <w:caps w:val="0"/>
    </w:rPr>
  </w:style>
  <w:style w:type="paragraph" w:styleId="TOC7">
    <w:name w:val="toc 7"/>
    <w:basedOn w:val="TOC6"/>
    <w:next w:val="Normal"/>
    <w:semiHidden/>
    <w:rsid w:val="00F77B7A"/>
  </w:style>
  <w:style w:type="paragraph" w:styleId="TOC8">
    <w:name w:val="toc 8"/>
    <w:basedOn w:val="TOC6"/>
    <w:next w:val="Normal"/>
    <w:semiHidden/>
    <w:rsid w:val="00F77B7A"/>
  </w:style>
  <w:style w:type="paragraph" w:styleId="TOC9">
    <w:name w:val="toc 9"/>
    <w:basedOn w:val="TOC6"/>
    <w:next w:val="Normal"/>
    <w:semiHidden/>
    <w:rsid w:val="00F77B7A"/>
  </w:style>
  <w:style w:type="character" w:customStyle="1" w:styleId="TblFigFootnoteChar">
    <w:name w:val="Tbl Fig Footnote Char"/>
    <w:rsid w:val="00F77B7A"/>
    <w:rPr>
      <w:rFonts w:ascii="Arial Narrow" w:eastAsia="MS Gothic" w:hAnsi="Arial Narrow"/>
      <w:sz w:val="18"/>
      <w:lang w:val="en-US" w:eastAsia="en-US" w:bidi="ar-SA"/>
    </w:rPr>
  </w:style>
  <w:style w:type="character" w:styleId="FollowedHyperlink">
    <w:name w:val="FollowedHyperlink"/>
    <w:uiPriority w:val="99"/>
    <w:rsid w:val="00F77B7A"/>
    <w:rPr>
      <w:color w:val="800080"/>
      <w:u w:val="single"/>
    </w:rPr>
  </w:style>
  <w:style w:type="paragraph" w:styleId="BodyText2">
    <w:name w:val="Body Text 2"/>
    <w:basedOn w:val="Normal"/>
    <w:link w:val="BodyText2Char"/>
    <w:unhideWhenUsed/>
    <w:rsid w:val="00BC364A"/>
    <w:pPr>
      <w:spacing w:after="120" w:line="480" w:lineRule="auto"/>
    </w:pPr>
  </w:style>
  <w:style w:type="character" w:customStyle="1" w:styleId="BodyText2Char">
    <w:name w:val="Body Text 2 Char"/>
    <w:basedOn w:val="DefaultParagraphFont"/>
    <w:link w:val="BodyText2"/>
    <w:rsid w:val="00BC364A"/>
    <w:rPr>
      <w:rFonts w:ascii="Times New Roman" w:eastAsia="MS Mincho" w:hAnsi="Times New Roman" w:cs="Times New Roman"/>
      <w:color w:val="000000"/>
      <w:sz w:val="24"/>
      <w:szCs w:val="24"/>
      <w:lang w:val="en-US"/>
    </w:rPr>
  </w:style>
  <w:style w:type="paragraph" w:customStyle="1" w:styleId="wcpTableColHeader">
    <w:name w:val="wcp_TableColHeader"/>
    <w:basedOn w:val="Normal"/>
    <w:rsid w:val="000911AA"/>
    <w:pPr>
      <w:keepNext/>
      <w:spacing w:before="120" w:after="120"/>
      <w:jc w:val="center"/>
    </w:pPr>
    <w:rPr>
      <w:rFonts w:eastAsia="Times New Roman"/>
      <w:b/>
      <w:color w:val="auto"/>
      <w:sz w:val="22"/>
      <w:szCs w:val="20"/>
    </w:rPr>
  </w:style>
  <w:style w:type="character" w:customStyle="1" w:styleId="apple-converted-space">
    <w:name w:val="apple-converted-space"/>
    <w:basedOn w:val="DefaultParagraphFont"/>
    <w:rsid w:val="00CA73C2"/>
  </w:style>
  <w:style w:type="paragraph" w:customStyle="1" w:styleId="00-Paragraph">
    <w:name w:val="00-Paragraph"/>
    <w:basedOn w:val="Normal"/>
    <w:uiPriority w:val="99"/>
    <w:qFormat/>
    <w:rsid w:val="00420CC8"/>
    <w:pPr>
      <w:spacing w:before="120" w:after="120"/>
    </w:pPr>
    <w:rPr>
      <w:color w:val="auto"/>
      <w:sz w:val="22"/>
    </w:rPr>
  </w:style>
  <w:style w:type="paragraph" w:customStyle="1" w:styleId="FPIparagraph">
    <w:name w:val="FPI paragraph"/>
    <w:basedOn w:val="Normal"/>
    <w:link w:val="FPIparagraphChar"/>
    <w:qFormat/>
    <w:rsid w:val="00420CC8"/>
    <w:pPr>
      <w:spacing w:before="120" w:after="120"/>
    </w:pPr>
    <w:rPr>
      <w:color w:val="auto"/>
      <w:lang w:eastAsia="ja-JP"/>
    </w:rPr>
  </w:style>
  <w:style w:type="character" w:customStyle="1" w:styleId="FPIparagraphChar">
    <w:name w:val="FPI paragraph Char"/>
    <w:link w:val="FPIparagraph"/>
    <w:rsid w:val="00420CC8"/>
    <w:rPr>
      <w:rFonts w:ascii="Times New Roman" w:eastAsia="MS Mincho" w:hAnsi="Times New Roman" w:cs="Times New Roman"/>
      <w:sz w:val="24"/>
      <w:szCs w:val="24"/>
      <w:lang w:val="en-US" w:eastAsia="ja-JP"/>
    </w:rPr>
  </w:style>
  <w:style w:type="character" w:customStyle="1" w:styleId="endnoterefe">
    <w:name w:val="endnote refe"/>
    <w:rsid w:val="00420CC8"/>
  </w:style>
  <w:style w:type="paragraph" w:styleId="CommentSubject">
    <w:name w:val="annotation subject"/>
    <w:basedOn w:val="CommentText"/>
    <w:next w:val="CommentText"/>
    <w:link w:val="CommentSubjectChar"/>
    <w:uiPriority w:val="99"/>
    <w:semiHidden/>
    <w:unhideWhenUsed/>
    <w:rsid w:val="00420CC8"/>
    <w:rPr>
      <w:rFonts w:ascii="Times New Roman" w:hAnsi="Times New Roman"/>
      <w:b/>
      <w:bCs/>
    </w:rPr>
  </w:style>
  <w:style w:type="character" w:customStyle="1" w:styleId="CommentSubjectChar">
    <w:name w:val="Comment Subject Char"/>
    <w:basedOn w:val="CommentTextChar"/>
    <w:link w:val="CommentSubject"/>
    <w:uiPriority w:val="99"/>
    <w:semiHidden/>
    <w:rsid w:val="00420CC8"/>
    <w:rPr>
      <w:rFonts w:ascii="Times New Roman" w:eastAsia="MS Mincho" w:hAnsi="Times New Roman" w:cs="Times New Roman"/>
      <w:b/>
      <w:bCs/>
      <w:color w:val="000000"/>
      <w:sz w:val="20"/>
      <w:szCs w:val="20"/>
      <w:lang w:val="en-US"/>
    </w:rPr>
  </w:style>
  <w:style w:type="character" w:customStyle="1" w:styleId="wcpchyperlink">
    <w:name w:val="wcpc_hyperlink"/>
    <w:rsid w:val="002D5128"/>
    <w:rPr>
      <w:rFonts w:ascii="Times New Roman" w:hAnsi="Times New Roman" w:cs="Times New Roman" w:hint="default"/>
      <w:color w:val="0000FF"/>
      <w:sz w:val="24"/>
      <w:bdr w:val="none" w:sz="0" w:space="0" w:color="auto" w:frame="1"/>
      <w:lang w:val="fr-FR"/>
    </w:rPr>
  </w:style>
  <w:style w:type="character" w:customStyle="1" w:styleId="CaptionChar">
    <w:name w:val="Caption Char"/>
    <w:aliases w:val="wcp_Caption Char,Légende_Legend Char,Legend_Légende Char,Legend Char"/>
    <w:link w:val="Caption"/>
    <w:locked/>
    <w:rsid w:val="002D5128"/>
    <w:rPr>
      <w:rFonts w:ascii="Arial" w:eastAsia="MS Gothic" w:hAnsi="Arial" w:cs="Arial"/>
      <w:b/>
      <w:bCs/>
      <w:sz w:val="20"/>
      <w:szCs w:val="20"/>
      <w:lang w:val="en-US"/>
    </w:rPr>
  </w:style>
  <w:style w:type="table" w:styleId="TableGrid">
    <w:name w:val="Table Grid"/>
    <w:basedOn w:val="TableNormal"/>
    <w:uiPriority w:val="59"/>
    <w:rsid w:val="00654C85"/>
    <w:pPr>
      <w:spacing w:before="24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
    <w:name w:val="Hidden"/>
    <w:basedOn w:val="Normal"/>
    <w:rsid w:val="00654C85"/>
    <w:pPr>
      <w:tabs>
        <w:tab w:val="left" w:pos="-720"/>
        <w:tab w:val="left" w:pos="0"/>
        <w:tab w:val="left" w:pos="720"/>
      </w:tabs>
      <w:suppressAutoHyphens/>
      <w:spacing w:before="0"/>
      <w:ind w:left="720"/>
    </w:pPr>
    <w:rPr>
      <w:rFonts w:ascii="Courier New" w:eastAsia="Times New Roman" w:hAnsi="Courier New"/>
      <w:vanish/>
      <w:color w:val="0000FF"/>
      <w:sz w:val="20"/>
      <w:szCs w:val="20"/>
      <w:lang w:val="en-GB"/>
    </w:rPr>
  </w:style>
  <w:style w:type="paragraph" w:styleId="DocumentMap">
    <w:name w:val="Document Map"/>
    <w:basedOn w:val="Normal"/>
    <w:link w:val="DocumentMapChar"/>
    <w:semiHidden/>
    <w:rsid w:val="00654C85"/>
    <w:pPr>
      <w:shd w:val="clear" w:color="auto" w:fill="000080"/>
      <w:spacing w:before="0"/>
    </w:pPr>
    <w:rPr>
      <w:rFonts w:ascii="Tahoma" w:hAnsi="Tahoma" w:cs="Tahoma"/>
      <w:sz w:val="20"/>
      <w:szCs w:val="20"/>
    </w:rPr>
  </w:style>
  <w:style w:type="character" w:customStyle="1" w:styleId="DocumentMapChar">
    <w:name w:val="Document Map Char"/>
    <w:basedOn w:val="DefaultParagraphFont"/>
    <w:link w:val="DocumentMap"/>
    <w:semiHidden/>
    <w:rsid w:val="00654C85"/>
    <w:rPr>
      <w:rFonts w:ascii="Tahoma" w:eastAsia="MS Mincho" w:hAnsi="Tahoma" w:cs="Tahoma"/>
      <w:color w:val="000000"/>
      <w:sz w:val="20"/>
      <w:szCs w:val="20"/>
      <w:shd w:val="clear" w:color="auto" w:fill="000080"/>
      <w:lang w:val="en-US"/>
    </w:rPr>
  </w:style>
  <w:style w:type="table" w:styleId="TableClassic2">
    <w:name w:val="Table Classic 2"/>
    <w:basedOn w:val="TableNormal"/>
    <w:rsid w:val="00654C85"/>
    <w:pPr>
      <w:spacing w:before="240"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blHeadingCenterCDS">
    <w:name w:val="Tbl Heading Center CDS"/>
    <w:basedOn w:val="TblHeadingLeft"/>
    <w:autoRedefine/>
    <w:rsid w:val="00654C85"/>
    <w:pPr>
      <w:jc w:val="center"/>
    </w:pPr>
    <w:rPr>
      <w:rFonts w:ascii="Times New Roman" w:hAnsi="Times New Roman"/>
      <w:color w:val="800000"/>
      <w:sz w:val="22"/>
    </w:rPr>
  </w:style>
  <w:style w:type="paragraph" w:customStyle="1" w:styleId="Bullet1">
    <w:name w:val="Bullet 1"/>
    <w:basedOn w:val="Normal"/>
    <w:rsid w:val="00654C85"/>
    <w:pPr>
      <w:numPr>
        <w:numId w:val="11"/>
      </w:numPr>
      <w:tabs>
        <w:tab w:val="left" w:pos="627"/>
      </w:tabs>
      <w:spacing w:before="120"/>
      <w:jc w:val="both"/>
    </w:pPr>
    <w:rPr>
      <w:rFonts w:ascii="Arial" w:eastAsia="Times New Roman" w:hAnsi="Arial"/>
      <w:color w:val="auto"/>
      <w:sz w:val="22"/>
      <w:szCs w:val="20"/>
    </w:rPr>
  </w:style>
  <w:style w:type="paragraph" w:customStyle="1" w:styleId="CM34">
    <w:name w:val="CM34"/>
    <w:basedOn w:val="Normal"/>
    <w:next w:val="Normal"/>
    <w:uiPriority w:val="99"/>
    <w:rsid w:val="00654C85"/>
    <w:pPr>
      <w:autoSpaceDE w:val="0"/>
      <w:autoSpaceDN w:val="0"/>
      <w:adjustRightInd w:val="0"/>
      <w:spacing w:before="0" w:line="191" w:lineRule="atLeast"/>
    </w:pPr>
    <w:rPr>
      <w:rFonts w:eastAsia="Times New Roman"/>
      <w:color w:val="auto"/>
    </w:rPr>
  </w:style>
  <w:style w:type="paragraph" w:customStyle="1" w:styleId="CM39">
    <w:name w:val="CM39"/>
    <w:basedOn w:val="Normal"/>
    <w:next w:val="Normal"/>
    <w:uiPriority w:val="99"/>
    <w:rsid w:val="00654C85"/>
    <w:pPr>
      <w:autoSpaceDE w:val="0"/>
      <w:autoSpaceDN w:val="0"/>
      <w:adjustRightInd w:val="0"/>
      <w:spacing w:before="0" w:line="186" w:lineRule="atLeast"/>
    </w:pPr>
    <w:rPr>
      <w:rFonts w:eastAsia="Times New Roman"/>
      <w:color w:val="auto"/>
    </w:rPr>
  </w:style>
  <w:style w:type="paragraph" w:customStyle="1" w:styleId="AppendixTitle">
    <w:name w:val="Appendix Title"/>
    <w:basedOn w:val="Heading2"/>
    <w:next w:val="Normal"/>
    <w:link w:val="AppendixTitleChar"/>
    <w:rsid w:val="00654C85"/>
    <w:pPr>
      <w:keepNext w:val="0"/>
      <w:pageBreakBefore/>
      <w:tabs>
        <w:tab w:val="left" w:pos="1701"/>
      </w:tabs>
      <w:spacing w:after="120"/>
      <w:ind w:left="1701" w:hanging="1701"/>
    </w:pPr>
    <w:rPr>
      <w:rFonts w:ascii="Times New Roman" w:hAnsi="Times New Roman"/>
      <w:color w:val="000000"/>
    </w:rPr>
  </w:style>
  <w:style w:type="character" w:customStyle="1" w:styleId="ListBulletChar">
    <w:name w:val="List Bullet Char"/>
    <w:aliases w:val="wcp_ListBulleted1 Char,List dot_point Char"/>
    <w:link w:val="ListBullet"/>
    <w:rsid w:val="00654C85"/>
    <w:rPr>
      <w:rFonts w:ascii="Times New Roman" w:eastAsia="MS Mincho" w:hAnsi="Times New Roman" w:cs="Times New Roman"/>
      <w:color w:val="000000"/>
      <w:sz w:val="24"/>
      <w:szCs w:val="24"/>
      <w:lang w:val="en-US"/>
    </w:rPr>
  </w:style>
  <w:style w:type="character" w:customStyle="1" w:styleId="AppendixTitleChar">
    <w:name w:val="Appendix Title Char"/>
    <w:link w:val="AppendixTitle"/>
    <w:rsid w:val="00654C85"/>
    <w:rPr>
      <w:rFonts w:ascii="Times New Roman" w:eastAsia="MS Gothic" w:hAnsi="Times New Roman" w:cs="Arial"/>
      <w:b/>
      <w:iCs/>
      <w:caps/>
      <w:color w:val="000000"/>
      <w:kern w:val="32"/>
      <w:szCs w:val="28"/>
      <w:lang w:val="en-US"/>
    </w:rPr>
  </w:style>
  <w:style w:type="paragraph" w:customStyle="1" w:styleId="NumberListExclusion">
    <w:name w:val="Number List Exclusion"/>
    <w:basedOn w:val="ListBullet"/>
    <w:link w:val="NumberListExclusionChar"/>
    <w:rsid w:val="00654C85"/>
    <w:pPr>
      <w:numPr>
        <w:numId w:val="12"/>
      </w:numPr>
      <w:spacing w:before="0"/>
    </w:pPr>
  </w:style>
  <w:style w:type="character" w:customStyle="1" w:styleId="NumberListExclusionChar">
    <w:name w:val="Number List Exclusion Char"/>
    <w:basedOn w:val="ListBulletChar"/>
    <w:link w:val="NumberListExclusion"/>
    <w:rsid w:val="00654C85"/>
    <w:rPr>
      <w:rFonts w:ascii="Times New Roman" w:eastAsia="MS Mincho" w:hAnsi="Times New Roman" w:cs="Times New Roman"/>
      <w:color w:val="000000"/>
      <w:sz w:val="24"/>
      <w:szCs w:val="24"/>
      <w:lang w:val="en-US"/>
    </w:rPr>
  </w:style>
  <w:style w:type="paragraph" w:customStyle="1" w:styleId="NumberListInclusion">
    <w:name w:val="Number List Inclusion"/>
    <w:basedOn w:val="ListBullet"/>
    <w:link w:val="NumberListInclusionChar"/>
    <w:rsid w:val="00654C85"/>
    <w:pPr>
      <w:numPr>
        <w:numId w:val="13"/>
      </w:numPr>
      <w:spacing w:before="0"/>
    </w:pPr>
  </w:style>
  <w:style w:type="character" w:customStyle="1" w:styleId="NumberListInclusionChar">
    <w:name w:val="Number List Inclusion Char"/>
    <w:basedOn w:val="ListBulletChar"/>
    <w:link w:val="NumberListInclusion"/>
    <w:rsid w:val="00654C85"/>
    <w:rPr>
      <w:rFonts w:ascii="Times New Roman" w:eastAsia="MS Mincho" w:hAnsi="Times New Roman" w:cs="Times New Roman"/>
      <w:color w:val="000000"/>
      <w:sz w:val="24"/>
      <w:szCs w:val="24"/>
      <w:lang w:val="en-US"/>
    </w:rPr>
  </w:style>
  <w:style w:type="paragraph" w:styleId="Revision">
    <w:name w:val="Revision"/>
    <w:hidden/>
    <w:uiPriority w:val="99"/>
    <w:semiHidden/>
    <w:rsid w:val="00654C85"/>
    <w:pPr>
      <w:spacing w:after="0" w:line="240" w:lineRule="auto"/>
    </w:pPr>
    <w:rPr>
      <w:rFonts w:ascii="Times New Roman" w:eastAsia="MS Mincho" w:hAnsi="Times New Roman" w:cs="Times New Roman"/>
      <w:color w:val="000000"/>
      <w:szCs w:val="24"/>
      <w:lang w:val="en-US"/>
    </w:rPr>
  </w:style>
  <w:style w:type="paragraph" w:customStyle="1" w:styleId="01-Instructions">
    <w:name w:val="01-Instructions"/>
    <w:basedOn w:val="InstructionsText"/>
    <w:qFormat/>
    <w:rsid w:val="00654C85"/>
    <w:pPr>
      <w:spacing w:before="120" w:after="120"/>
    </w:pPr>
    <w:rPr>
      <w:rFonts w:ascii="Times New Roman" w:hAnsi="Times New Roman" w:cs="Times New Roman"/>
      <w:sz w:val="22"/>
    </w:rPr>
  </w:style>
  <w:style w:type="character" w:customStyle="1" w:styleId="wcpTableContentChar">
    <w:name w:val="wcp_TableContent Char"/>
    <w:link w:val="wcpTableContent"/>
    <w:locked/>
    <w:rsid w:val="00654C85"/>
    <w:rPr>
      <w:rFonts w:ascii="Times New Roman" w:eastAsia="Times New Roman" w:hAnsi="Times New Roman" w:cs="Times New Roman"/>
      <w:color w:val="000000"/>
      <w:sz w:val="24"/>
      <w:szCs w:val="20"/>
      <w:lang w:val="en-US"/>
    </w:rPr>
  </w:style>
  <w:style w:type="character" w:customStyle="1" w:styleId="wcpTablenoteChar">
    <w:name w:val="wcp_Tablenote Char"/>
    <w:link w:val="wcpTablenote"/>
    <w:locked/>
    <w:rsid w:val="00654C85"/>
  </w:style>
  <w:style w:type="paragraph" w:customStyle="1" w:styleId="wcpTablenote">
    <w:name w:val="wcp_Tablenote"/>
    <w:basedOn w:val="FootnoteText"/>
    <w:link w:val="wcpTablenoteChar"/>
    <w:rsid w:val="00654C85"/>
    <w:pPr>
      <w:spacing w:before="60"/>
      <w:ind w:left="850" w:hanging="850"/>
    </w:pPr>
    <w:rPr>
      <w:rFonts w:asciiTheme="minorHAnsi" w:eastAsiaTheme="minorHAnsi" w:hAnsiTheme="minorHAnsi" w:cstheme="minorBidi"/>
      <w:color w:val="auto"/>
      <w:szCs w:val="22"/>
      <w:lang w:val="en-AU"/>
    </w:rPr>
  </w:style>
  <w:style w:type="paragraph" w:customStyle="1" w:styleId="Default">
    <w:name w:val="Default"/>
    <w:rsid w:val="00654C8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wcpBibliographicReference">
    <w:name w:val="wcp_BibliographicReference"/>
    <w:basedOn w:val="Normal"/>
    <w:rsid w:val="00654C85"/>
    <w:pPr>
      <w:spacing w:before="60"/>
      <w:ind w:left="567" w:hanging="567"/>
    </w:pPr>
    <w:rPr>
      <w:rFonts w:eastAsia="Times New Roman"/>
      <w:color w:val="auto"/>
      <w:szCs w:val="20"/>
    </w:rPr>
  </w:style>
  <w:style w:type="paragraph" w:styleId="ListBullet5">
    <w:name w:val="List Bullet 5"/>
    <w:basedOn w:val="Normal"/>
    <w:rsid w:val="00654C85"/>
    <w:pPr>
      <w:numPr>
        <w:numId w:val="14"/>
      </w:numPr>
      <w:spacing w:before="120"/>
    </w:pPr>
    <w:rPr>
      <w:rFonts w:eastAsia="Times New Roman"/>
      <w:color w:val="auto"/>
      <w:szCs w:val="20"/>
    </w:rPr>
  </w:style>
  <w:style w:type="paragraph" w:customStyle="1" w:styleId="qainstruction2">
    <w:name w:val="qa_instruction2"/>
    <w:basedOn w:val="Heading2"/>
    <w:rsid w:val="00654C85"/>
    <w:pPr>
      <w:keepNext w:val="0"/>
      <w:numPr>
        <w:ilvl w:val="0"/>
        <w:numId w:val="0"/>
      </w:numPr>
      <w:tabs>
        <w:tab w:val="num" w:pos="1440"/>
      </w:tabs>
      <w:spacing w:before="120"/>
      <w:ind w:left="1440" w:hanging="357"/>
      <w:outlineLvl w:val="9"/>
    </w:pPr>
    <w:rPr>
      <w:rFonts w:ascii="Times New Roman" w:eastAsia="Times New Roman" w:hAnsi="Times New Roman" w:cs="Times New Roman"/>
      <w:b w:val="0"/>
      <w:iCs w:val="0"/>
      <w:caps w:val="0"/>
      <w:kern w:val="0"/>
      <w:sz w:val="24"/>
      <w:szCs w:val="20"/>
    </w:rPr>
  </w:style>
  <w:style w:type="paragraph" w:styleId="NormalWeb">
    <w:name w:val="Normal (Web)"/>
    <w:basedOn w:val="Normal"/>
    <w:uiPriority w:val="99"/>
    <w:unhideWhenUsed/>
    <w:rsid w:val="00654C85"/>
    <w:pPr>
      <w:spacing w:before="100" w:beforeAutospacing="1" w:after="100" w:afterAutospacing="1"/>
    </w:pPr>
    <w:rPr>
      <w:rFonts w:eastAsia="Times New Roman"/>
      <w:color w:val="auto"/>
    </w:rPr>
  </w:style>
  <w:style w:type="character" w:customStyle="1" w:styleId="wcpcAuthoringInstruction">
    <w:name w:val="wcpc_AuthoringInstruction"/>
    <w:rsid w:val="00654C85"/>
    <w:rPr>
      <w:i/>
      <w:vanish/>
      <w:color w:val="0000FF"/>
    </w:rPr>
  </w:style>
  <w:style w:type="paragraph" w:customStyle="1" w:styleId="HighlightsTNR8point">
    <w:name w:val="Highlights TNR 8 point"/>
    <w:basedOn w:val="Normal"/>
    <w:rsid w:val="00654C85"/>
    <w:pPr>
      <w:spacing w:before="0"/>
    </w:pPr>
    <w:rPr>
      <w:rFonts w:eastAsia="Times New Roman"/>
      <w:color w:val="auto"/>
      <w:sz w:val="16"/>
      <w:szCs w:val="16"/>
    </w:rPr>
  </w:style>
  <w:style w:type="paragraph" w:customStyle="1" w:styleId="StyleHighlightsTNR8pointBoldBefore0ptAfter0pt">
    <w:name w:val="Style Highlights TNR 8 point + Bold Before:  0 pt After:  0 pt"/>
    <w:basedOn w:val="HighlightsTNR8point"/>
    <w:rsid w:val="00654C85"/>
    <w:pPr>
      <w:spacing w:after="60"/>
    </w:pPr>
    <w:rPr>
      <w:b/>
      <w:bCs/>
      <w:szCs w:val="20"/>
    </w:rPr>
  </w:style>
  <w:style w:type="numbering" w:customStyle="1" w:styleId="StyleHighlightsTNR8pointBoldAfter1pt">
    <w:name w:val="Style Highlights TNR 8 point + Bold After:  1 pt"/>
    <w:basedOn w:val="NoList"/>
    <w:uiPriority w:val="99"/>
    <w:rsid w:val="00654C85"/>
    <w:pPr>
      <w:numPr>
        <w:numId w:val="15"/>
      </w:numPr>
    </w:pPr>
  </w:style>
  <w:style w:type="paragraph" w:customStyle="1" w:styleId="FPIHeading1">
    <w:name w:val="FPI Heading 1"/>
    <w:basedOn w:val="Heading1"/>
    <w:link w:val="FPIHeading1Char"/>
    <w:qFormat/>
    <w:rsid w:val="00654C85"/>
    <w:pPr>
      <w:keepNext w:val="0"/>
      <w:pageBreakBefore w:val="0"/>
      <w:tabs>
        <w:tab w:val="clear" w:pos="680"/>
      </w:tabs>
      <w:spacing w:before="240" w:after="120"/>
      <w:ind w:left="720" w:hanging="720"/>
    </w:pPr>
    <w:rPr>
      <w:rFonts w:ascii="Arial Bold" w:eastAsia="MS Mincho" w:hAnsi="Arial Bold"/>
      <w:bCs w:val="0"/>
      <w:caps w:val="0"/>
      <w:kern w:val="0"/>
      <w:sz w:val="24"/>
      <w:szCs w:val="24"/>
      <w:lang w:eastAsia="ja-JP"/>
    </w:rPr>
  </w:style>
  <w:style w:type="paragraph" w:customStyle="1" w:styleId="FPIHeading2">
    <w:name w:val="FPI Heading 2"/>
    <w:basedOn w:val="Heading2"/>
    <w:link w:val="FPIHeading2Char"/>
    <w:qFormat/>
    <w:rsid w:val="00654C85"/>
    <w:pPr>
      <w:keepNext w:val="0"/>
      <w:tabs>
        <w:tab w:val="clear" w:pos="680"/>
      </w:tabs>
      <w:spacing w:before="120" w:after="120"/>
      <w:ind w:left="720" w:hanging="720"/>
    </w:pPr>
    <w:rPr>
      <w:rFonts w:eastAsia="MS Mincho"/>
      <w:iCs w:val="0"/>
      <w:caps w:val="0"/>
      <w:kern w:val="0"/>
      <w:sz w:val="24"/>
      <w:szCs w:val="24"/>
      <w:lang w:eastAsia="ja-JP"/>
    </w:rPr>
  </w:style>
  <w:style w:type="character" w:customStyle="1" w:styleId="FPIHeading1Char">
    <w:name w:val="FPI Heading 1 Char"/>
    <w:link w:val="FPIHeading1"/>
    <w:rsid w:val="00654C85"/>
    <w:rPr>
      <w:rFonts w:ascii="Arial Bold" w:eastAsia="MS Mincho" w:hAnsi="Arial Bold" w:cs="Arial"/>
      <w:b/>
      <w:sz w:val="24"/>
      <w:szCs w:val="24"/>
      <w:lang w:val="en-US" w:eastAsia="ja-JP"/>
    </w:rPr>
  </w:style>
  <w:style w:type="character" w:customStyle="1" w:styleId="FPIHeading2Char">
    <w:name w:val="FPI Heading 2 Char"/>
    <w:link w:val="FPIHeading2"/>
    <w:rsid w:val="00654C85"/>
    <w:rPr>
      <w:rFonts w:ascii="Arial" w:eastAsia="MS Mincho" w:hAnsi="Arial" w:cs="Arial"/>
      <w:b/>
      <w:sz w:val="24"/>
      <w:szCs w:val="24"/>
      <w:lang w:val="en-US" w:eastAsia="ja-JP"/>
    </w:rPr>
  </w:style>
  <w:style w:type="paragraph" w:customStyle="1" w:styleId="PPITitle">
    <w:name w:val="PPI Title"/>
    <w:basedOn w:val="Normal"/>
    <w:link w:val="PPITitleChar"/>
    <w:qFormat/>
    <w:rsid w:val="00654C85"/>
    <w:pPr>
      <w:spacing w:before="120" w:after="60"/>
      <w:jc w:val="center"/>
    </w:pPr>
    <w:rPr>
      <w:rFonts w:ascii="Arial" w:hAnsi="Arial" w:cs="Arial"/>
      <w:b/>
      <w:color w:val="auto"/>
      <w:lang w:eastAsia="ja-JP"/>
    </w:rPr>
  </w:style>
  <w:style w:type="paragraph" w:customStyle="1" w:styleId="FPITitle">
    <w:name w:val="FPI Title"/>
    <w:basedOn w:val="FPIHeading1"/>
    <w:link w:val="FPITitleChar"/>
    <w:qFormat/>
    <w:rsid w:val="00654C85"/>
    <w:pPr>
      <w:numPr>
        <w:numId w:val="0"/>
      </w:numPr>
    </w:pPr>
    <w:rPr>
      <w:rFonts w:ascii="Arial" w:hAnsi="Arial"/>
      <w:b w:val="0"/>
    </w:rPr>
  </w:style>
  <w:style w:type="character" w:customStyle="1" w:styleId="PPITitleChar">
    <w:name w:val="PPI Title Char"/>
    <w:link w:val="PPITitle"/>
    <w:rsid w:val="00654C85"/>
    <w:rPr>
      <w:rFonts w:ascii="Arial" w:eastAsia="MS Mincho" w:hAnsi="Arial" w:cs="Arial"/>
      <w:b/>
      <w:sz w:val="24"/>
      <w:szCs w:val="24"/>
      <w:lang w:val="en-US" w:eastAsia="ja-JP"/>
    </w:rPr>
  </w:style>
  <w:style w:type="paragraph" w:customStyle="1" w:styleId="FPIWarningTitle">
    <w:name w:val="FPI Warning Title"/>
    <w:basedOn w:val="Normal"/>
    <w:link w:val="FPIWarningTitleChar"/>
    <w:qFormat/>
    <w:rsid w:val="00654C85"/>
    <w:pPr>
      <w:spacing w:before="120" w:after="120"/>
      <w:jc w:val="center"/>
    </w:pPr>
    <w:rPr>
      <w:rFonts w:eastAsia="Times New Roman"/>
      <w:b/>
      <w:color w:val="auto"/>
    </w:rPr>
  </w:style>
  <w:style w:type="character" w:customStyle="1" w:styleId="FPITitleChar">
    <w:name w:val="FPI Title Char"/>
    <w:link w:val="FPITitle"/>
    <w:rsid w:val="00654C85"/>
    <w:rPr>
      <w:rFonts w:ascii="Arial" w:eastAsia="MS Mincho" w:hAnsi="Arial" w:cs="Arial"/>
      <w:sz w:val="24"/>
      <w:szCs w:val="24"/>
      <w:lang w:val="en-US" w:eastAsia="ja-JP"/>
    </w:rPr>
  </w:style>
  <w:style w:type="paragraph" w:customStyle="1" w:styleId="FPIHeading3">
    <w:name w:val="FPI Heading 3"/>
    <w:basedOn w:val="Normal"/>
    <w:link w:val="FPIHeading3Char"/>
    <w:qFormat/>
    <w:rsid w:val="00654C85"/>
    <w:pPr>
      <w:spacing w:before="120" w:after="120"/>
    </w:pPr>
    <w:rPr>
      <w:rFonts w:ascii="Arial" w:hAnsi="Arial" w:cs="Arial"/>
      <w:color w:val="auto"/>
      <w:u w:val="single"/>
      <w:lang w:eastAsia="ja-JP"/>
    </w:rPr>
  </w:style>
  <w:style w:type="character" w:customStyle="1" w:styleId="FPIWarningTitleChar">
    <w:name w:val="FPI Warning Title Char"/>
    <w:link w:val="FPIWarningTitle"/>
    <w:rsid w:val="00654C85"/>
    <w:rPr>
      <w:rFonts w:ascii="Times New Roman" w:eastAsia="Times New Roman" w:hAnsi="Times New Roman" w:cs="Times New Roman"/>
      <w:b/>
      <w:sz w:val="24"/>
      <w:szCs w:val="24"/>
      <w:lang w:val="en-US"/>
    </w:rPr>
  </w:style>
  <w:style w:type="paragraph" w:customStyle="1" w:styleId="FPIHeading4">
    <w:name w:val="FPI Heading 4"/>
    <w:basedOn w:val="Normal"/>
    <w:link w:val="FPIHeading4Char"/>
    <w:qFormat/>
    <w:rsid w:val="00654C85"/>
    <w:pPr>
      <w:spacing w:before="120" w:after="120"/>
    </w:pPr>
    <w:rPr>
      <w:rFonts w:ascii="Arial" w:hAnsi="Arial" w:cs="Arial"/>
      <w:color w:val="auto"/>
      <w:lang w:eastAsia="ja-JP"/>
    </w:rPr>
  </w:style>
  <w:style w:type="character" w:customStyle="1" w:styleId="FPIHeading3Char">
    <w:name w:val="FPI Heading 3 Char"/>
    <w:link w:val="FPIHeading3"/>
    <w:rsid w:val="00654C85"/>
    <w:rPr>
      <w:rFonts w:ascii="Arial" w:eastAsia="MS Mincho" w:hAnsi="Arial" w:cs="Arial"/>
      <w:sz w:val="24"/>
      <w:szCs w:val="24"/>
      <w:u w:val="single"/>
      <w:lang w:val="en-US" w:eastAsia="ja-JP"/>
    </w:rPr>
  </w:style>
  <w:style w:type="paragraph" w:customStyle="1" w:styleId="FPIHeading5">
    <w:name w:val="FPI Heading 5"/>
    <w:basedOn w:val="FPIparagraph"/>
    <w:link w:val="FPIHeading5Char"/>
    <w:qFormat/>
    <w:rsid w:val="00654C85"/>
    <w:rPr>
      <w:rFonts w:ascii="Arial" w:hAnsi="Arial" w:cs="Arial"/>
      <w:i/>
    </w:rPr>
  </w:style>
  <w:style w:type="character" w:customStyle="1" w:styleId="FPIHeading4Char">
    <w:name w:val="FPI Heading 4 Char"/>
    <w:link w:val="FPIHeading4"/>
    <w:rsid w:val="00654C85"/>
    <w:rPr>
      <w:rFonts w:ascii="Arial" w:eastAsia="MS Mincho" w:hAnsi="Arial" w:cs="Arial"/>
      <w:sz w:val="24"/>
      <w:szCs w:val="24"/>
      <w:lang w:val="en-US" w:eastAsia="ja-JP"/>
    </w:rPr>
  </w:style>
  <w:style w:type="character" w:customStyle="1" w:styleId="FPIHeading5Char">
    <w:name w:val="FPI Heading 5 Char"/>
    <w:link w:val="FPIHeading5"/>
    <w:rsid w:val="00654C85"/>
    <w:rPr>
      <w:rFonts w:ascii="Arial" w:eastAsia="MS Mincho" w:hAnsi="Arial" w:cs="Arial"/>
      <w:i/>
      <w:sz w:val="24"/>
      <w:szCs w:val="24"/>
      <w:lang w:val="en-US" w:eastAsia="ja-JP"/>
    </w:rPr>
  </w:style>
  <w:style w:type="character" w:customStyle="1" w:styleId="Style1">
    <w:name w:val="Style1"/>
    <w:uiPriority w:val="1"/>
    <w:qFormat/>
    <w:rsid w:val="00654C85"/>
    <w:rPr>
      <w:rFonts w:ascii="Times New Roman" w:hAnsi="Times New Roman" w:cs="Times New Roman"/>
      <w:sz w:val="16"/>
      <w:szCs w:val="16"/>
    </w:rPr>
  </w:style>
  <w:style w:type="paragraph" w:customStyle="1" w:styleId="wcpTableRowHeader">
    <w:name w:val="wcp_TableRowHeader"/>
    <w:basedOn w:val="Normal"/>
    <w:link w:val="wcpTableRowHeaderChar"/>
    <w:rsid w:val="00654C85"/>
    <w:pPr>
      <w:spacing w:before="40" w:after="40" w:line="480" w:lineRule="auto"/>
    </w:pPr>
    <w:rPr>
      <w:rFonts w:eastAsia="Times New Roman"/>
      <w:b/>
      <w:noProof/>
      <w:color w:val="auto"/>
      <w:sz w:val="22"/>
      <w:szCs w:val="16"/>
    </w:rPr>
  </w:style>
  <w:style w:type="character" w:customStyle="1" w:styleId="wcpTableRowHeaderChar">
    <w:name w:val="wcp_TableRowHeader Char"/>
    <w:link w:val="wcpTableRowHeader"/>
    <w:rsid w:val="00654C85"/>
    <w:rPr>
      <w:rFonts w:ascii="Times New Roman" w:eastAsia="Times New Roman" w:hAnsi="Times New Roman" w:cs="Times New Roman"/>
      <w:b/>
      <w:noProof/>
      <w:szCs w:val="16"/>
      <w:lang w:val="en-US"/>
    </w:rPr>
  </w:style>
  <w:style w:type="table" w:customStyle="1" w:styleId="TableGrid1">
    <w:name w:val="Table Grid1"/>
    <w:basedOn w:val="TableNormal"/>
    <w:next w:val="TableGrid"/>
    <w:uiPriority w:val="39"/>
    <w:rsid w:val="00654C8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aliases w:val="wcp_ListNumbered3"/>
    <w:basedOn w:val="ListNumber2"/>
    <w:rsid w:val="00654C85"/>
    <w:pPr>
      <w:numPr>
        <w:numId w:val="18"/>
      </w:numPr>
      <w:tabs>
        <w:tab w:val="clear" w:pos="1571"/>
        <w:tab w:val="left" w:pos="1276"/>
      </w:tabs>
      <w:spacing w:before="0" w:after="0"/>
      <w:ind w:left="230" w:hanging="230"/>
      <w:contextualSpacing w:val="0"/>
    </w:pPr>
    <w:rPr>
      <w:szCs w:val="20"/>
    </w:rPr>
  </w:style>
  <w:style w:type="paragraph" w:styleId="ListNumber2">
    <w:name w:val="List Number 2"/>
    <w:basedOn w:val="Normal"/>
    <w:uiPriority w:val="99"/>
    <w:unhideWhenUsed/>
    <w:rsid w:val="00654C85"/>
    <w:pPr>
      <w:numPr>
        <w:numId w:val="17"/>
      </w:numPr>
      <w:spacing w:before="120" w:after="120"/>
      <w:contextualSpacing/>
    </w:pPr>
    <w:rPr>
      <w:rFonts w:eastAsia="Times New Roman"/>
      <w:color w:val="auto"/>
    </w:rPr>
  </w:style>
  <w:style w:type="table" w:customStyle="1" w:styleId="TableGrid2">
    <w:name w:val="Table Grid2"/>
    <w:basedOn w:val="TableNormal"/>
    <w:next w:val="TableGrid"/>
    <w:uiPriority w:val="59"/>
    <w:rsid w:val="00654C8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
    <w:name w:val="first"/>
    <w:basedOn w:val="Normal"/>
    <w:rsid w:val="00654C85"/>
    <w:pPr>
      <w:spacing w:before="144" w:line="264" w:lineRule="atLeast"/>
    </w:pPr>
    <w:rPr>
      <w:rFonts w:eastAsia="Times New Roman"/>
      <w:color w:val="auto"/>
    </w:rPr>
  </w:style>
  <w:style w:type="character" w:customStyle="1" w:styleId="sup1">
    <w:name w:val="sup1"/>
    <w:rsid w:val="00654C85"/>
    <w:rPr>
      <w:sz w:val="19"/>
      <w:szCs w:val="19"/>
    </w:rPr>
  </w:style>
  <w:style w:type="paragraph" w:customStyle="1" w:styleId="HighlightNormalIndent">
    <w:name w:val="Highlight Normal Indent"/>
    <w:basedOn w:val="NormalIndent"/>
    <w:link w:val="HighlightNormalIndentChar"/>
    <w:rsid w:val="00654C85"/>
    <w:pPr>
      <w:tabs>
        <w:tab w:val="left" w:pos="274"/>
      </w:tabs>
      <w:spacing w:before="0" w:after="0"/>
      <w:ind w:left="288"/>
    </w:pPr>
    <w:rPr>
      <w:noProof/>
      <w:sz w:val="16"/>
      <w:szCs w:val="16"/>
    </w:rPr>
  </w:style>
  <w:style w:type="character" w:customStyle="1" w:styleId="HighlightNormalIndentChar">
    <w:name w:val="Highlight Normal Indent Char"/>
    <w:link w:val="HighlightNormalIndent"/>
    <w:rsid w:val="00654C85"/>
    <w:rPr>
      <w:rFonts w:ascii="Times New Roman" w:eastAsia="Times New Roman" w:hAnsi="Times New Roman" w:cs="Times New Roman"/>
      <w:noProof/>
      <w:sz w:val="16"/>
      <w:szCs w:val="16"/>
      <w:lang w:val="en-US"/>
    </w:rPr>
  </w:style>
  <w:style w:type="paragraph" w:styleId="NormalIndent">
    <w:name w:val="Normal Indent"/>
    <w:basedOn w:val="Normal"/>
    <w:uiPriority w:val="99"/>
    <w:unhideWhenUsed/>
    <w:rsid w:val="00654C85"/>
    <w:pPr>
      <w:spacing w:before="120" w:after="120"/>
      <w:ind w:left="720"/>
    </w:pPr>
    <w:rPr>
      <w:rFonts w:eastAsia="Times New Roman"/>
      <w:color w:val="auto"/>
    </w:rPr>
  </w:style>
  <w:style w:type="character" w:customStyle="1" w:styleId="searchinsearch">
    <w:name w:val="searchinsearch"/>
    <w:rsid w:val="00654C85"/>
  </w:style>
  <w:style w:type="character" w:customStyle="1" w:styleId="wcpTableContentCar">
    <w:name w:val="wcp_TableContent Car"/>
    <w:rsid w:val="00654C85"/>
    <w:rPr>
      <w:sz w:val="22"/>
      <w:lang w:bidi="ar-SA"/>
    </w:rPr>
  </w:style>
  <w:style w:type="character" w:customStyle="1" w:styleId="wcpTablenoteCar">
    <w:name w:val="wcp_Tablenote Car"/>
    <w:rsid w:val="00654C85"/>
  </w:style>
  <w:style w:type="paragraph" w:styleId="ListBullet2">
    <w:name w:val="List Bullet 2"/>
    <w:basedOn w:val="Normal"/>
    <w:rsid w:val="00654C85"/>
    <w:pPr>
      <w:numPr>
        <w:numId w:val="16"/>
      </w:numPr>
      <w:spacing w:before="0"/>
      <w:contextualSpacing/>
    </w:pPr>
    <w:rPr>
      <w:sz w:val="22"/>
    </w:rPr>
  </w:style>
  <w:style w:type="paragraph" w:styleId="Date">
    <w:name w:val="Date"/>
    <w:basedOn w:val="Normal"/>
    <w:next w:val="Normal"/>
    <w:link w:val="DateChar"/>
    <w:uiPriority w:val="99"/>
    <w:semiHidden/>
    <w:unhideWhenUsed/>
    <w:rsid w:val="0085096C"/>
  </w:style>
  <w:style w:type="character" w:customStyle="1" w:styleId="DateChar">
    <w:name w:val="Date Char"/>
    <w:basedOn w:val="DefaultParagraphFont"/>
    <w:link w:val="Date"/>
    <w:uiPriority w:val="99"/>
    <w:semiHidden/>
    <w:rsid w:val="0085096C"/>
    <w:rPr>
      <w:rFonts w:ascii="Times New Roman" w:eastAsia="MS Mincho"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2858">
      <w:bodyDiv w:val="1"/>
      <w:marLeft w:val="0"/>
      <w:marRight w:val="0"/>
      <w:marTop w:val="0"/>
      <w:marBottom w:val="0"/>
      <w:divBdr>
        <w:top w:val="none" w:sz="0" w:space="0" w:color="auto"/>
        <w:left w:val="none" w:sz="0" w:space="0" w:color="auto"/>
        <w:bottom w:val="none" w:sz="0" w:space="0" w:color="auto"/>
        <w:right w:val="none" w:sz="0" w:space="0" w:color="auto"/>
      </w:divBdr>
    </w:div>
    <w:div w:id="318658512">
      <w:bodyDiv w:val="1"/>
      <w:marLeft w:val="0"/>
      <w:marRight w:val="0"/>
      <w:marTop w:val="0"/>
      <w:marBottom w:val="0"/>
      <w:divBdr>
        <w:top w:val="none" w:sz="0" w:space="0" w:color="auto"/>
        <w:left w:val="none" w:sz="0" w:space="0" w:color="auto"/>
        <w:bottom w:val="none" w:sz="0" w:space="0" w:color="auto"/>
        <w:right w:val="none" w:sz="0" w:space="0" w:color="auto"/>
      </w:divBdr>
    </w:div>
    <w:div w:id="1283877716">
      <w:bodyDiv w:val="1"/>
      <w:marLeft w:val="0"/>
      <w:marRight w:val="0"/>
      <w:marTop w:val="0"/>
      <w:marBottom w:val="0"/>
      <w:divBdr>
        <w:top w:val="none" w:sz="0" w:space="0" w:color="auto"/>
        <w:left w:val="none" w:sz="0" w:space="0" w:color="auto"/>
        <w:bottom w:val="none" w:sz="0" w:space="0" w:color="auto"/>
        <w:right w:val="none" w:sz="0" w:space="0" w:color="auto"/>
      </w:divBdr>
    </w:div>
    <w:div w:id="1288124850">
      <w:bodyDiv w:val="1"/>
      <w:marLeft w:val="0"/>
      <w:marRight w:val="0"/>
      <w:marTop w:val="0"/>
      <w:marBottom w:val="0"/>
      <w:divBdr>
        <w:top w:val="none" w:sz="0" w:space="0" w:color="auto"/>
        <w:left w:val="none" w:sz="0" w:space="0" w:color="auto"/>
        <w:bottom w:val="none" w:sz="0" w:space="0" w:color="auto"/>
        <w:right w:val="none" w:sz="0" w:space="0" w:color="auto"/>
      </w:divBdr>
    </w:div>
    <w:div w:id="15469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B2CEC-8CF8-4340-8977-71B9C7D5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5016</Words>
  <Characters>28796</Characters>
  <Application>Microsoft Office Word</Application>
  <DocSecurity>0</DocSecurity>
  <Lines>669</Lines>
  <Paragraphs>407</Paragraphs>
  <ScaleCrop>false</ScaleCrop>
  <HeadingPairs>
    <vt:vector size="2" baseType="variant">
      <vt:variant>
        <vt:lpstr>Title</vt:lpstr>
      </vt:variant>
      <vt:variant>
        <vt:i4>1</vt:i4>
      </vt:variant>
    </vt:vector>
  </HeadingPairs>
  <TitlesOfParts>
    <vt:vector size="1" baseType="lpstr">
      <vt:lpstr/>
    </vt:vector>
  </TitlesOfParts>
  <Company>Sanofi-Aventis Australia Pty Ltd</Company>
  <LinksUpToDate>false</LinksUpToDate>
  <CharactersWithSpaces>33405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Influenza Haemagglutinin Recombinant</dc:title>
  <dc:subject>prescription medicines</dc:subject>
  <dc:creator>Sanofi-Aventis Australia Pty Ltd</dc:creator>
  <cp:lastPrinted>2017-09-05T05:25:00Z</cp:lastPrinted>
  <dcterms:created xsi:type="dcterms:W3CDTF">2021-08-23T01:42:00Z</dcterms:created>
  <dcterms:modified xsi:type="dcterms:W3CDTF">2021-08-23T01:45:00Z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Type of Document</vt:lpwstr>
  </property>
  <property fmtid="{D5CDD505-2E9C-101B-9397-08002B2CF9AE}" pid="3" name="INN">
    <vt:lpwstr>INN</vt:lpwstr>
  </property>
  <property fmtid="{D5CDD505-2E9C-101B-9397-08002B2CF9AE}" pid="4" name="Date">
    <vt:lpwstr>Date</vt:lpwstr>
  </property>
  <property fmtid="{D5CDD505-2E9C-101B-9397-08002B2CF9AE}" pid="5" name="Product Code">
    <vt:lpwstr>Product Code / Study Number</vt:lpwstr>
  </property>
  <property fmtid="{D5CDD505-2E9C-101B-9397-08002B2CF9AE}" pid="6" name="LastRefNum">
    <vt:i4>0</vt:i4>
  </property>
  <property fmtid="{D5CDD505-2E9C-101B-9397-08002B2CF9AE}" pid="7" name="https">
    <vt:lpwstr>1</vt:lpwstr>
  </property>
  <property fmtid="{D5CDD505-2E9C-101B-9397-08002B2CF9AE}" pid="8" name="Custom1">
    <vt:lpwstr/>
  </property>
  <property fmtid="{D5CDD505-2E9C-101B-9397-08002B2CF9AE}" pid="9" name="Custom2">
    <vt:lpwstr/>
  </property>
  <property fmtid="{D5CDD505-2E9C-101B-9397-08002B2CF9AE}" pid="10" name="Custom3">
    <vt:lpwstr/>
  </property>
  <property fmtid="{D5CDD505-2E9C-101B-9397-08002B2CF9AE}" pid="11" name="Custom4">
    <vt:lpwstr/>
  </property>
  <property fmtid="{D5CDD505-2E9C-101B-9397-08002B2CF9AE}" pid="12" name="_NewReviewCycle">
    <vt:lpwstr/>
  </property>
</Properties>
</file>