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C252B0" w:rsidP="0017078F">
            <w:pPr>
              <w:rPr>
                <w:rFonts w:ascii="Arial" w:hAnsi="Arial" w:cs="Arial"/>
                <w:b/>
                <w:color w:val="002C47"/>
                <w:sz w:val="36"/>
                <w:szCs w:val="36"/>
              </w:rPr>
            </w:pPr>
            <w:r>
              <w:rPr>
                <w:rFonts w:ascii="Arial" w:hAnsi="Arial" w:cs="Arial"/>
                <w:b/>
                <w:color w:val="002C47"/>
                <w:sz w:val="36"/>
                <w:szCs w:val="36"/>
              </w:rPr>
              <w:t>3 May 2013</w:t>
            </w:r>
            <w:bookmarkStart w:id="0" w:name="_GoBack"/>
            <w:bookmarkEnd w:id="0"/>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C252B0">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217F9C" w:rsidRPr="00217F9C">
              <w:rPr>
                <w:rFonts w:cs="Arial"/>
                <w:b/>
                <w:color w:val="FFFFFF" w:themeColor="background1"/>
                <w:spacing w:val="0"/>
                <w:kern w:val="16"/>
                <w:sz w:val="28"/>
                <w:szCs w:val="28"/>
                <w:lang w:eastAsia="en-AU"/>
              </w:rPr>
              <w:t xml:space="preserve"> </w:t>
            </w:r>
            <w:r w:rsidR="00C252B0" w:rsidRPr="00C252B0">
              <w:rPr>
                <w:color w:val="FFFFFF" w:themeColor="background1"/>
              </w:rPr>
              <w:t xml:space="preserve">Influenza virus </w:t>
            </w:r>
            <w:proofErr w:type="spellStart"/>
            <w:r w:rsidR="00C252B0" w:rsidRPr="00C252B0">
              <w:rPr>
                <w:color w:val="FFFFFF" w:themeColor="background1"/>
              </w:rPr>
              <w:t>haemagglutinin</w:t>
            </w:r>
            <w:proofErr w:type="spellEnd"/>
            <w:r w:rsidR="00C252B0" w:rsidRPr="00C252B0">
              <w:rPr>
                <w:color w:val="FFFFFF" w:themeColor="background1"/>
              </w:rPr>
              <w:t xml:space="preserve"> inactivated split influenza vaccine</w:t>
            </w:r>
          </w:p>
        </w:tc>
      </w:tr>
      <w:tr w:rsidR="00E07F15" w:rsidRPr="00B64760" w:rsidTr="00E07F15">
        <w:tc>
          <w:tcPr>
            <w:tcW w:w="9079" w:type="dxa"/>
          </w:tcPr>
          <w:p w:rsidR="00E07F15" w:rsidRPr="008E7846" w:rsidRDefault="00E07F15" w:rsidP="00C252B0">
            <w:pPr>
              <w:pStyle w:val="Subtitle"/>
              <w:rPr>
                <w:color w:val="FFFFFF" w:themeColor="background1"/>
              </w:rPr>
            </w:pPr>
            <w:r w:rsidRPr="008E7846">
              <w:rPr>
                <w:color w:val="FFFFFF" w:themeColor="background1"/>
              </w:rPr>
              <w:t xml:space="preserve">Proprietary Product Name: </w:t>
            </w:r>
            <w:proofErr w:type="spellStart"/>
            <w:r w:rsidR="00C252B0">
              <w:rPr>
                <w:color w:val="FFFFFF" w:themeColor="background1"/>
              </w:rPr>
              <w:t>Fluarix</w:t>
            </w:r>
            <w:proofErr w:type="spellEnd"/>
            <w:r w:rsidR="00C252B0">
              <w:rPr>
                <w:color w:val="FFFFFF" w:themeColor="background1"/>
              </w:rPr>
              <w:t xml:space="preserve"> Tetra</w:t>
            </w:r>
          </w:p>
        </w:tc>
      </w:tr>
      <w:tr w:rsidR="00E07F15" w:rsidRPr="00B64760" w:rsidTr="00E07F15">
        <w:trPr>
          <w:trHeight w:val="486"/>
        </w:trPr>
        <w:tc>
          <w:tcPr>
            <w:tcW w:w="9079" w:type="dxa"/>
          </w:tcPr>
          <w:p w:rsidR="00E07F15" w:rsidRPr="008E7846" w:rsidRDefault="00E07F15" w:rsidP="00C252B0">
            <w:pPr>
              <w:pStyle w:val="Subtitle"/>
              <w:rPr>
                <w:color w:val="FFFFFF" w:themeColor="background1"/>
              </w:rPr>
            </w:pPr>
            <w:r w:rsidRPr="008E7846">
              <w:rPr>
                <w:color w:val="FFFFFF" w:themeColor="background1"/>
              </w:rPr>
              <w:t xml:space="preserve">Sponsor: </w:t>
            </w:r>
            <w:r w:rsidR="00C252B0">
              <w:rPr>
                <w:color w:val="FFFFFF" w:themeColor="background1"/>
              </w:rPr>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6819AE">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xml:space="preserve"> and is responsible for regulating medicines and medical devices.</w:t>
      </w:r>
    </w:p>
    <w:p w:rsidR="008E7846" w:rsidRDefault="00C811C0" w:rsidP="006819AE">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6819AE">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819AE">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6819AE">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4C3023">
      <w:pPr>
        <w:pStyle w:val="LegalSubheading"/>
        <w:spacing w:before="45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44646">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0C71CB">
          <w:headerReference w:type="default" r:id="rId12"/>
          <w:footerReference w:type="default" r:id="rId13"/>
          <w:headerReference w:type="first" r:id="rId14"/>
          <w:pgSz w:w="11906" w:h="16838" w:code="9"/>
          <w:pgMar w:top="1440" w:right="1440" w:bottom="1440" w:left="1440"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77212" w:rsidRDefault="00ED011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3345656" w:history="1">
            <w:r w:rsidR="00C77212" w:rsidRPr="00550090">
              <w:rPr>
                <w:rStyle w:val="Hyperlink"/>
                <w:noProof/>
              </w:rPr>
              <w:t>List of abbreviations</w:t>
            </w:r>
            <w:r w:rsidR="00C77212">
              <w:rPr>
                <w:noProof/>
                <w:webHidden/>
              </w:rPr>
              <w:tab/>
            </w:r>
            <w:r w:rsidR="00C77212">
              <w:rPr>
                <w:noProof/>
                <w:webHidden/>
              </w:rPr>
              <w:fldChar w:fldCharType="begin"/>
            </w:r>
            <w:r w:rsidR="00C77212">
              <w:rPr>
                <w:noProof/>
                <w:webHidden/>
              </w:rPr>
              <w:instrText xml:space="preserve"> PAGEREF _Toc383345656 \h </w:instrText>
            </w:r>
            <w:r w:rsidR="00C77212">
              <w:rPr>
                <w:noProof/>
                <w:webHidden/>
              </w:rPr>
            </w:r>
            <w:r w:rsidR="00C77212">
              <w:rPr>
                <w:noProof/>
                <w:webHidden/>
              </w:rPr>
              <w:fldChar w:fldCharType="separate"/>
            </w:r>
            <w:r w:rsidR="00C77212">
              <w:rPr>
                <w:noProof/>
                <w:webHidden/>
              </w:rPr>
              <w:t>5</w:t>
            </w:r>
            <w:r w:rsidR="00C77212">
              <w:rPr>
                <w:noProof/>
                <w:webHidden/>
              </w:rPr>
              <w:fldChar w:fldCharType="end"/>
            </w:r>
          </w:hyperlink>
        </w:p>
        <w:p w:rsidR="00C77212" w:rsidRDefault="00070410">
          <w:pPr>
            <w:pStyle w:val="TOC2"/>
            <w:tabs>
              <w:tab w:val="left" w:pos="1474"/>
            </w:tabs>
            <w:rPr>
              <w:rFonts w:asciiTheme="minorHAnsi" w:eastAsiaTheme="minorEastAsia" w:hAnsiTheme="minorHAnsi" w:cstheme="minorBidi"/>
              <w:b w:val="0"/>
              <w:noProof/>
              <w:sz w:val="22"/>
              <w:lang w:eastAsia="en-AU"/>
            </w:rPr>
          </w:pPr>
          <w:hyperlink w:anchor="_Toc383345657" w:history="1">
            <w:r w:rsidR="00C77212" w:rsidRPr="00550090">
              <w:rPr>
                <w:rStyle w:val="Hyperlink"/>
                <w:noProof/>
                <w:lang w:eastAsia="en-AU"/>
              </w:rPr>
              <w:t>1.</w:t>
            </w:r>
            <w:r w:rsidR="00C77212">
              <w:rPr>
                <w:rFonts w:asciiTheme="minorHAnsi" w:eastAsiaTheme="minorEastAsia" w:hAnsiTheme="minorHAnsi" w:cstheme="minorBidi"/>
                <w:b w:val="0"/>
                <w:noProof/>
                <w:sz w:val="22"/>
                <w:lang w:eastAsia="en-AU"/>
              </w:rPr>
              <w:tab/>
            </w:r>
            <w:r w:rsidR="00C77212" w:rsidRPr="00550090">
              <w:rPr>
                <w:rStyle w:val="Hyperlink"/>
                <w:noProof/>
                <w:lang w:eastAsia="en-AU"/>
              </w:rPr>
              <w:t>Clinical rationale</w:t>
            </w:r>
            <w:r w:rsidR="00C77212">
              <w:rPr>
                <w:noProof/>
                <w:webHidden/>
              </w:rPr>
              <w:tab/>
            </w:r>
            <w:r w:rsidR="00C77212">
              <w:rPr>
                <w:noProof/>
                <w:webHidden/>
              </w:rPr>
              <w:fldChar w:fldCharType="begin"/>
            </w:r>
            <w:r w:rsidR="00C77212">
              <w:rPr>
                <w:noProof/>
                <w:webHidden/>
              </w:rPr>
              <w:instrText xml:space="preserve"> PAGEREF _Toc383345657 \h </w:instrText>
            </w:r>
            <w:r w:rsidR="00C77212">
              <w:rPr>
                <w:noProof/>
                <w:webHidden/>
              </w:rPr>
            </w:r>
            <w:r w:rsidR="00C77212">
              <w:rPr>
                <w:noProof/>
                <w:webHidden/>
              </w:rPr>
              <w:fldChar w:fldCharType="separate"/>
            </w:r>
            <w:r w:rsidR="00C77212">
              <w:rPr>
                <w:noProof/>
                <w:webHidden/>
              </w:rPr>
              <w:t>6</w:t>
            </w:r>
            <w:r w:rsidR="00C77212">
              <w:rPr>
                <w:noProof/>
                <w:webHidden/>
              </w:rPr>
              <w:fldChar w:fldCharType="end"/>
            </w:r>
          </w:hyperlink>
        </w:p>
        <w:p w:rsidR="00C77212" w:rsidRDefault="00070410">
          <w:pPr>
            <w:pStyle w:val="TOC2"/>
            <w:tabs>
              <w:tab w:val="left" w:pos="1474"/>
            </w:tabs>
            <w:rPr>
              <w:rFonts w:asciiTheme="minorHAnsi" w:eastAsiaTheme="minorEastAsia" w:hAnsiTheme="minorHAnsi" w:cstheme="minorBidi"/>
              <w:b w:val="0"/>
              <w:noProof/>
              <w:sz w:val="22"/>
              <w:lang w:eastAsia="en-AU"/>
            </w:rPr>
          </w:pPr>
          <w:hyperlink w:anchor="_Toc383345658" w:history="1">
            <w:r w:rsidR="00C77212" w:rsidRPr="00550090">
              <w:rPr>
                <w:rStyle w:val="Hyperlink"/>
                <w:noProof/>
                <w:lang w:eastAsia="en-AU"/>
              </w:rPr>
              <w:t>2.</w:t>
            </w:r>
            <w:r w:rsidR="00C77212">
              <w:rPr>
                <w:rFonts w:asciiTheme="minorHAnsi" w:eastAsiaTheme="minorEastAsia" w:hAnsiTheme="minorHAnsi" w:cstheme="minorBidi"/>
                <w:b w:val="0"/>
                <w:noProof/>
                <w:sz w:val="22"/>
                <w:lang w:eastAsia="en-AU"/>
              </w:rPr>
              <w:tab/>
            </w:r>
            <w:r w:rsidR="00C77212" w:rsidRPr="00550090">
              <w:rPr>
                <w:rStyle w:val="Hyperlink"/>
                <w:noProof/>
                <w:lang w:eastAsia="en-AU"/>
              </w:rPr>
              <w:t>Contents of the clinical dossier</w:t>
            </w:r>
            <w:r w:rsidR="00C77212">
              <w:rPr>
                <w:noProof/>
                <w:webHidden/>
              </w:rPr>
              <w:tab/>
            </w:r>
            <w:r w:rsidR="00C77212">
              <w:rPr>
                <w:noProof/>
                <w:webHidden/>
              </w:rPr>
              <w:fldChar w:fldCharType="begin"/>
            </w:r>
            <w:r w:rsidR="00C77212">
              <w:rPr>
                <w:noProof/>
                <w:webHidden/>
              </w:rPr>
              <w:instrText xml:space="preserve"> PAGEREF _Toc383345658 \h </w:instrText>
            </w:r>
            <w:r w:rsidR="00C77212">
              <w:rPr>
                <w:noProof/>
                <w:webHidden/>
              </w:rPr>
            </w:r>
            <w:r w:rsidR="00C77212">
              <w:rPr>
                <w:noProof/>
                <w:webHidden/>
              </w:rPr>
              <w:fldChar w:fldCharType="separate"/>
            </w:r>
            <w:r w:rsidR="00C77212">
              <w:rPr>
                <w:noProof/>
                <w:webHidden/>
              </w:rPr>
              <w:t>7</w:t>
            </w:r>
            <w:r w:rsidR="00C77212">
              <w:rPr>
                <w:noProof/>
                <w:webHidden/>
              </w:rPr>
              <w:fldChar w:fldCharType="end"/>
            </w:r>
          </w:hyperlink>
        </w:p>
        <w:p w:rsidR="00C77212" w:rsidRDefault="00070410">
          <w:pPr>
            <w:pStyle w:val="TOC3"/>
            <w:tabs>
              <w:tab w:val="left" w:pos="1680"/>
            </w:tabs>
            <w:rPr>
              <w:rFonts w:asciiTheme="minorHAnsi" w:eastAsiaTheme="minorEastAsia" w:hAnsiTheme="minorHAnsi" w:cstheme="minorBidi"/>
              <w:noProof/>
              <w:lang w:eastAsia="en-AU"/>
            </w:rPr>
          </w:pPr>
          <w:hyperlink w:anchor="_Toc383345659" w:history="1">
            <w:r w:rsidR="00C77212" w:rsidRPr="00550090">
              <w:rPr>
                <w:rStyle w:val="Hyperlink"/>
                <w:noProof/>
              </w:rPr>
              <w:t>2.1.</w:t>
            </w:r>
            <w:r w:rsidR="00C77212">
              <w:rPr>
                <w:rFonts w:asciiTheme="minorHAnsi" w:eastAsiaTheme="minorEastAsia" w:hAnsiTheme="minorHAnsi" w:cstheme="minorBidi"/>
                <w:noProof/>
                <w:lang w:eastAsia="en-AU"/>
              </w:rPr>
              <w:tab/>
            </w:r>
            <w:r w:rsidR="00C77212" w:rsidRPr="00550090">
              <w:rPr>
                <w:rStyle w:val="Hyperlink"/>
                <w:noProof/>
              </w:rPr>
              <w:t>Scope of the clinical dossier</w:t>
            </w:r>
            <w:r w:rsidR="00C77212">
              <w:rPr>
                <w:noProof/>
                <w:webHidden/>
              </w:rPr>
              <w:tab/>
            </w:r>
            <w:r w:rsidR="00C77212">
              <w:rPr>
                <w:noProof/>
                <w:webHidden/>
              </w:rPr>
              <w:fldChar w:fldCharType="begin"/>
            </w:r>
            <w:r w:rsidR="00C77212">
              <w:rPr>
                <w:noProof/>
                <w:webHidden/>
              </w:rPr>
              <w:instrText xml:space="preserve"> PAGEREF _Toc383345659 \h </w:instrText>
            </w:r>
            <w:r w:rsidR="00C77212">
              <w:rPr>
                <w:noProof/>
                <w:webHidden/>
              </w:rPr>
            </w:r>
            <w:r w:rsidR="00C77212">
              <w:rPr>
                <w:noProof/>
                <w:webHidden/>
              </w:rPr>
              <w:fldChar w:fldCharType="separate"/>
            </w:r>
            <w:r w:rsidR="00C77212">
              <w:rPr>
                <w:noProof/>
                <w:webHidden/>
              </w:rPr>
              <w:t>7</w:t>
            </w:r>
            <w:r w:rsidR="00C77212">
              <w:rPr>
                <w:noProof/>
                <w:webHidden/>
              </w:rPr>
              <w:fldChar w:fldCharType="end"/>
            </w:r>
          </w:hyperlink>
        </w:p>
        <w:p w:rsidR="00C77212" w:rsidRDefault="00070410">
          <w:pPr>
            <w:pStyle w:val="TOC3"/>
            <w:tabs>
              <w:tab w:val="left" w:pos="1680"/>
            </w:tabs>
            <w:rPr>
              <w:rFonts w:asciiTheme="minorHAnsi" w:eastAsiaTheme="minorEastAsia" w:hAnsiTheme="minorHAnsi" w:cstheme="minorBidi"/>
              <w:noProof/>
              <w:lang w:eastAsia="en-AU"/>
            </w:rPr>
          </w:pPr>
          <w:hyperlink w:anchor="_Toc383345660" w:history="1">
            <w:r w:rsidR="00C77212" w:rsidRPr="00550090">
              <w:rPr>
                <w:rStyle w:val="Hyperlink"/>
                <w:noProof/>
              </w:rPr>
              <w:t>2.2.</w:t>
            </w:r>
            <w:r w:rsidR="00C77212">
              <w:rPr>
                <w:rFonts w:asciiTheme="minorHAnsi" w:eastAsiaTheme="minorEastAsia" w:hAnsiTheme="minorHAnsi" w:cstheme="minorBidi"/>
                <w:noProof/>
                <w:lang w:eastAsia="en-AU"/>
              </w:rPr>
              <w:tab/>
            </w:r>
            <w:r w:rsidR="00C77212" w:rsidRPr="00550090">
              <w:rPr>
                <w:rStyle w:val="Hyperlink"/>
                <w:noProof/>
              </w:rPr>
              <w:t>Paediatric data</w:t>
            </w:r>
            <w:r w:rsidR="00C77212">
              <w:rPr>
                <w:noProof/>
                <w:webHidden/>
              </w:rPr>
              <w:tab/>
            </w:r>
            <w:r w:rsidR="00C77212">
              <w:rPr>
                <w:noProof/>
                <w:webHidden/>
              </w:rPr>
              <w:fldChar w:fldCharType="begin"/>
            </w:r>
            <w:r w:rsidR="00C77212">
              <w:rPr>
                <w:noProof/>
                <w:webHidden/>
              </w:rPr>
              <w:instrText xml:space="preserve"> PAGEREF _Toc383345660 \h </w:instrText>
            </w:r>
            <w:r w:rsidR="00C77212">
              <w:rPr>
                <w:noProof/>
                <w:webHidden/>
              </w:rPr>
            </w:r>
            <w:r w:rsidR="00C77212">
              <w:rPr>
                <w:noProof/>
                <w:webHidden/>
              </w:rPr>
              <w:fldChar w:fldCharType="separate"/>
            </w:r>
            <w:r w:rsidR="00C77212">
              <w:rPr>
                <w:noProof/>
                <w:webHidden/>
              </w:rPr>
              <w:t>7</w:t>
            </w:r>
            <w:r w:rsidR="00C77212">
              <w:rPr>
                <w:noProof/>
                <w:webHidden/>
              </w:rPr>
              <w:fldChar w:fldCharType="end"/>
            </w:r>
          </w:hyperlink>
        </w:p>
        <w:p w:rsidR="00C77212" w:rsidRDefault="00070410">
          <w:pPr>
            <w:pStyle w:val="TOC3"/>
            <w:tabs>
              <w:tab w:val="left" w:pos="1680"/>
            </w:tabs>
            <w:rPr>
              <w:rFonts w:asciiTheme="minorHAnsi" w:eastAsiaTheme="minorEastAsia" w:hAnsiTheme="minorHAnsi" w:cstheme="minorBidi"/>
              <w:noProof/>
              <w:lang w:eastAsia="en-AU"/>
            </w:rPr>
          </w:pPr>
          <w:hyperlink w:anchor="_Toc383345661" w:history="1">
            <w:r w:rsidR="00C77212" w:rsidRPr="00550090">
              <w:rPr>
                <w:rStyle w:val="Hyperlink"/>
                <w:noProof/>
              </w:rPr>
              <w:t>2.3.</w:t>
            </w:r>
            <w:r w:rsidR="00C77212">
              <w:rPr>
                <w:rFonts w:asciiTheme="minorHAnsi" w:eastAsiaTheme="minorEastAsia" w:hAnsiTheme="minorHAnsi" w:cstheme="minorBidi"/>
                <w:noProof/>
                <w:lang w:eastAsia="en-AU"/>
              </w:rPr>
              <w:tab/>
            </w:r>
            <w:r w:rsidR="00C77212" w:rsidRPr="00550090">
              <w:rPr>
                <w:rStyle w:val="Hyperlink"/>
                <w:noProof/>
              </w:rPr>
              <w:t>Good clinical practice (GCP)</w:t>
            </w:r>
            <w:r w:rsidR="00C77212">
              <w:rPr>
                <w:noProof/>
                <w:webHidden/>
              </w:rPr>
              <w:tab/>
            </w:r>
            <w:r w:rsidR="00C77212">
              <w:rPr>
                <w:noProof/>
                <w:webHidden/>
              </w:rPr>
              <w:fldChar w:fldCharType="begin"/>
            </w:r>
            <w:r w:rsidR="00C77212">
              <w:rPr>
                <w:noProof/>
                <w:webHidden/>
              </w:rPr>
              <w:instrText xml:space="preserve"> PAGEREF _Toc383345661 \h </w:instrText>
            </w:r>
            <w:r w:rsidR="00C77212">
              <w:rPr>
                <w:noProof/>
                <w:webHidden/>
              </w:rPr>
            </w:r>
            <w:r w:rsidR="00C77212">
              <w:rPr>
                <w:noProof/>
                <w:webHidden/>
              </w:rPr>
              <w:fldChar w:fldCharType="separate"/>
            </w:r>
            <w:r w:rsidR="00C77212">
              <w:rPr>
                <w:noProof/>
                <w:webHidden/>
              </w:rPr>
              <w:t>7</w:t>
            </w:r>
            <w:r w:rsidR="00C77212">
              <w:rPr>
                <w:noProof/>
                <w:webHidden/>
              </w:rPr>
              <w:fldChar w:fldCharType="end"/>
            </w:r>
          </w:hyperlink>
        </w:p>
        <w:p w:rsidR="00C77212" w:rsidRDefault="00070410">
          <w:pPr>
            <w:pStyle w:val="TOC2"/>
            <w:tabs>
              <w:tab w:val="left" w:pos="1474"/>
            </w:tabs>
            <w:rPr>
              <w:rFonts w:asciiTheme="minorHAnsi" w:eastAsiaTheme="minorEastAsia" w:hAnsiTheme="minorHAnsi" w:cstheme="minorBidi"/>
              <w:b w:val="0"/>
              <w:noProof/>
              <w:sz w:val="22"/>
              <w:lang w:eastAsia="en-AU"/>
            </w:rPr>
          </w:pPr>
          <w:hyperlink w:anchor="_Toc383345662" w:history="1">
            <w:r w:rsidR="00C77212" w:rsidRPr="00550090">
              <w:rPr>
                <w:rStyle w:val="Hyperlink"/>
                <w:noProof/>
              </w:rPr>
              <w:t>3.</w:t>
            </w:r>
            <w:r w:rsidR="00C77212">
              <w:rPr>
                <w:rFonts w:asciiTheme="minorHAnsi" w:eastAsiaTheme="minorEastAsia" w:hAnsiTheme="minorHAnsi" w:cstheme="minorBidi"/>
                <w:b w:val="0"/>
                <w:noProof/>
                <w:sz w:val="22"/>
                <w:lang w:eastAsia="en-AU"/>
              </w:rPr>
              <w:tab/>
            </w:r>
            <w:r w:rsidR="00C77212" w:rsidRPr="00550090">
              <w:rPr>
                <w:rStyle w:val="Hyperlink"/>
                <w:noProof/>
              </w:rPr>
              <w:t>Pharmacokinetics</w:t>
            </w:r>
            <w:r w:rsidR="00C77212">
              <w:rPr>
                <w:noProof/>
                <w:webHidden/>
              </w:rPr>
              <w:tab/>
            </w:r>
            <w:r w:rsidR="00C77212">
              <w:rPr>
                <w:noProof/>
                <w:webHidden/>
              </w:rPr>
              <w:fldChar w:fldCharType="begin"/>
            </w:r>
            <w:r w:rsidR="00C77212">
              <w:rPr>
                <w:noProof/>
                <w:webHidden/>
              </w:rPr>
              <w:instrText xml:space="preserve"> PAGEREF _Toc383345662 \h </w:instrText>
            </w:r>
            <w:r w:rsidR="00C77212">
              <w:rPr>
                <w:noProof/>
                <w:webHidden/>
              </w:rPr>
            </w:r>
            <w:r w:rsidR="00C77212">
              <w:rPr>
                <w:noProof/>
                <w:webHidden/>
              </w:rPr>
              <w:fldChar w:fldCharType="separate"/>
            </w:r>
            <w:r w:rsidR="00C77212">
              <w:rPr>
                <w:noProof/>
                <w:webHidden/>
              </w:rPr>
              <w:t>7</w:t>
            </w:r>
            <w:r w:rsidR="00C77212">
              <w:rPr>
                <w:noProof/>
                <w:webHidden/>
              </w:rPr>
              <w:fldChar w:fldCharType="end"/>
            </w:r>
          </w:hyperlink>
        </w:p>
        <w:p w:rsidR="00C77212" w:rsidRDefault="00070410">
          <w:pPr>
            <w:pStyle w:val="TOC2"/>
            <w:tabs>
              <w:tab w:val="left" w:pos="1474"/>
            </w:tabs>
            <w:rPr>
              <w:rFonts w:asciiTheme="minorHAnsi" w:eastAsiaTheme="minorEastAsia" w:hAnsiTheme="minorHAnsi" w:cstheme="minorBidi"/>
              <w:b w:val="0"/>
              <w:noProof/>
              <w:sz w:val="22"/>
              <w:lang w:eastAsia="en-AU"/>
            </w:rPr>
          </w:pPr>
          <w:hyperlink w:anchor="_Toc383345663" w:history="1">
            <w:r w:rsidR="00C77212" w:rsidRPr="00550090">
              <w:rPr>
                <w:rStyle w:val="Hyperlink"/>
                <w:noProof/>
              </w:rPr>
              <w:t>4.</w:t>
            </w:r>
            <w:r w:rsidR="00C77212">
              <w:rPr>
                <w:rFonts w:asciiTheme="minorHAnsi" w:eastAsiaTheme="minorEastAsia" w:hAnsiTheme="minorHAnsi" w:cstheme="minorBidi"/>
                <w:b w:val="0"/>
                <w:noProof/>
                <w:sz w:val="22"/>
                <w:lang w:eastAsia="en-AU"/>
              </w:rPr>
              <w:tab/>
            </w:r>
            <w:r w:rsidR="00C77212" w:rsidRPr="00550090">
              <w:rPr>
                <w:rStyle w:val="Hyperlink"/>
                <w:noProof/>
              </w:rPr>
              <w:t>Pharmacodynamics</w:t>
            </w:r>
            <w:r w:rsidR="00C77212">
              <w:rPr>
                <w:noProof/>
                <w:webHidden/>
              </w:rPr>
              <w:tab/>
            </w:r>
            <w:r w:rsidR="00C77212">
              <w:rPr>
                <w:noProof/>
                <w:webHidden/>
              </w:rPr>
              <w:fldChar w:fldCharType="begin"/>
            </w:r>
            <w:r w:rsidR="00C77212">
              <w:rPr>
                <w:noProof/>
                <w:webHidden/>
              </w:rPr>
              <w:instrText xml:space="preserve"> PAGEREF _Toc383345663 \h </w:instrText>
            </w:r>
            <w:r w:rsidR="00C77212">
              <w:rPr>
                <w:noProof/>
                <w:webHidden/>
              </w:rPr>
            </w:r>
            <w:r w:rsidR="00C77212">
              <w:rPr>
                <w:noProof/>
                <w:webHidden/>
              </w:rPr>
              <w:fldChar w:fldCharType="separate"/>
            </w:r>
            <w:r w:rsidR="00C77212">
              <w:rPr>
                <w:noProof/>
                <w:webHidden/>
              </w:rPr>
              <w:t>8</w:t>
            </w:r>
            <w:r w:rsidR="00C77212">
              <w:rPr>
                <w:noProof/>
                <w:webHidden/>
              </w:rPr>
              <w:fldChar w:fldCharType="end"/>
            </w:r>
          </w:hyperlink>
        </w:p>
        <w:p w:rsidR="00C77212" w:rsidRDefault="00070410">
          <w:pPr>
            <w:pStyle w:val="TOC2"/>
            <w:tabs>
              <w:tab w:val="left" w:pos="1474"/>
            </w:tabs>
            <w:rPr>
              <w:rFonts w:asciiTheme="minorHAnsi" w:eastAsiaTheme="minorEastAsia" w:hAnsiTheme="minorHAnsi" w:cstheme="minorBidi"/>
              <w:b w:val="0"/>
              <w:noProof/>
              <w:sz w:val="22"/>
              <w:lang w:eastAsia="en-AU"/>
            </w:rPr>
          </w:pPr>
          <w:hyperlink w:anchor="_Toc383345664" w:history="1">
            <w:r w:rsidR="00C77212" w:rsidRPr="00550090">
              <w:rPr>
                <w:rStyle w:val="Hyperlink"/>
                <w:noProof/>
              </w:rPr>
              <w:t>5.</w:t>
            </w:r>
            <w:r w:rsidR="00C77212">
              <w:rPr>
                <w:rFonts w:asciiTheme="minorHAnsi" w:eastAsiaTheme="minorEastAsia" w:hAnsiTheme="minorHAnsi" w:cstheme="minorBidi"/>
                <w:b w:val="0"/>
                <w:noProof/>
                <w:sz w:val="22"/>
                <w:lang w:eastAsia="en-AU"/>
              </w:rPr>
              <w:tab/>
            </w:r>
            <w:r w:rsidR="00C77212" w:rsidRPr="00550090">
              <w:rPr>
                <w:rStyle w:val="Hyperlink"/>
                <w:noProof/>
              </w:rPr>
              <w:t>Dosage selection for the pivotal studies</w:t>
            </w:r>
            <w:r w:rsidR="00C77212">
              <w:rPr>
                <w:noProof/>
                <w:webHidden/>
              </w:rPr>
              <w:tab/>
            </w:r>
            <w:r w:rsidR="00C77212">
              <w:rPr>
                <w:noProof/>
                <w:webHidden/>
              </w:rPr>
              <w:fldChar w:fldCharType="begin"/>
            </w:r>
            <w:r w:rsidR="00C77212">
              <w:rPr>
                <w:noProof/>
                <w:webHidden/>
              </w:rPr>
              <w:instrText xml:space="preserve"> PAGEREF _Toc383345664 \h </w:instrText>
            </w:r>
            <w:r w:rsidR="00C77212">
              <w:rPr>
                <w:noProof/>
                <w:webHidden/>
              </w:rPr>
            </w:r>
            <w:r w:rsidR="00C77212">
              <w:rPr>
                <w:noProof/>
                <w:webHidden/>
              </w:rPr>
              <w:fldChar w:fldCharType="separate"/>
            </w:r>
            <w:r w:rsidR="00C77212">
              <w:rPr>
                <w:noProof/>
                <w:webHidden/>
              </w:rPr>
              <w:t>8</w:t>
            </w:r>
            <w:r w:rsidR="00C77212">
              <w:rPr>
                <w:noProof/>
                <w:webHidden/>
              </w:rPr>
              <w:fldChar w:fldCharType="end"/>
            </w:r>
          </w:hyperlink>
        </w:p>
        <w:p w:rsidR="00C77212" w:rsidRDefault="00070410">
          <w:pPr>
            <w:pStyle w:val="TOC2"/>
            <w:tabs>
              <w:tab w:val="left" w:pos="1474"/>
            </w:tabs>
            <w:rPr>
              <w:rFonts w:asciiTheme="minorHAnsi" w:eastAsiaTheme="minorEastAsia" w:hAnsiTheme="minorHAnsi" w:cstheme="minorBidi"/>
              <w:b w:val="0"/>
              <w:noProof/>
              <w:sz w:val="22"/>
              <w:lang w:eastAsia="en-AU"/>
            </w:rPr>
          </w:pPr>
          <w:hyperlink w:anchor="_Toc383345665" w:history="1">
            <w:r w:rsidR="00C77212" w:rsidRPr="00550090">
              <w:rPr>
                <w:rStyle w:val="Hyperlink"/>
                <w:noProof/>
              </w:rPr>
              <w:t>6.</w:t>
            </w:r>
            <w:r w:rsidR="00C77212">
              <w:rPr>
                <w:rFonts w:asciiTheme="minorHAnsi" w:eastAsiaTheme="minorEastAsia" w:hAnsiTheme="minorHAnsi" w:cstheme="minorBidi"/>
                <w:b w:val="0"/>
                <w:noProof/>
                <w:sz w:val="22"/>
                <w:lang w:eastAsia="en-AU"/>
              </w:rPr>
              <w:tab/>
            </w:r>
            <w:r w:rsidR="00C77212" w:rsidRPr="00550090">
              <w:rPr>
                <w:rStyle w:val="Hyperlink"/>
                <w:noProof/>
              </w:rPr>
              <w:t>Clinical efficacy</w:t>
            </w:r>
            <w:r w:rsidR="00C77212">
              <w:rPr>
                <w:noProof/>
                <w:webHidden/>
              </w:rPr>
              <w:tab/>
            </w:r>
            <w:r w:rsidR="00C77212">
              <w:rPr>
                <w:noProof/>
                <w:webHidden/>
              </w:rPr>
              <w:fldChar w:fldCharType="begin"/>
            </w:r>
            <w:r w:rsidR="00C77212">
              <w:rPr>
                <w:noProof/>
                <w:webHidden/>
              </w:rPr>
              <w:instrText xml:space="preserve"> PAGEREF _Toc383345665 \h </w:instrText>
            </w:r>
            <w:r w:rsidR="00C77212">
              <w:rPr>
                <w:noProof/>
                <w:webHidden/>
              </w:rPr>
            </w:r>
            <w:r w:rsidR="00C77212">
              <w:rPr>
                <w:noProof/>
                <w:webHidden/>
              </w:rPr>
              <w:fldChar w:fldCharType="separate"/>
            </w:r>
            <w:r w:rsidR="00C77212">
              <w:rPr>
                <w:noProof/>
                <w:webHidden/>
              </w:rPr>
              <w:t>8</w:t>
            </w:r>
            <w:r w:rsidR="00C77212">
              <w:rPr>
                <w:noProof/>
                <w:webHidden/>
              </w:rPr>
              <w:fldChar w:fldCharType="end"/>
            </w:r>
          </w:hyperlink>
        </w:p>
        <w:p w:rsidR="00C77212" w:rsidRDefault="00070410">
          <w:pPr>
            <w:pStyle w:val="TOC3"/>
            <w:tabs>
              <w:tab w:val="left" w:pos="1680"/>
            </w:tabs>
            <w:rPr>
              <w:rFonts w:asciiTheme="minorHAnsi" w:eastAsiaTheme="minorEastAsia" w:hAnsiTheme="minorHAnsi" w:cstheme="minorBidi"/>
              <w:noProof/>
              <w:lang w:eastAsia="en-AU"/>
            </w:rPr>
          </w:pPr>
          <w:hyperlink w:anchor="_Toc383345666" w:history="1">
            <w:r w:rsidR="00C77212" w:rsidRPr="00550090">
              <w:rPr>
                <w:rStyle w:val="Hyperlink"/>
                <w:noProof/>
              </w:rPr>
              <w:t>6.1.</w:t>
            </w:r>
            <w:r w:rsidR="00C77212">
              <w:rPr>
                <w:rFonts w:asciiTheme="minorHAnsi" w:eastAsiaTheme="minorEastAsia" w:hAnsiTheme="minorHAnsi" w:cstheme="minorBidi"/>
                <w:noProof/>
                <w:lang w:eastAsia="en-AU"/>
              </w:rPr>
              <w:tab/>
            </w:r>
            <w:r w:rsidR="00C77212" w:rsidRPr="00550090">
              <w:rPr>
                <w:rStyle w:val="Hyperlink"/>
                <w:noProof/>
              </w:rPr>
              <w:t>Clinical Immunogenicity</w:t>
            </w:r>
            <w:r w:rsidR="00C77212">
              <w:rPr>
                <w:noProof/>
                <w:webHidden/>
              </w:rPr>
              <w:tab/>
            </w:r>
            <w:r w:rsidR="00C77212">
              <w:rPr>
                <w:noProof/>
                <w:webHidden/>
              </w:rPr>
              <w:fldChar w:fldCharType="begin"/>
            </w:r>
            <w:r w:rsidR="00C77212">
              <w:rPr>
                <w:noProof/>
                <w:webHidden/>
              </w:rPr>
              <w:instrText xml:space="preserve"> PAGEREF _Toc383345666 \h </w:instrText>
            </w:r>
            <w:r w:rsidR="00C77212">
              <w:rPr>
                <w:noProof/>
                <w:webHidden/>
              </w:rPr>
            </w:r>
            <w:r w:rsidR="00C77212">
              <w:rPr>
                <w:noProof/>
                <w:webHidden/>
              </w:rPr>
              <w:fldChar w:fldCharType="separate"/>
            </w:r>
            <w:r w:rsidR="00C77212">
              <w:rPr>
                <w:noProof/>
                <w:webHidden/>
              </w:rPr>
              <w:t>8</w:t>
            </w:r>
            <w:r w:rsidR="00C77212">
              <w:rPr>
                <w:noProof/>
                <w:webHidden/>
              </w:rPr>
              <w:fldChar w:fldCharType="end"/>
            </w:r>
          </w:hyperlink>
        </w:p>
        <w:p w:rsidR="00C77212" w:rsidRDefault="00070410">
          <w:pPr>
            <w:pStyle w:val="TOC3"/>
            <w:tabs>
              <w:tab w:val="left" w:pos="1680"/>
            </w:tabs>
            <w:rPr>
              <w:rFonts w:asciiTheme="minorHAnsi" w:eastAsiaTheme="minorEastAsia" w:hAnsiTheme="minorHAnsi" w:cstheme="minorBidi"/>
              <w:noProof/>
              <w:lang w:eastAsia="en-AU"/>
            </w:rPr>
          </w:pPr>
          <w:hyperlink w:anchor="_Toc383345667" w:history="1">
            <w:r w:rsidR="00C77212" w:rsidRPr="00550090">
              <w:rPr>
                <w:rStyle w:val="Hyperlink"/>
                <w:noProof/>
              </w:rPr>
              <w:t>6.2.</w:t>
            </w:r>
            <w:r w:rsidR="00C77212">
              <w:rPr>
                <w:rFonts w:asciiTheme="minorHAnsi" w:eastAsiaTheme="minorEastAsia" w:hAnsiTheme="minorHAnsi" w:cstheme="minorBidi"/>
                <w:noProof/>
                <w:lang w:eastAsia="en-AU"/>
              </w:rPr>
              <w:tab/>
            </w:r>
            <w:r w:rsidR="00C77212" w:rsidRPr="00550090">
              <w:rPr>
                <w:rStyle w:val="Hyperlink"/>
                <w:noProof/>
              </w:rPr>
              <w:t>Efficacy</w:t>
            </w:r>
            <w:r w:rsidR="00C77212">
              <w:rPr>
                <w:noProof/>
                <w:webHidden/>
              </w:rPr>
              <w:tab/>
            </w:r>
            <w:r w:rsidR="00C77212">
              <w:rPr>
                <w:noProof/>
                <w:webHidden/>
              </w:rPr>
              <w:fldChar w:fldCharType="begin"/>
            </w:r>
            <w:r w:rsidR="00C77212">
              <w:rPr>
                <w:noProof/>
                <w:webHidden/>
              </w:rPr>
              <w:instrText xml:space="preserve"> PAGEREF _Toc383345667 \h </w:instrText>
            </w:r>
            <w:r w:rsidR="00C77212">
              <w:rPr>
                <w:noProof/>
                <w:webHidden/>
              </w:rPr>
            </w:r>
            <w:r w:rsidR="00C77212">
              <w:rPr>
                <w:noProof/>
                <w:webHidden/>
              </w:rPr>
              <w:fldChar w:fldCharType="separate"/>
            </w:r>
            <w:r w:rsidR="00C77212">
              <w:rPr>
                <w:noProof/>
                <w:webHidden/>
              </w:rPr>
              <w:t>25</w:t>
            </w:r>
            <w:r w:rsidR="00C77212">
              <w:rPr>
                <w:noProof/>
                <w:webHidden/>
              </w:rPr>
              <w:fldChar w:fldCharType="end"/>
            </w:r>
          </w:hyperlink>
        </w:p>
        <w:p w:rsidR="00C77212" w:rsidRDefault="00070410">
          <w:pPr>
            <w:pStyle w:val="TOC2"/>
            <w:tabs>
              <w:tab w:val="left" w:pos="1474"/>
            </w:tabs>
            <w:rPr>
              <w:rFonts w:asciiTheme="minorHAnsi" w:eastAsiaTheme="minorEastAsia" w:hAnsiTheme="minorHAnsi" w:cstheme="minorBidi"/>
              <w:b w:val="0"/>
              <w:noProof/>
              <w:sz w:val="22"/>
              <w:lang w:eastAsia="en-AU"/>
            </w:rPr>
          </w:pPr>
          <w:hyperlink w:anchor="_Toc383345668" w:history="1">
            <w:r w:rsidR="00C77212" w:rsidRPr="00550090">
              <w:rPr>
                <w:rStyle w:val="Hyperlink"/>
                <w:noProof/>
              </w:rPr>
              <w:t>7.</w:t>
            </w:r>
            <w:r w:rsidR="00C77212">
              <w:rPr>
                <w:rFonts w:asciiTheme="minorHAnsi" w:eastAsiaTheme="minorEastAsia" w:hAnsiTheme="minorHAnsi" w:cstheme="minorBidi"/>
                <w:b w:val="0"/>
                <w:noProof/>
                <w:sz w:val="22"/>
                <w:lang w:eastAsia="en-AU"/>
              </w:rPr>
              <w:tab/>
            </w:r>
            <w:r w:rsidR="00C77212" w:rsidRPr="00550090">
              <w:rPr>
                <w:rStyle w:val="Hyperlink"/>
                <w:noProof/>
              </w:rPr>
              <w:t>Clinical safety</w:t>
            </w:r>
            <w:r w:rsidR="00C77212">
              <w:rPr>
                <w:noProof/>
                <w:webHidden/>
              </w:rPr>
              <w:tab/>
            </w:r>
            <w:r w:rsidR="00C77212">
              <w:rPr>
                <w:noProof/>
                <w:webHidden/>
              </w:rPr>
              <w:fldChar w:fldCharType="begin"/>
            </w:r>
            <w:r w:rsidR="00C77212">
              <w:rPr>
                <w:noProof/>
                <w:webHidden/>
              </w:rPr>
              <w:instrText xml:space="preserve"> PAGEREF _Toc383345668 \h </w:instrText>
            </w:r>
            <w:r w:rsidR="00C77212">
              <w:rPr>
                <w:noProof/>
                <w:webHidden/>
              </w:rPr>
            </w:r>
            <w:r w:rsidR="00C77212">
              <w:rPr>
                <w:noProof/>
                <w:webHidden/>
              </w:rPr>
              <w:fldChar w:fldCharType="separate"/>
            </w:r>
            <w:r w:rsidR="00C77212">
              <w:rPr>
                <w:noProof/>
                <w:webHidden/>
              </w:rPr>
              <w:t>49</w:t>
            </w:r>
            <w:r w:rsidR="00C77212">
              <w:rPr>
                <w:noProof/>
                <w:webHidden/>
              </w:rPr>
              <w:fldChar w:fldCharType="end"/>
            </w:r>
          </w:hyperlink>
        </w:p>
        <w:p w:rsidR="00C77212" w:rsidRDefault="00070410">
          <w:pPr>
            <w:pStyle w:val="TOC3"/>
            <w:tabs>
              <w:tab w:val="left" w:pos="1680"/>
            </w:tabs>
            <w:rPr>
              <w:rFonts w:asciiTheme="minorHAnsi" w:eastAsiaTheme="minorEastAsia" w:hAnsiTheme="minorHAnsi" w:cstheme="minorBidi"/>
              <w:noProof/>
              <w:lang w:eastAsia="en-AU"/>
            </w:rPr>
          </w:pPr>
          <w:hyperlink w:anchor="_Toc383345669" w:history="1">
            <w:r w:rsidR="00C77212" w:rsidRPr="00550090">
              <w:rPr>
                <w:rStyle w:val="Hyperlink"/>
                <w:noProof/>
              </w:rPr>
              <w:t>7.1.</w:t>
            </w:r>
            <w:r w:rsidR="00C77212">
              <w:rPr>
                <w:rFonts w:asciiTheme="minorHAnsi" w:eastAsiaTheme="minorEastAsia" w:hAnsiTheme="minorHAnsi" w:cstheme="minorBidi"/>
                <w:noProof/>
                <w:lang w:eastAsia="en-AU"/>
              </w:rPr>
              <w:tab/>
            </w:r>
            <w:r w:rsidR="00C77212" w:rsidRPr="00550090">
              <w:rPr>
                <w:rStyle w:val="Hyperlink"/>
                <w:noProof/>
              </w:rPr>
              <w:t>Introduction</w:t>
            </w:r>
            <w:r w:rsidR="00C77212">
              <w:rPr>
                <w:noProof/>
                <w:webHidden/>
              </w:rPr>
              <w:tab/>
            </w:r>
            <w:r w:rsidR="00C77212">
              <w:rPr>
                <w:noProof/>
                <w:webHidden/>
              </w:rPr>
              <w:fldChar w:fldCharType="begin"/>
            </w:r>
            <w:r w:rsidR="00C77212">
              <w:rPr>
                <w:noProof/>
                <w:webHidden/>
              </w:rPr>
              <w:instrText xml:space="preserve"> PAGEREF _Toc383345669 \h </w:instrText>
            </w:r>
            <w:r w:rsidR="00C77212">
              <w:rPr>
                <w:noProof/>
                <w:webHidden/>
              </w:rPr>
            </w:r>
            <w:r w:rsidR="00C77212">
              <w:rPr>
                <w:noProof/>
                <w:webHidden/>
              </w:rPr>
              <w:fldChar w:fldCharType="separate"/>
            </w:r>
            <w:r w:rsidR="00C77212">
              <w:rPr>
                <w:noProof/>
                <w:webHidden/>
              </w:rPr>
              <w:t>49</w:t>
            </w:r>
            <w:r w:rsidR="00C77212">
              <w:rPr>
                <w:noProof/>
                <w:webHidden/>
              </w:rPr>
              <w:fldChar w:fldCharType="end"/>
            </w:r>
          </w:hyperlink>
        </w:p>
        <w:p w:rsidR="00C77212" w:rsidRDefault="00070410">
          <w:pPr>
            <w:pStyle w:val="TOC3"/>
            <w:tabs>
              <w:tab w:val="left" w:pos="1680"/>
            </w:tabs>
            <w:rPr>
              <w:rFonts w:asciiTheme="minorHAnsi" w:eastAsiaTheme="minorEastAsia" w:hAnsiTheme="minorHAnsi" w:cstheme="minorBidi"/>
              <w:noProof/>
              <w:lang w:eastAsia="en-AU"/>
            </w:rPr>
          </w:pPr>
          <w:hyperlink w:anchor="_Toc383345670" w:history="1">
            <w:r w:rsidR="00C77212" w:rsidRPr="00550090">
              <w:rPr>
                <w:rStyle w:val="Hyperlink"/>
                <w:noProof/>
              </w:rPr>
              <w:t>7.2.</w:t>
            </w:r>
            <w:r w:rsidR="00C77212">
              <w:rPr>
                <w:rFonts w:asciiTheme="minorHAnsi" w:eastAsiaTheme="minorEastAsia" w:hAnsiTheme="minorHAnsi" w:cstheme="minorBidi"/>
                <w:noProof/>
                <w:lang w:eastAsia="en-AU"/>
              </w:rPr>
              <w:tab/>
            </w:r>
            <w:r w:rsidR="00C77212" w:rsidRPr="00550090">
              <w:rPr>
                <w:rStyle w:val="Hyperlink"/>
                <w:noProof/>
              </w:rPr>
              <w:t>Adult studies D-QIV-008 and D-QIV-001</w:t>
            </w:r>
            <w:r w:rsidR="00C77212">
              <w:rPr>
                <w:noProof/>
                <w:webHidden/>
              </w:rPr>
              <w:tab/>
            </w:r>
            <w:r w:rsidR="00C77212">
              <w:rPr>
                <w:noProof/>
                <w:webHidden/>
              </w:rPr>
              <w:fldChar w:fldCharType="begin"/>
            </w:r>
            <w:r w:rsidR="00C77212">
              <w:rPr>
                <w:noProof/>
                <w:webHidden/>
              </w:rPr>
              <w:instrText xml:space="preserve"> PAGEREF _Toc383345670 \h </w:instrText>
            </w:r>
            <w:r w:rsidR="00C77212">
              <w:rPr>
                <w:noProof/>
                <w:webHidden/>
              </w:rPr>
            </w:r>
            <w:r w:rsidR="00C77212">
              <w:rPr>
                <w:noProof/>
                <w:webHidden/>
              </w:rPr>
              <w:fldChar w:fldCharType="separate"/>
            </w:r>
            <w:r w:rsidR="00C77212">
              <w:rPr>
                <w:noProof/>
                <w:webHidden/>
              </w:rPr>
              <w:t>51</w:t>
            </w:r>
            <w:r w:rsidR="00C77212">
              <w:rPr>
                <w:noProof/>
                <w:webHidden/>
              </w:rPr>
              <w:fldChar w:fldCharType="end"/>
            </w:r>
          </w:hyperlink>
        </w:p>
        <w:p w:rsidR="00C77212" w:rsidRDefault="00070410">
          <w:pPr>
            <w:pStyle w:val="TOC3"/>
            <w:tabs>
              <w:tab w:val="left" w:pos="1680"/>
            </w:tabs>
            <w:rPr>
              <w:rFonts w:asciiTheme="minorHAnsi" w:eastAsiaTheme="minorEastAsia" w:hAnsiTheme="minorHAnsi" w:cstheme="minorBidi"/>
              <w:noProof/>
              <w:lang w:eastAsia="en-AU"/>
            </w:rPr>
          </w:pPr>
          <w:hyperlink w:anchor="_Toc383345671" w:history="1">
            <w:r w:rsidR="00C77212" w:rsidRPr="00550090">
              <w:rPr>
                <w:rStyle w:val="Hyperlink"/>
                <w:noProof/>
              </w:rPr>
              <w:t>7.3.</w:t>
            </w:r>
            <w:r w:rsidR="00C77212">
              <w:rPr>
                <w:rFonts w:asciiTheme="minorHAnsi" w:eastAsiaTheme="minorEastAsia" w:hAnsiTheme="minorHAnsi" w:cstheme="minorBidi"/>
                <w:noProof/>
                <w:lang w:eastAsia="en-AU"/>
              </w:rPr>
              <w:tab/>
            </w:r>
            <w:r w:rsidR="00C77212" w:rsidRPr="00550090">
              <w:rPr>
                <w:rStyle w:val="Hyperlink"/>
                <w:noProof/>
              </w:rPr>
              <w:t>Paediatric studies D-QIV-003 and D-QIV-002</w:t>
            </w:r>
            <w:r w:rsidR="00C77212">
              <w:rPr>
                <w:noProof/>
                <w:webHidden/>
              </w:rPr>
              <w:tab/>
            </w:r>
            <w:r w:rsidR="00C77212">
              <w:rPr>
                <w:noProof/>
                <w:webHidden/>
              </w:rPr>
              <w:fldChar w:fldCharType="begin"/>
            </w:r>
            <w:r w:rsidR="00C77212">
              <w:rPr>
                <w:noProof/>
                <w:webHidden/>
              </w:rPr>
              <w:instrText xml:space="preserve"> PAGEREF _Toc383345671 \h </w:instrText>
            </w:r>
            <w:r w:rsidR="00C77212">
              <w:rPr>
                <w:noProof/>
                <w:webHidden/>
              </w:rPr>
            </w:r>
            <w:r w:rsidR="00C77212">
              <w:rPr>
                <w:noProof/>
                <w:webHidden/>
              </w:rPr>
              <w:fldChar w:fldCharType="separate"/>
            </w:r>
            <w:r w:rsidR="00C77212">
              <w:rPr>
                <w:noProof/>
                <w:webHidden/>
              </w:rPr>
              <w:t>53</w:t>
            </w:r>
            <w:r w:rsidR="00C77212">
              <w:rPr>
                <w:noProof/>
                <w:webHidden/>
              </w:rPr>
              <w:fldChar w:fldCharType="end"/>
            </w:r>
          </w:hyperlink>
        </w:p>
        <w:p w:rsidR="00C77212" w:rsidRDefault="00070410">
          <w:pPr>
            <w:pStyle w:val="TOC2"/>
            <w:tabs>
              <w:tab w:val="left" w:pos="1474"/>
            </w:tabs>
            <w:rPr>
              <w:rFonts w:asciiTheme="minorHAnsi" w:eastAsiaTheme="minorEastAsia" w:hAnsiTheme="minorHAnsi" w:cstheme="minorBidi"/>
              <w:b w:val="0"/>
              <w:noProof/>
              <w:sz w:val="22"/>
              <w:lang w:eastAsia="en-AU"/>
            </w:rPr>
          </w:pPr>
          <w:hyperlink w:anchor="_Toc383345672" w:history="1">
            <w:r w:rsidR="00C77212" w:rsidRPr="00550090">
              <w:rPr>
                <w:rStyle w:val="Hyperlink"/>
                <w:noProof/>
              </w:rPr>
              <w:t>8.</w:t>
            </w:r>
            <w:r w:rsidR="00C77212">
              <w:rPr>
                <w:rFonts w:asciiTheme="minorHAnsi" w:eastAsiaTheme="minorEastAsia" w:hAnsiTheme="minorHAnsi" w:cstheme="minorBidi"/>
                <w:b w:val="0"/>
                <w:noProof/>
                <w:sz w:val="22"/>
                <w:lang w:eastAsia="en-AU"/>
              </w:rPr>
              <w:tab/>
            </w:r>
            <w:r w:rsidR="00C77212" w:rsidRPr="00550090">
              <w:rPr>
                <w:rStyle w:val="Hyperlink"/>
                <w:noProof/>
              </w:rPr>
              <w:t>First Round Summary and Discussion</w:t>
            </w:r>
            <w:r w:rsidR="00C77212">
              <w:rPr>
                <w:noProof/>
                <w:webHidden/>
              </w:rPr>
              <w:tab/>
            </w:r>
            <w:r w:rsidR="00C77212">
              <w:rPr>
                <w:noProof/>
                <w:webHidden/>
              </w:rPr>
              <w:fldChar w:fldCharType="begin"/>
            </w:r>
            <w:r w:rsidR="00C77212">
              <w:rPr>
                <w:noProof/>
                <w:webHidden/>
              </w:rPr>
              <w:instrText xml:space="preserve"> PAGEREF _Toc383345672 \h </w:instrText>
            </w:r>
            <w:r w:rsidR="00C77212">
              <w:rPr>
                <w:noProof/>
                <w:webHidden/>
              </w:rPr>
            </w:r>
            <w:r w:rsidR="00C77212">
              <w:rPr>
                <w:noProof/>
                <w:webHidden/>
              </w:rPr>
              <w:fldChar w:fldCharType="separate"/>
            </w:r>
            <w:r w:rsidR="00C77212">
              <w:rPr>
                <w:noProof/>
                <w:webHidden/>
              </w:rPr>
              <w:t>55</w:t>
            </w:r>
            <w:r w:rsidR="00C77212">
              <w:rPr>
                <w:noProof/>
                <w:webHidden/>
              </w:rPr>
              <w:fldChar w:fldCharType="end"/>
            </w:r>
          </w:hyperlink>
        </w:p>
        <w:p w:rsidR="00C77212" w:rsidRDefault="00070410">
          <w:pPr>
            <w:pStyle w:val="TOC3"/>
            <w:tabs>
              <w:tab w:val="left" w:pos="1680"/>
            </w:tabs>
            <w:rPr>
              <w:rFonts w:asciiTheme="minorHAnsi" w:eastAsiaTheme="minorEastAsia" w:hAnsiTheme="minorHAnsi" w:cstheme="minorBidi"/>
              <w:noProof/>
              <w:lang w:eastAsia="en-AU"/>
            </w:rPr>
          </w:pPr>
          <w:hyperlink w:anchor="_Toc383345673" w:history="1">
            <w:r w:rsidR="00C77212" w:rsidRPr="00550090">
              <w:rPr>
                <w:rStyle w:val="Hyperlink"/>
                <w:noProof/>
              </w:rPr>
              <w:t>8.1.</w:t>
            </w:r>
            <w:r w:rsidR="00C77212">
              <w:rPr>
                <w:rFonts w:asciiTheme="minorHAnsi" w:eastAsiaTheme="minorEastAsia" w:hAnsiTheme="minorHAnsi" w:cstheme="minorBidi"/>
                <w:noProof/>
                <w:lang w:eastAsia="en-AU"/>
              </w:rPr>
              <w:tab/>
            </w:r>
            <w:r w:rsidR="00C77212" w:rsidRPr="00550090">
              <w:rPr>
                <w:rStyle w:val="Hyperlink"/>
                <w:noProof/>
              </w:rPr>
              <w:t>Adult efficacy</w:t>
            </w:r>
            <w:r w:rsidR="00C77212">
              <w:rPr>
                <w:noProof/>
                <w:webHidden/>
              </w:rPr>
              <w:tab/>
            </w:r>
            <w:r w:rsidR="00C77212">
              <w:rPr>
                <w:noProof/>
                <w:webHidden/>
              </w:rPr>
              <w:fldChar w:fldCharType="begin"/>
            </w:r>
            <w:r w:rsidR="00C77212">
              <w:rPr>
                <w:noProof/>
                <w:webHidden/>
              </w:rPr>
              <w:instrText xml:space="preserve"> PAGEREF _Toc383345673 \h </w:instrText>
            </w:r>
            <w:r w:rsidR="00C77212">
              <w:rPr>
                <w:noProof/>
                <w:webHidden/>
              </w:rPr>
            </w:r>
            <w:r w:rsidR="00C77212">
              <w:rPr>
                <w:noProof/>
                <w:webHidden/>
              </w:rPr>
              <w:fldChar w:fldCharType="separate"/>
            </w:r>
            <w:r w:rsidR="00C77212">
              <w:rPr>
                <w:noProof/>
                <w:webHidden/>
              </w:rPr>
              <w:t>57</w:t>
            </w:r>
            <w:r w:rsidR="00C77212">
              <w:rPr>
                <w:noProof/>
                <w:webHidden/>
              </w:rPr>
              <w:fldChar w:fldCharType="end"/>
            </w:r>
          </w:hyperlink>
        </w:p>
        <w:p w:rsidR="00C77212" w:rsidRDefault="00070410">
          <w:pPr>
            <w:pStyle w:val="TOC3"/>
            <w:tabs>
              <w:tab w:val="left" w:pos="1680"/>
            </w:tabs>
            <w:rPr>
              <w:rFonts w:asciiTheme="minorHAnsi" w:eastAsiaTheme="minorEastAsia" w:hAnsiTheme="minorHAnsi" w:cstheme="minorBidi"/>
              <w:noProof/>
              <w:lang w:eastAsia="en-AU"/>
            </w:rPr>
          </w:pPr>
          <w:hyperlink w:anchor="_Toc383345674" w:history="1">
            <w:r w:rsidR="00C77212" w:rsidRPr="00550090">
              <w:rPr>
                <w:rStyle w:val="Hyperlink"/>
                <w:noProof/>
              </w:rPr>
              <w:t>8.2.</w:t>
            </w:r>
            <w:r w:rsidR="00C77212">
              <w:rPr>
                <w:rFonts w:asciiTheme="minorHAnsi" w:eastAsiaTheme="minorEastAsia" w:hAnsiTheme="minorHAnsi" w:cstheme="minorBidi"/>
                <w:noProof/>
                <w:lang w:eastAsia="en-AU"/>
              </w:rPr>
              <w:tab/>
            </w:r>
            <w:r w:rsidR="00C77212" w:rsidRPr="00550090">
              <w:rPr>
                <w:rStyle w:val="Hyperlink"/>
                <w:noProof/>
              </w:rPr>
              <w:t>Adult Safety</w:t>
            </w:r>
            <w:r w:rsidR="00C77212">
              <w:rPr>
                <w:noProof/>
                <w:webHidden/>
              </w:rPr>
              <w:tab/>
            </w:r>
            <w:r w:rsidR="00C77212">
              <w:rPr>
                <w:noProof/>
                <w:webHidden/>
              </w:rPr>
              <w:fldChar w:fldCharType="begin"/>
            </w:r>
            <w:r w:rsidR="00C77212">
              <w:rPr>
                <w:noProof/>
                <w:webHidden/>
              </w:rPr>
              <w:instrText xml:space="preserve"> PAGEREF _Toc383345674 \h </w:instrText>
            </w:r>
            <w:r w:rsidR="00C77212">
              <w:rPr>
                <w:noProof/>
                <w:webHidden/>
              </w:rPr>
            </w:r>
            <w:r w:rsidR="00C77212">
              <w:rPr>
                <w:noProof/>
                <w:webHidden/>
              </w:rPr>
              <w:fldChar w:fldCharType="separate"/>
            </w:r>
            <w:r w:rsidR="00C77212">
              <w:rPr>
                <w:noProof/>
                <w:webHidden/>
              </w:rPr>
              <w:t>58</w:t>
            </w:r>
            <w:r w:rsidR="00C77212">
              <w:rPr>
                <w:noProof/>
                <w:webHidden/>
              </w:rPr>
              <w:fldChar w:fldCharType="end"/>
            </w:r>
          </w:hyperlink>
        </w:p>
        <w:p w:rsidR="00C77212" w:rsidRDefault="00070410">
          <w:pPr>
            <w:pStyle w:val="TOC3"/>
            <w:tabs>
              <w:tab w:val="left" w:pos="1680"/>
            </w:tabs>
            <w:rPr>
              <w:rFonts w:asciiTheme="minorHAnsi" w:eastAsiaTheme="minorEastAsia" w:hAnsiTheme="minorHAnsi" w:cstheme="minorBidi"/>
              <w:noProof/>
              <w:lang w:eastAsia="en-AU"/>
            </w:rPr>
          </w:pPr>
          <w:hyperlink w:anchor="_Toc383345675" w:history="1">
            <w:r w:rsidR="00C77212" w:rsidRPr="00550090">
              <w:rPr>
                <w:rStyle w:val="Hyperlink"/>
                <w:noProof/>
              </w:rPr>
              <w:t>8.3.</w:t>
            </w:r>
            <w:r w:rsidR="00C77212">
              <w:rPr>
                <w:rFonts w:asciiTheme="minorHAnsi" w:eastAsiaTheme="minorEastAsia" w:hAnsiTheme="minorHAnsi" w:cstheme="minorBidi"/>
                <w:noProof/>
                <w:lang w:eastAsia="en-AU"/>
              </w:rPr>
              <w:tab/>
            </w:r>
            <w:r w:rsidR="00C77212" w:rsidRPr="00550090">
              <w:rPr>
                <w:rStyle w:val="Hyperlink"/>
                <w:noProof/>
              </w:rPr>
              <w:t>Paediatric Immunogenicity</w:t>
            </w:r>
            <w:r w:rsidR="00C77212">
              <w:rPr>
                <w:noProof/>
                <w:webHidden/>
              </w:rPr>
              <w:tab/>
            </w:r>
            <w:r w:rsidR="00C77212">
              <w:rPr>
                <w:noProof/>
                <w:webHidden/>
              </w:rPr>
              <w:fldChar w:fldCharType="begin"/>
            </w:r>
            <w:r w:rsidR="00C77212">
              <w:rPr>
                <w:noProof/>
                <w:webHidden/>
              </w:rPr>
              <w:instrText xml:space="preserve"> PAGEREF _Toc383345675 \h </w:instrText>
            </w:r>
            <w:r w:rsidR="00C77212">
              <w:rPr>
                <w:noProof/>
                <w:webHidden/>
              </w:rPr>
            </w:r>
            <w:r w:rsidR="00C77212">
              <w:rPr>
                <w:noProof/>
                <w:webHidden/>
              </w:rPr>
              <w:fldChar w:fldCharType="separate"/>
            </w:r>
            <w:r w:rsidR="00C77212">
              <w:rPr>
                <w:noProof/>
                <w:webHidden/>
              </w:rPr>
              <w:t>58</w:t>
            </w:r>
            <w:r w:rsidR="00C77212">
              <w:rPr>
                <w:noProof/>
                <w:webHidden/>
              </w:rPr>
              <w:fldChar w:fldCharType="end"/>
            </w:r>
          </w:hyperlink>
        </w:p>
        <w:p w:rsidR="00C77212" w:rsidRDefault="00070410">
          <w:pPr>
            <w:pStyle w:val="TOC3"/>
            <w:tabs>
              <w:tab w:val="left" w:pos="1680"/>
            </w:tabs>
            <w:rPr>
              <w:rFonts w:asciiTheme="minorHAnsi" w:eastAsiaTheme="minorEastAsia" w:hAnsiTheme="minorHAnsi" w:cstheme="minorBidi"/>
              <w:noProof/>
              <w:lang w:eastAsia="en-AU"/>
            </w:rPr>
          </w:pPr>
          <w:hyperlink w:anchor="_Toc383345676" w:history="1">
            <w:r w:rsidR="00C77212" w:rsidRPr="00550090">
              <w:rPr>
                <w:rStyle w:val="Hyperlink"/>
                <w:noProof/>
              </w:rPr>
              <w:t>8.4.</w:t>
            </w:r>
            <w:r w:rsidR="00C77212">
              <w:rPr>
                <w:rFonts w:asciiTheme="minorHAnsi" w:eastAsiaTheme="minorEastAsia" w:hAnsiTheme="minorHAnsi" w:cstheme="minorBidi"/>
                <w:noProof/>
                <w:lang w:eastAsia="en-AU"/>
              </w:rPr>
              <w:tab/>
            </w:r>
            <w:r w:rsidR="00C77212" w:rsidRPr="00550090">
              <w:rPr>
                <w:rStyle w:val="Hyperlink"/>
                <w:noProof/>
              </w:rPr>
              <w:t>Paediatric Safety</w:t>
            </w:r>
            <w:r w:rsidR="00C77212">
              <w:rPr>
                <w:noProof/>
                <w:webHidden/>
              </w:rPr>
              <w:tab/>
            </w:r>
            <w:r w:rsidR="00C77212">
              <w:rPr>
                <w:noProof/>
                <w:webHidden/>
              </w:rPr>
              <w:fldChar w:fldCharType="begin"/>
            </w:r>
            <w:r w:rsidR="00C77212">
              <w:rPr>
                <w:noProof/>
                <w:webHidden/>
              </w:rPr>
              <w:instrText xml:space="preserve"> PAGEREF _Toc383345676 \h </w:instrText>
            </w:r>
            <w:r w:rsidR="00C77212">
              <w:rPr>
                <w:noProof/>
                <w:webHidden/>
              </w:rPr>
            </w:r>
            <w:r w:rsidR="00C77212">
              <w:rPr>
                <w:noProof/>
                <w:webHidden/>
              </w:rPr>
              <w:fldChar w:fldCharType="separate"/>
            </w:r>
            <w:r w:rsidR="00C77212">
              <w:rPr>
                <w:noProof/>
                <w:webHidden/>
              </w:rPr>
              <w:t>60</w:t>
            </w:r>
            <w:r w:rsidR="00C77212">
              <w:rPr>
                <w:noProof/>
                <w:webHidden/>
              </w:rPr>
              <w:fldChar w:fldCharType="end"/>
            </w:r>
          </w:hyperlink>
        </w:p>
        <w:p w:rsidR="00C77212" w:rsidRDefault="00070410">
          <w:pPr>
            <w:pStyle w:val="TOC3"/>
            <w:tabs>
              <w:tab w:val="left" w:pos="1680"/>
            </w:tabs>
            <w:rPr>
              <w:rFonts w:asciiTheme="minorHAnsi" w:eastAsiaTheme="minorEastAsia" w:hAnsiTheme="minorHAnsi" w:cstheme="minorBidi"/>
              <w:noProof/>
              <w:lang w:eastAsia="en-AU"/>
            </w:rPr>
          </w:pPr>
          <w:hyperlink w:anchor="_Toc383345677" w:history="1">
            <w:r w:rsidR="00C77212" w:rsidRPr="00550090">
              <w:rPr>
                <w:rStyle w:val="Hyperlink"/>
                <w:noProof/>
              </w:rPr>
              <w:t>8.5.</w:t>
            </w:r>
            <w:r w:rsidR="00C77212">
              <w:rPr>
                <w:rFonts w:asciiTheme="minorHAnsi" w:eastAsiaTheme="minorEastAsia" w:hAnsiTheme="minorHAnsi" w:cstheme="minorBidi"/>
                <w:noProof/>
                <w:lang w:eastAsia="en-AU"/>
              </w:rPr>
              <w:tab/>
            </w:r>
            <w:r w:rsidR="00C77212" w:rsidRPr="00550090">
              <w:rPr>
                <w:rStyle w:val="Hyperlink"/>
                <w:noProof/>
              </w:rPr>
              <w:t>First Round Risk Benefit Assessment</w:t>
            </w:r>
            <w:r w:rsidR="00C77212">
              <w:rPr>
                <w:noProof/>
                <w:webHidden/>
              </w:rPr>
              <w:tab/>
            </w:r>
            <w:r w:rsidR="00C77212">
              <w:rPr>
                <w:noProof/>
                <w:webHidden/>
              </w:rPr>
              <w:fldChar w:fldCharType="begin"/>
            </w:r>
            <w:r w:rsidR="00C77212">
              <w:rPr>
                <w:noProof/>
                <w:webHidden/>
              </w:rPr>
              <w:instrText xml:space="preserve"> PAGEREF _Toc383345677 \h </w:instrText>
            </w:r>
            <w:r w:rsidR="00C77212">
              <w:rPr>
                <w:noProof/>
                <w:webHidden/>
              </w:rPr>
            </w:r>
            <w:r w:rsidR="00C77212">
              <w:rPr>
                <w:noProof/>
                <w:webHidden/>
              </w:rPr>
              <w:fldChar w:fldCharType="separate"/>
            </w:r>
            <w:r w:rsidR="00C77212">
              <w:rPr>
                <w:noProof/>
                <w:webHidden/>
              </w:rPr>
              <w:t>62</w:t>
            </w:r>
            <w:r w:rsidR="00C77212">
              <w:rPr>
                <w:noProof/>
                <w:webHidden/>
              </w:rPr>
              <w:fldChar w:fldCharType="end"/>
            </w:r>
          </w:hyperlink>
        </w:p>
        <w:p w:rsidR="00C77212" w:rsidRDefault="00070410">
          <w:pPr>
            <w:pStyle w:val="TOC2"/>
            <w:tabs>
              <w:tab w:val="left" w:pos="1474"/>
            </w:tabs>
            <w:rPr>
              <w:rFonts w:asciiTheme="minorHAnsi" w:eastAsiaTheme="minorEastAsia" w:hAnsiTheme="minorHAnsi" w:cstheme="minorBidi"/>
              <w:b w:val="0"/>
              <w:noProof/>
              <w:sz w:val="22"/>
              <w:lang w:eastAsia="en-AU"/>
            </w:rPr>
          </w:pPr>
          <w:hyperlink w:anchor="_Toc383345678" w:history="1">
            <w:r w:rsidR="00C77212" w:rsidRPr="00550090">
              <w:rPr>
                <w:rStyle w:val="Hyperlink"/>
                <w:noProof/>
              </w:rPr>
              <w:t>9.</w:t>
            </w:r>
            <w:r w:rsidR="00C77212">
              <w:rPr>
                <w:rFonts w:asciiTheme="minorHAnsi" w:eastAsiaTheme="minorEastAsia" w:hAnsiTheme="minorHAnsi" w:cstheme="minorBidi"/>
                <w:b w:val="0"/>
                <w:noProof/>
                <w:sz w:val="22"/>
                <w:lang w:eastAsia="en-AU"/>
              </w:rPr>
              <w:tab/>
            </w:r>
            <w:r w:rsidR="00C77212" w:rsidRPr="00550090">
              <w:rPr>
                <w:rStyle w:val="Hyperlink"/>
                <w:noProof/>
              </w:rPr>
              <w:t>First round recommendation regarding authorisation</w:t>
            </w:r>
            <w:r w:rsidR="00C77212">
              <w:rPr>
                <w:noProof/>
                <w:webHidden/>
              </w:rPr>
              <w:tab/>
            </w:r>
            <w:r w:rsidR="00C77212">
              <w:rPr>
                <w:noProof/>
                <w:webHidden/>
              </w:rPr>
              <w:fldChar w:fldCharType="begin"/>
            </w:r>
            <w:r w:rsidR="00C77212">
              <w:rPr>
                <w:noProof/>
                <w:webHidden/>
              </w:rPr>
              <w:instrText xml:space="preserve"> PAGEREF _Toc383345678 \h </w:instrText>
            </w:r>
            <w:r w:rsidR="00C77212">
              <w:rPr>
                <w:noProof/>
                <w:webHidden/>
              </w:rPr>
            </w:r>
            <w:r w:rsidR="00C77212">
              <w:rPr>
                <w:noProof/>
                <w:webHidden/>
              </w:rPr>
              <w:fldChar w:fldCharType="separate"/>
            </w:r>
            <w:r w:rsidR="00C77212">
              <w:rPr>
                <w:noProof/>
                <w:webHidden/>
              </w:rPr>
              <w:t>62</w:t>
            </w:r>
            <w:r w:rsidR="00C77212">
              <w:rPr>
                <w:noProof/>
                <w:webHidden/>
              </w:rPr>
              <w:fldChar w:fldCharType="end"/>
            </w:r>
          </w:hyperlink>
        </w:p>
        <w:p w:rsidR="00C77212" w:rsidRDefault="00070410">
          <w:pPr>
            <w:pStyle w:val="TOC2"/>
            <w:tabs>
              <w:tab w:val="left" w:pos="1474"/>
            </w:tabs>
            <w:rPr>
              <w:rFonts w:asciiTheme="minorHAnsi" w:eastAsiaTheme="minorEastAsia" w:hAnsiTheme="minorHAnsi" w:cstheme="minorBidi"/>
              <w:b w:val="0"/>
              <w:noProof/>
              <w:sz w:val="22"/>
              <w:lang w:eastAsia="en-AU"/>
            </w:rPr>
          </w:pPr>
          <w:hyperlink w:anchor="_Toc383345679" w:history="1">
            <w:r w:rsidR="00C77212" w:rsidRPr="00550090">
              <w:rPr>
                <w:rStyle w:val="Hyperlink"/>
                <w:noProof/>
              </w:rPr>
              <w:t>10.</w:t>
            </w:r>
            <w:r w:rsidR="00C77212">
              <w:rPr>
                <w:rFonts w:asciiTheme="minorHAnsi" w:eastAsiaTheme="minorEastAsia" w:hAnsiTheme="minorHAnsi" w:cstheme="minorBidi"/>
                <w:b w:val="0"/>
                <w:noProof/>
                <w:sz w:val="22"/>
                <w:lang w:eastAsia="en-AU"/>
              </w:rPr>
              <w:tab/>
            </w:r>
            <w:r w:rsidR="00C77212" w:rsidRPr="00550090">
              <w:rPr>
                <w:rStyle w:val="Hyperlink"/>
                <w:noProof/>
              </w:rPr>
              <w:t>Clinical questions</w:t>
            </w:r>
            <w:r w:rsidR="00C77212">
              <w:rPr>
                <w:noProof/>
                <w:webHidden/>
              </w:rPr>
              <w:tab/>
            </w:r>
            <w:r w:rsidR="00C77212">
              <w:rPr>
                <w:noProof/>
                <w:webHidden/>
              </w:rPr>
              <w:fldChar w:fldCharType="begin"/>
            </w:r>
            <w:r w:rsidR="00C77212">
              <w:rPr>
                <w:noProof/>
                <w:webHidden/>
              </w:rPr>
              <w:instrText xml:space="preserve"> PAGEREF _Toc383345679 \h </w:instrText>
            </w:r>
            <w:r w:rsidR="00C77212">
              <w:rPr>
                <w:noProof/>
                <w:webHidden/>
              </w:rPr>
            </w:r>
            <w:r w:rsidR="00C77212">
              <w:rPr>
                <w:noProof/>
                <w:webHidden/>
              </w:rPr>
              <w:fldChar w:fldCharType="separate"/>
            </w:r>
            <w:r w:rsidR="00C77212">
              <w:rPr>
                <w:noProof/>
                <w:webHidden/>
              </w:rPr>
              <w:t>62</w:t>
            </w:r>
            <w:r w:rsidR="00C77212">
              <w:rPr>
                <w:noProof/>
                <w:webHidden/>
              </w:rPr>
              <w:fldChar w:fldCharType="end"/>
            </w:r>
          </w:hyperlink>
        </w:p>
        <w:p w:rsidR="00C77212" w:rsidRDefault="00070410">
          <w:pPr>
            <w:pStyle w:val="TOC2"/>
            <w:tabs>
              <w:tab w:val="left" w:pos="1474"/>
            </w:tabs>
            <w:rPr>
              <w:rFonts w:asciiTheme="minorHAnsi" w:eastAsiaTheme="minorEastAsia" w:hAnsiTheme="minorHAnsi" w:cstheme="minorBidi"/>
              <w:b w:val="0"/>
              <w:noProof/>
              <w:sz w:val="22"/>
              <w:lang w:eastAsia="en-AU"/>
            </w:rPr>
          </w:pPr>
          <w:hyperlink w:anchor="_Toc383345680" w:history="1">
            <w:r w:rsidR="00C77212" w:rsidRPr="00550090">
              <w:rPr>
                <w:rStyle w:val="Hyperlink"/>
                <w:noProof/>
              </w:rPr>
              <w:t>11.</w:t>
            </w:r>
            <w:r w:rsidR="00C77212">
              <w:rPr>
                <w:rFonts w:asciiTheme="minorHAnsi" w:eastAsiaTheme="minorEastAsia" w:hAnsiTheme="minorHAnsi" w:cstheme="minorBidi"/>
                <w:b w:val="0"/>
                <w:noProof/>
                <w:sz w:val="22"/>
                <w:lang w:eastAsia="en-AU"/>
              </w:rPr>
              <w:tab/>
            </w:r>
            <w:r w:rsidR="00C77212" w:rsidRPr="00550090">
              <w:rPr>
                <w:rStyle w:val="Hyperlink"/>
                <w:noProof/>
              </w:rPr>
              <w:t>Second round evaluation of clinical data submitted in response to questions</w:t>
            </w:r>
            <w:r w:rsidR="00C77212">
              <w:rPr>
                <w:noProof/>
                <w:webHidden/>
              </w:rPr>
              <w:tab/>
            </w:r>
            <w:r w:rsidR="00C77212">
              <w:rPr>
                <w:noProof/>
                <w:webHidden/>
              </w:rPr>
              <w:fldChar w:fldCharType="begin"/>
            </w:r>
            <w:r w:rsidR="00C77212">
              <w:rPr>
                <w:noProof/>
                <w:webHidden/>
              </w:rPr>
              <w:instrText xml:space="preserve"> PAGEREF _Toc383345680 \h </w:instrText>
            </w:r>
            <w:r w:rsidR="00C77212">
              <w:rPr>
                <w:noProof/>
                <w:webHidden/>
              </w:rPr>
            </w:r>
            <w:r w:rsidR="00C77212">
              <w:rPr>
                <w:noProof/>
                <w:webHidden/>
              </w:rPr>
              <w:fldChar w:fldCharType="separate"/>
            </w:r>
            <w:r w:rsidR="00C77212">
              <w:rPr>
                <w:noProof/>
                <w:webHidden/>
              </w:rPr>
              <w:t>62</w:t>
            </w:r>
            <w:r w:rsidR="00C77212">
              <w:rPr>
                <w:noProof/>
                <w:webHidden/>
              </w:rPr>
              <w:fldChar w:fldCharType="end"/>
            </w:r>
          </w:hyperlink>
        </w:p>
        <w:p w:rsidR="00C77212" w:rsidRDefault="00070410">
          <w:pPr>
            <w:pStyle w:val="TOC3"/>
            <w:tabs>
              <w:tab w:val="left" w:pos="1920"/>
            </w:tabs>
            <w:rPr>
              <w:rFonts w:asciiTheme="minorHAnsi" w:eastAsiaTheme="minorEastAsia" w:hAnsiTheme="minorHAnsi" w:cstheme="minorBidi"/>
              <w:noProof/>
              <w:lang w:eastAsia="en-AU"/>
            </w:rPr>
          </w:pPr>
          <w:hyperlink w:anchor="_Toc383345681" w:history="1">
            <w:r w:rsidR="00C77212" w:rsidRPr="00550090">
              <w:rPr>
                <w:rStyle w:val="Hyperlink"/>
                <w:noProof/>
              </w:rPr>
              <w:t>11.1.</w:t>
            </w:r>
            <w:r w:rsidR="00C77212">
              <w:rPr>
                <w:rFonts w:asciiTheme="minorHAnsi" w:eastAsiaTheme="minorEastAsia" w:hAnsiTheme="minorHAnsi" w:cstheme="minorBidi"/>
                <w:noProof/>
                <w:lang w:eastAsia="en-AU"/>
              </w:rPr>
              <w:tab/>
            </w:r>
            <w:r w:rsidR="00C77212" w:rsidRPr="00550090">
              <w:rPr>
                <w:rStyle w:val="Hyperlink"/>
                <w:noProof/>
              </w:rPr>
              <w:t>Question 1 (D-QIV-008)</w:t>
            </w:r>
            <w:r w:rsidR="00C77212">
              <w:rPr>
                <w:noProof/>
                <w:webHidden/>
              </w:rPr>
              <w:tab/>
            </w:r>
            <w:r w:rsidR="00C77212">
              <w:rPr>
                <w:noProof/>
                <w:webHidden/>
              </w:rPr>
              <w:fldChar w:fldCharType="begin"/>
            </w:r>
            <w:r w:rsidR="00C77212">
              <w:rPr>
                <w:noProof/>
                <w:webHidden/>
              </w:rPr>
              <w:instrText xml:space="preserve"> PAGEREF _Toc383345681 \h </w:instrText>
            </w:r>
            <w:r w:rsidR="00C77212">
              <w:rPr>
                <w:noProof/>
                <w:webHidden/>
              </w:rPr>
            </w:r>
            <w:r w:rsidR="00C77212">
              <w:rPr>
                <w:noProof/>
                <w:webHidden/>
              </w:rPr>
              <w:fldChar w:fldCharType="separate"/>
            </w:r>
            <w:r w:rsidR="00C77212">
              <w:rPr>
                <w:noProof/>
                <w:webHidden/>
              </w:rPr>
              <w:t>62</w:t>
            </w:r>
            <w:r w:rsidR="00C77212">
              <w:rPr>
                <w:noProof/>
                <w:webHidden/>
              </w:rPr>
              <w:fldChar w:fldCharType="end"/>
            </w:r>
          </w:hyperlink>
        </w:p>
        <w:p w:rsidR="00C77212" w:rsidRDefault="00070410">
          <w:pPr>
            <w:pStyle w:val="TOC3"/>
            <w:tabs>
              <w:tab w:val="left" w:pos="1920"/>
            </w:tabs>
            <w:rPr>
              <w:rFonts w:asciiTheme="minorHAnsi" w:eastAsiaTheme="minorEastAsia" w:hAnsiTheme="minorHAnsi" w:cstheme="minorBidi"/>
              <w:noProof/>
              <w:lang w:eastAsia="en-AU"/>
            </w:rPr>
          </w:pPr>
          <w:hyperlink w:anchor="_Toc383345682" w:history="1">
            <w:r w:rsidR="00C77212" w:rsidRPr="00550090">
              <w:rPr>
                <w:rStyle w:val="Hyperlink"/>
                <w:noProof/>
              </w:rPr>
              <w:t>11.2.</w:t>
            </w:r>
            <w:r w:rsidR="00C77212">
              <w:rPr>
                <w:rFonts w:asciiTheme="minorHAnsi" w:eastAsiaTheme="minorEastAsia" w:hAnsiTheme="minorHAnsi" w:cstheme="minorBidi"/>
                <w:noProof/>
                <w:lang w:eastAsia="en-AU"/>
              </w:rPr>
              <w:tab/>
            </w:r>
            <w:r w:rsidR="00C77212" w:rsidRPr="00550090">
              <w:rPr>
                <w:rStyle w:val="Hyperlink"/>
                <w:noProof/>
              </w:rPr>
              <w:t>Question 2 (D-QIV-008)</w:t>
            </w:r>
            <w:r w:rsidR="00C77212">
              <w:rPr>
                <w:noProof/>
                <w:webHidden/>
              </w:rPr>
              <w:tab/>
            </w:r>
            <w:r w:rsidR="00C77212">
              <w:rPr>
                <w:noProof/>
                <w:webHidden/>
              </w:rPr>
              <w:fldChar w:fldCharType="begin"/>
            </w:r>
            <w:r w:rsidR="00C77212">
              <w:rPr>
                <w:noProof/>
                <w:webHidden/>
              </w:rPr>
              <w:instrText xml:space="preserve"> PAGEREF _Toc383345682 \h </w:instrText>
            </w:r>
            <w:r w:rsidR="00C77212">
              <w:rPr>
                <w:noProof/>
                <w:webHidden/>
              </w:rPr>
            </w:r>
            <w:r w:rsidR="00C77212">
              <w:rPr>
                <w:noProof/>
                <w:webHidden/>
              </w:rPr>
              <w:fldChar w:fldCharType="separate"/>
            </w:r>
            <w:r w:rsidR="00C77212">
              <w:rPr>
                <w:noProof/>
                <w:webHidden/>
              </w:rPr>
              <w:t>63</w:t>
            </w:r>
            <w:r w:rsidR="00C77212">
              <w:rPr>
                <w:noProof/>
                <w:webHidden/>
              </w:rPr>
              <w:fldChar w:fldCharType="end"/>
            </w:r>
          </w:hyperlink>
        </w:p>
        <w:p w:rsidR="00C77212" w:rsidRDefault="00070410">
          <w:pPr>
            <w:pStyle w:val="TOC3"/>
            <w:tabs>
              <w:tab w:val="left" w:pos="1920"/>
            </w:tabs>
            <w:rPr>
              <w:rFonts w:asciiTheme="minorHAnsi" w:eastAsiaTheme="minorEastAsia" w:hAnsiTheme="minorHAnsi" w:cstheme="minorBidi"/>
              <w:noProof/>
              <w:lang w:eastAsia="en-AU"/>
            </w:rPr>
          </w:pPr>
          <w:hyperlink w:anchor="_Toc383345683" w:history="1">
            <w:r w:rsidR="00C77212" w:rsidRPr="00550090">
              <w:rPr>
                <w:rStyle w:val="Hyperlink"/>
                <w:noProof/>
              </w:rPr>
              <w:t>11.3.</w:t>
            </w:r>
            <w:r w:rsidR="00C77212">
              <w:rPr>
                <w:rFonts w:asciiTheme="minorHAnsi" w:eastAsiaTheme="minorEastAsia" w:hAnsiTheme="minorHAnsi" w:cstheme="minorBidi"/>
                <w:noProof/>
                <w:lang w:eastAsia="en-AU"/>
              </w:rPr>
              <w:tab/>
            </w:r>
            <w:r w:rsidR="00C77212" w:rsidRPr="00550090">
              <w:rPr>
                <w:rStyle w:val="Hyperlink"/>
                <w:noProof/>
              </w:rPr>
              <w:t>Question 3 (Fluarix-US-006)</w:t>
            </w:r>
            <w:r w:rsidR="00C77212">
              <w:rPr>
                <w:noProof/>
                <w:webHidden/>
              </w:rPr>
              <w:tab/>
            </w:r>
            <w:r w:rsidR="00C77212">
              <w:rPr>
                <w:noProof/>
                <w:webHidden/>
              </w:rPr>
              <w:fldChar w:fldCharType="begin"/>
            </w:r>
            <w:r w:rsidR="00C77212">
              <w:rPr>
                <w:noProof/>
                <w:webHidden/>
              </w:rPr>
              <w:instrText xml:space="preserve"> PAGEREF _Toc383345683 \h </w:instrText>
            </w:r>
            <w:r w:rsidR="00C77212">
              <w:rPr>
                <w:noProof/>
                <w:webHidden/>
              </w:rPr>
            </w:r>
            <w:r w:rsidR="00C77212">
              <w:rPr>
                <w:noProof/>
                <w:webHidden/>
              </w:rPr>
              <w:fldChar w:fldCharType="separate"/>
            </w:r>
            <w:r w:rsidR="00C77212">
              <w:rPr>
                <w:noProof/>
                <w:webHidden/>
              </w:rPr>
              <w:t>63</w:t>
            </w:r>
            <w:r w:rsidR="00C77212">
              <w:rPr>
                <w:noProof/>
                <w:webHidden/>
              </w:rPr>
              <w:fldChar w:fldCharType="end"/>
            </w:r>
          </w:hyperlink>
        </w:p>
        <w:p w:rsidR="00C77212" w:rsidRDefault="00070410">
          <w:pPr>
            <w:pStyle w:val="TOC3"/>
            <w:tabs>
              <w:tab w:val="left" w:pos="1920"/>
            </w:tabs>
            <w:rPr>
              <w:rFonts w:asciiTheme="minorHAnsi" w:eastAsiaTheme="minorEastAsia" w:hAnsiTheme="minorHAnsi" w:cstheme="minorBidi"/>
              <w:noProof/>
              <w:lang w:eastAsia="en-AU"/>
            </w:rPr>
          </w:pPr>
          <w:hyperlink w:anchor="_Toc383345684" w:history="1">
            <w:r w:rsidR="00C77212" w:rsidRPr="00550090">
              <w:rPr>
                <w:rStyle w:val="Hyperlink"/>
                <w:noProof/>
              </w:rPr>
              <w:t>11.4.</w:t>
            </w:r>
            <w:r w:rsidR="00C77212">
              <w:rPr>
                <w:rFonts w:asciiTheme="minorHAnsi" w:eastAsiaTheme="minorEastAsia" w:hAnsiTheme="minorHAnsi" w:cstheme="minorBidi"/>
                <w:noProof/>
                <w:lang w:eastAsia="en-AU"/>
              </w:rPr>
              <w:tab/>
            </w:r>
            <w:r w:rsidR="00C77212" w:rsidRPr="00550090">
              <w:rPr>
                <w:rStyle w:val="Hyperlink"/>
                <w:noProof/>
              </w:rPr>
              <w:t>Question 4 (Fluarix-US-006)</w:t>
            </w:r>
            <w:r w:rsidR="00C77212">
              <w:rPr>
                <w:noProof/>
                <w:webHidden/>
              </w:rPr>
              <w:tab/>
            </w:r>
            <w:r w:rsidR="00C77212">
              <w:rPr>
                <w:noProof/>
                <w:webHidden/>
              </w:rPr>
              <w:fldChar w:fldCharType="begin"/>
            </w:r>
            <w:r w:rsidR="00C77212">
              <w:rPr>
                <w:noProof/>
                <w:webHidden/>
              </w:rPr>
              <w:instrText xml:space="preserve"> PAGEREF _Toc383345684 \h </w:instrText>
            </w:r>
            <w:r w:rsidR="00C77212">
              <w:rPr>
                <w:noProof/>
                <w:webHidden/>
              </w:rPr>
            </w:r>
            <w:r w:rsidR="00C77212">
              <w:rPr>
                <w:noProof/>
                <w:webHidden/>
              </w:rPr>
              <w:fldChar w:fldCharType="separate"/>
            </w:r>
            <w:r w:rsidR="00C77212">
              <w:rPr>
                <w:noProof/>
                <w:webHidden/>
              </w:rPr>
              <w:t>64</w:t>
            </w:r>
            <w:r w:rsidR="00C77212">
              <w:rPr>
                <w:noProof/>
                <w:webHidden/>
              </w:rPr>
              <w:fldChar w:fldCharType="end"/>
            </w:r>
          </w:hyperlink>
        </w:p>
        <w:p w:rsidR="00C77212" w:rsidRDefault="00070410">
          <w:pPr>
            <w:pStyle w:val="TOC3"/>
            <w:tabs>
              <w:tab w:val="left" w:pos="1920"/>
            </w:tabs>
            <w:rPr>
              <w:rFonts w:asciiTheme="minorHAnsi" w:eastAsiaTheme="minorEastAsia" w:hAnsiTheme="minorHAnsi" w:cstheme="minorBidi"/>
              <w:noProof/>
              <w:lang w:eastAsia="en-AU"/>
            </w:rPr>
          </w:pPr>
          <w:hyperlink w:anchor="_Toc383345685" w:history="1">
            <w:r w:rsidR="00C77212" w:rsidRPr="00550090">
              <w:rPr>
                <w:rStyle w:val="Hyperlink"/>
                <w:noProof/>
              </w:rPr>
              <w:t>11.5.</w:t>
            </w:r>
            <w:r w:rsidR="00C77212">
              <w:rPr>
                <w:rFonts w:asciiTheme="minorHAnsi" w:eastAsiaTheme="minorEastAsia" w:hAnsiTheme="minorHAnsi" w:cstheme="minorBidi"/>
                <w:noProof/>
                <w:lang w:eastAsia="en-AU"/>
              </w:rPr>
              <w:tab/>
            </w:r>
            <w:r w:rsidR="00C77212" w:rsidRPr="00550090">
              <w:rPr>
                <w:rStyle w:val="Hyperlink"/>
                <w:noProof/>
              </w:rPr>
              <w:t>Question 5 (Fluarix-US-006)</w:t>
            </w:r>
            <w:r w:rsidR="00C77212">
              <w:rPr>
                <w:noProof/>
                <w:webHidden/>
              </w:rPr>
              <w:tab/>
            </w:r>
            <w:r w:rsidR="00C77212">
              <w:rPr>
                <w:noProof/>
                <w:webHidden/>
              </w:rPr>
              <w:fldChar w:fldCharType="begin"/>
            </w:r>
            <w:r w:rsidR="00C77212">
              <w:rPr>
                <w:noProof/>
                <w:webHidden/>
              </w:rPr>
              <w:instrText xml:space="preserve"> PAGEREF _Toc383345685 \h </w:instrText>
            </w:r>
            <w:r w:rsidR="00C77212">
              <w:rPr>
                <w:noProof/>
                <w:webHidden/>
              </w:rPr>
            </w:r>
            <w:r w:rsidR="00C77212">
              <w:rPr>
                <w:noProof/>
                <w:webHidden/>
              </w:rPr>
              <w:fldChar w:fldCharType="separate"/>
            </w:r>
            <w:r w:rsidR="00C77212">
              <w:rPr>
                <w:noProof/>
                <w:webHidden/>
              </w:rPr>
              <w:t>65</w:t>
            </w:r>
            <w:r w:rsidR="00C77212">
              <w:rPr>
                <w:noProof/>
                <w:webHidden/>
              </w:rPr>
              <w:fldChar w:fldCharType="end"/>
            </w:r>
          </w:hyperlink>
        </w:p>
        <w:p w:rsidR="00C77212" w:rsidRDefault="00070410">
          <w:pPr>
            <w:pStyle w:val="TOC3"/>
            <w:tabs>
              <w:tab w:val="left" w:pos="1920"/>
            </w:tabs>
            <w:rPr>
              <w:rFonts w:asciiTheme="minorHAnsi" w:eastAsiaTheme="minorEastAsia" w:hAnsiTheme="minorHAnsi" w:cstheme="minorBidi"/>
              <w:noProof/>
              <w:lang w:eastAsia="en-AU"/>
            </w:rPr>
          </w:pPr>
          <w:hyperlink w:anchor="_Toc383345686" w:history="1">
            <w:r w:rsidR="00C77212" w:rsidRPr="00550090">
              <w:rPr>
                <w:rStyle w:val="Hyperlink"/>
                <w:noProof/>
              </w:rPr>
              <w:t>11.6.</w:t>
            </w:r>
            <w:r w:rsidR="00C77212">
              <w:rPr>
                <w:rFonts w:asciiTheme="minorHAnsi" w:eastAsiaTheme="minorEastAsia" w:hAnsiTheme="minorHAnsi" w:cstheme="minorBidi"/>
                <w:noProof/>
                <w:lang w:eastAsia="en-AU"/>
              </w:rPr>
              <w:tab/>
            </w:r>
            <w:r w:rsidR="00C77212" w:rsidRPr="00550090">
              <w:rPr>
                <w:rStyle w:val="Hyperlink"/>
                <w:noProof/>
              </w:rPr>
              <w:t>Question 6 (D-QIV-003)</w:t>
            </w:r>
            <w:r w:rsidR="00C77212">
              <w:rPr>
                <w:noProof/>
                <w:webHidden/>
              </w:rPr>
              <w:tab/>
            </w:r>
            <w:r w:rsidR="00C77212">
              <w:rPr>
                <w:noProof/>
                <w:webHidden/>
              </w:rPr>
              <w:fldChar w:fldCharType="begin"/>
            </w:r>
            <w:r w:rsidR="00C77212">
              <w:rPr>
                <w:noProof/>
                <w:webHidden/>
              </w:rPr>
              <w:instrText xml:space="preserve"> PAGEREF _Toc383345686 \h </w:instrText>
            </w:r>
            <w:r w:rsidR="00C77212">
              <w:rPr>
                <w:noProof/>
                <w:webHidden/>
              </w:rPr>
            </w:r>
            <w:r w:rsidR="00C77212">
              <w:rPr>
                <w:noProof/>
                <w:webHidden/>
              </w:rPr>
              <w:fldChar w:fldCharType="separate"/>
            </w:r>
            <w:r w:rsidR="00C77212">
              <w:rPr>
                <w:noProof/>
                <w:webHidden/>
              </w:rPr>
              <w:t>66</w:t>
            </w:r>
            <w:r w:rsidR="00C77212">
              <w:rPr>
                <w:noProof/>
                <w:webHidden/>
              </w:rPr>
              <w:fldChar w:fldCharType="end"/>
            </w:r>
          </w:hyperlink>
        </w:p>
        <w:p w:rsidR="00C77212" w:rsidRDefault="00070410">
          <w:pPr>
            <w:pStyle w:val="TOC3"/>
            <w:tabs>
              <w:tab w:val="left" w:pos="1920"/>
            </w:tabs>
            <w:rPr>
              <w:rFonts w:asciiTheme="minorHAnsi" w:eastAsiaTheme="minorEastAsia" w:hAnsiTheme="minorHAnsi" w:cstheme="minorBidi"/>
              <w:noProof/>
              <w:lang w:eastAsia="en-AU"/>
            </w:rPr>
          </w:pPr>
          <w:hyperlink w:anchor="_Toc383345687" w:history="1">
            <w:r w:rsidR="00C77212" w:rsidRPr="00550090">
              <w:rPr>
                <w:rStyle w:val="Hyperlink"/>
                <w:noProof/>
              </w:rPr>
              <w:t>11.7.</w:t>
            </w:r>
            <w:r w:rsidR="00C77212">
              <w:rPr>
                <w:rFonts w:asciiTheme="minorHAnsi" w:eastAsiaTheme="minorEastAsia" w:hAnsiTheme="minorHAnsi" w:cstheme="minorBidi"/>
                <w:noProof/>
                <w:lang w:eastAsia="en-AU"/>
              </w:rPr>
              <w:tab/>
            </w:r>
            <w:r w:rsidR="00C77212" w:rsidRPr="00550090">
              <w:rPr>
                <w:rStyle w:val="Hyperlink"/>
                <w:noProof/>
              </w:rPr>
              <w:t>Question 7 (D-QIV-002)</w:t>
            </w:r>
            <w:r w:rsidR="00C77212">
              <w:rPr>
                <w:noProof/>
                <w:webHidden/>
              </w:rPr>
              <w:tab/>
            </w:r>
            <w:r w:rsidR="00C77212">
              <w:rPr>
                <w:noProof/>
                <w:webHidden/>
              </w:rPr>
              <w:fldChar w:fldCharType="begin"/>
            </w:r>
            <w:r w:rsidR="00C77212">
              <w:rPr>
                <w:noProof/>
                <w:webHidden/>
              </w:rPr>
              <w:instrText xml:space="preserve"> PAGEREF _Toc383345687 \h </w:instrText>
            </w:r>
            <w:r w:rsidR="00C77212">
              <w:rPr>
                <w:noProof/>
                <w:webHidden/>
              </w:rPr>
            </w:r>
            <w:r w:rsidR="00C77212">
              <w:rPr>
                <w:noProof/>
                <w:webHidden/>
              </w:rPr>
              <w:fldChar w:fldCharType="separate"/>
            </w:r>
            <w:r w:rsidR="00C77212">
              <w:rPr>
                <w:noProof/>
                <w:webHidden/>
              </w:rPr>
              <w:t>67</w:t>
            </w:r>
            <w:r w:rsidR="00C77212">
              <w:rPr>
                <w:noProof/>
                <w:webHidden/>
              </w:rPr>
              <w:fldChar w:fldCharType="end"/>
            </w:r>
          </w:hyperlink>
        </w:p>
        <w:p w:rsidR="00C77212" w:rsidRDefault="00070410">
          <w:pPr>
            <w:pStyle w:val="TOC3"/>
            <w:tabs>
              <w:tab w:val="left" w:pos="1920"/>
            </w:tabs>
            <w:rPr>
              <w:rFonts w:asciiTheme="minorHAnsi" w:eastAsiaTheme="minorEastAsia" w:hAnsiTheme="minorHAnsi" w:cstheme="minorBidi"/>
              <w:noProof/>
              <w:lang w:eastAsia="en-AU"/>
            </w:rPr>
          </w:pPr>
          <w:hyperlink w:anchor="_Toc383345688" w:history="1">
            <w:r w:rsidR="00C77212" w:rsidRPr="00550090">
              <w:rPr>
                <w:rStyle w:val="Hyperlink"/>
                <w:noProof/>
              </w:rPr>
              <w:t>11.8.</w:t>
            </w:r>
            <w:r w:rsidR="00C77212">
              <w:rPr>
                <w:rFonts w:asciiTheme="minorHAnsi" w:eastAsiaTheme="minorEastAsia" w:hAnsiTheme="minorHAnsi" w:cstheme="minorBidi"/>
                <w:noProof/>
                <w:lang w:eastAsia="en-AU"/>
              </w:rPr>
              <w:tab/>
            </w:r>
            <w:r w:rsidR="00C77212" w:rsidRPr="00550090">
              <w:rPr>
                <w:rStyle w:val="Hyperlink"/>
                <w:noProof/>
              </w:rPr>
              <w:t>Question 8 (D-QIV-002)</w:t>
            </w:r>
            <w:r w:rsidR="00C77212">
              <w:rPr>
                <w:noProof/>
                <w:webHidden/>
              </w:rPr>
              <w:tab/>
            </w:r>
            <w:r w:rsidR="00C77212">
              <w:rPr>
                <w:noProof/>
                <w:webHidden/>
              </w:rPr>
              <w:fldChar w:fldCharType="begin"/>
            </w:r>
            <w:r w:rsidR="00C77212">
              <w:rPr>
                <w:noProof/>
                <w:webHidden/>
              </w:rPr>
              <w:instrText xml:space="preserve"> PAGEREF _Toc383345688 \h </w:instrText>
            </w:r>
            <w:r w:rsidR="00C77212">
              <w:rPr>
                <w:noProof/>
                <w:webHidden/>
              </w:rPr>
            </w:r>
            <w:r w:rsidR="00C77212">
              <w:rPr>
                <w:noProof/>
                <w:webHidden/>
              </w:rPr>
              <w:fldChar w:fldCharType="separate"/>
            </w:r>
            <w:r w:rsidR="00C77212">
              <w:rPr>
                <w:noProof/>
                <w:webHidden/>
              </w:rPr>
              <w:t>67</w:t>
            </w:r>
            <w:r w:rsidR="00C77212">
              <w:rPr>
                <w:noProof/>
                <w:webHidden/>
              </w:rPr>
              <w:fldChar w:fldCharType="end"/>
            </w:r>
          </w:hyperlink>
        </w:p>
        <w:p w:rsidR="00C77212" w:rsidRDefault="00070410">
          <w:pPr>
            <w:pStyle w:val="TOC3"/>
            <w:tabs>
              <w:tab w:val="left" w:pos="1920"/>
            </w:tabs>
            <w:rPr>
              <w:rFonts w:asciiTheme="minorHAnsi" w:eastAsiaTheme="minorEastAsia" w:hAnsiTheme="minorHAnsi" w:cstheme="minorBidi"/>
              <w:noProof/>
              <w:lang w:eastAsia="en-AU"/>
            </w:rPr>
          </w:pPr>
          <w:hyperlink w:anchor="_Toc383345689" w:history="1">
            <w:r w:rsidR="00C77212" w:rsidRPr="00550090">
              <w:rPr>
                <w:rStyle w:val="Hyperlink"/>
                <w:noProof/>
              </w:rPr>
              <w:t>11.9.</w:t>
            </w:r>
            <w:r w:rsidR="00C77212">
              <w:rPr>
                <w:rFonts w:asciiTheme="minorHAnsi" w:eastAsiaTheme="minorEastAsia" w:hAnsiTheme="minorHAnsi" w:cstheme="minorBidi"/>
                <w:noProof/>
                <w:lang w:eastAsia="en-AU"/>
              </w:rPr>
              <w:tab/>
            </w:r>
            <w:r w:rsidR="00C77212" w:rsidRPr="00550090">
              <w:rPr>
                <w:rStyle w:val="Hyperlink"/>
                <w:noProof/>
              </w:rPr>
              <w:t>Question 9 (D-QIV-002)</w:t>
            </w:r>
            <w:r w:rsidR="00C77212">
              <w:rPr>
                <w:noProof/>
                <w:webHidden/>
              </w:rPr>
              <w:tab/>
            </w:r>
            <w:r w:rsidR="00C77212">
              <w:rPr>
                <w:noProof/>
                <w:webHidden/>
              </w:rPr>
              <w:fldChar w:fldCharType="begin"/>
            </w:r>
            <w:r w:rsidR="00C77212">
              <w:rPr>
                <w:noProof/>
                <w:webHidden/>
              </w:rPr>
              <w:instrText xml:space="preserve"> PAGEREF _Toc383345689 \h </w:instrText>
            </w:r>
            <w:r w:rsidR="00C77212">
              <w:rPr>
                <w:noProof/>
                <w:webHidden/>
              </w:rPr>
            </w:r>
            <w:r w:rsidR="00C77212">
              <w:rPr>
                <w:noProof/>
                <w:webHidden/>
              </w:rPr>
              <w:fldChar w:fldCharType="separate"/>
            </w:r>
            <w:r w:rsidR="00C77212">
              <w:rPr>
                <w:noProof/>
                <w:webHidden/>
              </w:rPr>
              <w:t>67</w:t>
            </w:r>
            <w:r w:rsidR="00C77212">
              <w:rPr>
                <w:noProof/>
                <w:webHidden/>
              </w:rPr>
              <w:fldChar w:fldCharType="end"/>
            </w:r>
          </w:hyperlink>
        </w:p>
        <w:p w:rsidR="00C77212" w:rsidRDefault="00070410">
          <w:pPr>
            <w:pStyle w:val="TOC3"/>
            <w:tabs>
              <w:tab w:val="left" w:pos="1920"/>
            </w:tabs>
            <w:rPr>
              <w:rFonts w:asciiTheme="minorHAnsi" w:eastAsiaTheme="minorEastAsia" w:hAnsiTheme="minorHAnsi" w:cstheme="minorBidi"/>
              <w:noProof/>
              <w:lang w:eastAsia="en-AU"/>
            </w:rPr>
          </w:pPr>
          <w:hyperlink w:anchor="_Toc383345690" w:history="1">
            <w:r w:rsidR="00C77212" w:rsidRPr="00550090">
              <w:rPr>
                <w:rStyle w:val="Hyperlink"/>
                <w:noProof/>
              </w:rPr>
              <w:t>11.10.</w:t>
            </w:r>
            <w:r w:rsidR="00C77212">
              <w:rPr>
                <w:rFonts w:asciiTheme="minorHAnsi" w:eastAsiaTheme="minorEastAsia" w:hAnsiTheme="minorHAnsi" w:cstheme="minorBidi"/>
                <w:noProof/>
                <w:lang w:eastAsia="en-AU"/>
              </w:rPr>
              <w:tab/>
            </w:r>
            <w:r w:rsidR="00C77212" w:rsidRPr="00550090">
              <w:rPr>
                <w:rStyle w:val="Hyperlink"/>
                <w:noProof/>
              </w:rPr>
              <w:t>Question 10 (D-QIV-002)</w:t>
            </w:r>
            <w:r w:rsidR="00C77212">
              <w:rPr>
                <w:noProof/>
                <w:webHidden/>
              </w:rPr>
              <w:tab/>
            </w:r>
            <w:r w:rsidR="00C77212">
              <w:rPr>
                <w:noProof/>
                <w:webHidden/>
              </w:rPr>
              <w:fldChar w:fldCharType="begin"/>
            </w:r>
            <w:r w:rsidR="00C77212">
              <w:rPr>
                <w:noProof/>
                <w:webHidden/>
              </w:rPr>
              <w:instrText xml:space="preserve"> PAGEREF _Toc383345690 \h </w:instrText>
            </w:r>
            <w:r w:rsidR="00C77212">
              <w:rPr>
                <w:noProof/>
                <w:webHidden/>
              </w:rPr>
            </w:r>
            <w:r w:rsidR="00C77212">
              <w:rPr>
                <w:noProof/>
                <w:webHidden/>
              </w:rPr>
              <w:fldChar w:fldCharType="separate"/>
            </w:r>
            <w:r w:rsidR="00C77212">
              <w:rPr>
                <w:noProof/>
                <w:webHidden/>
              </w:rPr>
              <w:t>68</w:t>
            </w:r>
            <w:r w:rsidR="00C77212">
              <w:rPr>
                <w:noProof/>
                <w:webHidden/>
              </w:rPr>
              <w:fldChar w:fldCharType="end"/>
            </w:r>
          </w:hyperlink>
        </w:p>
        <w:p w:rsidR="00C77212" w:rsidRDefault="00070410">
          <w:pPr>
            <w:pStyle w:val="TOC3"/>
            <w:tabs>
              <w:tab w:val="left" w:pos="1920"/>
            </w:tabs>
            <w:rPr>
              <w:rFonts w:asciiTheme="minorHAnsi" w:eastAsiaTheme="minorEastAsia" w:hAnsiTheme="minorHAnsi" w:cstheme="minorBidi"/>
              <w:noProof/>
              <w:lang w:eastAsia="en-AU"/>
            </w:rPr>
          </w:pPr>
          <w:hyperlink w:anchor="_Toc383345691" w:history="1">
            <w:r w:rsidR="00C77212" w:rsidRPr="00550090">
              <w:rPr>
                <w:rStyle w:val="Hyperlink"/>
                <w:noProof/>
              </w:rPr>
              <w:t>11.11.</w:t>
            </w:r>
            <w:r w:rsidR="00C77212">
              <w:rPr>
                <w:rFonts w:asciiTheme="minorHAnsi" w:eastAsiaTheme="minorEastAsia" w:hAnsiTheme="minorHAnsi" w:cstheme="minorBidi"/>
                <w:noProof/>
                <w:lang w:eastAsia="en-AU"/>
              </w:rPr>
              <w:tab/>
            </w:r>
            <w:r w:rsidR="00C77212" w:rsidRPr="00550090">
              <w:rPr>
                <w:rStyle w:val="Hyperlink"/>
                <w:noProof/>
              </w:rPr>
              <w:t>Question 11 (D-QIV-003 and D-QIV-002)</w:t>
            </w:r>
            <w:r w:rsidR="00C77212">
              <w:rPr>
                <w:noProof/>
                <w:webHidden/>
              </w:rPr>
              <w:tab/>
            </w:r>
            <w:r w:rsidR="00C77212">
              <w:rPr>
                <w:noProof/>
                <w:webHidden/>
              </w:rPr>
              <w:fldChar w:fldCharType="begin"/>
            </w:r>
            <w:r w:rsidR="00C77212">
              <w:rPr>
                <w:noProof/>
                <w:webHidden/>
              </w:rPr>
              <w:instrText xml:space="preserve"> PAGEREF _Toc383345691 \h </w:instrText>
            </w:r>
            <w:r w:rsidR="00C77212">
              <w:rPr>
                <w:noProof/>
                <w:webHidden/>
              </w:rPr>
            </w:r>
            <w:r w:rsidR="00C77212">
              <w:rPr>
                <w:noProof/>
                <w:webHidden/>
              </w:rPr>
              <w:fldChar w:fldCharType="separate"/>
            </w:r>
            <w:r w:rsidR="00C77212">
              <w:rPr>
                <w:noProof/>
                <w:webHidden/>
              </w:rPr>
              <w:t>69</w:t>
            </w:r>
            <w:r w:rsidR="00C77212">
              <w:rPr>
                <w:noProof/>
                <w:webHidden/>
              </w:rPr>
              <w:fldChar w:fldCharType="end"/>
            </w:r>
          </w:hyperlink>
        </w:p>
        <w:p w:rsidR="00C77212" w:rsidRDefault="00070410">
          <w:pPr>
            <w:pStyle w:val="TOC3"/>
            <w:tabs>
              <w:tab w:val="left" w:pos="1920"/>
            </w:tabs>
            <w:rPr>
              <w:rFonts w:asciiTheme="minorHAnsi" w:eastAsiaTheme="minorEastAsia" w:hAnsiTheme="minorHAnsi" w:cstheme="minorBidi"/>
              <w:noProof/>
              <w:lang w:eastAsia="en-AU"/>
            </w:rPr>
          </w:pPr>
          <w:hyperlink w:anchor="_Toc383345692" w:history="1">
            <w:r w:rsidR="00C77212" w:rsidRPr="00550090">
              <w:rPr>
                <w:rStyle w:val="Hyperlink"/>
                <w:noProof/>
              </w:rPr>
              <w:t>11.12.</w:t>
            </w:r>
            <w:r w:rsidR="00C77212">
              <w:rPr>
                <w:rFonts w:asciiTheme="minorHAnsi" w:eastAsiaTheme="minorEastAsia" w:hAnsiTheme="minorHAnsi" w:cstheme="minorBidi"/>
                <w:noProof/>
                <w:lang w:eastAsia="en-AU"/>
              </w:rPr>
              <w:tab/>
            </w:r>
            <w:r w:rsidR="00C77212" w:rsidRPr="00550090">
              <w:rPr>
                <w:rStyle w:val="Hyperlink"/>
                <w:noProof/>
              </w:rPr>
              <w:t>Question 12 (All D-QIV studies)</w:t>
            </w:r>
            <w:r w:rsidR="00C77212">
              <w:rPr>
                <w:noProof/>
                <w:webHidden/>
              </w:rPr>
              <w:tab/>
            </w:r>
            <w:r w:rsidR="00C77212">
              <w:rPr>
                <w:noProof/>
                <w:webHidden/>
              </w:rPr>
              <w:fldChar w:fldCharType="begin"/>
            </w:r>
            <w:r w:rsidR="00C77212">
              <w:rPr>
                <w:noProof/>
                <w:webHidden/>
              </w:rPr>
              <w:instrText xml:space="preserve"> PAGEREF _Toc383345692 \h </w:instrText>
            </w:r>
            <w:r w:rsidR="00C77212">
              <w:rPr>
                <w:noProof/>
                <w:webHidden/>
              </w:rPr>
            </w:r>
            <w:r w:rsidR="00C77212">
              <w:rPr>
                <w:noProof/>
                <w:webHidden/>
              </w:rPr>
              <w:fldChar w:fldCharType="separate"/>
            </w:r>
            <w:r w:rsidR="00C77212">
              <w:rPr>
                <w:noProof/>
                <w:webHidden/>
              </w:rPr>
              <w:t>69</w:t>
            </w:r>
            <w:r w:rsidR="00C77212">
              <w:rPr>
                <w:noProof/>
                <w:webHidden/>
              </w:rPr>
              <w:fldChar w:fldCharType="end"/>
            </w:r>
          </w:hyperlink>
        </w:p>
        <w:p w:rsidR="003A7F6C" w:rsidRPr="00B811C6" w:rsidRDefault="00ED011E" w:rsidP="00B811C6">
          <w:pPr>
            <w:pStyle w:val="TOC2"/>
          </w:pPr>
          <w:r>
            <w:fldChar w:fldCharType="end"/>
          </w:r>
        </w:p>
      </w:sdtContent>
    </w:sdt>
    <w:bookmarkStart w:id="3" w:name="_Toc314842482" w:displacedByCustomXml="prev"/>
    <w:p w:rsidR="004C3023" w:rsidRDefault="004C3023">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383345656"/>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2122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Pr="0021228E" w:rsidRDefault="00586F98" w:rsidP="00CD37DF">
            <w:r w:rsidRPr="0021228E">
              <w:t>Abbreviation</w:t>
            </w:r>
          </w:p>
        </w:tc>
        <w:tc>
          <w:tcPr>
            <w:tcW w:w="6911" w:type="dxa"/>
          </w:tcPr>
          <w:p w:rsidR="00586F98" w:rsidRPr="0021228E" w:rsidRDefault="00586F98" w:rsidP="00CD37DF">
            <w:pPr>
              <w:cnfStyle w:val="100000000000" w:firstRow="1" w:lastRow="0" w:firstColumn="0" w:lastColumn="0" w:oddVBand="0" w:evenVBand="0" w:oddHBand="0" w:evenHBand="0" w:firstRowFirstColumn="0" w:firstRowLastColumn="0" w:lastRowFirstColumn="0" w:lastRowLastColumn="0"/>
            </w:pPr>
            <w:r w:rsidRPr="0021228E">
              <w:t>Meaning</w:t>
            </w:r>
          </w:p>
        </w:tc>
      </w:tr>
      <w:tr w:rsidR="00586F98" w:rsidTr="0021228E">
        <w:tc>
          <w:tcPr>
            <w:cnfStyle w:val="001000000000" w:firstRow="0" w:lastRow="0" w:firstColumn="1" w:lastColumn="0" w:oddVBand="0" w:evenVBand="0" w:oddHBand="0" w:evenHBand="0" w:firstRowFirstColumn="0" w:firstRowLastColumn="0" w:lastRowFirstColumn="0" w:lastRowLastColumn="0"/>
            <w:tcW w:w="1890" w:type="dxa"/>
          </w:tcPr>
          <w:p w:rsidR="00586F98" w:rsidRPr="0021228E" w:rsidRDefault="00615201" w:rsidP="000A63AF">
            <w:pPr>
              <w:rPr>
                <w:sz w:val="20"/>
                <w:szCs w:val="20"/>
              </w:rPr>
            </w:pPr>
            <w:r w:rsidRPr="0021228E">
              <w:rPr>
                <w:sz w:val="20"/>
                <w:szCs w:val="20"/>
              </w:rPr>
              <w:t>ANCOVA</w:t>
            </w:r>
          </w:p>
        </w:tc>
        <w:tc>
          <w:tcPr>
            <w:tcW w:w="6911" w:type="dxa"/>
          </w:tcPr>
          <w:p w:rsidR="00586F98"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Analysis of co variance</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ATP</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According to protocol</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CBER</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Center for Biologics Evaluation and Research</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CDC</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Center for Disease Control and Prevention USA</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CHMP</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Committee for Medicinal Products for Human Use</w:t>
            </w:r>
          </w:p>
        </w:tc>
      </w:tr>
      <w:tr w:rsidR="0021228E" w:rsidTr="0021228E">
        <w:tc>
          <w:tcPr>
            <w:cnfStyle w:val="001000000000" w:firstRow="0" w:lastRow="0" w:firstColumn="1" w:lastColumn="0" w:oddVBand="0" w:evenVBand="0" w:oddHBand="0" w:evenHBand="0" w:firstRowFirstColumn="0" w:firstRowLastColumn="0" w:lastRowFirstColumn="0" w:lastRowLastColumn="0"/>
            <w:tcW w:w="1890" w:type="dxa"/>
          </w:tcPr>
          <w:p w:rsidR="0021228E" w:rsidRPr="0021228E" w:rsidRDefault="0021228E" w:rsidP="000A63AF">
            <w:pPr>
              <w:rPr>
                <w:sz w:val="20"/>
                <w:szCs w:val="20"/>
              </w:rPr>
            </w:pPr>
            <w:r w:rsidRPr="0021228E">
              <w:rPr>
                <w:sz w:val="20"/>
                <w:szCs w:val="20"/>
              </w:rPr>
              <w:t>CI</w:t>
            </w:r>
          </w:p>
        </w:tc>
        <w:tc>
          <w:tcPr>
            <w:tcW w:w="6911" w:type="dxa"/>
          </w:tcPr>
          <w:p w:rsidR="0021228E" w:rsidRPr="0021228E" w:rsidRDefault="0021228E"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Confidence in</w:t>
            </w:r>
            <w:r>
              <w:rPr>
                <w:sz w:val="20"/>
                <w:szCs w:val="20"/>
              </w:rPr>
              <w:t>t</w:t>
            </w:r>
            <w:r w:rsidRPr="0021228E">
              <w:rPr>
                <w:sz w:val="20"/>
                <w:szCs w:val="20"/>
              </w:rPr>
              <w:t>erval</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D-QIV</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GSK’s candidate quadrivalent influenza vaccine</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ECDC</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European Centre for Disease Control and Prevention</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GMT</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Geometric mean Titre</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HI</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Haemagglutination Index</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LL</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Lower limit</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MGI</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Mean Geometric Increase</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RT-PCR</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Reverse transcriptase-polymerase chain reaction</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SAE</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Serious adverse event</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SCF</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Sero conversion factor</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SCR</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Seroconversion rate</w:t>
            </w:r>
          </w:p>
        </w:tc>
      </w:tr>
      <w:tr w:rsidR="00586F98" w:rsidTr="0021228E">
        <w:tc>
          <w:tcPr>
            <w:cnfStyle w:val="001000000000" w:firstRow="0" w:lastRow="0" w:firstColumn="1" w:lastColumn="0" w:oddVBand="0" w:evenVBand="0" w:oddHBand="0" w:evenHBand="0" w:firstRowFirstColumn="0" w:firstRowLastColumn="0" w:lastRowFirstColumn="0" w:lastRowLastColumn="0"/>
            <w:tcW w:w="1890" w:type="dxa"/>
          </w:tcPr>
          <w:p w:rsidR="00586F98" w:rsidRPr="0021228E" w:rsidRDefault="00615201" w:rsidP="000A63AF">
            <w:pPr>
              <w:rPr>
                <w:sz w:val="20"/>
                <w:szCs w:val="20"/>
              </w:rPr>
            </w:pPr>
            <w:r w:rsidRPr="0021228E">
              <w:rPr>
                <w:sz w:val="20"/>
                <w:szCs w:val="20"/>
              </w:rPr>
              <w:t>SPR</w:t>
            </w:r>
          </w:p>
        </w:tc>
        <w:tc>
          <w:tcPr>
            <w:tcW w:w="6911" w:type="dxa"/>
          </w:tcPr>
          <w:p w:rsidR="00396C92"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21228E">
              <w:rPr>
                <w:sz w:val="20"/>
                <w:szCs w:val="20"/>
              </w:rPr>
              <w:t>Seroprotection</w:t>
            </w:r>
            <w:proofErr w:type="spellEnd"/>
            <w:r w:rsidRPr="0021228E">
              <w:rPr>
                <w:sz w:val="20"/>
                <w:szCs w:val="20"/>
              </w:rPr>
              <w:t xml:space="preserve"> rate</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TIV</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Trivalent inactivated influenza vaccine</w:t>
            </w:r>
          </w:p>
        </w:tc>
      </w:tr>
      <w:tr w:rsidR="00615201" w:rsidTr="0021228E">
        <w:tc>
          <w:tcPr>
            <w:cnfStyle w:val="001000000000" w:firstRow="0" w:lastRow="0" w:firstColumn="1" w:lastColumn="0" w:oddVBand="0" w:evenVBand="0" w:oddHBand="0" w:evenHBand="0" w:firstRowFirstColumn="0" w:firstRowLastColumn="0" w:lastRowFirstColumn="0" w:lastRowLastColumn="0"/>
            <w:tcW w:w="1890" w:type="dxa"/>
          </w:tcPr>
          <w:p w:rsidR="00615201" w:rsidRPr="0021228E" w:rsidRDefault="00615201" w:rsidP="000A63AF">
            <w:pPr>
              <w:rPr>
                <w:sz w:val="20"/>
                <w:szCs w:val="20"/>
              </w:rPr>
            </w:pPr>
            <w:r w:rsidRPr="0021228E">
              <w:rPr>
                <w:sz w:val="20"/>
                <w:szCs w:val="20"/>
              </w:rPr>
              <w:t>WHO</w:t>
            </w:r>
          </w:p>
        </w:tc>
        <w:tc>
          <w:tcPr>
            <w:tcW w:w="6911" w:type="dxa"/>
          </w:tcPr>
          <w:p w:rsidR="00615201" w:rsidRPr="0021228E" w:rsidRDefault="00615201" w:rsidP="00CD37DF">
            <w:pPr>
              <w:cnfStyle w:val="000000000000" w:firstRow="0" w:lastRow="0" w:firstColumn="0" w:lastColumn="0" w:oddVBand="0" w:evenVBand="0" w:oddHBand="0" w:evenHBand="0" w:firstRowFirstColumn="0" w:firstRowLastColumn="0" w:lastRowFirstColumn="0" w:lastRowLastColumn="0"/>
              <w:rPr>
                <w:sz w:val="20"/>
                <w:szCs w:val="20"/>
              </w:rPr>
            </w:pPr>
            <w:r w:rsidRPr="0021228E">
              <w:rPr>
                <w:sz w:val="20"/>
                <w:szCs w:val="20"/>
              </w:rPr>
              <w:t>World Health Organization</w:t>
            </w:r>
          </w:p>
        </w:tc>
      </w:tr>
    </w:tbl>
    <w:p w:rsidR="00586F98" w:rsidRDefault="00586F98" w:rsidP="0043797D">
      <w:pPr>
        <w:pStyle w:val="Heading2"/>
        <w:pageBreakBefore/>
        <w:rPr>
          <w:lang w:eastAsia="en-AU"/>
        </w:rPr>
      </w:pPr>
      <w:bookmarkStart w:id="8" w:name="_Toc383345657"/>
      <w:bookmarkStart w:id="9" w:name="_Toc351718900"/>
      <w:bookmarkStart w:id="10" w:name="_Toc355338635"/>
      <w:r>
        <w:rPr>
          <w:lang w:eastAsia="en-AU"/>
        </w:rPr>
        <w:lastRenderedPageBreak/>
        <w:t>Clinical rationale</w:t>
      </w:r>
      <w:bookmarkEnd w:id="8"/>
    </w:p>
    <w:p w:rsidR="00C252B0" w:rsidRPr="00D05EB1" w:rsidRDefault="004D0EBE" w:rsidP="004D0EBE">
      <w:r>
        <w:t>GlaxoSmithKline’s (</w:t>
      </w:r>
      <w:r w:rsidR="00C252B0">
        <w:t>GSK’s</w:t>
      </w:r>
      <w:r>
        <w:t>)</w:t>
      </w:r>
      <w:r w:rsidR="00C252B0" w:rsidRPr="00D05EB1">
        <w:t xml:space="preserve"> development of the quadrivalent v</w:t>
      </w:r>
      <w:r w:rsidR="00C252B0">
        <w:t>accine is based on their rationale as follows:</w:t>
      </w:r>
    </w:p>
    <w:p w:rsidR="00C252B0" w:rsidRPr="004D0EBE" w:rsidRDefault="00C252B0" w:rsidP="004D0EBE">
      <w:r w:rsidRPr="00F53846">
        <w:t>Influenza B causes outbreaks every 2 to 4 years, which are accountable for a subst</w:t>
      </w:r>
      <w:r w:rsidR="004D0EBE">
        <w:t>antial number of hospitalis</w:t>
      </w:r>
      <w:r w:rsidRPr="00F53846">
        <w:t xml:space="preserve">ations and deaths. Surveillance in the United States since 1976 showed that the overall rate of infection due to influenza B was greater than due to </w:t>
      </w:r>
      <w:r w:rsidR="004D0EBE">
        <w:t>Influenza A  subcategory H1N1 (</w:t>
      </w:r>
      <w:r w:rsidRPr="00F53846">
        <w:t>A/H1N1</w:t>
      </w:r>
      <w:r w:rsidR="004D0EBE">
        <w:t>)</w:t>
      </w:r>
      <w:r w:rsidRPr="00F53846">
        <w:t xml:space="preserve">, and that influenza B was second in rank after </w:t>
      </w:r>
      <w:r w:rsidR="004D0EBE">
        <w:t xml:space="preserve">influenza </w:t>
      </w:r>
      <w:r w:rsidRPr="00F53846">
        <w:t>A</w:t>
      </w:r>
      <w:r w:rsidR="004D0EBE">
        <w:t xml:space="preserve"> subcategory </w:t>
      </w:r>
      <w:r w:rsidRPr="00F53846">
        <w:t xml:space="preserve">H3N2 </w:t>
      </w:r>
      <w:r w:rsidR="004D0EBE">
        <w:t xml:space="preserve">(A/H3N2) </w:t>
      </w:r>
      <w:r w:rsidRPr="00F53846">
        <w:t>in terms of lethality.</w:t>
      </w:r>
      <w:bookmarkStart w:id="11" w:name="_Ref338135744"/>
      <w:r w:rsidRPr="004D0EBE">
        <w:rPr>
          <w:rStyle w:val="FootnoteReference"/>
          <w:rFonts w:cs="Arial"/>
          <w:sz w:val="20"/>
          <w:szCs w:val="20"/>
        </w:rPr>
        <w:footnoteReference w:id="1"/>
      </w:r>
      <w:bookmarkEnd w:id="11"/>
      <w:r w:rsidRPr="004D0EBE">
        <w:t xml:space="preserve">  </w:t>
      </w:r>
      <w:r w:rsidRPr="00F53846">
        <w:t xml:space="preserve">From 1990 to 1999, 16% of the influenza-associated deaths in the overall population in the US (8,349) were due to influenza B. Eighty-six percent of these influenza B deaths occurred in individuals </w:t>
      </w:r>
      <w:r w:rsidR="004D0EBE">
        <w:t>≥</w:t>
      </w:r>
      <w:r w:rsidRPr="00F53846">
        <w:t xml:space="preserve"> 65 years of age, where they represent 16% of all influenza-related deaths. Although influenza B mortality is prominent in the elderly, paediatric deaths due to influenza B also occur and account for 46% of all influenza-related deaths in children below the age of 5 years.</w:t>
      </w:r>
      <w:r w:rsidR="00643F59">
        <w:fldChar w:fldCharType="begin"/>
      </w:r>
      <w:r w:rsidR="00643F59">
        <w:instrText xml:space="preserve"> NOTEREF _Ref338135744 \f \h  \* MERGEFORMAT </w:instrText>
      </w:r>
      <w:r w:rsidR="00643F59">
        <w:fldChar w:fldCharType="separate"/>
      </w:r>
      <w:r w:rsidR="006421C6" w:rsidRPr="006421C6">
        <w:t>1</w:t>
      </w:r>
      <w:r w:rsidR="00643F59">
        <w:fldChar w:fldCharType="end"/>
      </w:r>
    </w:p>
    <w:p w:rsidR="00C252B0" w:rsidRPr="00625443" w:rsidRDefault="00C252B0" w:rsidP="004D0EBE">
      <w:r w:rsidRPr="00F53846">
        <w:t>From the late 1970’s, influenza B viruses have diverged into two genetically distinct phylogenetic lineages on the basis of their haemagglutinin. Since the mid 1980’s the two lineages represented by the B/Victoria/2/87 and B/Yamagata/16/88 strains have been co-circulating in varying proportions in different years and countries</w:t>
      </w:r>
      <w:r w:rsidRPr="004D0EBE">
        <w:t>.</w:t>
      </w:r>
      <w:r w:rsidR="00643F59">
        <w:fldChar w:fldCharType="begin"/>
      </w:r>
      <w:r w:rsidR="00643F59">
        <w:instrText xml:space="preserve"> NOTEREF _Ref338135744 \f \h  \* MERGEFORMAT </w:instrText>
      </w:r>
      <w:r w:rsidR="00643F59">
        <w:fldChar w:fldCharType="separate"/>
      </w:r>
      <w:r w:rsidR="006421C6" w:rsidRPr="006421C6">
        <w:t>1</w:t>
      </w:r>
      <w:r w:rsidR="00643F59">
        <w:fldChar w:fldCharType="end"/>
      </w:r>
      <w:r w:rsidR="004D0EBE" w:rsidRPr="004D0EBE">
        <w:rPr>
          <w:vertAlign w:val="superscript"/>
        </w:rPr>
        <w:t>,</w:t>
      </w:r>
      <w:r w:rsidRPr="004D0EBE">
        <w:rPr>
          <w:rStyle w:val="FootnoteReference"/>
          <w:rFonts w:cs="Arial"/>
          <w:sz w:val="20"/>
          <w:szCs w:val="20"/>
        </w:rPr>
        <w:footnoteReference w:id="2"/>
      </w:r>
      <w:r w:rsidR="004D0EBE" w:rsidRPr="004D0EBE">
        <w:rPr>
          <w:vertAlign w:val="superscript"/>
        </w:rPr>
        <w:t>,</w:t>
      </w:r>
      <w:r w:rsidRPr="004D0EBE">
        <w:rPr>
          <w:rStyle w:val="FootnoteReference"/>
          <w:rFonts w:cs="Arial"/>
          <w:sz w:val="20"/>
          <w:szCs w:val="20"/>
        </w:rPr>
        <w:footnoteReference w:id="3"/>
      </w:r>
      <w:r w:rsidRPr="004D0EBE">
        <w:t xml:space="preserve"> A</w:t>
      </w:r>
      <w:r w:rsidRPr="00F53846">
        <w:t xml:space="preserve">s only a single B strain is included in the currently licensed trivalent seasonal influenza vaccines, each season there is a risk of disparity between the strain recommended for inclusion in the trivalent influenza vaccines and the dominant circulating B strain, which may vary geographically. High rates of influenza B mismatch have been reported in studies conducted in different regions and countries worldwide as summarised in </w:t>
      </w:r>
      <w:r w:rsidR="004D0EBE">
        <w:t>Table 1</w:t>
      </w:r>
      <w:r w:rsidR="00CD37DF">
        <w:t>.</w:t>
      </w:r>
    </w:p>
    <w:p w:rsidR="00C252B0" w:rsidRPr="004D0EBE" w:rsidRDefault="00C252B0" w:rsidP="004D0EBE">
      <w:r>
        <w:t>The available evidence supports some cross-reactivity between the two B lineages, with variable levels across studies. However trivalent influenza vaccine efficacy against influenza B due to the non-vaccine lineage is less than against influenza B due to the vaccine lineage or vaccine-matched influenza A strains. In unprimed children, there is evidence of low or almost non-existing cross-reactivity of antibodies between the two B lineages</w:t>
      </w:r>
      <w:proofErr w:type="gramStart"/>
      <w:r>
        <w:t>.</w:t>
      </w:r>
      <w:r w:rsidRPr="004D0EBE">
        <w:rPr>
          <w:rStyle w:val="FootnoteReference"/>
          <w:rFonts w:cs="Arial"/>
          <w:sz w:val="20"/>
          <w:szCs w:val="20"/>
        </w:rPr>
        <w:footnoteReference w:id="4"/>
      </w:r>
      <w:r w:rsidR="00AB431A" w:rsidRPr="00AB431A">
        <w:rPr>
          <w:vertAlign w:val="superscript"/>
        </w:rPr>
        <w:t>,</w:t>
      </w:r>
      <w:proofErr w:type="gramEnd"/>
      <w:r w:rsidR="00AB431A">
        <w:rPr>
          <w:rStyle w:val="FootnoteReference"/>
        </w:rPr>
        <w:footnoteReference w:id="5"/>
      </w:r>
    </w:p>
    <w:p w:rsidR="00C252B0" w:rsidRPr="00F53846" w:rsidRDefault="00C252B0" w:rsidP="000141CA">
      <w:pPr>
        <w:pStyle w:val="TableTitle"/>
      </w:pPr>
      <w:bookmarkStart w:id="12" w:name="_Ref338142937"/>
      <w:bookmarkStart w:id="13" w:name="_Ref338142939"/>
      <w:proofErr w:type="gramStart"/>
      <w:r w:rsidRPr="00F53846">
        <w:t>Table</w:t>
      </w:r>
      <w:bookmarkEnd w:id="12"/>
      <w:r w:rsidR="004D0EBE">
        <w:t xml:space="preserve"> 1.</w:t>
      </w:r>
      <w:proofErr w:type="gramEnd"/>
      <w:r w:rsidRPr="00F53846">
        <w:t xml:space="preserve"> Examples of high Influenza B lineage mismatches in recent years</w:t>
      </w:r>
      <w:bookmarkEnd w:id="13"/>
    </w:p>
    <w:p w:rsidR="00C252B0" w:rsidRPr="00F53846" w:rsidRDefault="00C252B0" w:rsidP="000141CA">
      <w:r>
        <w:rPr>
          <w:noProof/>
          <w:lang w:eastAsia="en-AU"/>
        </w:rPr>
        <w:drawing>
          <wp:inline distT="0" distB="0" distL="0" distR="0" wp14:anchorId="5C985488" wp14:editId="5AEFCE88">
            <wp:extent cx="5248275" cy="1781175"/>
            <wp:effectExtent l="19050" t="0" r="9525" b="0"/>
            <wp:docPr id="6" name="Picture 6" descr="Table 1. Examples of high Influenza B lineage mismatches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248275" cy="1781175"/>
                    </a:xfrm>
                    <a:prstGeom prst="rect">
                      <a:avLst/>
                    </a:prstGeom>
                    <a:noFill/>
                    <a:ln w="9525">
                      <a:noFill/>
                      <a:miter lim="800000"/>
                      <a:headEnd/>
                      <a:tailEnd/>
                    </a:ln>
                  </pic:spPr>
                </pic:pic>
              </a:graphicData>
            </a:graphic>
          </wp:inline>
        </w:drawing>
      </w:r>
    </w:p>
    <w:p w:rsidR="00586F98" w:rsidRDefault="00586F98" w:rsidP="00586F98">
      <w:pPr>
        <w:pStyle w:val="Heading2"/>
        <w:rPr>
          <w:lang w:eastAsia="en-AU"/>
        </w:rPr>
      </w:pPr>
      <w:bookmarkStart w:id="14" w:name="_Toc383345658"/>
      <w:r>
        <w:rPr>
          <w:lang w:eastAsia="en-AU"/>
        </w:rPr>
        <w:lastRenderedPageBreak/>
        <w:t>Contents of the clinical dossier</w:t>
      </w:r>
      <w:bookmarkEnd w:id="9"/>
      <w:bookmarkEnd w:id="10"/>
      <w:bookmarkEnd w:id="14"/>
    </w:p>
    <w:p w:rsidR="00586F98" w:rsidRDefault="00586F98" w:rsidP="00586F98">
      <w:pPr>
        <w:pStyle w:val="Heading3"/>
      </w:pPr>
      <w:bookmarkStart w:id="15" w:name="_Toc383345659"/>
      <w:r>
        <w:t>Scope of the clinical dossier</w:t>
      </w:r>
      <w:bookmarkEnd w:id="15"/>
    </w:p>
    <w:p w:rsidR="00C252B0" w:rsidRPr="00C252B0" w:rsidRDefault="00C252B0" w:rsidP="00C252B0">
      <w:r w:rsidRPr="00C252B0">
        <w:t>Five studies were presented</w:t>
      </w:r>
      <w:r w:rsidR="00C77212">
        <w:t xml:space="preserve"> in support of the application.</w:t>
      </w:r>
    </w:p>
    <w:p w:rsidR="00C252B0" w:rsidRPr="00C252B0" w:rsidRDefault="00C252B0" w:rsidP="00C252B0">
      <w:r w:rsidRPr="00C252B0">
        <w:t xml:space="preserve">Two pivotal, Phase III studies, </w:t>
      </w:r>
      <w:r w:rsidR="004D0EBE">
        <w:t>S</w:t>
      </w:r>
      <w:r w:rsidRPr="00C252B0">
        <w:t>tud</w:t>
      </w:r>
      <w:r w:rsidR="004D0EBE">
        <w:t>ies</w:t>
      </w:r>
      <w:r w:rsidRPr="00C252B0">
        <w:t xml:space="preserve"> D-QIV-008 and D-QIV-003, evaluated the candidate D-QIV vaccine in adults from 18 years of age and children from 3 years of age respectively. Both studies included two comparator groups, one receiving the seasonal trivalent influenza vaccine Fluarix, the other a similar trivalent vaccine containing a strain of the B lineage not included in the seasonal vaccine.</w:t>
      </w:r>
    </w:p>
    <w:p w:rsidR="00C252B0" w:rsidRPr="00C252B0" w:rsidRDefault="00C252B0" w:rsidP="00C252B0">
      <w:r w:rsidRPr="00C252B0">
        <w:t xml:space="preserve">Two supportive studies, </w:t>
      </w:r>
      <w:r w:rsidR="004D0EBE">
        <w:t>S</w:t>
      </w:r>
      <w:r w:rsidRPr="00C252B0">
        <w:t>tud</w:t>
      </w:r>
      <w:r w:rsidR="004D0EBE">
        <w:t>ies</w:t>
      </w:r>
      <w:r w:rsidRPr="00C252B0">
        <w:t xml:space="preserve"> D-QIV-001 (Phase I/II) and D-QIV-002 (Phase II), evaluated the candidate vaccine in adults from 18 years and children from 18 months of age. These studies included a control group that received the seasonally recommended trivalent influenza vaccine.</w:t>
      </w:r>
    </w:p>
    <w:p w:rsidR="00C252B0" w:rsidRPr="004D0EBE" w:rsidRDefault="00C252B0" w:rsidP="00C252B0">
      <w:r w:rsidRPr="00C252B0">
        <w:t>A fu</w:t>
      </w:r>
      <w:r w:rsidRPr="004D0EBE">
        <w:t>rther study, Fluarix-US-006 (Phase IV) evaluated the efficacy, safety and immunogenicity of Fluarix trivalent vaccine versus placebo control in an adult population.</w:t>
      </w:r>
    </w:p>
    <w:p w:rsidR="00586F98" w:rsidRPr="004D0EBE" w:rsidRDefault="00586F98" w:rsidP="00586F98">
      <w:pPr>
        <w:pStyle w:val="Heading3"/>
      </w:pPr>
      <w:bookmarkStart w:id="16" w:name="_Toc383345660"/>
      <w:r w:rsidRPr="004D0EBE">
        <w:t>Paediatric data</w:t>
      </w:r>
      <w:bookmarkEnd w:id="16"/>
    </w:p>
    <w:p w:rsidR="00586F98" w:rsidRDefault="004D0EBE" w:rsidP="00586F98">
      <w:pPr>
        <w:rPr>
          <w:lang w:eastAsia="ja-JP"/>
        </w:rPr>
      </w:pPr>
      <w:r w:rsidRPr="004D0EBE">
        <w:t>Paediatric data were submitted with</w:t>
      </w:r>
      <w:r>
        <w:t xml:space="preserve"> Studies </w:t>
      </w:r>
      <w:r w:rsidRPr="00C252B0">
        <w:t>D-QIV-003</w:t>
      </w:r>
      <w:r>
        <w:t xml:space="preserve"> and </w:t>
      </w:r>
      <w:r w:rsidRPr="00C252B0">
        <w:t>D-QIV-002</w:t>
      </w:r>
      <w:r>
        <w:t>.</w:t>
      </w:r>
    </w:p>
    <w:p w:rsidR="00586F98" w:rsidRDefault="00586F98" w:rsidP="00586F98">
      <w:pPr>
        <w:pStyle w:val="Heading3"/>
      </w:pPr>
      <w:bookmarkStart w:id="17" w:name="_Toc383345661"/>
      <w:r>
        <w:t>Good clinical practice</w:t>
      </w:r>
      <w:r w:rsidR="004D0EBE">
        <w:t xml:space="preserve"> (GCP)</w:t>
      </w:r>
      <w:bookmarkEnd w:id="17"/>
    </w:p>
    <w:p w:rsidR="00C252B0" w:rsidRPr="00C252B0" w:rsidRDefault="00C252B0" w:rsidP="00C252B0">
      <w:r w:rsidRPr="00C252B0">
        <w:t>GSK asserts that all studies were conducted in accordance with GSK standard operating procedures, which comply with the principles of Good Clinical Practice (GCP), the Declaration of Helsinki, the US Code of Federal Regulations, and local rules and regulations. The studies were conducted with the approval of an Ethics Committee or Institutional Review Board. Written informed consent was obtained from all participants, or parents or legal guardians, prior to the performance of any study-specific procedures.</w:t>
      </w:r>
    </w:p>
    <w:p w:rsidR="00586F98" w:rsidRPr="004422EC" w:rsidRDefault="00C252B0" w:rsidP="00C252B0">
      <w:pPr>
        <w:rPr>
          <w:lang w:eastAsia="ja-JP"/>
        </w:rPr>
      </w:pPr>
      <w:r w:rsidRPr="004422EC">
        <w:t>The study designs took into account the FDA “Guidance for Industry Clinical Data Needed to Support the Licensure of Seasonal Inactivated Influenza Vaccines” (CBER, 2007)</w:t>
      </w:r>
      <w:r w:rsidR="006B62B7" w:rsidRPr="004422EC">
        <w:rPr>
          <w:rStyle w:val="FootnoteReference"/>
        </w:rPr>
        <w:footnoteReference w:id="6"/>
      </w:r>
      <w:r w:rsidRPr="004422EC">
        <w:t xml:space="preserve">; and the </w:t>
      </w:r>
      <w:r w:rsidR="004D0EBE" w:rsidRPr="004422EC">
        <w:t>European Union (</w:t>
      </w:r>
      <w:r w:rsidRPr="004422EC">
        <w:t>E</w:t>
      </w:r>
      <w:r w:rsidR="004D0EBE" w:rsidRPr="004422EC">
        <w:t>U)</w:t>
      </w:r>
      <w:r w:rsidRPr="004422EC">
        <w:t xml:space="preserve"> “Guideline on Clinical Evaluation of New Vaccines” (EMEA/CHMP/VWP/164653/2005; EMEA, 2006)</w:t>
      </w:r>
      <w:r w:rsidR="006B62B7" w:rsidRPr="004422EC">
        <w:rPr>
          <w:rStyle w:val="FootnoteReference"/>
        </w:rPr>
        <w:footnoteReference w:id="7"/>
      </w:r>
      <w:r w:rsidRPr="004422EC">
        <w:t>, “Guideline on Similar Biological Medicinal Products” (CHMP/437/04; CHMP, 2005)</w:t>
      </w:r>
      <w:r w:rsidR="006B62B7" w:rsidRPr="004422EC">
        <w:rPr>
          <w:rStyle w:val="FootnoteReference"/>
        </w:rPr>
        <w:footnoteReference w:id="8"/>
      </w:r>
      <w:r w:rsidRPr="004422EC">
        <w:t xml:space="preserve"> and “Note for Guidance on Harmonization of Requirements for Influenza Vaccines” (CPMP/BWP/214/96; CPMP, 2005)</w:t>
      </w:r>
      <w:bookmarkStart w:id="18" w:name="_Ref372797230"/>
      <w:r w:rsidR="006B62B7" w:rsidRPr="004422EC">
        <w:rPr>
          <w:rStyle w:val="FootnoteReference"/>
        </w:rPr>
        <w:footnoteReference w:id="9"/>
      </w:r>
      <w:bookmarkEnd w:id="18"/>
      <w:r w:rsidRPr="004422EC">
        <w:t>. All central and local clinical trial activities were governed by the International Conference on Ha</w:t>
      </w:r>
      <w:r w:rsidRPr="00C252B0">
        <w:t xml:space="preserve">rmonization, Good Clinical Practice guidelines. All members of staff working on clinical trials were appropriately </w:t>
      </w:r>
      <w:r w:rsidRPr="004422EC">
        <w:t>qualified and trained in GCP and GSK procedures.</w:t>
      </w:r>
    </w:p>
    <w:p w:rsidR="00586F98" w:rsidRPr="004422EC" w:rsidRDefault="00586F98" w:rsidP="00586F98">
      <w:pPr>
        <w:pStyle w:val="Heading2"/>
      </w:pPr>
      <w:bookmarkStart w:id="19" w:name="_Toc355338639"/>
      <w:bookmarkStart w:id="20" w:name="_Toc383345662"/>
      <w:r w:rsidRPr="004422EC">
        <w:t>Pharmacokinetics</w:t>
      </w:r>
      <w:bookmarkEnd w:id="19"/>
      <w:bookmarkEnd w:id="20"/>
    </w:p>
    <w:p w:rsidR="00586F98" w:rsidRPr="004422EC" w:rsidRDefault="00C252B0" w:rsidP="00586F98">
      <w:r w:rsidRPr="004422EC">
        <w:t>Not applicable.</w:t>
      </w:r>
    </w:p>
    <w:p w:rsidR="00586F98" w:rsidRPr="004422EC" w:rsidRDefault="00586F98" w:rsidP="00586F98">
      <w:pPr>
        <w:pStyle w:val="Heading2"/>
      </w:pPr>
      <w:bookmarkStart w:id="21" w:name="_Toc383345663"/>
      <w:r w:rsidRPr="004422EC">
        <w:lastRenderedPageBreak/>
        <w:t>Pharmacodynamics</w:t>
      </w:r>
      <w:bookmarkEnd w:id="21"/>
    </w:p>
    <w:p w:rsidR="00C22678" w:rsidRPr="00586F98" w:rsidRDefault="00C252B0" w:rsidP="00C22678">
      <w:pPr>
        <w:rPr>
          <w:lang w:eastAsia="ja-JP"/>
        </w:rPr>
      </w:pPr>
      <w:r w:rsidRPr="004422EC">
        <w:rPr>
          <w:lang w:eastAsia="ja-JP"/>
        </w:rPr>
        <w:t>Not applicable.</w:t>
      </w:r>
    </w:p>
    <w:p w:rsidR="00586F98" w:rsidRDefault="00C22678" w:rsidP="00586F98">
      <w:pPr>
        <w:pStyle w:val="Heading2"/>
      </w:pPr>
      <w:bookmarkStart w:id="22" w:name="_Toc383345664"/>
      <w:r>
        <w:t>Dosage selection for the pivotal studies</w:t>
      </w:r>
      <w:bookmarkEnd w:id="22"/>
    </w:p>
    <w:p w:rsidR="00C22678" w:rsidRPr="00586F98" w:rsidRDefault="004422EC" w:rsidP="00C22678">
      <w:pPr>
        <w:rPr>
          <w:lang w:eastAsia="ja-JP"/>
        </w:rPr>
      </w:pPr>
      <w:r>
        <w:rPr>
          <w:lang w:eastAsia="ja-JP"/>
        </w:rPr>
        <w:t>Not applicable.</w:t>
      </w:r>
    </w:p>
    <w:p w:rsidR="00C22678" w:rsidRDefault="00C22678" w:rsidP="00C22678">
      <w:pPr>
        <w:pStyle w:val="Heading2"/>
      </w:pPr>
      <w:bookmarkStart w:id="23" w:name="_Toc383345665"/>
      <w:r>
        <w:t>Clinical efficacy</w:t>
      </w:r>
      <w:bookmarkEnd w:id="23"/>
    </w:p>
    <w:p w:rsidR="00C252B0" w:rsidRPr="00C252B0" w:rsidRDefault="00692B0F" w:rsidP="00692B0F">
      <w:pPr>
        <w:pStyle w:val="Heading3"/>
      </w:pPr>
      <w:bookmarkStart w:id="24" w:name="_Toc383345666"/>
      <w:r>
        <w:t>Cl</w:t>
      </w:r>
      <w:r w:rsidRPr="00C252B0">
        <w:t>inical Immunogenicity</w:t>
      </w:r>
      <w:bookmarkEnd w:id="24"/>
    </w:p>
    <w:p w:rsidR="00C252B0" w:rsidRPr="00C252B0" w:rsidRDefault="00C252B0" w:rsidP="00692B0F">
      <w:pPr>
        <w:pStyle w:val="Heading4"/>
      </w:pPr>
      <w:bookmarkStart w:id="25" w:name="_Toc342570227"/>
      <w:bookmarkStart w:id="26" w:name="_Toc355350118"/>
      <w:r w:rsidRPr="00C252B0">
        <w:t>Introduction</w:t>
      </w:r>
      <w:bookmarkEnd w:id="25"/>
      <w:bookmarkEnd w:id="26"/>
    </w:p>
    <w:p w:rsidR="00C252B0" w:rsidRPr="00C252B0" w:rsidRDefault="00C252B0" w:rsidP="00C252B0">
      <w:r w:rsidRPr="00C252B0">
        <w:t xml:space="preserve">Immunogenicity was assessed by measurement of </w:t>
      </w:r>
      <w:proofErr w:type="spellStart"/>
      <w:r w:rsidRPr="00C252B0">
        <w:t>haemagglutination</w:t>
      </w:r>
      <w:proofErr w:type="spellEnd"/>
      <w:r w:rsidRPr="00C252B0">
        <w:t xml:space="preserve"> inhibiting (HI) antibodies using the method described by the WHO Collaborating Centre for influenza, Centers for Disease Control, Atlanta, USA (1991). Titres of HI antibodies were measured before vaccination and 28 days post</w:t>
      </w:r>
      <w:r w:rsidR="00692B0F">
        <w:t xml:space="preserve"> </w:t>
      </w:r>
      <w:r w:rsidRPr="00C252B0">
        <w:t>vaccination in paediatric studies (D-QIV-002 and D-QIV-003</w:t>
      </w:r>
      <w:proofErr w:type="gramStart"/>
      <w:r w:rsidRPr="00C252B0">
        <w:t>)and</w:t>
      </w:r>
      <w:proofErr w:type="gramEnd"/>
      <w:r w:rsidRPr="00C252B0">
        <w:t xml:space="preserve"> before vaccination and 21 days post</w:t>
      </w:r>
      <w:r w:rsidR="00692B0F">
        <w:t xml:space="preserve"> </w:t>
      </w:r>
      <w:r w:rsidRPr="00C252B0">
        <w:t>vaccination in adult studies (D-QIV-001 and D-QIV-008).</w:t>
      </w:r>
    </w:p>
    <w:p w:rsidR="00C252B0" w:rsidRPr="00C252B0" w:rsidRDefault="00C252B0" w:rsidP="00C252B0">
      <w:r w:rsidRPr="00C252B0">
        <w:t>In each of the studies the following definitions applied:</w:t>
      </w:r>
    </w:p>
    <w:p w:rsidR="00C252B0" w:rsidRPr="00643F59" w:rsidRDefault="00C252B0" w:rsidP="00643F59">
      <w:pPr>
        <w:pStyle w:val="ListBullet"/>
      </w:pPr>
      <w:proofErr w:type="spellStart"/>
      <w:r w:rsidRPr="00643F59">
        <w:t>Seropositivity</w:t>
      </w:r>
      <w:proofErr w:type="spellEnd"/>
      <w:r w:rsidRPr="00643F59">
        <w:t xml:space="preserve"> (SPR) was defined as HI antibody titre </w:t>
      </w:r>
      <w:r w:rsidR="00692B0F" w:rsidRPr="00643F59">
        <w:t>≥</w:t>
      </w:r>
      <w:r w:rsidR="00643F59">
        <w:t xml:space="preserve"> 1:10.</w:t>
      </w:r>
    </w:p>
    <w:p w:rsidR="00C252B0" w:rsidRPr="00C252B0" w:rsidRDefault="00C252B0" w:rsidP="00643F59">
      <w:pPr>
        <w:pStyle w:val="ListBullet"/>
      </w:pPr>
      <w:proofErr w:type="spellStart"/>
      <w:r w:rsidRPr="00643F59">
        <w:t>Seroconversion</w:t>
      </w:r>
      <w:proofErr w:type="spellEnd"/>
      <w:r w:rsidRPr="00643F59">
        <w:t xml:space="preserve"> rate (SCR) was defined as the percentage of individuals who had either a pre-vaccination titre</w:t>
      </w:r>
      <w:r w:rsidRPr="00C252B0">
        <w:t xml:space="preserve"> &lt; 1:10 and a </w:t>
      </w:r>
      <w:r w:rsidR="00692B0F">
        <w:t>post vaccination</w:t>
      </w:r>
      <w:r w:rsidRPr="00C252B0">
        <w:t xml:space="preserve"> titre </w:t>
      </w:r>
      <w:r w:rsidR="00692B0F">
        <w:t>≥</w:t>
      </w:r>
      <w:r w:rsidRPr="00C252B0">
        <w:t xml:space="preserve"> 1:40 or pre-vaccination titre </w:t>
      </w:r>
      <w:r w:rsidR="00692B0F">
        <w:t>≥</w:t>
      </w:r>
      <w:r w:rsidRPr="00C252B0">
        <w:t>1:10 and at least a 4</w:t>
      </w:r>
      <w:r w:rsidR="00692B0F">
        <w:t xml:space="preserve"> </w:t>
      </w:r>
      <w:r w:rsidRPr="00C252B0">
        <w:t>fold increase in post</w:t>
      </w:r>
      <w:r w:rsidR="00692B0F">
        <w:t xml:space="preserve"> </w:t>
      </w:r>
      <w:r w:rsidRPr="00C252B0">
        <w:t>vaccination titre.</w:t>
      </w:r>
    </w:p>
    <w:p w:rsidR="00C252B0" w:rsidRPr="00C252B0" w:rsidRDefault="00C252B0" w:rsidP="00692B0F">
      <w:pPr>
        <w:pStyle w:val="ListBullet"/>
      </w:pPr>
      <w:r w:rsidRPr="00C252B0">
        <w:t xml:space="preserve">Seroprotection rate (SPR) was defined as the percentage of individuals with a serum HI titre </w:t>
      </w:r>
      <w:r w:rsidR="00692B0F">
        <w:t>≥</w:t>
      </w:r>
      <w:r w:rsidRPr="00C252B0">
        <w:t>1:40.</w:t>
      </w:r>
    </w:p>
    <w:p w:rsidR="00C252B0" w:rsidRPr="00C252B0" w:rsidRDefault="00C252B0" w:rsidP="00692B0F">
      <w:pPr>
        <w:pStyle w:val="ListBullet"/>
      </w:pPr>
      <w:r w:rsidRPr="00C252B0">
        <w:t xml:space="preserve">Seroconversion factor (SCF) or mean geometric increase (MGI) was defined as the fold increase in serum HI GMT </w:t>
      </w:r>
      <w:r w:rsidR="00692B0F">
        <w:t>post vaccination</w:t>
      </w:r>
      <w:r w:rsidRPr="00C252B0">
        <w:t xml:space="preserve"> compared to Day 0.</w:t>
      </w:r>
    </w:p>
    <w:p w:rsidR="00C252B0" w:rsidRPr="00C252B0" w:rsidRDefault="00C252B0" w:rsidP="00C252B0">
      <w:r w:rsidRPr="00C252B0">
        <w:t>The geometric mean HI titre (GMT) calculations in each of the studies were performed by taking the anti-log of the mean of the log10 titre transformations. Antibody titres below the cut-off of the assay were given an arbitrary value of half the cut-off for the purpose of GMT calculation.</w:t>
      </w:r>
    </w:p>
    <w:p w:rsidR="00C252B0" w:rsidRPr="00C252B0" w:rsidRDefault="00C252B0" w:rsidP="00C252B0">
      <w:r w:rsidRPr="00C252B0">
        <w:t>The primary analysis of immunogenicity in each study was based on the according-to-protocol (ATP) cohort for analysis of immunogenicity. This cohort included those participants who met all eligibility criteria, who complied with the protocol procedures, with no elimination criteria assigned for whom data concerning immunogenicity endpoint measures against at least one study vaccine antigen were available. A secondary analysis based on the Total Vaccinated cohort (TVC) for analysis of immunogenicity was to be performed in all studies if the ATP cohort for analysis of immunogenicity excluded more than 5% of the vaccinated individuals. The TVC included vaccinated individuals with data concerning immunogenicity endpoint measures available. Analysis was based on the vaccine received.</w:t>
      </w:r>
    </w:p>
    <w:p w:rsidR="00C252B0" w:rsidRPr="00C252B0" w:rsidRDefault="00C252B0" w:rsidP="00C252B0">
      <w:r w:rsidRPr="00C252B0">
        <w:t>With regard to missing data in eac</w:t>
      </w:r>
      <w:r w:rsidR="00643F59">
        <w:t>h study, the following applied:</w:t>
      </w:r>
    </w:p>
    <w:p w:rsidR="00C252B0" w:rsidRPr="00C252B0" w:rsidRDefault="00C252B0" w:rsidP="00692B0F">
      <w:pPr>
        <w:pStyle w:val="ListBullet"/>
      </w:pPr>
      <w:r w:rsidRPr="00C252B0">
        <w:t>Missing or non-evaluable immunogenicity measurements were not replaced and were excluded.</w:t>
      </w:r>
    </w:p>
    <w:p w:rsidR="00C252B0" w:rsidRPr="00C252B0" w:rsidRDefault="00C252B0" w:rsidP="00692B0F">
      <w:pPr>
        <w:pStyle w:val="ListBullet"/>
      </w:pPr>
      <w:r w:rsidRPr="00C252B0">
        <w:t>Missing or non-evaluable solicited symptoms measurements were not replaced. The analysis of the solicited symptoms based on the Total Vaccinated cohort included only participants/doses with documented safety data.</w:t>
      </w:r>
    </w:p>
    <w:p w:rsidR="00C252B0" w:rsidRPr="00C252B0" w:rsidRDefault="00C252B0" w:rsidP="00692B0F">
      <w:pPr>
        <w:pStyle w:val="ListBullet"/>
      </w:pPr>
      <w:r w:rsidRPr="00C252B0">
        <w:lastRenderedPageBreak/>
        <w:t>For the analysis of unsolicited adverse events and concomitant medications, individuals who did not report an event were considered as being without an event.</w:t>
      </w:r>
    </w:p>
    <w:p w:rsidR="00C252B0" w:rsidRPr="00C252B0" w:rsidRDefault="00C252B0" w:rsidP="00C252B0">
      <w:r w:rsidRPr="00C252B0">
        <w:t>In all studies, “D-QIV” referred to the candidate quadrivalent vaccine, TIV-1 referred to the registered trivalent vaccine, Fluarix, which contained one of the strains included in the quadrivalent vaccine. TIV-2 referred to a trivalent vaccine with a B strain lineage differing from that of the registered trivalent vaccine but contain</w:t>
      </w:r>
      <w:r w:rsidR="00643F59">
        <w:t xml:space="preserve">ed in the </w:t>
      </w:r>
      <w:proofErr w:type="spellStart"/>
      <w:r w:rsidR="00643F59">
        <w:t>quadrivalent</w:t>
      </w:r>
      <w:proofErr w:type="spellEnd"/>
      <w:r w:rsidR="00643F59">
        <w:t xml:space="preserve"> vaccine.</w:t>
      </w:r>
    </w:p>
    <w:p w:rsidR="00C252B0" w:rsidRPr="00C252B0" w:rsidRDefault="00C252B0" w:rsidP="00643F59">
      <w:pPr>
        <w:pStyle w:val="Heading5"/>
      </w:pPr>
      <w:r w:rsidRPr="00C252B0">
        <w:t>Guidelines for licensure of trivalent vaccines</w:t>
      </w:r>
    </w:p>
    <w:p w:rsidR="004422EC" w:rsidRPr="008E314A" w:rsidRDefault="00C252B0" w:rsidP="008E314A">
      <w:r w:rsidRPr="00C252B0">
        <w:t xml:space="preserve">Levels of HI antibody titres </w:t>
      </w:r>
      <w:r w:rsidR="00692B0F">
        <w:t>post vaccination</w:t>
      </w:r>
      <w:r w:rsidRPr="00C252B0">
        <w:t xml:space="preserve"> have not been correlated with protection from influenza il</w:t>
      </w:r>
      <w:r w:rsidRPr="004422EC">
        <w:t>lness but have been used as a measure of vaccine activity. The immunological criteria defined in the Note for Guidance on Harmonization of Requirements for Influenza Vaccines” (CPMP/BWP/214/96; CPMP, 2005)</w:t>
      </w:r>
      <w:r w:rsidR="00643F59">
        <w:fldChar w:fldCharType="begin"/>
      </w:r>
      <w:r w:rsidR="00643F59">
        <w:instrText xml:space="preserve"> NOTEREF _Ref372797230 \h  \* MERGEFORMAT </w:instrText>
      </w:r>
      <w:r w:rsidR="00643F59">
        <w:fldChar w:fldCharType="separate"/>
      </w:r>
      <w:r w:rsidR="006421C6">
        <w:t>9</w:t>
      </w:r>
      <w:r w:rsidR="00643F59">
        <w:fldChar w:fldCharType="end"/>
      </w:r>
      <w:r w:rsidRPr="004422EC">
        <w:t xml:space="preserve"> are applicable to adults. In the absence of specific criteria for children, data were assessed using the e</w:t>
      </w:r>
      <w:r w:rsidRPr="00C252B0">
        <w:t xml:space="preserve">xisting criteria for 18-60 year-old adults. These guidelines, which have been adopted in </w:t>
      </w:r>
      <w:r w:rsidRPr="008E314A">
        <w:t xml:space="preserve">Australia, </w:t>
      </w:r>
      <w:r w:rsidR="004422EC" w:rsidRPr="008E314A">
        <w:t>were</w:t>
      </w:r>
      <w:r w:rsidRPr="008E314A">
        <w:t xml:space="preserve"> summarised </w:t>
      </w:r>
      <w:r w:rsidR="004422EC" w:rsidRPr="008E314A">
        <w:t>in a table</w:t>
      </w:r>
      <w:r w:rsidRPr="008E314A">
        <w:t>.</w:t>
      </w:r>
      <w:r w:rsidR="008E314A" w:rsidRPr="008E314A">
        <w:rPr>
          <w:rStyle w:val="FootnoteReference"/>
        </w:rPr>
        <w:footnoteReference w:id="10"/>
      </w:r>
      <w:r w:rsidR="008E314A" w:rsidRPr="008E314A">
        <w:t xml:space="preserve"> </w:t>
      </w:r>
    </w:p>
    <w:p w:rsidR="00C252B0" w:rsidRPr="00C252B0" w:rsidRDefault="00C252B0" w:rsidP="00C252B0">
      <w:r w:rsidRPr="008E314A">
        <w:t xml:space="preserve"> The United States Food and Drug Administration and the European Medicine Agency recommendations for immunogenicity parameters for licensure (CBER, 2007; CPMP, 1997) </w:t>
      </w:r>
      <w:r w:rsidR="008E314A" w:rsidRPr="008E314A">
        <w:t>were also</w:t>
      </w:r>
      <w:r w:rsidRPr="008E314A">
        <w:t xml:space="preserve"> described.</w:t>
      </w:r>
      <w:r w:rsidR="008E314A">
        <w:rPr>
          <w:rStyle w:val="FootnoteReference"/>
        </w:rPr>
        <w:footnoteReference w:id="11"/>
      </w:r>
    </w:p>
    <w:p w:rsidR="00C252B0" w:rsidRPr="00C252B0" w:rsidRDefault="00C252B0" w:rsidP="00692B0F">
      <w:pPr>
        <w:pStyle w:val="Heading4"/>
      </w:pPr>
      <w:bookmarkStart w:id="28" w:name="_Toc342570228"/>
      <w:bookmarkStart w:id="29" w:name="_Toc355350119"/>
      <w:bookmarkStart w:id="30" w:name="_Toc241374310"/>
      <w:r w:rsidRPr="00C252B0">
        <w:t>Adult studies</w:t>
      </w:r>
      <w:bookmarkEnd w:id="28"/>
      <w:bookmarkEnd w:id="29"/>
    </w:p>
    <w:p w:rsidR="00C252B0" w:rsidRPr="00C252B0" w:rsidRDefault="00C252B0" w:rsidP="00C252B0">
      <w:r w:rsidRPr="00C252B0">
        <w:t>Inclusion/exclusion criteria were similar for the adult studies and are summarised below.</w:t>
      </w:r>
    </w:p>
    <w:p w:rsidR="00C252B0" w:rsidRPr="00C252B0" w:rsidRDefault="00C252B0" w:rsidP="00643F59">
      <w:pPr>
        <w:pStyle w:val="Heading5"/>
      </w:pPr>
      <w:r w:rsidRPr="00C252B0">
        <w:t xml:space="preserve">Inclusion </w:t>
      </w:r>
      <w:r w:rsidR="00643F59">
        <w:t>c</w:t>
      </w:r>
      <w:r w:rsidRPr="00C252B0">
        <w:t>riteria</w:t>
      </w:r>
    </w:p>
    <w:p w:rsidR="00C252B0" w:rsidRPr="00C252B0" w:rsidRDefault="00C252B0" w:rsidP="00692B0F">
      <w:pPr>
        <w:pStyle w:val="ListBullet"/>
      </w:pPr>
      <w:r w:rsidRPr="00C252B0">
        <w:t>Healthy individuals or those with chronic well-controlled disease</w:t>
      </w:r>
    </w:p>
    <w:p w:rsidR="00C252B0" w:rsidRPr="00C252B0" w:rsidRDefault="00C252B0" w:rsidP="00692B0F">
      <w:pPr>
        <w:pStyle w:val="ListBullet"/>
      </w:pPr>
      <w:r w:rsidRPr="00C252B0">
        <w:t xml:space="preserve">Females of non-childbearing potential defined as being post-menopausal or having tubal ligation, hysterectomy or </w:t>
      </w:r>
      <w:proofErr w:type="spellStart"/>
      <w:r w:rsidRPr="00C252B0">
        <w:t>ovariectomy</w:t>
      </w:r>
      <w:proofErr w:type="spellEnd"/>
      <w:r w:rsidRPr="00C252B0">
        <w:t xml:space="preserve">. Females of childbearing potential could be enrolled </w:t>
      </w:r>
      <w:r w:rsidRPr="00C252B0">
        <w:lastRenderedPageBreak/>
        <w:t>in the study if the individual had practiced adequate contraception for 30 days prior to vaccination, had a negative pregnancy test on the day of vaccination and had agreed to continue adequate contraception for the entire treatment period and for 2 months after completion of the vaccination series.</w:t>
      </w:r>
    </w:p>
    <w:p w:rsidR="00C252B0" w:rsidRPr="00C252B0" w:rsidRDefault="00C252B0" w:rsidP="00643F59">
      <w:pPr>
        <w:pStyle w:val="Heading5"/>
      </w:pPr>
      <w:r w:rsidRPr="00C252B0">
        <w:t xml:space="preserve">Exclusion </w:t>
      </w:r>
      <w:r w:rsidR="00643F59">
        <w:t>c</w:t>
      </w:r>
      <w:r w:rsidRPr="00C252B0">
        <w:t>riteria</w:t>
      </w:r>
    </w:p>
    <w:p w:rsidR="00C252B0" w:rsidRPr="00C252B0" w:rsidRDefault="00C252B0" w:rsidP="00643F59">
      <w:pPr>
        <w:pStyle w:val="ListBullet"/>
      </w:pPr>
      <w:r w:rsidRPr="00C252B0">
        <w:t>Use of any investigational or non-registered drug or vaccine other than the study vaccines within 30 days preceding the dose of study vaccine, or planned use during the study period.</w:t>
      </w:r>
    </w:p>
    <w:p w:rsidR="00C252B0" w:rsidRPr="00C252B0" w:rsidRDefault="00C252B0" w:rsidP="00643F59">
      <w:pPr>
        <w:pStyle w:val="ListBullet"/>
      </w:pPr>
      <w:r w:rsidRPr="00C252B0">
        <w:t xml:space="preserve">Administration for more than a total of 14 days of immunosuppressant or other immune-modifying drugs within six months prior to the first vaccine dose. For corticosteroids, this meant prednisone </w:t>
      </w:r>
      <w:r w:rsidR="00692B0F">
        <w:t>≥</w:t>
      </w:r>
      <w:r w:rsidRPr="00C252B0">
        <w:t xml:space="preserve"> 20 mg/day, or equivalent. Inhaled and topical steroids were allowed.</w:t>
      </w:r>
    </w:p>
    <w:p w:rsidR="00C252B0" w:rsidRPr="00C252B0" w:rsidRDefault="00C252B0" w:rsidP="00643F59">
      <w:pPr>
        <w:pStyle w:val="ListBullet"/>
      </w:pPr>
      <w:r w:rsidRPr="00C252B0">
        <w:t>Administration of an influenza vaccine during the 6 months preceding entry into the study</w:t>
      </w:r>
      <w:r w:rsidR="00692B0F">
        <w:t>.</w:t>
      </w:r>
    </w:p>
    <w:p w:rsidR="00C252B0" w:rsidRPr="00C252B0" w:rsidRDefault="00C252B0" w:rsidP="00643F59">
      <w:pPr>
        <w:pStyle w:val="ListBullet"/>
      </w:pPr>
      <w:r w:rsidRPr="00C252B0">
        <w:t>Planned administration/administration of a vaccine not foreseen by the study protocol within 30 days before vaccination and up to Visit 2.</w:t>
      </w:r>
    </w:p>
    <w:p w:rsidR="00C252B0" w:rsidRPr="00C252B0" w:rsidRDefault="00C252B0" w:rsidP="00643F59">
      <w:pPr>
        <w:pStyle w:val="ListBullet"/>
      </w:pPr>
      <w:r w:rsidRPr="00C252B0">
        <w:t>Any contra-indication to intramuscular (IM) administration of the influenza vaccines</w:t>
      </w:r>
      <w:r w:rsidR="00692B0F">
        <w:t>.</w:t>
      </w:r>
    </w:p>
    <w:p w:rsidR="00C252B0" w:rsidRPr="00C252B0" w:rsidRDefault="00C252B0" w:rsidP="00643F59">
      <w:pPr>
        <w:pStyle w:val="ListBullet"/>
      </w:pPr>
      <w:r w:rsidRPr="00C252B0">
        <w:t>History of hypersensitivity/anaphylaxis to a previous dose of influenza vaccine, history of any reaction or hypersensitivity likely to be exacerbated by any component of the vaccines including latex</w:t>
      </w:r>
      <w:r w:rsidR="00692B0F">
        <w:t>.</w:t>
      </w:r>
    </w:p>
    <w:p w:rsidR="00C252B0" w:rsidRPr="00C252B0" w:rsidRDefault="00C252B0" w:rsidP="00643F59">
      <w:pPr>
        <w:pStyle w:val="ListBullet"/>
      </w:pPr>
      <w:r w:rsidRPr="00C252B0">
        <w:t>Any administration of a long-acting immune-modifying drug  within 3 months before study start or planned administration during the study period</w:t>
      </w:r>
    </w:p>
    <w:p w:rsidR="00C252B0" w:rsidRPr="00C252B0" w:rsidRDefault="00C252B0" w:rsidP="00643F59">
      <w:pPr>
        <w:pStyle w:val="ListBullet"/>
      </w:pPr>
      <w:r w:rsidRPr="00C252B0">
        <w:t>Any confirmed or suspected immunosuppressive or immunodeficiency condition, based on medical history and physical examination</w:t>
      </w:r>
      <w:r w:rsidR="00692B0F">
        <w:t>.</w:t>
      </w:r>
    </w:p>
    <w:p w:rsidR="00C252B0" w:rsidRPr="00C252B0" w:rsidRDefault="00C252B0" w:rsidP="00643F59">
      <w:pPr>
        <w:pStyle w:val="ListBullet"/>
      </w:pPr>
      <w:r w:rsidRPr="00C252B0">
        <w:t xml:space="preserve">Acute disease and/or fever at the time of enrolment. Fever was defined as temperature </w:t>
      </w:r>
      <w:r w:rsidR="00692B0F">
        <w:t>≥ </w:t>
      </w:r>
      <w:r w:rsidRPr="00C252B0">
        <w:t>37.5°C on oral or axillary measurement. Individuals with a minor illness such as mild diarrhoea, mild upper respiratory infection without fever could be enrolled at the discretion of the investigator</w:t>
      </w:r>
    </w:p>
    <w:p w:rsidR="00C252B0" w:rsidRPr="00C252B0" w:rsidRDefault="00C252B0" w:rsidP="00643F59">
      <w:pPr>
        <w:pStyle w:val="ListBullet"/>
      </w:pPr>
      <w:r w:rsidRPr="00C252B0">
        <w:t>Acute or chronic, clinically significant pulmonary, cardiovascular, hepatic or renal functional abnormality as determined by physical examination or laboratory screening tests</w:t>
      </w:r>
      <w:r w:rsidR="00692B0F">
        <w:t>.</w:t>
      </w:r>
    </w:p>
    <w:p w:rsidR="00C252B0" w:rsidRPr="00C252B0" w:rsidRDefault="00C252B0" w:rsidP="00643F59">
      <w:pPr>
        <w:pStyle w:val="ListBullet"/>
      </w:pPr>
      <w:r w:rsidRPr="00C252B0">
        <w:t>History of Guillain-Barre syndrome (GBS)</w:t>
      </w:r>
      <w:r w:rsidR="00692B0F">
        <w:t>.</w:t>
      </w:r>
    </w:p>
    <w:p w:rsidR="00C252B0" w:rsidRPr="00C252B0" w:rsidRDefault="00C252B0" w:rsidP="00643F59">
      <w:pPr>
        <w:pStyle w:val="ListBullet"/>
      </w:pPr>
      <w:r w:rsidRPr="00C252B0">
        <w:t>Administration of immunoglobulin and/or any blood products within the 3 months before the first dose of study vaccine or planned administration during the study period</w:t>
      </w:r>
      <w:r w:rsidR="00692B0F">
        <w:t>.</w:t>
      </w:r>
    </w:p>
    <w:p w:rsidR="00C252B0" w:rsidRPr="00C252B0" w:rsidRDefault="00C252B0" w:rsidP="00643F59">
      <w:pPr>
        <w:pStyle w:val="ListBullet"/>
      </w:pPr>
      <w:r w:rsidRPr="00C252B0">
        <w:t>Pregnant or lactating female</w:t>
      </w:r>
      <w:r w:rsidR="00692B0F">
        <w:t>.</w:t>
      </w:r>
    </w:p>
    <w:p w:rsidR="00C252B0" w:rsidRPr="00C252B0" w:rsidRDefault="00C252B0" w:rsidP="00643F59">
      <w:pPr>
        <w:pStyle w:val="ListBullet"/>
      </w:pPr>
      <w:r w:rsidRPr="00C252B0">
        <w:t>History of chronic alcohol consumption and/or drug abuse</w:t>
      </w:r>
      <w:r w:rsidR="00692B0F">
        <w:t>.</w:t>
      </w:r>
    </w:p>
    <w:p w:rsidR="00C252B0" w:rsidRPr="00C252B0" w:rsidRDefault="00C252B0" w:rsidP="00643F59">
      <w:pPr>
        <w:pStyle w:val="ListBullet"/>
      </w:pPr>
      <w:r w:rsidRPr="00C252B0">
        <w:t>Any condition which, in the opinion of the investigator, prevented the individual from participating in the study</w:t>
      </w:r>
      <w:r w:rsidR="00692B0F">
        <w:t>.</w:t>
      </w:r>
    </w:p>
    <w:p w:rsidR="00C252B0" w:rsidRPr="00C252B0" w:rsidRDefault="00692B0F" w:rsidP="00C252B0">
      <w:r>
        <w:t>In each study the randomis</w:t>
      </w:r>
      <w:r w:rsidR="00C252B0" w:rsidRPr="00C252B0">
        <w:t xml:space="preserve">ation of supplies was performed </w:t>
      </w:r>
      <w:r>
        <w:t xml:space="preserve">by </w:t>
      </w:r>
      <w:r w:rsidR="00C252B0" w:rsidRPr="00C252B0">
        <w:t xml:space="preserve">GSK Biologicals using a program developed by GSK Biologicals for use in SAS® (Cary, NC, USA). The vaccine doses were distributed to the study </w:t>
      </w:r>
      <w:r>
        <w:t>centres, respecting the randomis</w:t>
      </w:r>
      <w:r w:rsidR="00C252B0" w:rsidRPr="00C252B0">
        <w:t>ation block size. The treatment allocation at the investigator site was pe</w:t>
      </w:r>
      <w:r>
        <w:t>rformed using a central randomis</w:t>
      </w:r>
      <w:r w:rsidR="00C252B0" w:rsidRPr="00C252B0">
        <w:t>ation system on internet (SBIR).</w:t>
      </w:r>
    </w:p>
    <w:p w:rsidR="00C252B0" w:rsidRPr="00C252B0" w:rsidRDefault="00C252B0" w:rsidP="00692B0F">
      <w:pPr>
        <w:pStyle w:val="Heading5"/>
      </w:pPr>
      <w:bookmarkStart w:id="31" w:name="_Toc342570229"/>
      <w:bookmarkStart w:id="32" w:name="_Toc355350120"/>
      <w:bookmarkEnd w:id="30"/>
      <w:r w:rsidRPr="00C252B0">
        <w:t>Pivotal adult study FLU-D-QIV-008</w:t>
      </w:r>
      <w:bookmarkEnd w:id="31"/>
      <w:bookmarkEnd w:id="32"/>
    </w:p>
    <w:p w:rsidR="00C252B0" w:rsidRPr="00C252B0" w:rsidRDefault="00C252B0" w:rsidP="00C252B0">
      <w:r w:rsidRPr="00C252B0">
        <w:t xml:space="preserve">Study FLU-D-QIV-008, (D-QIV-008) was a </w:t>
      </w:r>
      <w:r w:rsidR="00692B0F">
        <w:t>P</w:t>
      </w:r>
      <w:r w:rsidRPr="00C252B0">
        <w:t xml:space="preserve">hase III, partially-blind, controlled, multi-centre, multinational, parallel group study to evaluate immunogenicity, safety and reactogenicity of the quadrivalent influenza candidate vaccine in adults 18 years of age or older. The study was </w:t>
      </w:r>
      <w:r w:rsidR="00692B0F">
        <w:lastRenderedPageBreak/>
        <w:t xml:space="preserve">conducted between 4 October 2010 and </w:t>
      </w:r>
      <w:r w:rsidRPr="00C252B0">
        <w:t>6 June 2011 by 43 investigators in six countries: Germany, Romania, Spain, Korea, Taiwan and the US.</w:t>
      </w:r>
    </w:p>
    <w:p w:rsidR="00C252B0" w:rsidRPr="00C252B0" w:rsidRDefault="00C252B0" w:rsidP="00692B0F">
      <w:pPr>
        <w:pStyle w:val="Heading6"/>
      </w:pPr>
      <w:r w:rsidRPr="00C252B0">
        <w:t>Co-primary objectives</w:t>
      </w:r>
    </w:p>
    <w:p w:rsidR="00C252B0" w:rsidRPr="00C252B0" w:rsidRDefault="00C252B0" w:rsidP="00692B0F">
      <w:pPr>
        <w:pStyle w:val="ListBullet"/>
      </w:pPr>
      <w:r w:rsidRPr="00C252B0">
        <w:t>To assess the lot-to lot consistency of three lots of the quadrivalent influenza vaccine D-QIV, in terms of HI antibody GMTs. Lot- to lot consistency was demonstrated if, for each vaccine strain, the limits of the two-sided 95% confidence interval for the largest geometric mean ratio among the three lots were between 0.67 and 1.5</w:t>
      </w:r>
      <w:r w:rsidR="00692B0F">
        <w:t>.</w:t>
      </w:r>
    </w:p>
    <w:p w:rsidR="00C252B0" w:rsidRPr="00C252B0" w:rsidRDefault="00C252B0" w:rsidP="00692B0F">
      <w:pPr>
        <w:pStyle w:val="ListBullet"/>
      </w:pPr>
      <w:r w:rsidRPr="00C252B0">
        <w:t xml:space="preserve">To assess the immunological non-inferiority in terms of HI antibody GMTs and seroconversion rates of D-QIV compared to trivalent influenza vaccine TIV-1 (Fluarix) and TIV-2 vaccine for the three strains that were included in each of the two trivalent vaccines. Non-inferiority in terms of GMTs was demonstrated if the upper limit of the two-sided 95% </w:t>
      </w:r>
      <w:r w:rsidR="00692B0F">
        <w:t>confidence interval (</w:t>
      </w:r>
      <w:r w:rsidRPr="00C252B0">
        <w:t>CI</w:t>
      </w:r>
      <w:r w:rsidR="00692B0F">
        <w:t>)</w:t>
      </w:r>
      <w:r w:rsidRPr="00C252B0">
        <w:t xml:space="preserve"> for the ratio of GMT of TIV-1 vaccine or TIV-2 vaccine over D-QIV did not exceed 1.5 for each strain Non-inferiority in terms of seroconversion rates was demonstrated if the upper limit of the two-sided asymptotic standardised 95% CI for the difference in the SCR (TIV-1 or TIV-2 vaccine minus D-QIV did not exceed 10% for each strain included i</w:t>
      </w:r>
      <w:r w:rsidR="00643F59">
        <w:t>n the TIV-1 and TIV-2 vaccines.</w:t>
      </w:r>
    </w:p>
    <w:p w:rsidR="00C252B0" w:rsidRPr="00C252B0" w:rsidRDefault="00C252B0" w:rsidP="00692B0F">
      <w:pPr>
        <w:pStyle w:val="ListBullet"/>
      </w:pPr>
      <w:r w:rsidRPr="00C252B0">
        <w:t>To assess the immunological superiority in terms of GMTs and SCRs of the D-QIV vaccine compared to the two trivalent vaccines for the B strain that was not included in each vaccine. Immunologic superiority of the unique B strain the D-QIV vaccine was demonstrated if the lower limit of the two-sided 95% CI on the GMT ratio was greater than one and the lower limit of the two-sided 95% CI for the difference in SCR was greater than zero.</w:t>
      </w:r>
    </w:p>
    <w:p w:rsidR="00C252B0" w:rsidRPr="00C252B0" w:rsidRDefault="00C252B0" w:rsidP="00E4366E">
      <w:pPr>
        <w:pStyle w:val="Heading6"/>
      </w:pPr>
      <w:r w:rsidRPr="00C252B0">
        <w:t>Secondary objectives</w:t>
      </w:r>
    </w:p>
    <w:p w:rsidR="00C252B0" w:rsidRPr="00C252B0" w:rsidRDefault="00C252B0" w:rsidP="00E4366E">
      <w:pPr>
        <w:pStyle w:val="ListBullet"/>
      </w:pPr>
      <w:r w:rsidRPr="00C252B0">
        <w:t>To describe the immunogenicity of D-QIV vaccine, TIV-1 (Fluarix) vaccine and TIV-2 vaccine in terms of GMTs and seroprotection rate at Days 0 and 21, and seroconversion rate and mean geometric increase (MGI) at Day 21 overall and in each age stratum.</w:t>
      </w:r>
    </w:p>
    <w:p w:rsidR="00C252B0" w:rsidRPr="00C252B0" w:rsidRDefault="00C252B0" w:rsidP="00E4366E">
      <w:pPr>
        <w:pStyle w:val="ListBullet"/>
      </w:pPr>
      <w:r w:rsidRPr="00C252B0">
        <w:t>To assess the reactogenicity and safety of D-QIV, TIV-1 and TIV-2 vaccines overall and in each age stratum in terms of the following:</w:t>
      </w:r>
    </w:p>
    <w:p w:rsidR="00C252B0" w:rsidRPr="00643F59" w:rsidRDefault="00C252B0" w:rsidP="00643F59">
      <w:pPr>
        <w:pStyle w:val="ListBullet2"/>
      </w:pPr>
      <w:r w:rsidRPr="00C252B0">
        <w:t>Solici</w:t>
      </w:r>
      <w:r w:rsidR="00E4366E">
        <w:t xml:space="preserve">ted local symptoms during the 7 </w:t>
      </w:r>
      <w:r w:rsidRPr="00C252B0">
        <w:t xml:space="preserve">day </w:t>
      </w:r>
      <w:r w:rsidR="00692B0F">
        <w:t xml:space="preserve">post </w:t>
      </w:r>
      <w:r w:rsidR="00692B0F" w:rsidRPr="00643F59">
        <w:t>vaccination</w:t>
      </w:r>
      <w:r w:rsidRPr="00643F59">
        <w:t xml:space="preserve"> follow-up.</w:t>
      </w:r>
    </w:p>
    <w:p w:rsidR="00C252B0" w:rsidRPr="00643F59" w:rsidRDefault="00C252B0" w:rsidP="00643F59">
      <w:pPr>
        <w:pStyle w:val="ListBullet2"/>
      </w:pPr>
      <w:r w:rsidRPr="00643F59">
        <w:t>Solicited general symptoms during the 7</w:t>
      </w:r>
      <w:r w:rsidR="00E4366E" w:rsidRPr="00643F59">
        <w:t xml:space="preserve"> </w:t>
      </w:r>
      <w:r w:rsidRPr="00643F59">
        <w:t xml:space="preserve">day </w:t>
      </w:r>
      <w:r w:rsidR="00692B0F" w:rsidRPr="00643F59">
        <w:t>post vaccination</w:t>
      </w:r>
      <w:r w:rsidRPr="00643F59">
        <w:t xml:space="preserve"> follow-up.</w:t>
      </w:r>
    </w:p>
    <w:p w:rsidR="00C252B0" w:rsidRPr="00643F59" w:rsidRDefault="00C252B0" w:rsidP="00643F59">
      <w:pPr>
        <w:pStyle w:val="ListBullet2"/>
      </w:pPr>
      <w:r w:rsidRPr="00643F59">
        <w:t>Unsolicited symptoms during the 21</w:t>
      </w:r>
      <w:r w:rsidR="00E4366E" w:rsidRPr="00643F59">
        <w:t xml:space="preserve"> </w:t>
      </w:r>
      <w:r w:rsidRPr="00643F59">
        <w:t xml:space="preserve">day </w:t>
      </w:r>
      <w:r w:rsidR="00692B0F" w:rsidRPr="00643F59">
        <w:t>post vaccination</w:t>
      </w:r>
      <w:r w:rsidRPr="00643F59">
        <w:t xml:space="preserve"> follow-up period.</w:t>
      </w:r>
    </w:p>
    <w:p w:rsidR="00C252B0" w:rsidRPr="00C252B0" w:rsidRDefault="00C252B0" w:rsidP="00643F59">
      <w:pPr>
        <w:pStyle w:val="ListBullet2"/>
      </w:pPr>
      <w:r w:rsidRPr="00643F59">
        <w:t>Serious adverse events (SAEs), adverse events (AEs) with medically attended visit (MAV) and potential immune mediated diseases (</w:t>
      </w:r>
      <w:proofErr w:type="spellStart"/>
      <w:r w:rsidRPr="00643F59">
        <w:t>pIMDs</w:t>
      </w:r>
      <w:proofErr w:type="spellEnd"/>
      <w:r w:rsidRPr="00643F59">
        <w:t>) during</w:t>
      </w:r>
      <w:r w:rsidRPr="00C252B0">
        <w:t xml:space="preserve"> the entire study period.</w:t>
      </w:r>
    </w:p>
    <w:p w:rsidR="00C252B0" w:rsidRPr="00C252B0" w:rsidRDefault="00643F59" w:rsidP="00E4366E">
      <w:pPr>
        <w:pStyle w:val="Heading6"/>
      </w:pPr>
      <w:r>
        <w:t>Design</w:t>
      </w:r>
    </w:p>
    <w:p w:rsidR="00C252B0" w:rsidRPr="00C252B0" w:rsidRDefault="00C252B0" w:rsidP="00C252B0">
      <w:r w:rsidRPr="00C252B0">
        <w:t>Participants were randomised 5:5:5:5:3 into groups as follows:</w:t>
      </w:r>
    </w:p>
    <w:p w:rsidR="00C252B0" w:rsidRPr="00C92E74" w:rsidRDefault="00C252B0" w:rsidP="00C92E74">
      <w:pPr>
        <w:pStyle w:val="ListBullet"/>
      </w:pPr>
      <w:r w:rsidRPr="00C92E74">
        <w:t>D-QIV-1: 1000 participants receiving D-QIV from lot 1</w:t>
      </w:r>
    </w:p>
    <w:p w:rsidR="00C252B0" w:rsidRPr="00C92E74" w:rsidRDefault="00C252B0" w:rsidP="00C92E74">
      <w:pPr>
        <w:pStyle w:val="ListBullet"/>
      </w:pPr>
      <w:r w:rsidRPr="00C92E74">
        <w:t>D-QIV-2: 1000 participants receiving D-QIV from lot 2</w:t>
      </w:r>
    </w:p>
    <w:p w:rsidR="00C252B0" w:rsidRPr="00C92E74" w:rsidRDefault="00C252B0" w:rsidP="00C92E74">
      <w:pPr>
        <w:pStyle w:val="ListBullet"/>
      </w:pPr>
      <w:r w:rsidRPr="00C92E74">
        <w:t>D-QIV-3: 1000 participants receiving D-QIV from lot 3</w:t>
      </w:r>
    </w:p>
    <w:p w:rsidR="00C252B0" w:rsidRPr="00C92E74" w:rsidRDefault="00C252B0" w:rsidP="00C92E74">
      <w:pPr>
        <w:pStyle w:val="ListBullet"/>
      </w:pPr>
      <w:r w:rsidRPr="00C92E74">
        <w:t>TIV-1: 1000 participants receiving TIV-1 - control</w:t>
      </w:r>
    </w:p>
    <w:p w:rsidR="00C252B0" w:rsidRPr="00C92E74" w:rsidRDefault="00C252B0" w:rsidP="00C92E74">
      <w:pPr>
        <w:pStyle w:val="ListBullet"/>
      </w:pPr>
      <w:r w:rsidRPr="00C92E74">
        <w:t>TIV-2: 600 participants receiving TIV-2 - control</w:t>
      </w:r>
    </w:p>
    <w:p w:rsidR="00C252B0" w:rsidRPr="00C252B0" w:rsidRDefault="00C252B0" w:rsidP="00C252B0">
      <w:r w:rsidRPr="00C252B0">
        <w:t>The immunogenicity sub-cohorts included the first 600 participants enrolled in each treatment group taking into account the age stratification a</w:t>
      </w:r>
      <w:r w:rsidR="00C92E74">
        <w:t>nd the minimisation factors.</w:t>
      </w:r>
    </w:p>
    <w:p w:rsidR="00C252B0" w:rsidRPr="00C252B0" w:rsidRDefault="00C252B0" w:rsidP="00C252B0">
      <w:r w:rsidRPr="00C252B0">
        <w:lastRenderedPageBreak/>
        <w:t>The sample size of 3000 participants in the D-QIV groups was determined by the safety cohort needed to allow detection of rare events occurring at a rate of 0.01%. The sample size in the immunogenicity sub-cohort of 570 evaluable individuals for each group was calculated in order to reach the global power for primary obje</w:t>
      </w:r>
      <w:r w:rsidR="00C92E74">
        <w:t>ctive analysis of at least 90%.</w:t>
      </w:r>
    </w:p>
    <w:p w:rsidR="00C252B0" w:rsidRPr="00C252B0" w:rsidRDefault="00C252B0" w:rsidP="00C252B0">
      <w:r w:rsidRPr="00C252B0">
        <w:t>Study duration was approximately 6 months for those vaccinated with D-QIV or TIV-1 and 28 days for those vaccinated with TIV-2 in order that they may be vaccinated with the seasonal vaccine before the com</w:t>
      </w:r>
      <w:r w:rsidR="00C92E74">
        <w:t>mencement of influenza season.</w:t>
      </w:r>
    </w:p>
    <w:p w:rsidR="00C252B0" w:rsidRPr="00C252B0" w:rsidRDefault="00C252B0" w:rsidP="00E4366E">
      <w:pPr>
        <w:pStyle w:val="Heading6"/>
      </w:pPr>
      <w:r w:rsidRPr="00C252B0">
        <w:t>Study and reference vaccines</w:t>
      </w:r>
    </w:p>
    <w:p w:rsidR="00C252B0" w:rsidRPr="00C252B0" w:rsidRDefault="00C252B0" w:rsidP="00C252B0">
      <w:r w:rsidRPr="00C252B0">
        <w:t xml:space="preserve">Vaccines were presented as single doses in glass pre-filled syringes with contents as summarised in </w:t>
      </w:r>
      <w:r w:rsidR="00E4366E">
        <w:t>Table 2</w:t>
      </w:r>
      <w:r w:rsidRPr="00C252B0">
        <w:t>. The dose of 0.5 mL was injected intramuscularly into the deltoid region of the non-dominant arm on Day 0.</w:t>
      </w:r>
    </w:p>
    <w:p w:rsidR="00C252B0" w:rsidRPr="00C252B0" w:rsidRDefault="00C252B0" w:rsidP="00C92E74">
      <w:pPr>
        <w:pStyle w:val="TableTitle"/>
      </w:pPr>
      <w:bookmarkStart w:id="33" w:name="_Ref339629985"/>
      <w:bookmarkStart w:id="34" w:name="_Ref339629988"/>
      <w:proofErr w:type="gramStart"/>
      <w:r w:rsidRPr="00C252B0">
        <w:t xml:space="preserve">Table </w:t>
      </w:r>
      <w:bookmarkEnd w:id="33"/>
      <w:r w:rsidR="00E4366E">
        <w:t>2.</w:t>
      </w:r>
      <w:proofErr w:type="gramEnd"/>
      <w:r w:rsidR="00E4366E">
        <w:t xml:space="preserve"> </w:t>
      </w:r>
      <w:r w:rsidRPr="00C252B0">
        <w:t xml:space="preserve"> </w:t>
      </w:r>
      <w:proofErr w:type="gramStart"/>
      <w:r w:rsidRPr="00C252B0">
        <w:t>D-QIV-008 study and reference vaccines</w:t>
      </w:r>
      <w:bookmarkEnd w:id="34"/>
      <w:r w:rsidR="001E637D">
        <w:t>.</w:t>
      </w:r>
      <w:proofErr w:type="gramEnd"/>
      <w:r w:rsidR="001E637D">
        <w:t xml:space="preserve"> Table continued on next page.</w:t>
      </w:r>
    </w:p>
    <w:tbl>
      <w:tblPr>
        <w:tblStyle w:val="TableTGAblue"/>
        <w:tblW w:w="4763" w:type="pct"/>
        <w:tblLook w:val="04A0" w:firstRow="1" w:lastRow="0" w:firstColumn="1" w:lastColumn="0" w:noHBand="0" w:noVBand="1"/>
      </w:tblPr>
      <w:tblGrid>
        <w:gridCol w:w="2934"/>
        <w:gridCol w:w="2934"/>
        <w:gridCol w:w="2936"/>
      </w:tblGrid>
      <w:tr w:rsidR="00C252B0" w:rsidRPr="00C252B0" w:rsidTr="000C71CB">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000" w:firstRow="0" w:lastRow="0" w:firstColumn="1" w:lastColumn="0" w:oddVBand="0" w:evenVBand="0" w:oddHBand="0" w:evenHBand="0" w:firstRowFirstColumn="0" w:firstRowLastColumn="0" w:lastRowFirstColumn="0" w:lastRowLastColumn="0"/>
            <w:tcW w:w="1666" w:type="pct"/>
            <w:hideMark/>
          </w:tcPr>
          <w:p w:rsidR="00C252B0" w:rsidRPr="00E4366E" w:rsidRDefault="00C252B0" w:rsidP="001E637D">
            <w:pPr>
              <w:rPr>
                <w:sz w:val="20"/>
                <w:szCs w:val="20"/>
              </w:rPr>
            </w:pPr>
            <w:r w:rsidRPr="00E4366E">
              <w:rPr>
                <w:sz w:val="20"/>
                <w:szCs w:val="20"/>
              </w:rPr>
              <w:t>D-QIV</w:t>
            </w:r>
          </w:p>
        </w:tc>
        <w:tc>
          <w:tcPr>
            <w:tcW w:w="1666" w:type="pct"/>
            <w:hideMark/>
          </w:tcPr>
          <w:p w:rsidR="00C252B0" w:rsidRPr="00E4366E" w:rsidRDefault="00C252B0" w:rsidP="001E637D">
            <w:pPr>
              <w:cnfStyle w:val="100000000000" w:firstRow="1" w:lastRow="0" w:firstColumn="0" w:lastColumn="0" w:oddVBand="0" w:evenVBand="0" w:oddHBand="0" w:evenHBand="0" w:firstRowFirstColumn="0" w:firstRowLastColumn="0" w:lastRowFirstColumn="0" w:lastRowLastColumn="0"/>
              <w:rPr>
                <w:sz w:val="20"/>
                <w:szCs w:val="20"/>
              </w:rPr>
            </w:pPr>
            <w:r w:rsidRPr="00E4366E">
              <w:rPr>
                <w:sz w:val="20"/>
                <w:szCs w:val="20"/>
              </w:rPr>
              <w:t>TIV-1</w:t>
            </w:r>
          </w:p>
        </w:tc>
        <w:tc>
          <w:tcPr>
            <w:tcW w:w="1667" w:type="pct"/>
            <w:hideMark/>
          </w:tcPr>
          <w:p w:rsidR="00C252B0" w:rsidRPr="00E4366E" w:rsidRDefault="00C252B0" w:rsidP="001E637D">
            <w:pPr>
              <w:cnfStyle w:val="100000000000" w:firstRow="1" w:lastRow="0" w:firstColumn="0" w:lastColumn="0" w:oddVBand="0" w:evenVBand="0" w:oddHBand="0" w:evenHBand="0" w:firstRowFirstColumn="0" w:firstRowLastColumn="0" w:lastRowFirstColumn="0" w:lastRowLastColumn="0"/>
              <w:rPr>
                <w:sz w:val="20"/>
                <w:szCs w:val="20"/>
              </w:rPr>
            </w:pPr>
            <w:r w:rsidRPr="00E4366E">
              <w:rPr>
                <w:sz w:val="20"/>
                <w:szCs w:val="20"/>
              </w:rPr>
              <w:t>TIV-2</w:t>
            </w:r>
          </w:p>
        </w:tc>
      </w:tr>
      <w:tr w:rsidR="00C252B0" w:rsidRPr="00C252B0" w:rsidTr="000C71CB">
        <w:trPr>
          <w:trHeight w:val="710"/>
        </w:trPr>
        <w:tc>
          <w:tcPr>
            <w:cnfStyle w:val="001000000000" w:firstRow="0" w:lastRow="0" w:firstColumn="1" w:lastColumn="0" w:oddVBand="0" w:evenVBand="0" w:oddHBand="0" w:evenHBand="0" w:firstRowFirstColumn="0" w:firstRowLastColumn="0" w:lastRowFirstColumn="0" w:lastRowLastColumn="0"/>
            <w:tcW w:w="1666" w:type="pct"/>
            <w:hideMark/>
          </w:tcPr>
          <w:p w:rsidR="00C252B0" w:rsidRPr="00E4366E" w:rsidRDefault="00C252B0" w:rsidP="001E637D">
            <w:pPr>
              <w:rPr>
                <w:sz w:val="20"/>
                <w:szCs w:val="20"/>
              </w:rPr>
            </w:pPr>
            <w:r w:rsidRPr="00E4366E">
              <w:rPr>
                <w:sz w:val="20"/>
                <w:szCs w:val="20"/>
              </w:rPr>
              <w:t>Quadrivalent, split virion, inactivated influenza vaccine</w:t>
            </w:r>
          </w:p>
        </w:tc>
        <w:tc>
          <w:tcPr>
            <w:tcW w:w="1666" w:type="pct"/>
            <w:hideMark/>
          </w:tcPr>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Trivalent, split virion, inactivated influenza vaccine</w:t>
            </w:r>
          </w:p>
        </w:tc>
        <w:tc>
          <w:tcPr>
            <w:tcW w:w="1667" w:type="pct"/>
            <w:hideMark/>
          </w:tcPr>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Trivalent, split virion, inactivated influenza vaccine</w:t>
            </w:r>
          </w:p>
        </w:tc>
      </w:tr>
      <w:tr w:rsidR="00C252B0" w:rsidRPr="00C252B0" w:rsidTr="000C71CB">
        <w:trPr>
          <w:trHeight w:val="1420"/>
        </w:trPr>
        <w:tc>
          <w:tcPr>
            <w:cnfStyle w:val="001000000000" w:firstRow="0" w:lastRow="0" w:firstColumn="1" w:lastColumn="0" w:oddVBand="0" w:evenVBand="0" w:oddHBand="0" w:evenHBand="0" w:firstRowFirstColumn="0" w:firstRowLastColumn="0" w:lastRowFirstColumn="0" w:lastRowLastColumn="0"/>
            <w:tcW w:w="1666" w:type="pct"/>
          </w:tcPr>
          <w:p w:rsidR="00C252B0" w:rsidRPr="00E4366E" w:rsidRDefault="00C252B0" w:rsidP="001E637D">
            <w:pPr>
              <w:rPr>
                <w:sz w:val="20"/>
                <w:szCs w:val="20"/>
              </w:rPr>
            </w:pPr>
            <w:r w:rsidRPr="00E4366E">
              <w:rPr>
                <w:sz w:val="20"/>
                <w:szCs w:val="20"/>
              </w:rPr>
              <w:t>Candidate vaccine</w:t>
            </w:r>
          </w:p>
          <w:p w:rsidR="00C252B0" w:rsidRPr="00E4366E" w:rsidRDefault="00C252B0" w:rsidP="00C92E74">
            <w:pPr>
              <w:rPr>
                <w:sz w:val="20"/>
                <w:szCs w:val="20"/>
              </w:rPr>
            </w:pPr>
            <w:r w:rsidRPr="00E4366E">
              <w:rPr>
                <w:sz w:val="20"/>
                <w:szCs w:val="20"/>
              </w:rPr>
              <w:t xml:space="preserve">15 </w:t>
            </w:r>
            <w:r w:rsidR="00E4366E">
              <w:rPr>
                <w:sz w:val="20"/>
                <w:szCs w:val="20"/>
              </w:rPr>
              <w:t>µ</w:t>
            </w:r>
            <w:r w:rsidRPr="00E4366E">
              <w:rPr>
                <w:sz w:val="20"/>
                <w:szCs w:val="20"/>
              </w:rPr>
              <w:t>g haemagglutinin (HA) of each strain</w:t>
            </w:r>
            <w:r w:rsidR="00E4366E">
              <w:rPr>
                <w:sz w:val="20"/>
                <w:szCs w:val="20"/>
              </w:rPr>
              <w:t>;</w:t>
            </w:r>
            <w:r w:rsidRPr="00E4366E">
              <w:rPr>
                <w:sz w:val="20"/>
                <w:szCs w:val="20"/>
              </w:rPr>
              <w:t xml:space="preserve"> 60</w:t>
            </w:r>
            <w:r w:rsidR="00E4366E">
              <w:rPr>
                <w:sz w:val="20"/>
                <w:szCs w:val="20"/>
              </w:rPr>
              <w:t xml:space="preserve"> µ</w:t>
            </w:r>
            <w:r w:rsidRPr="00E4366E">
              <w:rPr>
                <w:sz w:val="20"/>
                <w:szCs w:val="20"/>
              </w:rPr>
              <w:t>g HA in total</w:t>
            </w:r>
          </w:p>
        </w:tc>
        <w:tc>
          <w:tcPr>
            <w:tcW w:w="1666" w:type="pct"/>
            <w:hideMark/>
          </w:tcPr>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Commercial TIV-1 (Fluarix) for the season 2010/2011</w:t>
            </w:r>
          </w:p>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15</w:t>
            </w:r>
            <w:r w:rsidR="00E4366E">
              <w:rPr>
                <w:sz w:val="20"/>
                <w:szCs w:val="20"/>
              </w:rPr>
              <w:t xml:space="preserve"> µ</w:t>
            </w:r>
            <w:r w:rsidRPr="00E4366E">
              <w:rPr>
                <w:sz w:val="20"/>
                <w:szCs w:val="20"/>
              </w:rPr>
              <w:t>g HA of each strain</w:t>
            </w:r>
            <w:r w:rsidR="00E4366E">
              <w:rPr>
                <w:sz w:val="20"/>
                <w:szCs w:val="20"/>
              </w:rPr>
              <w:t>;</w:t>
            </w:r>
            <w:r w:rsidRPr="00E4366E">
              <w:rPr>
                <w:sz w:val="20"/>
                <w:szCs w:val="20"/>
              </w:rPr>
              <w:t xml:space="preserve"> 45 </w:t>
            </w:r>
            <w:r w:rsidR="00E4366E">
              <w:rPr>
                <w:sz w:val="20"/>
                <w:szCs w:val="20"/>
              </w:rPr>
              <w:t>µ</w:t>
            </w:r>
            <w:r w:rsidRPr="00E4366E">
              <w:rPr>
                <w:sz w:val="20"/>
                <w:szCs w:val="20"/>
              </w:rPr>
              <w:t>g HA in total</w:t>
            </w:r>
          </w:p>
        </w:tc>
        <w:tc>
          <w:tcPr>
            <w:tcW w:w="1667" w:type="pct"/>
            <w:hideMark/>
          </w:tcPr>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Manufactured using same process as that of TIV-1.</w:t>
            </w:r>
          </w:p>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15</w:t>
            </w:r>
            <w:r w:rsidR="00E4366E">
              <w:rPr>
                <w:sz w:val="20"/>
                <w:szCs w:val="20"/>
              </w:rPr>
              <w:t xml:space="preserve"> µ</w:t>
            </w:r>
            <w:r w:rsidRPr="00E4366E">
              <w:rPr>
                <w:sz w:val="20"/>
                <w:szCs w:val="20"/>
              </w:rPr>
              <w:t>g HA of each</w:t>
            </w:r>
            <w:r w:rsidR="00E4366E">
              <w:rPr>
                <w:sz w:val="20"/>
                <w:szCs w:val="20"/>
              </w:rPr>
              <w:t>;</w:t>
            </w:r>
            <w:r w:rsidRPr="00E4366E">
              <w:rPr>
                <w:sz w:val="20"/>
                <w:szCs w:val="20"/>
              </w:rPr>
              <w:t xml:space="preserve"> 45</w:t>
            </w:r>
            <w:r w:rsidR="00E4366E">
              <w:rPr>
                <w:sz w:val="20"/>
                <w:szCs w:val="20"/>
              </w:rPr>
              <w:t xml:space="preserve"> µ</w:t>
            </w:r>
            <w:r w:rsidRPr="00E4366E">
              <w:rPr>
                <w:sz w:val="20"/>
                <w:szCs w:val="20"/>
              </w:rPr>
              <w:t>g HA in total):</w:t>
            </w:r>
          </w:p>
        </w:tc>
      </w:tr>
      <w:tr w:rsidR="00C252B0" w:rsidRPr="00C252B0" w:rsidTr="000C71CB">
        <w:trPr>
          <w:trHeight w:val="1552"/>
        </w:trPr>
        <w:tc>
          <w:tcPr>
            <w:cnfStyle w:val="001000000000" w:firstRow="0" w:lastRow="0" w:firstColumn="1" w:lastColumn="0" w:oddVBand="0" w:evenVBand="0" w:oddHBand="0" w:evenHBand="0" w:firstRowFirstColumn="0" w:firstRowLastColumn="0" w:lastRowFirstColumn="0" w:lastRowLastColumn="0"/>
            <w:tcW w:w="1666" w:type="pct"/>
            <w:hideMark/>
          </w:tcPr>
          <w:p w:rsidR="00C252B0" w:rsidRPr="00E4366E" w:rsidRDefault="00C92E74" w:rsidP="001E637D">
            <w:pPr>
              <w:rPr>
                <w:sz w:val="20"/>
                <w:szCs w:val="20"/>
              </w:rPr>
            </w:pPr>
            <w:r>
              <w:rPr>
                <w:sz w:val="20"/>
                <w:szCs w:val="20"/>
              </w:rPr>
              <w:t>Lot numbers:</w:t>
            </w:r>
          </w:p>
          <w:p w:rsidR="00C252B0" w:rsidRPr="00E4366E" w:rsidRDefault="00C92E74" w:rsidP="001E637D">
            <w:pPr>
              <w:rPr>
                <w:sz w:val="20"/>
                <w:szCs w:val="20"/>
              </w:rPr>
            </w:pPr>
            <w:r>
              <w:rPr>
                <w:sz w:val="20"/>
                <w:szCs w:val="20"/>
              </w:rPr>
              <w:t>DFLBA008A - D-QIV-1 group,</w:t>
            </w:r>
          </w:p>
          <w:p w:rsidR="00C252B0" w:rsidRPr="00E4366E" w:rsidRDefault="00C252B0" w:rsidP="001E637D">
            <w:pPr>
              <w:rPr>
                <w:sz w:val="20"/>
                <w:szCs w:val="20"/>
              </w:rPr>
            </w:pPr>
            <w:r w:rsidRPr="00E4366E">
              <w:rPr>
                <w:sz w:val="20"/>
                <w:szCs w:val="20"/>
              </w:rPr>
              <w:t xml:space="preserve">DFLBA009A - D-QIV-2 group </w:t>
            </w:r>
          </w:p>
          <w:p w:rsidR="00C252B0" w:rsidRPr="00E4366E" w:rsidRDefault="00C252B0" w:rsidP="001E637D">
            <w:pPr>
              <w:rPr>
                <w:sz w:val="20"/>
                <w:szCs w:val="20"/>
              </w:rPr>
            </w:pPr>
            <w:r w:rsidRPr="00E4366E">
              <w:rPr>
                <w:sz w:val="20"/>
                <w:szCs w:val="20"/>
              </w:rPr>
              <w:t>DFLBA010A - D-QIV-3 group.</w:t>
            </w:r>
          </w:p>
        </w:tc>
        <w:tc>
          <w:tcPr>
            <w:tcW w:w="1666" w:type="pct"/>
            <w:hideMark/>
          </w:tcPr>
          <w:p w:rsidR="00C252B0" w:rsidRPr="00E4366E" w:rsidRDefault="00C92E74" w:rsidP="001E637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Lot number:</w:t>
            </w:r>
          </w:p>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AFLUVA521A</w:t>
            </w:r>
          </w:p>
        </w:tc>
        <w:tc>
          <w:tcPr>
            <w:tcW w:w="1667" w:type="pct"/>
            <w:hideMark/>
          </w:tcPr>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Lot number:</w:t>
            </w:r>
          </w:p>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DFLUA039A</w:t>
            </w:r>
          </w:p>
        </w:tc>
      </w:tr>
      <w:tr w:rsidR="00C252B0" w:rsidRPr="00C252B0" w:rsidTr="000C71CB">
        <w:trPr>
          <w:trHeight w:val="462"/>
        </w:trPr>
        <w:tc>
          <w:tcPr>
            <w:cnfStyle w:val="001000000000" w:firstRow="0" w:lastRow="0" w:firstColumn="1" w:lastColumn="0" w:oddVBand="0" w:evenVBand="0" w:oddHBand="0" w:evenHBand="0" w:firstRowFirstColumn="0" w:firstRowLastColumn="0" w:lastRowFirstColumn="0" w:lastRowLastColumn="0"/>
            <w:tcW w:w="1666" w:type="pct"/>
            <w:hideMark/>
          </w:tcPr>
          <w:p w:rsidR="00C252B0" w:rsidRPr="00E4366E" w:rsidRDefault="00C252B0" w:rsidP="001E637D">
            <w:pPr>
              <w:rPr>
                <w:sz w:val="20"/>
                <w:szCs w:val="20"/>
              </w:rPr>
            </w:pPr>
            <w:r w:rsidRPr="00E4366E">
              <w:rPr>
                <w:sz w:val="20"/>
                <w:szCs w:val="20"/>
              </w:rPr>
              <w:t>A/California/7/2009 (H1N1)</w:t>
            </w:r>
          </w:p>
        </w:tc>
        <w:tc>
          <w:tcPr>
            <w:tcW w:w="1666" w:type="pct"/>
            <w:hideMark/>
          </w:tcPr>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A/California/7/2009 (H1N1)</w:t>
            </w:r>
          </w:p>
        </w:tc>
        <w:tc>
          <w:tcPr>
            <w:tcW w:w="1667" w:type="pct"/>
            <w:hideMark/>
          </w:tcPr>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A/California/7/2009 (H1N1)</w:t>
            </w:r>
          </w:p>
        </w:tc>
      </w:tr>
      <w:tr w:rsidR="00C252B0" w:rsidRPr="00C252B0" w:rsidTr="000C71CB">
        <w:trPr>
          <w:trHeight w:val="710"/>
        </w:trPr>
        <w:tc>
          <w:tcPr>
            <w:cnfStyle w:val="001000000000" w:firstRow="0" w:lastRow="0" w:firstColumn="1" w:lastColumn="0" w:oddVBand="0" w:evenVBand="0" w:oddHBand="0" w:evenHBand="0" w:firstRowFirstColumn="0" w:firstRowLastColumn="0" w:lastRowFirstColumn="0" w:lastRowLastColumn="0"/>
            <w:tcW w:w="1666" w:type="pct"/>
            <w:hideMark/>
          </w:tcPr>
          <w:p w:rsidR="00C252B0" w:rsidRPr="00E4366E" w:rsidRDefault="00C252B0" w:rsidP="001E637D">
            <w:pPr>
              <w:rPr>
                <w:sz w:val="20"/>
                <w:szCs w:val="20"/>
              </w:rPr>
            </w:pPr>
            <w:r w:rsidRPr="00E4366E">
              <w:rPr>
                <w:sz w:val="20"/>
                <w:szCs w:val="20"/>
              </w:rPr>
              <w:t>A/Victoria/210/2009 (H3N2)</w:t>
            </w:r>
          </w:p>
        </w:tc>
        <w:tc>
          <w:tcPr>
            <w:tcW w:w="1666" w:type="pct"/>
            <w:hideMark/>
          </w:tcPr>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A/Victoria/210/2009 (H3N2)</w:t>
            </w:r>
          </w:p>
        </w:tc>
        <w:tc>
          <w:tcPr>
            <w:tcW w:w="1667" w:type="pct"/>
            <w:hideMark/>
          </w:tcPr>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A/Victoria/210/2009</w:t>
            </w:r>
            <w:r w:rsidR="00E4366E">
              <w:rPr>
                <w:sz w:val="20"/>
                <w:szCs w:val="20"/>
              </w:rPr>
              <w:t xml:space="preserve"> </w:t>
            </w:r>
            <w:r w:rsidRPr="00E4366E">
              <w:rPr>
                <w:sz w:val="20"/>
                <w:szCs w:val="20"/>
              </w:rPr>
              <w:t>(H3N2)</w:t>
            </w:r>
          </w:p>
        </w:tc>
      </w:tr>
      <w:tr w:rsidR="00C252B0" w:rsidRPr="00C252B0" w:rsidTr="000C71CB">
        <w:trPr>
          <w:trHeight w:val="710"/>
        </w:trPr>
        <w:tc>
          <w:tcPr>
            <w:cnfStyle w:val="001000000000" w:firstRow="0" w:lastRow="0" w:firstColumn="1" w:lastColumn="0" w:oddVBand="0" w:evenVBand="0" w:oddHBand="0" w:evenHBand="0" w:firstRowFirstColumn="0" w:firstRowLastColumn="0" w:lastRowFirstColumn="0" w:lastRowLastColumn="0"/>
            <w:tcW w:w="1666" w:type="pct"/>
            <w:hideMark/>
          </w:tcPr>
          <w:p w:rsidR="00C252B0" w:rsidRPr="00E4366E" w:rsidRDefault="00C252B0" w:rsidP="001E637D">
            <w:pPr>
              <w:rPr>
                <w:sz w:val="20"/>
                <w:szCs w:val="20"/>
              </w:rPr>
            </w:pPr>
            <w:r w:rsidRPr="00E4366E">
              <w:rPr>
                <w:sz w:val="20"/>
                <w:szCs w:val="20"/>
              </w:rPr>
              <w:t>B/Brisbane/60/2008 (Victoria lineage)</w:t>
            </w:r>
          </w:p>
        </w:tc>
        <w:tc>
          <w:tcPr>
            <w:tcW w:w="1666" w:type="pct"/>
            <w:hideMark/>
          </w:tcPr>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B/Brisbane/60/2008 (Victoria lineage)</w:t>
            </w:r>
          </w:p>
        </w:tc>
        <w:tc>
          <w:tcPr>
            <w:tcW w:w="1667" w:type="pct"/>
          </w:tcPr>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p>
        </w:tc>
      </w:tr>
      <w:tr w:rsidR="00C252B0" w:rsidRPr="00C252B0" w:rsidTr="000C71CB">
        <w:trPr>
          <w:trHeight w:val="710"/>
        </w:trPr>
        <w:tc>
          <w:tcPr>
            <w:cnfStyle w:val="001000000000" w:firstRow="0" w:lastRow="0" w:firstColumn="1" w:lastColumn="0" w:oddVBand="0" w:evenVBand="0" w:oddHBand="0" w:evenHBand="0" w:firstRowFirstColumn="0" w:firstRowLastColumn="0" w:lastRowFirstColumn="0" w:lastRowLastColumn="0"/>
            <w:tcW w:w="1666" w:type="pct"/>
            <w:hideMark/>
          </w:tcPr>
          <w:p w:rsidR="00C252B0" w:rsidRPr="00E4366E" w:rsidRDefault="00C252B0" w:rsidP="001E637D">
            <w:pPr>
              <w:rPr>
                <w:sz w:val="20"/>
                <w:szCs w:val="20"/>
              </w:rPr>
            </w:pPr>
            <w:r w:rsidRPr="00E4366E">
              <w:rPr>
                <w:sz w:val="20"/>
                <w:szCs w:val="20"/>
              </w:rPr>
              <w:t>B/Brisbane/3/2007 (Yamagata lineage)</w:t>
            </w:r>
          </w:p>
        </w:tc>
        <w:tc>
          <w:tcPr>
            <w:tcW w:w="1666" w:type="pct"/>
          </w:tcPr>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p>
        </w:tc>
        <w:tc>
          <w:tcPr>
            <w:tcW w:w="1667" w:type="pct"/>
            <w:hideMark/>
          </w:tcPr>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B/Brisbane/3/2007 (Yamagata lineage)</w:t>
            </w:r>
          </w:p>
        </w:tc>
      </w:tr>
      <w:tr w:rsidR="00C252B0" w:rsidRPr="00C252B0" w:rsidTr="000C71CB">
        <w:trPr>
          <w:trHeight w:val="3566"/>
        </w:trPr>
        <w:tc>
          <w:tcPr>
            <w:cnfStyle w:val="001000000000" w:firstRow="0" w:lastRow="0" w:firstColumn="1" w:lastColumn="0" w:oddVBand="0" w:evenVBand="0" w:oddHBand="0" w:evenHBand="0" w:firstRowFirstColumn="0" w:firstRowLastColumn="0" w:lastRowFirstColumn="0" w:lastRowLastColumn="0"/>
            <w:tcW w:w="1666" w:type="pct"/>
            <w:hideMark/>
          </w:tcPr>
          <w:p w:rsidR="00C252B0" w:rsidRPr="00E4366E" w:rsidRDefault="00C252B0" w:rsidP="001E637D">
            <w:pPr>
              <w:rPr>
                <w:sz w:val="20"/>
                <w:szCs w:val="20"/>
              </w:rPr>
            </w:pPr>
            <w:r w:rsidRPr="00E4366E">
              <w:rPr>
                <w:sz w:val="20"/>
                <w:szCs w:val="20"/>
              </w:rPr>
              <w:lastRenderedPageBreak/>
              <w:t xml:space="preserve">Excipient: </w:t>
            </w:r>
            <w:proofErr w:type="spellStart"/>
            <w:r w:rsidRPr="00E4366E">
              <w:rPr>
                <w:sz w:val="20"/>
                <w:szCs w:val="20"/>
              </w:rPr>
              <w:t>polysorbate</w:t>
            </w:r>
            <w:proofErr w:type="spellEnd"/>
            <w:r w:rsidRPr="00E4366E">
              <w:rPr>
                <w:sz w:val="20"/>
                <w:szCs w:val="20"/>
              </w:rPr>
              <w:t xml:space="preserve"> 80 (Tween 80), </w:t>
            </w:r>
            <w:proofErr w:type="spellStart"/>
            <w:r w:rsidRPr="00E4366E">
              <w:rPr>
                <w:sz w:val="20"/>
                <w:szCs w:val="20"/>
              </w:rPr>
              <w:t>octoxynol</w:t>
            </w:r>
            <w:proofErr w:type="spellEnd"/>
            <w:r w:rsidRPr="00E4366E">
              <w:rPr>
                <w:sz w:val="20"/>
                <w:szCs w:val="20"/>
              </w:rPr>
              <w:t xml:space="preserve"> 10 (Triton X-100), α-</w:t>
            </w:r>
            <w:proofErr w:type="spellStart"/>
            <w:r w:rsidRPr="00E4366E">
              <w:rPr>
                <w:sz w:val="20"/>
                <w:szCs w:val="20"/>
              </w:rPr>
              <w:t>tocopheryl</w:t>
            </w:r>
            <w:proofErr w:type="spellEnd"/>
            <w:r w:rsidRPr="00E4366E">
              <w:rPr>
                <w:sz w:val="20"/>
                <w:szCs w:val="20"/>
              </w:rPr>
              <w:t xml:space="preserve"> hydrogen succinate, sodium chloride, magnesium chloride hexahydrate, disodium hydrogen phosphate dodecahydrate, potassium dihydrogen phosphate, potassium chloride, water for injection. (These excipients are as for the formulation proposed for registration)</w:t>
            </w:r>
          </w:p>
        </w:tc>
        <w:tc>
          <w:tcPr>
            <w:tcW w:w="1666" w:type="pct"/>
            <w:hideMark/>
          </w:tcPr>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 xml:space="preserve">Excipients: </w:t>
            </w:r>
            <w:proofErr w:type="spellStart"/>
            <w:r w:rsidRPr="00E4366E">
              <w:rPr>
                <w:sz w:val="20"/>
                <w:szCs w:val="20"/>
              </w:rPr>
              <w:t>polysorbate</w:t>
            </w:r>
            <w:proofErr w:type="spellEnd"/>
            <w:r w:rsidRPr="00E4366E">
              <w:rPr>
                <w:sz w:val="20"/>
                <w:szCs w:val="20"/>
              </w:rPr>
              <w:t xml:space="preserve"> 80 (tween 80), </w:t>
            </w:r>
            <w:proofErr w:type="spellStart"/>
            <w:r w:rsidRPr="00E4366E">
              <w:rPr>
                <w:sz w:val="20"/>
                <w:szCs w:val="20"/>
              </w:rPr>
              <w:t>octoxynol</w:t>
            </w:r>
            <w:proofErr w:type="spellEnd"/>
            <w:r w:rsidRPr="00E4366E">
              <w:rPr>
                <w:sz w:val="20"/>
                <w:szCs w:val="20"/>
              </w:rPr>
              <w:t xml:space="preserve"> 10 (Triton X-100), </w:t>
            </w:r>
            <w:r w:rsidRPr="00E4366E">
              <w:rPr>
                <w:sz w:val="20"/>
                <w:szCs w:val="20"/>
              </w:rPr>
              <w:sym w:font="Times New Roman" w:char="F061"/>
            </w:r>
            <w:r w:rsidRPr="00E4366E">
              <w:rPr>
                <w:sz w:val="20"/>
                <w:szCs w:val="20"/>
              </w:rPr>
              <w:t>-</w:t>
            </w:r>
            <w:proofErr w:type="spellStart"/>
            <w:r w:rsidRPr="00E4366E">
              <w:rPr>
                <w:sz w:val="20"/>
                <w:szCs w:val="20"/>
              </w:rPr>
              <w:t>tocopheryl</w:t>
            </w:r>
            <w:proofErr w:type="spellEnd"/>
            <w:r w:rsidRPr="00E4366E">
              <w:rPr>
                <w:sz w:val="20"/>
                <w:szCs w:val="20"/>
              </w:rPr>
              <w:t xml:space="preserve"> hydrogen succinate, sodium chloride, magnesium chloride hexahydrate, disodium hydrogen phosphate dodecahydrate, potassium dihydrogen phosphate, potassium chloride and water for injection.</w:t>
            </w:r>
          </w:p>
        </w:tc>
        <w:tc>
          <w:tcPr>
            <w:tcW w:w="1667" w:type="pct"/>
            <w:hideMark/>
          </w:tcPr>
          <w:p w:rsidR="00C252B0" w:rsidRPr="00E4366E" w:rsidRDefault="00C252B0" w:rsidP="001E637D">
            <w:pPr>
              <w:cnfStyle w:val="000000000000" w:firstRow="0" w:lastRow="0" w:firstColumn="0" w:lastColumn="0" w:oddVBand="0" w:evenVBand="0" w:oddHBand="0" w:evenHBand="0" w:firstRowFirstColumn="0" w:firstRowLastColumn="0" w:lastRowFirstColumn="0" w:lastRowLastColumn="0"/>
              <w:rPr>
                <w:sz w:val="20"/>
                <w:szCs w:val="20"/>
              </w:rPr>
            </w:pPr>
            <w:r w:rsidRPr="00E4366E">
              <w:rPr>
                <w:sz w:val="20"/>
                <w:szCs w:val="20"/>
              </w:rPr>
              <w:t xml:space="preserve">Excipient: </w:t>
            </w:r>
            <w:proofErr w:type="spellStart"/>
            <w:r w:rsidRPr="00E4366E">
              <w:rPr>
                <w:sz w:val="20"/>
                <w:szCs w:val="20"/>
              </w:rPr>
              <w:t>polysorbate</w:t>
            </w:r>
            <w:proofErr w:type="spellEnd"/>
            <w:r w:rsidRPr="00E4366E">
              <w:rPr>
                <w:sz w:val="20"/>
                <w:szCs w:val="20"/>
              </w:rPr>
              <w:t xml:space="preserve"> 80 (tween 80), </w:t>
            </w:r>
            <w:proofErr w:type="spellStart"/>
            <w:r w:rsidRPr="00E4366E">
              <w:rPr>
                <w:sz w:val="20"/>
                <w:szCs w:val="20"/>
              </w:rPr>
              <w:t>octoxynol</w:t>
            </w:r>
            <w:proofErr w:type="spellEnd"/>
            <w:r w:rsidRPr="00E4366E">
              <w:rPr>
                <w:sz w:val="20"/>
                <w:szCs w:val="20"/>
              </w:rPr>
              <w:t xml:space="preserve"> 10 (Triton X-100), alpha-</w:t>
            </w:r>
            <w:proofErr w:type="spellStart"/>
            <w:r w:rsidRPr="00E4366E">
              <w:rPr>
                <w:sz w:val="20"/>
                <w:szCs w:val="20"/>
              </w:rPr>
              <w:t>tocopheryl</w:t>
            </w:r>
            <w:proofErr w:type="spellEnd"/>
            <w:r w:rsidRPr="00E4366E">
              <w:rPr>
                <w:sz w:val="20"/>
                <w:szCs w:val="20"/>
              </w:rPr>
              <w:t xml:space="preserve"> hydrogen succinate, sodium chloride, magnesium chloride hexahydrate, disodium hydrogen phosphate dodecahydrate, potassium dihydrogen phosphate, potassium chloride and water for injection.</w:t>
            </w:r>
          </w:p>
        </w:tc>
      </w:tr>
    </w:tbl>
    <w:p w:rsidR="00C252B0" w:rsidRPr="00C252B0" w:rsidRDefault="00C252B0" w:rsidP="00E4366E">
      <w:pPr>
        <w:pStyle w:val="Heading6"/>
      </w:pPr>
      <w:r w:rsidRPr="00C252B0">
        <w:t>Randomisation and treatment allocation</w:t>
      </w:r>
    </w:p>
    <w:p w:rsidR="00C252B0" w:rsidRPr="00C252B0" w:rsidRDefault="00C252B0" w:rsidP="00C252B0">
      <w:r w:rsidRPr="00C252B0">
        <w:t xml:space="preserve">The treatment numbers were allocated by dose. Within age strata 18 - 64 years and </w:t>
      </w:r>
      <w:r w:rsidR="00E4366E">
        <w:t>≥</w:t>
      </w:r>
      <w:r w:rsidRPr="00C252B0">
        <w:t xml:space="preserve"> 65 years, the </w:t>
      </w:r>
      <w:r w:rsidR="00E4366E">
        <w:t>randomisation algorithm used a minimis</w:t>
      </w:r>
      <w:r w:rsidRPr="00C252B0">
        <w:t xml:space="preserve">ation procedure accounting for centre and influenza vaccination history for the 2009-2010 influenza </w:t>
      </w:r>
      <w:proofErr w:type="gramStart"/>
      <w:r w:rsidRPr="00C252B0">
        <w:t>season</w:t>
      </w:r>
      <w:proofErr w:type="gramEnd"/>
      <w:r w:rsidRPr="00C252B0">
        <w:t>. Minimi</w:t>
      </w:r>
      <w:r w:rsidR="00E4366E">
        <w:t>s</w:t>
      </w:r>
      <w:r w:rsidRPr="00C252B0">
        <w:t>ation factors had equal weight in the algorithm.</w:t>
      </w:r>
    </w:p>
    <w:p w:rsidR="00C252B0" w:rsidRPr="00C252B0" w:rsidRDefault="00C252B0" w:rsidP="00E4366E">
      <w:pPr>
        <w:pStyle w:val="Heading6"/>
      </w:pPr>
      <w:r w:rsidRPr="00C252B0">
        <w:t>Blinding</w:t>
      </w:r>
    </w:p>
    <w:p w:rsidR="00C252B0" w:rsidRPr="00C252B0" w:rsidRDefault="00C252B0" w:rsidP="00C252B0">
      <w:r w:rsidRPr="00C252B0">
        <w:t>The D-QIV group and TIV-1 group were double-blind throughout the study. Treatment of the TIV-2 group was open as participants needed to be identified so that appropriate vaccination could be undertaken subsequently; however, the laboratory in charge of testing was blinded to the treatment and codes were used to link the individual and study (without any link to the treatment attributed to the individual) to each sample.</w:t>
      </w:r>
    </w:p>
    <w:p w:rsidR="00C252B0" w:rsidRPr="00C252B0" w:rsidRDefault="00C252B0" w:rsidP="00E4366E">
      <w:pPr>
        <w:pStyle w:val="Heading6"/>
      </w:pPr>
      <w:r w:rsidRPr="00C252B0">
        <w:t>Blood samples and antibody determination</w:t>
      </w:r>
    </w:p>
    <w:p w:rsidR="00C252B0" w:rsidRPr="00C252B0" w:rsidRDefault="00C252B0" w:rsidP="00C252B0">
      <w:r w:rsidRPr="00C252B0">
        <w:t>Blood was sampled on Days 0 and 21. The antibody assays are summarised in</w:t>
      </w:r>
      <w:r w:rsidR="00E4366E">
        <w:t xml:space="preserve"> Table 3</w:t>
      </w:r>
      <w:r w:rsidRPr="00C252B0">
        <w:t>.</w:t>
      </w:r>
    </w:p>
    <w:p w:rsidR="00C252B0" w:rsidRPr="00C252B0" w:rsidRDefault="00C252B0" w:rsidP="00C92E74">
      <w:pPr>
        <w:pStyle w:val="TableTitle"/>
      </w:pPr>
      <w:r w:rsidRPr="00C252B0">
        <w:t xml:space="preserve"> </w:t>
      </w:r>
      <w:bookmarkStart w:id="35" w:name="_Ref339956988"/>
      <w:bookmarkStart w:id="36" w:name="_Ref339956991"/>
      <w:proofErr w:type="gramStart"/>
      <w:r w:rsidRPr="00C252B0">
        <w:t>Table</w:t>
      </w:r>
      <w:r w:rsidR="00E4366E">
        <w:t xml:space="preserve"> 3.</w:t>
      </w:r>
      <w:bookmarkEnd w:id="35"/>
      <w:proofErr w:type="gramEnd"/>
      <w:r w:rsidRPr="00C252B0">
        <w:t xml:space="preserve">  D-QIV-008 Humoral Immunity (Antibody determination)</w:t>
      </w:r>
      <w:bookmarkEnd w:id="36"/>
    </w:p>
    <w:p w:rsidR="00C252B0" w:rsidRPr="00C252B0" w:rsidRDefault="00C252B0" w:rsidP="00C92E74">
      <w:r w:rsidRPr="00C252B0">
        <w:rPr>
          <w:noProof/>
          <w:lang w:eastAsia="en-AU"/>
        </w:rPr>
        <w:drawing>
          <wp:inline distT="0" distB="0" distL="0" distR="0" wp14:anchorId="2D4E4592" wp14:editId="2ECFB15B">
            <wp:extent cx="4829175" cy="1905000"/>
            <wp:effectExtent l="19050" t="0" r="9525" b="0"/>
            <wp:docPr id="3" name="Picture 8" descr=" Table 3.  D-QIV-008 Humoral Immunity (Antibody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829175" cy="1905000"/>
                    </a:xfrm>
                    <a:prstGeom prst="rect">
                      <a:avLst/>
                    </a:prstGeom>
                    <a:noFill/>
                    <a:ln w="9525">
                      <a:noFill/>
                      <a:miter lim="800000"/>
                      <a:headEnd/>
                      <a:tailEnd/>
                    </a:ln>
                  </pic:spPr>
                </pic:pic>
              </a:graphicData>
            </a:graphic>
          </wp:inline>
        </w:drawing>
      </w:r>
    </w:p>
    <w:p w:rsidR="00C252B0" w:rsidRPr="00C252B0" w:rsidRDefault="00C252B0" w:rsidP="00E4366E">
      <w:pPr>
        <w:pStyle w:val="Heading6"/>
      </w:pPr>
      <w:r w:rsidRPr="00C252B0">
        <w:t>Statistics</w:t>
      </w:r>
    </w:p>
    <w:p w:rsidR="00C252B0" w:rsidRPr="00C252B0" w:rsidRDefault="00C252B0" w:rsidP="00C252B0">
      <w:r w:rsidRPr="00C252B0">
        <w:t>The following analyses were performed for each vaccine strain:</w:t>
      </w:r>
    </w:p>
    <w:p w:rsidR="00C252B0" w:rsidRPr="00C252B0" w:rsidRDefault="00C252B0" w:rsidP="00E4366E">
      <w:pPr>
        <w:pStyle w:val="ListBullet"/>
      </w:pPr>
      <w:r w:rsidRPr="00C252B0">
        <w:t xml:space="preserve">The adjusted GMTs were estimated using an Analysis of Covariance (ANCOVA) model fitted on log10 transformed </w:t>
      </w:r>
      <w:r w:rsidR="00692B0F">
        <w:t>post vaccination</w:t>
      </w:r>
      <w:r w:rsidRPr="00C252B0">
        <w:t xml:space="preserve"> HI titre including treatment as fixed effect and baseline as covariate.</w:t>
      </w:r>
    </w:p>
    <w:p w:rsidR="00C252B0" w:rsidRPr="00C252B0" w:rsidRDefault="00C252B0" w:rsidP="00E4366E">
      <w:pPr>
        <w:pStyle w:val="ListBullet"/>
      </w:pPr>
      <w:r w:rsidRPr="00C252B0">
        <w:lastRenderedPageBreak/>
        <w:t>GMT ratios (with two-sided 95% CI) related to the comparisons of interest were computed.</w:t>
      </w:r>
    </w:p>
    <w:p w:rsidR="00C252B0" w:rsidRPr="00C252B0" w:rsidRDefault="00C252B0" w:rsidP="00E4366E">
      <w:pPr>
        <w:pStyle w:val="ListBullet"/>
      </w:pPr>
      <w:r w:rsidRPr="00C252B0">
        <w:t>The SCR of each vaccine, the SCR difference and the two sided 95% CI of the SCR differences were computed after fitting a logistic regression on the seroconversion response, including the vaccine group as fixed effect and the pre-vaccination concentration as covariate.</w:t>
      </w:r>
    </w:p>
    <w:p w:rsidR="00C252B0" w:rsidRPr="00C252B0" w:rsidRDefault="00C252B0" w:rsidP="00E4366E">
      <w:pPr>
        <w:pStyle w:val="ListBullet"/>
      </w:pPr>
      <w:r w:rsidRPr="00C252B0">
        <w:t>The assumption that the treatment effect did not depend on the pre-vaccination serological level was checked by ANCOVA and logistic regression models and additional analyses were to be performed in case of evidence of interaction.</w:t>
      </w:r>
    </w:p>
    <w:p w:rsidR="00C252B0" w:rsidRPr="00C252B0" w:rsidRDefault="00C252B0" w:rsidP="00C252B0">
      <w:r w:rsidRPr="00C252B0">
        <w:t>Safety, reactogenicity and demographics were subjected to des</w:t>
      </w:r>
      <w:r w:rsidR="00C92E74">
        <w:t>criptive statistical analysis.</w:t>
      </w:r>
    </w:p>
    <w:p w:rsidR="00C252B0" w:rsidRPr="00C252B0" w:rsidRDefault="00C252B0" w:rsidP="00E4366E">
      <w:pPr>
        <w:pStyle w:val="Heading6"/>
      </w:pPr>
      <w:r w:rsidRPr="00C252B0">
        <w:t>Protocol amendments</w:t>
      </w:r>
    </w:p>
    <w:p w:rsidR="00C252B0" w:rsidRDefault="00C252B0" w:rsidP="00C252B0">
      <w:r w:rsidRPr="00C252B0">
        <w:t>Amendment 1 (23 July 2010) was relevant to Korea and Taiwan, where the legal age of majority is 20 years. Local regulations required the informed consent be signed by the individual’s parent(s) or legal guardian for study part</w:t>
      </w:r>
      <w:r w:rsidR="00C92E74">
        <w:t>icipants younger than 20 years.</w:t>
      </w:r>
    </w:p>
    <w:p w:rsidR="00C252B0" w:rsidRPr="00C252B0" w:rsidRDefault="00C252B0" w:rsidP="00C252B0">
      <w:r w:rsidRPr="00C252B0">
        <w:t xml:space="preserve">Amendment 2 (19 October 2010): As a precautionary measure, the Paul </w:t>
      </w:r>
      <w:proofErr w:type="spellStart"/>
      <w:r w:rsidRPr="00C252B0">
        <w:t>Erhlich</w:t>
      </w:r>
      <w:proofErr w:type="spellEnd"/>
      <w:r w:rsidRPr="00C252B0">
        <w:t xml:space="preserve"> Institute recommended exclusion of individuals with any history of GBS from this current study. Individuals already enrolled in this study with history of GBS were to be followed for safety and </w:t>
      </w:r>
      <w:r w:rsidR="00C92E74">
        <w:t>immunogenicity as per protocol.</w:t>
      </w:r>
    </w:p>
    <w:p w:rsidR="00C252B0" w:rsidRPr="00C252B0" w:rsidRDefault="00C252B0" w:rsidP="00C252B0">
      <w:r w:rsidRPr="00E4366E">
        <w:rPr>
          <w:rStyle w:val="Heading6Char"/>
          <w:rFonts w:eastAsia="Cambria"/>
        </w:rPr>
        <w:t>Evaluator comment:</w:t>
      </w:r>
      <w:r w:rsidRPr="00C252B0">
        <w:t xml:space="preserve"> These changes would not have</w:t>
      </w:r>
      <w:r w:rsidR="00C92E74">
        <w:t xml:space="preserve"> affected the primary analyses.</w:t>
      </w:r>
    </w:p>
    <w:p w:rsidR="00C252B0" w:rsidRPr="00C252B0" w:rsidRDefault="00C252B0" w:rsidP="00E4366E">
      <w:pPr>
        <w:pStyle w:val="Heading6"/>
      </w:pPr>
      <w:r w:rsidRPr="00C252B0">
        <w:t>Other changes</w:t>
      </w:r>
    </w:p>
    <w:p w:rsidR="00C252B0" w:rsidRPr="00C252B0" w:rsidRDefault="00C252B0" w:rsidP="00C252B0">
      <w:r w:rsidRPr="00C252B0">
        <w:t xml:space="preserve">The protocol stated that temperatures </w:t>
      </w:r>
      <w:r w:rsidR="00E4366E">
        <w:t>≥</w:t>
      </w:r>
      <w:r w:rsidRPr="00C252B0">
        <w:t xml:space="preserve"> </w:t>
      </w:r>
      <w:r w:rsidR="00E4366E">
        <w:t>39.0°C /102.2°F were scored as G</w:t>
      </w:r>
      <w:r w:rsidRPr="00C252B0">
        <w:t xml:space="preserve">rade 3 fever; however, in the statistical analysis, temperatures &gt; 39.0°C /102.2°F were scored as </w:t>
      </w:r>
      <w:r w:rsidR="00E4366E">
        <w:t>G</w:t>
      </w:r>
      <w:r w:rsidRPr="00C252B0">
        <w:t>rade 3.</w:t>
      </w:r>
    </w:p>
    <w:p w:rsidR="00C252B0" w:rsidRPr="00C252B0" w:rsidRDefault="00C252B0" w:rsidP="00C252B0">
      <w:r w:rsidRPr="00C252B0">
        <w:t>Additional age stratified descriptive immunogenicity analyses for 18 - 74 years and &gt; 75years and for 18 - 60 years and &gt; 60 years were presented in this report, although they were not planned per protocol.</w:t>
      </w:r>
    </w:p>
    <w:p w:rsidR="00C252B0" w:rsidRPr="00C252B0" w:rsidRDefault="00C252B0" w:rsidP="00C252B0">
      <w:r w:rsidRPr="00E4366E">
        <w:rPr>
          <w:rStyle w:val="Heading6Char"/>
          <w:rFonts w:eastAsia="Cambria"/>
        </w:rPr>
        <w:t>Evaluator comment:</w:t>
      </w:r>
      <w:r w:rsidRPr="00C252B0">
        <w:t xml:space="preserve"> The changed criteria for reporting of </w:t>
      </w:r>
      <w:r w:rsidR="00E4366E">
        <w:t>G</w:t>
      </w:r>
      <w:r w:rsidRPr="00C252B0">
        <w:t>rade 3 fever had the potential to reduc</w:t>
      </w:r>
      <w:r w:rsidR="00E4366E">
        <w:t>e numbers reported to have had G</w:t>
      </w:r>
      <w:r w:rsidRPr="00C252B0">
        <w:t>rade 3 fever.  The additional age stratification did not</w:t>
      </w:r>
      <w:r w:rsidR="00C92E74">
        <w:t xml:space="preserve"> alter assessment of the study.</w:t>
      </w:r>
    </w:p>
    <w:p w:rsidR="00C252B0" w:rsidRPr="00C252B0" w:rsidRDefault="00C252B0" w:rsidP="00E4366E">
      <w:pPr>
        <w:pStyle w:val="Heading6"/>
      </w:pPr>
      <w:r w:rsidRPr="00C252B0">
        <w:t>Results</w:t>
      </w:r>
    </w:p>
    <w:p w:rsidR="00C252B0" w:rsidRPr="00C252B0" w:rsidRDefault="00C252B0" w:rsidP="00C252B0">
      <w:r w:rsidRPr="00C252B0">
        <w:t>In total, 4656 individuals were vaccinated in this study: 3036 in the D-QIV groups, 1010 in the TIV-1 group and 610 in the TIV-2 group. From the 3036 individuals vaccinated in the D-QIV group, 1012 were vaccinated in the D-QIV-1 group, 1013 in the D-QIV-2 group and 1011 in the D-QIV-3 group.</w:t>
      </w:r>
    </w:p>
    <w:p w:rsidR="00C252B0" w:rsidRPr="00C252B0" w:rsidRDefault="00C252B0" w:rsidP="00C252B0">
      <w:r w:rsidRPr="00C252B0">
        <w:t>In total, 4597 individuals completed the study and 57 individuals were withdrawn. Thirteen individuals withdrew from the study because of serious adverse events (SAEs) and one for non serious AE.</w:t>
      </w:r>
    </w:p>
    <w:p w:rsidR="00C252B0" w:rsidRPr="00C252B0" w:rsidRDefault="00C252B0" w:rsidP="00C252B0">
      <w:r w:rsidRPr="00C252B0">
        <w:t xml:space="preserve">Eighteen individuals (13 in the D-QIV group, 2 in the TIV-1 group and 3 in the TIV-2 group) were eliminated from the ATP cohort for safety due to administration of vaccine(s) forbidden in the protocol, </w:t>
      </w:r>
      <w:r w:rsidR="00E4366E">
        <w:t>randomisation</w:t>
      </w:r>
      <w:r w:rsidRPr="00C252B0">
        <w:t xml:space="preserve"> failure or study vaccine dose not administered according to protocol.</w:t>
      </w:r>
    </w:p>
    <w:p w:rsidR="00C252B0" w:rsidRPr="00C252B0" w:rsidRDefault="00C252B0" w:rsidP="00C252B0">
      <w:r w:rsidRPr="00C252B0">
        <w:t>Eighty-two participants (52 in the D-QIV group, 17 in the TIV-1 group and 13 in the TIV-2 group) were eliminated from the ATP cohort for analysis of immunogenicity due to protocol violation on inclusion or exclusion criteria, administration of any medication forbidden by the protocol, non compliance with blood sampling schedule or essential serological data missing.</w:t>
      </w:r>
    </w:p>
    <w:p w:rsidR="00C252B0" w:rsidRPr="00C252B0" w:rsidRDefault="00C252B0" w:rsidP="00E4366E">
      <w:pPr>
        <w:pStyle w:val="Heading6"/>
      </w:pPr>
      <w:r w:rsidRPr="00C252B0">
        <w:t>Demographic characteristic</w:t>
      </w:r>
    </w:p>
    <w:p w:rsidR="00C252B0" w:rsidRPr="00C252B0" w:rsidRDefault="00C252B0" w:rsidP="00C252B0">
      <w:r w:rsidRPr="00C252B0">
        <w:t xml:space="preserve">Demographic characteristics appeared evenly spread across groups. Participants ranged in age from 18 years to 92 years. The mean age was 57.9 years in the D-QIV group overall and 58.1 </w:t>
      </w:r>
      <w:r w:rsidRPr="00C252B0">
        <w:lastRenderedPageBreak/>
        <w:t>years in, both TIV-1 and TIV- 2 groups. In total, 56.6% of participants were female and 43.4% were male. The population was predominantly White-Caucasian (68.5%) or Asian (26.3%). In each group, about 80% of participants received at least one seasonal influenza vaccine in a preceding season. Approximately 70% of each group received the 2009-2</w:t>
      </w:r>
      <w:r w:rsidR="00C92E74">
        <w:t>010 seasonal influenza vaccine.</w:t>
      </w:r>
    </w:p>
    <w:p w:rsidR="00C252B0" w:rsidRPr="00C252B0" w:rsidRDefault="00C252B0" w:rsidP="00E4366E">
      <w:pPr>
        <w:pStyle w:val="Heading6"/>
      </w:pPr>
      <w:r w:rsidRPr="00C252B0">
        <w:t>Immunogenicity results</w:t>
      </w:r>
    </w:p>
    <w:p w:rsidR="00C252B0" w:rsidRPr="00C252B0" w:rsidRDefault="00C252B0" w:rsidP="00C252B0">
      <w:r w:rsidRPr="00C252B0">
        <w:t xml:space="preserve">Less than 5% of participants were excluded from the ATP cohort. The criteria for </w:t>
      </w:r>
      <w:proofErr w:type="spellStart"/>
      <w:r w:rsidRPr="00C252B0">
        <w:t>lot</w:t>
      </w:r>
      <w:proofErr w:type="spellEnd"/>
      <w:r w:rsidRPr="00C252B0">
        <w:t xml:space="preserve">-to-lot consistency were met (for D-QIV-1/D-QIV-2). </w:t>
      </w:r>
      <w:proofErr w:type="gramStart"/>
      <w:r w:rsidRPr="00C252B0">
        <w:t>The limits of the two-sided 95% CI for the largest GMT ratios among the 3 lots of D-QIV were (stated to be) between 0.67 and 1.5 for the four strains (</w:t>
      </w:r>
      <w:r w:rsidR="00E4366E">
        <w:t>Table 4</w:t>
      </w:r>
      <w:r w:rsidRPr="00C252B0">
        <w:t>)</w:t>
      </w:r>
      <w:r w:rsidR="00E4366E">
        <w:t>.</w:t>
      </w:r>
      <w:proofErr w:type="gramEnd"/>
      <w:r w:rsidRPr="00C252B0">
        <w:t xml:space="preserve"> The result for D-QIV-3 could not be located.</w:t>
      </w:r>
      <w:r w:rsidR="00E762C0">
        <w:rPr>
          <w:rStyle w:val="FootnoteReference"/>
        </w:rPr>
        <w:footnoteReference w:id="12"/>
      </w:r>
    </w:p>
    <w:p w:rsidR="00C252B0" w:rsidRPr="00C252B0" w:rsidRDefault="00C252B0" w:rsidP="00C92E74">
      <w:pPr>
        <w:pStyle w:val="TableTitle"/>
      </w:pPr>
      <w:bookmarkStart w:id="37" w:name="_Ref339970726"/>
      <w:bookmarkStart w:id="38" w:name="_Ref339970729"/>
      <w:proofErr w:type="gramStart"/>
      <w:r w:rsidRPr="00C252B0">
        <w:t>Table</w:t>
      </w:r>
      <w:bookmarkEnd w:id="37"/>
      <w:r w:rsidR="00E4366E">
        <w:t xml:space="preserve"> </w:t>
      </w:r>
      <w:r w:rsidR="00AB431A">
        <w:t>4</w:t>
      </w:r>
      <w:r w:rsidR="00E4366E">
        <w:t>.</w:t>
      </w:r>
      <w:proofErr w:type="gramEnd"/>
      <w:r w:rsidRPr="00C252B0">
        <w:t xml:space="preserve"> D-QIV-008: Adjusted GMT ratios of HI </w:t>
      </w:r>
      <w:r w:rsidRPr="00C92E74">
        <w:t>antibody</w:t>
      </w:r>
      <w:r w:rsidRPr="00C252B0">
        <w:t xml:space="preserve"> at day 21 for the maximum difference between two lots of D-QIV for Flu A/CAL/7/09 H1N1, Flu A/Vic/210/09 H3N2, B/</w:t>
      </w:r>
      <w:proofErr w:type="spellStart"/>
      <w:r w:rsidRPr="00C252B0">
        <w:t>Bri</w:t>
      </w:r>
      <w:proofErr w:type="spellEnd"/>
      <w:r w:rsidRPr="00C252B0">
        <w:t>/60/08 Victoria and B/</w:t>
      </w:r>
      <w:proofErr w:type="spellStart"/>
      <w:r w:rsidRPr="00C252B0">
        <w:t>Bri</w:t>
      </w:r>
      <w:proofErr w:type="spellEnd"/>
      <w:r w:rsidRPr="00C252B0">
        <w:t>/3/07 Yamagata</w:t>
      </w:r>
      <w:bookmarkEnd w:id="38"/>
    </w:p>
    <w:p w:rsidR="00C252B0" w:rsidRPr="00C252B0" w:rsidRDefault="00C252B0" w:rsidP="00C92E74">
      <w:r w:rsidRPr="00C252B0">
        <w:rPr>
          <w:noProof/>
          <w:lang w:eastAsia="en-AU"/>
        </w:rPr>
        <w:drawing>
          <wp:inline distT="0" distB="0" distL="0" distR="0" wp14:anchorId="2A707471" wp14:editId="372FE998">
            <wp:extent cx="4781550" cy="1543050"/>
            <wp:effectExtent l="19050" t="0" r="0" b="0"/>
            <wp:docPr id="4" name="Picture 9" descr="Table 4. D-QIV-008: Adjusted GMT ratios of HI antibody at day 21 for the maximum difference between two lots of D-QIV for Flu A/CAL/7/09 H1N1, Flu A/Vic/210/09 H3N2, B/Bri/60/08 Victoria and B/Bri/3/07 Yama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781550" cy="1543050"/>
                    </a:xfrm>
                    <a:prstGeom prst="rect">
                      <a:avLst/>
                    </a:prstGeom>
                    <a:noFill/>
                    <a:ln w="9525">
                      <a:noFill/>
                      <a:miter lim="800000"/>
                      <a:headEnd/>
                      <a:tailEnd/>
                    </a:ln>
                  </pic:spPr>
                </pic:pic>
              </a:graphicData>
            </a:graphic>
          </wp:inline>
        </w:drawing>
      </w:r>
    </w:p>
    <w:p w:rsidR="00C252B0" w:rsidRPr="00C252B0" w:rsidRDefault="00C252B0" w:rsidP="00C252B0">
      <w:r w:rsidRPr="00C252B0">
        <w:t>Criteria for non-inferiority of D-QIV versus TIV in terms of adjusted GMT ratio and seroconversion rate difference were met for all strains shared with the trivalent vaccines.</w:t>
      </w:r>
    </w:p>
    <w:p w:rsidR="00C252B0" w:rsidRPr="00C92E74" w:rsidRDefault="00C252B0" w:rsidP="00C92E74">
      <w:pPr>
        <w:pStyle w:val="ListBullet"/>
      </w:pPr>
      <w:r w:rsidRPr="00C252B0">
        <w:t>The upper limit of the two sided 95% CI for the adjusted GMT ratio of TIV (pooled TIV-1 and TIV-2) over D-QIV was 1.</w:t>
      </w:r>
      <w:r w:rsidRPr="00C92E74">
        <w:t>18 for A/California (H1N1) and 1.07 for A/Victoria (H3N2), which did not exceed the pre specified limit of 1.5. (</w:t>
      </w:r>
      <w:r w:rsidR="00E4366E" w:rsidRPr="00C92E74">
        <w:t>Table 5</w:t>
      </w:r>
      <w:r w:rsidRPr="00C92E74">
        <w:t>)</w:t>
      </w:r>
      <w:r w:rsidR="00E4366E" w:rsidRPr="00C92E74">
        <w:t>.</w:t>
      </w:r>
    </w:p>
    <w:p w:rsidR="00C252B0" w:rsidRPr="00C92E74" w:rsidRDefault="00C252B0" w:rsidP="00C92E74">
      <w:pPr>
        <w:pStyle w:val="ListBullet"/>
      </w:pPr>
      <w:r w:rsidRPr="00C92E74">
        <w:t>The upper limit of the two sided 95% CI for the adjusted GMT ratio of TIV-1 over D-QIV for the B/Victoria strain was 1.07. (</w:t>
      </w:r>
      <w:r w:rsidR="00E4366E" w:rsidRPr="00C92E74">
        <w:t>Table 6</w:t>
      </w:r>
      <w:r w:rsidRPr="00C92E74">
        <w:t>)</w:t>
      </w:r>
      <w:r w:rsidR="00E4366E" w:rsidRPr="00C92E74">
        <w:t>.</w:t>
      </w:r>
    </w:p>
    <w:p w:rsidR="00C252B0" w:rsidRPr="00C92E74" w:rsidRDefault="00C252B0" w:rsidP="00C92E74">
      <w:pPr>
        <w:pStyle w:val="ListBullet"/>
      </w:pPr>
      <w:r w:rsidRPr="00C92E74">
        <w:t>The upper limit of the two sided 95% CI for the adjusted GMT ratio of TIV-2 over D-QIV for the B/Yamagata strain was 1.07. (</w:t>
      </w:r>
      <w:r w:rsidR="00E4366E" w:rsidRPr="00C92E74">
        <w:t>Table 7</w:t>
      </w:r>
      <w:r w:rsidRPr="00C92E74">
        <w:t>)</w:t>
      </w:r>
      <w:r w:rsidR="00E4366E" w:rsidRPr="00C92E74">
        <w:t>.</w:t>
      </w:r>
    </w:p>
    <w:p w:rsidR="00C252B0" w:rsidRPr="00C92E74" w:rsidRDefault="00C252B0" w:rsidP="00C92E74">
      <w:pPr>
        <w:pStyle w:val="ListBullet"/>
      </w:pPr>
      <w:r w:rsidRPr="00C92E74">
        <w:t>The upper limit of the two-sided 95% CI for the difference in SCR of TIV (pooled TIV-1 and TIV-2) minus D-QIV was 4.11% and -0.30% for A/California (H1N1), A/Victoria (H3N2) respectively, which did not exceed the specified limit of 10%. (</w:t>
      </w:r>
      <w:r w:rsidR="00E4366E" w:rsidRPr="00C92E74">
        <w:t>Table 8</w:t>
      </w:r>
      <w:r w:rsidRPr="00C92E74">
        <w:t>)</w:t>
      </w:r>
      <w:r w:rsidR="00E4366E" w:rsidRPr="00C92E74">
        <w:t>.</w:t>
      </w:r>
    </w:p>
    <w:p w:rsidR="00C252B0" w:rsidRPr="00C252B0" w:rsidRDefault="00C252B0" w:rsidP="00C92E74">
      <w:pPr>
        <w:pStyle w:val="ListBullet"/>
      </w:pPr>
      <w:r w:rsidRPr="00C92E74">
        <w:t>The upper limit of the two-sided 95% CI for the difference</w:t>
      </w:r>
      <w:r w:rsidRPr="00C252B0">
        <w:t xml:space="preserve"> in SCR of TIV-1 minus D-QIV for the B/Victoria strain was 1.83%. (</w:t>
      </w:r>
      <w:r w:rsidR="00E4366E">
        <w:t>Table 9</w:t>
      </w:r>
      <w:r w:rsidRPr="00C252B0">
        <w:t>)</w:t>
      </w:r>
      <w:r w:rsidR="00E4366E">
        <w:t>.</w:t>
      </w:r>
    </w:p>
    <w:p w:rsidR="00C252B0" w:rsidRPr="00C252B0" w:rsidRDefault="00C252B0" w:rsidP="00E4366E">
      <w:pPr>
        <w:pStyle w:val="ListBullet"/>
      </w:pPr>
      <w:r w:rsidRPr="00C252B0">
        <w:t>The upper limit of the two-sided 95% CI for the difference in SCR of TIV-2 minus D-QIV for the B/Yamagata strain was 2.01%. (</w:t>
      </w:r>
      <w:r w:rsidR="00E4366E">
        <w:t>Table 10</w:t>
      </w:r>
      <w:r w:rsidRPr="00C252B0">
        <w:t>)</w:t>
      </w:r>
      <w:r w:rsidR="00E4366E">
        <w:t>.</w:t>
      </w:r>
    </w:p>
    <w:p w:rsidR="00C252B0" w:rsidRPr="00C252B0" w:rsidRDefault="00C252B0" w:rsidP="00C92E74">
      <w:pPr>
        <w:pStyle w:val="TableTitle"/>
      </w:pPr>
      <w:bookmarkStart w:id="39" w:name="_Ref339974159"/>
      <w:bookmarkStart w:id="40" w:name="_Ref339974162"/>
      <w:proofErr w:type="gramStart"/>
      <w:r w:rsidRPr="00C252B0">
        <w:lastRenderedPageBreak/>
        <w:t xml:space="preserve">Table </w:t>
      </w:r>
      <w:bookmarkEnd w:id="39"/>
      <w:r w:rsidR="00E4366E">
        <w:t>5.</w:t>
      </w:r>
      <w:proofErr w:type="gramEnd"/>
      <w:r w:rsidR="00E4366E">
        <w:t xml:space="preserve"> </w:t>
      </w:r>
      <w:r w:rsidRPr="00C252B0">
        <w:t xml:space="preserve"> D-QIV-008 GMT ratio for H1N1 and H3N2 (ATP cohort for immunogenicity)</w:t>
      </w:r>
      <w:bookmarkEnd w:id="40"/>
    </w:p>
    <w:p w:rsidR="00C252B0" w:rsidRPr="00C252B0" w:rsidRDefault="00C252B0" w:rsidP="00C252B0">
      <w:r w:rsidRPr="00C252B0">
        <w:rPr>
          <w:noProof/>
          <w:lang w:eastAsia="en-AU"/>
        </w:rPr>
        <w:drawing>
          <wp:inline distT="0" distB="0" distL="0" distR="0">
            <wp:extent cx="4686300" cy="1781175"/>
            <wp:effectExtent l="19050" t="0" r="0" b="0"/>
            <wp:docPr id="5" name="Picture 10" descr="Table 5.  D-QIV-008 GMT ratio for H1N1 and H3N2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686300" cy="1781175"/>
                    </a:xfrm>
                    <a:prstGeom prst="rect">
                      <a:avLst/>
                    </a:prstGeom>
                    <a:noFill/>
                    <a:ln w="9525">
                      <a:noFill/>
                      <a:miter lim="800000"/>
                      <a:headEnd/>
                      <a:tailEnd/>
                    </a:ln>
                  </pic:spPr>
                </pic:pic>
              </a:graphicData>
            </a:graphic>
          </wp:inline>
        </w:drawing>
      </w:r>
    </w:p>
    <w:p w:rsidR="00C252B0" w:rsidRPr="00C252B0" w:rsidRDefault="00C252B0" w:rsidP="00C92E74">
      <w:pPr>
        <w:pStyle w:val="TableTitle"/>
      </w:pPr>
      <w:bookmarkStart w:id="41" w:name="_Ref339974129"/>
      <w:bookmarkStart w:id="42" w:name="_Ref339974132"/>
      <w:proofErr w:type="gramStart"/>
      <w:r w:rsidRPr="00C252B0">
        <w:t xml:space="preserve">Table </w:t>
      </w:r>
      <w:bookmarkEnd w:id="41"/>
      <w:r w:rsidR="00E4366E">
        <w:t>6.</w:t>
      </w:r>
      <w:proofErr w:type="gramEnd"/>
      <w:r w:rsidRPr="00C252B0">
        <w:t xml:space="preserve"> D-QIV-008 Adjusted GMT ratio at Day 21 for B/Victoria lineage (ATP cohort for immunogenicity)</w:t>
      </w:r>
      <w:bookmarkEnd w:id="42"/>
    </w:p>
    <w:p w:rsidR="00C252B0" w:rsidRPr="00C252B0" w:rsidRDefault="00C252B0" w:rsidP="001E637D">
      <w:r w:rsidRPr="00C252B0">
        <w:rPr>
          <w:noProof/>
          <w:lang w:eastAsia="en-AU"/>
        </w:rPr>
        <w:drawing>
          <wp:inline distT="0" distB="0" distL="0" distR="0">
            <wp:extent cx="4686300" cy="1657350"/>
            <wp:effectExtent l="19050" t="0" r="0" b="0"/>
            <wp:docPr id="48" name="Picture 11" descr="Table 6. D-QIV-008 Adjusted GMT ratio at Day 21 for B/Victoria lineage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686300" cy="1657350"/>
                    </a:xfrm>
                    <a:prstGeom prst="rect">
                      <a:avLst/>
                    </a:prstGeom>
                    <a:noFill/>
                    <a:ln w="9525">
                      <a:noFill/>
                      <a:miter lim="800000"/>
                      <a:headEnd/>
                      <a:tailEnd/>
                    </a:ln>
                  </pic:spPr>
                </pic:pic>
              </a:graphicData>
            </a:graphic>
          </wp:inline>
        </w:drawing>
      </w:r>
    </w:p>
    <w:p w:rsidR="00C252B0" w:rsidRPr="00C252B0" w:rsidRDefault="00C252B0" w:rsidP="00C92E74">
      <w:pPr>
        <w:pStyle w:val="TableTitle"/>
      </w:pPr>
      <w:bookmarkStart w:id="43" w:name="_Ref339974091"/>
      <w:bookmarkStart w:id="44" w:name="_Ref339974094"/>
      <w:proofErr w:type="gramStart"/>
      <w:r w:rsidRPr="00C252B0">
        <w:t>Table</w:t>
      </w:r>
      <w:r w:rsidR="00E4366E">
        <w:t xml:space="preserve"> 7.</w:t>
      </w:r>
      <w:bookmarkEnd w:id="43"/>
      <w:proofErr w:type="gramEnd"/>
      <w:r w:rsidRPr="00C252B0">
        <w:t xml:space="preserve"> D-QIV-008 Adjusted GMT ratio at Day 21 for B/Yamagata lineage (ATP cohort for immunogenicity)</w:t>
      </w:r>
      <w:bookmarkEnd w:id="44"/>
    </w:p>
    <w:p w:rsidR="00C252B0" w:rsidRPr="00C252B0" w:rsidRDefault="00C252B0" w:rsidP="001E637D">
      <w:r w:rsidRPr="00C252B0">
        <w:rPr>
          <w:noProof/>
          <w:lang w:eastAsia="en-AU"/>
        </w:rPr>
        <w:drawing>
          <wp:inline distT="0" distB="0" distL="0" distR="0">
            <wp:extent cx="4686300" cy="1628775"/>
            <wp:effectExtent l="19050" t="0" r="0" b="0"/>
            <wp:docPr id="49" name="Picture 12" descr="Table 7. D-QIV-008 Adjusted GMT ratio at Day 21 for B/Yamagata lineage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686300" cy="1628775"/>
                    </a:xfrm>
                    <a:prstGeom prst="rect">
                      <a:avLst/>
                    </a:prstGeom>
                    <a:noFill/>
                    <a:ln w="9525">
                      <a:noFill/>
                      <a:miter lim="800000"/>
                      <a:headEnd/>
                      <a:tailEnd/>
                    </a:ln>
                  </pic:spPr>
                </pic:pic>
              </a:graphicData>
            </a:graphic>
          </wp:inline>
        </w:drawing>
      </w:r>
    </w:p>
    <w:p w:rsidR="00C252B0" w:rsidRPr="00C252B0" w:rsidRDefault="00C252B0" w:rsidP="00C92E74">
      <w:pPr>
        <w:pStyle w:val="TableTitle"/>
      </w:pPr>
      <w:bookmarkStart w:id="45" w:name="_Ref339974062"/>
      <w:bookmarkStart w:id="46" w:name="_Ref339974067"/>
      <w:proofErr w:type="gramStart"/>
      <w:r w:rsidRPr="00C252B0">
        <w:lastRenderedPageBreak/>
        <w:t>Table</w:t>
      </w:r>
      <w:r w:rsidR="00E4366E">
        <w:t xml:space="preserve"> 8.</w:t>
      </w:r>
      <w:bookmarkEnd w:id="45"/>
      <w:proofErr w:type="gramEnd"/>
      <w:r w:rsidRPr="00C252B0">
        <w:t xml:space="preserve"> D-QIV-008 </w:t>
      </w:r>
      <w:proofErr w:type="spellStart"/>
      <w:r w:rsidRPr="00C252B0">
        <w:t>Seroconversion</w:t>
      </w:r>
      <w:proofErr w:type="spellEnd"/>
      <w:r w:rsidRPr="00C252B0">
        <w:t xml:space="preserve"> rate </w:t>
      </w:r>
      <w:r w:rsidRPr="00C92E74">
        <w:t>difference</w:t>
      </w:r>
      <w:r w:rsidRPr="00C252B0">
        <w:t xml:space="preserve"> for H1N1 </w:t>
      </w:r>
      <w:proofErr w:type="gramStart"/>
      <w:r w:rsidRPr="00C252B0">
        <w:t>and  H3N2</w:t>
      </w:r>
      <w:proofErr w:type="gramEnd"/>
      <w:r w:rsidRPr="00C252B0">
        <w:t xml:space="preserve"> (ATP cohort for immunogenicity)</w:t>
      </w:r>
      <w:bookmarkEnd w:id="46"/>
    </w:p>
    <w:p w:rsidR="00C252B0" w:rsidRPr="00C252B0" w:rsidRDefault="00C252B0" w:rsidP="00C252B0">
      <w:r w:rsidRPr="00C252B0">
        <w:rPr>
          <w:noProof/>
          <w:lang w:eastAsia="en-AU"/>
        </w:rPr>
        <w:drawing>
          <wp:inline distT="0" distB="0" distL="0" distR="0">
            <wp:extent cx="4648200" cy="2752725"/>
            <wp:effectExtent l="19050" t="0" r="0" b="0"/>
            <wp:docPr id="50" name="Picture 13" descr="Table 8. D-QIV-008 Seroconversion rate difference for H1N1 and  H3N2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648200" cy="2752725"/>
                    </a:xfrm>
                    <a:prstGeom prst="rect">
                      <a:avLst/>
                    </a:prstGeom>
                    <a:noFill/>
                    <a:ln w="9525">
                      <a:noFill/>
                      <a:miter lim="800000"/>
                      <a:headEnd/>
                      <a:tailEnd/>
                    </a:ln>
                  </pic:spPr>
                </pic:pic>
              </a:graphicData>
            </a:graphic>
          </wp:inline>
        </w:drawing>
      </w:r>
    </w:p>
    <w:p w:rsidR="00C252B0" w:rsidRPr="00C252B0" w:rsidRDefault="00C252B0" w:rsidP="00C92E74">
      <w:pPr>
        <w:pStyle w:val="TableTitle"/>
      </w:pPr>
      <w:bookmarkStart w:id="47" w:name="_Ref339974037"/>
      <w:bookmarkStart w:id="48" w:name="_Ref339974040"/>
      <w:proofErr w:type="gramStart"/>
      <w:r w:rsidRPr="00C252B0">
        <w:t>Table</w:t>
      </w:r>
      <w:r w:rsidR="00E4366E">
        <w:t xml:space="preserve"> 9</w:t>
      </w:r>
      <w:bookmarkEnd w:id="47"/>
      <w:r w:rsidR="00E4366E">
        <w:t>.</w:t>
      </w:r>
      <w:proofErr w:type="gramEnd"/>
      <w:r w:rsidRPr="00C252B0">
        <w:t xml:space="preserve"> D-QIV-008 Seroconversion rate difference for B/Victoria lineage strain (ATP cohort for immunogenicity)</w:t>
      </w:r>
      <w:bookmarkEnd w:id="48"/>
    </w:p>
    <w:p w:rsidR="00C252B0" w:rsidRPr="00C252B0" w:rsidRDefault="00C252B0" w:rsidP="001E637D">
      <w:r w:rsidRPr="00C252B0">
        <w:rPr>
          <w:noProof/>
          <w:lang w:eastAsia="en-AU"/>
        </w:rPr>
        <w:drawing>
          <wp:inline distT="0" distB="0" distL="0" distR="0">
            <wp:extent cx="4724400" cy="2514600"/>
            <wp:effectExtent l="19050" t="0" r="0" b="0"/>
            <wp:docPr id="51" name="Picture 14" descr="Table 9. D-QIV-008 Seroconversion rate difference for B/Victoria lineage strain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4724400" cy="2514600"/>
                    </a:xfrm>
                    <a:prstGeom prst="rect">
                      <a:avLst/>
                    </a:prstGeom>
                    <a:noFill/>
                    <a:ln w="9525">
                      <a:noFill/>
                      <a:miter lim="800000"/>
                      <a:headEnd/>
                      <a:tailEnd/>
                    </a:ln>
                  </pic:spPr>
                </pic:pic>
              </a:graphicData>
            </a:graphic>
          </wp:inline>
        </w:drawing>
      </w:r>
    </w:p>
    <w:p w:rsidR="00C252B0" w:rsidRPr="00C252B0" w:rsidRDefault="00C252B0" w:rsidP="00C92E74">
      <w:pPr>
        <w:pStyle w:val="TableTitle"/>
      </w:pPr>
      <w:bookmarkStart w:id="49" w:name="_Ref339974010"/>
      <w:bookmarkStart w:id="50" w:name="_Ref339974013"/>
      <w:proofErr w:type="gramStart"/>
      <w:r w:rsidRPr="00C252B0">
        <w:lastRenderedPageBreak/>
        <w:t>Table</w:t>
      </w:r>
      <w:bookmarkEnd w:id="49"/>
      <w:r w:rsidR="00E4366E">
        <w:t xml:space="preserve"> 10.</w:t>
      </w:r>
      <w:proofErr w:type="gramEnd"/>
      <w:r w:rsidRPr="00C252B0">
        <w:t xml:space="preserve"> D-QIV-008 Seroconversion difference for B/Yamagata lineage) strain (ATP cohort for immunogenicity)</w:t>
      </w:r>
      <w:bookmarkEnd w:id="50"/>
    </w:p>
    <w:p w:rsidR="00C252B0" w:rsidRPr="00C252B0" w:rsidRDefault="00C252B0" w:rsidP="001D38BB">
      <w:r w:rsidRPr="00C252B0">
        <w:rPr>
          <w:noProof/>
          <w:lang w:eastAsia="en-AU"/>
        </w:rPr>
        <w:drawing>
          <wp:inline distT="0" distB="0" distL="0" distR="0" wp14:anchorId="4FF91120" wp14:editId="2112E26D">
            <wp:extent cx="4676775" cy="2505075"/>
            <wp:effectExtent l="19050" t="0" r="9525" b="0"/>
            <wp:docPr id="52" name="Picture 15" descr="Table 10. D-QIV-008 Seroconversion difference for B/Yamagata lineage) strain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4676775" cy="2505075"/>
                    </a:xfrm>
                    <a:prstGeom prst="rect">
                      <a:avLst/>
                    </a:prstGeom>
                    <a:noFill/>
                    <a:ln w="9525">
                      <a:noFill/>
                      <a:miter lim="800000"/>
                      <a:headEnd/>
                      <a:tailEnd/>
                    </a:ln>
                  </pic:spPr>
                </pic:pic>
              </a:graphicData>
            </a:graphic>
          </wp:inline>
        </w:drawing>
      </w:r>
    </w:p>
    <w:p w:rsidR="00C252B0" w:rsidRPr="00C252B0" w:rsidRDefault="00C252B0" w:rsidP="00C252B0">
      <w:r w:rsidRPr="00C252B0">
        <w:t>Criteria for superiority of D-QIV versus TIVs in terms of adjusted GMT ratio and SCR difference were met for both B-strains not in the respective TIVs.</w:t>
      </w:r>
    </w:p>
    <w:p w:rsidR="00C252B0" w:rsidRPr="00C252B0" w:rsidRDefault="00C252B0" w:rsidP="00E90709">
      <w:pPr>
        <w:pStyle w:val="ListBullet"/>
      </w:pPr>
      <w:r w:rsidRPr="00C252B0">
        <w:t>The lower limit of the two sided 95% CI for the adjusted GMT ratio of D-QIV/TIV-2 for the B/Victoria strain was 1.42 l. (</w:t>
      </w:r>
      <w:r w:rsidR="00E90709">
        <w:t>Table 11</w:t>
      </w:r>
      <w:r w:rsidRPr="00C252B0">
        <w:t>)</w:t>
      </w:r>
      <w:r w:rsidR="00E90709">
        <w:t>.</w:t>
      </w:r>
    </w:p>
    <w:p w:rsidR="00C252B0" w:rsidRPr="00C252B0" w:rsidRDefault="00C252B0" w:rsidP="00E90709">
      <w:pPr>
        <w:pStyle w:val="ListBullet"/>
      </w:pPr>
      <w:r w:rsidRPr="00C252B0">
        <w:t>The lower limit of the two sided 95% CI for the adjusted GMT ratio of D-QIV over TIV-1 for the B/Yamagata strain was 1.41. (</w:t>
      </w:r>
      <w:r w:rsidR="00E90709">
        <w:t>Table 12</w:t>
      </w:r>
      <w:r w:rsidRPr="00C252B0">
        <w:t>)</w:t>
      </w:r>
      <w:r w:rsidR="00E90709">
        <w:t>.</w:t>
      </w:r>
    </w:p>
    <w:p w:rsidR="00E90709" w:rsidRDefault="00C252B0" w:rsidP="00E90709">
      <w:pPr>
        <w:pStyle w:val="ListBullet"/>
      </w:pPr>
      <w:r w:rsidRPr="00C252B0">
        <w:t>The lower limit of the two-sided 95% CI for the difference in SCR of D-QIV minus TIV-2 for the B/Victoria strain was 5.70%, which is greater than the predefined 0%. (</w:t>
      </w:r>
      <w:r w:rsidR="00E90709">
        <w:t>Table 13).</w:t>
      </w:r>
    </w:p>
    <w:p w:rsidR="00C252B0" w:rsidRPr="00C252B0" w:rsidRDefault="00C252B0" w:rsidP="00E90709">
      <w:pPr>
        <w:pStyle w:val="ListBullet"/>
      </w:pPr>
      <w:r w:rsidRPr="00C252B0">
        <w:t>The lower limit of the two-sided 95% CI for the difference in SCR of D-QIV minus TIV-1 for the B/Yamagata strain was 11.54%. (</w:t>
      </w:r>
      <w:r w:rsidR="00E90709">
        <w:t>Table 14</w:t>
      </w:r>
      <w:r w:rsidRPr="00C252B0">
        <w:t>)</w:t>
      </w:r>
      <w:r w:rsidR="00E90709">
        <w:t>.</w:t>
      </w:r>
    </w:p>
    <w:p w:rsidR="00C252B0" w:rsidRPr="00C252B0" w:rsidRDefault="00C252B0" w:rsidP="004F45C0">
      <w:pPr>
        <w:pStyle w:val="TableTitle"/>
      </w:pPr>
      <w:bookmarkStart w:id="51" w:name="_Ref339975307"/>
      <w:bookmarkStart w:id="52" w:name="_Ref339975312"/>
      <w:proofErr w:type="gramStart"/>
      <w:r w:rsidRPr="00C252B0">
        <w:t xml:space="preserve">Table </w:t>
      </w:r>
      <w:r w:rsidR="00E90709">
        <w:t>11.</w:t>
      </w:r>
      <w:bookmarkEnd w:id="51"/>
      <w:proofErr w:type="gramEnd"/>
      <w:r w:rsidRPr="00C252B0">
        <w:t xml:space="preserve"> D-QIV-008 Adjusted GMT ratio for the B/Victoria lineage (ATP cohort for immunogenicity)</w:t>
      </w:r>
      <w:bookmarkEnd w:id="52"/>
    </w:p>
    <w:p w:rsidR="00C252B0" w:rsidRPr="00C252B0" w:rsidRDefault="00C252B0" w:rsidP="004F45C0">
      <w:r w:rsidRPr="00C252B0">
        <w:rPr>
          <w:noProof/>
          <w:lang w:eastAsia="en-AU"/>
        </w:rPr>
        <w:drawing>
          <wp:inline distT="0" distB="0" distL="0" distR="0" wp14:anchorId="20BAC3D6" wp14:editId="37F79F24">
            <wp:extent cx="4991100" cy="1352550"/>
            <wp:effectExtent l="19050" t="0" r="0" b="0"/>
            <wp:docPr id="53" name="Picture 16" descr="Table 11. D-QIV-008 Adjusted GMT ratio for the B/Victoria lineage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4991100" cy="1352550"/>
                    </a:xfrm>
                    <a:prstGeom prst="rect">
                      <a:avLst/>
                    </a:prstGeom>
                    <a:noFill/>
                    <a:ln w="9525">
                      <a:noFill/>
                      <a:miter lim="800000"/>
                      <a:headEnd/>
                      <a:tailEnd/>
                    </a:ln>
                  </pic:spPr>
                </pic:pic>
              </a:graphicData>
            </a:graphic>
          </wp:inline>
        </w:drawing>
      </w:r>
    </w:p>
    <w:p w:rsidR="00C252B0" w:rsidRPr="00C252B0" w:rsidRDefault="00C252B0" w:rsidP="004F45C0">
      <w:pPr>
        <w:pStyle w:val="TableTitle"/>
      </w:pPr>
      <w:bookmarkStart w:id="53" w:name="_Ref339975336"/>
      <w:bookmarkStart w:id="54" w:name="_Ref339975339"/>
      <w:proofErr w:type="gramStart"/>
      <w:r w:rsidRPr="00C252B0">
        <w:t xml:space="preserve">Table </w:t>
      </w:r>
      <w:bookmarkEnd w:id="53"/>
      <w:r w:rsidR="00E90709">
        <w:t>12.</w:t>
      </w:r>
      <w:proofErr w:type="gramEnd"/>
      <w:r w:rsidRPr="00C252B0">
        <w:t xml:space="preserve"> D-QIV-008 Adjusted GMT ratio for the B/Brisbane/Yamagata lineage (ATP cohort for immunogenicity)</w:t>
      </w:r>
      <w:bookmarkEnd w:id="54"/>
    </w:p>
    <w:p w:rsidR="00C252B0" w:rsidRPr="00C252B0" w:rsidRDefault="00C252B0" w:rsidP="00C252B0">
      <w:r w:rsidRPr="00C252B0">
        <w:rPr>
          <w:noProof/>
          <w:lang w:eastAsia="en-AU"/>
        </w:rPr>
        <w:drawing>
          <wp:inline distT="0" distB="0" distL="0" distR="0">
            <wp:extent cx="4914900" cy="1400175"/>
            <wp:effectExtent l="19050" t="0" r="0" b="0"/>
            <wp:docPr id="54" name="Picture 17" descr="Table 12. D-QIV-008 Adjusted GMT ratio for the B/Brisbane/Yamagata lineage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4914900" cy="1400175"/>
                    </a:xfrm>
                    <a:prstGeom prst="rect">
                      <a:avLst/>
                    </a:prstGeom>
                    <a:noFill/>
                    <a:ln w="9525">
                      <a:noFill/>
                      <a:miter lim="800000"/>
                      <a:headEnd/>
                      <a:tailEnd/>
                    </a:ln>
                  </pic:spPr>
                </pic:pic>
              </a:graphicData>
            </a:graphic>
          </wp:inline>
        </w:drawing>
      </w:r>
    </w:p>
    <w:p w:rsidR="00C252B0" w:rsidRPr="00C252B0" w:rsidRDefault="00C252B0" w:rsidP="004F45C0">
      <w:pPr>
        <w:pStyle w:val="TableTitle"/>
      </w:pPr>
      <w:bookmarkStart w:id="55" w:name="_Ref339975366"/>
      <w:bookmarkStart w:id="56" w:name="_Ref339975368"/>
      <w:proofErr w:type="gramStart"/>
      <w:r w:rsidRPr="00C252B0">
        <w:lastRenderedPageBreak/>
        <w:t>Table</w:t>
      </w:r>
      <w:r w:rsidR="00E90709">
        <w:t xml:space="preserve"> 13.</w:t>
      </w:r>
      <w:bookmarkEnd w:id="55"/>
      <w:proofErr w:type="gramEnd"/>
      <w:r w:rsidRPr="00C252B0">
        <w:t xml:space="preserve"> D-QIV-008 Difference in SCR for B/Victoria lineage (ATP cohort for immunogenicity)</w:t>
      </w:r>
      <w:bookmarkEnd w:id="56"/>
    </w:p>
    <w:p w:rsidR="00C252B0" w:rsidRPr="00C252B0" w:rsidRDefault="00C252B0" w:rsidP="00C252B0">
      <w:r w:rsidRPr="00C252B0">
        <w:rPr>
          <w:noProof/>
          <w:lang w:eastAsia="en-AU"/>
        </w:rPr>
        <w:drawing>
          <wp:inline distT="0" distB="0" distL="0" distR="0">
            <wp:extent cx="4295775" cy="1724025"/>
            <wp:effectExtent l="19050" t="0" r="9525" b="0"/>
            <wp:docPr id="55" name="Picture 18" descr="Table 13. D-QIV-008 Difference in SCR for B/Victoria lineage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4295775" cy="1724025"/>
                    </a:xfrm>
                    <a:prstGeom prst="rect">
                      <a:avLst/>
                    </a:prstGeom>
                    <a:noFill/>
                    <a:ln w="9525">
                      <a:noFill/>
                      <a:miter lim="800000"/>
                      <a:headEnd/>
                      <a:tailEnd/>
                    </a:ln>
                  </pic:spPr>
                </pic:pic>
              </a:graphicData>
            </a:graphic>
          </wp:inline>
        </w:drawing>
      </w:r>
    </w:p>
    <w:p w:rsidR="00C252B0" w:rsidRPr="00C252B0" w:rsidRDefault="00C252B0" w:rsidP="004F45C0">
      <w:pPr>
        <w:pStyle w:val="TableTitle"/>
      </w:pPr>
      <w:bookmarkStart w:id="57" w:name="_Ref339975392"/>
      <w:bookmarkStart w:id="58" w:name="_Ref339975396"/>
      <w:proofErr w:type="gramStart"/>
      <w:r w:rsidRPr="00C252B0">
        <w:t xml:space="preserve">Table </w:t>
      </w:r>
      <w:r w:rsidR="00E90709">
        <w:t>14.</w:t>
      </w:r>
      <w:bookmarkEnd w:id="57"/>
      <w:proofErr w:type="gramEnd"/>
      <w:r w:rsidRPr="00C252B0">
        <w:t xml:space="preserve"> D-QIV-008 Difference in SCR for B/Brisbane/Yamagata lineage (ATP cohort for immunogenicity)</w:t>
      </w:r>
      <w:bookmarkEnd w:id="58"/>
    </w:p>
    <w:p w:rsidR="00C252B0" w:rsidRPr="00C252B0" w:rsidRDefault="00C252B0" w:rsidP="00C252B0">
      <w:r w:rsidRPr="00C252B0">
        <w:rPr>
          <w:noProof/>
          <w:lang w:eastAsia="en-AU"/>
        </w:rPr>
        <w:drawing>
          <wp:inline distT="0" distB="0" distL="0" distR="0">
            <wp:extent cx="4238625" cy="1704975"/>
            <wp:effectExtent l="19050" t="0" r="9525" b="0"/>
            <wp:docPr id="56" name="Picture 19" descr="Table 14. D-QIV-008 Difference in SCR for B/Brisbane/Yamagata lineage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4238625" cy="1704975"/>
                    </a:xfrm>
                    <a:prstGeom prst="rect">
                      <a:avLst/>
                    </a:prstGeom>
                    <a:noFill/>
                    <a:ln w="9525">
                      <a:noFill/>
                      <a:miter lim="800000"/>
                      <a:headEnd/>
                      <a:tailEnd/>
                    </a:ln>
                  </pic:spPr>
                </pic:pic>
              </a:graphicData>
            </a:graphic>
          </wp:inline>
        </w:drawing>
      </w:r>
    </w:p>
    <w:p w:rsidR="00C252B0" w:rsidRPr="00C252B0" w:rsidRDefault="00C252B0" w:rsidP="00E90709">
      <w:pPr>
        <w:pStyle w:val="Heading6"/>
      </w:pPr>
      <w:r w:rsidRPr="00C252B0">
        <w:t>Descriptive analyses</w:t>
      </w:r>
    </w:p>
    <w:p w:rsidR="00C252B0" w:rsidRPr="00C252B0" w:rsidRDefault="00C252B0" w:rsidP="00C252B0">
      <w:r w:rsidRPr="00C252B0">
        <w:t xml:space="preserve">GMTs </w:t>
      </w:r>
      <w:r w:rsidR="00692B0F">
        <w:t>post vaccination</w:t>
      </w:r>
    </w:p>
    <w:p w:rsidR="00C252B0" w:rsidRPr="00C252B0" w:rsidRDefault="00C252B0" w:rsidP="00E90709">
      <w:pPr>
        <w:pStyle w:val="ListBullet"/>
      </w:pPr>
      <w:r w:rsidRPr="00C252B0">
        <w:t>A/California/7/2009 (H1N1): 201 for D-QIV, 218 for TIV-1 and 213 for TIV-2.</w:t>
      </w:r>
    </w:p>
    <w:p w:rsidR="00C252B0" w:rsidRPr="00C252B0" w:rsidRDefault="00C252B0" w:rsidP="00E90709">
      <w:pPr>
        <w:pStyle w:val="ListBullet"/>
      </w:pPr>
      <w:r w:rsidRPr="00C252B0">
        <w:t>A/Victoria/210/2009 (H3N2): 315 for D-QIV, 298 for TIV-1 and 340 for TIV-2.</w:t>
      </w:r>
    </w:p>
    <w:p w:rsidR="00C252B0" w:rsidRPr="00C252B0" w:rsidRDefault="00C252B0" w:rsidP="00E90709">
      <w:pPr>
        <w:pStyle w:val="ListBullet"/>
      </w:pPr>
      <w:r w:rsidRPr="00C252B0">
        <w:t>B/Brisbane/60/2008 (Victoria lineage): 405 for D-QIV, 394 for TIV-1 and 259 for TIV-2 (TIV-2 did not contain B/Victoria lineage).</w:t>
      </w:r>
    </w:p>
    <w:p w:rsidR="00C252B0" w:rsidRPr="00C252B0" w:rsidRDefault="00C252B0" w:rsidP="00E90709">
      <w:pPr>
        <w:pStyle w:val="ListBullet"/>
      </w:pPr>
      <w:r w:rsidRPr="00C252B0">
        <w:t>B/Brisbane/3/07 (Yamagata lineage): 602 for D-QIV, 583 for TIV-2 and 387 for TIV-1 (TIV-1 did not contain B/Yamagata lineage).</w:t>
      </w:r>
    </w:p>
    <w:p w:rsidR="00C252B0" w:rsidRPr="00C252B0" w:rsidRDefault="00C252B0" w:rsidP="00C252B0">
      <w:r w:rsidRPr="00C252B0">
        <w:t xml:space="preserve">Seropositivity rates baseline and </w:t>
      </w:r>
      <w:r w:rsidR="00692B0F">
        <w:t>post vaccination</w:t>
      </w:r>
      <w:r w:rsidR="004F45C0">
        <w:t xml:space="preserve"> respectively</w:t>
      </w:r>
    </w:p>
    <w:p w:rsidR="00C252B0" w:rsidRPr="00C252B0" w:rsidRDefault="00C252B0" w:rsidP="00E90709">
      <w:pPr>
        <w:pStyle w:val="ListBullet"/>
      </w:pPr>
      <w:r w:rsidRPr="00C252B0">
        <w:t>A/California/7/2009 (H1N1): D-QIV: 53.7%; 96.1%; TIV-1: 58.2%; 96.4%, TIV-2: 54.9%; 96.3%</w:t>
      </w:r>
    </w:p>
    <w:p w:rsidR="00C252B0" w:rsidRPr="00C252B0" w:rsidRDefault="00C252B0" w:rsidP="00E90709">
      <w:pPr>
        <w:pStyle w:val="ListBullet"/>
      </w:pPr>
      <w:r w:rsidRPr="00C252B0">
        <w:t>A/Victoria/210/2009 (H3N2): D-QIV: 78.6%; 98.6%, TIV-1: 80.7%; 97.7%, TIV-1: 80.2% post 98.9%</w:t>
      </w:r>
    </w:p>
    <w:p w:rsidR="00C252B0" w:rsidRPr="00C252B0" w:rsidRDefault="00C252B0" w:rsidP="00E90709">
      <w:pPr>
        <w:pStyle w:val="ListBullet"/>
      </w:pPr>
      <w:r w:rsidRPr="00C252B0">
        <w:t>B/Brisbane/60/2008 (Victoria lineage): D-QIV: 86.5%; 99.2%, TIV-1: 84.5%; 98.8%, TIV-2; 85.3%; 97.0%</w:t>
      </w:r>
    </w:p>
    <w:p w:rsidR="00C252B0" w:rsidRPr="00C252B0" w:rsidRDefault="00C252B0" w:rsidP="00E90709">
      <w:pPr>
        <w:pStyle w:val="ListBullet"/>
      </w:pPr>
      <w:r w:rsidRPr="00C252B0">
        <w:t>B/Brisbane/3/2007 (Yamagata lineage): D-QIV: 86.3%; 99.2%, TIV-1: 86.8%; 98.2%, TIV-2; 86.2%; 99.8%</w:t>
      </w:r>
    </w:p>
    <w:p w:rsidR="00C252B0" w:rsidRPr="00C252B0" w:rsidRDefault="00D60F88" w:rsidP="00C252B0">
      <w:proofErr w:type="spellStart"/>
      <w:r>
        <w:t>Seroconversion</w:t>
      </w:r>
      <w:proofErr w:type="spellEnd"/>
      <w:r>
        <w:t xml:space="preserve"> rates</w:t>
      </w:r>
    </w:p>
    <w:p w:rsidR="00C252B0" w:rsidRPr="00C252B0" w:rsidRDefault="00C252B0" w:rsidP="00E90709">
      <w:pPr>
        <w:pStyle w:val="ListBullet"/>
      </w:pPr>
      <w:r w:rsidRPr="00C252B0">
        <w:t>A/California/7/2009 (H1N1): 78% for D-QIV, 77% for TIV-1 and 80% for TIV-2.</w:t>
      </w:r>
    </w:p>
    <w:p w:rsidR="00C252B0" w:rsidRPr="00C252B0" w:rsidRDefault="00C252B0" w:rsidP="00E90709">
      <w:pPr>
        <w:pStyle w:val="ListBullet"/>
      </w:pPr>
      <w:r w:rsidRPr="00C252B0">
        <w:t>A/Victoria/210/2009 (H3N2): 72% for D-QIV, 66% for TIV-1 and 70% for TIV-2.</w:t>
      </w:r>
    </w:p>
    <w:p w:rsidR="00C252B0" w:rsidRPr="00C252B0" w:rsidRDefault="00C252B0" w:rsidP="00E90709">
      <w:pPr>
        <w:pStyle w:val="ListBullet"/>
      </w:pPr>
      <w:r w:rsidRPr="00C252B0">
        <w:t>B/Brisbane/60/2008 (Victoria lineage): 58% for D-QIV, 56% for TIV-1 and 48% for TIV-2.</w:t>
      </w:r>
    </w:p>
    <w:p w:rsidR="00C252B0" w:rsidRPr="00C252B0" w:rsidRDefault="00C252B0" w:rsidP="00E90709">
      <w:pPr>
        <w:pStyle w:val="ListBullet"/>
      </w:pPr>
      <w:r w:rsidRPr="00C252B0">
        <w:lastRenderedPageBreak/>
        <w:t>B/Brisbane/3/2007 (Yamagata lineage): 62% for D-QIV, 59% for TIV-2 and 46% for TIV-1.</w:t>
      </w:r>
    </w:p>
    <w:p w:rsidR="00C252B0" w:rsidRPr="00C252B0" w:rsidRDefault="00C252B0" w:rsidP="00C252B0">
      <w:proofErr w:type="spellStart"/>
      <w:r w:rsidRPr="00C252B0">
        <w:t>Seroprotection</w:t>
      </w:r>
      <w:proofErr w:type="spellEnd"/>
      <w:r w:rsidRPr="00C252B0">
        <w:t xml:space="preserve"> rates </w:t>
      </w:r>
      <w:r w:rsidR="00692B0F">
        <w:t>post vaccination</w:t>
      </w:r>
    </w:p>
    <w:p w:rsidR="00C252B0" w:rsidRPr="00C252B0" w:rsidRDefault="00C252B0" w:rsidP="00E90709">
      <w:pPr>
        <w:pStyle w:val="ListBullet"/>
      </w:pPr>
      <w:r w:rsidRPr="00C252B0">
        <w:t>A/California/7/2009 (H1N1): 91% for D-QIV, 92% for TIV-1 and 93% for TIV-2</w:t>
      </w:r>
      <w:r w:rsidR="00D60F88">
        <w:t>.</w:t>
      </w:r>
    </w:p>
    <w:p w:rsidR="00C252B0" w:rsidRPr="00C252B0" w:rsidRDefault="00C252B0" w:rsidP="00E90709">
      <w:pPr>
        <w:pStyle w:val="ListBullet"/>
      </w:pPr>
      <w:r w:rsidRPr="00C252B0">
        <w:t>A/Victoria/210/2009 (H3N2): 97% for D-QIV, 96% for TIV-1 and 97% for TIV-2.</w:t>
      </w:r>
    </w:p>
    <w:p w:rsidR="00C252B0" w:rsidRPr="00C252B0" w:rsidRDefault="00C252B0" w:rsidP="00E90709">
      <w:pPr>
        <w:pStyle w:val="ListBullet"/>
      </w:pPr>
      <w:r w:rsidRPr="00C252B0">
        <w:t>B/Brisbane/60/2008 (Victoria lineage): 99% for D-QIV, 99% for TIV-1 and 96% for TIV-2.</w:t>
      </w:r>
    </w:p>
    <w:p w:rsidR="00C252B0" w:rsidRPr="00C252B0" w:rsidRDefault="00C252B0" w:rsidP="00E90709">
      <w:pPr>
        <w:pStyle w:val="ListBullet"/>
      </w:pPr>
      <w:r w:rsidRPr="00C252B0">
        <w:t>B/Brisbane/3/2007 (Yamagata lineage): 99% for D-QIV, 100% for TIV-2 and 98% for TIV-1.</w:t>
      </w:r>
    </w:p>
    <w:p w:rsidR="00C252B0" w:rsidRPr="00C252B0" w:rsidRDefault="00D60F88" w:rsidP="00C252B0">
      <w:r>
        <w:t>Mean geometric increases</w:t>
      </w:r>
    </w:p>
    <w:p w:rsidR="00C252B0" w:rsidRPr="00C252B0" w:rsidRDefault="00C252B0" w:rsidP="00E90709">
      <w:pPr>
        <w:pStyle w:val="ListBullet"/>
      </w:pPr>
      <w:r w:rsidRPr="00C252B0">
        <w:t>A/California/7/2009 (H1N1): 14 for D-QIV, 14 for TIV-1 and 15 for TIV-2.</w:t>
      </w:r>
    </w:p>
    <w:p w:rsidR="00C252B0" w:rsidRPr="00C252B0" w:rsidRDefault="00C252B0" w:rsidP="00E90709">
      <w:pPr>
        <w:pStyle w:val="ListBullet"/>
      </w:pPr>
      <w:r w:rsidRPr="00C252B0">
        <w:t>A/Victoria/210/2009 (H3N2): 9 for D-QIV, 8 for TIV-1 and 10 for TIV-2.</w:t>
      </w:r>
    </w:p>
    <w:p w:rsidR="00C252B0" w:rsidRPr="00C252B0" w:rsidRDefault="00C252B0" w:rsidP="00E90709">
      <w:pPr>
        <w:pStyle w:val="ListBullet"/>
      </w:pPr>
      <w:r w:rsidRPr="00C252B0">
        <w:t>B/Brisbane/60/2008 (Victoria lineage): 5 for D-QIV,</w:t>
      </w:r>
      <w:r w:rsidR="00D60F88">
        <w:t xml:space="preserve"> 5 for TIV-1 and 4 for TIV-2.</w:t>
      </w:r>
    </w:p>
    <w:p w:rsidR="00C252B0" w:rsidRPr="00C252B0" w:rsidRDefault="00C252B0" w:rsidP="00E90709">
      <w:pPr>
        <w:pStyle w:val="ListBullet"/>
      </w:pPr>
      <w:r w:rsidRPr="00C252B0">
        <w:t>B/Brisbane/3/2007 (Yamagata lineage): 6 for D-QIV, 6 for TIV-2 and 4 for TIV-1</w:t>
      </w:r>
      <w:r w:rsidR="00D60F88">
        <w:t>.</w:t>
      </w:r>
    </w:p>
    <w:p w:rsidR="00C252B0" w:rsidRPr="00C252B0" w:rsidRDefault="00C252B0" w:rsidP="00C252B0">
      <w:r w:rsidRPr="008E314A">
        <w:t xml:space="preserve">Results by age strata 18 to 60 years and &gt; 61 years </w:t>
      </w:r>
      <w:r w:rsidR="008E314A" w:rsidRPr="008E314A">
        <w:t>were</w:t>
      </w:r>
      <w:r w:rsidRPr="008E314A">
        <w:t xml:space="preserve"> summarised </w:t>
      </w:r>
      <w:r w:rsidR="008E314A" w:rsidRPr="008E314A">
        <w:t>in 4 tables in the submission</w:t>
      </w:r>
      <w:r w:rsidRPr="008E314A">
        <w:t>.</w:t>
      </w:r>
    </w:p>
    <w:p w:rsidR="00C252B0" w:rsidRPr="00C252B0" w:rsidRDefault="00C252B0" w:rsidP="00E90709">
      <w:pPr>
        <w:pStyle w:val="Heading6"/>
      </w:pPr>
      <w:r w:rsidRPr="00C252B0">
        <w:t>Conclusion</w:t>
      </w:r>
    </w:p>
    <w:p w:rsidR="00C252B0" w:rsidRPr="00C252B0" w:rsidRDefault="00C252B0" w:rsidP="00C252B0">
      <w:r w:rsidRPr="00C252B0">
        <w:t xml:space="preserve">The objectives of the study have been </w:t>
      </w:r>
      <w:proofErr w:type="spellStart"/>
      <w:r w:rsidRPr="00C252B0">
        <w:t>metalthough</w:t>
      </w:r>
      <w:proofErr w:type="spellEnd"/>
      <w:r w:rsidRPr="00C252B0">
        <w:t xml:space="preserve"> results for the lot-to-lot consistency of lot 3 r</w:t>
      </w:r>
      <w:r w:rsidRPr="008E314A">
        <w:t>emain to be seen.</w:t>
      </w:r>
      <w:r w:rsidR="00E762C0">
        <w:rPr>
          <w:rStyle w:val="FootnoteReference"/>
        </w:rPr>
        <w:footnoteReference w:id="13"/>
      </w:r>
      <w:r w:rsidRPr="008E314A">
        <w:t xml:space="preserve"> Seroconversion rates seroprotection rates and mean geometric increases met CPMP/BWP/214/96 Harmonisation of Requirements for Influenza (trivalent) Vaccines guidelines for adults 18 to 60 years.</w:t>
      </w:r>
      <w:r w:rsidR="00643F59" w:rsidRPr="00D60F88">
        <w:rPr>
          <w:vertAlign w:val="superscript"/>
        </w:rPr>
        <w:fldChar w:fldCharType="begin"/>
      </w:r>
      <w:r w:rsidR="00643F59" w:rsidRPr="00D60F88">
        <w:rPr>
          <w:vertAlign w:val="superscript"/>
        </w:rPr>
        <w:instrText xml:space="preserve"> NOTEREF _Ref372797230 \h  \* MERGEFORMAT </w:instrText>
      </w:r>
      <w:r w:rsidR="00643F59" w:rsidRPr="00D60F88">
        <w:rPr>
          <w:vertAlign w:val="superscript"/>
        </w:rPr>
      </w:r>
      <w:r w:rsidR="00643F59" w:rsidRPr="00D60F88">
        <w:rPr>
          <w:vertAlign w:val="superscript"/>
        </w:rPr>
        <w:fldChar w:fldCharType="separate"/>
      </w:r>
      <w:r w:rsidR="006421C6" w:rsidRPr="00D60F88">
        <w:rPr>
          <w:vertAlign w:val="superscript"/>
        </w:rPr>
        <w:t>9</w:t>
      </w:r>
      <w:r w:rsidR="00643F59" w:rsidRPr="00D60F88">
        <w:rPr>
          <w:vertAlign w:val="superscript"/>
        </w:rPr>
        <w:fldChar w:fldCharType="end"/>
      </w:r>
    </w:p>
    <w:p w:rsidR="00C252B0" w:rsidRPr="00C252B0" w:rsidRDefault="00C252B0" w:rsidP="00E90709">
      <w:pPr>
        <w:pStyle w:val="Heading5"/>
      </w:pPr>
      <w:bookmarkStart w:id="59" w:name="_Toc342570230"/>
      <w:bookmarkStart w:id="60" w:name="_Toc355350121"/>
      <w:r w:rsidRPr="00C252B0">
        <w:t>Supportive adult study FLU-D-QIV-001</w:t>
      </w:r>
      <w:bookmarkEnd w:id="59"/>
      <w:bookmarkEnd w:id="60"/>
    </w:p>
    <w:p w:rsidR="00C252B0" w:rsidRPr="00C252B0" w:rsidRDefault="00C252B0" w:rsidP="00C252B0">
      <w:r w:rsidRPr="00C252B0">
        <w:t xml:space="preserve">Study FLU-D-QIV-001, (D-QIV-001) was a </w:t>
      </w:r>
      <w:r w:rsidR="00E90709">
        <w:t>P</w:t>
      </w:r>
      <w:r w:rsidRPr="00C252B0">
        <w:t>hase I/II dose finding single blind, controlled study in adults aged 18</w:t>
      </w:r>
      <w:r w:rsidR="00E90709">
        <w:t xml:space="preserve"> to</w:t>
      </w:r>
      <w:r w:rsidRPr="00C252B0">
        <w:t xml:space="preserve"> 60 years to evaluate vaccine immunogenicity, safety and </w:t>
      </w:r>
      <w:proofErr w:type="gramStart"/>
      <w:r w:rsidRPr="00C252B0">
        <w:t>reactogenicity .</w:t>
      </w:r>
      <w:proofErr w:type="gramEnd"/>
      <w:r w:rsidRPr="00C252B0">
        <w:t xml:space="preserve"> The study was conducted in one centre in the Czech Republic between 14</w:t>
      </w:r>
      <w:r w:rsidR="00D60F88">
        <w:t xml:space="preserve"> July 2008 and 28 January 2009.</w:t>
      </w:r>
    </w:p>
    <w:p w:rsidR="00C252B0" w:rsidRPr="00C252B0" w:rsidRDefault="00C252B0" w:rsidP="00E90709">
      <w:pPr>
        <w:pStyle w:val="Heading6"/>
      </w:pPr>
      <w:r w:rsidRPr="00C252B0">
        <w:t>Co-primary objectives</w:t>
      </w:r>
    </w:p>
    <w:p w:rsidR="00C252B0" w:rsidRPr="00D60F88" w:rsidRDefault="00C252B0" w:rsidP="00D60F88">
      <w:pPr>
        <w:pStyle w:val="ListBullet"/>
      </w:pPr>
      <w:r w:rsidRPr="00D60F88">
        <w:t>To assess non-inferiority of HI antibody GMTs of D-QIV v</w:t>
      </w:r>
      <w:r w:rsidR="00E90709" w:rsidRPr="00D60F88">
        <w:t>ersus</w:t>
      </w:r>
      <w:r w:rsidRPr="00D60F88">
        <w:t xml:space="preserve"> TIV for the 3 recommended strains.</w:t>
      </w:r>
    </w:p>
    <w:p w:rsidR="00C252B0" w:rsidRPr="00D60F88" w:rsidRDefault="00C252B0" w:rsidP="00D60F88">
      <w:pPr>
        <w:pStyle w:val="ListBullet"/>
      </w:pPr>
      <w:r w:rsidRPr="00D60F88">
        <w:t xml:space="preserve">To assess non-inferiority of HI GMTs of the </w:t>
      </w:r>
      <w:proofErr w:type="spellStart"/>
      <w:r w:rsidRPr="00D60F88">
        <w:t>adjuvanted</w:t>
      </w:r>
      <w:proofErr w:type="spellEnd"/>
      <w:r w:rsidRPr="00D60F88">
        <w:t xml:space="preserve"> low dose </w:t>
      </w:r>
      <w:proofErr w:type="spellStart"/>
      <w:r w:rsidRPr="00D60F88">
        <w:t>quadrivalent</w:t>
      </w:r>
      <w:proofErr w:type="spellEnd"/>
      <w:r w:rsidRPr="00D60F88">
        <w:t xml:space="preserve"> influenza vaccine (LD-D-</w:t>
      </w:r>
      <w:proofErr w:type="spellStart"/>
      <w:r w:rsidRPr="00D60F88">
        <w:t>QIVa</w:t>
      </w:r>
      <w:proofErr w:type="spellEnd"/>
      <w:r w:rsidRPr="00D60F88">
        <w:t>) v</w:t>
      </w:r>
      <w:r w:rsidR="00E90709" w:rsidRPr="00D60F88">
        <w:t>ersus</w:t>
      </w:r>
      <w:r w:rsidRPr="00D60F88">
        <w:t xml:space="preserve"> the </w:t>
      </w:r>
      <w:proofErr w:type="spellStart"/>
      <w:r w:rsidRPr="00D60F88">
        <w:t>adjuvanted</w:t>
      </w:r>
      <w:proofErr w:type="spellEnd"/>
      <w:r w:rsidRPr="00D60F88">
        <w:t xml:space="preserve"> low dose trivalent influenza vaccine (LD-</w:t>
      </w:r>
      <w:proofErr w:type="spellStart"/>
      <w:r w:rsidRPr="00D60F88">
        <w:t>TIVa</w:t>
      </w:r>
      <w:proofErr w:type="spellEnd"/>
      <w:r w:rsidRPr="00D60F88">
        <w:t>) for the 3 recommended strains.</w:t>
      </w:r>
    </w:p>
    <w:p w:rsidR="00C252B0" w:rsidRPr="00D60F88" w:rsidRDefault="00C252B0" w:rsidP="00D60F88">
      <w:pPr>
        <w:pStyle w:val="ListBullet"/>
      </w:pPr>
      <w:r w:rsidRPr="00D60F88">
        <w:t>To assess superiority of HI GMTs of D-QIV</w:t>
      </w:r>
      <w:r w:rsidR="00C64FF5" w:rsidRPr="00D60F88">
        <w:t xml:space="preserve"> versus </w:t>
      </w:r>
      <w:r w:rsidRPr="00D60F88">
        <w:t>TIV in terms of B/Jiangsu/10/2003 strain not included in the trivalent influenza vaccine.</w:t>
      </w:r>
    </w:p>
    <w:p w:rsidR="00C252B0" w:rsidRPr="00D60F88" w:rsidRDefault="00C252B0" w:rsidP="00D60F88">
      <w:pPr>
        <w:pStyle w:val="ListBullet"/>
      </w:pPr>
      <w:r w:rsidRPr="00D60F88">
        <w:t>To assess superiority of HI GMTs of LD-D-</w:t>
      </w:r>
      <w:proofErr w:type="spellStart"/>
      <w:r w:rsidRPr="00D60F88">
        <w:t>QIVa</w:t>
      </w:r>
      <w:proofErr w:type="spellEnd"/>
      <w:r w:rsidR="00C64FF5" w:rsidRPr="00D60F88">
        <w:t xml:space="preserve"> versus </w:t>
      </w:r>
      <w:r w:rsidRPr="00D60F88">
        <w:t>LD-</w:t>
      </w:r>
      <w:proofErr w:type="spellStart"/>
      <w:r w:rsidRPr="00D60F88">
        <w:t>TIVa</w:t>
      </w:r>
      <w:proofErr w:type="spellEnd"/>
      <w:r w:rsidRPr="00D60F88">
        <w:t xml:space="preserve"> in terms of B/Jiangsu/10/2003 strain not included in the </w:t>
      </w:r>
      <w:proofErr w:type="spellStart"/>
      <w:r w:rsidRPr="00D60F88">
        <w:t>adjuvanted</w:t>
      </w:r>
      <w:proofErr w:type="spellEnd"/>
      <w:r w:rsidRPr="00D60F88">
        <w:t xml:space="preserve"> low dose trivalent influenza vaccine.</w:t>
      </w:r>
    </w:p>
    <w:p w:rsidR="00C252B0" w:rsidRPr="00C252B0" w:rsidRDefault="00C252B0" w:rsidP="00C252B0">
      <w:r w:rsidRPr="00C252B0">
        <w:t>Objectives were met if the lower limit of the 95%CI for GMT ratios were &gt; 0.67 for non-inferiority and &gt; 1 for superiority.</w:t>
      </w:r>
    </w:p>
    <w:p w:rsidR="00C252B0" w:rsidRPr="00C252B0" w:rsidRDefault="00C252B0" w:rsidP="00E90709">
      <w:pPr>
        <w:pStyle w:val="Heading6"/>
      </w:pPr>
      <w:r w:rsidRPr="00C252B0">
        <w:t>Secondary objectives:</w:t>
      </w:r>
    </w:p>
    <w:p w:rsidR="00C252B0" w:rsidRPr="00C252B0" w:rsidRDefault="00C252B0" w:rsidP="00E90709">
      <w:pPr>
        <w:pStyle w:val="ListBullet"/>
      </w:pPr>
      <w:r w:rsidRPr="00C252B0">
        <w:t>To assess the non-inferiority of GMT of LD-D-</w:t>
      </w:r>
      <w:proofErr w:type="spellStart"/>
      <w:r w:rsidRPr="00C252B0">
        <w:t>QIVa</w:t>
      </w:r>
      <w:proofErr w:type="spellEnd"/>
      <w:r w:rsidRPr="00C252B0">
        <w:t xml:space="preserve"> v</w:t>
      </w:r>
      <w:r w:rsidR="00E90709">
        <w:t>ersu</w:t>
      </w:r>
      <w:r w:rsidRPr="00C252B0">
        <w:t xml:space="preserve">s </w:t>
      </w:r>
      <w:r w:rsidR="00E90709">
        <w:t>S</w:t>
      </w:r>
      <w:r w:rsidRPr="00C252B0">
        <w:t>tudy vaccine D-QIV.</w:t>
      </w:r>
    </w:p>
    <w:p w:rsidR="00C252B0" w:rsidRPr="00C252B0" w:rsidRDefault="00C252B0" w:rsidP="00E90709">
      <w:pPr>
        <w:pStyle w:val="ListBullet"/>
      </w:pPr>
      <w:r w:rsidRPr="00C252B0">
        <w:lastRenderedPageBreak/>
        <w:t>To assess HI antibody titres response induced by the study vaccines 21 days after vaccination.</w:t>
      </w:r>
    </w:p>
    <w:p w:rsidR="00C252B0" w:rsidRPr="00C252B0" w:rsidRDefault="00C252B0" w:rsidP="00E90709">
      <w:pPr>
        <w:pStyle w:val="ListBullet"/>
      </w:pPr>
      <w:r w:rsidRPr="00C252B0">
        <w:t>To assess safety and reactogenicity of study vaccines with follow-up of solicited symptoms for seven days, unsolicited adverse events for 21 days, serious adverse events, medically significant conditions [MSCs] and autoimmune diseases [AIDs] throughout the entire study period.</w:t>
      </w:r>
    </w:p>
    <w:p w:rsidR="00C252B0" w:rsidRPr="00C252B0" w:rsidRDefault="00C252B0" w:rsidP="00E90709">
      <w:pPr>
        <w:pStyle w:val="Heading6"/>
      </w:pPr>
      <w:r w:rsidRPr="00C252B0">
        <w:t>Design</w:t>
      </w:r>
    </w:p>
    <w:p w:rsidR="00C252B0" w:rsidRPr="00C252B0" w:rsidRDefault="00C252B0" w:rsidP="00C252B0">
      <w:r w:rsidRPr="00C252B0">
        <w:t>Participants were randomised (1:1:1:1) to four parallel groups of 105 participants aged 18 to 60 years. The randomisation algorithm used a minimisation procedure accounting for centre and age (18-49 years v</w:t>
      </w:r>
      <w:r w:rsidR="00E90709">
        <w:t>ersu</w:t>
      </w:r>
      <w:r w:rsidRPr="00C252B0">
        <w:t>s 50-60 years in a 3:1 ratio).</w:t>
      </w:r>
    </w:p>
    <w:p w:rsidR="00C252B0" w:rsidRPr="00C252B0" w:rsidRDefault="00C252B0" w:rsidP="00E90709">
      <w:pPr>
        <w:pStyle w:val="Heading6"/>
      </w:pPr>
      <w:r w:rsidRPr="00C252B0">
        <w:t>Study and reference vaccines</w:t>
      </w:r>
    </w:p>
    <w:p w:rsidR="00C252B0" w:rsidRPr="00C252B0" w:rsidRDefault="00C252B0" w:rsidP="00C252B0">
      <w:r w:rsidRPr="00C252B0">
        <w:t xml:space="preserve">Study and reference vaccines are summarised in </w:t>
      </w:r>
      <w:r w:rsidR="006819AE">
        <w:t>Table 15</w:t>
      </w:r>
      <w:r w:rsidRPr="00C252B0">
        <w:t>: The 0.5</w:t>
      </w:r>
      <w:r w:rsidR="006819AE">
        <w:t xml:space="preserve"> </w:t>
      </w:r>
      <w:r w:rsidRPr="00C252B0">
        <w:t>mL dose was administered intramuscularly into the deltoid region of the non-domi</w:t>
      </w:r>
      <w:r w:rsidR="00D63D98">
        <w:t>nant arm on Day 0.</w:t>
      </w:r>
    </w:p>
    <w:p w:rsidR="00C252B0" w:rsidRPr="00E44646" w:rsidRDefault="00070410" w:rsidP="00D63D98">
      <w:pPr>
        <w:pStyle w:val="TableTitle"/>
      </w:pPr>
      <w:bookmarkStart w:id="61" w:name="_Ref338653248"/>
      <w:bookmarkStart w:id="62" w:name="_Ref338653251"/>
      <w:r>
        <w:rPr>
          <w:noProof/>
          <w:lang w:val="en-GB" w:eastAsia="en-GB"/>
        </w:rPr>
        <w:pict>
          <v:rect id="Rectangle 2" o:spid="_x0000_s1026" style="position:absolute;margin-left:693.5pt;margin-top:6.9pt;width:54.4pt;height:135.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TxIA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"/>
        </w:pict>
      </w:r>
      <w:proofErr w:type="gramStart"/>
      <w:r w:rsidR="00C252B0" w:rsidRPr="00E44646">
        <w:t xml:space="preserve">Table </w:t>
      </w:r>
      <w:bookmarkEnd w:id="61"/>
      <w:r w:rsidR="006819AE" w:rsidRPr="00E44646">
        <w:t>15.</w:t>
      </w:r>
      <w:proofErr w:type="gramEnd"/>
      <w:r w:rsidR="006819AE" w:rsidRPr="00E44646">
        <w:t xml:space="preserve"> </w:t>
      </w:r>
      <w:r w:rsidR="00C252B0" w:rsidRPr="00E44646">
        <w:t xml:space="preserve">D-QIV-001 </w:t>
      </w:r>
      <w:r w:rsidR="00C252B0" w:rsidRPr="00D63D98">
        <w:t>Formulation</w:t>
      </w:r>
      <w:r w:rsidR="00C252B0" w:rsidRPr="00E44646">
        <w:t xml:space="preserve"> of study and reference vaccines</w:t>
      </w:r>
      <w:bookmarkEnd w:id="62"/>
      <w:r w:rsidR="00E44646">
        <w:t>.</w:t>
      </w:r>
    </w:p>
    <w:tbl>
      <w:tblPr>
        <w:tblStyle w:val="TableTGAblue"/>
        <w:tblW w:w="0" w:type="auto"/>
        <w:tblInd w:w="108" w:type="dxa"/>
        <w:tblLayout w:type="fixed"/>
        <w:tblLook w:val="04A0" w:firstRow="1" w:lastRow="0" w:firstColumn="1" w:lastColumn="0" w:noHBand="0" w:noVBand="1"/>
      </w:tblPr>
      <w:tblGrid>
        <w:gridCol w:w="2958"/>
        <w:gridCol w:w="1295"/>
        <w:gridCol w:w="1559"/>
        <w:gridCol w:w="1418"/>
        <w:gridCol w:w="1701"/>
      </w:tblGrid>
      <w:tr w:rsidR="00020842" w:rsidTr="008A5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tcPr>
          <w:p w:rsidR="00020842" w:rsidRDefault="00020842" w:rsidP="00D63D98">
            <w:r>
              <w:t>Strains/Vaccines</w:t>
            </w:r>
          </w:p>
        </w:tc>
        <w:tc>
          <w:tcPr>
            <w:tcW w:w="1295" w:type="dxa"/>
          </w:tcPr>
          <w:p w:rsidR="00020842" w:rsidRDefault="00020842" w:rsidP="00D63D98">
            <w:pPr>
              <w:cnfStyle w:val="100000000000" w:firstRow="1" w:lastRow="0" w:firstColumn="0" w:lastColumn="0" w:oddVBand="0" w:evenVBand="0" w:oddHBand="0" w:evenHBand="0" w:firstRowFirstColumn="0" w:firstRowLastColumn="0" w:lastRowFirstColumn="0" w:lastRowLastColumn="0"/>
            </w:pPr>
            <w:r>
              <w:t>QIV</w:t>
            </w:r>
          </w:p>
        </w:tc>
        <w:tc>
          <w:tcPr>
            <w:tcW w:w="1559" w:type="dxa"/>
          </w:tcPr>
          <w:p w:rsidR="00020842" w:rsidRDefault="00020842" w:rsidP="00D63D98">
            <w:pPr>
              <w:cnfStyle w:val="100000000000" w:firstRow="1" w:lastRow="0" w:firstColumn="0" w:lastColumn="0" w:oddVBand="0" w:evenVBand="0" w:oddHBand="0" w:evenHBand="0" w:firstRowFirstColumn="0" w:firstRowLastColumn="0" w:lastRowFirstColumn="0" w:lastRowLastColumn="0"/>
            </w:pPr>
            <w:r>
              <w:t>A*</w:t>
            </w:r>
          </w:p>
        </w:tc>
        <w:tc>
          <w:tcPr>
            <w:tcW w:w="1418" w:type="dxa"/>
          </w:tcPr>
          <w:p w:rsidR="00020842" w:rsidRDefault="00020842" w:rsidP="00D63D98">
            <w:pPr>
              <w:cnfStyle w:val="100000000000" w:firstRow="1" w:lastRow="0" w:firstColumn="0" w:lastColumn="0" w:oddVBand="0" w:evenVBand="0" w:oddHBand="0" w:evenHBand="0" w:firstRowFirstColumn="0" w:firstRowLastColumn="0" w:lastRowFirstColumn="0" w:lastRowLastColumn="0"/>
            </w:pPr>
            <w:r>
              <w:t>B*</w:t>
            </w:r>
          </w:p>
        </w:tc>
        <w:tc>
          <w:tcPr>
            <w:tcW w:w="1701" w:type="dxa"/>
          </w:tcPr>
          <w:p w:rsidR="00020842" w:rsidRDefault="00020842" w:rsidP="00D63D98">
            <w:pPr>
              <w:cnfStyle w:val="100000000000" w:firstRow="1" w:lastRow="0" w:firstColumn="0" w:lastColumn="0" w:oddVBand="0" w:evenVBand="0" w:oddHBand="0" w:evenHBand="0" w:firstRowFirstColumn="0" w:firstRowLastColumn="0" w:lastRowFirstColumn="0" w:lastRowLastColumn="0"/>
            </w:pPr>
            <w:r>
              <w:t>TIV (reference vaccine)</w:t>
            </w:r>
          </w:p>
        </w:tc>
      </w:tr>
      <w:tr w:rsidR="00020842" w:rsidTr="008A53DC">
        <w:tc>
          <w:tcPr>
            <w:cnfStyle w:val="001000000000" w:firstRow="0" w:lastRow="0" w:firstColumn="1" w:lastColumn="0" w:oddVBand="0" w:evenVBand="0" w:oddHBand="0" w:evenHBand="0" w:firstRowFirstColumn="0" w:firstRowLastColumn="0" w:lastRowFirstColumn="0" w:lastRowLastColumn="0"/>
            <w:tcW w:w="2958" w:type="dxa"/>
          </w:tcPr>
          <w:p w:rsidR="00020842" w:rsidRDefault="00020842" w:rsidP="000C71CB">
            <w:pPr>
              <w:keepNext/>
            </w:pPr>
            <w:r>
              <w:t>A/Solomon Islands/3/2006 (H1N1)</w:t>
            </w:r>
          </w:p>
        </w:tc>
        <w:tc>
          <w:tcPr>
            <w:tcW w:w="1295"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15 µg</w:t>
            </w:r>
          </w:p>
        </w:tc>
        <w:tc>
          <w:tcPr>
            <w:tcW w:w="1559"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5 µg</w:t>
            </w:r>
          </w:p>
        </w:tc>
        <w:tc>
          <w:tcPr>
            <w:tcW w:w="1418"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5 µg</w:t>
            </w:r>
          </w:p>
        </w:tc>
        <w:tc>
          <w:tcPr>
            <w:tcW w:w="1701"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15 µg</w:t>
            </w:r>
          </w:p>
        </w:tc>
      </w:tr>
      <w:tr w:rsidR="00020842" w:rsidTr="008A53DC">
        <w:tc>
          <w:tcPr>
            <w:cnfStyle w:val="001000000000" w:firstRow="0" w:lastRow="0" w:firstColumn="1" w:lastColumn="0" w:oddVBand="0" w:evenVBand="0" w:oddHBand="0" w:evenHBand="0" w:firstRowFirstColumn="0" w:firstRowLastColumn="0" w:lastRowFirstColumn="0" w:lastRowLastColumn="0"/>
            <w:tcW w:w="2958" w:type="dxa"/>
          </w:tcPr>
          <w:p w:rsidR="00020842" w:rsidRDefault="00020842" w:rsidP="000C71CB">
            <w:pPr>
              <w:keepNext/>
            </w:pPr>
            <w:r>
              <w:t>A/Wisconsin/67/2005(H3N2)</w:t>
            </w:r>
          </w:p>
        </w:tc>
        <w:tc>
          <w:tcPr>
            <w:tcW w:w="1295"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15 µg</w:t>
            </w:r>
          </w:p>
        </w:tc>
        <w:tc>
          <w:tcPr>
            <w:tcW w:w="1559"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5 µg</w:t>
            </w:r>
          </w:p>
        </w:tc>
        <w:tc>
          <w:tcPr>
            <w:tcW w:w="1418"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5 µg</w:t>
            </w:r>
          </w:p>
        </w:tc>
        <w:tc>
          <w:tcPr>
            <w:tcW w:w="1701"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15 µg</w:t>
            </w:r>
          </w:p>
        </w:tc>
      </w:tr>
      <w:tr w:rsidR="00020842" w:rsidTr="008A53DC">
        <w:tc>
          <w:tcPr>
            <w:cnfStyle w:val="001000000000" w:firstRow="0" w:lastRow="0" w:firstColumn="1" w:lastColumn="0" w:oddVBand="0" w:evenVBand="0" w:oddHBand="0" w:evenHBand="0" w:firstRowFirstColumn="0" w:firstRowLastColumn="0" w:lastRowFirstColumn="0" w:lastRowLastColumn="0"/>
            <w:tcW w:w="2958" w:type="dxa"/>
          </w:tcPr>
          <w:p w:rsidR="00020842" w:rsidRDefault="00020842" w:rsidP="000C71CB">
            <w:pPr>
              <w:keepNext/>
            </w:pPr>
            <w:r>
              <w:t>B/Malaysia/2506/2004</w:t>
            </w:r>
          </w:p>
        </w:tc>
        <w:tc>
          <w:tcPr>
            <w:tcW w:w="1295"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15 µg</w:t>
            </w:r>
          </w:p>
        </w:tc>
        <w:tc>
          <w:tcPr>
            <w:tcW w:w="1559"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5 µg</w:t>
            </w:r>
          </w:p>
        </w:tc>
        <w:tc>
          <w:tcPr>
            <w:tcW w:w="1418"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5 µg</w:t>
            </w:r>
          </w:p>
        </w:tc>
        <w:tc>
          <w:tcPr>
            <w:tcW w:w="1701"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15 µg</w:t>
            </w:r>
          </w:p>
        </w:tc>
      </w:tr>
      <w:tr w:rsidR="00020842" w:rsidTr="008A53DC">
        <w:tc>
          <w:tcPr>
            <w:cnfStyle w:val="001000000000" w:firstRow="0" w:lastRow="0" w:firstColumn="1" w:lastColumn="0" w:oddVBand="0" w:evenVBand="0" w:oddHBand="0" w:evenHBand="0" w:firstRowFirstColumn="0" w:firstRowLastColumn="0" w:lastRowFirstColumn="0" w:lastRowLastColumn="0"/>
            <w:tcW w:w="2958" w:type="dxa"/>
          </w:tcPr>
          <w:p w:rsidR="00020842" w:rsidRDefault="00020842" w:rsidP="000C71CB">
            <w:pPr>
              <w:keepNext/>
            </w:pPr>
            <w:r>
              <w:t>B/Jiangsu/10/2003</w:t>
            </w:r>
          </w:p>
        </w:tc>
        <w:tc>
          <w:tcPr>
            <w:tcW w:w="1295"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15 µg</w:t>
            </w:r>
          </w:p>
        </w:tc>
        <w:tc>
          <w:tcPr>
            <w:tcW w:w="1559"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5 µg</w:t>
            </w:r>
          </w:p>
        </w:tc>
        <w:tc>
          <w:tcPr>
            <w:tcW w:w="1418"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w:t>
            </w:r>
          </w:p>
        </w:tc>
        <w:tc>
          <w:tcPr>
            <w:tcW w:w="1701"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w:t>
            </w:r>
          </w:p>
        </w:tc>
      </w:tr>
      <w:tr w:rsidR="00020842" w:rsidTr="008A53DC">
        <w:tc>
          <w:tcPr>
            <w:cnfStyle w:val="001000000000" w:firstRow="0" w:lastRow="0" w:firstColumn="1" w:lastColumn="0" w:oddVBand="0" w:evenVBand="0" w:oddHBand="0" w:evenHBand="0" w:firstRowFirstColumn="0" w:firstRowLastColumn="0" w:lastRowFirstColumn="0" w:lastRowLastColumn="0"/>
            <w:tcW w:w="2958" w:type="dxa"/>
          </w:tcPr>
          <w:p w:rsidR="00020842" w:rsidRDefault="00020842" w:rsidP="000C71CB">
            <w:pPr>
              <w:keepNext/>
            </w:pPr>
            <w:r>
              <w:t>Adjuvant system (AS03)</w:t>
            </w:r>
          </w:p>
        </w:tc>
        <w:tc>
          <w:tcPr>
            <w:tcW w:w="1295"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w:t>
            </w:r>
          </w:p>
        </w:tc>
        <w:tc>
          <w:tcPr>
            <w:tcW w:w="1559"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62.5 µL</w:t>
            </w:r>
          </w:p>
        </w:tc>
        <w:tc>
          <w:tcPr>
            <w:tcW w:w="1418"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62.5 µL</w:t>
            </w:r>
          </w:p>
        </w:tc>
        <w:tc>
          <w:tcPr>
            <w:tcW w:w="1701"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w:t>
            </w:r>
          </w:p>
        </w:tc>
      </w:tr>
      <w:tr w:rsidR="00020842" w:rsidTr="008A53DC">
        <w:tc>
          <w:tcPr>
            <w:cnfStyle w:val="001000000000" w:firstRow="0" w:lastRow="0" w:firstColumn="1" w:lastColumn="0" w:oddVBand="0" w:evenVBand="0" w:oddHBand="0" w:evenHBand="0" w:firstRowFirstColumn="0" w:firstRowLastColumn="0" w:lastRowFirstColumn="0" w:lastRowLastColumn="0"/>
            <w:tcW w:w="2958" w:type="dxa"/>
          </w:tcPr>
          <w:p w:rsidR="00020842" w:rsidRDefault="00020842" w:rsidP="000C71CB">
            <w:pPr>
              <w:keepNext/>
            </w:pPr>
            <w:r>
              <w:t>Lot number</w:t>
            </w:r>
          </w:p>
        </w:tc>
        <w:tc>
          <w:tcPr>
            <w:tcW w:w="1295"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DFLAA007A</w:t>
            </w:r>
          </w:p>
        </w:tc>
        <w:tc>
          <w:tcPr>
            <w:tcW w:w="1559"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DFLAA008A</w:t>
            </w:r>
          </w:p>
        </w:tc>
        <w:tc>
          <w:tcPr>
            <w:tcW w:w="1418"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DFLAA006A</w:t>
            </w:r>
          </w:p>
        </w:tc>
        <w:tc>
          <w:tcPr>
            <w:tcW w:w="1701"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DFLAA005A</w:t>
            </w:r>
          </w:p>
        </w:tc>
      </w:tr>
      <w:tr w:rsidR="00020842" w:rsidTr="008A53DC">
        <w:tc>
          <w:tcPr>
            <w:cnfStyle w:val="001000000000" w:firstRow="0" w:lastRow="0" w:firstColumn="1" w:lastColumn="0" w:oddVBand="0" w:evenVBand="0" w:oddHBand="0" w:evenHBand="0" w:firstRowFirstColumn="0" w:firstRowLastColumn="0" w:lastRowFirstColumn="0" w:lastRowLastColumn="0"/>
            <w:tcW w:w="2958" w:type="dxa"/>
          </w:tcPr>
          <w:p w:rsidR="00020842" w:rsidRDefault="00020842" w:rsidP="000C71CB">
            <w:pPr>
              <w:keepNext/>
            </w:pPr>
            <w:r>
              <w:t>Expiry date</w:t>
            </w:r>
          </w:p>
        </w:tc>
        <w:tc>
          <w:tcPr>
            <w:tcW w:w="1295"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26-08-2008</w:t>
            </w:r>
          </w:p>
        </w:tc>
        <w:tc>
          <w:tcPr>
            <w:tcW w:w="1559"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28-08-2008</w:t>
            </w:r>
          </w:p>
        </w:tc>
        <w:tc>
          <w:tcPr>
            <w:tcW w:w="1418"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27-08-2008</w:t>
            </w:r>
          </w:p>
        </w:tc>
        <w:tc>
          <w:tcPr>
            <w:tcW w:w="1701" w:type="dxa"/>
          </w:tcPr>
          <w:p w:rsidR="00020842" w:rsidRDefault="00020842" w:rsidP="000C71CB">
            <w:pPr>
              <w:keepNext/>
              <w:cnfStyle w:val="000000000000" w:firstRow="0" w:lastRow="0" w:firstColumn="0" w:lastColumn="0" w:oddVBand="0" w:evenVBand="0" w:oddHBand="0" w:evenHBand="0" w:firstRowFirstColumn="0" w:firstRowLastColumn="0" w:lastRowFirstColumn="0" w:lastRowLastColumn="0"/>
            </w:pPr>
            <w:r>
              <w:t>31-01-2009</w:t>
            </w:r>
          </w:p>
        </w:tc>
      </w:tr>
    </w:tbl>
    <w:p w:rsidR="00020842" w:rsidRPr="00D63D98" w:rsidRDefault="00020842" w:rsidP="00D63D98">
      <w:pPr>
        <w:pStyle w:val="TableDescription"/>
      </w:pPr>
      <w:r w:rsidRPr="00D63D98">
        <w:t>*A and B=exploratory alternative formulations</w:t>
      </w:r>
    </w:p>
    <w:p w:rsidR="00C252B0" w:rsidRPr="00C252B0" w:rsidRDefault="00C252B0" w:rsidP="005B66F5">
      <w:pPr>
        <w:spacing w:before="240"/>
      </w:pPr>
      <w:r w:rsidRPr="00C252B0">
        <w:t xml:space="preserve">Vaccine groups were as follows. This evaluation focuses on results for the full strength, </w:t>
      </w:r>
      <w:proofErr w:type="spellStart"/>
      <w:r w:rsidRPr="00C252B0">
        <w:t>unadjuvanted</w:t>
      </w:r>
      <w:proofErr w:type="spellEnd"/>
      <w:r w:rsidRPr="00C252B0">
        <w:t xml:space="preserve"> vaccines</w:t>
      </w:r>
      <w:r w:rsidR="00D63D98">
        <w:t>.</w:t>
      </w:r>
    </w:p>
    <w:p w:rsidR="00C252B0" w:rsidRPr="00C252B0" w:rsidRDefault="00C252B0" w:rsidP="006819AE">
      <w:pPr>
        <w:pStyle w:val="ListBullet"/>
      </w:pPr>
      <w:r w:rsidRPr="00C252B0">
        <w:t xml:space="preserve">QIV Group received </w:t>
      </w:r>
      <w:proofErr w:type="spellStart"/>
      <w:r w:rsidRPr="00C252B0">
        <w:t>quadrivalent</w:t>
      </w:r>
      <w:proofErr w:type="spellEnd"/>
      <w:r w:rsidRPr="00C252B0">
        <w:t xml:space="preserve"> vaccine</w:t>
      </w:r>
    </w:p>
    <w:p w:rsidR="00C252B0" w:rsidRPr="00C252B0" w:rsidRDefault="00C252B0" w:rsidP="006819AE">
      <w:pPr>
        <w:pStyle w:val="ListBullet"/>
      </w:pPr>
      <w:r w:rsidRPr="00C252B0">
        <w:t>LD-</w:t>
      </w:r>
      <w:proofErr w:type="spellStart"/>
      <w:r w:rsidRPr="00C252B0">
        <w:t>QIVa</w:t>
      </w:r>
      <w:proofErr w:type="spellEnd"/>
      <w:r w:rsidRPr="00C252B0">
        <w:t xml:space="preserve"> Group received</w:t>
      </w:r>
      <w:r w:rsidR="008C6D5A">
        <w:t xml:space="preserve"> </w:t>
      </w:r>
      <w:r w:rsidR="00E762C0">
        <w:t>[information redacted]</w:t>
      </w:r>
      <w:bookmarkStart w:id="63" w:name="_Ref378166161"/>
      <w:r w:rsidR="00E762C0">
        <w:rPr>
          <w:rStyle w:val="FootnoteReference"/>
        </w:rPr>
        <w:footnoteReference w:id="14"/>
      </w:r>
      <w:bookmarkEnd w:id="63"/>
    </w:p>
    <w:p w:rsidR="00C252B0" w:rsidRPr="00C252B0" w:rsidRDefault="00C252B0" w:rsidP="006819AE">
      <w:pPr>
        <w:pStyle w:val="ListBullet"/>
      </w:pPr>
      <w:r w:rsidRPr="00C252B0">
        <w:t>LD-</w:t>
      </w:r>
      <w:proofErr w:type="spellStart"/>
      <w:r w:rsidRPr="00C252B0">
        <w:t>TIVa</w:t>
      </w:r>
      <w:proofErr w:type="spellEnd"/>
      <w:r w:rsidRPr="00C252B0">
        <w:t xml:space="preserve"> Group: received</w:t>
      </w:r>
      <w:r w:rsidR="008C6D5A">
        <w:t xml:space="preserve"> </w:t>
      </w:r>
      <w:r w:rsidR="00E762C0">
        <w:t>[information redacted]</w:t>
      </w:r>
      <w:r w:rsidR="00643F59">
        <w:fldChar w:fldCharType="begin"/>
      </w:r>
      <w:r w:rsidR="00643F59">
        <w:instrText xml:space="preserve"> NOTEREF _Ref378166161 \h  \* MERGEFORMAT </w:instrText>
      </w:r>
      <w:r w:rsidR="00643F59">
        <w:fldChar w:fldCharType="separate"/>
      </w:r>
      <w:r w:rsidR="006421C6" w:rsidRPr="006421C6">
        <w:rPr>
          <w:vertAlign w:val="superscript"/>
        </w:rPr>
        <w:t>14</w:t>
      </w:r>
      <w:r w:rsidR="00643F59">
        <w:fldChar w:fldCharType="end"/>
      </w:r>
    </w:p>
    <w:p w:rsidR="00C252B0" w:rsidRPr="00C252B0" w:rsidRDefault="00C252B0" w:rsidP="006819AE">
      <w:pPr>
        <w:pStyle w:val="ListBullet"/>
      </w:pPr>
      <w:r w:rsidRPr="00C252B0">
        <w:t xml:space="preserve">TIV Group: received the seasonal trivalent influenza vaccine </w:t>
      </w:r>
    </w:p>
    <w:p w:rsidR="00C252B0" w:rsidRPr="00C252B0" w:rsidRDefault="00C252B0" w:rsidP="00C252B0">
      <w:r w:rsidRPr="00C252B0">
        <w:lastRenderedPageBreak/>
        <w:t>Three visits were planned. Vaccination was undertaken at Visit 1 Day 0. Blood was sampled on Days 0 and 21. Safety follow-up was at Day 180.</w:t>
      </w:r>
    </w:p>
    <w:p w:rsidR="00C252B0" w:rsidRPr="00C252B0" w:rsidRDefault="00C252B0" w:rsidP="006819AE">
      <w:pPr>
        <w:pStyle w:val="Heading6"/>
      </w:pPr>
      <w:r w:rsidRPr="00C252B0">
        <w:t>Statistical methods</w:t>
      </w:r>
    </w:p>
    <w:p w:rsidR="00C252B0" w:rsidRPr="00C252B0" w:rsidRDefault="00C252B0" w:rsidP="00C252B0">
      <w:r w:rsidRPr="00C252B0">
        <w:t xml:space="preserve">Analysis of safety and of demographic characteristics was descriptive. </w:t>
      </w:r>
      <w:proofErr w:type="spellStart"/>
      <w:r w:rsidRPr="00C252B0">
        <w:t>Frequentist</w:t>
      </w:r>
      <w:proofErr w:type="spellEnd"/>
      <w:r w:rsidRPr="00C252B0">
        <w:t xml:space="preserve"> and </w:t>
      </w:r>
      <w:proofErr w:type="spellStart"/>
      <w:r w:rsidRPr="00C252B0">
        <w:t>Baysian</w:t>
      </w:r>
      <w:proofErr w:type="spellEnd"/>
      <w:r w:rsidRPr="00C252B0">
        <w:t xml:space="preserve"> methodologies were applied.</w:t>
      </w:r>
    </w:p>
    <w:p w:rsidR="00C252B0" w:rsidRPr="00C252B0" w:rsidRDefault="00C252B0" w:rsidP="006819AE">
      <w:pPr>
        <w:pStyle w:val="Heading6"/>
      </w:pPr>
      <w:r w:rsidRPr="00C252B0">
        <w:t>Protocol amendment</w:t>
      </w:r>
    </w:p>
    <w:p w:rsidR="00C252B0" w:rsidRPr="00C252B0" w:rsidRDefault="00C252B0" w:rsidP="00C252B0">
      <w:r w:rsidRPr="00C252B0">
        <w:t>One protocol amendment dated 16 June 2008 extended the observation a</w:t>
      </w:r>
      <w:r w:rsidR="00D63D98">
        <w:t>fter vaccination to 60 minutes.</w:t>
      </w:r>
    </w:p>
    <w:p w:rsidR="00C252B0" w:rsidRPr="00C252B0" w:rsidRDefault="00C252B0" w:rsidP="006819AE">
      <w:pPr>
        <w:pStyle w:val="Heading6"/>
      </w:pPr>
      <w:r w:rsidRPr="00C252B0">
        <w:t>O</w:t>
      </w:r>
      <w:r w:rsidR="00D63D98">
        <w:t>ther changes</w:t>
      </w:r>
    </w:p>
    <w:p w:rsidR="00C252B0" w:rsidRPr="00C252B0" w:rsidRDefault="00C252B0" w:rsidP="00C252B0">
      <w:r w:rsidRPr="00C252B0">
        <w:t>Initially, GMT ratios were to be computed with 90% CI but by a default value in the statistical program, 95% CI were computed.</w:t>
      </w:r>
    </w:p>
    <w:p w:rsidR="00C252B0" w:rsidRPr="00C252B0" w:rsidRDefault="00C252B0" w:rsidP="00C252B0">
      <w:r w:rsidRPr="006819AE">
        <w:rPr>
          <w:rStyle w:val="Heading6Char"/>
          <w:rFonts w:eastAsia="Cambria"/>
        </w:rPr>
        <w:t>Evaluator comment:</w:t>
      </w:r>
      <w:r w:rsidRPr="00C252B0">
        <w:t xml:space="preserve"> the protocol amendment and other change would not have compromised the results.</w:t>
      </w:r>
    </w:p>
    <w:p w:rsidR="00C252B0" w:rsidRDefault="00C252B0" w:rsidP="00C252B0">
      <w:r w:rsidRPr="00C252B0">
        <w:t xml:space="preserve">Additional reactogenicity analyses were performed applying the rules of grading previously used at GSK Biologicals with maximum intensity of local injection site symptoms of redness and swelling and maximum intensity of fever respectively scored as </w:t>
      </w:r>
      <w:r w:rsidR="006819AE">
        <w:t>shown in Table 16.</w:t>
      </w:r>
    </w:p>
    <w:p w:rsidR="006819AE" w:rsidRPr="00C252B0" w:rsidRDefault="006819AE" w:rsidP="00D63D98">
      <w:pPr>
        <w:pStyle w:val="TableTitle"/>
      </w:pPr>
      <w:proofErr w:type="gramStart"/>
      <w:r>
        <w:t>Table 16.</w:t>
      </w:r>
      <w:proofErr w:type="gramEnd"/>
      <w:r>
        <w:t xml:space="preserve"> Grading used for </w:t>
      </w:r>
      <w:proofErr w:type="spellStart"/>
      <w:r>
        <w:t>r</w:t>
      </w:r>
      <w:r w:rsidRPr="00C252B0">
        <w:t>eactogenicity</w:t>
      </w:r>
      <w:proofErr w:type="spellEnd"/>
      <w:r w:rsidRPr="00C252B0">
        <w:t xml:space="preserve"> analyses</w:t>
      </w:r>
    </w:p>
    <w:p w:rsidR="00C252B0" w:rsidRPr="00C252B0" w:rsidRDefault="00C252B0" w:rsidP="008E314A">
      <w:pPr>
        <w:spacing w:after="0"/>
      </w:pPr>
      <w:r w:rsidRPr="00C252B0">
        <w:rPr>
          <w:noProof/>
          <w:lang w:eastAsia="en-AU"/>
        </w:rPr>
        <w:drawing>
          <wp:inline distT="0" distB="0" distL="0" distR="0">
            <wp:extent cx="1762125" cy="581025"/>
            <wp:effectExtent l="19050" t="0" r="9525" b="0"/>
            <wp:docPr id="58" name="Picture 21" descr="Table 16. Grading used for reactogenicity analy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l="3992" b="10294"/>
                    <a:stretch>
                      <a:fillRect/>
                    </a:stretch>
                  </pic:blipFill>
                  <pic:spPr bwMode="auto">
                    <a:xfrm>
                      <a:off x="0" y="0"/>
                      <a:ext cx="1762125" cy="581025"/>
                    </a:xfrm>
                    <a:prstGeom prst="rect">
                      <a:avLst/>
                    </a:prstGeom>
                    <a:noFill/>
                    <a:ln w="9525">
                      <a:noFill/>
                      <a:miter lim="800000"/>
                      <a:headEnd/>
                      <a:tailEnd/>
                    </a:ln>
                  </pic:spPr>
                </pic:pic>
              </a:graphicData>
            </a:graphic>
          </wp:inline>
        </w:drawing>
      </w:r>
    </w:p>
    <w:p w:rsidR="00C252B0" w:rsidRPr="00C252B0" w:rsidRDefault="00C252B0" w:rsidP="008E314A">
      <w:pPr>
        <w:spacing w:before="0"/>
      </w:pPr>
      <w:r w:rsidRPr="00C252B0">
        <w:rPr>
          <w:noProof/>
          <w:lang w:eastAsia="en-AU"/>
        </w:rPr>
        <w:drawing>
          <wp:inline distT="0" distB="0" distL="0" distR="0">
            <wp:extent cx="1838325" cy="485775"/>
            <wp:effectExtent l="19050" t="0" r="9525" b="0"/>
            <wp:docPr id="59" name="Picture 22" descr="Table 16. Grading used for reactogenicity analy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l="1308"/>
                    <a:stretch>
                      <a:fillRect/>
                    </a:stretch>
                  </pic:blipFill>
                  <pic:spPr bwMode="auto">
                    <a:xfrm>
                      <a:off x="0" y="0"/>
                      <a:ext cx="1838325" cy="485775"/>
                    </a:xfrm>
                    <a:prstGeom prst="rect">
                      <a:avLst/>
                    </a:prstGeom>
                    <a:noFill/>
                    <a:ln w="9525">
                      <a:noFill/>
                      <a:miter lim="800000"/>
                      <a:headEnd/>
                      <a:tailEnd/>
                    </a:ln>
                  </pic:spPr>
                </pic:pic>
              </a:graphicData>
            </a:graphic>
          </wp:inline>
        </w:drawing>
      </w:r>
    </w:p>
    <w:p w:rsidR="00C252B0" w:rsidRPr="00C252B0" w:rsidRDefault="00C252B0" w:rsidP="00DC0E48">
      <w:pPr>
        <w:pStyle w:val="Heading6"/>
      </w:pPr>
      <w:r w:rsidRPr="00C252B0">
        <w:t>Results</w:t>
      </w:r>
    </w:p>
    <w:p w:rsidR="00C252B0" w:rsidRPr="00C252B0" w:rsidRDefault="00C252B0" w:rsidP="00D63D98">
      <w:pPr>
        <w:pStyle w:val="Heading7"/>
      </w:pPr>
      <w:r w:rsidRPr="00C252B0">
        <w:t>Participant flow</w:t>
      </w:r>
    </w:p>
    <w:p w:rsidR="00C252B0" w:rsidRPr="00C252B0" w:rsidRDefault="00C252B0" w:rsidP="00392729">
      <w:pPr>
        <w:pStyle w:val="ListBullet"/>
      </w:pPr>
      <w:r w:rsidRPr="00C252B0">
        <w:t>Planned and enrolled: 420 participants (105 per group)</w:t>
      </w:r>
    </w:p>
    <w:p w:rsidR="00C252B0" w:rsidRPr="00C252B0" w:rsidRDefault="00C252B0" w:rsidP="00392729">
      <w:pPr>
        <w:pStyle w:val="ListBullet"/>
      </w:pPr>
      <w:r w:rsidRPr="00C252B0">
        <w:t>Completed Day 21: 419 participants (105 in D-QIV, LD-</w:t>
      </w:r>
      <w:proofErr w:type="spellStart"/>
      <w:r w:rsidRPr="00C252B0">
        <w:t>TIVa</w:t>
      </w:r>
      <w:proofErr w:type="spellEnd"/>
      <w:r w:rsidRPr="00C252B0">
        <w:t xml:space="preserve"> and TIV Groups, 104 in the LD-D-</w:t>
      </w:r>
      <w:proofErr w:type="spellStart"/>
      <w:r w:rsidRPr="00C252B0">
        <w:t>QIVa</w:t>
      </w:r>
      <w:proofErr w:type="spellEnd"/>
      <w:r w:rsidRPr="00C252B0">
        <w:t xml:space="preserve"> Group)</w:t>
      </w:r>
    </w:p>
    <w:p w:rsidR="00C252B0" w:rsidRPr="00C252B0" w:rsidRDefault="00C252B0" w:rsidP="00392729">
      <w:pPr>
        <w:pStyle w:val="ListBullet"/>
      </w:pPr>
      <w:r w:rsidRPr="00C252B0">
        <w:t>Safety: Total vaccinated cohort 420 participants (105 per group)</w:t>
      </w:r>
    </w:p>
    <w:p w:rsidR="00C252B0" w:rsidRPr="00C252B0" w:rsidRDefault="00C252B0" w:rsidP="00392729">
      <w:pPr>
        <w:pStyle w:val="ListBullet"/>
      </w:pPr>
      <w:r w:rsidRPr="00C252B0">
        <w:t>Immunogenicity: ATP cohort for immunogenicity on Day 21: 417 individuals (104 in the D-QIV,</w:t>
      </w:r>
    </w:p>
    <w:p w:rsidR="00392729" w:rsidRDefault="00020842" w:rsidP="00392729">
      <w:pPr>
        <w:pStyle w:val="ListBullet"/>
      </w:pPr>
      <w:r>
        <w:t>[information redacted]</w:t>
      </w:r>
      <w:r>
        <w:rPr>
          <w:rStyle w:val="FootnoteReference"/>
        </w:rPr>
        <w:footnoteReference w:id="15"/>
      </w:r>
      <w:r w:rsidR="00C252B0" w:rsidRPr="00C252B0">
        <w:t xml:space="preserve"> 105 in the TIV Group) </w:t>
      </w:r>
    </w:p>
    <w:p w:rsidR="00C252B0" w:rsidRPr="00C252B0" w:rsidRDefault="00C252B0" w:rsidP="00392729">
      <w:pPr>
        <w:pStyle w:val="ListBullet"/>
      </w:pPr>
      <w:r w:rsidRPr="00C252B0">
        <w:t>Two participants who were non-compliant with the blood sampling schedule and one with essential serological data missing were excluded from the ATP cohort for immunogenicity.</w:t>
      </w:r>
    </w:p>
    <w:p w:rsidR="00C252B0" w:rsidRPr="00C252B0" w:rsidRDefault="00C252B0" w:rsidP="00052B3A">
      <w:pPr>
        <w:pStyle w:val="Heading6"/>
      </w:pPr>
      <w:r w:rsidRPr="00052B3A">
        <w:t>Demographic</w:t>
      </w:r>
      <w:r w:rsidRPr="00C252B0">
        <w:t xml:space="preserve"> characteristics</w:t>
      </w:r>
    </w:p>
    <w:p w:rsidR="00C252B0" w:rsidRPr="00C252B0" w:rsidRDefault="00C252B0" w:rsidP="00C252B0">
      <w:r w:rsidRPr="00C252B0">
        <w:t>The groups’ demographics were comparable with respect to age and racial distribution. Participants aged 18 to 59 years were enrolled; the mean age was 37.6 years. The overall male-female distribution was 40.0% v</w:t>
      </w:r>
      <w:r w:rsidR="00392729">
        <w:t>ersu</w:t>
      </w:r>
      <w:r w:rsidRPr="00C252B0">
        <w:t>s 60.0%. The study population was almost exclusively of White-Caucasian/European heritage. There were slightly more females in the LD-D-</w:t>
      </w:r>
      <w:proofErr w:type="spellStart"/>
      <w:r w:rsidRPr="00C252B0">
        <w:t>QIVa</w:t>
      </w:r>
      <w:proofErr w:type="spellEnd"/>
      <w:r w:rsidRPr="00C252B0">
        <w:t xml:space="preserve"> and LD-</w:t>
      </w:r>
      <w:proofErr w:type="spellStart"/>
      <w:r w:rsidRPr="00C252B0">
        <w:t>TIVa</w:t>
      </w:r>
      <w:proofErr w:type="spellEnd"/>
      <w:r w:rsidRPr="00C252B0">
        <w:t xml:space="preserve"> Groups (both 63.5%) compared to the D-QIV and TIV Groups (</w:t>
      </w:r>
      <w:r w:rsidR="00052B3A">
        <w:t>57.7% and 55.2%, respectively).</w:t>
      </w:r>
    </w:p>
    <w:p w:rsidR="00C252B0" w:rsidRPr="00C252B0" w:rsidRDefault="00C252B0" w:rsidP="00392729">
      <w:pPr>
        <w:pStyle w:val="Heading6"/>
      </w:pPr>
      <w:r w:rsidRPr="00C252B0">
        <w:lastRenderedPageBreak/>
        <w:t>Immunogenicity results</w:t>
      </w:r>
    </w:p>
    <w:p w:rsidR="00C252B0" w:rsidRPr="00C252B0" w:rsidRDefault="00C252B0" w:rsidP="00C252B0">
      <w:r w:rsidRPr="00C252B0">
        <w:t xml:space="preserve">Non-inferiority was demonstrated for the 3 strains contained in TIV; the lower limit of the GMT ratio 95% CI was greater than 0.67. Superiority was demonstrated for the B/Jiangsu strain not contained in the TIV; the lower limit of the 95% CI was &gt; 1. </w:t>
      </w:r>
      <w:proofErr w:type="gramStart"/>
      <w:r w:rsidRPr="00C252B0">
        <w:t>(</w:t>
      </w:r>
      <w:r w:rsidR="00392729">
        <w:t>Table 17</w:t>
      </w:r>
      <w:r w:rsidRPr="00C252B0">
        <w:t>)</w:t>
      </w:r>
      <w:r w:rsidR="00392729">
        <w:t>.</w:t>
      </w:r>
      <w:proofErr w:type="gramEnd"/>
    </w:p>
    <w:p w:rsidR="00C252B0" w:rsidRPr="00C252B0" w:rsidRDefault="00C252B0" w:rsidP="00052B3A">
      <w:pPr>
        <w:pStyle w:val="TableTitle"/>
      </w:pPr>
      <w:bookmarkStart w:id="64" w:name="_Ref338658346"/>
      <w:bookmarkStart w:id="65" w:name="_Ref338658349"/>
      <w:proofErr w:type="gramStart"/>
      <w:r w:rsidRPr="00C252B0">
        <w:t xml:space="preserve">Table </w:t>
      </w:r>
      <w:bookmarkEnd w:id="64"/>
      <w:r w:rsidR="00392729">
        <w:t>17.</w:t>
      </w:r>
      <w:proofErr w:type="gramEnd"/>
      <w:r w:rsidRPr="00C252B0">
        <w:t xml:space="preserve"> D-QIV-001 Adjusted GMT ratios for </w:t>
      </w:r>
      <w:proofErr w:type="spellStart"/>
      <w:r w:rsidRPr="00C252B0">
        <w:t>aD</w:t>
      </w:r>
      <w:proofErr w:type="spellEnd"/>
      <w:r w:rsidRPr="00C252B0">
        <w:t>-QIV and TIV (ATP cohort for immunogenicity)</w:t>
      </w:r>
      <w:bookmarkEnd w:id="65"/>
      <w:r w:rsidRPr="00C252B0">
        <w:rPr>
          <w:noProof/>
          <w:lang w:eastAsia="en-AU"/>
        </w:rPr>
        <w:drawing>
          <wp:inline distT="0" distB="0" distL="0" distR="0" wp14:anchorId="59626BD7" wp14:editId="2FD0058D">
            <wp:extent cx="5000625" cy="1771650"/>
            <wp:effectExtent l="19050" t="0" r="9525" b="0"/>
            <wp:docPr id="60" name="Picture 23" descr="Table 17. D-QIV-001 Adjusted GMT ratios for aD-QIV and TIV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5000625" cy="1771650"/>
                    </a:xfrm>
                    <a:prstGeom prst="rect">
                      <a:avLst/>
                    </a:prstGeom>
                    <a:noFill/>
                    <a:ln w="9525">
                      <a:noFill/>
                      <a:miter lim="800000"/>
                      <a:headEnd/>
                      <a:tailEnd/>
                    </a:ln>
                  </pic:spPr>
                </pic:pic>
              </a:graphicData>
            </a:graphic>
          </wp:inline>
        </w:drawing>
      </w:r>
    </w:p>
    <w:p w:rsidR="00C252B0" w:rsidRPr="00C252B0" w:rsidRDefault="00C252B0" w:rsidP="00052B3A">
      <w:pPr>
        <w:pStyle w:val="Heading7"/>
      </w:pPr>
      <w:r w:rsidRPr="00C252B0">
        <w:t>HI antibody assessment</w:t>
      </w:r>
    </w:p>
    <w:p w:rsidR="00C252B0" w:rsidRPr="00C252B0" w:rsidRDefault="00C252B0" w:rsidP="00C252B0">
      <w:r w:rsidRPr="00C252B0">
        <w:t>The GMTs and seropositivity rates are summar</w:t>
      </w:r>
      <w:r w:rsidRPr="00AB431A">
        <w:t xml:space="preserve">ised </w:t>
      </w:r>
      <w:r w:rsidR="00643F59">
        <w:fldChar w:fldCharType="begin"/>
      </w:r>
      <w:r w:rsidR="00643F59">
        <w:instrText xml:space="preserve"> REF _Ref338664098 \h  \* MERGEFORMAT </w:instrText>
      </w:r>
      <w:r w:rsidR="00643F59">
        <w:fldChar w:fldCharType="separate"/>
      </w:r>
      <w:r w:rsidR="006421C6" w:rsidRPr="00257136">
        <w:t xml:space="preserve">Figure </w:t>
      </w:r>
      <w:r w:rsidR="00643F59">
        <w:fldChar w:fldCharType="end"/>
      </w:r>
      <w:r w:rsidR="00257136" w:rsidRPr="00AB431A">
        <w:t>1</w:t>
      </w:r>
      <w:r w:rsidR="008E314A" w:rsidRPr="00AB431A">
        <w:t>.</w:t>
      </w:r>
    </w:p>
    <w:p w:rsidR="00C252B0" w:rsidRPr="00C252B0" w:rsidRDefault="00C64FF5" w:rsidP="00C64FF5">
      <w:pPr>
        <w:pStyle w:val="ListBullet"/>
      </w:pPr>
      <w:r>
        <w:t>Pre</w:t>
      </w:r>
      <w:r w:rsidR="00C252B0" w:rsidRPr="00C252B0">
        <w:t>vaccination HI GMTs were similar for each strain in all four vaccine groups;</w:t>
      </w:r>
    </w:p>
    <w:p w:rsidR="00C252B0" w:rsidRPr="00C252B0" w:rsidRDefault="00692B0F" w:rsidP="00C64FF5">
      <w:pPr>
        <w:pStyle w:val="ListBullet"/>
      </w:pPr>
      <w:r>
        <w:t>Post vaccination</w:t>
      </w:r>
      <w:r w:rsidR="00C252B0" w:rsidRPr="00C252B0">
        <w:t xml:space="preserve"> GMTs and SPRs increased from baseline in all groups compared for each strain;</w:t>
      </w:r>
    </w:p>
    <w:p w:rsidR="00C252B0" w:rsidRPr="00C252B0" w:rsidRDefault="00692B0F" w:rsidP="00C64FF5">
      <w:pPr>
        <w:pStyle w:val="ListBullet"/>
      </w:pPr>
      <w:r>
        <w:t>Post vaccination</w:t>
      </w:r>
      <w:r w:rsidR="00C252B0" w:rsidRPr="00C252B0">
        <w:t xml:space="preserve"> GMTs in all groups ranged from 130.0 to 160.4 against the A/Solomon Islands strain, from 156.3 to 197.9 for HI antibodies against the A/Wisconsin strain and from 187.0 to 213.0 against the B/Malaysia strain;</w:t>
      </w:r>
    </w:p>
    <w:p w:rsidR="00C252B0" w:rsidRPr="00C252B0" w:rsidRDefault="00692B0F" w:rsidP="00C64FF5">
      <w:pPr>
        <w:pStyle w:val="ListBullet"/>
      </w:pPr>
      <w:r>
        <w:t>Post vaccination</w:t>
      </w:r>
      <w:r w:rsidR="00C252B0" w:rsidRPr="00C252B0">
        <w:t>, the HI GMTs against the B/Jiangsu strain were between 43.4 and 179.1. The GMT induced by the D-QIV was 4.1-fold higher than that induced by the TIV.</w:t>
      </w:r>
    </w:p>
    <w:p w:rsidR="008E314A" w:rsidRDefault="008E314A" w:rsidP="00052B3A">
      <w:pPr>
        <w:pStyle w:val="FigureTitle"/>
      </w:pPr>
      <w:bookmarkStart w:id="66" w:name="_Ref338664098"/>
      <w:bookmarkStart w:id="67" w:name="_Ref338664102"/>
      <w:proofErr w:type="gramStart"/>
      <w:r w:rsidRPr="00257136">
        <w:t xml:space="preserve">Figure </w:t>
      </w:r>
      <w:bookmarkEnd w:id="66"/>
      <w:r w:rsidR="00257136" w:rsidRPr="00257136">
        <w:t>1.</w:t>
      </w:r>
      <w:proofErr w:type="gramEnd"/>
      <w:r w:rsidRPr="00257136">
        <w:t xml:space="preserve"> D-QIV-001 HI GMTs with 95% CI Days 0 and 21 (ATP cohort for immunogenicity)</w:t>
      </w:r>
      <w:bookmarkEnd w:id="67"/>
    </w:p>
    <w:p w:rsidR="008E314A" w:rsidRDefault="008E314A" w:rsidP="008E314A">
      <w:r>
        <w:rPr>
          <w:noProof/>
          <w:lang w:eastAsia="en-AU"/>
        </w:rPr>
        <w:drawing>
          <wp:inline distT="0" distB="0" distL="0" distR="0">
            <wp:extent cx="5667375" cy="2162175"/>
            <wp:effectExtent l="19050" t="0" r="9525" b="0"/>
            <wp:docPr id="89" name="Picture 89" descr="Figure 1. D-QIV-001 HI GMTs with 95% CI Days 0 and 21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cstate="print"/>
                    <a:srcRect t="4181" b="4181"/>
                    <a:stretch>
                      <a:fillRect/>
                    </a:stretch>
                  </pic:blipFill>
                  <pic:spPr bwMode="auto">
                    <a:xfrm>
                      <a:off x="0" y="0"/>
                      <a:ext cx="5667375" cy="2162175"/>
                    </a:xfrm>
                    <a:prstGeom prst="rect">
                      <a:avLst/>
                    </a:prstGeom>
                    <a:noFill/>
                    <a:ln w="9525">
                      <a:noFill/>
                      <a:miter lim="800000"/>
                      <a:headEnd/>
                      <a:tailEnd/>
                    </a:ln>
                  </pic:spPr>
                </pic:pic>
              </a:graphicData>
            </a:graphic>
          </wp:inline>
        </w:drawing>
      </w:r>
    </w:p>
    <w:p w:rsidR="00C252B0" w:rsidRPr="00C252B0" w:rsidRDefault="00C252B0" w:rsidP="00052B3A">
      <w:pPr>
        <w:pStyle w:val="Heading6"/>
      </w:pPr>
      <w:proofErr w:type="spellStart"/>
      <w:r w:rsidRPr="00C252B0">
        <w:t>Seroconversion</w:t>
      </w:r>
      <w:proofErr w:type="spellEnd"/>
      <w:r w:rsidRPr="00C252B0">
        <w:t xml:space="preserve"> </w:t>
      </w:r>
      <w:r w:rsidRPr="00052B3A">
        <w:t>factors</w:t>
      </w:r>
    </w:p>
    <w:p w:rsidR="00C252B0" w:rsidRDefault="00C252B0" w:rsidP="00C252B0">
      <w:r w:rsidRPr="00C252B0">
        <w:t xml:space="preserve">For the A/Solomon Islands, A/Wisconsin and B/Malaysia strains in all groups, the SCF on Day 21 exceeded the </w:t>
      </w:r>
      <w:r w:rsidR="008E314A" w:rsidRPr="008E314A">
        <w:t>Committee for Proprietary Medicinal Products (</w:t>
      </w:r>
      <w:r w:rsidRPr="008E314A">
        <w:t>CPMP</w:t>
      </w:r>
      <w:r w:rsidR="008E314A" w:rsidRPr="008E314A">
        <w:t>)</w:t>
      </w:r>
      <w:r w:rsidRPr="008E314A">
        <w:t xml:space="preserve"> threshold of &gt; 2.5 for adults aged 18 to 60 years. The SCF for the B/Jiangsu strain was 9 for the</w:t>
      </w:r>
      <w:r w:rsidRPr="00C252B0">
        <w:t xml:space="preserve"> D-QIV Group</w:t>
      </w:r>
      <w:r w:rsidR="00C64FF5">
        <w:t xml:space="preserve"> versus </w:t>
      </w:r>
      <w:r w:rsidRPr="00C252B0">
        <w:t>2.3 for the TIV gr</w:t>
      </w:r>
      <w:r w:rsidRPr="00AB431A">
        <w:t>oups (</w:t>
      </w:r>
      <w:r w:rsidR="00643F59">
        <w:fldChar w:fldCharType="begin"/>
      </w:r>
      <w:r w:rsidR="00643F59">
        <w:instrText xml:space="preserve"> REF _Ref338664912 \h  \* MERGEFORMAT </w:instrText>
      </w:r>
      <w:r w:rsidR="00643F59">
        <w:fldChar w:fldCharType="separate"/>
      </w:r>
      <w:r w:rsidR="006421C6" w:rsidRPr="008E314A">
        <w:t xml:space="preserve">Figure </w:t>
      </w:r>
      <w:r w:rsidR="00643F59">
        <w:fldChar w:fldCharType="end"/>
      </w:r>
      <w:r w:rsidR="00257136" w:rsidRPr="00AB431A">
        <w:t>2</w:t>
      </w:r>
      <w:r w:rsidRPr="00AB431A">
        <w:t>)</w:t>
      </w:r>
      <w:r w:rsidR="008E314A" w:rsidRPr="00AB431A">
        <w:t>.</w:t>
      </w:r>
    </w:p>
    <w:p w:rsidR="004D6B1F" w:rsidRDefault="008E314A" w:rsidP="004D6B1F">
      <w:pPr>
        <w:pStyle w:val="FigureTitle"/>
        <w:keepNext/>
      </w:pPr>
      <w:bookmarkStart w:id="68" w:name="_Ref338664912"/>
      <w:bookmarkStart w:id="69" w:name="_Ref338664915"/>
      <w:proofErr w:type="gramStart"/>
      <w:r w:rsidRPr="008E314A">
        <w:lastRenderedPageBreak/>
        <w:t xml:space="preserve">Figure </w:t>
      </w:r>
      <w:bookmarkEnd w:id="68"/>
      <w:r w:rsidR="00257136">
        <w:t>2</w:t>
      </w:r>
      <w:r>
        <w:t>.</w:t>
      </w:r>
      <w:proofErr w:type="gramEnd"/>
      <w:r w:rsidRPr="008E314A">
        <w:t xml:space="preserve"> D-QIV-001 Seroconversion factors with 95% CI on Day 21 (ATP cohort for immunogenicity)</w:t>
      </w:r>
      <w:bookmarkEnd w:id="69"/>
    </w:p>
    <w:p w:rsidR="004D6B1F" w:rsidRDefault="008E314A" w:rsidP="00052B3A">
      <w:r w:rsidRPr="008E314A">
        <w:rPr>
          <w:noProof/>
          <w:lang w:eastAsia="en-AU"/>
        </w:rPr>
        <w:drawing>
          <wp:inline distT="0" distB="0" distL="0" distR="0" wp14:anchorId="0E777127" wp14:editId="173CA04A">
            <wp:extent cx="5676900" cy="2105025"/>
            <wp:effectExtent l="19050" t="0" r="0" b="0"/>
            <wp:docPr id="8" name="Picture 91" descr="Figure 2. D-QIV-001 Seroconversion factors with 95% CI on Day 21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srcRect t="3508" b="3508"/>
                    <a:stretch>
                      <a:fillRect/>
                    </a:stretch>
                  </pic:blipFill>
                  <pic:spPr bwMode="auto">
                    <a:xfrm>
                      <a:off x="0" y="0"/>
                      <a:ext cx="5676900" cy="2105025"/>
                    </a:xfrm>
                    <a:prstGeom prst="rect">
                      <a:avLst/>
                    </a:prstGeom>
                    <a:noFill/>
                    <a:ln w="9525">
                      <a:noFill/>
                      <a:miter lim="800000"/>
                      <a:headEnd/>
                      <a:tailEnd/>
                    </a:ln>
                  </pic:spPr>
                </pic:pic>
              </a:graphicData>
            </a:graphic>
          </wp:inline>
        </w:drawing>
      </w:r>
    </w:p>
    <w:p w:rsidR="00C252B0" w:rsidRPr="00C252B0" w:rsidRDefault="00C252B0" w:rsidP="00052B3A">
      <w:pPr>
        <w:pStyle w:val="Heading7"/>
      </w:pPr>
      <w:proofErr w:type="spellStart"/>
      <w:r w:rsidRPr="00052B3A">
        <w:t>Seroconversion</w:t>
      </w:r>
      <w:proofErr w:type="spellEnd"/>
      <w:r w:rsidRPr="00C252B0">
        <w:t xml:space="preserve"> rate</w:t>
      </w:r>
    </w:p>
    <w:p w:rsidR="00C252B0" w:rsidRDefault="00C252B0" w:rsidP="00C252B0">
      <w:r w:rsidRPr="00C252B0">
        <w:t>The SCRs for the A/Solomon Islands, A/Wisconsin and B/Malaysia strains were greater than the 40% threshold recommended by the CPMP for adults aged 18 to 60 years for all groups. For B/Jiangsu the D-QIV group the SCR was 76%</w:t>
      </w:r>
      <w:r w:rsidR="00C64FF5">
        <w:t xml:space="preserve"> versus </w:t>
      </w:r>
      <w:r w:rsidRPr="00C252B0">
        <w:t>19% for the TIV group (</w:t>
      </w:r>
      <w:r w:rsidR="00257136">
        <w:t>Fig</w:t>
      </w:r>
      <w:r w:rsidR="00257136" w:rsidRPr="00AB431A">
        <w:t>ure 3</w:t>
      </w:r>
      <w:r w:rsidRPr="00AB431A">
        <w:t>).</w:t>
      </w:r>
    </w:p>
    <w:p w:rsidR="008E314A" w:rsidRPr="008E314A" w:rsidRDefault="008E314A" w:rsidP="008E314A">
      <w:pPr>
        <w:pStyle w:val="FigureTitle"/>
      </w:pPr>
      <w:bookmarkStart w:id="70" w:name="_Ref345565787"/>
      <w:bookmarkStart w:id="71" w:name="_Ref345565792"/>
      <w:proofErr w:type="gramStart"/>
      <w:r w:rsidRPr="008E314A">
        <w:t xml:space="preserve">Figure </w:t>
      </w:r>
      <w:bookmarkEnd w:id="70"/>
      <w:r w:rsidR="00257136">
        <w:t>3</w:t>
      </w:r>
      <w:r>
        <w:t>.</w:t>
      </w:r>
      <w:proofErr w:type="gramEnd"/>
      <w:r w:rsidRPr="008E314A">
        <w:t xml:space="preserve"> D-QIV-001 Seroconversion rate for HI with 95% CI on Day 21 (ATP cohort for immunogenicity)</w:t>
      </w:r>
      <w:bookmarkEnd w:id="71"/>
    </w:p>
    <w:p w:rsidR="008E314A" w:rsidRPr="008E314A" w:rsidRDefault="008E314A" w:rsidP="008E314A">
      <w:r w:rsidRPr="008E314A">
        <w:rPr>
          <w:noProof/>
          <w:lang w:eastAsia="en-AU"/>
        </w:rPr>
        <w:drawing>
          <wp:inline distT="0" distB="0" distL="0" distR="0">
            <wp:extent cx="5972175" cy="2181225"/>
            <wp:effectExtent l="19050" t="0" r="9525" b="0"/>
            <wp:docPr id="9" name="Picture 93" descr="Figure 3. D-QIV-001 Seroconversion rate for HI with 95% CI on Day 21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cstate="print"/>
                    <a:srcRect b="2661"/>
                    <a:stretch>
                      <a:fillRect/>
                    </a:stretch>
                  </pic:blipFill>
                  <pic:spPr bwMode="auto">
                    <a:xfrm>
                      <a:off x="0" y="0"/>
                      <a:ext cx="5972175" cy="2181225"/>
                    </a:xfrm>
                    <a:prstGeom prst="rect">
                      <a:avLst/>
                    </a:prstGeom>
                    <a:noFill/>
                    <a:ln w="9525">
                      <a:noFill/>
                      <a:miter lim="800000"/>
                      <a:headEnd/>
                      <a:tailEnd/>
                    </a:ln>
                  </pic:spPr>
                </pic:pic>
              </a:graphicData>
            </a:graphic>
          </wp:inline>
        </w:drawing>
      </w:r>
    </w:p>
    <w:p w:rsidR="00C252B0" w:rsidRPr="00C252B0" w:rsidRDefault="00C252B0" w:rsidP="00052B3A">
      <w:pPr>
        <w:pStyle w:val="Heading7"/>
      </w:pPr>
      <w:r w:rsidRPr="00C252B0">
        <w:t>Seroprotection rates</w:t>
      </w:r>
    </w:p>
    <w:p w:rsidR="00C252B0" w:rsidRPr="00C252B0" w:rsidRDefault="00C252B0" w:rsidP="00C64FF5">
      <w:pPr>
        <w:pStyle w:val="ListBullet"/>
      </w:pPr>
      <w:r w:rsidRPr="00C252B0">
        <w:t>Baseline SPRs were 35.2% to 42.3% for A/Solomon Islands, 46.2% to 55.2% for A/Wisconsin, 31.7% to 43.3% for B/Jiangsu and 42.3% to 51.0% for B/Malaysia.</w:t>
      </w:r>
    </w:p>
    <w:p w:rsidR="00C252B0" w:rsidRPr="00C252B0" w:rsidRDefault="00692B0F" w:rsidP="00C64FF5">
      <w:pPr>
        <w:pStyle w:val="ListBullet"/>
      </w:pPr>
      <w:r>
        <w:t>Post vaccination</w:t>
      </w:r>
      <w:r w:rsidR="00C252B0" w:rsidRPr="00C252B0">
        <w:t xml:space="preserve"> SPRs were greater than the 70% threshold recommended by the CPMP guidelines for the A/Solomon Islands, A/Wisconsin and B/Malaysia.</w:t>
      </w:r>
    </w:p>
    <w:p w:rsidR="00C252B0" w:rsidRPr="00AB431A" w:rsidRDefault="00C252B0" w:rsidP="00C64FF5">
      <w:pPr>
        <w:pStyle w:val="ListBullet"/>
      </w:pPr>
      <w:r w:rsidRPr="00C252B0">
        <w:t>For the D-QIV Group, the SPR for B/Jiangsu post vaccination was 98.1</w:t>
      </w:r>
      <w:r w:rsidR="00C64FF5">
        <w:t xml:space="preserve"> versus </w:t>
      </w:r>
      <w:r w:rsidRPr="00C252B0">
        <w:t>63.8% for the TIV Grou</w:t>
      </w:r>
      <w:r w:rsidRPr="00AB431A">
        <w:t>p (</w:t>
      </w:r>
      <w:r w:rsidR="00643F59">
        <w:fldChar w:fldCharType="begin"/>
      </w:r>
      <w:r w:rsidR="00643F59">
        <w:instrText xml:space="preserve"> REF _Ref338669471 \h  \* MERGEFORMAT </w:instrText>
      </w:r>
      <w:r w:rsidR="00643F59">
        <w:fldChar w:fldCharType="separate"/>
      </w:r>
      <w:r w:rsidR="006421C6">
        <w:t xml:space="preserve">Figure </w:t>
      </w:r>
      <w:r w:rsidR="00643F59">
        <w:fldChar w:fldCharType="end"/>
      </w:r>
      <w:r w:rsidR="00257136" w:rsidRPr="00AB431A">
        <w:t>4</w:t>
      </w:r>
      <w:r w:rsidRPr="00AB431A">
        <w:t>)</w:t>
      </w:r>
      <w:r w:rsidR="008E314A" w:rsidRPr="00AB431A">
        <w:t>.</w:t>
      </w:r>
    </w:p>
    <w:p w:rsidR="004D6B1F" w:rsidRDefault="008E314A" w:rsidP="004D6B1F">
      <w:pPr>
        <w:pStyle w:val="FigureTitle"/>
        <w:keepNext/>
      </w:pPr>
      <w:bookmarkStart w:id="72" w:name="_Ref338669471"/>
      <w:bookmarkStart w:id="73" w:name="_Ref338669474"/>
      <w:proofErr w:type="gramStart"/>
      <w:r>
        <w:lastRenderedPageBreak/>
        <w:t xml:space="preserve">Figure </w:t>
      </w:r>
      <w:bookmarkEnd w:id="72"/>
      <w:r w:rsidR="00257136">
        <w:t>4</w:t>
      </w:r>
      <w:r>
        <w:t>.</w:t>
      </w:r>
      <w:proofErr w:type="gramEnd"/>
      <w:r>
        <w:t xml:space="preserve"> D-QIV-001 Seroprotection rates for HI antibodies on Days 0 and 21 (ATP cohort for immunogenicity)</w:t>
      </w:r>
      <w:bookmarkEnd w:id="73"/>
    </w:p>
    <w:p w:rsidR="004D6B1F" w:rsidRDefault="008E314A" w:rsidP="00052B3A">
      <w:r>
        <w:rPr>
          <w:noProof/>
          <w:lang w:eastAsia="en-AU"/>
        </w:rPr>
        <w:drawing>
          <wp:inline distT="0" distB="0" distL="0" distR="0" wp14:anchorId="5E731A4A" wp14:editId="00C47010">
            <wp:extent cx="5648325" cy="2276475"/>
            <wp:effectExtent l="19050" t="0" r="9525" b="0"/>
            <wp:docPr id="94" name="Picture 94" descr="Figure 4. D-QIV-001 Seroprotection rates for HI antibodies on Days 0 and 21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srcRect t="2589" b="2589"/>
                    <a:stretch>
                      <a:fillRect/>
                    </a:stretch>
                  </pic:blipFill>
                  <pic:spPr bwMode="auto">
                    <a:xfrm>
                      <a:off x="0" y="0"/>
                      <a:ext cx="5648325" cy="2276475"/>
                    </a:xfrm>
                    <a:prstGeom prst="rect">
                      <a:avLst/>
                    </a:prstGeom>
                    <a:noFill/>
                    <a:ln w="9525">
                      <a:noFill/>
                      <a:miter lim="800000"/>
                      <a:headEnd/>
                      <a:tailEnd/>
                    </a:ln>
                  </pic:spPr>
                </pic:pic>
              </a:graphicData>
            </a:graphic>
          </wp:inline>
        </w:drawing>
      </w:r>
    </w:p>
    <w:p w:rsidR="00C252B0" w:rsidRPr="00C252B0" w:rsidRDefault="00C252B0" w:rsidP="00052B3A">
      <w:pPr>
        <w:pStyle w:val="Heading6"/>
      </w:pPr>
      <w:r w:rsidRPr="00C252B0">
        <w:t xml:space="preserve">Neutralising antibody against B/Malaysia and B/Jiangsu </w:t>
      </w:r>
      <w:r w:rsidRPr="00052B3A">
        <w:t>strains</w:t>
      </w:r>
    </w:p>
    <w:p w:rsidR="00C252B0" w:rsidRPr="00C252B0" w:rsidRDefault="00C252B0" w:rsidP="00C64FF5">
      <w:pPr>
        <w:pStyle w:val="ListBullet"/>
      </w:pPr>
      <w:r w:rsidRPr="00C252B0">
        <w:t xml:space="preserve">Pre-vaccination GMTs in all groups were 54.9 to 63.2 for B/Malaysia; 27.3 to 38.0 for B/Jiangsu. </w:t>
      </w:r>
      <w:r w:rsidR="00692B0F">
        <w:t xml:space="preserve">Post </w:t>
      </w:r>
      <w:proofErr w:type="gramStart"/>
      <w:r w:rsidR="00692B0F">
        <w:t>vaccination</w:t>
      </w:r>
      <w:r w:rsidRPr="00C252B0">
        <w:t>, the GMTs for D-QIV were</w:t>
      </w:r>
      <w:proofErr w:type="gramEnd"/>
      <w:r w:rsidRPr="00C252B0">
        <w:t xml:space="preserve"> 4.1</w:t>
      </w:r>
      <w:r w:rsidR="008E314A">
        <w:t xml:space="preserve"> </w:t>
      </w:r>
      <w:r w:rsidR="00052B3A">
        <w:t>fold higher than for TIV.</w:t>
      </w:r>
    </w:p>
    <w:p w:rsidR="00C252B0" w:rsidRPr="00C252B0" w:rsidRDefault="00C252B0" w:rsidP="00C64FF5">
      <w:pPr>
        <w:pStyle w:val="ListBullet"/>
      </w:pPr>
      <w:r w:rsidRPr="00C252B0">
        <w:t>The seroconversion rate against B/Jiangsu for D-QIV was 62.0% and for TIV 5.9%. The SCR against the B/Malaysia strain for D-QIV was 34% and for TIV, 43%.</w:t>
      </w:r>
    </w:p>
    <w:p w:rsidR="00C252B0" w:rsidRPr="00C252B0" w:rsidRDefault="00692B0F" w:rsidP="00C64FF5">
      <w:pPr>
        <w:pStyle w:val="ListBullet"/>
      </w:pPr>
      <w:r>
        <w:t>Post vaccination</w:t>
      </w:r>
      <w:r w:rsidR="00C252B0" w:rsidRPr="00C252B0">
        <w:t xml:space="preserve"> the proportions with neutralising antibodies of ≥ 1:40 B/Jiangsu were: for D-QIV 90% and for TIV 49%; for B/Malaysia the proportions were D-QIV 80.8% TIV 98%</w:t>
      </w:r>
      <w:r w:rsidR="00982586">
        <w:t>.</w:t>
      </w:r>
    </w:p>
    <w:p w:rsidR="00347F37" w:rsidRDefault="00C252B0" w:rsidP="00C64FF5">
      <w:pPr>
        <w:pStyle w:val="Heading3"/>
      </w:pPr>
      <w:bookmarkStart w:id="74" w:name="_Toc383345667"/>
      <w:bookmarkStart w:id="75" w:name="_Toc342570231"/>
      <w:bookmarkStart w:id="76" w:name="_Toc355350122"/>
      <w:r w:rsidRPr="00C252B0">
        <w:t>Efficacy</w:t>
      </w:r>
      <w:bookmarkEnd w:id="74"/>
    </w:p>
    <w:p w:rsidR="00C252B0" w:rsidRPr="00C252B0" w:rsidRDefault="00C252B0" w:rsidP="00347F37">
      <w:pPr>
        <w:pStyle w:val="Heading4"/>
      </w:pPr>
      <w:r w:rsidRPr="00C252B0">
        <w:t>Supportive adult study Fluarix-US-006</w:t>
      </w:r>
      <w:bookmarkEnd w:id="75"/>
      <w:bookmarkEnd w:id="76"/>
    </w:p>
    <w:p w:rsidR="00C252B0" w:rsidRPr="00C252B0" w:rsidRDefault="00C252B0" w:rsidP="00C252B0">
      <w:r w:rsidRPr="00C252B0">
        <w:t xml:space="preserve">Fluarix-US-006 was a </w:t>
      </w:r>
      <w:r w:rsidR="00C64FF5">
        <w:t>P</w:t>
      </w:r>
      <w:r w:rsidRPr="00C252B0">
        <w:t>hase IV, placebo controlled, double-blind, trial including healthy male and female adults aged 18</w:t>
      </w:r>
      <w:r w:rsidR="00C64FF5">
        <w:t xml:space="preserve"> to </w:t>
      </w:r>
      <w:r w:rsidRPr="00C252B0">
        <w:t>64 years, conducted during the 2006/2007 northern hemisphere season at one centre in the Czech Republic and fourteen centres in Finland. Participants were randomised 1:1:1 to three parallel groups with planned enrolment of 2,544 per group to received Fluarix lot 1, Fluarix lot 2 or placebo. A subset of 504 participants (168 participants for each lot of Fluarix and 168 for placebo) were enrolled for safety/reactogenicity and immunogenicity evaluation.</w:t>
      </w:r>
    </w:p>
    <w:p w:rsidR="00C252B0" w:rsidRDefault="00C252B0" w:rsidP="00C252B0">
      <w:r w:rsidRPr="00C252B0">
        <w:t>The primary objective was to demonstrate the efficacy of Fluarix in the prevention of culture confirmed influenza A and/or B cases with vaccine antigenically matched strains compared to placebo. The primary objective was met if the lower limit of the 95% confidence interval for the vaccine efficacy against culture-confirmed influenza A and/or B, for vaccine antigenically matched strains, was above 35%.</w:t>
      </w:r>
    </w:p>
    <w:p w:rsidR="00C252B0" w:rsidRPr="00C252B0" w:rsidRDefault="00C252B0" w:rsidP="00C252B0">
      <w:r w:rsidRPr="00C252B0">
        <w:lastRenderedPageBreak/>
        <w:t>Participants received one 0.5 mL dose, of the study vaccine, Fluarix or the normal saline placebo at Day 0.</w:t>
      </w:r>
      <w:r w:rsidR="00982586">
        <w:rPr>
          <w:rStyle w:val="FootnoteReference"/>
        </w:rPr>
        <w:footnoteReference w:id="16"/>
      </w:r>
      <w:r w:rsidRPr="00C252B0">
        <w:t xml:space="preserve"> The immunogenicity subsets of participants were scheduled two visits, Days 0 and 21 at which time</w:t>
      </w:r>
      <w:r w:rsidR="00052B3A">
        <w:t>s blood samples were collected.</w:t>
      </w:r>
    </w:p>
    <w:p w:rsidR="00C252B0" w:rsidRPr="00C252B0" w:rsidRDefault="00C252B0" w:rsidP="00C252B0">
      <w:r w:rsidRPr="00C252B0">
        <w:t>Passive surveillance fo</w:t>
      </w:r>
      <w:r w:rsidRPr="00982586">
        <w:t xml:space="preserve">r </w:t>
      </w:r>
      <w:r w:rsidR="00982586" w:rsidRPr="00982586">
        <w:rPr>
          <w:bCs/>
        </w:rPr>
        <w:t>influenza-like illness</w:t>
      </w:r>
      <w:r w:rsidR="00982586" w:rsidRPr="00982586">
        <w:t xml:space="preserve"> (</w:t>
      </w:r>
      <w:r w:rsidRPr="00982586">
        <w:t>ILI</w:t>
      </w:r>
      <w:r w:rsidR="00982586" w:rsidRPr="00982586">
        <w:t>)</w:t>
      </w:r>
      <w:r w:rsidRPr="00982586">
        <w:t xml:space="preserve"> was performed from the day of vaccination until the end of flu season. Active surveillance for ILI was co</w:t>
      </w:r>
      <w:r w:rsidRPr="00C252B0">
        <w:t>nducted by the investigator approximately bi-weekly starting from 2 weeks after vaccination until the end of the flu season. There was a 14 day follow-up period for each ILI episode during which a diary card was used by participants to record ILI symptoms, antiviral/antimicrobial therapy and use of antipyretic. Other variables recorded were absenteeism from school/work, medicall</w:t>
      </w:r>
      <w:r w:rsidR="00C64FF5">
        <w:t>y attended visits and hospitalis</w:t>
      </w:r>
      <w:r w:rsidRPr="00C252B0">
        <w:t>ations due to ILI. In summary:</w:t>
      </w:r>
    </w:p>
    <w:p w:rsidR="00C252B0" w:rsidRPr="00C252B0" w:rsidRDefault="00C252B0" w:rsidP="00C64FF5">
      <w:pPr>
        <w:pStyle w:val="ListBullet"/>
      </w:pPr>
      <w:r w:rsidRPr="00C252B0">
        <w:t xml:space="preserve">Influenza like illness was defined as at least one systemic symptom [fever (oral temp </w:t>
      </w:r>
      <w:r w:rsidR="00C64FF5">
        <w:t>≥ </w:t>
      </w:r>
      <w:r w:rsidRPr="00C252B0">
        <w:t>37.8°C)] and/or myalgia and at least one respiratory symptom.</w:t>
      </w:r>
    </w:p>
    <w:p w:rsidR="00C252B0" w:rsidRPr="00C252B0" w:rsidRDefault="00C252B0" w:rsidP="00C64FF5">
      <w:pPr>
        <w:pStyle w:val="ListBullet"/>
      </w:pPr>
      <w:r w:rsidRPr="00C252B0">
        <w:t>The first day of an ILI episode was defined as the first day with one systemic symptom and one respiratory symptom.</w:t>
      </w:r>
    </w:p>
    <w:p w:rsidR="00C252B0" w:rsidRPr="00C252B0" w:rsidRDefault="00C252B0" w:rsidP="00C64FF5">
      <w:pPr>
        <w:pStyle w:val="ListBullet"/>
      </w:pPr>
      <w:r w:rsidRPr="00C252B0">
        <w:t xml:space="preserve">The last day of an ILI episode was defined as the last day with fever, myalgia, cough or sore throat. </w:t>
      </w:r>
    </w:p>
    <w:p w:rsidR="00C252B0" w:rsidRPr="00C252B0" w:rsidRDefault="00C252B0" w:rsidP="00C64FF5">
      <w:pPr>
        <w:pStyle w:val="ListBullet"/>
      </w:pPr>
      <w:r w:rsidRPr="00C252B0">
        <w:t xml:space="preserve">A new ILI episode was only to be taken into account after the complete resolution of the previous one. Between two ILI episodes, there had to be at least 7 days free of any symptoms. </w:t>
      </w:r>
    </w:p>
    <w:p w:rsidR="00C252B0" w:rsidRPr="00C252B0" w:rsidRDefault="00C252B0" w:rsidP="00C252B0">
      <w:r w:rsidRPr="00C252B0">
        <w:t>A swab of both nares and a throat swab were collected at the onset of the ILI for influenza virus culture and identification, classification of influenza A and/or B virus isolates by serological typing and testing for influenza A and/or B by RT-PCR. Pneumonia was confirmed by chest x</w:t>
      </w:r>
      <w:r w:rsidR="00C64FF5">
        <w:noBreakHyphen/>
      </w:r>
      <w:r w:rsidR="00337FFE">
        <w:t>ray.</w:t>
      </w:r>
    </w:p>
    <w:p w:rsidR="00C252B0" w:rsidRPr="00C252B0" w:rsidRDefault="00C252B0" w:rsidP="00C252B0">
      <w:r w:rsidRPr="00C252B0">
        <w:t xml:space="preserve">A study staff member collected nasal/throat swab specimens preferably between 24 hours and 5 days after the onset of the ILI and preferably before antimicrobial/influenza antiviral therapy commenced. If such therapy had been started, the samples were collected and the therapy recorded.  Specimens were placed into one container of M4RT virus transport medium and stored at the site at </w:t>
      </w:r>
      <w:r w:rsidR="00C64FF5">
        <w:t xml:space="preserve">minus 70ºC until shipment </w:t>
      </w:r>
      <w:r w:rsidRPr="00C252B0">
        <w:t xml:space="preserve">for influenza virus culture in Madin Darby Canine kidney (MDCK) and Rhesus Monkey Kidney (RMK) cells. Frozen aliquots of the specimen swabs were </w:t>
      </w:r>
      <w:r w:rsidR="00C64FF5">
        <w:t xml:space="preserve">used </w:t>
      </w:r>
      <w:r w:rsidRPr="00C252B0">
        <w:t>for identification of vaccine matching isolates.</w:t>
      </w:r>
    </w:p>
    <w:p w:rsidR="00C64FF5" w:rsidRDefault="00C252B0" w:rsidP="00C64FF5">
      <w:r w:rsidRPr="00C252B0">
        <w:t xml:space="preserve">Methods for identification of isolates include fluorescent antibody staining and </w:t>
      </w:r>
      <w:proofErr w:type="spellStart"/>
      <w:r w:rsidRPr="00C252B0">
        <w:t>haemadsorption</w:t>
      </w:r>
      <w:proofErr w:type="spellEnd"/>
      <w:r w:rsidRPr="00C252B0">
        <w:t xml:space="preserve">. The method of testing for Influenza A and B virus including by subtype </w:t>
      </w:r>
      <w:r w:rsidR="00C64FF5">
        <w:t xml:space="preserve">was </w:t>
      </w:r>
      <w:r w:rsidRPr="00C252B0">
        <w:t xml:space="preserve">by quantitative </w:t>
      </w:r>
      <w:r w:rsidR="00C64FF5" w:rsidRPr="00C64FF5">
        <w:t xml:space="preserve">Reverse transcription polymerase chain reaction </w:t>
      </w:r>
      <w:r w:rsidR="00C64FF5">
        <w:t>(</w:t>
      </w:r>
      <w:r w:rsidRPr="00C252B0">
        <w:t>RT-PCR</w:t>
      </w:r>
      <w:r w:rsidR="00C64FF5">
        <w:t>)</w:t>
      </w:r>
      <w:r w:rsidR="00337FFE">
        <w:t>.</w:t>
      </w:r>
    </w:p>
    <w:p w:rsidR="00C252B0" w:rsidRPr="00C252B0" w:rsidRDefault="00C252B0" w:rsidP="006C223A">
      <w:pPr>
        <w:pStyle w:val="Heading4"/>
      </w:pPr>
      <w:r w:rsidRPr="00C252B0">
        <w:lastRenderedPageBreak/>
        <w:t xml:space="preserve">Treatment </w:t>
      </w:r>
      <w:r w:rsidRPr="006C223A">
        <w:t>allocation</w:t>
      </w:r>
    </w:p>
    <w:p w:rsidR="00C252B0" w:rsidRPr="00C252B0" w:rsidRDefault="00C252B0" w:rsidP="00C252B0">
      <w:r w:rsidRPr="00C252B0">
        <w:t xml:space="preserve">A minimisation procedure with equal weight accounted for country, age (&lt; 50 years and 50 </w:t>
      </w:r>
      <w:r w:rsidR="00C64FF5">
        <w:t>to</w:t>
      </w:r>
      <w:r w:rsidRPr="00C252B0">
        <w:t xml:space="preserve"> 65 years) and previous influenza vaccination. At randomisation, SBIR determined which participants were included in the immunogenicity subsets. Half the subset groups were to be from each participating country and a maximum of one third were to have history of influenza vacc</w:t>
      </w:r>
      <w:r w:rsidR="006C223A">
        <w:t>ination in the previous season.</w:t>
      </w:r>
    </w:p>
    <w:p w:rsidR="00C252B0" w:rsidRPr="00C252B0" w:rsidRDefault="00C252B0" w:rsidP="00C64FF5">
      <w:pPr>
        <w:pStyle w:val="Heading4"/>
      </w:pPr>
      <w:r w:rsidRPr="00C252B0">
        <w:t>Statistics</w:t>
      </w:r>
    </w:p>
    <w:p w:rsidR="00C252B0" w:rsidRPr="00C252B0" w:rsidRDefault="00C252B0" w:rsidP="00C252B0">
      <w:r w:rsidRPr="00C252B0">
        <w:t>Based on an attack rate of 2% and assuming a VE of 70%, with one-sided test, alpha = 2.5%, the number of participants calculated to demonstrate the lower limit of the 95</w:t>
      </w:r>
      <w:r w:rsidRPr="00C252B0">
        <w:rPr>
          <w:vertAlign w:val="superscript"/>
        </w:rPr>
        <w:t>th</w:t>
      </w:r>
      <w:r w:rsidRPr="00C252B0">
        <w:t xml:space="preserve"> CI of &gt; 35% with </w:t>
      </w:r>
      <w:r w:rsidR="00F32FBB">
        <w:t>≥ </w:t>
      </w:r>
      <w:r w:rsidRPr="00C252B0">
        <w:t>90% power, was 7218: Fluarix groups (N = 4812) and placebo (N = 2406)). Allowing for 5% not evaluable, the target</w:t>
      </w:r>
      <w:r w:rsidR="006C223A">
        <w:t xml:space="preserve"> was set at approximately 7632.</w:t>
      </w:r>
    </w:p>
    <w:p w:rsidR="00C252B0" w:rsidRPr="00C252B0" w:rsidRDefault="00C252B0" w:rsidP="00C252B0">
      <w:r w:rsidRPr="00C252B0">
        <w:t>Fluarix data from lots 1 and 2 were pooled for all statistical analyses except for estimating vaccine efficacy by vaccine lot administered. The analysis of immunogenicity for the humoral immune response in terms of HI antibodies against each of the three vaccine influenza strains were calculated with 95% confidence intervals, for each treatment group accordingly:</w:t>
      </w:r>
    </w:p>
    <w:p w:rsidR="00C252B0" w:rsidRPr="006C223A" w:rsidRDefault="00C252B0" w:rsidP="006C223A">
      <w:pPr>
        <w:pStyle w:val="ListBullet"/>
      </w:pPr>
      <w:r w:rsidRPr="006C223A">
        <w:t xml:space="preserve">The attack rates in each treatment group using the Fisher’s </w:t>
      </w:r>
      <w:proofErr w:type="gramStart"/>
      <w:r w:rsidRPr="006C223A">
        <w:t>Exact</w:t>
      </w:r>
      <w:proofErr w:type="gramEnd"/>
      <w:r w:rsidRPr="006C223A">
        <w:t xml:space="preserve"> test, and VE against culture-confirmed influenza A and/or B, for vaccine</w:t>
      </w:r>
      <w:r w:rsidR="006C223A" w:rsidRPr="006C223A">
        <w:t xml:space="preserve"> </w:t>
      </w:r>
      <w:proofErr w:type="spellStart"/>
      <w:r w:rsidR="006C223A" w:rsidRPr="006C223A">
        <w:t>antigenically</w:t>
      </w:r>
      <w:proofErr w:type="spellEnd"/>
      <w:r w:rsidR="006C223A" w:rsidRPr="006C223A">
        <w:t xml:space="preserve"> matched strains.</w:t>
      </w:r>
    </w:p>
    <w:p w:rsidR="00C252B0" w:rsidRPr="006C223A" w:rsidRDefault="00C252B0" w:rsidP="006C223A">
      <w:pPr>
        <w:pStyle w:val="ListBullet"/>
      </w:pPr>
      <w:r w:rsidRPr="006C223A">
        <w:t xml:space="preserve">Attack rates using the Fisher’s </w:t>
      </w:r>
      <w:proofErr w:type="gramStart"/>
      <w:r w:rsidRPr="006C223A">
        <w:t>Exact</w:t>
      </w:r>
      <w:proofErr w:type="gramEnd"/>
      <w:r w:rsidRPr="006C223A">
        <w:t xml:space="preserve"> test, and VE against culture-confirmed influenza for vaccine </w:t>
      </w:r>
      <w:proofErr w:type="spellStart"/>
      <w:r w:rsidRPr="006C223A">
        <w:t>antigenically</w:t>
      </w:r>
      <w:proofErr w:type="spellEnd"/>
      <w:r w:rsidRPr="006C223A">
        <w:t xml:space="preserve"> matched strains stratified by influenza virus type.</w:t>
      </w:r>
    </w:p>
    <w:p w:rsidR="00C252B0" w:rsidRPr="006C223A" w:rsidRDefault="00C252B0" w:rsidP="006C223A">
      <w:pPr>
        <w:pStyle w:val="ListBullet"/>
      </w:pPr>
      <w:r w:rsidRPr="006C223A">
        <w:t xml:space="preserve">Vaccine efficacy against culture-confirmed influenza A and/or B for vaccine </w:t>
      </w:r>
      <w:proofErr w:type="spellStart"/>
      <w:r w:rsidRPr="006C223A">
        <w:t>antigenically</w:t>
      </w:r>
      <w:proofErr w:type="spellEnd"/>
      <w:r w:rsidRPr="006C223A">
        <w:t xml:space="preserve"> matched strains in terms of incidence rates, taking the participant follow-up periods into account.</w:t>
      </w:r>
    </w:p>
    <w:p w:rsidR="00C252B0" w:rsidRPr="00C252B0" w:rsidRDefault="00C252B0" w:rsidP="00C252B0">
      <w:r w:rsidRPr="00C252B0">
        <w:t>The primary analysis was based on the TVC for analysis of efficacy. A secondary analysis was performed on the ATP cohorts for analysis of efficacy. The total vaccinated cohort included all vaccinated individuals. The total vaccinated cohort subset included all participants with at least one vaccine administration documented and for whom unsolicited symptoms were collected. The total vaccinated cohort subset for analysis of immunogenicity included vaccinated participants tested for immunogenicity and for whom data concerning immunogenicity endpoint measures were available. The total vaccinated cohort analysis was performed per t</w:t>
      </w:r>
      <w:r w:rsidR="006C223A">
        <w:t>reatment actually administered.</w:t>
      </w:r>
    </w:p>
    <w:p w:rsidR="00C252B0" w:rsidRPr="00C252B0" w:rsidRDefault="00C252B0" w:rsidP="00F32FBB">
      <w:pPr>
        <w:pStyle w:val="Heading4"/>
      </w:pPr>
      <w:bookmarkStart w:id="78" w:name="_Toc340037658"/>
      <w:bookmarkStart w:id="79" w:name="_Toc338053601"/>
      <w:r w:rsidRPr="00C252B0">
        <w:t>Results</w:t>
      </w:r>
      <w:bookmarkEnd w:id="78"/>
      <w:bookmarkEnd w:id="79"/>
    </w:p>
    <w:p w:rsidR="00C252B0" w:rsidRPr="00C252B0" w:rsidRDefault="00C252B0" w:rsidP="00F32FBB">
      <w:pPr>
        <w:pStyle w:val="Heading5"/>
      </w:pPr>
      <w:r w:rsidRPr="00C252B0">
        <w:t>Disposition of participants</w:t>
      </w:r>
    </w:p>
    <w:p w:rsidR="00C252B0" w:rsidRPr="00C252B0" w:rsidRDefault="00C252B0" w:rsidP="00C252B0">
      <w:r w:rsidRPr="00C252B0">
        <w:t>A total of</w:t>
      </w:r>
      <w:r w:rsidR="00F32FBB">
        <w:t xml:space="preserve"> 7,652 individuals were randomis</w:t>
      </w:r>
      <w:r w:rsidRPr="00C252B0">
        <w:t>ed and vaccinated. Of these 3,996 (52%) were enrolled in the Czech Repub</w:t>
      </w:r>
      <w:r w:rsidR="00F77356">
        <w:t>lic and 3,656 (48%) in Finland.</w:t>
      </w:r>
    </w:p>
    <w:p w:rsidR="00F32FBB" w:rsidRDefault="00C252B0" w:rsidP="00C252B0">
      <w:r w:rsidRPr="00C252B0">
        <w:t>Withdrawals accounted for 2.4% of the Fluarix group and 2.2%: for placebo. Most withdrawals were due to loss to follow-up. No withdrawal was due to an advers</w:t>
      </w:r>
      <w:r w:rsidR="00F77356">
        <w:t>e event.</w:t>
      </w:r>
    </w:p>
    <w:p w:rsidR="00C252B0" w:rsidRPr="00C252B0" w:rsidRDefault="00C252B0" w:rsidP="00C252B0">
      <w:r w:rsidRPr="00C252B0">
        <w:t>The study was conducted according to the protocol with the following exceptions.</w:t>
      </w:r>
    </w:p>
    <w:p w:rsidR="00C252B0" w:rsidRPr="0047360B" w:rsidRDefault="00C252B0" w:rsidP="0047360B">
      <w:pPr>
        <w:pStyle w:val="ListBullet"/>
      </w:pPr>
      <w:r w:rsidRPr="00C252B0">
        <w:t>Four patients with symptoms of a second ILI occurring without the full 7</w:t>
      </w:r>
      <w:r w:rsidR="00F32FBB">
        <w:t xml:space="preserve"> </w:t>
      </w:r>
      <w:r w:rsidRPr="00C252B0">
        <w:t xml:space="preserve">day interval free of all symptoms were included in the analysis because they presented with a combination of new symptoms meeting the protocol definition for ILI that were considered clinically significant. Samples from two in the placebo group were negative. One patient from the Fluarix </w:t>
      </w:r>
      <w:r w:rsidRPr="0047360B">
        <w:t xml:space="preserve">group tested negative and one positive. The investigators considered that inclusion of these results was conservative because it would not have influenced the </w:t>
      </w:r>
      <w:r w:rsidR="0047360B" w:rsidRPr="0047360B">
        <w:t xml:space="preserve">estimates in favour of </w:t>
      </w:r>
      <w:proofErr w:type="spellStart"/>
      <w:r w:rsidR="0047360B" w:rsidRPr="0047360B">
        <w:t>Fluarix</w:t>
      </w:r>
      <w:proofErr w:type="spellEnd"/>
      <w:r w:rsidR="0047360B" w:rsidRPr="0047360B">
        <w:t>.</w:t>
      </w:r>
    </w:p>
    <w:p w:rsidR="00C252B0" w:rsidRPr="00C252B0" w:rsidRDefault="00C252B0" w:rsidP="0047360B">
      <w:pPr>
        <w:pStyle w:val="ListBullet"/>
      </w:pPr>
      <w:r w:rsidRPr="0047360B">
        <w:t>One patient in the placebo group with systemic symptoms but without respiratory symptoms was excluded in order to</w:t>
      </w:r>
      <w:r w:rsidRPr="00C252B0">
        <w:t xml:space="preserve"> maintain a homogenous ILI definition.</w:t>
      </w:r>
    </w:p>
    <w:p w:rsidR="00C252B0" w:rsidRPr="00C252B0" w:rsidRDefault="00C252B0" w:rsidP="00F32FBB">
      <w:pPr>
        <w:pStyle w:val="ListBullet"/>
      </w:pPr>
      <w:r w:rsidRPr="00C252B0">
        <w:lastRenderedPageBreak/>
        <w:t>The number of participants enrolled by the end of the season in the subset for immunogenicity was less than planned (460</w:t>
      </w:r>
      <w:r w:rsidR="00C64FF5">
        <w:t xml:space="preserve"> versus </w:t>
      </w:r>
      <w:r w:rsidR="0047360B">
        <w:t>504).</w:t>
      </w:r>
    </w:p>
    <w:p w:rsidR="00C252B0" w:rsidRPr="00C252B0" w:rsidRDefault="00C252B0" w:rsidP="00F32FBB">
      <w:pPr>
        <w:pStyle w:val="ListBullet"/>
      </w:pPr>
      <w:r w:rsidRPr="00C252B0">
        <w:t>One participant in the Fluarix group was aged 66 years</w:t>
      </w:r>
      <w:r w:rsidR="00F32FBB">
        <w:t>.</w:t>
      </w:r>
    </w:p>
    <w:p w:rsidR="00C252B0" w:rsidRPr="00C252B0" w:rsidRDefault="00C252B0" w:rsidP="00F32FBB">
      <w:pPr>
        <w:pStyle w:val="ListBullet"/>
      </w:pPr>
      <w:r w:rsidRPr="00C252B0">
        <w:t>There were 9 samples (Fluarix N = 7, placebo N = 2) collected later than 5 days after the onset of ILI. There were 2 ILI episodes in which swabs were not taken and two epi</w:t>
      </w:r>
      <w:r w:rsidR="0047360B">
        <w:t>sodes in which swabs were lost.</w:t>
      </w:r>
    </w:p>
    <w:p w:rsidR="00C252B0" w:rsidRPr="00C252B0" w:rsidRDefault="00C252B0" w:rsidP="00C252B0">
      <w:r w:rsidRPr="00C252B0">
        <w:t xml:space="preserve">The cohort for the primary analysis of reactogenicity included 460 participants of whom 95.4% were also included in the ATP cohort for immunogenicity. The majority of exclusions were due to non compliance with blood sampling (15). The </w:t>
      </w:r>
      <w:r w:rsidR="00E4366E">
        <w:t>randomisation</w:t>
      </w:r>
      <w:r w:rsidRPr="00C252B0">
        <w:t xml:space="preserve"> ratio (2:1 Fluarix: placebo) was considered maintained in the ATP cohort as the percentage of exclusions was similar in both Fluarix 14, (4.6%) and placebo 7, (4.5%) groups.</w:t>
      </w:r>
    </w:p>
    <w:p w:rsidR="00C252B0" w:rsidRPr="00C252B0" w:rsidRDefault="00C252B0" w:rsidP="00F32FBB">
      <w:pPr>
        <w:pStyle w:val="Heading5"/>
      </w:pPr>
      <w:r w:rsidRPr="00C252B0">
        <w:t>Demographic characteristics</w:t>
      </w:r>
    </w:p>
    <w:p w:rsidR="00C252B0" w:rsidRPr="00C252B0" w:rsidRDefault="00C252B0" w:rsidP="00C252B0">
      <w:r w:rsidRPr="00C252B0">
        <w:t>Demographics of the Fluarix and placebo groups were comparable for the total vaccinated cohort and the total vaccinated cohort subset. The mean ages for the two groups in the TVC were 40.0 and 39.7 years, the majority of participants were White Caucasian (99.9%); and female (60%). Similar distrib</w:t>
      </w:r>
      <w:r w:rsidR="00B209B6">
        <w:t>ution was noted for the subset.</w:t>
      </w:r>
    </w:p>
    <w:p w:rsidR="00C252B0" w:rsidRPr="00C252B0" w:rsidRDefault="00C252B0" w:rsidP="00F32FBB">
      <w:pPr>
        <w:pStyle w:val="Heading5"/>
      </w:pPr>
      <w:bookmarkStart w:id="80" w:name="_Toc340037659"/>
      <w:bookmarkStart w:id="81" w:name="_Toc338053602"/>
      <w:r w:rsidRPr="00C252B0">
        <w:t>Primary analysis</w:t>
      </w:r>
      <w:bookmarkEnd w:id="80"/>
      <w:bookmarkEnd w:id="81"/>
    </w:p>
    <w:p w:rsidR="00C252B0" w:rsidRPr="00C252B0" w:rsidRDefault="00C252B0" w:rsidP="00C252B0">
      <w:r w:rsidRPr="00C252B0">
        <w:t>ILI was reported by 654 (12.8%) in the Fluarix group and 398 (15.6%) in the placebo group. The total number of ILI episodes was 746 in the Fluarix group and 459 in the placebo group. Culture confirmed influenza A and/or B was reported for 63 (1.2%) of Fluarix participants and 82 (3.2%) of the placebo group. The majority were influenza A H3N2 with most matching the vaccine strain. Of 145 virus isolates recovered, 141 isolate</w:t>
      </w:r>
      <w:r w:rsidR="00F32FBB">
        <w:t>s were antigenically characteris</w:t>
      </w:r>
      <w:r w:rsidRPr="00C252B0">
        <w:t>ed (4 could not be typed) and 123 isolates were antigenically matched strains; of these, all 123 isolates were due to influenza A (H3N2) (</w:t>
      </w:r>
      <w:r w:rsidR="00F32FBB">
        <w:t>Table 18</w:t>
      </w:r>
      <w:r w:rsidRPr="00C252B0">
        <w:t>)</w:t>
      </w:r>
      <w:r w:rsidR="00F32FBB">
        <w:t>.</w:t>
      </w:r>
    </w:p>
    <w:p w:rsidR="00C252B0" w:rsidRPr="00C252B0" w:rsidRDefault="00C252B0" w:rsidP="00B209B6">
      <w:pPr>
        <w:pStyle w:val="TableTitle"/>
      </w:pPr>
      <w:bookmarkStart w:id="82" w:name="_Ref335122397"/>
      <w:proofErr w:type="gramStart"/>
      <w:r w:rsidRPr="00C252B0">
        <w:t xml:space="preserve">Table </w:t>
      </w:r>
      <w:bookmarkEnd w:id="82"/>
      <w:r w:rsidR="00F32FBB">
        <w:t>18.</w:t>
      </w:r>
      <w:proofErr w:type="gramEnd"/>
      <w:r w:rsidR="00F32FBB">
        <w:t xml:space="preserve"> </w:t>
      </w:r>
      <w:r w:rsidRPr="00C252B0">
        <w:t>Fluarix-US-006: Distribution of culture-confirmed influenza (Total Vaccinated Cohort)</w:t>
      </w:r>
    </w:p>
    <w:p w:rsidR="00C252B0" w:rsidRPr="00C252B0" w:rsidRDefault="00C252B0" w:rsidP="00B209B6">
      <w:r w:rsidRPr="00C252B0">
        <w:rPr>
          <w:noProof/>
          <w:lang w:eastAsia="en-AU"/>
        </w:rPr>
        <w:drawing>
          <wp:inline distT="0" distB="0" distL="0" distR="0" wp14:anchorId="7044CC48" wp14:editId="1A5DCE02">
            <wp:extent cx="4422322" cy="2202024"/>
            <wp:effectExtent l="19050" t="0" r="0" b="0"/>
            <wp:docPr id="61" name="Picture 24" descr="Table 18. Fluarix-US-006: Distribution of culture-confirmed influenza (Total Vaccinate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4419600" cy="2200669"/>
                    </a:xfrm>
                    <a:prstGeom prst="rect">
                      <a:avLst/>
                    </a:prstGeom>
                    <a:noFill/>
                    <a:ln w="9525">
                      <a:noFill/>
                      <a:miter lim="800000"/>
                      <a:headEnd/>
                      <a:tailEnd/>
                    </a:ln>
                  </pic:spPr>
                </pic:pic>
              </a:graphicData>
            </a:graphic>
          </wp:inline>
        </w:drawing>
      </w:r>
    </w:p>
    <w:p w:rsidR="00C252B0" w:rsidRPr="00C252B0" w:rsidRDefault="00982586" w:rsidP="00C252B0">
      <w:r>
        <w:t>Table 19</w:t>
      </w:r>
      <w:r w:rsidR="00C252B0" w:rsidRPr="00C252B0">
        <w:t xml:space="preserve"> summarises the attack rates and vaccine efficacy for culture confirmed influenza A and/or B cases, for vaccine antigenically matched strains. The lower attack rate in the Fluarix group resulted in vaccine efficacy estimate of 66.9%. As the lower limit of the confidence interval for the vaccine efficacy (51.9%) was above 35%, the primary objective of the study was met.</w:t>
      </w:r>
    </w:p>
    <w:p w:rsidR="00C252B0" w:rsidRPr="00C252B0" w:rsidRDefault="00C252B0" w:rsidP="00B209B6">
      <w:pPr>
        <w:pStyle w:val="TableTitle"/>
      </w:pPr>
      <w:bookmarkStart w:id="83" w:name="_Ref334696007"/>
      <w:proofErr w:type="gramStart"/>
      <w:r w:rsidRPr="00C252B0">
        <w:lastRenderedPageBreak/>
        <w:t xml:space="preserve">Table </w:t>
      </w:r>
      <w:bookmarkEnd w:id="83"/>
      <w:r w:rsidR="00F32FBB">
        <w:t>19.</w:t>
      </w:r>
      <w:proofErr w:type="gramEnd"/>
      <w:r w:rsidR="00F32FBB">
        <w:t xml:space="preserve"> </w:t>
      </w:r>
      <w:r w:rsidRPr="00C252B0">
        <w:t>Fluarix-US-006: Attack rates and VE against culture confirmed strain matched influenza A and/or B</w:t>
      </w:r>
    </w:p>
    <w:p w:rsidR="00C252B0" w:rsidRPr="00C252B0" w:rsidRDefault="00C252B0" w:rsidP="00B209B6">
      <w:r w:rsidRPr="00C252B0">
        <w:rPr>
          <w:noProof/>
          <w:lang w:eastAsia="en-AU"/>
        </w:rPr>
        <w:drawing>
          <wp:inline distT="0" distB="0" distL="0" distR="0" wp14:anchorId="469D5508" wp14:editId="1CD3EEF2">
            <wp:extent cx="4655587" cy="1614196"/>
            <wp:effectExtent l="19050" t="0" r="0" b="0"/>
            <wp:docPr id="62" name="Picture 25" descr="Table 19. Fluarix-US-006: Attack rates and VE against culture confirmed strain matched influenza A and/o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4661182" cy="1616136"/>
                    </a:xfrm>
                    <a:prstGeom prst="rect">
                      <a:avLst/>
                    </a:prstGeom>
                    <a:noFill/>
                    <a:ln w="9525">
                      <a:noFill/>
                      <a:miter lim="800000"/>
                      <a:headEnd/>
                      <a:tailEnd/>
                    </a:ln>
                  </pic:spPr>
                </pic:pic>
              </a:graphicData>
            </a:graphic>
          </wp:inline>
        </w:drawing>
      </w:r>
    </w:p>
    <w:p w:rsidR="00C252B0" w:rsidRPr="00C252B0" w:rsidRDefault="00C252B0" w:rsidP="00F32FBB">
      <w:pPr>
        <w:pStyle w:val="Heading5"/>
      </w:pPr>
      <w:bookmarkStart w:id="84" w:name="_Toc340037660"/>
      <w:bookmarkStart w:id="85" w:name="_Toc338053603"/>
      <w:r w:rsidRPr="00C252B0">
        <w:t>Secondary analyses</w:t>
      </w:r>
      <w:bookmarkEnd w:id="84"/>
      <w:bookmarkEnd w:id="85"/>
    </w:p>
    <w:p w:rsidR="00C252B0" w:rsidRPr="00C252B0" w:rsidRDefault="00C252B0" w:rsidP="00C252B0">
      <w:r w:rsidRPr="00C252B0">
        <w:t xml:space="preserve">Vaccine efficacy of 61.6% against culture confirmed influenza A and/or B cases, for any influenza strain was demonstrated, providing evidence that the vaccine offered similar protection against H3N2 virus strains either antigenically matched or drifted </w:t>
      </w:r>
      <w:r w:rsidR="00B209B6">
        <w:t>compared to the vaccine strain.</w:t>
      </w:r>
    </w:p>
    <w:p w:rsidR="00C252B0" w:rsidRPr="00C252B0" w:rsidRDefault="00C252B0" w:rsidP="00C252B0">
      <w:r w:rsidRPr="00C252B0">
        <w:t>Vaccine efficacy was 54.7% against any strain of influenza A and/or B confirmed by culture or RT-PCR. Vaccine efficacy was 17.9% against ILI. Vaccine efficacy was not demonstrated against pneumonia or pneumonia related to influenza, bo</w:t>
      </w:r>
      <w:r w:rsidR="00B209B6">
        <w:t>th of which were rare outcomes.</w:t>
      </w:r>
    </w:p>
    <w:p w:rsidR="00C252B0" w:rsidRPr="00C252B0" w:rsidRDefault="00C252B0" w:rsidP="00C252B0">
      <w:r w:rsidRPr="00C252B0">
        <w:t>For culture-confirmed cases of influenza:</w:t>
      </w:r>
    </w:p>
    <w:p w:rsidR="00C252B0" w:rsidRPr="00C252B0" w:rsidRDefault="00C252B0" w:rsidP="00F32FBB">
      <w:pPr>
        <w:pStyle w:val="ListBullet"/>
      </w:pPr>
      <w:r w:rsidRPr="00C252B0">
        <w:t>The mean duration of fever was 3.4 days for Fluarix and 3.3 days for placebo.</w:t>
      </w:r>
    </w:p>
    <w:p w:rsidR="00C252B0" w:rsidRPr="00C252B0" w:rsidRDefault="00C252B0" w:rsidP="00F32FBB">
      <w:pPr>
        <w:pStyle w:val="ListBullet"/>
      </w:pPr>
      <w:r w:rsidRPr="00C252B0">
        <w:t>The majority of participants (77.6 % for Fluarix and 82.4% for placebo) reported absenteeism from work/school with a mean duration of 5.8 days for Fluarix and 5.3 days for placebo.</w:t>
      </w:r>
    </w:p>
    <w:p w:rsidR="00C252B0" w:rsidRPr="00C252B0" w:rsidRDefault="00C252B0" w:rsidP="00F32FBB">
      <w:pPr>
        <w:pStyle w:val="ListBullet"/>
      </w:pPr>
      <w:r w:rsidRPr="00C252B0">
        <w:t>Medical visits were attended by 51.0 % for Fluarix group and 47.3% for placebo group</w:t>
      </w:r>
    </w:p>
    <w:p w:rsidR="00C252B0" w:rsidRPr="00C252B0" w:rsidRDefault="00C252B0" w:rsidP="00F32FBB">
      <w:pPr>
        <w:pStyle w:val="ListBullet"/>
      </w:pPr>
      <w:r w:rsidRPr="00C252B0">
        <w:t>The duration of culture-confirmed influenza episodes were similar for both Fluarix and placebo groups with an overall mean duration of 12 days for both vaccine matching and any strain episodes.</w:t>
      </w:r>
    </w:p>
    <w:p w:rsidR="00C252B0" w:rsidRPr="00C252B0" w:rsidRDefault="00C252B0" w:rsidP="00F32FBB">
      <w:pPr>
        <w:pStyle w:val="Heading5"/>
      </w:pPr>
      <w:bookmarkStart w:id="86" w:name="_Toc338053606"/>
      <w:bookmarkStart w:id="87" w:name="_Toc340037663"/>
      <w:r w:rsidRPr="00C252B0">
        <w:t>Immunogenicity</w:t>
      </w:r>
      <w:bookmarkEnd w:id="86"/>
      <w:bookmarkEnd w:id="87"/>
    </w:p>
    <w:p w:rsidR="00C252B0" w:rsidRPr="00C252B0" w:rsidRDefault="00C252B0" w:rsidP="00F32FBB">
      <w:pPr>
        <w:pStyle w:val="Heading6"/>
      </w:pPr>
      <w:r w:rsidRPr="00C252B0">
        <w:t>Geometric mean titres</w:t>
      </w:r>
    </w:p>
    <w:p w:rsidR="00C252B0" w:rsidRPr="00C252B0" w:rsidRDefault="00C252B0" w:rsidP="00C252B0">
      <w:r w:rsidRPr="00C252B0">
        <w:t>Prior to vaccination the GMTs were similar in both groups. Vaccination with Fluarix induced an increase in GMTs for all three strains while in the placebo group no increase in GMTs was observed (</w:t>
      </w:r>
      <w:r w:rsidR="00F32FBB">
        <w:t>Table 20</w:t>
      </w:r>
      <w:r w:rsidRPr="00C252B0">
        <w:t>).</w:t>
      </w:r>
    </w:p>
    <w:p w:rsidR="00C252B0" w:rsidRPr="00C252B0" w:rsidRDefault="00C252B0" w:rsidP="00B209B6">
      <w:pPr>
        <w:pStyle w:val="TableTitle"/>
      </w:pPr>
      <w:bookmarkStart w:id="88" w:name="_Ref335054307"/>
      <w:bookmarkStart w:id="89" w:name="_Ref335054310"/>
      <w:proofErr w:type="gramStart"/>
      <w:r w:rsidRPr="00C252B0">
        <w:lastRenderedPageBreak/>
        <w:t xml:space="preserve">Table </w:t>
      </w:r>
      <w:bookmarkEnd w:id="88"/>
      <w:r w:rsidR="00F32FBB">
        <w:t>20.</w:t>
      </w:r>
      <w:proofErr w:type="gramEnd"/>
      <w:r w:rsidRPr="00C252B0">
        <w:t xml:space="preserve"> Fluarix-US-006 Geometric </w:t>
      </w:r>
      <w:proofErr w:type="gramStart"/>
      <w:r w:rsidRPr="00C252B0">
        <w:t>mean</w:t>
      </w:r>
      <w:proofErr w:type="gramEnd"/>
      <w:r w:rsidRPr="00C252B0">
        <w:t xml:space="preserve"> titres for HI antibodies titre (ATP cohort for immunogenicity)</w:t>
      </w:r>
      <w:bookmarkEnd w:id="89"/>
    </w:p>
    <w:p w:rsidR="00C252B0" w:rsidRPr="00C252B0" w:rsidRDefault="00C252B0" w:rsidP="00B209B6">
      <w:r w:rsidRPr="00C252B0">
        <w:rPr>
          <w:noProof/>
          <w:lang w:eastAsia="en-AU"/>
        </w:rPr>
        <w:drawing>
          <wp:inline distT="0" distB="0" distL="0" distR="0" wp14:anchorId="4ED0BCA7" wp14:editId="38E23D84">
            <wp:extent cx="5229225" cy="2600325"/>
            <wp:effectExtent l="19050" t="0" r="9525" b="0"/>
            <wp:docPr id="63" name="Picture 26" descr="Table 20. Fluarix-US-006 Geometric mean titres for HI antibodies titre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5229225" cy="2600325"/>
                    </a:xfrm>
                    <a:prstGeom prst="rect">
                      <a:avLst/>
                    </a:prstGeom>
                    <a:noFill/>
                    <a:ln w="9525">
                      <a:noFill/>
                      <a:miter lim="800000"/>
                      <a:headEnd/>
                      <a:tailEnd/>
                    </a:ln>
                  </pic:spPr>
                </pic:pic>
              </a:graphicData>
            </a:graphic>
          </wp:inline>
        </w:drawing>
      </w:r>
    </w:p>
    <w:p w:rsidR="00C252B0" w:rsidRPr="00C252B0" w:rsidRDefault="00C252B0" w:rsidP="00F32FBB">
      <w:pPr>
        <w:pStyle w:val="Heading6"/>
      </w:pPr>
      <w:r w:rsidRPr="00C252B0">
        <w:t>Seroconversion rates</w:t>
      </w:r>
    </w:p>
    <w:p w:rsidR="00C252B0" w:rsidRPr="00C252B0" w:rsidRDefault="00C252B0" w:rsidP="00C252B0">
      <w:r w:rsidRPr="00C252B0">
        <w:t>In the placebo group a maximum of 2 participants (1.4%) seroconverted to any of the three strains at Day 21. The seroconversion rates at Day 21 in the Fluarix group met the CPMP acceptance criteria for the annual influenza vaccines as the lower limits of the 95% confidence intervals for all three vaccine strains (68.4% to 80.6%) were above 40% (</w:t>
      </w:r>
      <w:r w:rsidR="00F32FBB">
        <w:t>Table 21</w:t>
      </w:r>
      <w:r w:rsidRPr="00C252B0">
        <w:t>)</w:t>
      </w:r>
      <w:r w:rsidR="00F32FBB">
        <w:t>.</w:t>
      </w:r>
    </w:p>
    <w:p w:rsidR="00C252B0" w:rsidRPr="00C252B0" w:rsidRDefault="00C252B0" w:rsidP="00F32FBB">
      <w:pPr>
        <w:pStyle w:val="Heading6"/>
      </w:pPr>
      <w:r w:rsidRPr="00C252B0">
        <w:t>Seroconversion factors</w:t>
      </w:r>
    </w:p>
    <w:p w:rsidR="00C252B0" w:rsidRPr="00C252B0" w:rsidRDefault="00C252B0" w:rsidP="00C252B0">
      <w:r w:rsidRPr="00C252B0">
        <w:t xml:space="preserve">The seroconversion factors at Day 21 following Fluarix vaccination met the CPMP acceptance criterion for the annual influenza vaccines as the </w:t>
      </w:r>
      <w:r w:rsidR="00692B0F">
        <w:t>post vaccination</w:t>
      </w:r>
      <w:r w:rsidRPr="00C252B0">
        <w:t>/pre-vaccination geometric mean ratios for the three strains (12.6 - 20) exceeded 2.5 (</w:t>
      </w:r>
      <w:r w:rsidR="00F32FBB">
        <w:t>Table 22).</w:t>
      </w:r>
    </w:p>
    <w:p w:rsidR="00C252B0" w:rsidRPr="00C252B0" w:rsidRDefault="00C252B0" w:rsidP="00F32FBB">
      <w:pPr>
        <w:pStyle w:val="Heading6"/>
      </w:pPr>
      <w:r w:rsidRPr="00C252B0">
        <w:t>Seroprotection rates</w:t>
      </w:r>
    </w:p>
    <w:p w:rsidR="00C252B0" w:rsidRPr="00C252B0" w:rsidRDefault="00C252B0" w:rsidP="00C252B0">
      <w:r w:rsidRPr="00C252B0">
        <w:t xml:space="preserve">Prior to vaccination there were a higher percentage of participants with HI titres of </w:t>
      </w:r>
      <w:r w:rsidR="00F32FBB">
        <w:t>≥</w:t>
      </w:r>
      <w:r w:rsidRPr="00C252B0">
        <w:t xml:space="preserve"> 40 for H1N1 (36.8% to 39.9%) than for H3N2 (17.2% to 24.3%) or B (19.9% to 14.9%). Vaccination with Fluarix induced increases of 60% to 76% in seroprotective rates for all three strains. Following administration of placebo, seroprotective rates increased by 4.7% (7 individuals) for H1N1 and by 0.6% (1 individual) for B while for H3N2 the rate decreased by 0.7% (1 individual). The seroprotection rates at Day 21 following Fluarix vaccination met the CPMP acceptance criteria for the annual influenza vaccines as the lower limits of the 95% confidence intervals for the three strains (82.5% to 95.1%) exceeded 70% (</w:t>
      </w:r>
      <w:r w:rsidR="00F32FBB">
        <w:t>Table 23</w:t>
      </w:r>
      <w:r w:rsidRPr="00C252B0">
        <w:t>)</w:t>
      </w:r>
      <w:r w:rsidR="00F32FBB">
        <w:t>.</w:t>
      </w:r>
    </w:p>
    <w:p w:rsidR="00C252B0" w:rsidRPr="00C252B0" w:rsidRDefault="00C252B0" w:rsidP="00B209B6">
      <w:pPr>
        <w:pStyle w:val="TableTitle"/>
      </w:pPr>
      <w:bookmarkStart w:id="90" w:name="_Ref335054436"/>
      <w:bookmarkStart w:id="91" w:name="_Ref335054442"/>
      <w:proofErr w:type="gramStart"/>
      <w:r w:rsidRPr="00C252B0">
        <w:lastRenderedPageBreak/>
        <w:t>Table</w:t>
      </w:r>
      <w:r w:rsidR="00F32FBB">
        <w:t xml:space="preserve"> 21</w:t>
      </w:r>
      <w:bookmarkEnd w:id="90"/>
      <w:r w:rsidR="00F32FBB">
        <w:t>.</w:t>
      </w:r>
      <w:proofErr w:type="gramEnd"/>
      <w:r w:rsidRPr="00C252B0">
        <w:t xml:space="preserve"> Fluarix-US-006 Seroconversion rates for HI antibodies titre (ATP cohort for immunogenicity)</w:t>
      </w:r>
      <w:bookmarkEnd w:id="91"/>
    </w:p>
    <w:p w:rsidR="00C252B0" w:rsidRPr="00C252B0" w:rsidRDefault="00C252B0" w:rsidP="00C252B0">
      <w:r w:rsidRPr="00C252B0">
        <w:rPr>
          <w:noProof/>
          <w:lang w:eastAsia="en-AU"/>
        </w:rPr>
        <w:drawing>
          <wp:inline distT="0" distB="0" distL="0" distR="0">
            <wp:extent cx="5248275" cy="2036928"/>
            <wp:effectExtent l="0" t="0" r="0" b="0"/>
            <wp:docPr id="160" name="Picture 106" descr="Table 21. Fluarix-US-006 Seroconversion rates for HI antibodies titre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cstate="print"/>
                    <a:srcRect/>
                    <a:stretch>
                      <a:fillRect/>
                    </a:stretch>
                  </pic:blipFill>
                  <pic:spPr bwMode="auto">
                    <a:xfrm>
                      <a:off x="0" y="0"/>
                      <a:ext cx="5248275" cy="2036928"/>
                    </a:xfrm>
                    <a:prstGeom prst="rect">
                      <a:avLst/>
                    </a:prstGeom>
                    <a:noFill/>
                    <a:ln w="9525">
                      <a:noFill/>
                      <a:miter lim="800000"/>
                      <a:headEnd/>
                      <a:tailEnd/>
                    </a:ln>
                  </pic:spPr>
                </pic:pic>
              </a:graphicData>
            </a:graphic>
          </wp:inline>
        </w:drawing>
      </w:r>
    </w:p>
    <w:p w:rsidR="00C252B0" w:rsidRPr="00C252B0" w:rsidRDefault="00C252B0" w:rsidP="00B209B6">
      <w:pPr>
        <w:pStyle w:val="TableTitle"/>
      </w:pPr>
      <w:bookmarkStart w:id="92" w:name="_Ref335054566"/>
      <w:bookmarkStart w:id="93" w:name="_Ref335054569"/>
      <w:proofErr w:type="gramStart"/>
      <w:r w:rsidRPr="00C252B0">
        <w:t xml:space="preserve">Table </w:t>
      </w:r>
      <w:bookmarkEnd w:id="92"/>
      <w:r w:rsidR="00F32FBB">
        <w:t>22.</w:t>
      </w:r>
      <w:proofErr w:type="gramEnd"/>
      <w:r w:rsidRPr="00C252B0">
        <w:t xml:space="preserve"> Fluarix-US-006 Seroconversion factors for HI antibodies titre (ATP cohort for immunogenicity)</w:t>
      </w:r>
      <w:bookmarkEnd w:id="93"/>
    </w:p>
    <w:p w:rsidR="00C252B0" w:rsidRPr="00C252B0" w:rsidRDefault="00C252B0" w:rsidP="00C252B0">
      <w:r w:rsidRPr="00C252B0">
        <w:rPr>
          <w:noProof/>
          <w:lang w:eastAsia="en-AU"/>
        </w:rPr>
        <w:drawing>
          <wp:inline distT="0" distB="0" distL="0" distR="0">
            <wp:extent cx="5334000" cy="1733776"/>
            <wp:effectExtent l="19050" t="0" r="0" b="0"/>
            <wp:docPr id="161" name="Picture 107" descr="Table 22. Fluarix-US-006 Seroconversion factors for HI antibodies titre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cstate="print"/>
                    <a:srcRect/>
                    <a:stretch>
                      <a:fillRect/>
                    </a:stretch>
                  </pic:blipFill>
                  <pic:spPr bwMode="auto">
                    <a:xfrm>
                      <a:off x="0" y="0"/>
                      <a:ext cx="5334000" cy="1733776"/>
                    </a:xfrm>
                    <a:prstGeom prst="rect">
                      <a:avLst/>
                    </a:prstGeom>
                    <a:noFill/>
                    <a:ln w="9525">
                      <a:noFill/>
                      <a:miter lim="800000"/>
                      <a:headEnd/>
                      <a:tailEnd/>
                    </a:ln>
                  </pic:spPr>
                </pic:pic>
              </a:graphicData>
            </a:graphic>
          </wp:inline>
        </w:drawing>
      </w:r>
    </w:p>
    <w:p w:rsidR="00C252B0" w:rsidRPr="00C252B0" w:rsidRDefault="00C252B0" w:rsidP="003A40AF">
      <w:pPr>
        <w:pStyle w:val="TableTitle"/>
      </w:pPr>
      <w:bookmarkStart w:id="94" w:name="_Ref335054737"/>
      <w:bookmarkStart w:id="95" w:name="_Ref335054740"/>
      <w:proofErr w:type="gramStart"/>
      <w:r w:rsidRPr="00C252B0">
        <w:t xml:space="preserve">Table </w:t>
      </w:r>
      <w:bookmarkEnd w:id="94"/>
      <w:r w:rsidR="00F32FBB">
        <w:t>23.</w:t>
      </w:r>
      <w:proofErr w:type="gramEnd"/>
      <w:r w:rsidRPr="00C252B0">
        <w:t xml:space="preserve"> Fluarix-US-006 Seroprotection rates for HI antibodies titre (ATP cohort for immunogenicity)</w:t>
      </w:r>
      <w:bookmarkEnd w:id="95"/>
    </w:p>
    <w:p w:rsidR="00C252B0" w:rsidRPr="00C252B0" w:rsidRDefault="00C252B0" w:rsidP="00C252B0">
      <w:r w:rsidRPr="00C252B0">
        <w:rPr>
          <w:noProof/>
          <w:lang w:eastAsia="en-AU"/>
        </w:rPr>
        <w:drawing>
          <wp:inline distT="0" distB="0" distL="0" distR="0">
            <wp:extent cx="4730750" cy="2584450"/>
            <wp:effectExtent l="19050" t="0" r="0" b="0"/>
            <wp:docPr id="162" name="Picture 114" descr="Table 23. Fluarix-US-006 Seroprotection rates for HI antibodies titre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0" cstate="print"/>
                    <a:srcRect/>
                    <a:stretch>
                      <a:fillRect/>
                    </a:stretch>
                  </pic:blipFill>
                  <pic:spPr bwMode="auto">
                    <a:xfrm>
                      <a:off x="0" y="0"/>
                      <a:ext cx="4730750" cy="2584450"/>
                    </a:xfrm>
                    <a:prstGeom prst="rect">
                      <a:avLst/>
                    </a:prstGeom>
                    <a:noFill/>
                    <a:ln w="9525">
                      <a:noFill/>
                      <a:miter lim="800000"/>
                      <a:headEnd/>
                      <a:tailEnd/>
                    </a:ln>
                  </pic:spPr>
                </pic:pic>
              </a:graphicData>
            </a:graphic>
          </wp:inline>
        </w:drawing>
      </w:r>
      <w:r w:rsidRPr="00C252B0">
        <w:t xml:space="preserve"> </w:t>
      </w:r>
    </w:p>
    <w:p w:rsidR="00C252B0" w:rsidRPr="00C252B0" w:rsidRDefault="00C252B0" w:rsidP="00C252B0">
      <w:r w:rsidRPr="00F32FBB">
        <w:rPr>
          <w:rStyle w:val="Heading6Char"/>
          <w:rFonts w:eastAsia="Cambria"/>
        </w:rPr>
        <w:t xml:space="preserve">Evaluator comment: </w:t>
      </w:r>
      <w:r w:rsidRPr="00C252B0">
        <w:t>For the H3N2 and B type the GMTs in Study 008 were higher than the (adjusted) GMTs in Fluarix-US-006: approx</w:t>
      </w:r>
      <w:r w:rsidR="00F32FBB">
        <w:t>imately</w:t>
      </w:r>
      <w:r w:rsidRPr="00C252B0">
        <w:t xml:space="preserve"> 310</w:t>
      </w:r>
      <w:r w:rsidR="00C64FF5">
        <w:t xml:space="preserve"> versus </w:t>
      </w:r>
      <w:r w:rsidRPr="00C252B0">
        <w:t>133 and approx 600</w:t>
      </w:r>
      <w:r w:rsidR="00C64FF5">
        <w:t xml:space="preserve"> versus </w:t>
      </w:r>
      <w:r w:rsidR="00F32FBB">
        <w:t>243 respectively. In S</w:t>
      </w:r>
      <w:r w:rsidRPr="00C252B0">
        <w:t>tudy 006, all cases of B-type influenza were non-matching; however, 77.8% of the 19 cases of influenza A H3 in the Fluarix groups were vaccine matching. In Study 008, the (adjusted) GMTs for H1N1 were lower than in 006, about 200</w:t>
      </w:r>
      <w:r w:rsidR="00C64FF5">
        <w:t xml:space="preserve"> versus </w:t>
      </w:r>
      <w:r w:rsidRPr="00C252B0">
        <w:t>541.</w:t>
      </w:r>
    </w:p>
    <w:p w:rsidR="00C252B0" w:rsidRPr="00C252B0" w:rsidRDefault="00C252B0" w:rsidP="00347F37">
      <w:pPr>
        <w:pStyle w:val="Heading4"/>
      </w:pPr>
      <w:bookmarkStart w:id="96" w:name="_Toc342570232"/>
      <w:bookmarkStart w:id="97" w:name="_Toc355350123"/>
      <w:r w:rsidRPr="00C252B0">
        <w:lastRenderedPageBreak/>
        <w:t>Paediatric studies</w:t>
      </w:r>
      <w:bookmarkEnd w:id="96"/>
      <w:bookmarkEnd w:id="97"/>
    </w:p>
    <w:p w:rsidR="00C252B0" w:rsidRDefault="00F32FBB" w:rsidP="00347F37">
      <w:pPr>
        <w:pStyle w:val="Heading5"/>
      </w:pPr>
      <w:bookmarkStart w:id="98" w:name="_Toc342570233"/>
      <w:bookmarkStart w:id="99" w:name="_Toc355350124"/>
      <w:r>
        <w:t>Pivotal paediatric S</w:t>
      </w:r>
      <w:r w:rsidR="00C252B0" w:rsidRPr="00C252B0">
        <w:t>tudy FLU D-QIV-003</w:t>
      </w:r>
      <w:bookmarkEnd w:id="98"/>
      <w:bookmarkEnd w:id="99"/>
    </w:p>
    <w:p w:rsidR="00C252B0" w:rsidRPr="00C252B0" w:rsidRDefault="00C252B0" w:rsidP="00C252B0">
      <w:r w:rsidRPr="00C252B0">
        <w:t xml:space="preserve">Study FLU-D-QIV-003 (D-QIV-003) was a </w:t>
      </w:r>
      <w:r w:rsidR="00F32FBB">
        <w:t>P</w:t>
      </w:r>
      <w:r w:rsidRPr="00C252B0">
        <w:t>hase III, randomised, controlled, multi-country, multi-centre study with four parallel groups, evaluating immunogenicity, reactogenicity and safety of the quadrivalent influenza vaccine compared to GSK’s trivalent vaccines in children aged 3 to 17 years, and describing the safety and immunogenicity of the quadrivalent influenza vaccine in children aged 6 to 35 months. The study was conducted between October 2010 and June 2011 by 55 principal investigators in five countries, the Czech Republic, France, Germany, the Philippines and the USA.</w:t>
      </w:r>
    </w:p>
    <w:p w:rsidR="00C252B0" w:rsidRPr="00C252B0" w:rsidRDefault="00C252B0" w:rsidP="00516405">
      <w:pPr>
        <w:pStyle w:val="Heading6"/>
      </w:pPr>
      <w:r w:rsidRPr="00C252B0">
        <w:t>Objectives</w:t>
      </w:r>
    </w:p>
    <w:p w:rsidR="00C252B0" w:rsidRPr="00C252B0" w:rsidRDefault="00C252B0" w:rsidP="00C252B0">
      <w:r w:rsidRPr="00C252B0">
        <w:t>The primary objective was to evaluate the immunological non-inferiority of D-QIV versus TIV-1 (Fluarix containing B/Brisbane/60/2008, Victoria-lineage, strain ) and TIV-2 Containing B/Brisbane/3/2007, Yamagata-lineage, strain in terms of GMT and SCR in children 3 to 17 years, 28 days after completion of the vaccination series (Day 28 for primed individuals, Day</w:t>
      </w:r>
      <w:r w:rsidR="003A40AF">
        <w:t xml:space="preserve"> 56 for </w:t>
      </w:r>
      <w:proofErr w:type="spellStart"/>
      <w:r w:rsidR="003A40AF">
        <w:t>unprimed</w:t>
      </w:r>
      <w:proofErr w:type="spellEnd"/>
      <w:r w:rsidR="003A40AF">
        <w:t xml:space="preserve"> participants).</w:t>
      </w:r>
    </w:p>
    <w:p w:rsidR="00C252B0" w:rsidRPr="00C252B0" w:rsidRDefault="00C252B0" w:rsidP="00C252B0">
      <w:r w:rsidRPr="00C252B0">
        <w:t>Non-inferiority was to be concluded if, for the three strains contained in each TIV formulation, the upper limit of the two-sided 95% confidence interval of the GMG ratio (TIV-1 [Fluarix]/D-QIV, and TIV-2/D-QIV) did not exceed 1.5 and the upper limit of the two-sided 95% CI for the difference in SCR (TIV-1 minus D-QIV and TIV-2 minus D-QIV) did not exceed 10% for the three strains contained in each TIV formulation</w:t>
      </w:r>
      <w:r w:rsidR="003A40AF">
        <w:t>.</w:t>
      </w:r>
    </w:p>
    <w:p w:rsidR="00C252B0" w:rsidRPr="00C252B0" w:rsidRDefault="00C252B0" w:rsidP="00C252B0">
      <w:r w:rsidRPr="00C252B0">
        <w:t>Secondary objectives:</w:t>
      </w:r>
    </w:p>
    <w:p w:rsidR="00C252B0" w:rsidRPr="00C252B0" w:rsidRDefault="00C252B0" w:rsidP="00F32FBB">
      <w:pPr>
        <w:pStyle w:val="ListBullet"/>
      </w:pPr>
      <w:r w:rsidRPr="00C252B0">
        <w:t>To evaluate the immunological superiority in terms of GMTs and SCRs of D-QIV versus TIV-1 (Fluarix) and TIV-2 in children 3 to 17 years, 28 days after completion of the immuni</w:t>
      </w:r>
      <w:r w:rsidR="00F32FBB">
        <w:t>s</w:t>
      </w:r>
      <w:r w:rsidRPr="00C252B0">
        <w:t xml:space="preserve">ation series, </w:t>
      </w:r>
      <w:r w:rsidR="00F32FBB">
        <w:t>that is,</w:t>
      </w:r>
      <w:r w:rsidRPr="00C252B0">
        <w:t xml:space="preserve"> at 28 days (primed participants) or 56 days (unprimed participants) for the B strain not contained in each TIV formulation. Immunologic superiority of the additional B strain in D-QIV was demonstrated if the lower limit of the two-sided 95% CI on GMT ratio (D-QIV/TIV-1[Fluarix] and D-QIV/TIV-2) was greater than 1 and the difference in SCR (D-QIV - TIV-1 [Fluarix] and D-QIV - TIV-2) was greater than 0%.</w:t>
      </w:r>
    </w:p>
    <w:p w:rsidR="00C252B0" w:rsidRPr="00C252B0" w:rsidRDefault="00C252B0" w:rsidP="00F32FBB">
      <w:pPr>
        <w:pStyle w:val="ListBullet"/>
      </w:pPr>
      <w:r w:rsidRPr="00C252B0">
        <w:t>To describe the immunogenicity in terms of GMT, seroprotection rate, seroconversion rate and mean geometric increase (MGI) of D-QIV, TIV-1 and TIV-2 for all participants.</w:t>
      </w:r>
    </w:p>
    <w:p w:rsidR="00C252B0" w:rsidRPr="00C252B0" w:rsidRDefault="00C252B0" w:rsidP="00F32FBB">
      <w:pPr>
        <w:pStyle w:val="ListBullet"/>
      </w:pPr>
      <w:r w:rsidRPr="00C252B0">
        <w:t xml:space="preserve">To evaluate the safety and reactogenicity of D-QIV, TIV-1 and TIV-2 in the 3 to 17 years age category and to evaluate the safety and reactogenicity of D-QIV for the 6 to 35 months age group with regard to solicited local and general events for 7 days </w:t>
      </w:r>
      <w:r w:rsidR="00692B0F">
        <w:t>post vaccination</w:t>
      </w:r>
      <w:r w:rsidRPr="00C252B0">
        <w:t xml:space="preserve">, unsolicited adverse events for 28 days </w:t>
      </w:r>
      <w:r w:rsidR="00692B0F">
        <w:t>post vaccination</w:t>
      </w:r>
      <w:r w:rsidRPr="00C252B0">
        <w:t xml:space="preserve"> and serious adverse events for the entire study period.</w:t>
      </w:r>
    </w:p>
    <w:p w:rsidR="00C252B0" w:rsidRPr="00C252B0" w:rsidRDefault="00C252B0" w:rsidP="00516405">
      <w:pPr>
        <w:pStyle w:val="Heading6"/>
      </w:pPr>
      <w:r w:rsidRPr="00C252B0">
        <w:t>Design</w:t>
      </w:r>
    </w:p>
    <w:p w:rsidR="00C252B0" w:rsidRPr="00C252B0" w:rsidRDefault="00C252B0" w:rsidP="00C252B0">
      <w:r w:rsidRPr="00C252B0">
        <w:t>Participants aged 3 to 17 years were randomised into 3 groups of 900, giving calculated power to show non-inferiority of greater than 90%. For the three groups aged 3 to 17 the study was conducted in a double blind manner. Immunogenicity for children aged 6 to 35 was not directly relevant to the proposed Indication and was not evaluated for this clinical evaluation report.</w:t>
      </w:r>
    </w:p>
    <w:p w:rsidR="00C252B0" w:rsidRPr="00C252B0" w:rsidRDefault="00C252B0" w:rsidP="00C252B0">
      <w:r w:rsidRPr="00C252B0">
        <w:t>For non-US countries, children between 6 months and 17 years were eligible, and for the US, children between 3 and 17 years. The participants were to be in stable health. Written informed consent from the parent/s or legal representative was required, plus written informed assent if required by local regulations.</w:t>
      </w:r>
    </w:p>
    <w:p w:rsidR="00C252B0" w:rsidRPr="00C252B0" w:rsidRDefault="00C252B0" w:rsidP="00C252B0">
      <w:r w:rsidRPr="00C252B0">
        <w:t xml:space="preserve">Contents of the vaccines are summarised in </w:t>
      </w:r>
      <w:r w:rsidR="0082669A">
        <w:t>Table 24</w:t>
      </w:r>
      <w:r w:rsidRPr="00C252B0">
        <w:t xml:space="preserve">. The dose of 0.5 mL was administered intramuscularly into the deltoid region of the arm. Primed individuals received one dose on Day 0. Unprimed children received doses on Days 0 and 28. For study purposes, children </w:t>
      </w:r>
      <w:r w:rsidR="0082669A">
        <w:t>≥</w:t>
      </w:r>
      <w:r w:rsidRPr="00C252B0">
        <w:t xml:space="preserve"> 9 years </w:t>
      </w:r>
      <w:r w:rsidRPr="00C252B0">
        <w:lastRenderedPageBreak/>
        <w:t xml:space="preserve">were considered primed. Unprimed children, defined as those who had not received any influenza A (H1N1) 2009 monovalent vaccine in the previous season and had not had laboratory confirmed H1N1 infection, </w:t>
      </w:r>
      <w:r w:rsidR="0082669A">
        <w:t>or</w:t>
      </w:r>
      <w:r w:rsidRPr="00C252B0">
        <w:t xml:space="preserve"> who had not previously receive</w:t>
      </w:r>
      <w:r w:rsidR="0082669A">
        <w:t>d any seasonal influenza immunis</w:t>
      </w:r>
      <w:r w:rsidRPr="00C252B0">
        <w:t>ation or had received only one dose of influenza vaccine for the first time in the previous influenza season.</w:t>
      </w:r>
    </w:p>
    <w:p w:rsidR="00C252B0" w:rsidRPr="00C252B0" w:rsidRDefault="00C252B0" w:rsidP="003A40AF">
      <w:pPr>
        <w:pStyle w:val="TableTitle"/>
      </w:pPr>
      <w:bookmarkStart w:id="100" w:name="_Ref339359724"/>
      <w:bookmarkStart w:id="101" w:name="_Ref339359727"/>
      <w:proofErr w:type="gramStart"/>
      <w:r w:rsidRPr="00C252B0">
        <w:t xml:space="preserve">Table </w:t>
      </w:r>
      <w:r w:rsidR="0082669A">
        <w:t>24</w:t>
      </w:r>
      <w:bookmarkEnd w:id="100"/>
      <w:r w:rsidR="0082669A">
        <w:t>.</w:t>
      </w:r>
      <w:proofErr w:type="gramEnd"/>
      <w:r w:rsidRPr="00C252B0">
        <w:t xml:space="preserve"> D-QIV-003 Study and reference vaccines</w:t>
      </w:r>
      <w:bookmarkEnd w:id="101"/>
    </w:p>
    <w:tbl>
      <w:tblPr>
        <w:tblStyle w:val="TableTGAblue"/>
        <w:tblW w:w="0" w:type="auto"/>
        <w:tblInd w:w="108" w:type="dxa"/>
        <w:tblLook w:val="04A0" w:firstRow="1" w:lastRow="0" w:firstColumn="1" w:lastColumn="0" w:noHBand="0" w:noVBand="1"/>
      </w:tblPr>
      <w:tblGrid>
        <w:gridCol w:w="2897"/>
        <w:gridCol w:w="3366"/>
        <w:gridCol w:w="2871"/>
      </w:tblGrid>
      <w:tr w:rsidR="00C252B0" w:rsidRPr="00C252B0" w:rsidTr="00826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hideMark/>
          </w:tcPr>
          <w:p w:rsidR="00C252B0" w:rsidRPr="0082669A" w:rsidRDefault="00C252B0" w:rsidP="003A40AF">
            <w:pPr>
              <w:rPr>
                <w:b w:val="0"/>
              </w:rPr>
            </w:pPr>
            <w:r w:rsidRPr="0082669A">
              <w:t>D-QIV</w:t>
            </w:r>
          </w:p>
        </w:tc>
        <w:tc>
          <w:tcPr>
            <w:tcW w:w="0" w:type="auto"/>
            <w:hideMark/>
          </w:tcPr>
          <w:p w:rsidR="00C252B0" w:rsidRPr="0082669A" w:rsidRDefault="00C252B0" w:rsidP="003A40AF">
            <w:pPr>
              <w:cnfStyle w:val="100000000000" w:firstRow="1" w:lastRow="0" w:firstColumn="0" w:lastColumn="0" w:oddVBand="0" w:evenVBand="0" w:oddHBand="0" w:evenHBand="0" w:firstRowFirstColumn="0" w:firstRowLastColumn="0" w:lastRowFirstColumn="0" w:lastRowLastColumn="0"/>
              <w:rPr>
                <w:b w:val="0"/>
              </w:rPr>
            </w:pPr>
            <w:r w:rsidRPr="0082669A">
              <w:t>TIV-1</w:t>
            </w:r>
          </w:p>
        </w:tc>
        <w:tc>
          <w:tcPr>
            <w:tcW w:w="2871" w:type="dxa"/>
            <w:hideMark/>
          </w:tcPr>
          <w:p w:rsidR="00C252B0" w:rsidRPr="0082669A" w:rsidRDefault="00C252B0" w:rsidP="003A40AF">
            <w:pPr>
              <w:cnfStyle w:val="100000000000" w:firstRow="1" w:lastRow="0" w:firstColumn="0" w:lastColumn="0" w:oddVBand="0" w:evenVBand="0" w:oddHBand="0" w:evenHBand="0" w:firstRowFirstColumn="0" w:firstRowLastColumn="0" w:lastRowFirstColumn="0" w:lastRowLastColumn="0"/>
              <w:rPr>
                <w:b w:val="0"/>
              </w:rPr>
            </w:pPr>
            <w:r w:rsidRPr="0082669A">
              <w:t>TIV-2</w:t>
            </w:r>
          </w:p>
        </w:tc>
      </w:tr>
      <w:tr w:rsidR="00C252B0" w:rsidRPr="00C252B0" w:rsidTr="0082669A">
        <w:tc>
          <w:tcPr>
            <w:cnfStyle w:val="001000000000" w:firstRow="0" w:lastRow="0" w:firstColumn="1" w:lastColumn="0" w:oddVBand="0" w:evenVBand="0" w:oddHBand="0" w:evenHBand="0" w:firstRowFirstColumn="0" w:firstRowLastColumn="0" w:lastRowFirstColumn="0" w:lastRowLastColumn="0"/>
            <w:tcW w:w="2897" w:type="dxa"/>
          </w:tcPr>
          <w:p w:rsidR="00C252B0" w:rsidRPr="0082669A" w:rsidRDefault="00C252B0" w:rsidP="00C252B0">
            <w:pPr>
              <w:rPr>
                <w:sz w:val="20"/>
                <w:szCs w:val="20"/>
              </w:rPr>
            </w:pPr>
            <w:r w:rsidRPr="0082669A">
              <w:rPr>
                <w:sz w:val="20"/>
                <w:szCs w:val="20"/>
              </w:rPr>
              <w:t>Candidate vaccine</w:t>
            </w:r>
          </w:p>
          <w:p w:rsidR="00C252B0" w:rsidRPr="0082669A" w:rsidRDefault="00C252B0" w:rsidP="0082669A">
            <w:pPr>
              <w:rPr>
                <w:sz w:val="20"/>
                <w:szCs w:val="20"/>
              </w:rPr>
            </w:pPr>
            <w:r w:rsidRPr="0082669A">
              <w:rPr>
                <w:sz w:val="20"/>
                <w:szCs w:val="20"/>
              </w:rPr>
              <w:t xml:space="preserve">15 </w:t>
            </w:r>
            <w:r w:rsidR="0082669A">
              <w:rPr>
                <w:sz w:val="20"/>
                <w:szCs w:val="20"/>
              </w:rPr>
              <w:t>µ</w:t>
            </w:r>
            <w:r w:rsidRPr="0082669A">
              <w:rPr>
                <w:sz w:val="20"/>
                <w:szCs w:val="20"/>
              </w:rPr>
              <w:t>g hae</w:t>
            </w:r>
            <w:r w:rsidR="003A40AF">
              <w:rPr>
                <w:sz w:val="20"/>
                <w:szCs w:val="20"/>
              </w:rPr>
              <w:t>magglutinin (HA) of each strain</w:t>
            </w:r>
          </w:p>
        </w:tc>
        <w:tc>
          <w:tcPr>
            <w:tcW w:w="0" w:type="auto"/>
            <w:hideMark/>
          </w:tcPr>
          <w:p w:rsidR="00C252B0" w:rsidRPr="0082669A" w:rsidRDefault="00C252B0" w:rsidP="00C252B0">
            <w:pPr>
              <w:cnfStyle w:val="000000000000" w:firstRow="0" w:lastRow="0" w:firstColumn="0" w:lastColumn="0" w:oddVBand="0" w:evenVBand="0" w:oddHBand="0" w:evenHBand="0" w:firstRowFirstColumn="0" w:firstRowLastColumn="0" w:lastRowFirstColumn="0" w:lastRowLastColumn="0"/>
              <w:rPr>
                <w:sz w:val="20"/>
                <w:szCs w:val="20"/>
              </w:rPr>
            </w:pPr>
            <w:r w:rsidRPr="0082669A">
              <w:rPr>
                <w:sz w:val="20"/>
                <w:szCs w:val="20"/>
              </w:rPr>
              <w:t>Commercial TIV-1 (Fluarix) for the season 2010/2011</w:t>
            </w:r>
          </w:p>
          <w:p w:rsidR="00C252B0" w:rsidRPr="0082669A" w:rsidRDefault="00C252B0" w:rsidP="00C252B0">
            <w:pPr>
              <w:cnfStyle w:val="000000000000" w:firstRow="0" w:lastRow="0" w:firstColumn="0" w:lastColumn="0" w:oddVBand="0" w:evenVBand="0" w:oddHBand="0" w:evenHBand="0" w:firstRowFirstColumn="0" w:firstRowLastColumn="0" w:lastRowFirstColumn="0" w:lastRowLastColumn="0"/>
              <w:rPr>
                <w:sz w:val="20"/>
                <w:szCs w:val="20"/>
              </w:rPr>
            </w:pPr>
            <w:r w:rsidRPr="0082669A">
              <w:rPr>
                <w:sz w:val="20"/>
                <w:szCs w:val="20"/>
              </w:rPr>
              <w:t>15</w:t>
            </w:r>
            <w:r w:rsidR="0082669A">
              <w:rPr>
                <w:sz w:val="20"/>
                <w:szCs w:val="20"/>
              </w:rPr>
              <w:t xml:space="preserve"> </w:t>
            </w:r>
            <w:r w:rsidR="003A40AF">
              <w:rPr>
                <w:sz w:val="20"/>
                <w:szCs w:val="20"/>
              </w:rPr>
              <w:t>μg HA of each strain</w:t>
            </w:r>
          </w:p>
        </w:tc>
        <w:tc>
          <w:tcPr>
            <w:tcW w:w="2871" w:type="dxa"/>
            <w:hideMark/>
          </w:tcPr>
          <w:p w:rsidR="00C252B0" w:rsidRPr="0082669A" w:rsidRDefault="00C252B0" w:rsidP="00C252B0">
            <w:pPr>
              <w:cnfStyle w:val="000000000000" w:firstRow="0" w:lastRow="0" w:firstColumn="0" w:lastColumn="0" w:oddVBand="0" w:evenVBand="0" w:oddHBand="0" w:evenHBand="0" w:firstRowFirstColumn="0" w:firstRowLastColumn="0" w:lastRowFirstColumn="0" w:lastRowLastColumn="0"/>
              <w:rPr>
                <w:sz w:val="20"/>
                <w:szCs w:val="20"/>
              </w:rPr>
            </w:pPr>
            <w:r w:rsidRPr="0082669A">
              <w:rPr>
                <w:sz w:val="20"/>
                <w:szCs w:val="20"/>
              </w:rPr>
              <w:t>Manufactured usin</w:t>
            </w:r>
            <w:r w:rsidR="003A40AF">
              <w:rPr>
                <w:sz w:val="20"/>
                <w:szCs w:val="20"/>
              </w:rPr>
              <w:t>g same process as that of TIV-1</w:t>
            </w:r>
          </w:p>
          <w:p w:rsidR="00C252B0" w:rsidRPr="0082669A" w:rsidRDefault="00C252B0" w:rsidP="00C252B0">
            <w:pPr>
              <w:cnfStyle w:val="000000000000" w:firstRow="0" w:lastRow="0" w:firstColumn="0" w:lastColumn="0" w:oddVBand="0" w:evenVBand="0" w:oddHBand="0" w:evenHBand="0" w:firstRowFirstColumn="0" w:firstRowLastColumn="0" w:lastRowFirstColumn="0" w:lastRowLastColumn="0"/>
              <w:rPr>
                <w:sz w:val="20"/>
                <w:szCs w:val="20"/>
              </w:rPr>
            </w:pPr>
            <w:r w:rsidRPr="0082669A">
              <w:rPr>
                <w:sz w:val="20"/>
                <w:szCs w:val="20"/>
              </w:rPr>
              <w:t>15 μg HA of each strain</w:t>
            </w:r>
          </w:p>
        </w:tc>
      </w:tr>
      <w:tr w:rsidR="00C252B0" w:rsidRPr="00C252B0" w:rsidTr="0082669A">
        <w:tc>
          <w:tcPr>
            <w:cnfStyle w:val="001000000000" w:firstRow="0" w:lastRow="0" w:firstColumn="1" w:lastColumn="0" w:oddVBand="0" w:evenVBand="0" w:oddHBand="0" w:evenHBand="0" w:firstRowFirstColumn="0" w:firstRowLastColumn="0" w:lastRowFirstColumn="0" w:lastRowLastColumn="0"/>
            <w:tcW w:w="2897" w:type="dxa"/>
            <w:hideMark/>
          </w:tcPr>
          <w:p w:rsidR="00C252B0" w:rsidRPr="0082669A" w:rsidRDefault="00C252B0" w:rsidP="00C252B0">
            <w:pPr>
              <w:rPr>
                <w:sz w:val="20"/>
                <w:szCs w:val="20"/>
              </w:rPr>
            </w:pPr>
            <w:r w:rsidRPr="0082669A">
              <w:rPr>
                <w:sz w:val="20"/>
                <w:szCs w:val="20"/>
              </w:rPr>
              <w:t>Lot DFLBA0087A</w:t>
            </w:r>
          </w:p>
        </w:tc>
        <w:tc>
          <w:tcPr>
            <w:tcW w:w="0" w:type="auto"/>
            <w:hideMark/>
          </w:tcPr>
          <w:p w:rsidR="00C252B0" w:rsidRPr="0082669A" w:rsidRDefault="00C252B0" w:rsidP="00C252B0">
            <w:pPr>
              <w:cnfStyle w:val="000000000000" w:firstRow="0" w:lastRow="0" w:firstColumn="0" w:lastColumn="0" w:oddVBand="0" w:evenVBand="0" w:oddHBand="0" w:evenHBand="0" w:firstRowFirstColumn="0" w:firstRowLastColumn="0" w:lastRowFirstColumn="0" w:lastRowLastColumn="0"/>
              <w:rPr>
                <w:sz w:val="20"/>
                <w:szCs w:val="20"/>
              </w:rPr>
            </w:pPr>
            <w:r w:rsidRPr="0082669A">
              <w:rPr>
                <w:sz w:val="20"/>
                <w:szCs w:val="20"/>
              </w:rPr>
              <w:t>Lot AFLUVA521A</w:t>
            </w:r>
          </w:p>
        </w:tc>
        <w:tc>
          <w:tcPr>
            <w:tcW w:w="2871" w:type="dxa"/>
            <w:hideMark/>
          </w:tcPr>
          <w:p w:rsidR="00C252B0" w:rsidRPr="0082669A" w:rsidRDefault="00C252B0" w:rsidP="00C252B0">
            <w:pPr>
              <w:cnfStyle w:val="000000000000" w:firstRow="0" w:lastRow="0" w:firstColumn="0" w:lastColumn="0" w:oddVBand="0" w:evenVBand="0" w:oddHBand="0" w:evenHBand="0" w:firstRowFirstColumn="0" w:firstRowLastColumn="0" w:lastRowFirstColumn="0" w:lastRowLastColumn="0"/>
              <w:rPr>
                <w:sz w:val="20"/>
                <w:szCs w:val="20"/>
              </w:rPr>
            </w:pPr>
            <w:r w:rsidRPr="0082669A">
              <w:rPr>
                <w:sz w:val="20"/>
                <w:szCs w:val="20"/>
              </w:rPr>
              <w:t>Lot DFLUA039A</w:t>
            </w:r>
          </w:p>
        </w:tc>
      </w:tr>
      <w:tr w:rsidR="00C252B0" w:rsidRPr="00C252B0" w:rsidTr="0082669A">
        <w:tc>
          <w:tcPr>
            <w:cnfStyle w:val="001000000000" w:firstRow="0" w:lastRow="0" w:firstColumn="1" w:lastColumn="0" w:oddVBand="0" w:evenVBand="0" w:oddHBand="0" w:evenHBand="0" w:firstRowFirstColumn="0" w:firstRowLastColumn="0" w:lastRowFirstColumn="0" w:lastRowLastColumn="0"/>
            <w:tcW w:w="2897" w:type="dxa"/>
            <w:hideMark/>
          </w:tcPr>
          <w:p w:rsidR="00C252B0" w:rsidRPr="0082669A" w:rsidRDefault="00C252B0" w:rsidP="00C252B0">
            <w:pPr>
              <w:rPr>
                <w:sz w:val="20"/>
                <w:szCs w:val="20"/>
              </w:rPr>
            </w:pPr>
            <w:r w:rsidRPr="0082669A">
              <w:rPr>
                <w:sz w:val="20"/>
                <w:szCs w:val="20"/>
              </w:rPr>
              <w:t>A/California/7/2009 (H1N1) strain</w:t>
            </w:r>
          </w:p>
        </w:tc>
        <w:tc>
          <w:tcPr>
            <w:tcW w:w="0" w:type="auto"/>
            <w:hideMark/>
          </w:tcPr>
          <w:p w:rsidR="00C252B0" w:rsidRPr="0082669A" w:rsidRDefault="00C252B0" w:rsidP="00C252B0">
            <w:pPr>
              <w:cnfStyle w:val="000000000000" w:firstRow="0" w:lastRow="0" w:firstColumn="0" w:lastColumn="0" w:oddVBand="0" w:evenVBand="0" w:oddHBand="0" w:evenHBand="0" w:firstRowFirstColumn="0" w:firstRowLastColumn="0" w:lastRowFirstColumn="0" w:lastRowLastColumn="0"/>
              <w:rPr>
                <w:sz w:val="20"/>
                <w:szCs w:val="20"/>
              </w:rPr>
            </w:pPr>
            <w:r w:rsidRPr="0082669A">
              <w:rPr>
                <w:sz w:val="20"/>
                <w:szCs w:val="20"/>
              </w:rPr>
              <w:t>A/</w:t>
            </w:r>
            <w:r w:rsidR="003A40AF">
              <w:rPr>
                <w:sz w:val="20"/>
                <w:szCs w:val="20"/>
              </w:rPr>
              <w:t>California/7/2009 (H1N1) strain</w:t>
            </w:r>
          </w:p>
        </w:tc>
        <w:tc>
          <w:tcPr>
            <w:tcW w:w="2871" w:type="dxa"/>
            <w:hideMark/>
          </w:tcPr>
          <w:p w:rsidR="00C252B0" w:rsidRPr="0082669A" w:rsidRDefault="00C252B0" w:rsidP="00C252B0">
            <w:pPr>
              <w:cnfStyle w:val="000000000000" w:firstRow="0" w:lastRow="0" w:firstColumn="0" w:lastColumn="0" w:oddVBand="0" w:evenVBand="0" w:oddHBand="0" w:evenHBand="0" w:firstRowFirstColumn="0" w:firstRowLastColumn="0" w:lastRowFirstColumn="0" w:lastRowLastColumn="0"/>
              <w:rPr>
                <w:sz w:val="20"/>
                <w:szCs w:val="20"/>
              </w:rPr>
            </w:pPr>
            <w:r w:rsidRPr="0082669A">
              <w:rPr>
                <w:sz w:val="20"/>
                <w:szCs w:val="20"/>
              </w:rPr>
              <w:t>A/California/7/2009 (H1N1) strain</w:t>
            </w:r>
          </w:p>
        </w:tc>
      </w:tr>
      <w:tr w:rsidR="00C252B0" w:rsidRPr="00C252B0" w:rsidTr="0082669A">
        <w:tc>
          <w:tcPr>
            <w:cnfStyle w:val="001000000000" w:firstRow="0" w:lastRow="0" w:firstColumn="1" w:lastColumn="0" w:oddVBand="0" w:evenVBand="0" w:oddHBand="0" w:evenHBand="0" w:firstRowFirstColumn="0" w:firstRowLastColumn="0" w:lastRowFirstColumn="0" w:lastRowLastColumn="0"/>
            <w:tcW w:w="2897" w:type="dxa"/>
            <w:hideMark/>
          </w:tcPr>
          <w:p w:rsidR="00C252B0" w:rsidRPr="0082669A" w:rsidRDefault="00C252B0" w:rsidP="00C252B0">
            <w:pPr>
              <w:rPr>
                <w:sz w:val="20"/>
                <w:szCs w:val="20"/>
              </w:rPr>
            </w:pPr>
            <w:r w:rsidRPr="0082669A">
              <w:rPr>
                <w:sz w:val="20"/>
                <w:szCs w:val="20"/>
              </w:rPr>
              <w:t>A/</w:t>
            </w:r>
            <w:r w:rsidR="003A40AF">
              <w:rPr>
                <w:sz w:val="20"/>
                <w:szCs w:val="20"/>
              </w:rPr>
              <w:t>Victoria/210/2009 (H3N2) strain</w:t>
            </w:r>
          </w:p>
        </w:tc>
        <w:tc>
          <w:tcPr>
            <w:tcW w:w="0" w:type="auto"/>
            <w:hideMark/>
          </w:tcPr>
          <w:p w:rsidR="00C252B0" w:rsidRPr="0082669A" w:rsidRDefault="00C252B0" w:rsidP="00C252B0">
            <w:pPr>
              <w:cnfStyle w:val="000000000000" w:firstRow="0" w:lastRow="0" w:firstColumn="0" w:lastColumn="0" w:oddVBand="0" w:evenVBand="0" w:oddHBand="0" w:evenHBand="0" w:firstRowFirstColumn="0" w:firstRowLastColumn="0" w:lastRowFirstColumn="0" w:lastRowLastColumn="0"/>
              <w:rPr>
                <w:sz w:val="20"/>
                <w:szCs w:val="20"/>
              </w:rPr>
            </w:pPr>
            <w:r w:rsidRPr="0082669A">
              <w:rPr>
                <w:sz w:val="20"/>
                <w:szCs w:val="20"/>
              </w:rPr>
              <w:t>A/Victoria/210/2009 (H3N2) strain</w:t>
            </w:r>
          </w:p>
        </w:tc>
        <w:tc>
          <w:tcPr>
            <w:tcW w:w="2871" w:type="dxa"/>
            <w:hideMark/>
          </w:tcPr>
          <w:p w:rsidR="00C252B0" w:rsidRPr="0082669A" w:rsidRDefault="00C252B0" w:rsidP="00C252B0">
            <w:pPr>
              <w:cnfStyle w:val="000000000000" w:firstRow="0" w:lastRow="0" w:firstColumn="0" w:lastColumn="0" w:oddVBand="0" w:evenVBand="0" w:oddHBand="0" w:evenHBand="0" w:firstRowFirstColumn="0" w:firstRowLastColumn="0" w:lastRowFirstColumn="0" w:lastRowLastColumn="0"/>
              <w:rPr>
                <w:sz w:val="20"/>
                <w:szCs w:val="20"/>
              </w:rPr>
            </w:pPr>
            <w:r w:rsidRPr="0082669A">
              <w:rPr>
                <w:sz w:val="20"/>
                <w:szCs w:val="20"/>
              </w:rPr>
              <w:t>A/Victoria/210/2009 (H3N2) strain</w:t>
            </w:r>
          </w:p>
        </w:tc>
      </w:tr>
      <w:tr w:rsidR="00C252B0" w:rsidRPr="00C252B0" w:rsidTr="0082669A">
        <w:tc>
          <w:tcPr>
            <w:cnfStyle w:val="001000000000" w:firstRow="0" w:lastRow="0" w:firstColumn="1" w:lastColumn="0" w:oddVBand="0" w:evenVBand="0" w:oddHBand="0" w:evenHBand="0" w:firstRowFirstColumn="0" w:firstRowLastColumn="0" w:lastRowFirstColumn="0" w:lastRowLastColumn="0"/>
            <w:tcW w:w="2897" w:type="dxa"/>
            <w:hideMark/>
          </w:tcPr>
          <w:p w:rsidR="00C252B0" w:rsidRPr="0082669A" w:rsidRDefault="00C252B0" w:rsidP="00C252B0">
            <w:pPr>
              <w:rPr>
                <w:sz w:val="20"/>
                <w:szCs w:val="20"/>
              </w:rPr>
            </w:pPr>
            <w:r w:rsidRPr="0082669A">
              <w:rPr>
                <w:sz w:val="20"/>
                <w:szCs w:val="20"/>
              </w:rPr>
              <w:t>B/Brisbane/60/2008 (Victoria-lineage) strain</w:t>
            </w:r>
          </w:p>
        </w:tc>
        <w:tc>
          <w:tcPr>
            <w:tcW w:w="0" w:type="auto"/>
            <w:hideMark/>
          </w:tcPr>
          <w:p w:rsidR="00C252B0" w:rsidRPr="0082669A" w:rsidRDefault="00C252B0" w:rsidP="00C252B0">
            <w:pPr>
              <w:cnfStyle w:val="000000000000" w:firstRow="0" w:lastRow="0" w:firstColumn="0" w:lastColumn="0" w:oddVBand="0" w:evenVBand="0" w:oddHBand="0" w:evenHBand="0" w:firstRowFirstColumn="0" w:firstRowLastColumn="0" w:lastRowFirstColumn="0" w:lastRowLastColumn="0"/>
              <w:rPr>
                <w:sz w:val="20"/>
                <w:szCs w:val="20"/>
              </w:rPr>
            </w:pPr>
            <w:r w:rsidRPr="0082669A">
              <w:rPr>
                <w:sz w:val="20"/>
                <w:szCs w:val="20"/>
              </w:rPr>
              <w:t>B/Brisbane/60/2008 (Victoria-lineage) strain.</w:t>
            </w:r>
          </w:p>
        </w:tc>
        <w:tc>
          <w:tcPr>
            <w:tcW w:w="2871" w:type="dxa"/>
          </w:tcPr>
          <w:p w:rsidR="00C252B0" w:rsidRPr="0082669A" w:rsidRDefault="00C252B0" w:rsidP="00C252B0">
            <w:pPr>
              <w:cnfStyle w:val="000000000000" w:firstRow="0" w:lastRow="0" w:firstColumn="0" w:lastColumn="0" w:oddVBand="0" w:evenVBand="0" w:oddHBand="0" w:evenHBand="0" w:firstRowFirstColumn="0" w:firstRowLastColumn="0" w:lastRowFirstColumn="0" w:lastRowLastColumn="0"/>
              <w:rPr>
                <w:sz w:val="20"/>
                <w:szCs w:val="20"/>
              </w:rPr>
            </w:pPr>
          </w:p>
        </w:tc>
      </w:tr>
      <w:tr w:rsidR="00C252B0" w:rsidRPr="00C252B0" w:rsidTr="0082669A">
        <w:tc>
          <w:tcPr>
            <w:cnfStyle w:val="001000000000" w:firstRow="0" w:lastRow="0" w:firstColumn="1" w:lastColumn="0" w:oddVBand="0" w:evenVBand="0" w:oddHBand="0" w:evenHBand="0" w:firstRowFirstColumn="0" w:firstRowLastColumn="0" w:lastRowFirstColumn="0" w:lastRowLastColumn="0"/>
            <w:tcW w:w="2897" w:type="dxa"/>
            <w:hideMark/>
          </w:tcPr>
          <w:p w:rsidR="00C252B0" w:rsidRPr="0082669A" w:rsidRDefault="00C252B0" w:rsidP="00C252B0">
            <w:pPr>
              <w:rPr>
                <w:sz w:val="20"/>
                <w:szCs w:val="20"/>
              </w:rPr>
            </w:pPr>
            <w:r w:rsidRPr="0082669A">
              <w:rPr>
                <w:sz w:val="20"/>
                <w:szCs w:val="20"/>
              </w:rPr>
              <w:t>B/Brisbane/3</w:t>
            </w:r>
            <w:r w:rsidR="003A40AF">
              <w:rPr>
                <w:sz w:val="20"/>
                <w:szCs w:val="20"/>
              </w:rPr>
              <w:t>/2007 (Yamagata-lineage) strain</w:t>
            </w:r>
          </w:p>
        </w:tc>
        <w:tc>
          <w:tcPr>
            <w:tcW w:w="0" w:type="auto"/>
          </w:tcPr>
          <w:p w:rsidR="00C252B0" w:rsidRPr="0082669A" w:rsidRDefault="00C252B0" w:rsidP="00C252B0">
            <w:pPr>
              <w:cnfStyle w:val="000000000000" w:firstRow="0" w:lastRow="0" w:firstColumn="0" w:lastColumn="0" w:oddVBand="0" w:evenVBand="0" w:oddHBand="0" w:evenHBand="0" w:firstRowFirstColumn="0" w:firstRowLastColumn="0" w:lastRowFirstColumn="0" w:lastRowLastColumn="0"/>
              <w:rPr>
                <w:sz w:val="20"/>
                <w:szCs w:val="20"/>
              </w:rPr>
            </w:pPr>
          </w:p>
        </w:tc>
        <w:tc>
          <w:tcPr>
            <w:tcW w:w="2871" w:type="dxa"/>
            <w:hideMark/>
          </w:tcPr>
          <w:p w:rsidR="00C252B0" w:rsidRPr="0082669A" w:rsidRDefault="00C252B0" w:rsidP="00C252B0">
            <w:pPr>
              <w:cnfStyle w:val="000000000000" w:firstRow="0" w:lastRow="0" w:firstColumn="0" w:lastColumn="0" w:oddVBand="0" w:evenVBand="0" w:oddHBand="0" w:evenHBand="0" w:firstRowFirstColumn="0" w:firstRowLastColumn="0" w:lastRowFirstColumn="0" w:lastRowLastColumn="0"/>
              <w:rPr>
                <w:sz w:val="20"/>
                <w:szCs w:val="20"/>
              </w:rPr>
            </w:pPr>
            <w:r w:rsidRPr="0082669A">
              <w:rPr>
                <w:sz w:val="20"/>
                <w:szCs w:val="20"/>
              </w:rPr>
              <w:t>B/Brisbane/3/</w:t>
            </w:r>
            <w:r w:rsidR="003A40AF">
              <w:rPr>
                <w:sz w:val="20"/>
                <w:szCs w:val="20"/>
              </w:rPr>
              <w:t>2007 (Yamagata-lineage) strain</w:t>
            </w:r>
          </w:p>
        </w:tc>
      </w:tr>
    </w:tbl>
    <w:p w:rsidR="00C252B0" w:rsidRPr="00C252B0" w:rsidRDefault="00C252B0" w:rsidP="00516405">
      <w:pPr>
        <w:pStyle w:val="Heading6"/>
      </w:pPr>
      <w:r w:rsidRPr="00C252B0">
        <w:t>Randomisation and treatment allocation</w:t>
      </w:r>
    </w:p>
    <w:p w:rsidR="00C252B0" w:rsidRPr="00C252B0" w:rsidRDefault="00C252B0" w:rsidP="00C252B0">
      <w:r w:rsidRPr="00C252B0">
        <w:t xml:space="preserve">Treatment allocation at the investigator site was performed using a central randomisation system (SBIR). Within each age stratum (3 to 8 years old and 9 to 17 years old) the randomisation algorithm used a minimisation procedure accounting for country, centre, </w:t>
      </w:r>
      <w:proofErr w:type="gramStart"/>
      <w:r w:rsidRPr="00C252B0">
        <w:t>previous</w:t>
      </w:r>
      <w:proofErr w:type="gramEnd"/>
      <w:r w:rsidRPr="00C252B0">
        <w:t xml:space="preserve"> H1N1 vaccination and priming status. Minimisation factors had equal weight in algorithm. The enrolment was performed to ensure 2:1 distribution of the population across th</w:t>
      </w:r>
      <w:r w:rsidR="00611544">
        <w:t>e two age strata.</w:t>
      </w:r>
    </w:p>
    <w:p w:rsidR="00C252B0" w:rsidRPr="00C252B0" w:rsidRDefault="00516405" w:rsidP="00C252B0">
      <w:r>
        <w:t xml:space="preserve">The </w:t>
      </w:r>
      <w:proofErr w:type="spellStart"/>
      <w:r>
        <w:t>microneutralis</w:t>
      </w:r>
      <w:r w:rsidR="00C252B0" w:rsidRPr="00C252B0">
        <w:t>ation</w:t>
      </w:r>
      <w:proofErr w:type="spellEnd"/>
      <w:r w:rsidR="00C252B0" w:rsidRPr="00C252B0">
        <w:t xml:space="preserve"> subset consisted of 200 children: 50 unprimed and 50 primed participants in each study group, being the first 50 participants from each of the following categories: D-QIV primed; D-QIV unprimed; TIV-1 primed; TIV</w:t>
      </w:r>
      <w:r w:rsidR="00611544">
        <w:t xml:space="preserve">-1 </w:t>
      </w:r>
      <w:proofErr w:type="spellStart"/>
      <w:r w:rsidR="00611544">
        <w:t>unprimed</w:t>
      </w:r>
      <w:proofErr w:type="spellEnd"/>
      <w:r w:rsidR="00611544">
        <w:t>.</w:t>
      </w:r>
    </w:p>
    <w:p w:rsidR="00C252B0" w:rsidRPr="00C252B0" w:rsidRDefault="00C252B0" w:rsidP="00516405">
      <w:pPr>
        <w:pStyle w:val="Heading6"/>
      </w:pPr>
      <w:r w:rsidRPr="00C252B0">
        <w:t>Blood sampling and antibody determination</w:t>
      </w:r>
    </w:p>
    <w:p w:rsidR="00C252B0" w:rsidRPr="00C252B0" w:rsidRDefault="00C252B0" w:rsidP="00C252B0">
      <w:r w:rsidRPr="00C252B0">
        <w:t>For HI antibodies, the methods were as for D-QIV-008. For primed participants &lt; 9 years and for all participants from 9 to 17 years, a blood sample was collected at Days 0 and 28. For unprimed participants &lt; 9 years samples w</w:t>
      </w:r>
      <w:r w:rsidR="00630E27">
        <w:t>ere collected at Days 0 and 56.</w:t>
      </w:r>
    </w:p>
    <w:p w:rsidR="00C252B0" w:rsidRPr="00C252B0" w:rsidRDefault="00C252B0" w:rsidP="00347F37">
      <w:pPr>
        <w:pStyle w:val="Heading6"/>
      </w:pPr>
      <w:bookmarkStart w:id="102" w:name="_Toc339615350"/>
      <w:r w:rsidRPr="00C252B0">
        <w:t>Results</w:t>
      </w:r>
      <w:bookmarkEnd w:id="102"/>
    </w:p>
    <w:p w:rsidR="00C252B0" w:rsidRPr="00C252B0" w:rsidRDefault="00C252B0" w:rsidP="00516405">
      <w:pPr>
        <w:pStyle w:val="ListBullet"/>
      </w:pPr>
      <w:r w:rsidRPr="00C252B0">
        <w:t>Enrolled: Total 2741: D-QIV: 915, Fluarix: 914 and TIV-2: 912</w:t>
      </w:r>
    </w:p>
    <w:p w:rsidR="00C252B0" w:rsidRPr="00C252B0" w:rsidRDefault="00C252B0" w:rsidP="00516405">
      <w:pPr>
        <w:pStyle w:val="ListBullet"/>
      </w:pPr>
      <w:r w:rsidRPr="00C252B0">
        <w:t>Vaccinated: To</w:t>
      </w:r>
      <w:r w:rsidR="000B5F57">
        <w:t>t</w:t>
      </w:r>
      <w:r w:rsidRPr="00C252B0">
        <w:t>al 2738: D-QIV: 915, Fluarix: 912 and TIV-2: 911</w:t>
      </w:r>
    </w:p>
    <w:p w:rsidR="00C252B0" w:rsidRPr="00C252B0" w:rsidRDefault="00C252B0" w:rsidP="00516405">
      <w:pPr>
        <w:pStyle w:val="ListBullet"/>
      </w:pPr>
      <w:r w:rsidRPr="00C252B0">
        <w:t>Withdrawn: 81 in total: D-Q</w:t>
      </w:r>
      <w:r w:rsidR="00630E27">
        <w:t xml:space="preserve">IV: 24, </w:t>
      </w:r>
      <w:proofErr w:type="spellStart"/>
      <w:r w:rsidR="00630E27">
        <w:t>Fluarix</w:t>
      </w:r>
      <w:proofErr w:type="spellEnd"/>
      <w:r w:rsidR="00630E27">
        <w:t>: 32, TIV-2: 25</w:t>
      </w:r>
    </w:p>
    <w:p w:rsidR="00C252B0" w:rsidRPr="00C252B0" w:rsidRDefault="00C252B0" w:rsidP="00C252B0">
      <w:r w:rsidRPr="00C252B0">
        <w:t>One participant in each of the D-QIV and Fluarix groups discontinued for serious adverse event, and one in the Fluarix group discontinued</w:t>
      </w:r>
      <w:r w:rsidR="00630E27">
        <w:t xml:space="preserve"> for non-serious adverse event.</w:t>
      </w:r>
    </w:p>
    <w:p w:rsidR="00C252B0" w:rsidRPr="00C252B0" w:rsidRDefault="00C252B0" w:rsidP="00C252B0">
      <w:r w:rsidRPr="00C252B0">
        <w:lastRenderedPageBreak/>
        <w:t>The ATP cohort for immunogenicity totalled 2411 children, 791 in the D-QIV group, 819 in the Fluarix group and 801 in the TIV-2 group. Exclusion was mainly for non-compliance with blood sampling schedule and esse</w:t>
      </w:r>
      <w:r w:rsidR="00630E27">
        <w:t>ntial serological data missing.</w:t>
      </w:r>
    </w:p>
    <w:p w:rsidR="00C252B0" w:rsidRPr="00C252B0" w:rsidRDefault="00C252B0" w:rsidP="00516405">
      <w:pPr>
        <w:pStyle w:val="Heading6"/>
      </w:pPr>
      <w:r w:rsidRPr="00C252B0">
        <w:t>Demographic characteristics</w:t>
      </w:r>
    </w:p>
    <w:p w:rsidR="00C252B0" w:rsidRPr="00C252B0" w:rsidRDefault="00C252B0" w:rsidP="00C252B0">
      <w:r w:rsidRPr="00C252B0">
        <w:t xml:space="preserve">Demographics were evenly spread across the three groups in the ATP cohort for immunogenicity. The mean age at the first vaccination was 7.9 </w:t>
      </w:r>
      <w:r w:rsidR="00516405">
        <w:t xml:space="preserve">to </w:t>
      </w:r>
      <w:r w:rsidRPr="00C252B0">
        <w:t xml:space="preserve">8 years. The percentage of females was 47.7% </w:t>
      </w:r>
      <w:r w:rsidR="00516405">
        <w:t>to</w:t>
      </w:r>
      <w:r w:rsidRPr="00C252B0">
        <w:t xml:space="preserve"> 49.8%. The population included White Caucasians 55.2% </w:t>
      </w:r>
      <w:r w:rsidR="00516405">
        <w:t>to</w:t>
      </w:r>
      <w:r w:rsidRPr="00C252B0">
        <w:t xml:space="preserve"> 56.5%, South East Asians 25.3% </w:t>
      </w:r>
      <w:r w:rsidR="00516405">
        <w:t>to</w:t>
      </w:r>
      <w:r w:rsidRPr="00C252B0">
        <w:t xml:space="preserve"> 26.3% and African Americans 12.7% </w:t>
      </w:r>
      <w:r w:rsidR="00516405">
        <w:t>to</w:t>
      </w:r>
      <w:r w:rsidRPr="00C252B0">
        <w:t xml:space="preserve"> 13.2%. Demographics were also similar across groups by age strata for the total vaccinated cohort. History of influenza vaccinat</w:t>
      </w:r>
      <w:r w:rsidR="00630E27">
        <w:t>ion was similar between groups.</w:t>
      </w:r>
    </w:p>
    <w:p w:rsidR="00C252B0" w:rsidRPr="00C252B0" w:rsidRDefault="00C252B0" w:rsidP="00516405">
      <w:pPr>
        <w:pStyle w:val="Heading6"/>
      </w:pPr>
      <w:bookmarkStart w:id="103" w:name="_Toc339615351"/>
      <w:r w:rsidRPr="00C252B0">
        <w:t>Immunogenicity results</w:t>
      </w:r>
      <w:bookmarkEnd w:id="103"/>
    </w:p>
    <w:p w:rsidR="00C252B0" w:rsidRPr="00C252B0" w:rsidRDefault="00C252B0" w:rsidP="00C252B0">
      <w:r w:rsidRPr="00257136">
        <w:t>Results are summarised in</w:t>
      </w:r>
      <w:r w:rsidR="00257136">
        <w:t xml:space="preserve"> Tables 25-30</w:t>
      </w:r>
      <w:r w:rsidR="00257136" w:rsidRPr="00257136">
        <w:t xml:space="preserve"> below</w:t>
      </w:r>
      <w:r w:rsidRPr="00257136">
        <w:t>.</w:t>
      </w:r>
    </w:p>
    <w:p w:rsidR="00C252B0" w:rsidRPr="00C252B0" w:rsidRDefault="00C252B0" w:rsidP="00C252B0">
      <w:r w:rsidRPr="00C252B0">
        <w:t>The primary analysis of immunogenicity was performed on the ATP immunogenicity cohort. Non-inferiority of D-QIV versus Fluarix and TIV-2 was demonstrated for GMT ratios</w:t>
      </w:r>
      <w:r w:rsidR="00B93498">
        <w:t>.</w:t>
      </w:r>
    </w:p>
    <w:p w:rsidR="00C252B0" w:rsidRPr="00C252B0" w:rsidRDefault="00C252B0" w:rsidP="00436190">
      <w:pPr>
        <w:pStyle w:val="ListBullet"/>
      </w:pPr>
      <w:r w:rsidRPr="00C252B0">
        <w:t>The upper limit (UL) of the two-sided 95% CI for the GMT ratio of TIV (pooling Fluarix and TIV-2) over D-QIV was 1.15 for A/California/7/2009 (H1N1) strain and 1.05 for A/Victoria/210/2009 (H3N2) strain, (</w:t>
      </w:r>
      <w:r w:rsidR="00436190">
        <w:t>that is,</w:t>
      </w:r>
      <w:r w:rsidRPr="00C252B0">
        <w:t xml:space="preserve"> not exceeding 1.5)</w:t>
      </w:r>
    </w:p>
    <w:p w:rsidR="00C252B0" w:rsidRPr="00C252B0" w:rsidRDefault="00C252B0" w:rsidP="00436190">
      <w:pPr>
        <w:pStyle w:val="ListBullet"/>
      </w:pPr>
      <w:r w:rsidRPr="00C252B0">
        <w:t>The UL of two-sided 95% CI for the GMT ratio for Fluarix over D-QIV for B/Brisbane/60/2008 (Victoria lineage) strain was 1.09</w:t>
      </w:r>
    </w:p>
    <w:p w:rsidR="00C252B0" w:rsidRPr="00C252B0" w:rsidRDefault="00C252B0" w:rsidP="00436190">
      <w:pPr>
        <w:pStyle w:val="ListBullet"/>
      </w:pPr>
      <w:r w:rsidRPr="00C252B0">
        <w:t>The UL of two-sided 95% CI for the GMT ratio for TIV-2 over D-QIV for B/Brisbane/3/2007 (Yamagata lineage) strain was 1.18</w:t>
      </w:r>
    </w:p>
    <w:p w:rsidR="00C252B0" w:rsidRPr="00C252B0" w:rsidRDefault="00C252B0" w:rsidP="00C252B0">
      <w:r w:rsidRPr="00C252B0">
        <w:t>Non-inferiority of D-QIV versus Fluarix and TIV-2 was also demonstrated for</w:t>
      </w:r>
      <w:r w:rsidR="00B93498">
        <w:t xml:space="preserve"> the difference in SCR results.</w:t>
      </w:r>
    </w:p>
    <w:p w:rsidR="00C252B0" w:rsidRPr="00C252B0" w:rsidRDefault="00C252B0" w:rsidP="00436190">
      <w:pPr>
        <w:pStyle w:val="ListBullet"/>
      </w:pPr>
      <w:r w:rsidRPr="00C252B0">
        <w:t>The UL of the two-sided 95% CI for the difference in SCR of TIV (pooling Fluarix and TIV-2) minus D-QIV was 1.86% for A/California/7/2009 (H1N1) strain and 2.86% for A/Victoria/210/2009 (H3N2) strain ((not exceeding 10%)</w:t>
      </w:r>
    </w:p>
    <w:p w:rsidR="00C252B0" w:rsidRPr="00C252B0" w:rsidRDefault="00C252B0" w:rsidP="00436190">
      <w:pPr>
        <w:pStyle w:val="ListBullet"/>
      </w:pPr>
      <w:r w:rsidRPr="00C252B0">
        <w:t>The UL of two-sided 95% CI for the difference in SCR for Fluarix minus D-QIV for B/Brisbane/60/2008 (Vic</w:t>
      </w:r>
      <w:r w:rsidR="00B93498">
        <w:t>toria lineage) strain was 2.98%</w:t>
      </w:r>
    </w:p>
    <w:p w:rsidR="00C252B0" w:rsidRPr="00C252B0" w:rsidRDefault="00C252B0" w:rsidP="00436190">
      <w:pPr>
        <w:pStyle w:val="ListBullet"/>
      </w:pPr>
      <w:r w:rsidRPr="00C252B0">
        <w:t>The UL of two-sided 95% CI for the difference in SCR for TIV-2 minus D-QIV for B/Brisbane/3/2007 (Yam</w:t>
      </w:r>
      <w:r w:rsidR="004E5566">
        <w:t>agata lineage) strain was 2.65%</w:t>
      </w:r>
    </w:p>
    <w:p w:rsidR="00C252B0" w:rsidRPr="00C252B0" w:rsidRDefault="00C252B0" w:rsidP="00C252B0">
      <w:r w:rsidRPr="00C252B0">
        <w:t>As the percentage of vaccinated individuals with serological results excluded from the ATP cohort exceeded 5%, analysis based on the TVC was performed with results in keeping with those for the ATP cohort for immunogenicity</w:t>
      </w:r>
      <w:r w:rsidR="00982586">
        <w:t>.</w:t>
      </w:r>
    </w:p>
    <w:p w:rsidR="00C252B0" w:rsidRPr="00C252B0" w:rsidRDefault="00C252B0" w:rsidP="004E5566">
      <w:pPr>
        <w:pStyle w:val="TableTitle"/>
      </w:pPr>
      <w:bookmarkStart w:id="104" w:name="_Ref342570308"/>
      <w:proofErr w:type="gramStart"/>
      <w:r w:rsidRPr="00C252B0">
        <w:t xml:space="preserve">Table </w:t>
      </w:r>
      <w:bookmarkEnd w:id="104"/>
      <w:r w:rsidR="00436190">
        <w:t>25.</w:t>
      </w:r>
      <w:proofErr w:type="gramEnd"/>
      <w:r w:rsidRPr="00C252B0">
        <w:t xml:space="preserve"> D-QIV-003 GMT ratios TIV/D-QIV</w:t>
      </w:r>
      <w:r w:rsidR="00B17FB6">
        <w:t xml:space="preserve"> </w:t>
      </w:r>
      <w:r w:rsidRPr="00C252B0">
        <w:t>for A/Califo</w:t>
      </w:r>
      <w:r w:rsidR="00B17FB6">
        <w:t>r</w:t>
      </w:r>
      <w:r w:rsidRPr="00C252B0">
        <w:t>nia, A/Victoria (ATP cohort for immunogenicity)</w:t>
      </w:r>
    </w:p>
    <w:p w:rsidR="00C252B0" w:rsidRPr="00C252B0" w:rsidRDefault="00C252B0" w:rsidP="001E637D">
      <w:r w:rsidRPr="00C252B0">
        <w:rPr>
          <w:noProof/>
          <w:lang w:eastAsia="en-AU"/>
        </w:rPr>
        <w:drawing>
          <wp:inline distT="0" distB="0" distL="0" distR="0">
            <wp:extent cx="4610100" cy="1600200"/>
            <wp:effectExtent l="19050" t="0" r="0" b="0"/>
            <wp:docPr id="163" name="Picture 27" descr="Table 25. D-QIV-003 GMT ratios TIV/D-QIVfor A/Califonia, A/Victoria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4610100" cy="1600200"/>
                    </a:xfrm>
                    <a:prstGeom prst="rect">
                      <a:avLst/>
                    </a:prstGeom>
                    <a:noFill/>
                    <a:ln w="9525">
                      <a:noFill/>
                      <a:miter lim="800000"/>
                      <a:headEnd/>
                      <a:tailEnd/>
                    </a:ln>
                  </pic:spPr>
                </pic:pic>
              </a:graphicData>
            </a:graphic>
          </wp:inline>
        </w:drawing>
      </w:r>
    </w:p>
    <w:p w:rsidR="00C252B0" w:rsidRPr="00C252B0" w:rsidRDefault="00C252B0" w:rsidP="004E5566">
      <w:pPr>
        <w:pStyle w:val="TableTitle"/>
      </w:pPr>
      <w:bookmarkStart w:id="105" w:name="_Ref342570318"/>
      <w:bookmarkStart w:id="106" w:name="_Ref342570765"/>
      <w:proofErr w:type="gramStart"/>
      <w:r w:rsidRPr="00C252B0">
        <w:lastRenderedPageBreak/>
        <w:t>Table</w:t>
      </w:r>
      <w:bookmarkEnd w:id="105"/>
      <w:r w:rsidR="00436190">
        <w:t xml:space="preserve"> 26.</w:t>
      </w:r>
      <w:proofErr w:type="gramEnd"/>
      <w:r w:rsidRPr="00C252B0">
        <w:t xml:space="preserve"> D-QIV-003 GMT ratios Fluarix/D-QIV for B/Victoria (ATP cohort for immunogenicity)</w:t>
      </w:r>
      <w:bookmarkEnd w:id="106"/>
    </w:p>
    <w:p w:rsidR="00C252B0" w:rsidRPr="00C252B0" w:rsidRDefault="00C252B0" w:rsidP="00C252B0">
      <w:r w:rsidRPr="00C252B0">
        <w:rPr>
          <w:noProof/>
          <w:lang w:eastAsia="en-AU"/>
        </w:rPr>
        <w:drawing>
          <wp:inline distT="0" distB="0" distL="0" distR="0">
            <wp:extent cx="4752975" cy="1419225"/>
            <wp:effectExtent l="19050" t="0" r="9525" b="0"/>
            <wp:docPr id="164" name="Picture 28" descr="Table 26. D-QIV-003 GMT ratios Fluarix/D-QIV for B/Victoria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4752975" cy="1419225"/>
                    </a:xfrm>
                    <a:prstGeom prst="rect">
                      <a:avLst/>
                    </a:prstGeom>
                    <a:noFill/>
                    <a:ln w="9525">
                      <a:noFill/>
                      <a:miter lim="800000"/>
                      <a:headEnd/>
                      <a:tailEnd/>
                    </a:ln>
                  </pic:spPr>
                </pic:pic>
              </a:graphicData>
            </a:graphic>
          </wp:inline>
        </w:drawing>
      </w:r>
    </w:p>
    <w:p w:rsidR="00C252B0" w:rsidRPr="00C252B0" w:rsidRDefault="00C252B0" w:rsidP="004E5566">
      <w:pPr>
        <w:pStyle w:val="TableTitle"/>
      </w:pPr>
      <w:bookmarkStart w:id="107" w:name="_Ref342571383"/>
      <w:bookmarkStart w:id="108" w:name="_Ref342571362"/>
      <w:proofErr w:type="gramStart"/>
      <w:r w:rsidRPr="00C252B0">
        <w:t xml:space="preserve">Table </w:t>
      </w:r>
      <w:bookmarkEnd w:id="107"/>
      <w:r w:rsidR="00436190">
        <w:t>27.</w:t>
      </w:r>
      <w:proofErr w:type="gramEnd"/>
      <w:r w:rsidRPr="00C252B0">
        <w:t xml:space="preserve"> D-QIV-003 GMT ratioTIV-2/D-QIV for B/Yamagata (ATP cohort for immunogenicity)</w:t>
      </w:r>
      <w:bookmarkEnd w:id="108"/>
    </w:p>
    <w:p w:rsidR="00C252B0" w:rsidRPr="00C252B0" w:rsidRDefault="00C252B0" w:rsidP="00C252B0">
      <w:r w:rsidRPr="00C252B0">
        <w:rPr>
          <w:noProof/>
          <w:lang w:eastAsia="en-AU"/>
        </w:rPr>
        <w:drawing>
          <wp:inline distT="0" distB="0" distL="0" distR="0">
            <wp:extent cx="4429125" cy="1438275"/>
            <wp:effectExtent l="19050" t="0" r="9525" b="0"/>
            <wp:docPr id="165" name="Picture 29" descr="Table 27. D-QIV-003 GMT ratioTIV-2/D-QIV for B/Yamagata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4429125" cy="1438275"/>
                    </a:xfrm>
                    <a:prstGeom prst="rect">
                      <a:avLst/>
                    </a:prstGeom>
                    <a:noFill/>
                    <a:ln w="9525">
                      <a:noFill/>
                      <a:miter lim="800000"/>
                      <a:headEnd/>
                      <a:tailEnd/>
                    </a:ln>
                  </pic:spPr>
                </pic:pic>
              </a:graphicData>
            </a:graphic>
          </wp:inline>
        </w:drawing>
      </w:r>
    </w:p>
    <w:p w:rsidR="00C252B0" w:rsidRPr="00C252B0" w:rsidRDefault="00C252B0" w:rsidP="004E5566">
      <w:pPr>
        <w:pStyle w:val="TableTitle"/>
      </w:pPr>
      <w:proofErr w:type="gramStart"/>
      <w:r w:rsidRPr="00C252B0">
        <w:t xml:space="preserve">Table </w:t>
      </w:r>
      <w:r w:rsidR="00436190">
        <w:t>28.</w:t>
      </w:r>
      <w:proofErr w:type="gramEnd"/>
      <w:r w:rsidRPr="00C252B0">
        <w:t xml:space="preserve"> D-QIV-003 TIV minus D-QIV SCR for A/California, A/Victoria (ATP cohort for immunogenicity)</w:t>
      </w:r>
    </w:p>
    <w:p w:rsidR="00C252B0" w:rsidRPr="00C252B0" w:rsidRDefault="00C252B0" w:rsidP="00C252B0">
      <w:r w:rsidRPr="00C252B0">
        <w:rPr>
          <w:noProof/>
          <w:lang w:eastAsia="en-AU"/>
        </w:rPr>
        <w:drawing>
          <wp:inline distT="0" distB="0" distL="0" distR="0">
            <wp:extent cx="4495800" cy="1724025"/>
            <wp:effectExtent l="19050" t="0" r="0" b="0"/>
            <wp:docPr id="166" name="Picture 30" descr="Table 28. D-QIV-003 TIV minus D-QIV SCR for A/California, A/Victoria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4495800" cy="1724025"/>
                    </a:xfrm>
                    <a:prstGeom prst="rect">
                      <a:avLst/>
                    </a:prstGeom>
                    <a:noFill/>
                    <a:ln w="9525">
                      <a:noFill/>
                      <a:miter lim="800000"/>
                      <a:headEnd/>
                      <a:tailEnd/>
                    </a:ln>
                  </pic:spPr>
                </pic:pic>
              </a:graphicData>
            </a:graphic>
          </wp:inline>
        </w:drawing>
      </w:r>
    </w:p>
    <w:p w:rsidR="00C252B0" w:rsidRPr="00C252B0" w:rsidRDefault="00C252B0" w:rsidP="004E5566">
      <w:pPr>
        <w:pStyle w:val="TableTitle"/>
      </w:pPr>
      <w:proofErr w:type="gramStart"/>
      <w:r w:rsidRPr="00C252B0">
        <w:t>Table</w:t>
      </w:r>
      <w:r w:rsidR="00436190">
        <w:t xml:space="preserve"> 29.</w:t>
      </w:r>
      <w:proofErr w:type="gramEnd"/>
      <w:r w:rsidRPr="00C252B0">
        <w:t xml:space="preserve"> D-QIV-003 Fluarix minus D-QIV SCR for B/Victoria (ATP cohort for immunogenicity)</w:t>
      </w:r>
    </w:p>
    <w:p w:rsidR="00C252B0" w:rsidRPr="00C252B0" w:rsidRDefault="00C252B0" w:rsidP="001E637D">
      <w:r w:rsidRPr="00C252B0">
        <w:rPr>
          <w:noProof/>
          <w:lang w:eastAsia="en-AU"/>
        </w:rPr>
        <w:drawing>
          <wp:inline distT="0" distB="0" distL="0" distR="0">
            <wp:extent cx="4867275" cy="1571625"/>
            <wp:effectExtent l="19050" t="0" r="9525" b="0"/>
            <wp:docPr id="167" name="Picture 31" descr="Table 29. D-QIV-003 Fluarix minus D-QIV SCR for B/Victoria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4867275" cy="1571625"/>
                    </a:xfrm>
                    <a:prstGeom prst="rect">
                      <a:avLst/>
                    </a:prstGeom>
                    <a:noFill/>
                    <a:ln w="9525">
                      <a:noFill/>
                      <a:miter lim="800000"/>
                      <a:headEnd/>
                      <a:tailEnd/>
                    </a:ln>
                  </pic:spPr>
                </pic:pic>
              </a:graphicData>
            </a:graphic>
          </wp:inline>
        </w:drawing>
      </w:r>
    </w:p>
    <w:p w:rsidR="00C252B0" w:rsidRPr="00C252B0" w:rsidRDefault="00C252B0" w:rsidP="004E5566">
      <w:pPr>
        <w:pStyle w:val="TableTitle"/>
      </w:pPr>
      <w:bookmarkStart w:id="109" w:name="_Ref342571356"/>
      <w:proofErr w:type="gramStart"/>
      <w:r w:rsidRPr="00C252B0">
        <w:lastRenderedPageBreak/>
        <w:t xml:space="preserve">Table </w:t>
      </w:r>
      <w:bookmarkEnd w:id="109"/>
      <w:r w:rsidR="00436190">
        <w:t>30.</w:t>
      </w:r>
      <w:proofErr w:type="gramEnd"/>
      <w:r w:rsidRPr="00C252B0">
        <w:t xml:space="preserve"> D-QIV-003 TIV-2 minus D-QIV SCR for B-Yamagata (ATP cohort for immunogenicity)</w:t>
      </w:r>
    </w:p>
    <w:p w:rsidR="00C252B0" w:rsidRPr="00C252B0" w:rsidRDefault="00C252B0" w:rsidP="004E5566">
      <w:r w:rsidRPr="00C252B0">
        <w:rPr>
          <w:noProof/>
          <w:lang w:eastAsia="en-AU"/>
        </w:rPr>
        <w:drawing>
          <wp:inline distT="0" distB="0" distL="0" distR="0" wp14:anchorId="3BCC577F" wp14:editId="29457EC7">
            <wp:extent cx="4905375" cy="1666875"/>
            <wp:effectExtent l="19050" t="0" r="9525" b="0"/>
            <wp:docPr id="168" name="Picture 32" descr="Table 30. D-QIV-003 TIV-2 minus D-QIV SCR for B-Yamagata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4905375" cy="1666875"/>
                    </a:xfrm>
                    <a:prstGeom prst="rect">
                      <a:avLst/>
                    </a:prstGeom>
                    <a:noFill/>
                    <a:ln w="9525">
                      <a:noFill/>
                      <a:miter lim="800000"/>
                      <a:headEnd/>
                      <a:tailEnd/>
                    </a:ln>
                  </pic:spPr>
                </pic:pic>
              </a:graphicData>
            </a:graphic>
          </wp:inline>
        </w:drawing>
      </w:r>
    </w:p>
    <w:p w:rsidR="00C252B0" w:rsidRPr="00C252B0" w:rsidRDefault="00C252B0" w:rsidP="00FD39AA">
      <w:pPr>
        <w:pStyle w:val="Heading6"/>
      </w:pPr>
      <w:r w:rsidRPr="00C252B0">
        <w:t xml:space="preserve">Secondary </w:t>
      </w:r>
      <w:r w:rsidRPr="00F95C6D">
        <w:t>o</w:t>
      </w:r>
      <w:r w:rsidRPr="00C252B0">
        <w:t>bjectives</w:t>
      </w:r>
    </w:p>
    <w:p w:rsidR="00C252B0" w:rsidRPr="00C252B0" w:rsidRDefault="00C252B0" w:rsidP="00F95C6D">
      <w:r w:rsidRPr="00C252B0">
        <w:t xml:space="preserve">For the vaccine B strain not included in the TIV vaccines, superiority of D-QIV versus the two TIV vaccines was demonstrated in protocol defined terms. </w:t>
      </w:r>
      <w:proofErr w:type="gramStart"/>
      <w:r w:rsidRPr="00C252B0">
        <w:t>(</w:t>
      </w:r>
      <w:r w:rsidR="00FD39AA">
        <w:t>Tables 31-34</w:t>
      </w:r>
      <w:r w:rsidRPr="00C252B0">
        <w:t>)</w:t>
      </w:r>
      <w:r w:rsidR="00FD39AA">
        <w:t>.</w:t>
      </w:r>
      <w:proofErr w:type="gramEnd"/>
    </w:p>
    <w:p w:rsidR="00C252B0" w:rsidRPr="00F95C6D" w:rsidRDefault="00C252B0" w:rsidP="00F95C6D">
      <w:pPr>
        <w:pStyle w:val="ListBullet"/>
      </w:pPr>
      <w:r w:rsidRPr="00C252B0">
        <w:t xml:space="preserve">The lower limit (LL) of the two-sided 95% CI for the GMT ratio for D-QIV over Fluarix for B/Brisbane/3/2007 (Yamagata lineage) </w:t>
      </w:r>
      <w:r w:rsidRPr="00F95C6D">
        <w:t>strain was 2.36 (</w:t>
      </w:r>
      <w:r w:rsidR="00FD39AA" w:rsidRPr="00F95C6D">
        <w:t>that is,</w:t>
      </w:r>
      <w:r w:rsidRPr="00F95C6D">
        <w:t xml:space="preserve"> greater than 1)</w:t>
      </w:r>
    </w:p>
    <w:p w:rsidR="00C252B0" w:rsidRPr="00F95C6D" w:rsidRDefault="00C252B0" w:rsidP="00F95C6D">
      <w:pPr>
        <w:pStyle w:val="ListBullet"/>
      </w:pPr>
      <w:r w:rsidRPr="00F95C6D">
        <w:t>The LL of the two-sided 95% CI for the GMT ratio of D-QIV over TIV-2 for B/Brisbane/60/2008 (Victoria lineage) strain was 2.63</w:t>
      </w:r>
    </w:p>
    <w:p w:rsidR="00C252B0" w:rsidRPr="00F95C6D" w:rsidRDefault="00C252B0" w:rsidP="00F95C6D">
      <w:pPr>
        <w:pStyle w:val="ListBullet"/>
      </w:pPr>
      <w:r w:rsidRPr="00F95C6D">
        <w:t xml:space="preserve">The LL of the two-sided 95% CI for the difference in SCR for D-QIV over </w:t>
      </w:r>
      <w:proofErr w:type="spellStart"/>
      <w:r w:rsidRPr="00F95C6D">
        <w:t>Fluarix</w:t>
      </w:r>
      <w:proofErr w:type="spellEnd"/>
      <w:r w:rsidRPr="00F95C6D">
        <w:t xml:space="preserve"> for B/Brisbane/3/2007 (Yamagata lineage) strain was 30.87% (</w:t>
      </w:r>
      <w:r w:rsidR="00FD39AA" w:rsidRPr="00F95C6D">
        <w:t>that is,</w:t>
      </w:r>
      <w:r w:rsidRPr="00F95C6D">
        <w:t xml:space="preserve"> greater than zero)</w:t>
      </w:r>
    </w:p>
    <w:p w:rsidR="00C252B0" w:rsidRPr="00F95C6D" w:rsidRDefault="00C252B0" w:rsidP="00F95C6D">
      <w:pPr>
        <w:pStyle w:val="ListBullet"/>
      </w:pPr>
      <w:r w:rsidRPr="00F95C6D">
        <w:t>The LL of the two-sided 95% CI for the difference in SCR of D-QIV over TIV- 2 for B/Brisbane/60/2008 (Victoria lineage) strain was 35.78%</w:t>
      </w:r>
    </w:p>
    <w:p w:rsidR="00C252B0" w:rsidRPr="00C252B0" w:rsidRDefault="00C252B0" w:rsidP="00F95C6D">
      <w:pPr>
        <w:pStyle w:val="TableTitle"/>
      </w:pPr>
      <w:bookmarkStart w:id="110" w:name="_Ref342571957"/>
      <w:bookmarkStart w:id="111" w:name="_Ref342571971"/>
      <w:proofErr w:type="gramStart"/>
      <w:r w:rsidRPr="00C252B0">
        <w:t>Table</w:t>
      </w:r>
      <w:bookmarkEnd w:id="110"/>
      <w:r w:rsidR="00FD39AA">
        <w:t xml:space="preserve"> 31.</w:t>
      </w:r>
      <w:proofErr w:type="gramEnd"/>
      <w:r w:rsidRPr="00C252B0">
        <w:t xml:space="preserve"> D-QIV-003 GMT ratio D-QIV/Fluarix for B/Yamagata strain (ATP cohort for immunogenicity)</w:t>
      </w:r>
      <w:bookmarkEnd w:id="111"/>
    </w:p>
    <w:p w:rsidR="00C252B0" w:rsidRPr="00C252B0" w:rsidRDefault="00C252B0" w:rsidP="00C252B0">
      <w:r w:rsidRPr="00C252B0">
        <w:rPr>
          <w:noProof/>
          <w:lang w:eastAsia="en-AU"/>
        </w:rPr>
        <w:drawing>
          <wp:inline distT="0" distB="0" distL="0" distR="0">
            <wp:extent cx="4610100" cy="1628775"/>
            <wp:effectExtent l="19050" t="0" r="0" b="0"/>
            <wp:docPr id="169" name="Picture 33" descr="Table 31. D-QIV-003 GMT ratio D-QIV/Fluarix for B/Yamagata strain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a:stretch>
                      <a:fillRect/>
                    </a:stretch>
                  </pic:blipFill>
                  <pic:spPr bwMode="auto">
                    <a:xfrm>
                      <a:off x="0" y="0"/>
                      <a:ext cx="4610100" cy="1628775"/>
                    </a:xfrm>
                    <a:prstGeom prst="rect">
                      <a:avLst/>
                    </a:prstGeom>
                    <a:noFill/>
                    <a:ln w="9525">
                      <a:noFill/>
                      <a:miter lim="800000"/>
                      <a:headEnd/>
                      <a:tailEnd/>
                    </a:ln>
                  </pic:spPr>
                </pic:pic>
              </a:graphicData>
            </a:graphic>
          </wp:inline>
        </w:drawing>
      </w:r>
    </w:p>
    <w:p w:rsidR="00C252B0" w:rsidRPr="00C252B0" w:rsidRDefault="00C252B0" w:rsidP="00F95C6D">
      <w:pPr>
        <w:pStyle w:val="TableTitle"/>
      </w:pPr>
      <w:proofErr w:type="gramStart"/>
      <w:r w:rsidRPr="00C252B0">
        <w:t>Table</w:t>
      </w:r>
      <w:r w:rsidR="00FD39AA">
        <w:t xml:space="preserve"> 32.</w:t>
      </w:r>
      <w:proofErr w:type="gramEnd"/>
      <w:r w:rsidRPr="00C252B0">
        <w:t xml:space="preserve"> D-QIV-003 GMT ratio D-QIV/TIV-2 for B-Victoria strain (ATP cohort for immunogenicity)</w:t>
      </w:r>
    </w:p>
    <w:p w:rsidR="00C252B0" w:rsidRPr="00C252B0" w:rsidRDefault="00C252B0" w:rsidP="00C252B0">
      <w:r w:rsidRPr="00C252B0">
        <w:rPr>
          <w:noProof/>
          <w:lang w:eastAsia="en-AU"/>
        </w:rPr>
        <w:drawing>
          <wp:inline distT="0" distB="0" distL="0" distR="0">
            <wp:extent cx="4600575" cy="1638300"/>
            <wp:effectExtent l="19050" t="0" r="9525" b="0"/>
            <wp:docPr id="170" name="Picture 34" descr="Table 32. D-QIV-003 GMT ratio D-QIV/TIV-2 for B-Victoria strain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4600575" cy="1638300"/>
                    </a:xfrm>
                    <a:prstGeom prst="rect">
                      <a:avLst/>
                    </a:prstGeom>
                    <a:noFill/>
                    <a:ln w="9525">
                      <a:noFill/>
                      <a:miter lim="800000"/>
                      <a:headEnd/>
                      <a:tailEnd/>
                    </a:ln>
                  </pic:spPr>
                </pic:pic>
              </a:graphicData>
            </a:graphic>
          </wp:inline>
        </w:drawing>
      </w:r>
    </w:p>
    <w:p w:rsidR="00C252B0" w:rsidRPr="00C252B0" w:rsidRDefault="00C252B0" w:rsidP="00F95C6D">
      <w:pPr>
        <w:pStyle w:val="TableTitle"/>
      </w:pPr>
      <w:proofErr w:type="gramStart"/>
      <w:r w:rsidRPr="00C252B0">
        <w:lastRenderedPageBreak/>
        <w:t>Table</w:t>
      </w:r>
      <w:r w:rsidR="00FD39AA">
        <w:t xml:space="preserve"> 33.</w:t>
      </w:r>
      <w:proofErr w:type="gramEnd"/>
      <w:r w:rsidRPr="00C252B0">
        <w:t xml:space="preserve"> D-QIV-003D-QIV minus Fluarix SCRs for B/Yamagata strain (ATP cohort for immunogenicity)</w:t>
      </w:r>
    </w:p>
    <w:p w:rsidR="00C252B0" w:rsidRPr="00C252B0" w:rsidRDefault="00C252B0" w:rsidP="00C252B0">
      <w:r w:rsidRPr="00C252B0">
        <w:rPr>
          <w:noProof/>
          <w:lang w:eastAsia="en-AU"/>
        </w:rPr>
        <w:drawing>
          <wp:inline distT="0" distB="0" distL="0" distR="0">
            <wp:extent cx="4572000" cy="1762125"/>
            <wp:effectExtent l="19050" t="0" r="0" b="0"/>
            <wp:docPr id="171" name="Picture 35" descr="Table 33. D-QIV-003D-QIV minus Fluarix SCRs for B/Yamagata strain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srcRect/>
                    <a:stretch>
                      <a:fillRect/>
                    </a:stretch>
                  </pic:blipFill>
                  <pic:spPr bwMode="auto">
                    <a:xfrm>
                      <a:off x="0" y="0"/>
                      <a:ext cx="4572000" cy="1762125"/>
                    </a:xfrm>
                    <a:prstGeom prst="rect">
                      <a:avLst/>
                    </a:prstGeom>
                    <a:noFill/>
                    <a:ln w="9525">
                      <a:noFill/>
                      <a:miter lim="800000"/>
                      <a:headEnd/>
                      <a:tailEnd/>
                    </a:ln>
                  </pic:spPr>
                </pic:pic>
              </a:graphicData>
            </a:graphic>
          </wp:inline>
        </w:drawing>
      </w:r>
    </w:p>
    <w:p w:rsidR="00C252B0" w:rsidRPr="00C252B0" w:rsidRDefault="00C252B0" w:rsidP="00F95C6D">
      <w:pPr>
        <w:pStyle w:val="TableTitle"/>
      </w:pPr>
      <w:bookmarkStart w:id="112" w:name="_Ref342571959"/>
      <w:bookmarkStart w:id="113" w:name="_Ref342571976"/>
      <w:proofErr w:type="gramStart"/>
      <w:r w:rsidRPr="00C252B0">
        <w:t>Table</w:t>
      </w:r>
      <w:r w:rsidR="00FD39AA">
        <w:t xml:space="preserve"> 34.</w:t>
      </w:r>
      <w:bookmarkEnd w:id="112"/>
      <w:proofErr w:type="gramEnd"/>
      <w:r w:rsidRPr="00C252B0">
        <w:t xml:space="preserve"> D-QIV-3 D-QIV minus TIV-2 SCRs for B/Victoria strain (ATP cohort for immunogenicity)</w:t>
      </w:r>
      <w:bookmarkEnd w:id="113"/>
    </w:p>
    <w:p w:rsidR="00C252B0" w:rsidRPr="00C252B0" w:rsidRDefault="00C252B0" w:rsidP="00C252B0">
      <w:r w:rsidRPr="00C252B0">
        <w:rPr>
          <w:noProof/>
          <w:lang w:eastAsia="en-AU"/>
        </w:rPr>
        <w:drawing>
          <wp:inline distT="0" distB="0" distL="0" distR="0">
            <wp:extent cx="4600575" cy="1762125"/>
            <wp:effectExtent l="19050" t="0" r="9525" b="0"/>
            <wp:docPr id="172" name="Picture 36" descr="Table 34. D-QIV-3 D-QIV minus TIV-2 SCRs for B/Victoria strain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a:stretch>
                      <a:fillRect/>
                    </a:stretch>
                  </pic:blipFill>
                  <pic:spPr bwMode="auto">
                    <a:xfrm>
                      <a:off x="0" y="0"/>
                      <a:ext cx="4600575" cy="1762125"/>
                    </a:xfrm>
                    <a:prstGeom prst="rect">
                      <a:avLst/>
                    </a:prstGeom>
                    <a:noFill/>
                    <a:ln w="9525">
                      <a:noFill/>
                      <a:miter lim="800000"/>
                      <a:headEnd/>
                      <a:tailEnd/>
                    </a:ln>
                  </pic:spPr>
                </pic:pic>
              </a:graphicData>
            </a:graphic>
          </wp:inline>
        </w:drawing>
      </w:r>
    </w:p>
    <w:p w:rsidR="00C252B0" w:rsidRPr="00C252B0" w:rsidRDefault="00C252B0" w:rsidP="00FD39AA">
      <w:pPr>
        <w:pStyle w:val="Heading6"/>
      </w:pPr>
      <w:r w:rsidRPr="00C252B0">
        <w:t>Seropositivity rates</w:t>
      </w:r>
    </w:p>
    <w:p w:rsidR="00C252B0" w:rsidRPr="00C252B0" w:rsidRDefault="00C252B0" w:rsidP="00C252B0">
      <w:r w:rsidRPr="00C252B0">
        <w:t xml:space="preserve">Seropositivity rates following vaccination were 99.4% in each group for the four strains. GMTs </w:t>
      </w:r>
      <w:r w:rsidR="00692B0F">
        <w:t xml:space="preserve">post </w:t>
      </w:r>
      <w:proofErr w:type="gramStart"/>
      <w:r w:rsidR="00692B0F">
        <w:t>vaccination</w:t>
      </w:r>
      <w:r w:rsidRPr="00C252B0">
        <w:t xml:space="preserve"> were</w:t>
      </w:r>
      <w:proofErr w:type="gramEnd"/>
      <w:r w:rsidRPr="00C252B0">
        <w:t xml:space="preserve"> as follows:</w:t>
      </w:r>
    </w:p>
    <w:p w:rsidR="00C252B0" w:rsidRPr="00C252B0" w:rsidRDefault="00C252B0" w:rsidP="00FD39AA">
      <w:pPr>
        <w:pStyle w:val="ListBullet"/>
      </w:pPr>
      <w:r w:rsidRPr="00C252B0">
        <w:t>A/California/7/2009 (H1N1): D-QIV: 386, Fluarix: 433: TIV-2: 422.</w:t>
      </w:r>
    </w:p>
    <w:p w:rsidR="00C252B0" w:rsidRPr="00C252B0" w:rsidRDefault="00C252B0" w:rsidP="00FD39AA">
      <w:pPr>
        <w:pStyle w:val="ListBullet"/>
      </w:pPr>
      <w:r w:rsidRPr="00C252B0">
        <w:t>A/Victoria/210/2009 (H3N2): D-QIV: 229, Fluarix 227 TIV-2: 234.</w:t>
      </w:r>
    </w:p>
    <w:p w:rsidR="00C252B0" w:rsidRPr="00C252B0" w:rsidRDefault="00C252B0" w:rsidP="00FD39AA">
      <w:pPr>
        <w:pStyle w:val="ListBullet"/>
      </w:pPr>
      <w:r w:rsidRPr="00C252B0">
        <w:t>B/Victoria lineage)</w:t>
      </w:r>
      <w:proofErr w:type="gramStart"/>
      <w:r w:rsidRPr="00C252B0">
        <w:t>:D</w:t>
      </w:r>
      <w:proofErr w:type="gramEnd"/>
      <w:r w:rsidRPr="00C252B0">
        <w:t>-QIV: 244, Fluarix: 246 for Fluarix and TIV-2: 88 (TIV-2 did not contain B/Victoria).</w:t>
      </w:r>
    </w:p>
    <w:p w:rsidR="00C252B0" w:rsidRPr="00C252B0" w:rsidRDefault="00C252B0" w:rsidP="00FD39AA">
      <w:pPr>
        <w:pStyle w:val="ListBullet"/>
      </w:pPr>
      <w:r w:rsidRPr="00C252B0">
        <w:t>B/Yamagata lineage): D-QIV: 570, Fluarix: 643, TIV-2: 225 for Fluarix. (TIV-1 did not contain B/Yamagata)</w:t>
      </w:r>
    </w:p>
    <w:p w:rsidR="00C252B0" w:rsidRPr="00C252B0" w:rsidRDefault="00C252B0" w:rsidP="00FD39AA">
      <w:pPr>
        <w:pStyle w:val="Heading6"/>
      </w:pPr>
      <w:r w:rsidRPr="00C252B0">
        <w:t>Seroconversion rates</w:t>
      </w:r>
    </w:p>
    <w:p w:rsidR="00C252B0" w:rsidRPr="00C252B0" w:rsidRDefault="00C252B0" w:rsidP="00C252B0">
      <w:r w:rsidRPr="00C252B0">
        <w:t xml:space="preserve">Seroconversion rates are summarised in </w:t>
      </w:r>
      <w:r w:rsidR="00FD39AA">
        <w:t>Table 35</w:t>
      </w:r>
      <w:r w:rsidRPr="00C252B0">
        <w:t xml:space="preserve"> and </w:t>
      </w:r>
      <w:r w:rsidR="00FD39AA">
        <w:t xml:space="preserve">Figure </w:t>
      </w:r>
      <w:r w:rsidR="00257136">
        <w:t>5</w:t>
      </w:r>
      <w:r w:rsidR="00FD39AA">
        <w:t xml:space="preserve"> below.</w:t>
      </w:r>
    </w:p>
    <w:p w:rsidR="00C252B0" w:rsidRPr="00F95C6D" w:rsidRDefault="00C252B0" w:rsidP="00F95C6D">
      <w:pPr>
        <w:pStyle w:val="ListBullet"/>
      </w:pPr>
      <w:r w:rsidRPr="00F95C6D">
        <w:t xml:space="preserve">A/California/7/2009 (H1N1): D-QIV: 91.4%, </w:t>
      </w:r>
      <w:proofErr w:type="spellStart"/>
      <w:r w:rsidRPr="00F95C6D">
        <w:t>Fluarix</w:t>
      </w:r>
      <w:proofErr w:type="spellEnd"/>
      <w:r w:rsidRPr="00F95C6D">
        <w:t>: 89.9%: TIV-2: 91.6%.</w:t>
      </w:r>
    </w:p>
    <w:p w:rsidR="00C252B0" w:rsidRPr="00F95C6D" w:rsidRDefault="00C252B0" w:rsidP="00F95C6D">
      <w:pPr>
        <w:pStyle w:val="ListBullet"/>
      </w:pPr>
      <w:r w:rsidRPr="00F95C6D">
        <w:t>A/Victoria/210/2009 (H3N2): D-QIV:</w:t>
      </w:r>
      <w:r w:rsidR="00AB431A" w:rsidRPr="00F95C6D">
        <w:t xml:space="preserve"> </w:t>
      </w:r>
      <w:r w:rsidRPr="00F95C6D">
        <w:t xml:space="preserve">72.3%, </w:t>
      </w:r>
      <w:proofErr w:type="spellStart"/>
      <w:r w:rsidRPr="00F95C6D">
        <w:t>Fluarix</w:t>
      </w:r>
      <w:proofErr w:type="spellEnd"/>
      <w:r w:rsidRPr="00F95C6D">
        <w:t xml:space="preserve"> 70.7% TIV-2: 71.9%.</w:t>
      </w:r>
    </w:p>
    <w:p w:rsidR="00C252B0" w:rsidRPr="00F95C6D" w:rsidRDefault="00C252B0" w:rsidP="00F95C6D">
      <w:pPr>
        <w:pStyle w:val="ListBullet"/>
      </w:pPr>
      <w:r w:rsidRPr="00F95C6D">
        <w:t>B/Brisbane/60/2008 (Victoria lineage)</w:t>
      </w:r>
      <w:proofErr w:type="gramStart"/>
      <w:r w:rsidRPr="00F95C6D">
        <w:t>:D</w:t>
      </w:r>
      <w:proofErr w:type="gramEnd"/>
      <w:r w:rsidRPr="00F95C6D">
        <w:t xml:space="preserve">-QIV: 70.0%, </w:t>
      </w:r>
      <w:proofErr w:type="spellStart"/>
      <w:r w:rsidRPr="00F95C6D">
        <w:t>Fluarix</w:t>
      </w:r>
      <w:proofErr w:type="spellEnd"/>
      <w:r w:rsidRPr="00F95C6D">
        <w:t>: 6</w:t>
      </w:r>
      <w:r w:rsidR="00F95C6D" w:rsidRPr="00F95C6D">
        <w:t xml:space="preserve">8.5%for </w:t>
      </w:r>
      <w:proofErr w:type="spellStart"/>
      <w:r w:rsidR="00F95C6D" w:rsidRPr="00F95C6D">
        <w:t>Fluarix</w:t>
      </w:r>
      <w:proofErr w:type="spellEnd"/>
      <w:r w:rsidR="00F95C6D" w:rsidRPr="00F95C6D">
        <w:t xml:space="preserve"> andTIV-2: 29.6%.</w:t>
      </w:r>
    </w:p>
    <w:p w:rsidR="00C252B0" w:rsidRPr="00F95C6D" w:rsidRDefault="00C252B0" w:rsidP="00F95C6D">
      <w:pPr>
        <w:pStyle w:val="ListBullet"/>
      </w:pPr>
      <w:r w:rsidRPr="00F95C6D">
        <w:t xml:space="preserve">B/Brisbane/3/2007 (Yamagata lineage): D-QIV: 72.5%, </w:t>
      </w:r>
      <w:proofErr w:type="spellStart"/>
      <w:r w:rsidRPr="00F95C6D">
        <w:t>Fluarix</w:t>
      </w:r>
      <w:proofErr w:type="spellEnd"/>
      <w:r w:rsidRPr="00F95C6D">
        <w:t>: 37.0%, TIV-</w:t>
      </w:r>
      <w:r w:rsidR="00F95C6D" w:rsidRPr="00F95C6D">
        <w:t xml:space="preserve">2: 70.8% for </w:t>
      </w:r>
      <w:proofErr w:type="spellStart"/>
      <w:r w:rsidR="00F95C6D" w:rsidRPr="00F95C6D">
        <w:t>Fluarix</w:t>
      </w:r>
      <w:proofErr w:type="spellEnd"/>
      <w:r w:rsidR="00F95C6D" w:rsidRPr="00F95C6D">
        <w:t>. TIV-1.</w:t>
      </w:r>
    </w:p>
    <w:p w:rsidR="00C252B0" w:rsidRPr="00C252B0" w:rsidRDefault="00C252B0" w:rsidP="00F95C6D">
      <w:pPr>
        <w:pStyle w:val="TableTitle"/>
      </w:pPr>
      <w:bookmarkStart w:id="114" w:name="_Ref341775119"/>
      <w:bookmarkStart w:id="115" w:name="_Ref341775122"/>
      <w:proofErr w:type="gramStart"/>
      <w:r w:rsidRPr="00C252B0">
        <w:lastRenderedPageBreak/>
        <w:t>Table</w:t>
      </w:r>
      <w:r w:rsidR="00FD39AA">
        <w:t xml:space="preserve"> 35</w:t>
      </w:r>
      <w:bookmarkEnd w:id="114"/>
      <w:r w:rsidR="00FD39AA">
        <w:t>.</w:t>
      </w:r>
      <w:proofErr w:type="gramEnd"/>
      <w:r w:rsidRPr="00C252B0">
        <w:t xml:space="preserve"> D-QIV-003 Seroconversion rate for HI antibody titres at Day 28 or 56 (ATP cohort for immunogenicity)</w:t>
      </w:r>
      <w:bookmarkEnd w:id="115"/>
    </w:p>
    <w:p w:rsidR="00C252B0" w:rsidRPr="00C252B0" w:rsidRDefault="00C252B0" w:rsidP="00F95C6D">
      <w:r w:rsidRPr="00C252B0">
        <w:rPr>
          <w:noProof/>
          <w:lang w:eastAsia="en-AU"/>
        </w:rPr>
        <w:drawing>
          <wp:inline distT="0" distB="0" distL="0" distR="0" wp14:anchorId="58C4CAE5" wp14:editId="10A8AAC8">
            <wp:extent cx="5000625" cy="3914775"/>
            <wp:effectExtent l="19050" t="0" r="9525" b="0"/>
            <wp:docPr id="173" name="Picture 37" descr="Table 35. D-QIV-003 Seroconversion rate for HI antibody titres at Day 28 or 56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5000625" cy="3914775"/>
                    </a:xfrm>
                    <a:prstGeom prst="rect">
                      <a:avLst/>
                    </a:prstGeom>
                    <a:noFill/>
                    <a:ln w="9525">
                      <a:noFill/>
                      <a:miter lim="800000"/>
                      <a:headEnd/>
                      <a:tailEnd/>
                    </a:ln>
                  </pic:spPr>
                </pic:pic>
              </a:graphicData>
            </a:graphic>
          </wp:inline>
        </w:drawing>
      </w:r>
    </w:p>
    <w:p w:rsidR="00C252B0" w:rsidRPr="00C252B0" w:rsidRDefault="00C252B0" w:rsidP="00257136">
      <w:pPr>
        <w:pStyle w:val="FigureTitle"/>
        <w:keepNext/>
      </w:pPr>
      <w:bookmarkStart w:id="116" w:name="_Ref341775134"/>
      <w:bookmarkStart w:id="117" w:name="_Ref341775137"/>
      <w:proofErr w:type="gramStart"/>
      <w:r w:rsidRPr="00C252B0">
        <w:t>Figure</w:t>
      </w:r>
      <w:r w:rsidR="00FD39AA">
        <w:t xml:space="preserve"> </w:t>
      </w:r>
      <w:r w:rsidR="00257136">
        <w:t>5</w:t>
      </w:r>
      <w:r w:rsidR="00FD39AA">
        <w:t>.</w:t>
      </w:r>
      <w:bookmarkEnd w:id="116"/>
      <w:proofErr w:type="gramEnd"/>
      <w:r w:rsidRPr="00C252B0">
        <w:t xml:space="preserve"> D-QIV-003 SCR for HI antibodies with 95% CIs at Day 28 or 56 (ATP cohort for immunogenicity)</w:t>
      </w:r>
      <w:bookmarkEnd w:id="117"/>
    </w:p>
    <w:p w:rsidR="00C252B0" w:rsidRPr="00C252B0" w:rsidRDefault="00C252B0" w:rsidP="00F95C6D">
      <w:r w:rsidRPr="00C252B0">
        <w:rPr>
          <w:noProof/>
          <w:lang w:eastAsia="en-AU"/>
        </w:rPr>
        <w:drawing>
          <wp:inline distT="0" distB="0" distL="0" distR="0" wp14:anchorId="75DD10B4" wp14:editId="3CD6B464">
            <wp:extent cx="4562475" cy="2416654"/>
            <wp:effectExtent l="19050" t="0" r="9525" b="0"/>
            <wp:docPr id="174" name="Picture 38" descr="Figure 5. D-QIV-003 SCR for HI antibodies with 95% CIs at Day 28 or 56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duotone>
                        <a:prstClr val="black"/>
                        <a:schemeClr val="bg1">
                          <a:tint val="45000"/>
                          <a:satMod val="400000"/>
                        </a:schemeClr>
                      </a:duotone>
                    </a:blip>
                    <a:srcRect/>
                    <a:stretch>
                      <a:fillRect/>
                    </a:stretch>
                  </pic:blipFill>
                  <pic:spPr bwMode="auto">
                    <a:xfrm>
                      <a:off x="0" y="0"/>
                      <a:ext cx="4565891" cy="2418463"/>
                    </a:xfrm>
                    <a:prstGeom prst="rect">
                      <a:avLst/>
                    </a:prstGeom>
                    <a:noFill/>
                    <a:ln w="9525">
                      <a:noFill/>
                      <a:miter lim="800000"/>
                      <a:headEnd/>
                      <a:tailEnd/>
                    </a:ln>
                  </pic:spPr>
                </pic:pic>
              </a:graphicData>
            </a:graphic>
          </wp:inline>
        </w:drawing>
      </w:r>
    </w:p>
    <w:p w:rsidR="00C252B0" w:rsidRPr="00C252B0" w:rsidRDefault="00C252B0" w:rsidP="00FD39AA">
      <w:pPr>
        <w:pStyle w:val="Heading6"/>
      </w:pPr>
      <w:r w:rsidRPr="00C252B0">
        <w:t>Seroprotection rates</w:t>
      </w:r>
    </w:p>
    <w:p w:rsidR="00C252B0" w:rsidRPr="00C252B0" w:rsidRDefault="00C252B0" w:rsidP="00C252B0">
      <w:r w:rsidRPr="00C252B0">
        <w:t xml:space="preserve">Percentages of participants with HI titre </w:t>
      </w:r>
      <w:r w:rsidR="00FD39AA">
        <w:t>≥</w:t>
      </w:r>
      <w:r w:rsidRPr="00C252B0">
        <w:t xml:space="preserve"> 40 are summarise</w:t>
      </w:r>
      <w:r w:rsidRPr="00257136">
        <w:t xml:space="preserve">d in </w:t>
      </w:r>
      <w:r w:rsidR="00643F59">
        <w:fldChar w:fldCharType="begin"/>
      </w:r>
      <w:r w:rsidR="00643F59">
        <w:instrText xml:space="preserve"> REF _Ref339459646 \h  \* MERGEFORMAT </w:instrText>
      </w:r>
      <w:r w:rsidR="00643F59">
        <w:fldChar w:fldCharType="separate"/>
      </w:r>
      <w:r w:rsidR="006421C6">
        <w:t xml:space="preserve">Figure </w:t>
      </w:r>
      <w:r w:rsidR="00643F59">
        <w:fldChar w:fldCharType="end"/>
      </w:r>
      <w:r w:rsidR="00257136" w:rsidRPr="00257136">
        <w:t xml:space="preserve"> </w:t>
      </w:r>
      <w:r w:rsidR="00257136">
        <w:t>6</w:t>
      </w:r>
      <w:r w:rsidRPr="00257136">
        <w:t>:</w:t>
      </w:r>
    </w:p>
    <w:p w:rsidR="00C252B0" w:rsidRPr="00C252B0" w:rsidRDefault="00C252B0" w:rsidP="00F95C6D">
      <w:pPr>
        <w:pStyle w:val="ListBullet"/>
      </w:pPr>
      <w:r w:rsidRPr="00C252B0">
        <w:t>A/California/7/2009 (H1N1): 97% for the three groups.</w:t>
      </w:r>
    </w:p>
    <w:p w:rsidR="00C252B0" w:rsidRPr="00C252B0" w:rsidRDefault="00C252B0" w:rsidP="00F95C6D">
      <w:pPr>
        <w:pStyle w:val="ListBullet"/>
      </w:pPr>
      <w:r w:rsidRPr="00C252B0">
        <w:t>A/Victoria/210/2009 (H3N2): 98% for D-QIV, 98% for Fluarix and 97% for TIV-2.</w:t>
      </w:r>
    </w:p>
    <w:p w:rsidR="00C252B0" w:rsidRPr="00C252B0" w:rsidRDefault="00C252B0" w:rsidP="00F95C6D">
      <w:pPr>
        <w:pStyle w:val="ListBullet"/>
      </w:pPr>
      <w:r w:rsidRPr="00C252B0">
        <w:t>B/Brisbane/60/2008 (Victoria lineage): 97% for D-QIV, 97</w:t>
      </w:r>
      <w:r w:rsidR="00F95C6D">
        <w:t>% for Fluarix and 78% for TIV-2.</w:t>
      </w:r>
    </w:p>
    <w:p w:rsidR="00C252B0" w:rsidRDefault="00C252B0" w:rsidP="009D37A3">
      <w:pPr>
        <w:pStyle w:val="ListBullet"/>
      </w:pPr>
      <w:r w:rsidRPr="00C252B0">
        <w:lastRenderedPageBreak/>
        <w:t>B/Brisbane/3/2007 (Yamagata lineage): 99% for D-QIV, 100% for TIV-2 and 94% for Fluarix</w:t>
      </w:r>
      <w:r w:rsidR="00982586">
        <w:t>.</w:t>
      </w:r>
    </w:p>
    <w:p w:rsidR="00982586" w:rsidRDefault="00982586" w:rsidP="00982586">
      <w:pPr>
        <w:pStyle w:val="FigureTitle"/>
      </w:pPr>
      <w:bookmarkStart w:id="118" w:name="_Ref339459646"/>
      <w:bookmarkStart w:id="119" w:name="_Ref339459649"/>
      <w:proofErr w:type="gramStart"/>
      <w:r>
        <w:t xml:space="preserve">Figure </w:t>
      </w:r>
      <w:bookmarkEnd w:id="118"/>
      <w:r w:rsidR="00257136">
        <w:t>6</w:t>
      </w:r>
      <w:r>
        <w:t>.</w:t>
      </w:r>
      <w:proofErr w:type="gramEnd"/>
      <w:r>
        <w:t xml:space="preserve"> D-QIV-003 SPR titre ≥ 40 </w:t>
      </w:r>
      <w:proofErr w:type="gramStart"/>
      <w:r>
        <w:t>with  95</w:t>
      </w:r>
      <w:proofErr w:type="gramEnd"/>
      <w:r>
        <w:t>% CIs at Day 0 and Day 28 or 56 (ATP cohort for immunogenicity)</w:t>
      </w:r>
      <w:bookmarkEnd w:id="119"/>
    </w:p>
    <w:p w:rsidR="00982586" w:rsidRPr="00982586" w:rsidRDefault="00982586" w:rsidP="00982586">
      <w:pPr>
        <w:rPr>
          <w:rFonts w:ascii="Arial" w:hAnsi="Arial" w:cs="Arial"/>
          <w:sz w:val="16"/>
          <w:szCs w:val="16"/>
        </w:rPr>
      </w:pPr>
      <w:r>
        <w:rPr>
          <w:noProof/>
          <w:lang w:eastAsia="en-AU"/>
        </w:rPr>
        <w:drawing>
          <wp:inline distT="0" distB="0" distL="0" distR="0">
            <wp:extent cx="4457700" cy="2209800"/>
            <wp:effectExtent l="19050" t="0" r="0" b="0"/>
            <wp:docPr id="129" name="Picture 129" descr="Figure 6. D-QIV-003 SPR titre ≥ 40 with  95% CIs at Day 0 and Day 28 or 56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3" cstate="print"/>
                    <a:srcRect/>
                    <a:stretch>
                      <a:fillRect/>
                    </a:stretch>
                  </pic:blipFill>
                  <pic:spPr bwMode="auto">
                    <a:xfrm>
                      <a:off x="0" y="0"/>
                      <a:ext cx="4457700" cy="2209800"/>
                    </a:xfrm>
                    <a:prstGeom prst="rect">
                      <a:avLst/>
                    </a:prstGeom>
                    <a:noFill/>
                    <a:ln w="9525">
                      <a:noFill/>
                      <a:miter lim="800000"/>
                      <a:headEnd/>
                      <a:tailEnd/>
                    </a:ln>
                  </pic:spPr>
                </pic:pic>
              </a:graphicData>
            </a:graphic>
          </wp:inline>
        </w:drawing>
      </w:r>
    </w:p>
    <w:p w:rsidR="00C252B0" w:rsidRPr="00C252B0" w:rsidRDefault="00C252B0" w:rsidP="00FD39AA">
      <w:pPr>
        <w:pStyle w:val="Heading6"/>
      </w:pPr>
      <w:r w:rsidRPr="00C252B0">
        <w:t xml:space="preserve">Mean geometric increase </w:t>
      </w:r>
    </w:p>
    <w:p w:rsidR="00C252B0" w:rsidRPr="00C252B0" w:rsidRDefault="00C252B0" w:rsidP="00C252B0">
      <w:r w:rsidRPr="00C252B0">
        <w:t>Mean geometric increases are summari</w:t>
      </w:r>
      <w:r w:rsidRPr="00257136">
        <w:t xml:space="preserve">sed in </w:t>
      </w:r>
      <w:r w:rsidR="00257136" w:rsidRPr="00257136">
        <w:t>Figure 7</w:t>
      </w:r>
      <w:r w:rsidRPr="00257136">
        <w:t>.</w:t>
      </w:r>
    </w:p>
    <w:p w:rsidR="00C252B0" w:rsidRPr="00C252B0" w:rsidRDefault="00C252B0" w:rsidP="009D37A3">
      <w:pPr>
        <w:pStyle w:val="ListBullet"/>
      </w:pPr>
      <w:r w:rsidRPr="00C252B0">
        <w:t>A/California/7/2009 (H1N1): 18 for D-QIV, 17 for Fluarix and 19 for TIV-2.</w:t>
      </w:r>
    </w:p>
    <w:p w:rsidR="00C252B0" w:rsidRPr="00C252B0" w:rsidRDefault="00C252B0" w:rsidP="009D37A3">
      <w:pPr>
        <w:pStyle w:val="ListBullet"/>
      </w:pPr>
      <w:r w:rsidRPr="00C252B0">
        <w:t>A/Victoria/210/2009 (H3N2): 8 for D-QIV, 7 for Fluarix and 8 for TIV-2.</w:t>
      </w:r>
    </w:p>
    <w:p w:rsidR="00C252B0" w:rsidRPr="00C252B0" w:rsidRDefault="00C252B0" w:rsidP="009D37A3">
      <w:pPr>
        <w:pStyle w:val="ListBullet"/>
      </w:pPr>
      <w:r w:rsidRPr="00C252B0">
        <w:t>B/Brisbane/60/2008 (Victoria lineage): 8 for D-QIV, 8 for Fluarix and 3 for TIV-2.</w:t>
      </w:r>
    </w:p>
    <w:p w:rsidR="00C252B0" w:rsidRDefault="00C252B0" w:rsidP="009D37A3">
      <w:pPr>
        <w:pStyle w:val="ListBullet"/>
      </w:pPr>
      <w:r w:rsidRPr="00C252B0">
        <w:t>B/Brisbane/3/2007 (Yamagata lineage): 7 for D-QIV, 8 for TIV-2 and 3 for Fluarix.</w:t>
      </w:r>
    </w:p>
    <w:p w:rsidR="00982586" w:rsidRDefault="00982586" w:rsidP="00982586">
      <w:pPr>
        <w:pStyle w:val="FigureTitle"/>
      </w:pPr>
      <w:bookmarkStart w:id="120" w:name="_Ref339460214"/>
      <w:bookmarkStart w:id="121" w:name="_Ref339460218"/>
      <w:proofErr w:type="gramStart"/>
      <w:r>
        <w:t>Figure</w:t>
      </w:r>
      <w:bookmarkEnd w:id="120"/>
      <w:r>
        <w:t xml:space="preserve"> </w:t>
      </w:r>
      <w:r w:rsidR="00257136">
        <w:t>7</w:t>
      </w:r>
      <w:r>
        <w:t>.</w:t>
      </w:r>
      <w:proofErr w:type="gramEnd"/>
      <w:r>
        <w:t xml:space="preserve"> D-QIV-3 Mean geometric increase for HI antibodies with 95% CIs a</w:t>
      </w:r>
      <w:r w:rsidRPr="009D37A3">
        <w:t>t</w:t>
      </w:r>
      <w:r>
        <w:t xml:space="preserve"> Day 28 or Day 56 (ATP cohort for immunogenicity)</w:t>
      </w:r>
      <w:bookmarkEnd w:id="121"/>
    </w:p>
    <w:p w:rsidR="00982586" w:rsidRDefault="00982586" w:rsidP="00982586">
      <w:r>
        <w:rPr>
          <w:noProof/>
          <w:lang w:eastAsia="en-AU"/>
        </w:rPr>
        <w:drawing>
          <wp:inline distT="0" distB="0" distL="0" distR="0">
            <wp:extent cx="4038600" cy="2066925"/>
            <wp:effectExtent l="19050" t="0" r="0" b="0"/>
            <wp:docPr id="131" name="Picture 131" descr="Figure 7. D-QIV-3 Mean geometric increase for HI antibodies with 95% CIs at Day 28 or Day 56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4" cstate="print"/>
                    <a:srcRect/>
                    <a:stretch>
                      <a:fillRect/>
                    </a:stretch>
                  </pic:blipFill>
                  <pic:spPr bwMode="auto">
                    <a:xfrm>
                      <a:off x="0" y="0"/>
                      <a:ext cx="4038600" cy="2066925"/>
                    </a:xfrm>
                    <a:prstGeom prst="rect">
                      <a:avLst/>
                    </a:prstGeom>
                    <a:noFill/>
                    <a:ln w="9525">
                      <a:noFill/>
                      <a:miter lim="800000"/>
                      <a:headEnd/>
                      <a:tailEnd/>
                    </a:ln>
                  </pic:spPr>
                </pic:pic>
              </a:graphicData>
            </a:graphic>
          </wp:inline>
        </w:drawing>
      </w:r>
    </w:p>
    <w:p w:rsidR="00C252B0" w:rsidRPr="00C252B0" w:rsidRDefault="00C252B0" w:rsidP="00C252B0">
      <w:r w:rsidRPr="00FD39AA">
        <w:rPr>
          <w:rStyle w:val="Heading6Char"/>
          <w:rFonts w:eastAsia="Cambria"/>
        </w:rPr>
        <w:t>Evaluator comment:</w:t>
      </w:r>
      <w:r w:rsidRPr="00C252B0">
        <w:t xml:space="preserve"> Immunogenicity results of t</w:t>
      </w:r>
      <w:r w:rsidR="009D37A3">
        <w:t>his study support registration.</w:t>
      </w:r>
    </w:p>
    <w:p w:rsidR="00C252B0" w:rsidRPr="00C252B0" w:rsidRDefault="00C252B0" w:rsidP="00347F37">
      <w:pPr>
        <w:pStyle w:val="Heading5"/>
      </w:pPr>
      <w:bookmarkStart w:id="122" w:name="_Toc339269068"/>
      <w:bookmarkStart w:id="123" w:name="_Toc342570234"/>
      <w:bookmarkStart w:id="124" w:name="_Toc355350125"/>
      <w:r w:rsidRPr="00C252B0">
        <w:t>Supportive Paediatric Study</w:t>
      </w:r>
      <w:bookmarkEnd w:id="122"/>
      <w:r w:rsidRPr="00C252B0">
        <w:t xml:space="preserve"> FLU-D-QIV-002</w:t>
      </w:r>
      <w:bookmarkEnd w:id="123"/>
      <w:bookmarkEnd w:id="124"/>
    </w:p>
    <w:p w:rsidR="00FD39AA" w:rsidRDefault="00C252B0" w:rsidP="00C252B0">
      <w:r w:rsidRPr="00C252B0">
        <w:t xml:space="preserve">FLU-D-QIV-002 (D-QIV-002), conducted in two centres in Mexico between October 2009 and May 2010, was a phase II, multicentre, randomised study evaluating immunogenicity, reactogenicity and safety of D-QIV compared with the Fluarix, in children 18 </w:t>
      </w:r>
      <w:r w:rsidR="00FD39AA">
        <w:t>to</w:t>
      </w:r>
      <w:r w:rsidRPr="00C252B0">
        <w:t xml:space="preserve"> 47 months of age.</w:t>
      </w:r>
    </w:p>
    <w:p w:rsidR="00C252B0" w:rsidRPr="00C252B0" w:rsidRDefault="00FD39AA" w:rsidP="00FD39AA">
      <w:pPr>
        <w:pStyle w:val="Heading5"/>
      </w:pPr>
      <w:r>
        <w:lastRenderedPageBreak/>
        <w:t>Study design</w:t>
      </w:r>
    </w:p>
    <w:p w:rsidR="00C252B0" w:rsidRPr="00C252B0" w:rsidRDefault="00C252B0" w:rsidP="00FD39AA">
      <w:pPr>
        <w:pStyle w:val="Heading6"/>
      </w:pPr>
      <w:r w:rsidRPr="00C252B0">
        <w:t>Primary objective</w:t>
      </w:r>
    </w:p>
    <w:p w:rsidR="00C252B0" w:rsidRPr="00C252B0" w:rsidRDefault="00C252B0" w:rsidP="00C252B0">
      <w:r w:rsidRPr="00C252B0">
        <w:t>To assess non-inferiority of D-QIV versus TIV in terms of HI GMTs for the three recommended seasonal strains, 28 days after the last vaccination in primed and unprimed children. Non-inferiority was determined if the upper limit of the two-sided 95% CI on the GMT ratio (Fluarix/D-QIV) of adjusted HI GMTs  was &lt; 2 at Day 28 for primed children and Day 56 for unprimed children. (N</w:t>
      </w:r>
      <w:r w:rsidR="00FD39AA">
        <w:t>ote:</w:t>
      </w:r>
      <w:r w:rsidRPr="00C252B0">
        <w:t xml:space="preserve"> delta greater than in other studies)</w:t>
      </w:r>
    </w:p>
    <w:p w:rsidR="00C252B0" w:rsidRPr="00C252B0" w:rsidRDefault="00703341" w:rsidP="00FD39AA">
      <w:pPr>
        <w:pStyle w:val="Heading6"/>
      </w:pPr>
      <w:r>
        <w:t>Secondary o</w:t>
      </w:r>
      <w:r w:rsidR="00C252B0" w:rsidRPr="00C252B0">
        <w:t>bjectives</w:t>
      </w:r>
    </w:p>
    <w:p w:rsidR="00C252B0" w:rsidRPr="00C252B0" w:rsidRDefault="00C252B0" w:rsidP="00FD39AA">
      <w:pPr>
        <w:pStyle w:val="ListBullet"/>
      </w:pPr>
      <w:r w:rsidRPr="00C252B0">
        <w:t>To assess superiority of D-QIV compared to TIV for the B strain not included in the trivalent vaccine. Superiority was determined if the upper limit of the two-sided 95% CI on the GMT ratio (Flu</w:t>
      </w:r>
      <w:r w:rsidR="00703341">
        <w:t>arix/D-QIV) was greater than 1.</w:t>
      </w:r>
    </w:p>
    <w:p w:rsidR="00C252B0" w:rsidRPr="00C252B0" w:rsidRDefault="00C252B0" w:rsidP="00FD39AA">
      <w:pPr>
        <w:pStyle w:val="ListBullet"/>
      </w:pPr>
      <w:r w:rsidRPr="00C252B0">
        <w:t>To assess the humoral immune response in each vaccine group</w:t>
      </w:r>
      <w:r w:rsidR="00703341">
        <w:t>.</w:t>
      </w:r>
    </w:p>
    <w:p w:rsidR="00C252B0" w:rsidRPr="00C252B0" w:rsidRDefault="00C252B0" w:rsidP="00FD39AA">
      <w:pPr>
        <w:pStyle w:val="ListBullet"/>
      </w:pPr>
      <w:r w:rsidRPr="00C252B0">
        <w:t>To assess the safety and reactogenicity of the study vaccines with 7 day follow-up of solicited adverse events, 28 day follow-up of unsolicited adverse events and for 6 months for adverse events of specific inter</w:t>
      </w:r>
      <w:r w:rsidR="00703341">
        <w:t>est and serious adverse events.</w:t>
      </w:r>
    </w:p>
    <w:p w:rsidR="00C252B0" w:rsidRPr="00C252B0" w:rsidRDefault="00C252B0" w:rsidP="00FD39AA">
      <w:pPr>
        <w:pStyle w:val="Heading6"/>
      </w:pPr>
      <w:r w:rsidRPr="00C252B0">
        <w:t>Design</w:t>
      </w:r>
    </w:p>
    <w:p w:rsidR="00C252B0" w:rsidRPr="00C252B0" w:rsidRDefault="00C252B0" w:rsidP="00C252B0">
      <w:r w:rsidRPr="00C252B0">
        <w:t xml:space="preserve">The study design is illustrated in </w:t>
      </w:r>
      <w:r w:rsidR="00FD39AA">
        <w:t xml:space="preserve">Figure </w:t>
      </w:r>
      <w:r w:rsidR="00257136">
        <w:t>8</w:t>
      </w:r>
      <w:r w:rsidRPr="00C252B0">
        <w:t>. The plan to enrol 300 children per group was calculated to provide 80% power to determine non-inferiority. Randomisation was 1:2:1:2 with 100 children in each primed group and 200 in the unprimed groups. Children between 18 to 47 months of age at the time of first vaccination were eligible for inclusion. By study definition, unprimed children had not been vaccinated with 2 doses of influenza vaccine in the previous season. Primed children received 2 doses of Fluarix 0.5 mL in GSK Biologicals’ study Fluar</w:t>
      </w:r>
      <w:r w:rsidR="00703341">
        <w:t>ix-US-007 the preceding season.</w:t>
      </w:r>
    </w:p>
    <w:p w:rsidR="00C252B0" w:rsidRPr="00C252B0" w:rsidRDefault="00C252B0" w:rsidP="00703341">
      <w:pPr>
        <w:pStyle w:val="FigureTitle"/>
      </w:pPr>
      <w:bookmarkStart w:id="125" w:name="_Ref338743745"/>
      <w:bookmarkStart w:id="126" w:name="_Ref338743748"/>
      <w:proofErr w:type="gramStart"/>
      <w:r w:rsidRPr="00C252B0">
        <w:t xml:space="preserve">Figure </w:t>
      </w:r>
      <w:bookmarkEnd w:id="125"/>
      <w:r w:rsidR="00257136">
        <w:t>8</w:t>
      </w:r>
      <w:r w:rsidR="00FD39AA">
        <w:t>.</w:t>
      </w:r>
      <w:proofErr w:type="gramEnd"/>
      <w:r w:rsidRPr="00C252B0">
        <w:t xml:space="preserve"> D-QIV-002 Overall study design – Description</w:t>
      </w:r>
      <w:bookmarkEnd w:id="126"/>
    </w:p>
    <w:p w:rsidR="00C252B0" w:rsidRPr="00C252B0" w:rsidRDefault="00C252B0" w:rsidP="001E637D">
      <w:r w:rsidRPr="00C252B0">
        <w:rPr>
          <w:noProof/>
          <w:lang w:eastAsia="en-AU"/>
        </w:rPr>
        <w:drawing>
          <wp:inline distT="0" distB="0" distL="0" distR="0">
            <wp:extent cx="5076825" cy="3800475"/>
            <wp:effectExtent l="19050" t="0" r="9525" b="0"/>
            <wp:docPr id="175" name="Picture 39" descr="Figure 8. D-QIV-002 Overall study design –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srcRect/>
                    <a:stretch>
                      <a:fillRect/>
                    </a:stretch>
                  </pic:blipFill>
                  <pic:spPr bwMode="auto">
                    <a:xfrm>
                      <a:off x="0" y="0"/>
                      <a:ext cx="5076825" cy="3800475"/>
                    </a:xfrm>
                    <a:prstGeom prst="rect">
                      <a:avLst/>
                    </a:prstGeom>
                    <a:noFill/>
                    <a:ln w="9525">
                      <a:noFill/>
                      <a:miter lim="800000"/>
                      <a:headEnd/>
                      <a:tailEnd/>
                    </a:ln>
                  </pic:spPr>
                </pic:pic>
              </a:graphicData>
            </a:graphic>
          </wp:inline>
        </w:drawing>
      </w:r>
    </w:p>
    <w:p w:rsidR="00C252B0" w:rsidRPr="00C252B0" w:rsidRDefault="00C252B0" w:rsidP="00FD39AA">
      <w:pPr>
        <w:pStyle w:val="Heading6"/>
      </w:pPr>
      <w:r w:rsidRPr="00C252B0">
        <w:lastRenderedPageBreak/>
        <w:t>Study and reference vaccines</w:t>
      </w:r>
    </w:p>
    <w:p w:rsidR="00C252B0" w:rsidRPr="00C252B0" w:rsidRDefault="00C252B0" w:rsidP="00C252B0">
      <w:r w:rsidRPr="00C252B0">
        <w:t>Vaccine formulations are shown in</w:t>
      </w:r>
      <w:r w:rsidR="00FD39AA">
        <w:t xml:space="preserve"> Table 36</w:t>
      </w:r>
      <w:r w:rsidRPr="00C252B0">
        <w:t>. Doses were administered intramuscularly into the d</w:t>
      </w:r>
      <w:r w:rsidR="00703341">
        <w:t>eltoid region of the right arm.</w:t>
      </w:r>
    </w:p>
    <w:p w:rsidR="00C252B0" w:rsidRPr="00C252B0" w:rsidRDefault="00C252B0" w:rsidP="00703341">
      <w:pPr>
        <w:pStyle w:val="TableTitle"/>
      </w:pPr>
      <w:bookmarkStart w:id="127" w:name="_Ref338748236"/>
      <w:bookmarkStart w:id="128" w:name="_Ref338748239"/>
      <w:proofErr w:type="gramStart"/>
      <w:r w:rsidRPr="00C252B0">
        <w:t>Table</w:t>
      </w:r>
      <w:r w:rsidR="00FD39AA">
        <w:t xml:space="preserve"> 36</w:t>
      </w:r>
      <w:bookmarkEnd w:id="127"/>
      <w:r w:rsidR="00FD39AA">
        <w:t>.</w:t>
      </w:r>
      <w:proofErr w:type="gramEnd"/>
      <w:r w:rsidRPr="00C252B0">
        <w:t xml:space="preserve"> D-QIV-002 Vaccines, formulation, lot numbers and allocation</w:t>
      </w:r>
      <w:bookmarkEnd w:id="128"/>
    </w:p>
    <w:p w:rsidR="00C252B0" w:rsidRPr="00C252B0" w:rsidRDefault="00C252B0" w:rsidP="00703341">
      <w:r w:rsidRPr="00C252B0">
        <w:rPr>
          <w:noProof/>
          <w:lang w:eastAsia="en-AU"/>
        </w:rPr>
        <w:drawing>
          <wp:inline distT="0" distB="0" distL="0" distR="0" wp14:anchorId="4968FA3E" wp14:editId="5B54FB88">
            <wp:extent cx="5057775" cy="1390650"/>
            <wp:effectExtent l="19050" t="0" r="9525" b="0"/>
            <wp:docPr id="176" name="Picture 40" descr="Table 36. D-QIV-002 Vaccines, formulation, lot numbers and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5057775" cy="1390650"/>
                    </a:xfrm>
                    <a:prstGeom prst="rect">
                      <a:avLst/>
                    </a:prstGeom>
                    <a:noFill/>
                    <a:ln w="9525">
                      <a:noFill/>
                      <a:miter lim="800000"/>
                      <a:headEnd/>
                      <a:tailEnd/>
                    </a:ln>
                  </pic:spPr>
                </pic:pic>
              </a:graphicData>
            </a:graphic>
          </wp:inline>
        </w:drawing>
      </w:r>
    </w:p>
    <w:p w:rsidR="00C252B0" w:rsidRPr="00C252B0" w:rsidRDefault="00C252B0" w:rsidP="00FD39AA">
      <w:pPr>
        <w:pStyle w:val="Heading6"/>
      </w:pPr>
      <w:r w:rsidRPr="00C252B0">
        <w:t>Blood samples and antibody determination</w:t>
      </w:r>
    </w:p>
    <w:p w:rsidR="00C252B0" w:rsidRPr="00C252B0" w:rsidRDefault="00C252B0" w:rsidP="00C252B0">
      <w:r w:rsidRPr="00C252B0">
        <w:t>All participants had blood drawn on Day 0. All primed and half of the unprimed participants had a second blood sampled at Day 28 after the first vaccination, and half of the unprimed participants had a second blood sampled at Day 56 after the second vaccine dose</w:t>
      </w:r>
      <w:r w:rsidR="008A4961">
        <w:t xml:space="preserve"> (Table 37</w:t>
      </w:r>
      <w:r w:rsidRPr="00C252B0">
        <w:t>)</w:t>
      </w:r>
      <w:r w:rsidR="008A4961">
        <w:t>.</w:t>
      </w:r>
    </w:p>
    <w:p w:rsidR="00C252B0" w:rsidRPr="00C252B0" w:rsidRDefault="00C252B0" w:rsidP="00703341">
      <w:pPr>
        <w:pStyle w:val="TableTitle"/>
      </w:pPr>
      <w:bookmarkStart w:id="129" w:name="_Ref338758952"/>
      <w:bookmarkStart w:id="130" w:name="_Ref338758956"/>
      <w:proofErr w:type="gramStart"/>
      <w:r w:rsidRPr="00C252B0">
        <w:t>Table</w:t>
      </w:r>
      <w:r w:rsidR="008A4961">
        <w:t xml:space="preserve"> 37.</w:t>
      </w:r>
      <w:bookmarkEnd w:id="129"/>
      <w:proofErr w:type="gramEnd"/>
      <w:r w:rsidRPr="00C252B0">
        <w:t xml:space="preserve"> D-QIV-002 Biological samples</w:t>
      </w:r>
      <w:bookmarkEnd w:id="130"/>
    </w:p>
    <w:p w:rsidR="00C252B0" w:rsidRPr="00C252B0" w:rsidRDefault="00C252B0" w:rsidP="00C252B0">
      <w:r w:rsidRPr="00C252B0">
        <w:rPr>
          <w:noProof/>
          <w:lang w:eastAsia="en-AU"/>
        </w:rPr>
        <w:drawing>
          <wp:inline distT="0" distB="0" distL="0" distR="0">
            <wp:extent cx="3924300" cy="781050"/>
            <wp:effectExtent l="19050" t="0" r="0" b="0"/>
            <wp:docPr id="177" name="Picture 41" descr="Table 37. D-QIV-002 Biological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a:stretch>
                      <a:fillRect/>
                    </a:stretch>
                  </pic:blipFill>
                  <pic:spPr bwMode="auto">
                    <a:xfrm>
                      <a:off x="0" y="0"/>
                      <a:ext cx="3924300" cy="781050"/>
                    </a:xfrm>
                    <a:prstGeom prst="rect">
                      <a:avLst/>
                    </a:prstGeom>
                    <a:noFill/>
                    <a:ln w="9525">
                      <a:noFill/>
                      <a:miter lim="800000"/>
                      <a:headEnd/>
                      <a:tailEnd/>
                    </a:ln>
                  </pic:spPr>
                </pic:pic>
              </a:graphicData>
            </a:graphic>
          </wp:inline>
        </w:drawing>
      </w:r>
    </w:p>
    <w:p w:rsidR="00C252B0" w:rsidRPr="00C252B0" w:rsidRDefault="00C252B0" w:rsidP="00C252B0">
      <w:r w:rsidRPr="00C252B0">
        <w:t>Antibody determination was done by GSK Biologicals’ laboratory as f</w:t>
      </w:r>
      <w:r w:rsidR="00703341">
        <w:t>or the other submitted studies.</w:t>
      </w:r>
    </w:p>
    <w:p w:rsidR="00C252B0" w:rsidRPr="00C252B0" w:rsidRDefault="00C252B0" w:rsidP="008A4961">
      <w:pPr>
        <w:pStyle w:val="Heading6"/>
      </w:pPr>
      <w:r w:rsidRPr="00C252B0">
        <w:t>Definition of cohorts</w:t>
      </w:r>
    </w:p>
    <w:p w:rsidR="00C252B0" w:rsidRPr="00C252B0" w:rsidRDefault="00C252B0" w:rsidP="00C252B0">
      <w:r w:rsidRPr="00C252B0">
        <w:t>The Total Vaccinated Cohort included all who received at least one dose of vaccine. The TVC for analysis of immunogenicity included vaccinated participants for whom data were available.</w:t>
      </w:r>
    </w:p>
    <w:p w:rsidR="00C252B0" w:rsidRPr="00C252B0" w:rsidRDefault="00C252B0" w:rsidP="00C252B0">
      <w:r w:rsidRPr="00C252B0">
        <w:t>The ATP cohorts included all participants who met all eligibility criteria, who complied with the protocol procedures, with no elimination criteria assigned during the study and, for immunogenicity sub-cohorts, immunogenicity data were available. Two ATP immunogenicity coho</w:t>
      </w:r>
      <w:r w:rsidR="00703341">
        <w:t>rts for analysis were defined:</w:t>
      </w:r>
    </w:p>
    <w:p w:rsidR="00C252B0" w:rsidRPr="00C252B0" w:rsidRDefault="00C252B0" w:rsidP="008A4961">
      <w:pPr>
        <w:pStyle w:val="ListBullet"/>
      </w:pPr>
      <w:r w:rsidRPr="00C252B0">
        <w:t xml:space="preserve">The ATP immunogenicity cohort for comparisons 28 days after </w:t>
      </w:r>
      <w:r w:rsidRPr="00C252B0">
        <w:rPr>
          <w:i/>
        </w:rPr>
        <w:t xml:space="preserve">last </w:t>
      </w:r>
      <w:r w:rsidRPr="00C252B0">
        <w:t>vaccination</w:t>
      </w:r>
      <w:r w:rsidR="00703341">
        <w:t>.</w:t>
      </w:r>
    </w:p>
    <w:p w:rsidR="00C252B0" w:rsidRPr="00C252B0" w:rsidRDefault="00C252B0" w:rsidP="008A4961">
      <w:pPr>
        <w:pStyle w:val="ListBullet"/>
      </w:pPr>
      <w:r w:rsidRPr="00C252B0">
        <w:t xml:space="preserve">The ATP immunogenicity cohort for comparisons 28 days after </w:t>
      </w:r>
      <w:r w:rsidRPr="00C252B0">
        <w:rPr>
          <w:i/>
        </w:rPr>
        <w:t>first</w:t>
      </w:r>
      <w:r w:rsidR="00703341">
        <w:t xml:space="preserve"> vaccination.</w:t>
      </w:r>
    </w:p>
    <w:p w:rsidR="00C252B0" w:rsidRPr="00C252B0" w:rsidRDefault="00C252B0" w:rsidP="00C252B0">
      <w:r w:rsidRPr="00C252B0">
        <w:t>In addition, 2 immunogenicity sub-cohorts were defined, based on the blood sample schedule</w:t>
      </w:r>
      <w:r w:rsidR="008A4961">
        <w:t xml:space="preserve"> (Table 38)</w:t>
      </w:r>
      <w:r w:rsidR="00703341">
        <w:t>.</w:t>
      </w:r>
    </w:p>
    <w:p w:rsidR="00C252B0" w:rsidRPr="00C252B0" w:rsidRDefault="00C252B0" w:rsidP="008A4961">
      <w:pPr>
        <w:pStyle w:val="ListBullet"/>
      </w:pPr>
      <w:r w:rsidRPr="00C252B0">
        <w:t>Sub-cohort 1 included participants having the second blood sample at Day 28</w:t>
      </w:r>
      <w:r w:rsidR="00703341">
        <w:t>.</w:t>
      </w:r>
    </w:p>
    <w:p w:rsidR="00C252B0" w:rsidRPr="00C252B0" w:rsidRDefault="00C252B0" w:rsidP="008A4961">
      <w:pPr>
        <w:pStyle w:val="ListBullet"/>
      </w:pPr>
      <w:r w:rsidRPr="00C252B0">
        <w:t>Sub-cohort 2 included participants having the second blood sample at Day 56.</w:t>
      </w:r>
    </w:p>
    <w:p w:rsidR="00C252B0" w:rsidRPr="00C252B0" w:rsidRDefault="00C252B0" w:rsidP="00703341">
      <w:pPr>
        <w:pStyle w:val="TableTitle"/>
      </w:pPr>
      <w:bookmarkStart w:id="131" w:name="_Ref340584368"/>
      <w:proofErr w:type="gramStart"/>
      <w:r w:rsidRPr="00C252B0">
        <w:lastRenderedPageBreak/>
        <w:t>Table</w:t>
      </w:r>
      <w:r w:rsidR="008A4961">
        <w:t xml:space="preserve"> 38.</w:t>
      </w:r>
      <w:bookmarkEnd w:id="131"/>
      <w:proofErr w:type="gramEnd"/>
      <w:r w:rsidRPr="00C252B0">
        <w:t xml:space="preserve"> D-QIV-002 Sub-cohorts</w:t>
      </w:r>
    </w:p>
    <w:p w:rsidR="00C252B0" w:rsidRPr="00C252B0" w:rsidRDefault="00C252B0" w:rsidP="00703341">
      <w:r w:rsidRPr="00C252B0">
        <w:rPr>
          <w:noProof/>
          <w:lang w:eastAsia="en-AU"/>
        </w:rPr>
        <w:drawing>
          <wp:inline distT="0" distB="0" distL="0" distR="0" wp14:anchorId="57119757" wp14:editId="58E7C33D">
            <wp:extent cx="5124450" cy="1323975"/>
            <wp:effectExtent l="19050" t="0" r="0" b="0"/>
            <wp:docPr id="178" name="Picture 42" descr="Table 38. D-QIV-002 Sub-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srcRect/>
                    <a:stretch>
                      <a:fillRect/>
                    </a:stretch>
                  </pic:blipFill>
                  <pic:spPr bwMode="auto">
                    <a:xfrm>
                      <a:off x="0" y="0"/>
                      <a:ext cx="5124450" cy="1323975"/>
                    </a:xfrm>
                    <a:prstGeom prst="rect">
                      <a:avLst/>
                    </a:prstGeom>
                    <a:noFill/>
                    <a:ln w="9525">
                      <a:noFill/>
                      <a:miter lim="800000"/>
                      <a:headEnd/>
                      <a:tailEnd/>
                    </a:ln>
                  </pic:spPr>
                </pic:pic>
              </a:graphicData>
            </a:graphic>
          </wp:inline>
        </w:drawing>
      </w:r>
    </w:p>
    <w:p w:rsidR="00C252B0" w:rsidRPr="00C252B0" w:rsidRDefault="00C252B0" w:rsidP="00C252B0">
      <w:r w:rsidRPr="00C252B0">
        <w:t>The ATP immunogenicity cohort for comparisons 28 days after last vaccination included children who had received a complete vaccine treatment: 1 dose at Day 0 for primed individuals and 2 doses (at Day 0 and at Day 28) for unprimed individuals</w:t>
      </w:r>
      <w:r w:rsidR="008A4961">
        <w:t xml:space="preserve"> (Table 39)</w:t>
      </w:r>
      <w:r w:rsidRPr="00C252B0">
        <w:t>.</w:t>
      </w:r>
    </w:p>
    <w:p w:rsidR="00C252B0" w:rsidRPr="00C252B0" w:rsidRDefault="00C252B0" w:rsidP="00703341">
      <w:pPr>
        <w:pStyle w:val="TableTitle"/>
      </w:pPr>
      <w:bookmarkStart w:id="132" w:name="_Ref340584425"/>
      <w:bookmarkStart w:id="133" w:name="_Ref340584428"/>
      <w:proofErr w:type="gramStart"/>
      <w:r w:rsidRPr="00C252B0">
        <w:t>Table</w:t>
      </w:r>
      <w:r w:rsidR="008A4961">
        <w:t xml:space="preserve"> 39.</w:t>
      </w:r>
      <w:bookmarkEnd w:id="132"/>
      <w:proofErr w:type="gramEnd"/>
      <w:r w:rsidRPr="00C252B0">
        <w:t xml:space="preserve"> D-QIV-002 ATP immunogenicity cohorts for comparisons 28 days after last vaccination</w:t>
      </w:r>
      <w:bookmarkEnd w:id="133"/>
    </w:p>
    <w:p w:rsidR="00C252B0" w:rsidRPr="00C252B0" w:rsidRDefault="00C252B0" w:rsidP="00C252B0">
      <w:r w:rsidRPr="00C252B0">
        <w:rPr>
          <w:noProof/>
          <w:lang w:eastAsia="en-AU"/>
        </w:rPr>
        <w:drawing>
          <wp:inline distT="0" distB="0" distL="0" distR="0">
            <wp:extent cx="4124325" cy="1228725"/>
            <wp:effectExtent l="19050" t="0" r="9525" b="0"/>
            <wp:docPr id="179" name="Picture 43" descr="Table 39. D-QIV-002 ATP immunogenicity cohorts for comparisons 28 days after last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srcRect/>
                    <a:stretch>
                      <a:fillRect/>
                    </a:stretch>
                  </pic:blipFill>
                  <pic:spPr bwMode="auto">
                    <a:xfrm>
                      <a:off x="0" y="0"/>
                      <a:ext cx="4124325" cy="1228725"/>
                    </a:xfrm>
                    <a:prstGeom prst="rect">
                      <a:avLst/>
                    </a:prstGeom>
                    <a:noFill/>
                    <a:ln w="9525">
                      <a:noFill/>
                      <a:miter lim="800000"/>
                      <a:headEnd/>
                      <a:tailEnd/>
                    </a:ln>
                  </pic:spPr>
                </pic:pic>
              </a:graphicData>
            </a:graphic>
          </wp:inline>
        </w:drawing>
      </w:r>
    </w:p>
    <w:p w:rsidR="008A4961" w:rsidRDefault="00C252B0" w:rsidP="00C252B0">
      <w:r w:rsidRPr="00C252B0">
        <w:t>The ATP cohort for immunogenicity for comparisons 28 days after the first vaccination included all participants from sub-cohort 1</w:t>
      </w:r>
      <w:r w:rsidR="008A4961">
        <w:t xml:space="preserve"> (Table 40)</w:t>
      </w:r>
      <w:r w:rsidRPr="00C252B0">
        <w:t>.</w:t>
      </w:r>
      <w:bookmarkStart w:id="134" w:name="_Ref340584446"/>
      <w:bookmarkStart w:id="135" w:name="_Ref340584450"/>
    </w:p>
    <w:p w:rsidR="00C252B0" w:rsidRPr="00C252B0" w:rsidRDefault="008A4961" w:rsidP="00703341">
      <w:pPr>
        <w:pStyle w:val="TableTitle"/>
      </w:pPr>
      <w:r w:rsidRPr="00C252B0">
        <w:t xml:space="preserve"> </w:t>
      </w:r>
      <w:proofErr w:type="gramStart"/>
      <w:r w:rsidR="00C252B0" w:rsidRPr="00C252B0">
        <w:t>Table</w:t>
      </w:r>
      <w:r>
        <w:t xml:space="preserve"> 40.</w:t>
      </w:r>
      <w:bookmarkEnd w:id="134"/>
      <w:proofErr w:type="gramEnd"/>
      <w:r w:rsidR="00C252B0" w:rsidRPr="00C252B0">
        <w:t xml:space="preserve"> D-QIV-002 ATP immunogenicity cohort for comparisons 28 days after first vaccination</w:t>
      </w:r>
      <w:bookmarkEnd w:id="135"/>
    </w:p>
    <w:p w:rsidR="00C252B0" w:rsidRPr="00C252B0" w:rsidRDefault="00C252B0" w:rsidP="00982586">
      <w:pPr>
        <w:keepNext/>
      </w:pPr>
      <w:r w:rsidRPr="00C252B0">
        <w:rPr>
          <w:noProof/>
          <w:lang w:eastAsia="en-AU"/>
        </w:rPr>
        <w:drawing>
          <wp:inline distT="0" distB="0" distL="0" distR="0">
            <wp:extent cx="4181475" cy="1314450"/>
            <wp:effectExtent l="19050" t="0" r="9525" b="0"/>
            <wp:docPr id="180" name="Picture 44" descr=" Table 40. D-QIV-002 ATP immunogenicity cohort for comparisons 28 days after first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srcRect/>
                    <a:stretch>
                      <a:fillRect/>
                    </a:stretch>
                  </pic:blipFill>
                  <pic:spPr bwMode="auto">
                    <a:xfrm>
                      <a:off x="0" y="0"/>
                      <a:ext cx="4181475" cy="1314450"/>
                    </a:xfrm>
                    <a:prstGeom prst="rect">
                      <a:avLst/>
                    </a:prstGeom>
                    <a:noFill/>
                    <a:ln w="9525">
                      <a:noFill/>
                      <a:miter lim="800000"/>
                      <a:headEnd/>
                      <a:tailEnd/>
                    </a:ln>
                  </pic:spPr>
                </pic:pic>
              </a:graphicData>
            </a:graphic>
          </wp:inline>
        </w:drawing>
      </w:r>
    </w:p>
    <w:p w:rsidR="00C252B0" w:rsidRPr="00C252B0" w:rsidRDefault="00C252B0" w:rsidP="008A4961">
      <w:pPr>
        <w:pStyle w:val="Heading6"/>
      </w:pPr>
      <w:r w:rsidRPr="00C252B0">
        <w:t>Chang</w:t>
      </w:r>
      <w:r w:rsidR="003F0BFE">
        <w:t>es to the conduct of the study:</w:t>
      </w:r>
    </w:p>
    <w:p w:rsidR="00C252B0" w:rsidRPr="00C252B0" w:rsidRDefault="00C252B0" w:rsidP="00C252B0">
      <w:r w:rsidRPr="00C252B0">
        <w:t>According to the protocol, the study was to be double-blind. However, the presentation of the syringes containing the two vaccines was different. The difference in appearance was considered minor. The participants’ legal guardians remained blinded. The study staff and the local GSK team remained blinded. Therefore, according to the investigators the study was still considered to be double-blind.</w:t>
      </w:r>
    </w:p>
    <w:p w:rsidR="003D565E" w:rsidRPr="00C252B0" w:rsidRDefault="00C252B0" w:rsidP="00C252B0">
      <w:r w:rsidRPr="008A4961">
        <w:rPr>
          <w:rStyle w:val="Heading6Char"/>
          <w:rFonts w:eastAsia="Cambria"/>
        </w:rPr>
        <w:t>Evaluator comment:</w:t>
      </w:r>
      <w:r w:rsidRPr="00C252B0">
        <w:t xml:space="preserve"> The design and the reporting of this study were found to be confusing. The reason for complicated cohorts and sub-cohorts was not apparent and was not explained.</w:t>
      </w:r>
      <w:r w:rsidR="005B66F5">
        <w:rPr>
          <w:rStyle w:val="FootnoteReference"/>
        </w:rPr>
        <w:footnoteReference w:id="17"/>
      </w:r>
      <w:r w:rsidRPr="00C252B0">
        <w:t>There was insufficient information provided to be sure that blinding was not compromised</w:t>
      </w:r>
      <w:r w:rsidR="00982586">
        <w:t>; a</w:t>
      </w:r>
      <w:r w:rsidRPr="00C252B0">
        <w:t xml:space="preserve"> potential problem more likely to impact the safety/reactogenicity component of the study than the immunogenicity component. Only a proportion of participants in this study were in the age group relevant to the application for registration and they were not separately reported.</w:t>
      </w:r>
    </w:p>
    <w:p w:rsidR="00C252B0" w:rsidRPr="00C252B0" w:rsidRDefault="00C252B0" w:rsidP="00347F37">
      <w:pPr>
        <w:pStyle w:val="Heading6"/>
      </w:pPr>
      <w:r w:rsidRPr="00C252B0">
        <w:lastRenderedPageBreak/>
        <w:t>Results</w:t>
      </w:r>
    </w:p>
    <w:p w:rsidR="00C252B0" w:rsidRPr="00C252B0" w:rsidRDefault="00C252B0" w:rsidP="00703341">
      <w:pPr>
        <w:pStyle w:val="Heading7"/>
      </w:pPr>
      <w:r w:rsidRPr="00C252B0">
        <w:t>Disposition</w:t>
      </w:r>
    </w:p>
    <w:p w:rsidR="00C252B0" w:rsidRPr="00C252B0" w:rsidRDefault="00C252B0" w:rsidP="00C252B0">
      <w:r w:rsidRPr="00C252B0">
        <w:t>In total, 599 participants were enrolled</w:t>
      </w:r>
    </w:p>
    <w:p w:rsidR="00C252B0" w:rsidRPr="00C252B0" w:rsidRDefault="00C252B0" w:rsidP="008A4961">
      <w:pPr>
        <w:pStyle w:val="ListBullet"/>
      </w:pPr>
      <w:r w:rsidRPr="00C252B0">
        <w:t>D-QIV group: 298 participants, 95 in the primed group</w:t>
      </w:r>
      <w:r w:rsidR="00703341">
        <w:t xml:space="preserve"> and 203 in the </w:t>
      </w:r>
      <w:proofErr w:type="spellStart"/>
      <w:r w:rsidR="00703341">
        <w:t>unprimed</w:t>
      </w:r>
      <w:proofErr w:type="spellEnd"/>
      <w:r w:rsidR="00703341">
        <w:t xml:space="preserve"> group.</w:t>
      </w:r>
    </w:p>
    <w:p w:rsidR="00C252B0" w:rsidRPr="00C252B0" w:rsidRDefault="00C252B0" w:rsidP="008A4961">
      <w:pPr>
        <w:pStyle w:val="ListBullet"/>
      </w:pPr>
      <w:r w:rsidRPr="00C252B0">
        <w:t>TIV group: 301 participants, 97 in the primed group</w:t>
      </w:r>
      <w:r w:rsidR="00703341">
        <w:t xml:space="preserve"> and 204 in the </w:t>
      </w:r>
      <w:proofErr w:type="spellStart"/>
      <w:r w:rsidR="00703341">
        <w:t>unprimed</w:t>
      </w:r>
      <w:proofErr w:type="spellEnd"/>
      <w:r w:rsidR="00703341">
        <w:t xml:space="preserve"> group.</w:t>
      </w:r>
    </w:p>
    <w:p w:rsidR="00C252B0" w:rsidRPr="00C252B0" w:rsidRDefault="00C252B0" w:rsidP="00C252B0">
      <w:r w:rsidRPr="00C252B0">
        <w:t xml:space="preserve">The numbers vaccinated, completed and those withdrawn with reason for withdrawal are summarised in </w:t>
      </w:r>
      <w:r w:rsidR="008A4961">
        <w:t>Table 41.</w:t>
      </w:r>
      <w:r w:rsidRPr="00C252B0">
        <w:t xml:space="preserve"> Overall, 584 participants compl</w:t>
      </w:r>
      <w:r w:rsidR="00703341">
        <w:t>eted the study and 15 withdrew.</w:t>
      </w:r>
    </w:p>
    <w:p w:rsidR="00C252B0" w:rsidRPr="00C252B0" w:rsidRDefault="00C252B0" w:rsidP="00703341">
      <w:pPr>
        <w:pStyle w:val="TableTitle"/>
      </w:pPr>
      <w:bookmarkStart w:id="136" w:name="_Ref338755356"/>
      <w:bookmarkStart w:id="137" w:name="_Ref338755359"/>
      <w:proofErr w:type="gramStart"/>
      <w:r w:rsidRPr="00C252B0">
        <w:t xml:space="preserve">Table </w:t>
      </w:r>
      <w:bookmarkEnd w:id="136"/>
      <w:r w:rsidR="008A4961">
        <w:t>41.</w:t>
      </w:r>
      <w:proofErr w:type="gramEnd"/>
      <w:r w:rsidRPr="00C252B0">
        <w:t xml:space="preserve"> D-QIV-002 Disposition to Day 180l (Total vaccinated cohort)</w:t>
      </w:r>
      <w:bookmarkEnd w:id="137"/>
    </w:p>
    <w:p w:rsidR="00C252B0" w:rsidRPr="00C252B0" w:rsidRDefault="00C252B0" w:rsidP="00703341">
      <w:r w:rsidRPr="00C252B0">
        <w:rPr>
          <w:noProof/>
          <w:lang w:eastAsia="en-AU"/>
        </w:rPr>
        <w:drawing>
          <wp:inline distT="0" distB="0" distL="0" distR="0" wp14:anchorId="3C070BA9" wp14:editId="7557372C">
            <wp:extent cx="4695825" cy="2686050"/>
            <wp:effectExtent l="19050" t="0" r="9525" b="0"/>
            <wp:docPr id="181" name="Picture 45" descr="Table 41. D-QIV-002 Disposition to Day 180l (Total vaccinate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srcRect/>
                    <a:stretch>
                      <a:fillRect/>
                    </a:stretch>
                  </pic:blipFill>
                  <pic:spPr bwMode="auto">
                    <a:xfrm>
                      <a:off x="0" y="0"/>
                      <a:ext cx="4695825" cy="2686050"/>
                    </a:xfrm>
                    <a:prstGeom prst="rect">
                      <a:avLst/>
                    </a:prstGeom>
                    <a:noFill/>
                    <a:ln w="9525">
                      <a:noFill/>
                      <a:miter lim="800000"/>
                      <a:headEnd/>
                      <a:tailEnd/>
                    </a:ln>
                  </pic:spPr>
                </pic:pic>
              </a:graphicData>
            </a:graphic>
          </wp:inline>
        </w:drawing>
      </w:r>
    </w:p>
    <w:p w:rsidR="00C252B0" w:rsidRPr="00C252B0" w:rsidRDefault="00C252B0" w:rsidP="00C252B0">
      <w:r w:rsidRPr="00C252B0">
        <w:t>Three children were administered vaccines forbidden in the protocol, 1 in QIV and one in TIV groups. Eleven children had essential serological data missing, 7 in the QIV group and 4 in the TIV group and were excluded from the ATP population.</w:t>
      </w:r>
    </w:p>
    <w:p w:rsidR="00C252B0" w:rsidRPr="00C252B0" w:rsidRDefault="003F0BFE" w:rsidP="00703341">
      <w:pPr>
        <w:pStyle w:val="Heading7"/>
      </w:pPr>
      <w:r>
        <w:t>Demographic characteristics</w:t>
      </w:r>
    </w:p>
    <w:p w:rsidR="00C252B0" w:rsidRPr="00C252B0" w:rsidRDefault="00C252B0" w:rsidP="00C252B0">
      <w:r w:rsidRPr="00C252B0">
        <w:t>The mean age was 31.4 months in the D-QIV group and 31.6 months in TIV groups. The population was predominantly American Hispanic or Latino (99.8%). Females accounted for 47.6% of the study population.</w:t>
      </w:r>
    </w:p>
    <w:p w:rsidR="00C252B0" w:rsidRPr="00C252B0" w:rsidRDefault="00C252B0" w:rsidP="00703341">
      <w:pPr>
        <w:pStyle w:val="Heading7"/>
      </w:pPr>
      <w:r w:rsidRPr="00C252B0">
        <w:t>Primary objective analysis</w:t>
      </w:r>
    </w:p>
    <w:p w:rsidR="00C252B0" w:rsidRPr="00C252B0" w:rsidRDefault="00C252B0" w:rsidP="00C252B0">
      <w:r w:rsidRPr="00C252B0">
        <w:t>Non-inferiority was demonstrated for the three recommended seasonal strains. The UL of the two sided 95% CI on GMT ratio (Fluarix vaccine over D-QIV vaccine) did not exceed 2 for each vaccine strain included in the Fluarix vaccine 28 days after the last vaccination</w:t>
      </w:r>
      <w:r w:rsidR="008A4961">
        <w:t xml:space="preserve"> </w:t>
      </w:r>
      <w:r w:rsidRPr="00C252B0">
        <w:t>(</w:t>
      </w:r>
      <w:r w:rsidR="008A4961">
        <w:t>Table 42</w:t>
      </w:r>
      <w:r w:rsidRPr="00C252B0">
        <w:t>)</w:t>
      </w:r>
      <w:r w:rsidR="008A4961">
        <w:t>.</w:t>
      </w:r>
    </w:p>
    <w:p w:rsidR="00C252B0" w:rsidRPr="00C252B0" w:rsidRDefault="00C252B0" w:rsidP="00703341">
      <w:pPr>
        <w:pStyle w:val="TableTitle"/>
      </w:pPr>
      <w:bookmarkStart w:id="138" w:name="_Ref338828931"/>
      <w:bookmarkStart w:id="139" w:name="_Ref338828935"/>
      <w:proofErr w:type="gramStart"/>
      <w:r w:rsidRPr="00C252B0">
        <w:lastRenderedPageBreak/>
        <w:t>Table</w:t>
      </w:r>
      <w:r w:rsidR="008A4961">
        <w:t xml:space="preserve"> 42.</w:t>
      </w:r>
      <w:bookmarkEnd w:id="138"/>
      <w:proofErr w:type="gramEnd"/>
      <w:r w:rsidRPr="00C252B0">
        <w:t xml:space="preserve"> D-QIV-002 D-QIV v</w:t>
      </w:r>
      <w:r w:rsidR="004E7D76">
        <w:t>ersu</w:t>
      </w:r>
      <w:r w:rsidRPr="00C252B0">
        <w:t>s TIV Day 28 after last vaccination (ATP cohort for immunogen</w:t>
      </w:r>
      <w:bookmarkEnd w:id="139"/>
      <w:r w:rsidRPr="00C252B0">
        <w:t>icity)</w:t>
      </w:r>
    </w:p>
    <w:p w:rsidR="00C252B0" w:rsidRPr="00C252B0" w:rsidRDefault="00C252B0" w:rsidP="00703341">
      <w:r w:rsidRPr="00C252B0">
        <w:rPr>
          <w:noProof/>
          <w:lang w:eastAsia="en-AU"/>
        </w:rPr>
        <w:drawing>
          <wp:inline distT="0" distB="0" distL="0" distR="0" wp14:anchorId="0D4916F5" wp14:editId="48026BED">
            <wp:extent cx="4943475" cy="2133600"/>
            <wp:effectExtent l="19050" t="0" r="9525" b="0"/>
            <wp:docPr id="182" name="Picture 46" descr="Table 42. D-QIV-002 D-QIV vs TIV Day 28 after last vaccination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srcRect/>
                    <a:stretch>
                      <a:fillRect/>
                    </a:stretch>
                  </pic:blipFill>
                  <pic:spPr bwMode="auto">
                    <a:xfrm>
                      <a:off x="0" y="0"/>
                      <a:ext cx="4943475" cy="2133600"/>
                    </a:xfrm>
                    <a:prstGeom prst="rect">
                      <a:avLst/>
                    </a:prstGeom>
                    <a:noFill/>
                    <a:ln w="9525">
                      <a:noFill/>
                      <a:miter lim="800000"/>
                      <a:headEnd/>
                      <a:tailEnd/>
                    </a:ln>
                  </pic:spPr>
                </pic:pic>
              </a:graphicData>
            </a:graphic>
          </wp:inline>
        </w:drawing>
      </w:r>
    </w:p>
    <w:p w:rsidR="00C252B0" w:rsidRPr="00C252B0" w:rsidRDefault="00C252B0" w:rsidP="00C252B0">
      <w:r w:rsidRPr="00C252B0">
        <w:t>Evaluator comment: Although this study protocol specified a larger delta (2) than that chosen for the other studies (1.5), had the delta of 1.5 been applied, non-inferiority would still have been demonstrated.</w:t>
      </w:r>
    </w:p>
    <w:p w:rsidR="00C252B0" w:rsidRPr="00C252B0" w:rsidRDefault="00C252B0" w:rsidP="00703341">
      <w:pPr>
        <w:pStyle w:val="Heading7"/>
      </w:pPr>
      <w:r w:rsidRPr="00C252B0">
        <w:t>Secondary analyses</w:t>
      </w:r>
    </w:p>
    <w:p w:rsidR="00C252B0" w:rsidRPr="00C252B0" w:rsidRDefault="00C252B0" w:rsidP="00C252B0">
      <w:r w:rsidRPr="00C252B0">
        <w:t>Superiority was demonstrated for the B strain not included in the TIV vaccine. The LL of the two sided 95% CI on GMT ratio (D-QIV vaccine/Fluarix vaccine) was greater than 1</w:t>
      </w:r>
      <w:r w:rsidR="004E7D76">
        <w:t xml:space="preserve"> (Table 43).</w:t>
      </w:r>
    </w:p>
    <w:p w:rsidR="00C252B0" w:rsidRPr="00C252B0" w:rsidRDefault="00C252B0" w:rsidP="00703341">
      <w:pPr>
        <w:pStyle w:val="TableTitle"/>
      </w:pPr>
      <w:bookmarkStart w:id="140" w:name="_Ref338830890"/>
      <w:bookmarkStart w:id="141" w:name="_Ref338830893"/>
      <w:proofErr w:type="gramStart"/>
      <w:r w:rsidRPr="00C252B0">
        <w:t xml:space="preserve">Table </w:t>
      </w:r>
      <w:r w:rsidR="004E7D76">
        <w:t>43.</w:t>
      </w:r>
      <w:bookmarkEnd w:id="140"/>
      <w:proofErr w:type="gramEnd"/>
      <w:r w:rsidRPr="00C252B0">
        <w:t xml:space="preserve"> D-QIV-002 Adjusted GMT ratio Day 28 after last vaccination for the B strain not included in TIV (ATP cohort for immunogenicity)</w:t>
      </w:r>
      <w:bookmarkEnd w:id="141"/>
    </w:p>
    <w:p w:rsidR="00C252B0" w:rsidRPr="00C252B0" w:rsidRDefault="00C252B0" w:rsidP="00C252B0">
      <w:r w:rsidRPr="00C252B0">
        <w:rPr>
          <w:noProof/>
          <w:lang w:eastAsia="en-AU"/>
        </w:rPr>
        <w:drawing>
          <wp:inline distT="0" distB="0" distL="0" distR="0">
            <wp:extent cx="4943465" cy="1742536"/>
            <wp:effectExtent l="19050" t="0" r="0" b="0"/>
            <wp:docPr id="183" name="Picture 47" descr="Table 43. D-QIV-002 Adjusted GMT ratio Day 28 after last vaccination for the B strain not included in TIV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srcRect/>
                    <a:stretch>
                      <a:fillRect/>
                    </a:stretch>
                  </pic:blipFill>
                  <pic:spPr bwMode="auto">
                    <a:xfrm>
                      <a:off x="0" y="0"/>
                      <a:ext cx="4953000" cy="1745897"/>
                    </a:xfrm>
                    <a:prstGeom prst="rect">
                      <a:avLst/>
                    </a:prstGeom>
                    <a:noFill/>
                    <a:ln w="9525">
                      <a:noFill/>
                      <a:miter lim="800000"/>
                      <a:headEnd/>
                      <a:tailEnd/>
                    </a:ln>
                  </pic:spPr>
                </pic:pic>
              </a:graphicData>
            </a:graphic>
          </wp:inline>
        </w:drawing>
      </w:r>
    </w:p>
    <w:p w:rsidR="00C252B0" w:rsidRPr="00C252B0" w:rsidRDefault="00C252B0" w:rsidP="003F0BFE">
      <w:pPr>
        <w:pStyle w:val="Heading7"/>
      </w:pPr>
      <w:r w:rsidRPr="00C252B0">
        <w:t>Humoral response</w:t>
      </w:r>
    </w:p>
    <w:p w:rsidR="00C252B0" w:rsidRPr="00C252B0" w:rsidRDefault="00C252B0" w:rsidP="00C252B0">
      <w:r w:rsidRPr="00C252B0">
        <w:t>Results measured at Day 0 and 28 days after last vaccination are summarised below. Baseline seropositivity and GMT results were similar for QIV and TIV primed and for QIV and TIV unprimed, and rates were higher for the primed than the unprimed in both groups, particularly so for the B-Yamagata strain. Increase in seropositivity rates and GMTs after vaccination was noted in each group, primed and unprimed. In general, the unprimed group had higher seropositivity rates and GMTs after two doses than the primed children did after the one dose.</w:t>
      </w:r>
    </w:p>
    <w:p w:rsidR="00C252B0" w:rsidRPr="00C252B0" w:rsidRDefault="00C252B0" w:rsidP="003F0BFE">
      <w:pPr>
        <w:pStyle w:val="Heading7"/>
      </w:pPr>
      <w:r w:rsidRPr="00C252B0">
        <w:lastRenderedPageBreak/>
        <w:t>Seropositivity results</w:t>
      </w:r>
    </w:p>
    <w:tbl>
      <w:tblPr>
        <w:tblStyle w:val="TableTGAblue"/>
        <w:tblW w:w="0" w:type="auto"/>
        <w:tblInd w:w="108" w:type="dxa"/>
        <w:tblLook w:val="04A0" w:firstRow="1" w:lastRow="0" w:firstColumn="1" w:lastColumn="0" w:noHBand="0" w:noVBand="1"/>
      </w:tblPr>
      <w:tblGrid>
        <w:gridCol w:w="4347"/>
        <w:gridCol w:w="4468"/>
      </w:tblGrid>
      <w:tr w:rsidR="00C252B0" w:rsidRPr="00C252B0" w:rsidTr="003F0BFE">
        <w:trPr>
          <w:cnfStyle w:val="100000000000" w:firstRow="1" w:lastRow="0" w:firstColumn="0" w:lastColumn="0" w:oddVBand="0" w:evenVBand="0" w:oddHBand="0" w:evenHBand="0" w:firstRowFirstColumn="0" w:firstRowLastColumn="0" w:lastRowFirstColumn="0" w:lastRowLastColumn="0"/>
          <w:trHeight w:val="472"/>
          <w:tblHeader/>
        </w:trPr>
        <w:tc>
          <w:tcPr>
            <w:cnfStyle w:val="001000000000" w:firstRow="0" w:lastRow="0" w:firstColumn="1" w:lastColumn="0" w:oddVBand="0" w:evenVBand="0" w:oddHBand="0" w:evenHBand="0" w:firstRowFirstColumn="0" w:firstRowLastColumn="0" w:lastRowFirstColumn="0" w:lastRowLastColumn="0"/>
            <w:tcW w:w="4347" w:type="dxa"/>
          </w:tcPr>
          <w:p w:rsidR="00C252B0" w:rsidRPr="00655CE1" w:rsidRDefault="00C252B0" w:rsidP="003F0BFE">
            <w:pPr>
              <w:keepNext/>
            </w:pPr>
            <w:r w:rsidRPr="00655CE1">
              <w:t>Baseline</w:t>
            </w:r>
          </w:p>
        </w:tc>
        <w:tc>
          <w:tcPr>
            <w:tcW w:w="4468" w:type="dxa"/>
          </w:tcPr>
          <w:p w:rsidR="00C252B0" w:rsidRPr="00655CE1" w:rsidRDefault="00C252B0" w:rsidP="003F0BFE">
            <w:pPr>
              <w:keepNext/>
              <w:cnfStyle w:val="100000000000" w:firstRow="1" w:lastRow="0" w:firstColumn="0" w:lastColumn="0" w:oddVBand="0" w:evenVBand="0" w:oddHBand="0" w:evenHBand="0" w:firstRowFirstColumn="0" w:firstRowLastColumn="0" w:lastRowFirstColumn="0" w:lastRowLastColumn="0"/>
            </w:pPr>
            <w:r w:rsidRPr="00655CE1">
              <w:t>28 days after last vaccination</w:t>
            </w:r>
          </w:p>
        </w:tc>
      </w:tr>
      <w:tr w:rsidR="00C252B0" w:rsidRPr="00C252B0" w:rsidTr="008A53DC">
        <w:trPr>
          <w:trHeight w:val="472"/>
        </w:trPr>
        <w:tc>
          <w:tcPr>
            <w:cnfStyle w:val="001000000000" w:firstRow="0" w:lastRow="0" w:firstColumn="1" w:lastColumn="0" w:oddVBand="0" w:evenVBand="0" w:oddHBand="0" w:evenHBand="0" w:firstRowFirstColumn="0" w:firstRowLastColumn="0" w:lastRowFirstColumn="0" w:lastRowLastColumn="0"/>
            <w:tcW w:w="8815" w:type="dxa"/>
            <w:gridSpan w:val="2"/>
          </w:tcPr>
          <w:p w:rsidR="00C252B0" w:rsidRPr="00655CE1" w:rsidRDefault="00C252B0" w:rsidP="00655CE1">
            <w:pPr>
              <w:keepNext/>
              <w:rPr>
                <w:sz w:val="20"/>
                <w:szCs w:val="20"/>
              </w:rPr>
            </w:pPr>
            <w:r w:rsidRPr="00655CE1">
              <w:rPr>
                <w:b/>
                <w:sz w:val="20"/>
                <w:szCs w:val="20"/>
              </w:rPr>
              <w:t>A/H1N1 strain</w:t>
            </w:r>
          </w:p>
        </w:tc>
      </w:tr>
      <w:tr w:rsidR="00C252B0" w:rsidRPr="00C252B0" w:rsidTr="008A53DC">
        <w:trPr>
          <w:trHeight w:val="813"/>
        </w:trPr>
        <w:tc>
          <w:tcPr>
            <w:cnfStyle w:val="001000000000" w:firstRow="0" w:lastRow="0" w:firstColumn="1" w:lastColumn="0" w:oddVBand="0" w:evenVBand="0" w:oddHBand="0" w:evenHBand="0" w:firstRowFirstColumn="0" w:firstRowLastColumn="0" w:lastRowFirstColumn="0" w:lastRowLastColumn="0"/>
            <w:tcW w:w="4347" w:type="dxa"/>
          </w:tcPr>
          <w:p w:rsidR="00C252B0" w:rsidRPr="00655CE1" w:rsidRDefault="00C252B0" w:rsidP="00655CE1">
            <w:pPr>
              <w:keepNext/>
              <w:rPr>
                <w:sz w:val="20"/>
                <w:szCs w:val="20"/>
              </w:rPr>
            </w:pPr>
            <w:r w:rsidRPr="00655CE1">
              <w:rPr>
                <w:sz w:val="20"/>
                <w:szCs w:val="20"/>
              </w:rPr>
              <w:t>D-QIV primed: 61.7%;  unprimed: 39.5%</w:t>
            </w:r>
          </w:p>
          <w:p w:rsidR="00C252B0" w:rsidRPr="00655CE1" w:rsidRDefault="00C252B0" w:rsidP="00655CE1">
            <w:pPr>
              <w:keepNext/>
              <w:rPr>
                <w:sz w:val="20"/>
                <w:szCs w:val="20"/>
              </w:rPr>
            </w:pPr>
            <w:r w:rsidRPr="00655CE1">
              <w:rPr>
                <w:sz w:val="20"/>
                <w:szCs w:val="20"/>
              </w:rPr>
              <w:t xml:space="preserve">TIV primed: 56.8%; unprimed: 35.9% </w:t>
            </w:r>
          </w:p>
        </w:tc>
        <w:tc>
          <w:tcPr>
            <w:tcW w:w="4468" w:type="dxa"/>
          </w:tcPr>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D-QIV primed: 88.3%; unprimed: 100%</w:t>
            </w:r>
          </w:p>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TIV primed: 91.6%; unprimed 100.0%</w:t>
            </w:r>
          </w:p>
        </w:tc>
      </w:tr>
      <w:tr w:rsidR="00C252B0" w:rsidRPr="00C252B0" w:rsidTr="008A53DC">
        <w:trPr>
          <w:trHeight w:val="472"/>
        </w:trPr>
        <w:tc>
          <w:tcPr>
            <w:cnfStyle w:val="001000000000" w:firstRow="0" w:lastRow="0" w:firstColumn="1" w:lastColumn="0" w:oddVBand="0" w:evenVBand="0" w:oddHBand="0" w:evenHBand="0" w:firstRowFirstColumn="0" w:firstRowLastColumn="0" w:lastRowFirstColumn="0" w:lastRowLastColumn="0"/>
            <w:tcW w:w="8815" w:type="dxa"/>
            <w:gridSpan w:val="2"/>
          </w:tcPr>
          <w:p w:rsidR="00C252B0" w:rsidRPr="00655CE1" w:rsidRDefault="00C252B0" w:rsidP="00655CE1">
            <w:pPr>
              <w:keepNext/>
              <w:rPr>
                <w:sz w:val="20"/>
                <w:szCs w:val="20"/>
              </w:rPr>
            </w:pPr>
            <w:r w:rsidRPr="00655CE1">
              <w:rPr>
                <w:b/>
                <w:sz w:val="20"/>
                <w:szCs w:val="20"/>
              </w:rPr>
              <w:t>A/H3N2 strain</w:t>
            </w:r>
          </w:p>
        </w:tc>
      </w:tr>
      <w:tr w:rsidR="00C252B0" w:rsidRPr="00C252B0" w:rsidTr="008A53DC">
        <w:trPr>
          <w:trHeight w:val="813"/>
        </w:trPr>
        <w:tc>
          <w:tcPr>
            <w:cnfStyle w:val="001000000000" w:firstRow="0" w:lastRow="0" w:firstColumn="1" w:lastColumn="0" w:oddVBand="0" w:evenVBand="0" w:oddHBand="0" w:evenHBand="0" w:firstRowFirstColumn="0" w:firstRowLastColumn="0" w:lastRowFirstColumn="0" w:lastRowLastColumn="0"/>
            <w:tcW w:w="4347" w:type="dxa"/>
          </w:tcPr>
          <w:p w:rsidR="00C252B0" w:rsidRPr="00655CE1" w:rsidRDefault="00C252B0" w:rsidP="00655CE1">
            <w:pPr>
              <w:keepNext/>
              <w:rPr>
                <w:sz w:val="20"/>
                <w:szCs w:val="20"/>
              </w:rPr>
            </w:pPr>
            <w:r w:rsidRPr="00655CE1">
              <w:rPr>
                <w:sz w:val="20"/>
                <w:szCs w:val="20"/>
              </w:rPr>
              <w:t>D-QIV primed: 63.8%; unprimed 44.3%</w:t>
            </w:r>
          </w:p>
          <w:p w:rsidR="00C252B0" w:rsidRPr="00655CE1" w:rsidRDefault="00C252B0" w:rsidP="00655CE1">
            <w:pPr>
              <w:keepNext/>
              <w:rPr>
                <w:sz w:val="20"/>
                <w:szCs w:val="20"/>
              </w:rPr>
            </w:pPr>
            <w:r w:rsidRPr="00655CE1">
              <w:rPr>
                <w:sz w:val="20"/>
                <w:szCs w:val="20"/>
              </w:rPr>
              <w:t>TIV primed 62.1%; unprimed: 41.6%</w:t>
            </w:r>
          </w:p>
        </w:tc>
        <w:tc>
          <w:tcPr>
            <w:tcW w:w="4468" w:type="dxa"/>
          </w:tcPr>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D-QIV primed: 93.6%;  unprimed 100%</w:t>
            </w:r>
          </w:p>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TIV primed: 91.6%: unprimed 100.0%</w:t>
            </w:r>
          </w:p>
        </w:tc>
      </w:tr>
      <w:tr w:rsidR="00C252B0" w:rsidRPr="00C252B0" w:rsidTr="008A53DC">
        <w:trPr>
          <w:trHeight w:val="472"/>
        </w:trPr>
        <w:tc>
          <w:tcPr>
            <w:cnfStyle w:val="001000000000" w:firstRow="0" w:lastRow="0" w:firstColumn="1" w:lastColumn="0" w:oddVBand="0" w:evenVBand="0" w:oddHBand="0" w:evenHBand="0" w:firstRowFirstColumn="0" w:firstRowLastColumn="0" w:lastRowFirstColumn="0" w:lastRowLastColumn="0"/>
            <w:tcW w:w="8815" w:type="dxa"/>
            <w:gridSpan w:val="2"/>
          </w:tcPr>
          <w:p w:rsidR="00C252B0" w:rsidRPr="00655CE1" w:rsidRDefault="00C252B0" w:rsidP="00655CE1">
            <w:pPr>
              <w:keepNext/>
              <w:rPr>
                <w:sz w:val="20"/>
                <w:szCs w:val="20"/>
              </w:rPr>
            </w:pPr>
            <w:r w:rsidRPr="00655CE1">
              <w:rPr>
                <w:b/>
                <w:sz w:val="20"/>
                <w:szCs w:val="20"/>
              </w:rPr>
              <w:t>B-Victoria strain</w:t>
            </w:r>
          </w:p>
        </w:tc>
      </w:tr>
      <w:tr w:rsidR="00C252B0" w:rsidRPr="00C252B0" w:rsidTr="008A53DC">
        <w:trPr>
          <w:trHeight w:val="830"/>
        </w:trPr>
        <w:tc>
          <w:tcPr>
            <w:cnfStyle w:val="001000000000" w:firstRow="0" w:lastRow="0" w:firstColumn="1" w:lastColumn="0" w:oddVBand="0" w:evenVBand="0" w:oddHBand="0" w:evenHBand="0" w:firstRowFirstColumn="0" w:firstRowLastColumn="0" w:lastRowFirstColumn="0" w:lastRowLastColumn="0"/>
            <w:tcW w:w="4347" w:type="dxa"/>
          </w:tcPr>
          <w:p w:rsidR="00C252B0" w:rsidRPr="00655CE1" w:rsidRDefault="00C252B0" w:rsidP="00655CE1">
            <w:pPr>
              <w:keepNext/>
              <w:rPr>
                <w:sz w:val="20"/>
                <w:szCs w:val="20"/>
              </w:rPr>
            </w:pPr>
            <w:r w:rsidRPr="00655CE1">
              <w:rPr>
                <w:sz w:val="20"/>
                <w:szCs w:val="20"/>
              </w:rPr>
              <w:t>D-QIV primed: 27.7%; unprimed: 15.8%</w:t>
            </w:r>
          </w:p>
          <w:p w:rsidR="00C252B0" w:rsidRPr="00655CE1" w:rsidRDefault="00C252B0" w:rsidP="00655CE1">
            <w:pPr>
              <w:keepNext/>
              <w:rPr>
                <w:sz w:val="20"/>
                <w:szCs w:val="20"/>
              </w:rPr>
            </w:pPr>
            <w:r w:rsidRPr="00655CE1">
              <w:rPr>
                <w:sz w:val="20"/>
                <w:szCs w:val="20"/>
              </w:rPr>
              <w:t>TIV primed 29.5%; unprimed 21.2%</w:t>
            </w:r>
          </w:p>
        </w:tc>
        <w:tc>
          <w:tcPr>
            <w:tcW w:w="4468" w:type="dxa"/>
          </w:tcPr>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D-QIV primed 66.0%; unprimed 98.0%</w:t>
            </w:r>
          </w:p>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TIV primed: 69.5% ; unprimed; 95.9%</w:t>
            </w:r>
          </w:p>
        </w:tc>
      </w:tr>
      <w:tr w:rsidR="00C252B0" w:rsidRPr="00C252B0" w:rsidTr="008A53DC">
        <w:trPr>
          <w:trHeight w:val="456"/>
        </w:trPr>
        <w:tc>
          <w:tcPr>
            <w:cnfStyle w:val="001000000000" w:firstRow="0" w:lastRow="0" w:firstColumn="1" w:lastColumn="0" w:oddVBand="0" w:evenVBand="0" w:oddHBand="0" w:evenHBand="0" w:firstRowFirstColumn="0" w:firstRowLastColumn="0" w:lastRowFirstColumn="0" w:lastRowLastColumn="0"/>
            <w:tcW w:w="8815" w:type="dxa"/>
            <w:gridSpan w:val="2"/>
          </w:tcPr>
          <w:p w:rsidR="00C252B0" w:rsidRPr="00655CE1" w:rsidRDefault="00C252B0" w:rsidP="00655CE1">
            <w:pPr>
              <w:keepNext/>
              <w:rPr>
                <w:sz w:val="20"/>
                <w:szCs w:val="20"/>
              </w:rPr>
            </w:pPr>
            <w:r w:rsidRPr="00655CE1">
              <w:rPr>
                <w:b/>
                <w:sz w:val="20"/>
                <w:szCs w:val="20"/>
              </w:rPr>
              <w:t>B-Yamagata strain</w:t>
            </w:r>
          </w:p>
        </w:tc>
      </w:tr>
      <w:tr w:rsidR="00C252B0" w:rsidRPr="00C252B0" w:rsidTr="008A53DC">
        <w:trPr>
          <w:trHeight w:val="830"/>
        </w:trPr>
        <w:tc>
          <w:tcPr>
            <w:cnfStyle w:val="001000000000" w:firstRow="0" w:lastRow="0" w:firstColumn="1" w:lastColumn="0" w:oddVBand="0" w:evenVBand="0" w:oddHBand="0" w:evenHBand="0" w:firstRowFirstColumn="0" w:firstRowLastColumn="0" w:lastRowFirstColumn="0" w:lastRowLastColumn="0"/>
            <w:tcW w:w="4347" w:type="dxa"/>
          </w:tcPr>
          <w:p w:rsidR="00C252B0" w:rsidRPr="00655CE1" w:rsidRDefault="00C252B0" w:rsidP="00655CE1">
            <w:pPr>
              <w:keepNext/>
              <w:rPr>
                <w:sz w:val="20"/>
                <w:szCs w:val="20"/>
              </w:rPr>
            </w:pPr>
            <w:r w:rsidRPr="00655CE1">
              <w:rPr>
                <w:sz w:val="20"/>
                <w:szCs w:val="20"/>
              </w:rPr>
              <w:t>D-QIV primed: 77.7%; unprimed 23.9%</w:t>
            </w:r>
          </w:p>
          <w:p w:rsidR="00C252B0" w:rsidRPr="00655CE1" w:rsidRDefault="00C252B0" w:rsidP="00655CE1">
            <w:pPr>
              <w:keepNext/>
              <w:rPr>
                <w:sz w:val="20"/>
                <w:szCs w:val="20"/>
              </w:rPr>
            </w:pPr>
            <w:r w:rsidRPr="00655CE1">
              <w:rPr>
                <w:sz w:val="20"/>
                <w:szCs w:val="20"/>
              </w:rPr>
              <w:t>TIV primed 84.2%; unprimed 28.8%</w:t>
            </w:r>
          </w:p>
        </w:tc>
        <w:tc>
          <w:tcPr>
            <w:tcW w:w="4468" w:type="dxa"/>
          </w:tcPr>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D-QIV primed: 98.9%;  unprimed 99.0%</w:t>
            </w:r>
          </w:p>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TIV primed: 98.9%; unprimed 71.4%</w:t>
            </w:r>
          </w:p>
        </w:tc>
      </w:tr>
    </w:tbl>
    <w:p w:rsidR="00C252B0" w:rsidRPr="00C252B0" w:rsidRDefault="00C252B0" w:rsidP="00C252B0">
      <w:r w:rsidRPr="00655CE1">
        <w:rPr>
          <w:rStyle w:val="Heading6Char"/>
          <w:rFonts w:eastAsia="Cambria"/>
        </w:rPr>
        <w:t>Evaluator comment:</w:t>
      </w:r>
      <w:r w:rsidRPr="00C252B0">
        <w:t xml:space="preserve"> Baseline seropositivity was higher for A/H1N1, A/H3N2 and B-Yamagata in the primed groups than in the unprimed groups including for all B-Victoria baseline results. Seropositivity increased to between 95.9% and 99% for all groups except the TIV unprimed group but even in that group there was an increase from 28.8% to 71.4%. The evaluator was unable to find details of the priming vaccine but it is considered likely that B-Yamagata was a constituent of that vaccine</w:t>
      </w:r>
      <w:bookmarkStart w:id="142" w:name="_Ref378167591"/>
      <w:r w:rsidR="003F2D39">
        <w:rPr>
          <w:rStyle w:val="FootnoteReference"/>
        </w:rPr>
        <w:footnoteReference w:id="18"/>
      </w:r>
      <w:bookmarkEnd w:id="142"/>
      <w:r w:rsidRPr="00C252B0">
        <w:t xml:space="preserve"> The TIV vaccine used in this study included a B-Victoria strain and it appears that there may be some cross reactivity to this antigen resulting in increased seropositivity for B-Yamagata or there may have been B-Yamagata circulating in community. However, there is no discussion included in Module 5, j</w:t>
      </w:r>
      <w:r w:rsidR="003F0BFE">
        <w:t>ust a one sentence conclusion.</w:t>
      </w:r>
    </w:p>
    <w:p w:rsidR="00C252B0" w:rsidRPr="00C252B0" w:rsidRDefault="003F0BFE" w:rsidP="003F0BFE">
      <w:pPr>
        <w:pStyle w:val="Heading7"/>
      </w:pPr>
      <w:r>
        <w:lastRenderedPageBreak/>
        <w:t>GMT results</w:t>
      </w:r>
    </w:p>
    <w:tbl>
      <w:tblPr>
        <w:tblStyle w:val="TableTGAblue"/>
        <w:tblW w:w="0" w:type="auto"/>
        <w:tblInd w:w="108" w:type="dxa"/>
        <w:tblLook w:val="04A0" w:firstRow="1" w:lastRow="0" w:firstColumn="1" w:lastColumn="0" w:noHBand="0" w:noVBand="1"/>
      </w:tblPr>
      <w:tblGrid>
        <w:gridCol w:w="4436"/>
        <w:gridCol w:w="4564"/>
      </w:tblGrid>
      <w:tr w:rsidR="00C252B0" w:rsidRPr="00C252B0" w:rsidTr="008A53DC">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436" w:type="dxa"/>
          </w:tcPr>
          <w:p w:rsidR="00C252B0" w:rsidRPr="00655CE1" w:rsidRDefault="00C252B0" w:rsidP="00655CE1">
            <w:pPr>
              <w:keepNext/>
              <w:rPr>
                <w:sz w:val="20"/>
                <w:szCs w:val="20"/>
              </w:rPr>
            </w:pPr>
            <w:r w:rsidRPr="00655CE1">
              <w:rPr>
                <w:sz w:val="20"/>
                <w:szCs w:val="20"/>
              </w:rPr>
              <w:t>Baseline GMTs</w:t>
            </w:r>
          </w:p>
        </w:tc>
        <w:tc>
          <w:tcPr>
            <w:tcW w:w="4564" w:type="dxa"/>
          </w:tcPr>
          <w:p w:rsidR="00C252B0" w:rsidRPr="00655CE1" w:rsidRDefault="00C252B0" w:rsidP="00655CE1">
            <w:pPr>
              <w:keepNext/>
              <w:cnfStyle w:val="100000000000" w:firstRow="1" w:lastRow="0" w:firstColumn="0" w:lastColumn="0" w:oddVBand="0" w:evenVBand="0" w:oddHBand="0" w:evenHBand="0" w:firstRowFirstColumn="0" w:firstRowLastColumn="0" w:lastRowFirstColumn="0" w:lastRowLastColumn="0"/>
              <w:rPr>
                <w:sz w:val="20"/>
                <w:szCs w:val="20"/>
              </w:rPr>
            </w:pPr>
            <w:r w:rsidRPr="00655CE1">
              <w:rPr>
                <w:sz w:val="20"/>
                <w:szCs w:val="20"/>
              </w:rPr>
              <w:t>28 days after last vaccination</w:t>
            </w:r>
          </w:p>
        </w:tc>
      </w:tr>
      <w:tr w:rsidR="00C252B0" w:rsidRPr="00C252B0" w:rsidTr="008A53DC">
        <w:trPr>
          <w:trHeight w:val="476"/>
        </w:trPr>
        <w:tc>
          <w:tcPr>
            <w:cnfStyle w:val="001000000000" w:firstRow="0" w:lastRow="0" w:firstColumn="1" w:lastColumn="0" w:oddVBand="0" w:evenVBand="0" w:oddHBand="0" w:evenHBand="0" w:firstRowFirstColumn="0" w:firstRowLastColumn="0" w:lastRowFirstColumn="0" w:lastRowLastColumn="0"/>
            <w:tcW w:w="9000" w:type="dxa"/>
            <w:gridSpan w:val="2"/>
          </w:tcPr>
          <w:p w:rsidR="00C252B0" w:rsidRPr="00655CE1" w:rsidRDefault="00C252B0" w:rsidP="00655CE1">
            <w:pPr>
              <w:keepNext/>
              <w:rPr>
                <w:b/>
                <w:sz w:val="20"/>
                <w:szCs w:val="20"/>
              </w:rPr>
            </w:pPr>
            <w:r w:rsidRPr="00655CE1">
              <w:rPr>
                <w:b/>
                <w:sz w:val="20"/>
                <w:szCs w:val="20"/>
              </w:rPr>
              <w:t>A/H1N1 strain</w:t>
            </w:r>
          </w:p>
        </w:tc>
      </w:tr>
      <w:tr w:rsidR="00C252B0" w:rsidRPr="00C252B0" w:rsidTr="008A53DC">
        <w:trPr>
          <w:trHeight w:val="821"/>
        </w:trPr>
        <w:tc>
          <w:tcPr>
            <w:cnfStyle w:val="001000000000" w:firstRow="0" w:lastRow="0" w:firstColumn="1" w:lastColumn="0" w:oddVBand="0" w:evenVBand="0" w:oddHBand="0" w:evenHBand="0" w:firstRowFirstColumn="0" w:firstRowLastColumn="0" w:lastRowFirstColumn="0" w:lastRowLastColumn="0"/>
            <w:tcW w:w="4436" w:type="dxa"/>
          </w:tcPr>
          <w:p w:rsidR="00C252B0" w:rsidRPr="00655CE1" w:rsidRDefault="00C252B0" w:rsidP="00655CE1">
            <w:pPr>
              <w:keepNext/>
              <w:rPr>
                <w:sz w:val="20"/>
                <w:szCs w:val="20"/>
              </w:rPr>
            </w:pPr>
            <w:r w:rsidRPr="00655CE1">
              <w:rPr>
                <w:sz w:val="20"/>
                <w:szCs w:val="20"/>
              </w:rPr>
              <w:t>D-QIV primed 40.3; unprimed 14.7</w:t>
            </w:r>
          </w:p>
          <w:p w:rsidR="00C252B0" w:rsidRPr="00655CE1" w:rsidRDefault="00C252B0" w:rsidP="00655CE1">
            <w:pPr>
              <w:keepNext/>
              <w:rPr>
                <w:sz w:val="20"/>
                <w:szCs w:val="20"/>
              </w:rPr>
            </w:pPr>
            <w:r w:rsidRPr="00655CE1">
              <w:rPr>
                <w:sz w:val="20"/>
                <w:szCs w:val="20"/>
              </w:rPr>
              <w:t>TIV primed 36.5; unprimed 12.8</w:t>
            </w:r>
          </w:p>
        </w:tc>
        <w:tc>
          <w:tcPr>
            <w:tcW w:w="4564" w:type="dxa"/>
          </w:tcPr>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D-QIV primed 117.0, unprimed  253.1</w:t>
            </w:r>
          </w:p>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TIV primed 124.4, unprimed 249.0</w:t>
            </w:r>
          </w:p>
        </w:tc>
      </w:tr>
      <w:tr w:rsidR="00C252B0" w:rsidRPr="00C252B0" w:rsidTr="008A53DC">
        <w:trPr>
          <w:trHeight w:val="476"/>
        </w:trPr>
        <w:tc>
          <w:tcPr>
            <w:cnfStyle w:val="001000000000" w:firstRow="0" w:lastRow="0" w:firstColumn="1" w:lastColumn="0" w:oddVBand="0" w:evenVBand="0" w:oddHBand="0" w:evenHBand="0" w:firstRowFirstColumn="0" w:firstRowLastColumn="0" w:lastRowFirstColumn="0" w:lastRowLastColumn="0"/>
            <w:tcW w:w="9000" w:type="dxa"/>
            <w:gridSpan w:val="2"/>
          </w:tcPr>
          <w:p w:rsidR="00C252B0" w:rsidRPr="00655CE1" w:rsidRDefault="00C252B0" w:rsidP="00655CE1">
            <w:pPr>
              <w:keepNext/>
              <w:rPr>
                <w:b/>
                <w:sz w:val="20"/>
                <w:szCs w:val="20"/>
              </w:rPr>
            </w:pPr>
            <w:r w:rsidRPr="00655CE1">
              <w:rPr>
                <w:b/>
                <w:sz w:val="20"/>
                <w:szCs w:val="20"/>
              </w:rPr>
              <w:t>A/H3N2 strain</w:t>
            </w:r>
          </w:p>
        </w:tc>
      </w:tr>
      <w:tr w:rsidR="00C252B0" w:rsidRPr="00C252B0" w:rsidTr="008A53DC">
        <w:trPr>
          <w:trHeight w:val="821"/>
        </w:trPr>
        <w:tc>
          <w:tcPr>
            <w:cnfStyle w:val="001000000000" w:firstRow="0" w:lastRow="0" w:firstColumn="1" w:lastColumn="0" w:oddVBand="0" w:evenVBand="0" w:oddHBand="0" w:evenHBand="0" w:firstRowFirstColumn="0" w:firstRowLastColumn="0" w:lastRowFirstColumn="0" w:lastRowLastColumn="0"/>
            <w:tcW w:w="4436" w:type="dxa"/>
          </w:tcPr>
          <w:p w:rsidR="00C252B0" w:rsidRPr="00655CE1" w:rsidRDefault="00C252B0" w:rsidP="00655CE1">
            <w:pPr>
              <w:keepNext/>
              <w:rPr>
                <w:sz w:val="20"/>
                <w:szCs w:val="20"/>
              </w:rPr>
            </w:pPr>
            <w:r w:rsidRPr="00655CE1">
              <w:rPr>
                <w:sz w:val="20"/>
                <w:szCs w:val="20"/>
              </w:rPr>
              <w:t>D-QIV primed 22.8; unprimed 17.7</w:t>
            </w:r>
          </w:p>
          <w:p w:rsidR="00C252B0" w:rsidRPr="00655CE1" w:rsidRDefault="00C252B0" w:rsidP="00655CE1">
            <w:pPr>
              <w:keepNext/>
              <w:rPr>
                <w:sz w:val="20"/>
                <w:szCs w:val="20"/>
              </w:rPr>
            </w:pPr>
            <w:r w:rsidRPr="00655CE1">
              <w:rPr>
                <w:sz w:val="20"/>
                <w:szCs w:val="20"/>
              </w:rPr>
              <w:t xml:space="preserve">TIV primed 21.7, unprimed 17.9 </w:t>
            </w:r>
          </w:p>
        </w:tc>
        <w:tc>
          <w:tcPr>
            <w:tcW w:w="4564" w:type="dxa"/>
          </w:tcPr>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D-QIV primed 85.2; unprimed 249.0</w:t>
            </w:r>
          </w:p>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TIV primed 83.0; unprimed 202.1</w:t>
            </w:r>
          </w:p>
        </w:tc>
      </w:tr>
      <w:tr w:rsidR="00C252B0" w:rsidRPr="00C252B0" w:rsidTr="008A53DC">
        <w:trPr>
          <w:trHeight w:val="476"/>
        </w:trPr>
        <w:tc>
          <w:tcPr>
            <w:cnfStyle w:val="001000000000" w:firstRow="0" w:lastRow="0" w:firstColumn="1" w:lastColumn="0" w:oddVBand="0" w:evenVBand="0" w:oddHBand="0" w:evenHBand="0" w:firstRowFirstColumn="0" w:firstRowLastColumn="0" w:lastRowFirstColumn="0" w:lastRowLastColumn="0"/>
            <w:tcW w:w="9000" w:type="dxa"/>
            <w:gridSpan w:val="2"/>
          </w:tcPr>
          <w:p w:rsidR="00C252B0" w:rsidRPr="00655CE1" w:rsidRDefault="00C252B0" w:rsidP="00655CE1">
            <w:pPr>
              <w:keepNext/>
              <w:rPr>
                <w:b/>
                <w:sz w:val="20"/>
                <w:szCs w:val="20"/>
              </w:rPr>
            </w:pPr>
            <w:r w:rsidRPr="00655CE1">
              <w:rPr>
                <w:b/>
                <w:sz w:val="20"/>
                <w:szCs w:val="20"/>
              </w:rPr>
              <w:t>B-Victoria strain</w:t>
            </w:r>
          </w:p>
        </w:tc>
      </w:tr>
      <w:tr w:rsidR="00C252B0" w:rsidRPr="00C252B0" w:rsidTr="008A53DC">
        <w:trPr>
          <w:trHeight w:val="821"/>
        </w:trPr>
        <w:tc>
          <w:tcPr>
            <w:cnfStyle w:val="001000000000" w:firstRow="0" w:lastRow="0" w:firstColumn="1" w:lastColumn="0" w:oddVBand="0" w:evenVBand="0" w:oddHBand="0" w:evenHBand="0" w:firstRowFirstColumn="0" w:firstRowLastColumn="0" w:lastRowFirstColumn="0" w:lastRowLastColumn="0"/>
            <w:tcW w:w="4436" w:type="dxa"/>
          </w:tcPr>
          <w:p w:rsidR="00C252B0" w:rsidRPr="00655CE1" w:rsidRDefault="00C252B0" w:rsidP="00655CE1">
            <w:pPr>
              <w:keepNext/>
              <w:rPr>
                <w:sz w:val="20"/>
                <w:szCs w:val="20"/>
              </w:rPr>
            </w:pPr>
            <w:r w:rsidRPr="00655CE1">
              <w:rPr>
                <w:sz w:val="20"/>
                <w:szCs w:val="20"/>
              </w:rPr>
              <w:t>D-QIV primed 8.9; unprimed 7.8</w:t>
            </w:r>
          </w:p>
          <w:p w:rsidR="00C252B0" w:rsidRPr="00655CE1" w:rsidRDefault="00C252B0" w:rsidP="00655CE1">
            <w:pPr>
              <w:keepNext/>
              <w:rPr>
                <w:sz w:val="20"/>
                <w:szCs w:val="20"/>
              </w:rPr>
            </w:pPr>
            <w:r w:rsidRPr="00655CE1">
              <w:rPr>
                <w:sz w:val="20"/>
                <w:szCs w:val="20"/>
              </w:rPr>
              <w:t>TIV primed  9.7; unprimed 8.7</w:t>
            </w:r>
          </w:p>
        </w:tc>
        <w:tc>
          <w:tcPr>
            <w:tcW w:w="4564" w:type="dxa"/>
          </w:tcPr>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D-QIV primed 38.7; unprimed 97.2</w:t>
            </w:r>
          </w:p>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TIV primed 44.0; unprimed  99.6</w:t>
            </w:r>
          </w:p>
        </w:tc>
      </w:tr>
      <w:tr w:rsidR="00C252B0" w:rsidRPr="00C252B0" w:rsidTr="008A53DC">
        <w:trPr>
          <w:trHeight w:val="476"/>
        </w:trPr>
        <w:tc>
          <w:tcPr>
            <w:cnfStyle w:val="001000000000" w:firstRow="0" w:lastRow="0" w:firstColumn="1" w:lastColumn="0" w:oddVBand="0" w:evenVBand="0" w:oddHBand="0" w:evenHBand="0" w:firstRowFirstColumn="0" w:firstRowLastColumn="0" w:lastRowFirstColumn="0" w:lastRowLastColumn="0"/>
            <w:tcW w:w="9000" w:type="dxa"/>
            <w:gridSpan w:val="2"/>
          </w:tcPr>
          <w:p w:rsidR="00C252B0" w:rsidRPr="00655CE1" w:rsidRDefault="00C252B0" w:rsidP="00655CE1">
            <w:pPr>
              <w:keepNext/>
              <w:rPr>
                <w:b/>
                <w:sz w:val="20"/>
                <w:szCs w:val="20"/>
              </w:rPr>
            </w:pPr>
            <w:r w:rsidRPr="00655CE1">
              <w:rPr>
                <w:b/>
                <w:sz w:val="20"/>
                <w:szCs w:val="20"/>
              </w:rPr>
              <w:t>B-Yamagata strain</w:t>
            </w:r>
          </w:p>
        </w:tc>
      </w:tr>
      <w:tr w:rsidR="00C252B0" w:rsidRPr="00C252B0" w:rsidTr="008A53DC">
        <w:trPr>
          <w:trHeight w:val="837"/>
        </w:trPr>
        <w:tc>
          <w:tcPr>
            <w:cnfStyle w:val="001000000000" w:firstRow="0" w:lastRow="0" w:firstColumn="1" w:lastColumn="0" w:oddVBand="0" w:evenVBand="0" w:oddHBand="0" w:evenHBand="0" w:firstRowFirstColumn="0" w:firstRowLastColumn="0" w:lastRowFirstColumn="0" w:lastRowLastColumn="0"/>
            <w:tcW w:w="4436" w:type="dxa"/>
          </w:tcPr>
          <w:p w:rsidR="00C252B0" w:rsidRPr="00655CE1" w:rsidRDefault="00C252B0" w:rsidP="00655CE1">
            <w:pPr>
              <w:keepNext/>
              <w:rPr>
                <w:sz w:val="20"/>
                <w:szCs w:val="20"/>
              </w:rPr>
            </w:pPr>
            <w:r w:rsidRPr="00655CE1">
              <w:rPr>
                <w:sz w:val="20"/>
                <w:szCs w:val="20"/>
              </w:rPr>
              <w:t>D-QIV primed 29.3 unprimed 9.1</w:t>
            </w:r>
          </w:p>
          <w:p w:rsidR="00C252B0" w:rsidRPr="00655CE1" w:rsidRDefault="00C252B0" w:rsidP="00655CE1">
            <w:pPr>
              <w:keepNext/>
              <w:rPr>
                <w:sz w:val="20"/>
                <w:szCs w:val="20"/>
              </w:rPr>
            </w:pPr>
            <w:r w:rsidRPr="00655CE1">
              <w:rPr>
                <w:sz w:val="20"/>
                <w:szCs w:val="20"/>
              </w:rPr>
              <w:t>TIV primed 37.7; unprimed 9.9</w:t>
            </w:r>
          </w:p>
        </w:tc>
        <w:tc>
          <w:tcPr>
            <w:tcW w:w="4564" w:type="dxa"/>
          </w:tcPr>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D-QIV  primed 243.6; unprimed 311.1</w:t>
            </w:r>
          </w:p>
          <w:p w:rsidR="00C252B0" w:rsidRPr="00655CE1" w:rsidRDefault="00C252B0" w:rsidP="00655CE1">
            <w:pPr>
              <w:keepNext/>
              <w:cnfStyle w:val="000000000000" w:firstRow="0" w:lastRow="0" w:firstColumn="0" w:lastColumn="0" w:oddVBand="0" w:evenVBand="0" w:oddHBand="0" w:evenHBand="0" w:firstRowFirstColumn="0" w:firstRowLastColumn="0" w:lastRowFirstColumn="0" w:lastRowLastColumn="0"/>
              <w:rPr>
                <w:sz w:val="20"/>
                <w:szCs w:val="20"/>
              </w:rPr>
            </w:pPr>
            <w:r w:rsidRPr="00655CE1">
              <w:rPr>
                <w:sz w:val="20"/>
                <w:szCs w:val="20"/>
              </w:rPr>
              <w:t>TIV primed 127.2, unprimed 42.2</w:t>
            </w:r>
          </w:p>
        </w:tc>
      </w:tr>
    </w:tbl>
    <w:p w:rsidR="00C252B0" w:rsidRPr="00C252B0" w:rsidRDefault="00C252B0" w:rsidP="00C252B0">
      <w:r w:rsidRPr="00655CE1">
        <w:rPr>
          <w:rStyle w:val="Heading6Char"/>
          <w:rFonts w:eastAsia="Cambria"/>
        </w:rPr>
        <w:t xml:space="preserve">Evaluator comment: </w:t>
      </w:r>
      <w:r w:rsidRPr="00C252B0">
        <w:t xml:space="preserve">For the A/H1N1 and A/H3N32 antigens, the baseline GMTs for the unprimed group were lower than for the primed group and GMTs rose </w:t>
      </w:r>
      <w:r w:rsidR="00692B0F">
        <w:t>post vaccination</w:t>
      </w:r>
      <w:r w:rsidRPr="00C252B0">
        <w:t xml:space="preserve">, more so in the unprimed groups </w:t>
      </w:r>
      <w:r w:rsidR="003F0BFE">
        <w:t>that received two vaccinations.</w:t>
      </w:r>
    </w:p>
    <w:p w:rsidR="00C252B0" w:rsidRPr="00C252B0" w:rsidRDefault="00C252B0" w:rsidP="00C252B0">
      <w:r w:rsidRPr="00C252B0">
        <w:t>The priming vaccine is presumed to have contained B-Yamagata strain.</w:t>
      </w:r>
      <w:r w:rsidR="00643F59">
        <w:fldChar w:fldCharType="begin"/>
      </w:r>
      <w:r w:rsidR="00643F59">
        <w:instrText xml:space="preserve"> NOTEREF _Ref378167591 \h  \* MERGEFORMAT </w:instrText>
      </w:r>
      <w:r w:rsidR="00643F59">
        <w:fldChar w:fldCharType="separate"/>
      </w:r>
      <w:r w:rsidR="006421C6" w:rsidRPr="006421C6">
        <w:rPr>
          <w:vertAlign w:val="superscript"/>
        </w:rPr>
        <w:t>18</w:t>
      </w:r>
      <w:r w:rsidR="00643F59">
        <w:fldChar w:fldCharType="end"/>
      </w:r>
      <w:r w:rsidRPr="00C252B0">
        <w:t xml:space="preserve"> B-Victoria strain GMTs were low for all primed and unprimed groups. GMTs rose after vaccination with B-Victoria strain containing D-QIV vaccine, more so with for the unprimed participants. However, GMT responses were not particularly </w:t>
      </w:r>
      <w:r w:rsidR="003F0BFE">
        <w:t>high for any group.</w:t>
      </w:r>
    </w:p>
    <w:p w:rsidR="00C252B0" w:rsidRPr="00C252B0" w:rsidRDefault="00C252B0" w:rsidP="00C252B0">
      <w:r w:rsidRPr="00C252B0">
        <w:t xml:space="preserve">The baseline B-Yamagata strain GMTs for unprimed participants were lower than for primed as would be expected if primed with B-Yamagata. When vaccinated with B-Yamagata, the levels rose for the D-QIV group. When vaccinated only with the B-Victoria strain, levels also rose for both the primed and unprimed groups, more so for the primed group and the GMTs were at least as high as for the </w:t>
      </w:r>
      <w:r w:rsidR="00692B0F">
        <w:t>post vaccination</w:t>
      </w:r>
      <w:r w:rsidR="003F0BFE">
        <w:t xml:space="preserve"> B-Victoria strain GMTs.</w:t>
      </w:r>
    </w:p>
    <w:p w:rsidR="00C252B0" w:rsidRPr="00C252B0" w:rsidRDefault="00C252B0" w:rsidP="003F0BFE">
      <w:pPr>
        <w:pStyle w:val="Heading7"/>
      </w:pPr>
      <w:r w:rsidRPr="00C252B0">
        <w:t>Seroconversion rates</w:t>
      </w:r>
    </w:p>
    <w:p w:rsidR="00C252B0" w:rsidRPr="00C252B0" w:rsidRDefault="003F0BFE" w:rsidP="003F0BFE">
      <w:pPr>
        <w:pStyle w:val="Heading8"/>
        <w:numPr>
          <w:ilvl w:val="0"/>
          <w:numId w:val="0"/>
        </w:numPr>
      </w:pPr>
      <w:r>
        <w:t>A/H1N1 strain</w:t>
      </w:r>
    </w:p>
    <w:p w:rsidR="00C252B0" w:rsidRPr="00C252B0" w:rsidRDefault="00C252B0" w:rsidP="00655CE1">
      <w:pPr>
        <w:pStyle w:val="ListBullet"/>
      </w:pPr>
      <w:r w:rsidRPr="00C252B0">
        <w:t xml:space="preserve">D-QIV primed 31.9%l TIV primed 41.1%  </w:t>
      </w:r>
    </w:p>
    <w:p w:rsidR="00C252B0" w:rsidRPr="00C252B0" w:rsidRDefault="00C252B0" w:rsidP="00655CE1">
      <w:pPr>
        <w:pStyle w:val="ListBullet"/>
      </w:pPr>
      <w:r w:rsidRPr="00C252B0">
        <w:t xml:space="preserve">D-QIV unprimed 85.3%; TIV unprimed 91.8%. </w:t>
      </w:r>
    </w:p>
    <w:p w:rsidR="00C252B0" w:rsidRPr="00C252B0" w:rsidRDefault="00C252B0" w:rsidP="00C252B0">
      <w:r w:rsidRPr="00655CE1">
        <w:rPr>
          <w:rStyle w:val="Heading6Char"/>
          <w:rFonts w:eastAsia="Cambria"/>
        </w:rPr>
        <w:t xml:space="preserve">Evaluator comment: </w:t>
      </w:r>
      <w:r w:rsidRPr="00C252B0">
        <w:t>SCRs met the CPMP criteria for adults between 18 and 60 years of &gt; 40% for the primed individuals vaccinated with TIV and for both unprimed groups. The result for primed individuals vaccinated with D-QIV met the criterion of &gt; 30% for adults over 60 years. The results for unprimed participants were more than twice those for primed participants suggesting that the primed as well as the unprimed children may benefit from a two dose r</w:t>
      </w:r>
      <w:r w:rsidR="003F0BFE">
        <w:t>egimen.</w:t>
      </w:r>
    </w:p>
    <w:p w:rsidR="00C252B0" w:rsidRPr="00C252B0" w:rsidRDefault="00C252B0" w:rsidP="003F0BFE">
      <w:pPr>
        <w:pStyle w:val="Heading8"/>
        <w:numPr>
          <w:ilvl w:val="0"/>
          <w:numId w:val="0"/>
        </w:numPr>
        <w:ind w:left="1440" w:hanging="1440"/>
      </w:pPr>
      <w:r w:rsidRPr="00C252B0">
        <w:lastRenderedPageBreak/>
        <w:t>A/H3N2 strain</w:t>
      </w:r>
    </w:p>
    <w:p w:rsidR="00C252B0" w:rsidRPr="00C252B0" w:rsidRDefault="00C252B0" w:rsidP="00655CE1">
      <w:pPr>
        <w:pStyle w:val="ListBullet"/>
      </w:pPr>
      <w:r w:rsidRPr="00C252B0">
        <w:t xml:space="preserve">D-QIV primed </w:t>
      </w:r>
      <w:r w:rsidR="003F0BFE">
        <w:t>51.1%’ TIV primed 48.4% groups,</w:t>
      </w:r>
    </w:p>
    <w:p w:rsidR="00C252B0" w:rsidRPr="00C252B0" w:rsidRDefault="00C252B0" w:rsidP="00655CE1">
      <w:pPr>
        <w:pStyle w:val="ListBullet"/>
      </w:pPr>
      <w:r w:rsidRPr="00C252B0">
        <w:t>D-QIV unprimed 82.3%; TIV unprimed 77.3%</w:t>
      </w:r>
    </w:p>
    <w:p w:rsidR="00C252B0" w:rsidRPr="00C252B0" w:rsidRDefault="00C252B0" w:rsidP="00C252B0">
      <w:r w:rsidRPr="00655CE1">
        <w:rPr>
          <w:rStyle w:val="Heading6Char"/>
          <w:rFonts w:eastAsia="Cambria"/>
        </w:rPr>
        <w:t xml:space="preserve">Evaluator comment: </w:t>
      </w:r>
      <w:r w:rsidRPr="00C252B0">
        <w:t>SCRs met the CPMP criterion for adults 18 to 60 years. Seroconversion rates were gre</w:t>
      </w:r>
      <w:r w:rsidR="003F0BFE">
        <w:t xml:space="preserve">ater for </w:t>
      </w:r>
      <w:proofErr w:type="spellStart"/>
      <w:r w:rsidR="003F0BFE">
        <w:t>unprimed</w:t>
      </w:r>
      <w:proofErr w:type="spellEnd"/>
      <w:r w:rsidR="003F0BFE">
        <w:t xml:space="preserve"> participants.</w:t>
      </w:r>
    </w:p>
    <w:p w:rsidR="00C252B0" w:rsidRPr="00C252B0" w:rsidRDefault="00C252B0" w:rsidP="003F0BFE">
      <w:pPr>
        <w:pStyle w:val="Heading8"/>
        <w:numPr>
          <w:ilvl w:val="0"/>
          <w:numId w:val="0"/>
        </w:numPr>
        <w:ind w:left="1440" w:hanging="1440"/>
      </w:pPr>
      <w:r w:rsidRPr="00C252B0">
        <w:t>B-Victoria strain</w:t>
      </w:r>
    </w:p>
    <w:p w:rsidR="00C252B0" w:rsidRPr="00C252B0" w:rsidRDefault="00C252B0" w:rsidP="00655CE1">
      <w:pPr>
        <w:pStyle w:val="ListBullet"/>
      </w:pPr>
      <w:r w:rsidRPr="00C252B0">
        <w:t>D-QIV primed 48.9%; TIV primed 44.2%</w:t>
      </w:r>
    </w:p>
    <w:p w:rsidR="00C252B0" w:rsidRPr="00C252B0" w:rsidRDefault="00C252B0" w:rsidP="00655CE1">
      <w:pPr>
        <w:pStyle w:val="ListBullet"/>
      </w:pPr>
      <w:r w:rsidRPr="00C252B0">
        <w:t xml:space="preserve">D-QIV unprimed 81.1%; TIV unprimed 87.6 </w:t>
      </w:r>
    </w:p>
    <w:p w:rsidR="00C252B0" w:rsidRPr="00C252B0" w:rsidRDefault="00C252B0" w:rsidP="00C252B0">
      <w:r w:rsidRPr="00655CE1">
        <w:rPr>
          <w:rStyle w:val="Heading6Char"/>
          <w:rFonts w:eastAsia="Cambria"/>
        </w:rPr>
        <w:t>Evaluator comment:</w:t>
      </w:r>
      <w:r w:rsidRPr="00C252B0">
        <w:t xml:space="preserve"> SCRs met the CPMP criterion for adults 18 to 60 years and were highest for the unprimed children.</w:t>
      </w:r>
    </w:p>
    <w:p w:rsidR="00655CE1" w:rsidRDefault="00C252B0" w:rsidP="003F0BFE">
      <w:pPr>
        <w:pStyle w:val="Heading8"/>
        <w:numPr>
          <w:ilvl w:val="0"/>
          <w:numId w:val="0"/>
        </w:numPr>
        <w:ind w:left="1440" w:hanging="1440"/>
      </w:pPr>
      <w:r w:rsidRPr="00C252B0">
        <w:t>B-Yamagata strain</w:t>
      </w:r>
    </w:p>
    <w:p w:rsidR="00C252B0" w:rsidRPr="00C252B0" w:rsidRDefault="00C252B0" w:rsidP="00655CE1">
      <w:pPr>
        <w:pStyle w:val="ListBullet"/>
      </w:pPr>
      <w:r w:rsidRPr="00C252B0">
        <w:t>D-QIV primed 87.2%; TIV primed 42.1%</w:t>
      </w:r>
    </w:p>
    <w:p w:rsidR="00C252B0" w:rsidRPr="00C252B0" w:rsidRDefault="00C252B0" w:rsidP="00655CE1">
      <w:pPr>
        <w:pStyle w:val="ListBullet"/>
      </w:pPr>
      <w:r w:rsidRPr="00C252B0">
        <w:t xml:space="preserve">D-QIV unprimed 94.7%; TIV unprimed 43.3% </w:t>
      </w:r>
    </w:p>
    <w:p w:rsidR="00C252B0" w:rsidRPr="00C252B0" w:rsidRDefault="00C252B0" w:rsidP="00C252B0">
      <w:r w:rsidRPr="00655CE1">
        <w:rPr>
          <w:rStyle w:val="Heading6Char"/>
          <w:rFonts w:eastAsia="Cambria"/>
        </w:rPr>
        <w:t xml:space="preserve">Evaluator comment: </w:t>
      </w:r>
      <w:r w:rsidRPr="00C252B0">
        <w:t xml:space="preserve">For the B-Yamagata strain, SCRs met the CPMP criterion for adults 18 </w:t>
      </w:r>
      <w:r w:rsidR="00655CE1">
        <w:t>to</w:t>
      </w:r>
      <w:r w:rsidRPr="00C252B0">
        <w:t xml:space="preserve"> 60 years. The result was better for the D-QIV vaccinated group but still passed the CPMP recommendation for participants in the TIV group who were not vac</w:t>
      </w:r>
      <w:r w:rsidR="003F0BFE">
        <w:t>cinated with B-Yamagata strain.</w:t>
      </w:r>
    </w:p>
    <w:p w:rsidR="00C252B0" w:rsidRPr="00C252B0" w:rsidRDefault="00C252B0" w:rsidP="003F0BFE">
      <w:pPr>
        <w:pStyle w:val="Heading7"/>
      </w:pPr>
      <w:r w:rsidRPr="00C252B0">
        <w:t>Seroconversion factors</w:t>
      </w:r>
    </w:p>
    <w:p w:rsidR="00C252B0" w:rsidRPr="00C252B0" w:rsidRDefault="00C252B0" w:rsidP="00C252B0">
      <w:r w:rsidRPr="00F873CF">
        <w:t xml:space="preserve">The </w:t>
      </w:r>
      <w:r w:rsidR="00F873CF" w:rsidRPr="00F873CF">
        <w:t xml:space="preserve">results for </w:t>
      </w:r>
      <w:r w:rsidRPr="00F873CF">
        <w:t xml:space="preserve">fold increases in serum anti-HI GMT 28 days after last vaccination </w:t>
      </w:r>
      <w:r w:rsidR="00F873CF" w:rsidRPr="00F873CF">
        <w:t>and the</w:t>
      </w:r>
      <w:r w:rsidRPr="00F873CF">
        <w:t xml:space="preserve"> SCFs by priming status </w:t>
      </w:r>
      <w:r w:rsidR="00F873CF" w:rsidRPr="00F873CF">
        <w:t>were</w:t>
      </w:r>
      <w:r w:rsidRPr="00F873CF">
        <w:t xml:space="preserve"> presented </w:t>
      </w:r>
      <w:r w:rsidR="00F873CF" w:rsidRPr="00F873CF">
        <w:t>in two tables</w:t>
      </w:r>
      <w:r w:rsidRPr="00F873CF">
        <w:t>. The results met CPMP criterion of &gt; 2.5 for adults 18 to 60 years of age. The fold rises were con</w:t>
      </w:r>
      <w:r w:rsidRPr="00C252B0">
        <w:t xml:space="preserve">siderably higher for </w:t>
      </w:r>
      <w:proofErr w:type="spellStart"/>
      <w:r w:rsidRPr="00C252B0">
        <w:t>unprimed</w:t>
      </w:r>
      <w:proofErr w:type="spellEnd"/>
      <w:r w:rsidRPr="00C252B0">
        <w:t xml:space="preserve"> children</w:t>
      </w:r>
      <w:r w:rsidR="00C64FF5">
        <w:t xml:space="preserve"> versus </w:t>
      </w:r>
      <w:r w:rsidR="003F0BFE">
        <w:t>primed.</w:t>
      </w:r>
    </w:p>
    <w:p w:rsidR="00C252B0" w:rsidRPr="00C252B0" w:rsidRDefault="00C252B0" w:rsidP="003F0BFE">
      <w:pPr>
        <w:pStyle w:val="Heading8"/>
        <w:numPr>
          <w:ilvl w:val="0"/>
          <w:numId w:val="0"/>
        </w:numPr>
        <w:ind w:left="1440" w:hanging="1440"/>
      </w:pPr>
      <w:r w:rsidRPr="00C252B0">
        <w:t>A/H1N1 strain</w:t>
      </w:r>
    </w:p>
    <w:p w:rsidR="00C252B0" w:rsidRPr="00C252B0" w:rsidRDefault="00C252B0" w:rsidP="00655CE1">
      <w:pPr>
        <w:pStyle w:val="ListBullet"/>
      </w:pPr>
      <w:r w:rsidRPr="00C252B0">
        <w:t>D</w:t>
      </w:r>
      <w:r w:rsidR="003F0BFE">
        <w:t>-QIV primed 2.9; TIV primed 3.4</w:t>
      </w:r>
    </w:p>
    <w:p w:rsidR="00C252B0" w:rsidRPr="00C252B0" w:rsidRDefault="00C252B0" w:rsidP="00655CE1">
      <w:pPr>
        <w:pStyle w:val="ListBullet"/>
      </w:pPr>
      <w:r w:rsidRPr="00C252B0">
        <w:t>D-QIV unpr</w:t>
      </w:r>
      <w:r w:rsidR="003F0BFE">
        <w:t xml:space="preserve">imed 19.8 and TIV </w:t>
      </w:r>
      <w:proofErr w:type="spellStart"/>
      <w:r w:rsidR="003F0BFE">
        <w:t>unprimed</w:t>
      </w:r>
      <w:proofErr w:type="spellEnd"/>
      <w:r w:rsidR="003F0BFE">
        <w:t xml:space="preserve"> 19.2</w:t>
      </w:r>
    </w:p>
    <w:p w:rsidR="00C252B0" w:rsidRPr="00C252B0" w:rsidRDefault="003F0BFE" w:rsidP="003F0BFE">
      <w:pPr>
        <w:pStyle w:val="Heading8"/>
        <w:numPr>
          <w:ilvl w:val="0"/>
          <w:numId w:val="0"/>
        </w:numPr>
        <w:ind w:left="1440" w:hanging="1440"/>
      </w:pPr>
      <w:r>
        <w:t>A/H3N2 strain</w:t>
      </w:r>
    </w:p>
    <w:p w:rsidR="00C252B0" w:rsidRPr="00C252B0" w:rsidRDefault="00C252B0" w:rsidP="00655CE1">
      <w:pPr>
        <w:pStyle w:val="ListBullet"/>
      </w:pPr>
      <w:r w:rsidRPr="00C252B0">
        <w:t>D-QIV primed 3</w:t>
      </w:r>
      <w:r w:rsidR="003F0BFE">
        <w:t>.7; TIV primed 3.8</w:t>
      </w:r>
    </w:p>
    <w:p w:rsidR="00C252B0" w:rsidRPr="00C252B0" w:rsidRDefault="00C252B0" w:rsidP="00655CE1">
      <w:pPr>
        <w:pStyle w:val="ListBullet"/>
      </w:pPr>
      <w:r w:rsidRPr="00C252B0">
        <w:t>D-QIV unprimed 11.1; TIV unprimed 10.3</w:t>
      </w:r>
    </w:p>
    <w:p w:rsidR="00C252B0" w:rsidRPr="00C252B0" w:rsidRDefault="00C252B0" w:rsidP="003F0BFE">
      <w:pPr>
        <w:pStyle w:val="Heading8"/>
        <w:numPr>
          <w:ilvl w:val="0"/>
          <w:numId w:val="0"/>
        </w:numPr>
        <w:ind w:left="1440" w:hanging="1440"/>
      </w:pPr>
      <w:r w:rsidRPr="00C252B0">
        <w:t>B-Victoria strain</w:t>
      </w:r>
    </w:p>
    <w:p w:rsidR="00C252B0" w:rsidRPr="00C252B0" w:rsidRDefault="00C252B0" w:rsidP="00655CE1">
      <w:pPr>
        <w:pStyle w:val="ListBullet"/>
      </w:pPr>
      <w:r w:rsidRPr="00C252B0">
        <w:t>D</w:t>
      </w:r>
      <w:r w:rsidR="003F0BFE">
        <w:t>-QIV primed 4.4; TIV primed 4.5</w:t>
      </w:r>
    </w:p>
    <w:p w:rsidR="00C252B0" w:rsidRPr="00C252B0" w:rsidRDefault="00C252B0" w:rsidP="00655CE1">
      <w:pPr>
        <w:pStyle w:val="ListBullet"/>
      </w:pPr>
      <w:r w:rsidRPr="00C252B0">
        <w:t xml:space="preserve">D-QIV </w:t>
      </w:r>
      <w:proofErr w:type="spellStart"/>
      <w:r w:rsidRPr="00C252B0">
        <w:t>unprimed</w:t>
      </w:r>
      <w:proofErr w:type="spellEnd"/>
      <w:r w:rsidRPr="00C252B0">
        <w:t xml:space="preserve"> 11.3; TIV </w:t>
      </w:r>
      <w:proofErr w:type="spellStart"/>
      <w:r w:rsidRPr="00C252B0">
        <w:t>unprimed</w:t>
      </w:r>
      <w:proofErr w:type="spellEnd"/>
      <w:r w:rsidR="00F873CF">
        <w:t xml:space="preserve"> </w:t>
      </w:r>
      <w:r w:rsidR="003F0BFE">
        <w:t>12.1</w:t>
      </w:r>
    </w:p>
    <w:p w:rsidR="00C252B0" w:rsidRPr="00C252B0" w:rsidRDefault="00C252B0" w:rsidP="00C252B0">
      <w:r w:rsidRPr="00655CE1">
        <w:rPr>
          <w:rStyle w:val="Heading6Char"/>
          <w:rFonts w:eastAsia="Cambria"/>
        </w:rPr>
        <w:t>Evaluator comment:</w:t>
      </w:r>
      <w:r w:rsidRPr="00C252B0">
        <w:t xml:space="preserve"> For these B-Victoria results, if the priming vaccine was B-Yamagata, then “primed” participants were in essence all participants were unprimed for this strain. The fold rises were considerably higher for those participants unprimed by study definition, who received two doses of</w:t>
      </w:r>
      <w:r w:rsidR="003F0BFE">
        <w:t xml:space="preserve"> B-Victoria containing vaccine.</w:t>
      </w:r>
    </w:p>
    <w:p w:rsidR="00C252B0" w:rsidRPr="00C252B0" w:rsidRDefault="003F0BFE" w:rsidP="003F0BFE">
      <w:pPr>
        <w:pStyle w:val="Heading8"/>
        <w:numPr>
          <w:ilvl w:val="0"/>
          <w:numId w:val="0"/>
        </w:numPr>
        <w:ind w:left="1440" w:hanging="1440"/>
      </w:pPr>
      <w:r>
        <w:t>B-Yamagata strain</w:t>
      </w:r>
    </w:p>
    <w:p w:rsidR="00C252B0" w:rsidRPr="00C252B0" w:rsidRDefault="00C252B0" w:rsidP="00655CE1">
      <w:pPr>
        <w:pStyle w:val="ListBullet"/>
      </w:pPr>
      <w:r w:rsidRPr="00C252B0">
        <w:t>D-QIV pri</w:t>
      </w:r>
      <w:r w:rsidR="003F0BFE">
        <w:t>med 8.3; TIV primed 3.4</w:t>
      </w:r>
    </w:p>
    <w:p w:rsidR="00C252B0" w:rsidRPr="00C252B0" w:rsidRDefault="00C252B0" w:rsidP="00655CE1">
      <w:pPr>
        <w:pStyle w:val="ListBullet"/>
      </w:pPr>
      <w:r w:rsidRPr="00C252B0">
        <w:lastRenderedPageBreak/>
        <w:t xml:space="preserve">D-QIV </w:t>
      </w:r>
      <w:r w:rsidR="003F0BFE">
        <w:t>unprimed 35.1; TIV unprimed 3.7</w:t>
      </w:r>
    </w:p>
    <w:p w:rsidR="00C252B0" w:rsidRPr="00C252B0" w:rsidRDefault="00C252B0" w:rsidP="00C252B0">
      <w:r w:rsidRPr="00655CE1">
        <w:rPr>
          <w:rStyle w:val="Heading6Char"/>
          <w:rFonts w:eastAsia="Cambria"/>
        </w:rPr>
        <w:t xml:space="preserve">Evaluator comment: </w:t>
      </w:r>
      <w:r w:rsidRPr="00C252B0">
        <w:t>For the primed participants the priming was (probably) with B-Yamagata. Those receiving the trivalent vaccine were not vaccinated with B-Yamagata for this study while those vaccinated with the quadrivalent vaccine were. While the unprimed QIV group had a substantial fold rise and the primed group had a good response, the TIV primed and unprimed groups both had fold rises that met the CPMP criterion for adults 18 to 60 years, in response to a vaccine that did</w:t>
      </w:r>
      <w:r w:rsidR="003F0BFE">
        <w:t xml:space="preserve"> not contain B-Yamagata strain.</w:t>
      </w:r>
    </w:p>
    <w:p w:rsidR="00C252B0" w:rsidRPr="00C252B0" w:rsidRDefault="00C252B0" w:rsidP="003F0BFE">
      <w:pPr>
        <w:pStyle w:val="Heading7"/>
      </w:pPr>
      <w:r w:rsidRPr="00C252B0">
        <w:t>Seroprotection rates</w:t>
      </w:r>
    </w:p>
    <w:p w:rsidR="00C252B0" w:rsidRPr="00C252B0" w:rsidRDefault="00C252B0" w:rsidP="00C252B0">
      <w:r w:rsidRPr="00F873CF">
        <w:t>The</w:t>
      </w:r>
      <w:r w:rsidR="00F873CF" w:rsidRPr="00F873CF">
        <w:t xml:space="preserve"> results for</w:t>
      </w:r>
      <w:r w:rsidRPr="00F873CF">
        <w:t xml:space="preserve"> seroprotection rates overall and by priming status </w:t>
      </w:r>
      <w:r w:rsidR="00F873CF" w:rsidRPr="00F873CF">
        <w:t>were presented in two tables</w:t>
      </w:r>
      <w:r w:rsidRPr="00F873CF">
        <w:t>.</w:t>
      </w:r>
      <w:r w:rsidRPr="00C252B0">
        <w:t xml:space="preserve"> The CP</w:t>
      </w:r>
      <w:r w:rsidR="00655CE1">
        <w:t>MP SPR guideline for adults 18 to</w:t>
      </w:r>
      <w:r w:rsidRPr="00C252B0">
        <w:t xml:space="preserve"> 60 years is &gt; 70% and for adults &gt; 60 years &gt; 60%.</w:t>
      </w:r>
    </w:p>
    <w:p w:rsidR="00C252B0" w:rsidRPr="00C252B0" w:rsidRDefault="00C252B0" w:rsidP="003F0BFE">
      <w:pPr>
        <w:pStyle w:val="Heading8"/>
        <w:numPr>
          <w:ilvl w:val="0"/>
          <w:numId w:val="0"/>
        </w:numPr>
        <w:ind w:left="1440" w:hanging="1440"/>
      </w:pPr>
      <w:r w:rsidRPr="00C252B0">
        <w:t>A/H1N1 strain</w:t>
      </w:r>
    </w:p>
    <w:p w:rsidR="00C252B0" w:rsidRPr="00C252B0" w:rsidRDefault="003F0BFE" w:rsidP="003F0BFE">
      <w:r>
        <w:t>Baseline</w:t>
      </w:r>
    </w:p>
    <w:p w:rsidR="00C252B0" w:rsidRPr="00C252B0" w:rsidRDefault="00C252B0" w:rsidP="00655CE1">
      <w:pPr>
        <w:pStyle w:val="ListBullet"/>
      </w:pPr>
      <w:r w:rsidRPr="00C252B0">
        <w:t>D-QIV primed 51.1% and TIV primed 47.4%</w:t>
      </w:r>
    </w:p>
    <w:p w:rsidR="00C252B0" w:rsidRPr="00C252B0" w:rsidRDefault="00C252B0" w:rsidP="00655CE1">
      <w:pPr>
        <w:pStyle w:val="ListBullet"/>
      </w:pPr>
      <w:r w:rsidRPr="00C252B0">
        <w:t>D-QIV unprim</w:t>
      </w:r>
      <w:r w:rsidR="003F0BFE">
        <w:t xml:space="preserve">ed 30.5% and TIV </w:t>
      </w:r>
      <w:proofErr w:type="spellStart"/>
      <w:r w:rsidR="003F0BFE">
        <w:t>unprimed</w:t>
      </w:r>
      <w:proofErr w:type="spellEnd"/>
      <w:r w:rsidR="003F0BFE">
        <w:t xml:space="preserve"> 27.3%</w:t>
      </w:r>
    </w:p>
    <w:p w:rsidR="00C252B0" w:rsidRPr="00C252B0" w:rsidRDefault="00C252B0" w:rsidP="00C252B0">
      <w:r w:rsidRPr="00C252B0">
        <w:rPr>
          <w:i/>
        </w:rPr>
        <w:t xml:space="preserve">Post vaccination: </w:t>
      </w:r>
      <w:r w:rsidRPr="00C252B0">
        <w:t>Results were consistent with the CPMP recommendation for adults 18 to 60 years</w:t>
      </w:r>
    </w:p>
    <w:p w:rsidR="00C252B0" w:rsidRPr="00C252B0" w:rsidRDefault="00C252B0" w:rsidP="00655CE1">
      <w:pPr>
        <w:pStyle w:val="ListBullet"/>
      </w:pPr>
      <w:r w:rsidRPr="00C252B0">
        <w:t>D-QIV primed 77.7% and TIV pr</w:t>
      </w:r>
      <w:r w:rsidR="003F0BFE">
        <w:t>imed 82.1%</w:t>
      </w:r>
    </w:p>
    <w:p w:rsidR="00C252B0" w:rsidRPr="00C252B0" w:rsidRDefault="00C252B0" w:rsidP="00655CE1">
      <w:pPr>
        <w:pStyle w:val="ListBullet"/>
      </w:pPr>
      <w:r w:rsidRPr="00C252B0">
        <w:t>D-QIV unprime</w:t>
      </w:r>
      <w:r w:rsidR="003F0BFE">
        <w:t xml:space="preserve">d 96.0% and TIV </w:t>
      </w:r>
      <w:proofErr w:type="spellStart"/>
      <w:r w:rsidR="003F0BFE">
        <w:t>unprimed</w:t>
      </w:r>
      <w:proofErr w:type="spellEnd"/>
      <w:r w:rsidR="003F0BFE">
        <w:t xml:space="preserve"> 95.9%</w:t>
      </w:r>
    </w:p>
    <w:p w:rsidR="00C252B0" w:rsidRPr="00C252B0" w:rsidRDefault="00C252B0" w:rsidP="003F0BFE">
      <w:pPr>
        <w:pStyle w:val="Heading8"/>
        <w:numPr>
          <w:ilvl w:val="0"/>
          <w:numId w:val="0"/>
        </w:numPr>
        <w:ind w:left="1440" w:hanging="1440"/>
      </w:pPr>
      <w:r w:rsidRPr="00C252B0">
        <w:t>A/H3N2 strain</w:t>
      </w:r>
    </w:p>
    <w:p w:rsidR="00C252B0" w:rsidRPr="00C252B0" w:rsidRDefault="00C252B0" w:rsidP="003F0BFE">
      <w:r w:rsidRPr="00C252B0">
        <w:t>Baseliner</w:t>
      </w:r>
    </w:p>
    <w:p w:rsidR="00C252B0" w:rsidRPr="00C252B0" w:rsidRDefault="00C252B0" w:rsidP="00655CE1">
      <w:pPr>
        <w:pStyle w:val="ListBullet"/>
      </w:pPr>
      <w:r w:rsidRPr="00C252B0">
        <w:t>D-QIV pr</w:t>
      </w:r>
      <w:r w:rsidR="003F0BFE">
        <w:t>imed 41.5% and TIV primed 37.9%</w:t>
      </w:r>
    </w:p>
    <w:p w:rsidR="00C252B0" w:rsidRPr="00C252B0" w:rsidRDefault="00C252B0" w:rsidP="00655CE1">
      <w:pPr>
        <w:pStyle w:val="ListBullet"/>
      </w:pPr>
      <w:r w:rsidRPr="00C252B0">
        <w:t>D-QIV unprim</w:t>
      </w:r>
      <w:r w:rsidR="003F0BFE">
        <w:t xml:space="preserve">ed 38.5% and TIV </w:t>
      </w:r>
      <w:proofErr w:type="spellStart"/>
      <w:r w:rsidR="003F0BFE">
        <w:t>unprimed</w:t>
      </w:r>
      <w:proofErr w:type="spellEnd"/>
      <w:r w:rsidR="003F0BFE">
        <w:t xml:space="preserve"> 35.5%</w:t>
      </w:r>
    </w:p>
    <w:p w:rsidR="00C252B0" w:rsidRPr="00C252B0" w:rsidRDefault="00C252B0" w:rsidP="00C252B0">
      <w:r w:rsidRPr="00C252B0">
        <w:rPr>
          <w:i/>
        </w:rPr>
        <w:t xml:space="preserve">Post vaccinations: </w:t>
      </w:r>
      <w:r w:rsidRPr="00C252B0">
        <w:t>Results were consistent with the CPMP recommendation for adults 18 to 60 years</w:t>
      </w:r>
    </w:p>
    <w:p w:rsidR="00C252B0" w:rsidRPr="00C252B0" w:rsidRDefault="00C252B0" w:rsidP="00655CE1">
      <w:pPr>
        <w:pStyle w:val="ListBullet"/>
      </w:pPr>
      <w:r w:rsidRPr="00C252B0">
        <w:t>D-QIV pr</w:t>
      </w:r>
      <w:r w:rsidR="003F0BFE">
        <w:t>imed 79.8% and TIV primed 84.2%</w:t>
      </w:r>
    </w:p>
    <w:p w:rsidR="00C252B0" w:rsidRPr="00C252B0" w:rsidRDefault="00C252B0" w:rsidP="00655CE1">
      <w:pPr>
        <w:pStyle w:val="ListBullet"/>
      </w:pPr>
      <w:r w:rsidRPr="00C252B0">
        <w:t>D-QIV unprim</w:t>
      </w:r>
      <w:r w:rsidR="003F0BFE">
        <w:t xml:space="preserve">ed 97.0% and TIV </w:t>
      </w:r>
      <w:proofErr w:type="spellStart"/>
      <w:r w:rsidR="003F0BFE">
        <w:t>unprimed</w:t>
      </w:r>
      <w:proofErr w:type="spellEnd"/>
      <w:r w:rsidR="003F0BFE">
        <w:t xml:space="preserve"> 95.9%</w:t>
      </w:r>
    </w:p>
    <w:p w:rsidR="00C252B0" w:rsidRPr="00C252B0" w:rsidRDefault="00C252B0" w:rsidP="003F0BFE">
      <w:pPr>
        <w:pStyle w:val="Heading8"/>
        <w:numPr>
          <w:ilvl w:val="0"/>
          <w:numId w:val="0"/>
        </w:numPr>
        <w:ind w:left="1440" w:hanging="1440"/>
      </w:pPr>
      <w:r w:rsidRPr="00C252B0">
        <w:t>B-Victoria strain</w:t>
      </w:r>
    </w:p>
    <w:p w:rsidR="00C252B0" w:rsidRPr="00C252B0" w:rsidRDefault="003F0BFE" w:rsidP="003F0BFE">
      <w:r>
        <w:t>Baseline</w:t>
      </w:r>
    </w:p>
    <w:p w:rsidR="00C252B0" w:rsidRPr="00C252B0" w:rsidRDefault="00C252B0" w:rsidP="00655CE1">
      <w:pPr>
        <w:pStyle w:val="ListBullet"/>
      </w:pPr>
      <w:r w:rsidRPr="00C252B0">
        <w:t>D-QIV pr</w:t>
      </w:r>
      <w:r w:rsidR="003F0BFE">
        <w:t>imed 17.0% and TIV primed 21.1%</w:t>
      </w:r>
    </w:p>
    <w:p w:rsidR="00C252B0" w:rsidRPr="00C252B0" w:rsidRDefault="00C252B0" w:rsidP="00655CE1">
      <w:pPr>
        <w:pStyle w:val="ListBullet"/>
      </w:pPr>
      <w:r w:rsidRPr="00C252B0">
        <w:t>D-QIV unpri</w:t>
      </w:r>
      <w:r w:rsidR="003F0BFE">
        <w:t xml:space="preserve">med13.2% and TIV </w:t>
      </w:r>
      <w:proofErr w:type="spellStart"/>
      <w:r w:rsidR="003F0BFE">
        <w:t>unprimed</w:t>
      </w:r>
      <w:proofErr w:type="spellEnd"/>
      <w:r w:rsidR="003F0BFE">
        <w:t xml:space="preserve"> 17.7%</w:t>
      </w:r>
    </w:p>
    <w:p w:rsidR="00C252B0" w:rsidRPr="00C252B0" w:rsidRDefault="00C252B0" w:rsidP="00C252B0">
      <w:r w:rsidRPr="00C252B0">
        <w:rPr>
          <w:i/>
        </w:rPr>
        <w:t xml:space="preserve">Post vaccination: </w:t>
      </w:r>
      <w:r w:rsidRPr="00C252B0">
        <w:t>The results were consistent with CPMP guidelines for adults 18 to 60 years except for the primed groups in which the results failed to meet the g</w:t>
      </w:r>
      <w:r w:rsidR="003F0BFE">
        <w:t>uideline for adults &gt; 60 years.</w:t>
      </w:r>
    </w:p>
    <w:p w:rsidR="00C252B0" w:rsidRPr="00C252B0" w:rsidRDefault="00C252B0" w:rsidP="00655CE1">
      <w:pPr>
        <w:pStyle w:val="ListBullet"/>
      </w:pPr>
      <w:r w:rsidRPr="00C252B0">
        <w:t>D-QIV pr</w:t>
      </w:r>
      <w:r w:rsidR="003F0BFE">
        <w:t>imed 53.2% and TIV primed 54.7%</w:t>
      </w:r>
    </w:p>
    <w:p w:rsidR="00C252B0" w:rsidRPr="00C252B0" w:rsidRDefault="00C252B0" w:rsidP="00655CE1">
      <w:pPr>
        <w:pStyle w:val="ListBullet"/>
      </w:pPr>
      <w:r w:rsidRPr="00C252B0">
        <w:t>D-QIV unprim</w:t>
      </w:r>
      <w:r w:rsidR="003F0BFE">
        <w:t xml:space="preserve">ed 85.7% and TIV </w:t>
      </w:r>
      <w:proofErr w:type="spellStart"/>
      <w:r w:rsidR="003F0BFE">
        <w:t>unprimed</w:t>
      </w:r>
      <w:proofErr w:type="spellEnd"/>
      <w:r w:rsidR="003F0BFE">
        <w:t xml:space="preserve"> 89.8%</w:t>
      </w:r>
    </w:p>
    <w:p w:rsidR="00C252B0" w:rsidRPr="00C252B0" w:rsidRDefault="00C252B0" w:rsidP="00C252B0">
      <w:r w:rsidRPr="00655CE1">
        <w:rPr>
          <w:rStyle w:val="Heading6Char"/>
          <w:rFonts w:eastAsia="Cambria"/>
        </w:rPr>
        <w:lastRenderedPageBreak/>
        <w:t>Evaluator comment:</w:t>
      </w:r>
      <w:r w:rsidRPr="00C252B0">
        <w:t xml:space="preserve"> these results also support the contention</w:t>
      </w:r>
      <w:r w:rsidR="003F2D39">
        <w:rPr>
          <w:rStyle w:val="FootnoteReference"/>
        </w:rPr>
        <w:footnoteReference w:id="19"/>
      </w:r>
      <w:r w:rsidRPr="00C252B0">
        <w:t xml:space="preserve"> that the “primed” children in this age group may have benefited from a two dose regimen in order to ac</w:t>
      </w:r>
      <w:r w:rsidR="003F0BFE">
        <w:t>hieve an adequate SPR response.</w:t>
      </w:r>
    </w:p>
    <w:p w:rsidR="00C252B0" w:rsidRPr="00C252B0" w:rsidRDefault="003F0BFE" w:rsidP="003F0BFE">
      <w:pPr>
        <w:pStyle w:val="Heading8"/>
        <w:numPr>
          <w:ilvl w:val="0"/>
          <w:numId w:val="0"/>
        </w:numPr>
        <w:ind w:left="1440" w:hanging="1440"/>
      </w:pPr>
      <w:r>
        <w:t>B-Yamagata strain</w:t>
      </w:r>
    </w:p>
    <w:p w:rsidR="00C252B0" w:rsidRPr="00C252B0" w:rsidRDefault="003F0BFE" w:rsidP="003F0BFE">
      <w:r>
        <w:t>Baseline</w:t>
      </w:r>
    </w:p>
    <w:p w:rsidR="00C252B0" w:rsidRPr="00C252B0" w:rsidRDefault="00C252B0" w:rsidP="00F873CF">
      <w:pPr>
        <w:pStyle w:val="ListBullet"/>
        <w:keepNext/>
      </w:pPr>
      <w:r w:rsidRPr="00C252B0">
        <w:t>D-QIV pri</w:t>
      </w:r>
      <w:r w:rsidR="003F0BFE">
        <w:t>med 59.6% and TIV primed 65.3%</w:t>
      </w:r>
    </w:p>
    <w:p w:rsidR="00C252B0" w:rsidRPr="00C252B0" w:rsidRDefault="00C252B0" w:rsidP="00655CE1">
      <w:pPr>
        <w:pStyle w:val="ListBullet"/>
      </w:pPr>
      <w:r w:rsidRPr="00C252B0">
        <w:t xml:space="preserve">D-QIV </w:t>
      </w:r>
      <w:proofErr w:type="spellStart"/>
      <w:r w:rsidRPr="00C252B0">
        <w:t>unprime</w:t>
      </w:r>
      <w:r w:rsidR="003F0BFE">
        <w:t>d</w:t>
      </w:r>
      <w:proofErr w:type="spellEnd"/>
      <w:r w:rsidR="003F0BFE">
        <w:t xml:space="preserve"> 19.7% and TIV </w:t>
      </w:r>
      <w:proofErr w:type="spellStart"/>
      <w:r w:rsidR="003F0BFE">
        <w:t>unprimed</w:t>
      </w:r>
      <w:proofErr w:type="spellEnd"/>
      <w:r w:rsidR="003F0BFE">
        <w:t xml:space="preserve"> 20.2%</w:t>
      </w:r>
    </w:p>
    <w:p w:rsidR="00C252B0" w:rsidRPr="00C252B0" w:rsidRDefault="003F0BFE" w:rsidP="003F0BFE">
      <w:r>
        <w:t>Post vaccinations</w:t>
      </w:r>
    </w:p>
    <w:p w:rsidR="00C252B0" w:rsidRPr="00C252B0" w:rsidRDefault="00C252B0" w:rsidP="00655CE1">
      <w:pPr>
        <w:pStyle w:val="ListBullet"/>
      </w:pPr>
      <w:r w:rsidRPr="00C252B0">
        <w:t>D-QIV pr</w:t>
      </w:r>
      <w:r w:rsidR="003F0BFE">
        <w:t>imed 96.8% and TIV primed 94.7%</w:t>
      </w:r>
    </w:p>
    <w:p w:rsidR="00C252B0" w:rsidRPr="00C252B0" w:rsidRDefault="00C252B0" w:rsidP="00655CE1">
      <w:pPr>
        <w:pStyle w:val="ListBullet"/>
      </w:pPr>
      <w:r w:rsidRPr="00C252B0">
        <w:t>D-QIV unprim</w:t>
      </w:r>
      <w:r w:rsidR="003F0BFE">
        <w:t xml:space="preserve">ed 99.0% and TIV </w:t>
      </w:r>
      <w:proofErr w:type="spellStart"/>
      <w:r w:rsidR="003F0BFE">
        <w:t>unprimed</w:t>
      </w:r>
      <w:proofErr w:type="spellEnd"/>
      <w:r w:rsidR="003F0BFE">
        <w:t xml:space="preserve"> 60.2%</w:t>
      </w:r>
    </w:p>
    <w:p w:rsidR="00C252B0" w:rsidRPr="00C252B0" w:rsidRDefault="00C252B0" w:rsidP="00C252B0">
      <w:r w:rsidRPr="00C252B0">
        <w:t>Post vaccination, the CPMP guideline for adults 18 to 60 years were met for all but the TIV unprimed group. In the TIV group, after vaccination with B-Victoria the B-Yamagata SPR reached the guideline for adults &gt; 60 years. It is interesting to see such good responses for both primed and unprimed children, to a vaccine which did not contain the B-Yamagata strain.</w:t>
      </w:r>
    </w:p>
    <w:p w:rsidR="00C22678" w:rsidRDefault="00C22678" w:rsidP="00C22678">
      <w:pPr>
        <w:pStyle w:val="Heading2"/>
      </w:pPr>
      <w:bookmarkStart w:id="143" w:name="_Toc383345668"/>
      <w:r>
        <w:t>Clinical safety</w:t>
      </w:r>
      <w:bookmarkEnd w:id="143"/>
    </w:p>
    <w:p w:rsidR="00C252B0" w:rsidRPr="00C252B0" w:rsidRDefault="00C252B0" w:rsidP="00655CE1">
      <w:pPr>
        <w:pStyle w:val="Heading3"/>
      </w:pPr>
      <w:bookmarkStart w:id="144" w:name="_Toc241374317"/>
      <w:bookmarkStart w:id="145" w:name="_Toc355350127"/>
      <w:bookmarkStart w:id="146" w:name="_Toc383345669"/>
      <w:r w:rsidRPr="00C252B0">
        <w:t>Introduction</w:t>
      </w:r>
      <w:bookmarkEnd w:id="144"/>
      <w:bookmarkEnd w:id="145"/>
      <w:bookmarkEnd w:id="146"/>
    </w:p>
    <w:p w:rsidR="00C252B0" w:rsidRPr="00C252B0" w:rsidRDefault="00C252B0" w:rsidP="00C252B0">
      <w:r w:rsidRPr="00C252B0">
        <w:t>In total, 4,228 individuals were exposed to at least one dose of D-QIV vaccine in Phase III studies: 3,036 adults 18 years of age and older and 1,192 children from 6 months to 17 years of</w:t>
      </w:r>
      <w:r w:rsidR="00655CE1">
        <w:t xml:space="preserve"> age; 915 of whom were in the 3 to </w:t>
      </w:r>
      <w:r w:rsidRPr="00C252B0">
        <w:t>17 years age group. In the paediatric studies, safety data are available from 534 children who received one dose and 956 children who received two doses. In addition safety data from 298 children and 105 adults from the two supportive studies contributed to t</w:t>
      </w:r>
      <w:r w:rsidR="003F0BFE">
        <w:t>he total safety database.</w:t>
      </w:r>
    </w:p>
    <w:p w:rsidR="00C252B0" w:rsidRPr="00C252B0" w:rsidRDefault="00C252B0" w:rsidP="00C252B0">
      <w:r w:rsidRPr="00C252B0">
        <w:t xml:space="preserve">Adult participants ranged in age from 18 to 92 years in </w:t>
      </w:r>
      <w:r w:rsidR="000E0F86">
        <w:t>Study D-QIV</w:t>
      </w:r>
      <w:r w:rsidRPr="00C252B0">
        <w:t xml:space="preserve">-008 and 18 to 59 years in </w:t>
      </w:r>
      <w:r w:rsidR="000E0F86">
        <w:t>Study D-QIV</w:t>
      </w:r>
      <w:r w:rsidRPr="00C252B0">
        <w:t>-001. The study populations were of predominantly White-Caucasian/European heritage (71%), followed by East Asian heritage (</w:t>
      </w:r>
      <w:r w:rsidR="003F0BFE">
        <w:t>24%).</w:t>
      </w:r>
    </w:p>
    <w:p w:rsidR="00C252B0" w:rsidRPr="00C252B0" w:rsidRDefault="00C252B0" w:rsidP="00C252B0">
      <w:r w:rsidRPr="00C252B0">
        <w:t xml:space="preserve">Paediatric participants enrolled in supportive </w:t>
      </w:r>
      <w:r w:rsidR="000E0F86">
        <w:t>Study D-QIV</w:t>
      </w:r>
      <w:r w:rsidRPr="00C252B0">
        <w:t>-002 range in age from 18</w:t>
      </w:r>
      <w:r w:rsidR="00655CE1">
        <w:t xml:space="preserve"> to 47 months. In pivotal </w:t>
      </w:r>
      <w:r w:rsidR="000E0F86">
        <w:t>Study D-QIV</w:t>
      </w:r>
      <w:r w:rsidRPr="00C252B0">
        <w:t>-003, the age range of individuals enrolled was 6 months to 17 years. In each study, the demographic characteristics were similar for t</w:t>
      </w:r>
      <w:r w:rsidR="003F0BFE">
        <w:t>he D-QIV and comparator groups.</w:t>
      </w:r>
    </w:p>
    <w:p w:rsidR="00C252B0" w:rsidRPr="00C252B0" w:rsidRDefault="00C252B0" w:rsidP="00655CE1">
      <w:pPr>
        <w:pStyle w:val="Heading4"/>
      </w:pPr>
      <w:r w:rsidRPr="00C252B0">
        <w:t>Method of evaluation of safety and reactogenicity</w:t>
      </w:r>
    </w:p>
    <w:p w:rsidR="00C252B0" w:rsidRPr="00C252B0" w:rsidRDefault="00C252B0" w:rsidP="00C252B0">
      <w:r w:rsidRPr="00C252B0">
        <w:t xml:space="preserve">Adverse events were solicited during the first 7 days </w:t>
      </w:r>
      <w:r w:rsidR="00692B0F">
        <w:t>post vaccination</w:t>
      </w:r>
      <w:r w:rsidRPr="00C252B0">
        <w:t xml:space="preserve"> (Day 0 </w:t>
      </w:r>
      <w:r w:rsidR="00655CE1">
        <w:t xml:space="preserve">to </w:t>
      </w:r>
      <w:r w:rsidRPr="00C252B0">
        <w:t xml:space="preserve">6). Local and general adverse events solicited in each specific age strata are listed in </w:t>
      </w:r>
      <w:r w:rsidR="00655CE1">
        <w:t>Table 44</w:t>
      </w:r>
      <w:r w:rsidRPr="00C252B0">
        <w:t xml:space="preserve"> </w:t>
      </w:r>
      <w:r w:rsidR="00ED011E" w:rsidRPr="00C252B0">
        <w:fldChar w:fldCharType="begin"/>
      </w:r>
      <w:r w:rsidRPr="00C252B0">
        <w:instrText xml:space="preserve"> REF _Ref338160742 \p \h </w:instrText>
      </w:r>
      <w:r w:rsidR="00ED011E" w:rsidRPr="00C252B0">
        <w:fldChar w:fldCharType="separate"/>
      </w:r>
      <w:r w:rsidR="006421C6">
        <w:t>below</w:t>
      </w:r>
      <w:r w:rsidR="00ED011E" w:rsidRPr="00C252B0">
        <w:fldChar w:fldCharType="end"/>
      </w:r>
      <w:r w:rsidRPr="00C252B0">
        <w:t xml:space="preserve">. Unsolicited adverse events were collected for 21 days (Day 0 - Day 20) in adult studies D-QIV-008 and D-QIV-001, or within 28 days (Day 0 – Day 27) following each vaccination in paediatric </w:t>
      </w:r>
      <w:r w:rsidR="00655CE1">
        <w:t>S</w:t>
      </w:r>
      <w:r w:rsidRPr="00C252B0">
        <w:t xml:space="preserve">tudies D-QIV-003 and D-QIV-002. The intensity grading used for local injection site redness or swelling is summarised in </w:t>
      </w:r>
      <w:r w:rsidR="00655CE1">
        <w:t>Table 45</w:t>
      </w:r>
      <w:r w:rsidRPr="00C252B0">
        <w:t xml:space="preserve"> </w:t>
      </w:r>
      <w:r w:rsidR="00ED011E" w:rsidRPr="00C252B0">
        <w:fldChar w:fldCharType="begin"/>
      </w:r>
      <w:r w:rsidRPr="00C252B0">
        <w:instrText xml:space="preserve"> REF _Ref338160951 \p \h </w:instrText>
      </w:r>
      <w:r w:rsidR="00ED011E" w:rsidRPr="00C252B0">
        <w:fldChar w:fldCharType="separate"/>
      </w:r>
      <w:r w:rsidR="006421C6">
        <w:t>below</w:t>
      </w:r>
      <w:r w:rsidR="00ED011E" w:rsidRPr="00C252B0">
        <w:fldChar w:fldCharType="end"/>
      </w:r>
      <w:r w:rsidRPr="00C252B0">
        <w:t xml:space="preserve"> and fever is shown in </w:t>
      </w:r>
      <w:r w:rsidR="00655CE1">
        <w:t>Table 46</w:t>
      </w:r>
      <w:r w:rsidRPr="00C252B0">
        <w:t>. Other adverse events were rated for intensity according to a standard scale (</w:t>
      </w:r>
      <w:r w:rsidR="00655CE1">
        <w:t>Table 47-48</w:t>
      </w:r>
      <w:r w:rsidRPr="00C252B0">
        <w:t>).</w:t>
      </w:r>
    </w:p>
    <w:p w:rsidR="00C252B0" w:rsidRPr="00C252B0" w:rsidRDefault="00C252B0" w:rsidP="00C252B0">
      <w:r w:rsidRPr="00C252B0">
        <w:t xml:space="preserve">In the pivotal paediatric </w:t>
      </w:r>
      <w:r w:rsidR="000E0F86">
        <w:t>Study D-QIV</w:t>
      </w:r>
      <w:r w:rsidRPr="00C252B0">
        <w:t xml:space="preserve">-003, enhanced surveillance was undertaken for 48 hours </w:t>
      </w:r>
      <w:r w:rsidR="00692B0F">
        <w:t>post vaccination</w:t>
      </w:r>
      <w:r w:rsidRPr="00C252B0">
        <w:t xml:space="preserve">, for fever </w:t>
      </w:r>
      <w:r w:rsidR="00655CE1">
        <w:t>≥</w:t>
      </w:r>
      <w:r w:rsidRPr="00C252B0">
        <w:t xml:space="preserve"> 39°C and febrile convulsions occurring in individuals younger than </w:t>
      </w:r>
      <w:r w:rsidRPr="00C252B0">
        <w:lastRenderedPageBreak/>
        <w:t>5 years of age. An internal Safety Review Committee reviewed the reports on a weekly basis in real time.</w:t>
      </w:r>
    </w:p>
    <w:p w:rsidR="00C252B0" w:rsidRPr="00C252B0" w:rsidRDefault="00C252B0" w:rsidP="003F0BFE">
      <w:pPr>
        <w:pStyle w:val="TableTitle"/>
      </w:pPr>
      <w:bookmarkStart w:id="147" w:name="_Ref338160738"/>
      <w:bookmarkStart w:id="148" w:name="_Ref338160742"/>
      <w:proofErr w:type="gramStart"/>
      <w:r w:rsidRPr="00C252B0">
        <w:t>Table</w:t>
      </w:r>
      <w:r w:rsidR="00655CE1">
        <w:t xml:space="preserve"> 44.</w:t>
      </w:r>
      <w:bookmarkEnd w:id="147"/>
      <w:proofErr w:type="gramEnd"/>
      <w:r w:rsidRPr="00C252B0">
        <w:t xml:space="preserve"> Solicited local adverse events and solicited general adverse events</w:t>
      </w:r>
      <w:bookmarkEnd w:id="148"/>
    </w:p>
    <w:p w:rsidR="00C252B0" w:rsidRPr="00C252B0" w:rsidRDefault="00C252B0" w:rsidP="003F0BFE">
      <w:r w:rsidRPr="00C252B0">
        <w:rPr>
          <w:noProof/>
          <w:lang w:eastAsia="en-AU"/>
        </w:rPr>
        <w:drawing>
          <wp:inline distT="0" distB="0" distL="0" distR="0" wp14:anchorId="562F10BC" wp14:editId="66A1ED70">
            <wp:extent cx="5063313" cy="1703284"/>
            <wp:effectExtent l="19050" t="0" r="3987" b="0"/>
            <wp:docPr id="190" name="Picture 48" descr="Table 44. Solicited local adverse events and solicited general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srcRect l="542" r="542"/>
                    <a:stretch>
                      <a:fillRect/>
                    </a:stretch>
                  </pic:blipFill>
                  <pic:spPr bwMode="auto">
                    <a:xfrm>
                      <a:off x="0" y="0"/>
                      <a:ext cx="5064612" cy="1703721"/>
                    </a:xfrm>
                    <a:prstGeom prst="rect">
                      <a:avLst/>
                    </a:prstGeom>
                    <a:noFill/>
                    <a:ln w="9525">
                      <a:noFill/>
                      <a:miter lim="800000"/>
                      <a:headEnd/>
                      <a:tailEnd/>
                    </a:ln>
                  </pic:spPr>
                </pic:pic>
              </a:graphicData>
            </a:graphic>
          </wp:inline>
        </w:drawing>
      </w:r>
    </w:p>
    <w:p w:rsidR="00C252B0" w:rsidRPr="00C252B0" w:rsidRDefault="00C252B0" w:rsidP="003F0BFE">
      <w:pPr>
        <w:pStyle w:val="TableTitle"/>
      </w:pPr>
      <w:bookmarkStart w:id="149" w:name="_Ref338160948"/>
      <w:bookmarkStart w:id="150" w:name="_Ref338160951"/>
      <w:proofErr w:type="gramStart"/>
      <w:r w:rsidRPr="00C252B0">
        <w:t>Table</w:t>
      </w:r>
      <w:r w:rsidR="00655CE1">
        <w:t xml:space="preserve"> 45.</w:t>
      </w:r>
      <w:bookmarkEnd w:id="149"/>
      <w:proofErr w:type="gramEnd"/>
      <w:r w:rsidRPr="00C252B0">
        <w:t xml:space="preserve"> Intensity scores used for local injection site redness and swelling</w:t>
      </w:r>
      <w:bookmarkEnd w:id="150"/>
    </w:p>
    <w:p w:rsidR="00C252B0" w:rsidRPr="00C252B0" w:rsidRDefault="00C252B0" w:rsidP="00C252B0">
      <w:r w:rsidRPr="00C252B0">
        <w:rPr>
          <w:noProof/>
          <w:lang w:eastAsia="en-AU"/>
        </w:rPr>
        <w:drawing>
          <wp:inline distT="0" distB="0" distL="0" distR="0">
            <wp:extent cx="5191125" cy="781050"/>
            <wp:effectExtent l="19050" t="0" r="9525" b="0"/>
            <wp:docPr id="194" name="Picture 49" descr="Table 45. Intensity scores used for local injection site redness and s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a:stretch>
                      <a:fillRect/>
                    </a:stretch>
                  </pic:blipFill>
                  <pic:spPr bwMode="auto">
                    <a:xfrm>
                      <a:off x="0" y="0"/>
                      <a:ext cx="5191125" cy="781050"/>
                    </a:xfrm>
                    <a:prstGeom prst="rect">
                      <a:avLst/>
                    </a:prstGeom>
                    <a:noFill/>
                    <a:ln w="9525">
                      <a:noFill/>
                      <a:miter lim="800000"/>
                      <a:headEnd/>
                      <a:tailEnd/>
                    </a:ln>
                  </pic:spPr>
                </pic:pic>
              </a:graphicData>
            </a:graphic>
          </wp:inline>
        </w:drawing>
      </w:r>
    </w:p>
    <w:p w:rsidR="00C252B0" w:rsidRPr="00C252B0" w:rsidRDefault="00C252B0" w:rsidP="003F0BFE">
      <w:pPr>
        <w:pStyle w:val="TableTitle"/>
      </w:pPr>
      <w:bookmarkStart w:id="151" w:name="_Ref338160970"/>
      <w:bookmarkStart w:id="152" w:name="_Ref338160973"/>
      <w:proofErr w:type="gramStart"/>
      <w:r w:rsidRPr="00C252B0">
        <w:t>Table</w:t>
      </w:r>
      <w:r w:rsidR="00655CE1">
        <w:t xml:space="preserve"> 46</w:t>
      </w:r>
      <w:bookmarkEnd w:id="151"/>
      <w:r w:rsidR="00655CE1">
        <w:t>.</w:t>
      </w:r>
      <w:proofErr w:type="gramEnd"/>
      <w:r w:rsidRPr="00C252B0">
        <w:t xml:space="preserve"> Intensity scores used for fever</w:t>
      </w:r>
      <w:bookmarkEnd w:id="152"/>
    </w:p>
    <w:p w:rsidR="00C252B0" w:rsidRPr="00C252B0" w:rsidRDefault="00C252B0" w:rsidP="00C252B0">
      <w:r w:rsidRPr="00C252B0">
        <w:rPr>
          <w:noProof/>
          <w:lang w:eastAsia="en-AU"/>
        </w:rPr>
        <w:drawing>
          <wp:inline distT="0" distB="0" distL="0" distR="0">
            <wp:extent cx="5180271" cy="992963"/>
            <wp:effectExtent l="19050" t="0" r="1329" b="0"/>
            <wp:docPr id="195" name="Picture 50" descr="Table 46. Intensity scores used for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srcRect/>
                    <a:stretch>
                      <a:fillRect/>
                    </a:stretch>
                  </pic:blipFill>
                  <pic:spPr bwMode="auto">
                    <a:xfrm>
                      <a:off x="0" y="0"/>
                      <a:ext cx="5181143" cy="993130"/>
                    </a:xfrm>
                    <a:prstGeom prst="rect">
                      <a:avLst/>
                    </a:prstGeom>
                    <a:noFill/>
                    <a:ln w="9525">
                      <a:noFill/>
                      <a:miter lim="800000"/>
                      <a:headEnd/>
                      <a:tailEnd/>
                    </a:ln>
                  </pic:spPr>
                </pic:pic>
              </a:graphicData>
            </a:graphic>
          </wp:inline>
        </w:drawing>
      </w:r>
    </w:p>
    <w:p w:rsidR="003F0BFE" w:rsidRDefault="00C252B0" w:rsidP="003F0BFE">
      <w:pPr>
        <w:pStyle w:val="TableTitle"/>
      </w:pPr>
      <w:bookmarkStart w:id="153" w:name="_Ref338161146"/>
      <w:bookmarkStart w:id="154" w:name="_Ref338161153"/>
      <w:proofErr w:type="gramStart"/>
      <w:r w:rsidRPr="00C252B0">
        <w:t xml:space="preserve">Table </w:t>
      </w:r>
      <w:bookmarkEnd w:id="153"/>
      <w:r w:rsidR="00655CE1">
        <w:t>47.</w:t>
      </w:r>
      <w:proofErr w:type="gramEnd"/>
      <w:r w:rsidRPr="00C252B0">
        <w:t xml:space="preserve"> Intensity scale for solicited symptoms</w:t>
      </w:r>
      <w:r w:rsidR="00655CE1">
        <w:t>;</w:t>
      </w:r>
      <w:r w:rsidRPr="00C252B0">
        <w:t xml:space="preserve"> </w:t>
      </w:r>
      <w:proofErr w:type="gramStart"/>
      <w:r w:rsidRPr="00C252B0">
        <w:t>adults</w:t>
      </w:r>
      <w:proofErr w:type="gramEnd"/>
      <w:r w:rsidRPr="00C252B0">
        <w:t xml:space="preserve"> </w:t>
      </w:r>
      <w:r w:rsidR="00655CE1">
        <w:t>≤</w:t>
      </w:r>
      <w:r w:rsidRPr="00C252B0">
        <w:t xml:space="preserve"> 18 years of age - children </w:t>
      </w:r>
      <w:r w:rsidR="00655CE1">
        <w:t>≥</w:t>
      </w:r>
      <w:r w:rsidRPr="00C252B0">
        <w:t xml:space="preserve"> 6 years of age</w:t>
      </w:r>
      <w:bookmarkEnd w:id="154"/>
    </w:p>
    <w:p w:rsidR="00C252B0" w:rsidRPr="00C252B0" w:rsidRDefault="00C252B0" w:rsidP="003F0BFE">
      <w:r w:rsidRPr="00C252B0">
        <w:rPr>
          <w:noProof/>
          <w:lang w:eastAsia="en-AU"/>
        </w:rPr>
        <w:drawing>
          <wp:inline distT="0" distB="0" distL="0" distR="0" wp14:anchorId="174E7008" wp14:editId="372C91E3">
            <wp:extent cx="5192011" cy="1565382"/>
            <wp:effectExtent l="19050" t="0" r="8639" b="0"/>
            <wp:docPr id="196" name="Picture 51" descr="Table 47. Intensity scale for solicited symptoms - adults ≤ 18 years of age - children ≥ 6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srcRect/>
                    <a:stretch>
                      <a:fillRect/>
                    </a:stretch>
                  </pic:blipFill>
                  <pic:spPr bwMode="auto">
                    <a:xfrm>
                      <a:off x="0" y="0"/>
                      <a:ext cx="5200272" cy="1567873"/>
                    </a:xfrm>
                    <a:prstGeom prst="rect">
                      <a:avLst/>
                    </a:prstGeom>
                    <a:noFill/>
                    <a:ln w="9525">
                      <a:noFill/>
                      <a:miter lim="800000"/>
                      <a:headEnd/>
                      <a:tailEnd/>
                    </a:ln>
                  </pic:spPr>
                </pic:pic>
              </a:graphicData>
            </a:graphic>
          </wp:inline>
        </w:drawing>
      </w:r>
    </w:p>
    <w:p w:rsidR="00C252B0" w:rsidRPr="00C252B0" w:rsidRDefault="00C252B0" w:rsidP="003F0BFE">
      <w:pPr>
        <w:pStyle w:val="TableTitle"/>
      </w:pPr>
      <w:bookmarkStart w:id="155" w:name="_Ref338161149"/>
      <w:bookmarkStart w:id="156" w:name="_Ref338161155"/>
      <w:proofErr w:type="gramStart"/>
      <w:r w:rsidRPr="00C252B0">
        <w:lastRenderedPageBreak/>
        <w:t>Table</w:t>
      </w:r>
      <w:r w:rsidR="00655CE1">
        <w:t xml:space="preserve"> 48.</w:t>
      </w:r>
      <w:bookmarkEnd w:id="155"/>
      <w:proofErr w:type="gramEnd"/>
      <w:r w:rsidRPr="00C252B0">
        <w:t xml:space="preserve"> Intensity scale for solicited symptoms in infants/toddlers and children &lt; 6 years of age</w:t>
      </w:r>
      <w:bookmarkEnd w:id="156"/>
    </w:p>
    <w:p w:rsidR="00C252B0" w:rsidRPr="00C252B0" w:rsidRDefault="00C252B0" w:rsidP="001E637D">
      <w:r w:rsidRPr="00C252B0">
        <w:rPr>
          <w:noProof/>
          <w:lang w:eastAsia="en-AU"/>
        </w:rPr>
        <w:drawing>
          <wp:inline distT="0" distB="0" distL="0" distR="0">
            <wp:extent cx="5143500" cy="2447925"/>
            <wp:effectExtent l="19050" t="0" r="0" b="0"/>
            <wp:docPr id="197" name="Picture 52" descr="Table 48. Intensity scale for solicited symptoms in infants/toddlers and children &lt; 6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a:stretch>
                      <a:fillRect/>
                    </a:stretch>
                  </pic:blipFill>
                  <pic:spPr bwMode="auto">
                    <a:xfrm>
                      <a:off x="0" y="0"/>
                      <a:ext cx="5143500" cy="2447925"/>
                    </a:xfrm>
                    <a:prstGeom prst="rect">
                      <a:avLst/>
                    </a:prstGeom>
                    <a:noFill/>
                    <a:ln w="9525">
                      <a:noFill/>
                      <a:miter lim="800000"/>
                      <a:headEnd/>
                      <a:tailEnd/>
                    </a:ln>
                  </pic:spPr>
                </pic:pic>
              </a:graphicData>
            </a:graphic>
          </wp:inline>
        </w:drawing>
      </w:r>
    </w:p>
    <w:p w:rsidR="003F0BFE" w:rsidRPr="00C252B0" w:rsidRDefault="00655CE1" w:rsidP="00C252B0">
      <w:r>
        <w:t>Adverse events (</w:t>
      </w:r>
      <w:r w:rsidR="00C252B0" w:rsidRPr="00C252B0">
        <w:t>AEs</w:t>
      </w:r>
      <w:r>
        <w:t>)</w:t>
      </w:r>
      <w:r w:rsidR="00C252B0" w:rsidRPr="00C252B0">
        <w:t xml:space="preserve"> of specific interest (AESIs) and potential Immune-Mediated Diseases (pIMDs), including autoimmune diseases and other immune mediated inflammatory disorders and/or neurologic disorders which may or may not have an autoimmune aetiology were to be reported up to study end, whether or not they were considered related to vaccination. Investigator judgment was exercised in deciding whether other disorders/diseases not mentioned abov</w:t>
      </w:r>
      <w:r w:rsidR="003F0BFE">
        <w:t>e might have autoimmune origin.</w:t>
      </w:r>
    </w:p>
    <w:p w:rsidR="00C252B0" w:rsidRDefault="00C252B0" w:rsidP="00C252B0">
      <w:r w:rsidRPr="00C252B0">
        <w:t>All solicited injection site reactions were considered by definition to be causally related to vaccination. Causality of all other adverse events was assessed by the investigator as follows:</w:t>
      </w:r>
    </w:p>
    <w:p w:rsidR="000E0F86" w:rsidRDefault="000E0F86" w:rsidP="000E0F86">
      <w:pPr>
        <w:ind w:left="426" w:hanging="426"/>
      </w:pPr>
      <w:r>
        <w:t>NO: The AE is not causally related to administration of the study vaccine(s). There are other, more likely causes and administration of the study vaccine(s) is not suspected to have contributed to the AE.</w:t>
      </w:r>
    </w:p>
    <w:p w:rsidR="000E0F86" w:rsidRPr="00C252B0" w:rsidRDefault="000E0F86" w:rsidP="000E0F86">
      <w:pPr>
        <w:ind w:left="426" w:hanging="426"/>
      </w:pPr>
      <w:r>
        <w:t>YES: There is a reasonable possibility that the vaccine(s) contributed to the AE.</w:t>
      </w:r>
    </w:p>
    <w:p w:rsidR="00C252B0" w:rsidRPr="00C252B0" w:rsidRDefault="00C252B0" w:rsidP="00C252B0">
      <w:r w:rsidRPr="00C252B0">
        <w:t>The primary analysis of safety and reactogenicity was performed on the Total Vaccinated Cohort including all individuals with at least one vaccine administration documented.</w:t>
      </w:r>
    </w:p>
    <w:p w:rsidR="00C252B0" w:rsidRPr="00C252B0" w:rsidRDefault="00C252B0" w:rsidP="00655CE1">
      <w:pPr>
        <w:pStyle w:val="Heading3"/>
      </w:pPr>
      <w:bookmarkStart w:id="157" w:name="_Toc342570237"/>
      <w:bookmarkStart w:id="158" w:name="_Toc355350128"/>
      <w:bookmarkStart w:id="159" w:name="_Toc383345670"/>
      <w:r w:rsidRPr="00C252B0">
        <w:t>Adult studies D-QIV-008 and D-QIV-001</w:t>
      </w:r>
      <w:bookmarkEnd w:id="157"/>
      <w:bookmarkEnd w:id="158"/>
      <w:bookmarkEnd w:id="159"/>
    </w:p>
    <w:p w:rsidR="00C252B0" w:rsidRPr="00C252B0" w:rsidRDefault="00C252B0" w:rsidP="000E0F86">
      <w:pPr>
        <w:pStyle w:val="Heading4"/>
      </w:pPr>
      <w:r w:rsidRPr="00C252B0">
        <w:t>Solicited adverse events</w:t>
      </w:r>
    </w:p>
    <w:p w:rsidR="00C252B0" w:rsidRPr="00C252B0" w:rsidRDefault="00C252B0" w:rsidP="00C252B0">
      <w:r w:rsidRPr="00C252B0">
        <w:t xml:space="preserve">The incidences of solicited local AEs were similar following vaccination with D-QIV and Fluarix except for injection site pain in supportive </w:t>
      </w:r>
      <w:r w:rsidR="000E0F86">
        <w:t>Study D-QIV</w:t>
      </w:r>
      <w:r w:rsidRPr="00C252B0">
        <w:t xml:space="preserve">-001 (including 105 participants). In this study pain was more common in the D-QIV group (72.4%) than in the Fluarix group (49.5%). The difference in injection site pain observed in </w:t>
      </w:r>
      <w:r w:rsidR="000E0F86">
        <w:t>Study D-QIV</w:t>
      </w:r>
      <w:r w:rsidRPr="00C252B0">
        <w:t xml:space="preserve">- 001 was not confirmed in </w:t>
      </w:r>
      <w:r w:rsidR="000E0F86">
        <w:t>Study D-QIV</w:t>
      </w:r>
      <w:r w:rsidRPr="00C252B0">
        <w:t xml:space="preserve">-008, in which 3015 individuals received the D-QIV study vaccine. In this study, pain at the injection site was reported by a similar percentage of individuals in the D-QIV group (36.4%) and the Fluarix and TIV-2 groups (36.8% and 31.3% respectively). In </w:t>
      </w:r>
      <w:r w:rsidR="000E0F86">
        <w:t>Study D-QIV</w:t>
      </w:r>
      <w:r w:rsidRPr="00C252B0">
        <w:t>-008, grade 3 pain was reported by 0.5%-1.2% of participants. Redness and swelling were reported by 1.3% to 2.1% of individuals, with only one case of grade 3 i</w:t>
      </w:r>
      <w:r w:rsidR="003F0BFE">
        <w:t>njection site redness reported.</w:t>
      </w:r>
    </w:p>
    <w:p w:rsidR="00F873CF" w:rsidRDefault="00C252B0" w:rsidP="00C252B0">
      <w:r w:rsidRPr="00C252B0">
        <w:t xml:space="preserve">In both adult studies, fatigue, myalgia and headache were the most common solicited general symptoms. For fatigue and headache, incidences were higher in supportive </w:t>
      </w:r>
      <w:r w:rsidR="000E0F86">
        <w:t>Study D-QIV-001 than in the pivotal Study D-QIV</w:t>
      </w:r>
      <w:r w:rsidRPr="00C252B0">
        <w:t xml:space="preserve">-008, particularly so for fatigue. Examining each study separately, the incidences of events were similar for the vaccine groups. For D-QIV-008; myalgia: D QIV 16.4%, TIV-1 19.4% and TIV-2 16.1%; fatigue: D-QIV15.8%, TIV-1 18.4% and TIV-2 14.8% and headache: D-QIV 15.9%, TIV-1 16.4% and TIV-2 13.2%. For D-QIV-001: myalgia: D-QIV 16.2% TIV 14.3%, fatigue: D-QIV 31.4%, TIV 32.4% and headache: 23.8%, TIV </w:t>
      </w:r>
      <w:r w:rsidRPr="00C252B0">
        <w:lastRenderedPageBreak/>
        <w:t>24.8%. Grade 3 solicited general events were reported by a maximum of 2.9% of participants, the maximum being for headache in</w:t>
      </w:r>
      <w:r w:rsidR="000E0F86">
        <w:t xml:space="preserve"> the D-QIV group in supportive Study D-QIV</w:t>
      </w:r>
      <w:r w:rsidRPr="00C252B0">
        <w:t>-001.</w:t>
      </w:r>
    </w:p>
    <w:p w:rsidR="00C252B0" w:rsidRPr="00C252B0" w:rsidRDefault="00C252B0" w:rsidP="00C252B0">
      <w:r w:rsidRPr="00C252B0">
        <w:t xml:space="preserve">Lower reactogenicity was seen in pivotal </w:t>
      </w:r>
      <w:r w:rsidR="000E0F86">
        <w:t>Study D-QIV</w:t>
      </w:r>
      <w:r w:rsidRPr="00C252B0">
        <w:t xml:space="preserve">-008 participants aged </w:t>
      </w:r>
      <w:r w:rsidR="000E0F86">
        <w:t>≥</w:t>
      </w:r>
      <w:r w:rsidRPr="00C252B0">
        <w:t xml:space="preserve"> 65 years. Pain was reported by 50.9% of those vaccinated with D-QIV-008 aged 18 to 64 years and 21.7% of those </w:t>
      </w:r>
      <w:r w:rsidR="000E0F86">
        <w:t>≥</w:t>
      </w:r>
      <w:r w:rsidR="00AB431A">
        <w:t xml:space="preserve"> 65 years. Grade 2 </w:t>
      </w:r>
      <w:proofErr w:type="gramStart"/>
      <w:r w:rsidRPr="00C252B0">
        <w:t>pain</w:t>
      </w:r>
      <w:proofErr w:type="gramEnd"/>
      <w:r w:rsidRPr="00C252B0">
        <w:t xml:space="preserve"> was reported by 0.8% of those &lt; 65 years and 0.2% of those </w:t>
      </w:r>
      <w:r w:rsidR="000E0F86">
        <w:t>≥</w:t>
      </w:r>
      <w:r w:rsidRPr="00C252B0">
        <w:t xml:space="preserve"> 65 years. The incidences were similar to those for </w:t>
      </w:r>
      <w:proofErr w:type="spellStart"/>
      <w:r w:rsidRPr="00C252B0">
        <w:t>Fluari</w:t>
      </w:r>
      <w:r w:rsidR="00FC36BE">
        <w:t>x</w:t>
      </w:r>
      <w:proofErr w:type="spellEnd"/>
      <w:r w:rsidR="00FC36BE">
        <w:t xml:space="preserve"> and TIV-2.</w:t>
      </w:r>
    </w:p>
    <w:p w:rsidR="00C252B0" w:rsidRPr="00C252B0" w:rsidRDefault="00C252B0" w:rsidP="000E0F86">
      <w:pPr>
        <w:pStyle w:val="Heading4"/>
      </w:pPr>
      <w:r w:rsidRPr="00C252B0">
        <w:t>Unsolicited adverse events</w:t>
      </w:r>
    </w:p>
    <w:p w:rsidR="00C252B0" w:rsidRPr="00C252B0" w:rsidRDefault="00C252B0" w:rsidP="00C252B0">
      <w:r w:rsidRPr="00C252B0">
        <w:t xml:space="preserve">In </w:t>
      </w:r>
      <w:r w:rsidR="000E0F86">
        <w:t>Study D-QIV</w:t>
      </w:r>
      <w:r w:rsidRPr="00C252B0">
        <w:t>-008, the proportions reporting at least one unsolicited AE within 21 days in the D-QIV, Fluarix and TIV-2 groups were 12.5%, 13.7% and 15.</w:t>
      </w:r>
      <w:r w:rsidR="000E0F86">
        <w:t>1% respectively. In supportive Study D-QIV</w:t>
      </w:r>
      <w:r w:rsidRPr="00C252B0">
        <w:t>- 001, at least one unsolicited adverse event was reported within 21 days by 6.7% of D-QIV and 10.5% of Fluarix participants. The most frequently reported AEs were nasopharyngitis, c</w:t>
      </w:r>
      <w:r w:rsidR="000E0F86">
        <w:t>ough and oropharyngeal pain in Study D-QIV</w:t>
      </w:r>
      <w:r w:rsidRPr="00C252B0">
        <w:t xml:space="preserve">-008 and pharyngitis and headache in </w:t>
      </w:r>
      <w:r w:rsidR="000E0F86">
        <w:t>Study D-QIV</w:t>
      </w:r>
      <w:r w:rsidRPr="00C252B0">
        <w:t xml:space="preserve">-001 all reported at incidences lower than 2.0% in each vaccine group. The most common vaccine-related unsolicited events were injection site haematoma and oropharyngeal pain in </w:t>
      </w:r>
      <w:r w:rsidR="000E0F86">
        <w:t>Study D-QIV</w:t>
      </w:r>
      <w:r w:rsidRPr="00C252B0">
        <w:t xml:space="preserve">-008, reported in 0.2-0.5% of individuals. Grade 3 AEs after D-QIV vaccination were reported by 1.3% of individuals in </w:t>
      </w:r>
      <w:r w:rsidR="000E0F86">
        <w:t>Study D-QIV</w:t>
      </w:r>
      <w:r w:rsidRPr="00C252B0">
        <w:t>-008 and none in D-QIV-001.</w:t>
      </w:r>
    </w:p>
    <w:p w:rsidR="00C252B0" w:rsidRPr="00C252B0" w:rsidRDefault="00C252B0" w:rsidP="00347F37">
      <w:pPr>
        <w:pStyle w:val="Heading4"/>
      </w:pPr>
      <w:r w:rsidRPr="00C252B0">
        <w:t>Serious adverse events</w:t>
      </w:r>
    </w:p>
    <w:p w:rsidR="00C252B0" w:rsidRPr="00C252B0" w:rsidRDefault="00C252B0" w:rsidP="00C252B0">
      <w:r w:rsidRPr="00C252B0">
        <w:t xml:space="preserve">SAEs were recorded for 180 days </w:t>
      </w:r>
      <w:r w:rsidR="00692B0F">
        <w:t>post vaccination</w:t>
      </w:r>
      <w:r w:rsidRPr="00C252B0">
        <w:t xml:space="preserve">, except for adults in the TIV-2 group in </w:t>
      </w:r>
      <w:r w:rsidR="000E0F86">
        <w:t>Study D-QIV</w:t>
      </w:r>
      <w:r w:rsidRPr="00C252B0">
        <w:t>-008 who</w:t>
      </w:r>
      <w:r w:rsidR="00FC36BE">
        <w:t xml:space="preserve"> were followed up until Day 21.</w:t>
      </w:r>
    </w:p>
    <w:p w:rsidR="00C252B0" w:rsidRPr="00C252B0" w:rsidRDefault="00C252B0" w:rsidP="00C252B0">
      <w:r w:rsidRPr="00C252B0">
        <w:t xml:space="preserve">In the pivotal adult study, D-QIV-008, a total of 97/4600 participants (2.1%) reported a total of 127 SAEs. Up to Day 20, 16 (0.5%) in the D-QIV group, 6 (0.6%) in the TIV-1 group and one (0.2%) in the TIV-2 group reported at least one SAE. During the entire study period, 70 (2.3%) in the D-QIV group reported at least one SAE, 26 (2.6%) in the Fluarix group and 1 (0.2%) in the TIV-2 group. In </w:t>
      </w:r>
      <w:r w:rsidR="000E0F86">
        <w:t>Study D-QIV</w:t>
      </w:r>
      <w:r w:rsidRPr="00C252B0">
        <w:t xml:space="preserve">-001, one SAE was reported during the 180 day follow-up period. None of the SAEs reported in the two adult studies were considered related to vaccination. No SAE occurred within 7 days </w:t>
      </w:r>
      <w:r w:rsidR="00692B0F">
        <w:t>post vaccination</w:t>
      </w:r>
      <w:r w:rsidR="00FC36BE">
        <w:t>.</w:t>
      </w:r>
    </w:p>
    <w:p w:rsidR="00C252B0" w:rsidRPr="00C252B0" w:rsidRDefault="00C252B0" w:rsidP="00C252B0">
      <w:r w:rsidRPr="00C252B0">
        <w:t xml:space="preserve">In </w:t>
      </w:r>
      <w:r w:rsidR="000E0F86">
        <w:t>Study D-QIV</w:t>
      </w:r>
      <w:r w:rsidRPr="00C252B0">
        <w:t>-008 enrolling adults 18 to 92 years, 12 participants died during the entire study period: 9 (0.3%) in the D-QIV group, 3 (0.3%) in the Fluarix group and none in the TIV-2 group. All but one fatal event occurred beyond the 21</w:t>
      </w:r>
      <w:r w:rsidR="002A12FF">
        <w:t xml:space="preserve"> </w:t>
      </w:r>
      <w:r w:rsidRPr="00C252B0">
        <w:t xml:space="preserve">day post vaccination period. No death was considered vaccine related. There were no fatal events reported up to Day 180 in </w:t>
      </w:r>
      <w:r w:rsidR="000E0F86">
        <w:t>Study D-QIV</w:t>
      </w:r>
      <w:r w:rsidRPr="00C252B0">
        <w:t>-001.</w:t>
      </w:r>
    </w:p>
    <w:p w:rsidR="00C252B0" w:rsidRPr="00C252B0" w:rsidRDefault="00C252B0" w:rsidP="00347F37">
      <w:pPr>
        <w:pStyle w:val="Heading4"/>
      </w:pPr>
      <w:bookmarkStart w:id="160" w:name="adults"/>
      <w:bookmarkEnd w:id="160"/>
      <w:r w:rsidRPr="00C252B0">
        <w:t>Treatment discontinuations</w:t>
      </w:r>
    </w:p>
    <w:p w:rsidR="00C252B0" w:rsidRPr="00C252B0" w:rsidRDefault="00C252B0" w:rsidP="00C252B0">
      <w:r w:rsidRPr="00C252B0">
        <w:t xml:space="preserve">In the pivotal adult </w:t>
      </w:r>
      <w:r w:rsidR="000E0F86">
        <w:t>Study D-QIV</w:t>
      </w:r>
      <w:r w:rsidRPr="00C252B0">
        <w:t xml:space="preserve">-008, 14 participants discontinued due to adverse events; none considered related to vaccination: one with rectal carcinoma (D-QIV); one with sinusitis (TIV-2) and 12 participants died. No AEs leading to the premature discontinuation were reported in </w:t>
      </w:r>
      <w:r w:rsidR="000E0F86">
        <w:t>Study D-QIV</w:t>
      </w:r>
      <w:r w:rsidR="00FC36BE">
        <w:t>-001.</w:t>
      </w:r>
    </w:p>
    <w:p w:rsidR="00C252B0" w:rsidRPr="00C252B0" w:rsidRDefault="00C252B0" w:rsidP="00347F37">
      <w:pPr>
        <w:pStyle w:val="Heading4"/>
      </w:pPr>
      <w:r w:rsidRPr="00C252B0">
        <w:t>Potential immune mediated diseases</w:t>
      </w:r>
    </w:p>
    <w:p w:rsidR="00C252B0" w:rsidRPr="00FC36BE" w:rsidRDefault="00C252B0" w:rsidP="00C252B0">
      <w:r w:rsidRPr="00C252B0">
        <w:t xml:space="preserve">In </w:t>
      </w:r>
      <w:r w:rsidR="000E0F86">
        <w:t>Study D-QIV</w:t>
      </w:r>
      <w:r w:rsidRPr="00C252B0">
        <w:t>-008, one case of multiple sclerosis and one of facial paralysis were reported, both non-serious and both occurring after 3 months, neither being considered vaccine related.</w:t>
      </w:r>
    </w:p>
    <w:p w:rsidR="00C252B0" w:rsidRPr="00C252B0" w:rsidRDefault="00C252B0" w:rsidP="00FC36BE">
      <w:pPr>
        <w:pStyle w:val="Heading4"/>
      </w:pPr>
      <w:r w:rsidRPr="00FC36BE">
        <w:t>Pregnancy</w:t>
      </w:r>
    </w:p>
    <w:p w:rsidR="00C252B0" w:rsidRPr="00C252B0" w:rsidRDefault="00C252B0" w:rsidP="00C252B0">
      <w:r w:rsidRPr="00C252B0">
        <w:t xml:space="preserve">There were 6 pregnancies reported during the entire study period in the adult studies (5 cases in </w:t>
      </w:r>
      <w:r w:rsidR="000E0F86">
        <w:t>Study D-QIV</w:t>
      </w:r>
      <w:r w:rsidRPr="00C252B0">
        <w:t xml:space="preserve">-008 and 1 case in </w:t>
      </w:r>
      <w:r w:rsidR="000E0F86">
        <w:t>Study D-QIV</w:t>
      </w:r>
      <w:r w:rsidRPr="00C252B0">
        <w:t>- 001). Four of the pregnancies led to delivery of a live infant (D-QIV-008) and one participant underwent elective abortion (</w:t>
      </w:r>
      <w:r w:rsidR="000E0F86">
        <w:t>Study D-QIV</w:t>
      </w:r>
      <w:r w:rsidRPr="00C252B0">
        <w:t>- 008). One pregnancy was ongoing at the time of reporting (D-QIV-008).</w:t>
      </w:r>
    </w:p>
    <w:p w:rsidR="00C252B0" w:rsidRPr="00C252B0" w:rsidRDefault="00C252B0" w:rsidP="00347F37">
      <w:pPr>
        <w:pStyle w:val="Heading4"/>
      </w:pPr>
      <w:r w:rsidRPr="00C252B0">
        <w:lastRenderedPageBreak/>
        <w:t>Concomitant medication</w:t>
      </w:r>
    </w:p>
    <w:p w:rsidR="00C252B0" w:rsidRPr="00FC36BE" w:rsidRDefault="00C252B0" w:rsidP="00C252B0">
      <w:r w:rsidRPr="00C252B0">
        <w:t xml:space="preserve">In pivotal adult </w:t>
      </w:r>
      <w:r w:rsidR="000E0F86">
        <w:t>Study D-QIV</w:t>
      </w:r>
      <w:r w:rsidRPr="00C252B0">
        <w:t>-008, antipyretics were taken by 6.3%, 6.0% and 6.4% of participants in the D-QIV, Fluarix and TIV-2 groups, respectively. Two individuals, both in the D-QIV group (0.1%), took prophylactic antipyretics. The use of any antipyretics was lower in participants age &gt; 64</w:t>
      </w:r>
      <w:r w:rsidR="002A12FF">
        <w:t xml:space="preserve">years old than in those aged 18 to </w:t>
      </w:r>
      <w:r w:rsidR="00FC36BE">
        <w:t>64 years.</w:t>
      </w:r>
    </w:p>
    <w:p w:rsidR="00C252B0" w:rsidRPr="00FC36BE" w:rsidRDefault="00C252B0" w:rsidP="00C252B0">
      <w:r w:rsidRPr="00C252B0">
        <w:t xml:space="preserve">In supportive adult </w:t>
      </w:r>
      <w:r w:rsidR="000E0F86">
        <w:t>Study D-QIV</w:t>
      </w:r>
      <w:r w:rsidRPr="00C252B0">
        <w:t>-001, the incidence of any medication use during the 21</w:t>
      </w:r>
      <w:r w:rsidR="002A12FF">
        <w:t xml:space="preserve"> </w:t>
      </w:r>
      <w:r w:rsidRPr="00C252B0">
        <w:t xml:space="preserve">day </w:t>
      </w:r>
      <w:r w:rsidR="00692B0F">
        <w:t>post vaccination</w:t>
      </w:r>
      <w:r w:rsidRPr="00C252B0">
        <w:t xml:space="preserve"> period was within the same range for both study vaccine groups; D-QIV (8.6%) and (10.5%). Antipyretics were taken during this period by 5 individuals (4.8%) in the D-QIV group and 8 (7.6%) in the Fluarix group. None of the participants took prophylactic antipyretics.</w:t>
      </w:r>
    </w:p>
    <w:p w:rsidR="00C252B0" w:rsidRPr="00C252B0" w:rsidRDefault="00C252B0" w:rsidP="00347F37">
      <w:pPr>
        <w:pStyle w:val="Heading4"/>
      </w:pPr>
      <w:r w:rsidRPr="00C252B0">
        <w:t>Intrinsic factor – gender</w:t>
      </w:r>
    </w:p>
    <w:p w:rsidR="00C252B0" w:rsidRPr="00C252B0" w:rsidRDefault="00C252B0" w:rsidP="00C252B0">
      <w:r w:rsidRPr="00C252B0">
        <w:t xml:space="preserve">In adult </w:t>
      </w:r>
      <w:r w:rsidR="000E0F86">
        <w:t>Study D-QIV</w:t>
      </w:r>
      <w:r w:rsidRPr="00C252B0">
        <w:t>-008, incidences of the most frequently reported solicited local AE pain were consistently higher in females than in males, across the 3 vaccine groups. Also for the most common solicited general AEs (fatigue, headache and muscle aches), incidence rates were generally higher in females than in males.</w:t>
      </w:r>
    </w:p>
    <w:p w:rsidR="00C252B0" w:rsidRPr="00C252B0" w:rsidRDefault="00C252B0" w:rsidP="00347F37">
      <w:pPr>
        <w:pStyle w:val="Heading3"/>
      </w:pPr>
      <w:bookmarkStart w:id="161" w:name="adult"/>
      <w:bookmarkStart w:id="162" w:name="_Toc342570238"/>
      <w:bookmarkStart w:id="163" w:name="_Toc355350129"/>
      <w:bookmarkStart w:id="164" w:name="_Toc383345671"/>
      <w:bookmarkEnd w:id="161"/>
      <w:r w:rsidRPr="00C252B0">
        <w:t>Paediatric studies D-QIV-003 and D-QIV-002</w:t>
      </w:r>
      <w:bookmarkEnd w:id="162"/>
      <w:bookmarkEnd w:id="163"/>
      <w:bookmarkEnd w:id="164"/>
    </w:p>
    <w:p w:rsidR="00C252B0" w:rsidRPr="00C252B0" w:rsidRDefault="00C252B0" w:rsidP="00C252B0">
      <w:r w:rsidRPr="00C252B0">
        <w:t>Data are presented as the percentage of individuals who experienced a symptom during the full vaccination course, whether one or two doses were administered, and by incidence per dose.</w:t>
      </w:r>
    </w:p>
    <w:p w:rsidR="00C252B0" w:rsidRPr="00C252B0" w:rsidRDefault="00C252B0" w:rsidP="00347F37">
      <w:pPr>
        <w:pStyle w:val="Heading4"/>
      </w:pPr>
      <w:r w:rsidRPr="00C252B0">
        <w:t>Solicited adverse events</w:t>
      </w:r>
    </w:p>
    <w:p w:rsidR="00C252B0" w:rsidRPr="00C252B0" w:rsidRDefault="00C252B0" w:rsidP="00C252B0">
      <w:r w:rsidRPr="00C252B0">
        <w:t xml:space="preserve">The incidences of all solicited symptoms local and general were similar following vaccination with D-QIV and trivalent comparators. No new safety signal was detected. </w:t>
      </w:r>
      <w:r w:rsidR="00F873CF">
        <w:t>T</w:t>
      </w:r>
      <w:r w:rsidRPr="00C252B0">
        <w:t>he most common solicited local AE was injection site pain in both studies, reported by approximately 40%-50% of participants across all studies groups. Grade 3 pain was reported by 0.2%-2.3% of participants. Redness and swelling were less common and were reported at similar rates across the vaccine groups in b</w:t>
      </w:r>
      <w:r w:rsidR="002A12FF">
        <w:t xml:space="preserve">oth studies. In children aged 6 to </w:t>
      </w:r>
      <w:r w:rsidRPr="00C252B0">
        <w:t xml:space="preserve">35 months who received D-QIV vaccine in </w:t>
      </w:r>
      <w:r w:rsidR="000E0F86">
        <w:t>Study D-QIV</w:t>
      </w:r>
      <w:r w:rsidRPr="00C252B0">
        <w:t xml:space="preserve">-003, pain tended to be reported by fewer participants </w:t>
      </w:r>
      <w:r w:rsidR="002A12FF">
        <w:t xml:space="preserve">(30.5%) than in children aged 3 to </w:t>
      </w:r>
      <w:r w:rsidRPr="00C252B0">
        <w:t>17 years, while a trend to more reports of</w:t>
      </w:r>
      <w:r w:rsidR="00FC36BE">
        <w:t xml:space="preserve"> redness (28.4%) was observed.</w:t>
      </w:r>
    </w:p>
    <w:p w:rsidR="00C252B0" w:rsidRPr="00C252B0" w:rsidRDefault="00C252B0" w:rsidP="00C252B0">
      <w:r w:rsidRPr="002A12FF">
        <w:rPr>
          <w:rStyle w:val="Heading6Char"/>
          <w:rFonts w:eastAsia="Cambria"/>
        </w:rPr>
        <w:t>Evaluator comment:</w:t>
      </w:r>
      <w:r w:rsidRPr="00C252B0">
        <w:t xml:space="preserve"> reporting of pain by children aged 6 to 35 months was probably limited by </w:t>
      </w:r>
      <w:r w:rsidR="00FC36BE">
        <w:t>developmental language ability.</w:t>
      </w:r>
    </w:p>
    <w:p w:rsidR="00C252B0" w:rsidRPr="00C252B0" w:rsidRDefault="00C252B0" w:rsidP="00C252B0">
      <w:r w:rsidRPr="00C252B0">
        <w:t xml:space="preserve">The incidences of solicited general adverse events were similar across all study groups in </w:t>
      </w:r>
      <w:r w:rsidR="000E0F86">
        <w:t>Study D-QIV</w:t>
      </w:r>
      <w:r w:rsidRPr="00C252B0">
        <w:t>-003, regardless of severity and causal relationship. For children aged &lt; 6 years (3</w:t>
      </w:r>
      <w:r w:rsidR="002A12FF">
        <w:t xml:space="preserve"> to </w:t>
      </w:r>
      <w:r w:rsidRPr="00C252B0">
        <w:t>5 years in D-QIV-003, 18</w:t>
      </w:r>
      <w:r w:rsidR="002A12FF">
        <w:t xml:space="preserve"> to </w:t>
      </w:r>
      <w:r w:rsidRPr="00C252B0">
        <w:t>47 months in D-QIV-002), loss of appetite, irritability and drowsiness were reported for D-QIV vaccinated children for 20.3% to 30.7% of participants in both studies. Fever was recorded in 17.2% and 25.3% of D-QIV groups in studies D-QIV-003 and D-QIV-002, respectively.</w:t>
      </w:r>
    </w:p>
    <w:p w:rsidR="00C252B0" w:rsidRPr="00C252B0" w:rsidRDefault="00C252B0" w:rsidP="00C252B0">
      <w:r w:rsidRPr="00C252B0">
        <w:t>Incidences of solicited general AEs, including fever, in children aged 6</w:t>
      </w:r>
      <w:r w:rsidR="002A12FF">
        <w:t xml:space="preserve"> to</w:t>
      </w:r>
      <w:r w:rsidRPr="00C252B0">
        <w:t xml:space="preserve"> 35 months who received D-QIV vaccine in </w:t>
      </w:r>
      <w:r w:rsidR="000E0F86">
        <w:t>Study D-QIV</w:t>
      </w:r>
      <w:r w:rsidRPr="00C252B0">
        <w:t xml:space="preserve">-003, were within the same range as in children aged 18 </w:t>
      </w:r>
      <w:r w:rsidR="002A12FF">
        <w:t xml:space="preserve">to </w:t>
      </w:r>
      <w:r w:rsidRPr="00C252B0">
        <w:t xml:space="preserve"> 47 months in </w:t>
      </w:r>
      <w:r w:rsidR="000E0F86">
        <w:t>Study D-QIV</w:t>
      </w:r>
      <w:r w:rsidRPr="00C252B0">
        <w:t xml:space="preserve">-002 but were generally </w:t>
      </w:r>
      <w:r w:rsidR="002A12FF">
        <w:t>higher than in children aged 3 to</w:t>
      </w:r>
      <w:r w:rsidRPr="00C252B0">
        <w:t xml:space="preserve"> 17 years in D-QIV-003. Grade 3 fever reports followed 3.9% of doses for 6.5% of i</w:t>
      </w:r>
      <w:r w:rsidR="00FC36BE">
        <w:t>ndividuals aged 6 to 35 months.</w:t>
      </w:r>
    </w:p>
    <w:p w:rsidR="00C252B0" w:rsidRPr="00C252B0" w:rsidRDefault="00C252B0" w:rsidP="00C252B0">
      <w:r w:rsidRPr="00C252B0">
        <w:t>In children aged 6</w:t>
      </w:r>
      <w:r w:rsidR="002A12FF">
        <w:t xml:space="preserve"> to </w:t>
      </w:r>
      <w:r w:rsidRPr="00C252B0">
        <w:t xml:space="preserve">17 years from </w:t>
      </w:r>
      <w:r w:rsidR="000E0F86">
        <w:t>Study D-QIV</w:t>
      </w:r>
      <w:r w:rsidRPr="00C252B0">
        <w:t>-003, the most frequently reported solicited general symptoms were fatigue, muscle aches and headache, all reported with frequencies ranging fro</w:t>
      </w:r>
      <w:r w:rsidR="003F4408">
        <w:t>m 16.9% to 21.2% across groups.</w:t>
      </w:r>
    </w:p>
    <w:p w:rsidR="00C252B0" w:rsidRPr="00C252B0" w:rsidRDefault="00C252B0" w:rsidP="00C252B0">
      <w:r w:rsidRPr="00C252B0">
        <w:t xml:space="preserve">In children aged 3-17 years, fever (defined as oral or axillary temperature </w:t>
      </w:r>
      <w:r w:rsidR="002A12FF">
        <w:t>≥</w:t>
      </w:r>
      <w:r w:rsidRPr="00C252B0">
        <w:t xml:space="preserve"> 37.5°C) was reported for 10.8% of children in the D-QIV group, compared to 12.3% in the Fluarix group and 9.4% in the TIV-2 group. The incidence of fever &gt; 38°C was 4.6% in the D-QIV group, 4.9% in the Fluarix group and 3.5% in the TIV-2 group. Grade 3 </w:t>
      </w:r>
      <w:proofErr w:type="gramStart"/>
      <w:r w:rsidRPr="00C252B0">
        <w:t>fever</w:t>
      </w:r>
      <w:proofErr w:type="gramEnd"/>
      <w:r w:rsidRPr="00C252B0">
        <w:t xml:space="preserve"> defined as temperature &gt; 39°C was </w:t>
      </w:r>
      <w:r w:rsidRPr="00C252B0">
        <w:lastRenderedPageBreak/>
        <w:t>reported in 1.8% of individuals in the D-QIV group, 1.1% in the Fluarix group and 0.8% in the TIV-2 group</w:t>
      </w:r>
      <w:r w:rsidR="00F873CF">
        <w:t>.</w:t>
      </w:r>
    </w:p>
    <w:p w:rsidR="00C252B0" w:rsidRPr="00C252B0" w:rsidRDefault="00C252B0" w:rsidP="00C252B0">
      <w:r w:rsidRPr="00C252B0">
        <w:t xml:space="preserve">In those participants who received two doses, there was no evidence of an increased incidence of solicited AEs following administration of a second dose compared to the first dose. Grade 3 solicited events were reported following </w:t>
      </w:r>
      <w:r w:rsidR="002A12FF">
        <w:t>≤</w:t>
      </w:r>
      <w:r w:rsidRPr="00C252B0">
        <w:t xml:space="preserve"> 1.6% of doses across vaccine groups from both studies.</w:t>
      </w:r>
    </w:p>
    <w:p w:rsidR="00C252B0" w:rsidRPr="00C252B0" w:rsidRDefault="00C252B0" w:rsidP="00C252B0">
      <w:r w:rsidRPr="00C252B0">
        <w:t>Incidences of solicited general AEs, including fever, in children aged 6</w:t>
      </w:r>
      <w:r w:rsidR="002A12FF">
        <w:t xml:space="preserve"> to </w:t>
      </w:r>
      <w:r w:rsidRPr="00C252B0">
        <w:t xml:space="preserve">35 months who received D-QIV vaccine in pivotal </w:t>
      </w:r>
      <w:r w:rsidR="000E0F86">
        <w:t>Study D-QIV</w:t>
      </w:r>
      <w:r w:rsidRPr="00C252B0">
        <w:t>-003, were within the same range as in children aged 18</w:t>
      </w:r>
      <w:r w:rsidR="002A12FF">
        <w:t xml:space="preserve"> to </w:t>
      </w:r>
      <w:r w:rsidRPr="00C252B0">
        <w:t xml:space="preserve">47 months in supportive </w:t>
      </w:r>
      <w:r w:rsidR="000E0F86">
        <w:t>Study D-QIV</w:t>
      </w:r>
      <w:r w:rsidRPr="00C252B0">
        <w:t>-002 but were generally higher than in older children aged 3</w:t>
      </w:r>
      <w:r w:rsidR="002A12FF">
        <w:t xml:space="preserve"> to </w:t>
      </w:r>
      <w:r w:rsidRPr="00C252B0">
        <w:t>17 years in D-QIV-003. In line with previous findings from clinical studies with influenza vaccines, the incidence of fever (&gt;37.5°C) tended to be higher in younger individuals. Grade 3 fever reports followed 3.9% of doses in 6.5% of individuals in the D-QIV-Y group aged 6 to 35 months.</w:t>
      </w:r>
    </w:p>
    <w:p w:rsidR="00C252B0" w:rsidRPr="00C252B0" w:rsidRDefault="00C252B0" w:rsidP="00347F37">
      <w:pPr>
        <w:pStyle w:val="Heading4"/>
      </w:pPr>
      <w:r w:rsidRPr="00C252B0">
        <w:t>Unsolicited adverse events</w:t>
      </w:r>
    </w:p>
    <w:p w:rsidR="00C252B0" w:rsidRPr="00C252B0" w:rsidRDefault="00C252B0" w:rsidP="00C252B0">
      <w:r w:rsidRPr="00C252B0">
        <w:t xml:space="preserve">In pivotal </w:t>
      </w:r>
      <w:r w:rsidR="000E0F86">
        <w:t>Study D-QIV</w:t>
      </w:r>
      <w:r w:rsidRPr="00C252B0">
        <w:t>-003, the proportions of children aged 3</w:t>
      </w:r>
      <w:r w:rsidR="002A12FF">
        <w:t xml:space="preserve"> to </w:t>
      </w:r>
      <w:r w:rsidRPr="00C252B0">
        <w:t xml:space="preserve">17 years reporting at least one unsolicited AE within 28 days after vaccination in the D-QIV, Fluarix and TIV- 2 groups were 31.0%, 33.4% and 33.8% respectively. In supportive </w:t>
      </w:r>
      <w:r w:rsidR="000E0F86">
        <w:t>Study D-QIV</w:t>
      </w:r>
      <w:r w:rsidRPr="00C252B0">
        <w:t xml:space="preserve">-002, at least one unsolicited adverse event was reported within 28 days by 38.9% and 39.2% of D-QIV and Fluarix recipients, respectively. The most common unsolicited AE was nasopharyngitis, reported by 5.4% </w:t>
      </w:r>
      <w:r w:rsidR="002A12FF">
        <w:t xml:space="preserve">to </w:t>
      </w:r>
      <w:r w:rsidRPr="00C252B0">
        <w:t xml:space="preserve">7.0% of participants in </w:t>
      </w:r>
      <w:r w:rsidR="000E0F86">
        <w:t>Study D-QIV</w:t>
      </w:r>
      <w:r w:rsidRPr="00C252B0">
        <w:t>-003 and 24.2%</w:t>
      </w:r>
      <w:r w:rsidR="002A12FF">
        <w:t xml:space="preserve"> to </w:t>
      </w:r>
      <w:r w:rsidRPr="00C252B0">
        <w:t xml:space="preserve">22.9% in </w:t>
      </w:r>
      <w:r w:rsidR="000E0F86">
        <w:t>Study D-QIV</w:t>
      </w:r>
      <w:r w:rsidRPr="00C252B0">
        <w:t>-002</w:t>
      </w:r>
      <w:r w:rsidR="002A12FF">
        <w:t xml:space="preserve">. For children aged 6 to </w:t>
      </w:r>
      <w:r w:rsidRPr="00C252B0">
        <w:t xml:space="preserve">35 months who received D-QIV vaccine in </w:t>
      </w:r>
      <w:r w:rsidR="000E0F86">
        <w:t>Study D-QIV</w:t>
      </w:r>
      <w:r w:rsidRPr="00C252B0">
        <w:t>-003, the overall incidence of unsolicited AEs was higher (60.3%) than in the older study groups, with the most frequent AEs being nasopharyngitis repo</w:t>
      </w:r>
      <w:r w:rsidR="003F4408">
        <w:t>rted for 13.4% of participants.</w:t>
      </w:r>
    </w:p>
    <w:p w:rsidR="00C252B0" w:rsidRPr="00C252B0" w:rsidRDefault="00C252B0" w:rsidP="00C252B0">
      <w:r w:rsidRPr="00C252B0">
        <w:t>Severe (</w:t>
      </w:r>
      <w:r w:rsidR="002A12FF">
        <w:t>G</w:t>
      </w:r>
      <w:r w:rsidRPr="00C252B0">
        <w:t>rade 3) AEs were reported for D-QIV</w:t>
      </w:r>
      <w:r w:rsidR="002A12FF">
        <w:t>;</w:t>
      </w:r>
      <w:r w:rsidRPr="00C252B0">
        <w:t xml:space="preserve"> for 2.2% (3</w:t>
      </w:r>
      <w:r w:rsidR="002A12FF">
        <w:t xml:space="preserve"> to </w:t>
      </w:r>
      <w:r w:rsidRPr="00C252B0">
        <w:t>17 years), 3.4% (18</w:t>
      </w:r>
      <w:r w:rsidR="002A12FF">
        <w:t xml:space="preserve"> to </w:t>
      </w:r>
      <w:r w:rsidRPr="00C252B0">
        <w:t>47 months) and 7.2% (6</w:t>
      </w:r>
      <w:r w:rsidR="002A12FF">
        <w:t xml:space="preserve"> to </w:t>
      </w:r>
      <w:r w:rsidRPr="00C252B0">
        <w:t>35 months). In both paediatric studies, no differences between D-QIV and comparators were observed</w:t>
      </w:r>
      <w:r w:rsidR="00F873CF">
        <w:t>.</w:t>
      </w:r>
    </w:p>
    <w:p w:rsidR="00C252B0" w:rsidRPr="00C252B0" w:rsidRDefault="00C252B0" w:rsidP="00C252B0">
      <w:r w:rsidRPr="00C252B0">
        <w:t>For children 3</w:t>
      </w:r>
      <w:r w:rsidR="002A12FF">
        <w:t xml:space="preserve"> to </w:t>
      </w:r>
      <w:r w:rsidRPr="00C252B0">
        <w:t>17 years of age, unsolicited AEs assessed as causally related to vaccination were reported for 2.2% of individuals in the D-QIV group, 2.1% in the Fluarix group and 2.5% in the TIV-2 group. Grade 3 AEs considered related to vaccination were reported by 1 individual in the D-QIV group (vomiting) and 3 individuals in the TIV-2 group (abdominal pain, vomiting, rhinorrhoea).</w:t>
      </w:r>
    </w:p>
    <w:p w:rsidR="00C252B0" w:rsidRPr="00C252B0" w:rsidRDefault="00C252B0" w:rsidP="00C252B0">
      <w:r w:rsidRPr="00C252B0">
        <w:t>Higher incidences of any unsolicited AEs within the 28 day post vaccina</w:t>
      </w:r>
      <w:r w:rsidR="002A12FF">
        <w:t>tion period were seen in the 3 to</w:t>
      </w:r>
      <w:r w:rsidRPr="00C252B0">
        <w:t xml:space="preserve"> 8 years stratum than the 9</w:t>
      </w:r>
      <w:r w:rsidR="002A12FF">
        <w:t xml:space="preserve"> to </w:t>
      </w:r>
      <w:r w:rsidRPr="00C252B0">
        <w:t>17 years stratum (16.1% to 20.3% for 9-17 years stratum versus 39.0% to 41.4% for 3-8 years</w:t>
      </w:r>
      <w:r w:rsidR="003F4408">
        <w:t xml:space="preserve"> group).</w:t>
      </w:r>
    </w:p>
    <w:p w:rsidR="00C252B0" w:rsidRPr="00C252B0" w:rsidRDefault="00C252B0" w:rsidP="00347F37">
      <w:pPr>
        <w:pStyle w:val="Heading4"/>
      </w:pPr>
      <w:bookmarkStart w:id="165" w:name="_Toc241374320"/>
      <w:bookmarkStart w:id="166" w:name="_Toc342570239"/>
      <w:r w:rsidRPr="00C252B0">
        <w:t>Serious adverse events and deaths</w:t>
      </w:r>
      <w:bookmarkEnd w:id="165"/>
      <w:bookmarkEnd w:id="166"/>
    </w:p>
    <w:p w:rsidR="00C252B0" w:rsidRPr="00C252B0" w:rsidRDefault="00C252B0" w:rsidP="00C252B0">
      <w:r w:rsidRPr="00C252B0">
        <w:t xml:space="preserve">None of the SAEs reported in the paediatric studies were considered related to study vaccination. In pivotal </w:t>
      </w:r>
      <w:r w:rsidR="000E0F86">
        <w:t>Study D-QIV</w:t>
      </w:r>
      <w:r w:rsidRPr="00C252B0">
        <w:t>-003, a total of 30/3015 (1.0%) reported a total of 45 SAEs during the entire study period. Within 28 days after vaccination, at least one SAE was reported by one individual (0.1%) each in the D-QIV group, Fluarix group and TIV-2 group and by 7 individuals (2.5%) in the younger D-QIV group aged 6</w:t>
      </w:r>
      <w:r w:rsidR="002A12FF">
        <w:t xml:space="preserve"> to </w:t>
      </w:r>
      <w:r w:rsidRPr="00C252B0">
        <w:t>35 months. During the entire study period, SAEs were reported by 8 (0.9%) in the D-QIV group, 6 (0.7%) in the Fluarix group, 7 (0.8%) in the TIV-2 group and 9 (3.2%) in the D-QIV-Y group aged 6</w:t>
      </w:r>
      <w:r w:rsidR="002A12FF">
        <w:t xml:space="preserve"> to </w:t>
      </w:r>
      <w:r w:rsidRPr="00C252B0">
        <w:t xml:space="preserve">35 months. In supportive </w:t>
      </w:r>
      <w:r w:rsidR="000E0F86">
        <w:t>Study D-QIV</w:t>
      </w:r>
      <w:r w:rsidRPr="00C252B0">
        <w:t>-002, no SAE was reported within 28 days of vaccination. During the entire study period, 2 SAEs were reported (one of bronchopneumonia and one of urticarial reaction</w:t>
      </w:r>
      <w:proofErr w:type="gramStart"/>
      <w:r w:rsidRPr="00C252B0">
        <w:t>)l</w:t>
      </w:r>
      <w:proofErr w:type="gramEnd"/>
      <w:r w:rsidRPr="00C252B0">
        <w:t xml:space="preserve"> neither considered related.</w:t>
      </w:r>
    </w:p>
    <w:p w:rsidR="00C252B0" w:rsidRPr="00C252B0" w:rsidRDefault="00C252B0" w:rsidP="00C252B0">
      <w:r w:rsidRPr="00C252B0">
        <w:t xml:space="preserve">In paediatric </w:t>
      </w:r>
      <w:r w:rsidR="000E0F86">
        <w:t>Study D-QIV</w:t>
      </w:r>
      <w:r w:rsidRPr="00C252B0">
        <w:t>-003, one 3</w:t>
      </w:r>
      <w:r w:rsidR="002A12FF">
        <w:t xml:space="preserve"> </w:t>
      </w:r>
      <w:r w:rsidRPr="00C252B0">
        <w:t>year</w:t>
      </w:r>
      <w:r w:rsidR="002A12FF">
        <w:t xml:space="preserve"> </w:t>
      </w:r>
      <w:r w:rsidRPr="00C252B0">
        <w:t xml:space="preserve">old </w:t>
      </w:r>
      <w:r w:rsidR="002A12FF">
        <w:t>boy</w:t>
      </w:r>
      <w:r w:rsidRPr="00C252B0">
        <w:t xml:space="preserve"> in the Fluarix group died after a road traffic accident. There were no deaths reported in </w:t>
      </w:r>
      <w:r w:rsidR="000E0F86">
        <w:t>Study D-QIV</w:t>
      </w:r>
      <w:r w:rsidR="003F4408">
        <w:t>-</w:t>
      </w:r>
      <w:r w:rsidRPr="00C252B0">
        <w:t>002.</w:t>
      </w:r>
    </w:p>
    <w:p w:rsidR="00C252B0" w:rsidRPr="00C252B0" w:rsidRDefault="00C252B0" w:rsidP="00347F37">
      <w:pPr>
        <w:pStyle w:val="Heading4"/>
      </w:pPr>
      <w:r w:rsidRPr="00C252B0">
        <w:lastRenderedPageBreak/>
        <w:t>Treatment discontinuations</w:t>
      </w:r>
    </w:p>
    <w:p w:rsidR="00C252B0" w:rsidRPr="00C252B0" w:rsidRDefault="00C252B0" w:rsidP="00C252B0">
      <w:r w:rsidRPr="00C252B0">
        <w:t xml:space="preserve">In the pivotal paediatric </w:t>
      </w:r>
      <w:r w:rsidR="000E0F86">
        <w:t>Study D-QIV</w:t>
      </w:r>
      <w:r w:rsidRPr="00C252B0">
        <w:t xml:space="preserve">-003, 3 discontinued the study because of </w:t>
      </w:r>
      <w:proofErr w:type="gramStart"/>
      <w:r w:rsidRPr="00C252B0">
        <w:t>an</w:t>
      </w:r>
      <w:proofErr w:type="gramEnd"/>
      <w:r w:rsidRPr="00C252B0">
        <w:t xml:space="preserve"> AEs, none of which were considered related to vaccination: One participant in the Fluarix group died; one in the D-QIV group had non-fatal bacterial gastroenteritis; one in the Fluarix group had non-serious viral pneumonia. There were no discontinuations because of AE in supportive </w:t>
      </w:r>
      <w:r w:rsidR="000E0F86">
        <w:t>Study D-QIV</w:t>
      </w:r>
      <w:r w:rsidRPr="00C252B0">
        <w:t>-002.</w:t>
      </w:r>
    </w:p>
    <w:p w:rsidR="00C252B0" w:rsidRPr="00C252B0" w:rsidRDefault="00C252B0" w:rsidP="00347F37">
      <w:pPr>
        <w:pStyle w:val="Heading4"/>
      </w:pPr>
      <w:r w:rsidRPr="00C252B0">
        <w:t>Potential immune mediated diseases</w:t>
      </w:r>
    </w:p>
    <w:p w:rsidR="00C252B0" w:rsidRPr="00C252B0" w:rsidRDefault="00C252B0" w:rsidP="00C252B0">
      <w:r w:rsidRPr="00C252B0">
        <w:t xml:space="preserve">In the pivotal paediatric </w:t>
      </w:r>
      <w:r w:rsidR="000E0F86">
        <w:t>Study D-QIV</w:t>
      </w:r>
      <w:r w:rsidRPr="00C252B0">
        <w:t xml:space="preserve">-003, one case of non-serious Bell’s palsy and one serious case of type 1 diabetes mellitus were reported but neither </w:t>
      </w:r>
      <w:proofErr w:type="gramStart"/>
      <w:r w:rsidRPr="00C252B0">
        <w:t>we</w:t>
      </w:r>
      <w:r w:rsidR="003F4408">
        <w:t>re</w:t>
      </w:r>
      <w:proofErr w:type="gramEnd"/>
      <w:r w:rsidR="003F4408">
        <w:t xml:space="preserve"> considered vaccine related.</w:t>
      </w:r>
    </w:p>
    <w:p w:rsidR="00C252B0" w:rsidRPr="00C252B0" w:rsidRDefault="00C252B0" w:rsidP="00347F37">
      <w:pPr>
        <w:pStyle w:val="Heading4"/>
      </w:pPr>
      <w:r w:rsidRPr="00C252B0">
        <w:t>Febrile convulsions</w:t>
      </w:r>
    </w:p>
    <w:p w:rsidR="003F4408" w:rsidRPr="00C252B0" w:rsidRDefault="00C252B0" w:rsidP="00C252B0">
      <w:r w:rsidRPr="00C252B0">
        <w:t xml:space="preserve">In </w:t>
      </w:r>
      <w:r w:rsidR="000E0F86">
        <w:t>Study D-QIV</w:t>
      </w:r>
      <w:r w:rsidRPr="00C252B0">
        <w:t xml:space="preserve">-003, two cases of febrile convulsions were reported for two individuals from the D-QIV-Y group aged 6 to 35 months. Both cases were reported as SAEs, neither was reported within the 2 days </w:t>
      </w:r>
      <w:r w:rsidR="00692B0F">
        <w:t>post vaccination</w:t>
      </w:r>
      <w:r w:rsidRPr="00C252B0">
        <w:t xml:space="preserve"> enhanced surveillance period and neither was considered related to vaccination: A 35</w:t>
      </w:r>
      <w:r w:rsidR="002A12FF">
        <w:t xml:space="preserve"> month </w:t>
      </w:r>
      <w:r w:rsidRPr="00C252B0">
        <w:t xml:space="preserve">old </w:t>
      </w:r>
      <w:r w:rsidR="002A12FF">
        <w:t>boy</w:t>
      </w:r>
      <w:r w:rsidRPr="00C252B0">
        <w:t xml:space="preserve"> experienced a febrile convulsion during a viral infection 16 days after </w:t>
      </w:r>
      <w:r w:rsidR="002A12FF">
        <w:t xml:space="preserve">the first dose of vaccine. A 14 </w:t>
      </w:r>
      <w:r w:rsidRPr="00C252B0">
        <w:t xml:space="preserve">month-old </w:t>
      </w:r>
      <w:r w:rsidR="002A12FF">
        <w:t xml:space="preserve">boy </w:t>
      </w:r>
      <w:r w:rsidRPr="00C252B0">
        <w:t xml:space="preserve">experienced a febrile convulsion along with viral otitis media 98 days after the second dose. In </w:t>
      </w:r>
      <w:r w:rsidR="000E0F86">
        <w:t>Study D-QIV</w:t>
      </w:r>
      <w:r w:rsidRPr="00C252B0">
        <w:t>-002, a 37 month old child the D-QIV group experienced febrile convulsions 11 days a</w:t>
      </w:r>
      <w:r w:rsidR="003F4408">
        <w:t>fter the first dose of vaccine.</w:t>
      </w:r>
    </w:p>
    <w:p w:rsidR="00C252B0" w:rsidRPr="00C252B0" w:rsidRDefault="00C252B0" w:rsidP="00347F37">
      <w:pPr>
        <w:pStyle w:val="Heading4"/>
      </w:pPr>
      <w:r w:rsidRPr="00C252B0">
        <w:t>Pregnancy</w:t>
      </w:r>
    </w:p>
    <w:p w:rsidR="00C252B0" w:rsidRPr="00C252B0" w:rsidRDefault="00C252B0" w:rsidP="00C252B0">
      <w:r w:rsidRPr="00C252B0">
        <w:t>One paediatric study patient reported a pregnancy and s</w:t>
      </w:r>
      <w:r w:rsidR="003F4408">
        <w:t>ubsequent elective termination.</w:t>
      </w:r>
    </w:p>
    <w:p w:rsidR="00C252B0" w:rsidRPr="00C252B0" w:rsidRDefault="00C252B0" w:rsidP="00347F37">
      <w:pPr>
        <w:pStyle w:val="Heading4"/>
      </w:pPr>
      <w:r w:rsidRPr="00C252B0">
        <w:t>Concomitant medication</w:t>
      </w:r>
    </w:p>
    <w:p w:rsidR="00C252B0" w:rsidRPr="003F4408" w:rsidRDefault="00C252B0" w:rsidP="00C252B0">
      <w:r w:rsidRPr="00C252B0">
        <w:t xml:space="preserve">In pivotal paediatric </w:t>
      </w:r>
      <w:r w:rsidR="000E0F86">
        <w:t>Study D-QIV</w:t>
      </w:r>
      <w:r w:rsidRPr="00C252B0">
        <w:t>-003, use</w:t>
      </w:r>
      <w:r w:rsidR="00D31681">
        <w:t xml:space="preserve"> of concomitant medication by 3 to </w:t>
      </w:r>
      <w:r w:rsidRPr="00C252B0">
        <w:t xml:space="preserve">17 years olds during the 28 day </w:t>
      </w:r>
      <w:r w:rsidR="00692B0F">
        <w:t>post vaccination</w:t>
      </w:r>
      <w:r w:rsidRPr="00C252B0">
        <w:t xml:space="preserve"> period was similar for D-QIV (32.3%), Fluarix (30.4%) and TIV-2 (33.8%). The use of antipyretic medication did not increase after the second dose. After Dose 1, prophylactic antipyretic medication was used by 2 (0.2%) in D-QIV group, 3 (0.3%) in Fluarix group, and 3 (0.3%) inTIV-2 group. After the second dose, 1 person in each of the Fluarix and TIV-2 groups took prophylactic medication.</w:t>
      </w:r>
    </w:p>
    <w:p w:rsidR="00C252B0" w:rsidRPr="00C252B0" w:rsidRDefault="00C252B0" w:rsidP="00C252B0">
      <w:r w:rsidRPr="00C252B0">
        <w:t xml:space="preserve">In supportive paediatric </w:t>
      </w:r>
      <w:r w:rsidR="000E0F86">
        <w:t>Study D-QIV</w:t>
      </w:r>
      <w:r w:rsidRPr="00C252B0">
        <w:t>-002, the incidence of concomitant medication taken during the 28</w:t>
      </w:r>
      <w:r w:rsidR="00D31681">
        <w:t xml:space="preserve"> </w:t>
      </w:r>
      <w:r w:rsidRPr="00C252B0">
        <w:t xml:space="preserve">day </w:t>
      </w:r>
      <w:r w:rsidR="00692B0F">
        <w:t>post vaccination</w:t>
      </w:r>
      <w:r w:rsidRPr="00C252B0">
        <w:t xml:space="preserve"> period was similar in the D-QIV (38.9%) and in the Fluarix (38.5%) group. Overall, 24.8% of participants in the D-QIV and 28.6% in the Fluarix group were taking antipyretic medication. The use of antipyretic medication was no higher after the second dose. One child from the Fluarix group took prophylactic antipyretic medication after Dose 1.</w:t>
      </w:r>
    </w:p>
    <w:p w:rsidR="00C252B0" w:rsidRPr="00C252B0" w:rsidRDefault="00C252B0" w:rsidP="00347F37">
      <w:pPr>
        <w:pStyle w:val="Heading4"/>
      </w:pPr>
      <w:r w:rsidRPr="00C252B0">
        <w:t>Intrinsic factor - gender</w:t>
      </w:r>
    </w:p>
    <w:p w:rsidR="00C252B0" w:rsidRDefault="00C252B0" w:rsidP="00C252B0">
      <w:r w:rsidRPr="00C252B0">
        <w:t xml:space="preserve">In paediatric </w:t>
      </w:r>
      <w:r w:rsidR="000E0F86">
        <w:t>Study D-QIV</w:t>
      </w:r>
      <w:r w:rsidRPr="00C252B0">
        <w:t>-003, there was a trend for slightly higher incidences of pain of any intensity in females compared to males across all study groups. No consistent gender differences were noted for local AEs redness and swelling. In children &lt; 6 years of age, no consistent gender difference in solicited general AEs was observed. For children &gt; 6 years of age there was a trend for higher incidences of headache in females than in males, in the 3 vaccine groups.</w:t>
      </w:r>
    </w:p>
    <w:p w:rsidR="00C22678" w:rsidRDefault="00622F60" w:rsidP="00C22678">
      <w:pPr>
        <w:pStyle w:val="Heading2"/>
      </w:pPr>
      <w:bookmarkStart w:id="167" w:name="_Toc383345672"/>
      <w:r>
        <w:t xml:space="preserve">First </w:t>
      </w:r>
      <w:r w:rsidR="003F4408">
        <w:t>r</w:t>
      </w:r>
      <w:r w:rsidR="00C22678">
        <w:t xml:space="preserve">ound </w:t>
      </w:r>
      <w:r w:rsidR="003F4408">
        <w:t>s</w:t>
      </w:r>
      <w:r>
        <w:t xml:space="preserve">ummary and </w:t>
      </w:r>
      <w:r w:rsidR="003F4408">
        <w:t>d</w:t>
      </w:r>
      <w:r>
        <w:t>iscussion</w:t>
      </w:r>
      <w:bookmarkEnd w:id="167"/>
    </w:p>
    <w:p w:rsidR="00C252B0" w:rsidRPr="00C252B0" w:rsidRDefault="00C252B0" w:rsidP="00C252B0">
      <w:r w:rsidRPr="00C252B0">
        <w:t xml:space="preserve">GlaxoSmithKline Australia Pty Ltd (GSK) has applied to register the new chemical entity, Fluarix Tetra, an inactivated split influenza vaccine suspension for injection, 0.5mL pre-filled syringe, which includes the two recommended </w:t>
      </w:r>
      <w:proofErr w:type="gramStart"/>
      <w:r w:rsidRPr="00C252B0">
        <w:t>A</w:t>
      </w:r>
      <w:proofErr w:type="gramEnd"/>
      <w:r w:rsidRPr="00C252B0">
        <w:t xml:space="preserve"> strains, the recommended B strain, and a second B strain of the complementary B lineage. The intended use is from 3 years of age, based on official recommendations and dosed as for the trivalent vaccine. In essence the rationale is that, while </w:t>
      </w:r>
      <w:r w:rsidRPr="00C252B0">
        <w:lastRenderedPageBreak/>
        <w:t>annual influenza vaccination is the most effective method of prevention of influenza to date, the current influenza vaccination schedule includes only one of the two influenza B phylogenetic lineages with resultant risk of mismatch with the dominant circulating B strain,</w:t>
      </w:r>
      <w:r w:rsidR="003F4408">
        <w:t xml:space="preserve"> potentially reducing efficacy.</w:t>
      </w:r>
    </w:p>
    <w:p w:rsidR="00C252B0" w:rsidRPr="00C252B0" w:rsidRDefault="00C252B0" w:rsidP="00C252B0">
      <w:r w:rsidRPr="00C252B0">
        <w:t>In support of the application, one pivotal adult and one pivotal paediatric study were submitted, along with 2 supporting adult studies and o</w:t>
      </w:r>
      <w:r w:rsidR="003F4408">
        <w:t>ne supporting paediatric study.</w:t>
      </w:r>
    </w:p>
    <w:p w:rsidR="00C252B0" w:rsidRPr="00C252B0" w:rsidRDefault="00C252B0" w:rsidP="00C252B0">
      <w:r w:rsidRPr="00D31681">
        <w:rPr>
          <w:rStyle w:val="Heading4Char"/>
        </w:rPr>
        <w:t xml:space="preserve">Pivotal adult study FLU- D-QIV-008 </w:t>
      </w:r>
      <w:r w:rsidRPr="00C252B0">
        <w:t>was conducted in Germany, Romania, Spain, Korea, Taiwan and the US between Octobe</w:t>
      </w:r>
      <w:r w:rsidR="00D31681">
        <w:t>r 2010 and June 2011. It was a P</w:t>
      </w:r>
      <w:r w:rsidRPr="00C252B0">
        <w:t>hase III, partially-blind, controlled, parallel group study to evaluate immunogenicity, safety and reactogenicity of D-QIV vaccine in adults 18 years of age and over, who were either healthy or had c</w:t>
      </w:r>
      <w:r w:rsidR="003F4408">
        <w:t>hronic well-controlled disease.</w:t>
      </w:r>
    </w:p>
    <w:p w:rsidR="00C252B0" w:rsidRPr="00C252B0" w:rsidRDefault="00C252B0" w:rsidP="00C252B0">
      <w:r w:rsidRPr="00C252B0">
        <w:t>Participants were randomised into 5 groups, 5:5:5:5:3. Three groups of 1012 were vaccinated with three different lots of the candidate D-QIV vaccine; 1010 participants were vaccinated with Fluarix including the B/Victoria and 610 with TIV-2 vaccine which was identical to Fluarix except for inclusion of the B/Yamagata. Demographics were evenly spread. Participants ranged in age from 18 to 92 years. Over two thirds were White-Caucasian and approximately a quarter was East Asian. Wi</w:t>
      </w:r>
      <w:r w:rsidR="003F4408">
        <w:t>thdrawal rate was less than 2%.</w:t>
      </w:r>
    </w:p>
    <w:p w:rsidR="00C252B0" w:rsidRPr="00C252B0" w:rsidRDefault="00C252B0" w:rsidP="00C252B0">
      <w:r w:rsidRPr="00C252B0">
        <w:t>Co-primary objectives were to assess</w:t>
      </w:r>
      <w:r w:rsidR="00D31681">
        <w:t>:</w:t>
      </w:r>
    </w:p>
    <w:p w:rsidR="00C252B0" w:rsidRPr="00C252B0" w:rsidRDefault="00C252B0" w:rsidP="00D31681">
      <w:pPr>
        <w:pStyle w:val="Numberbullet0"/>
      </w:pPr>
      <w:r w:rsidRPr="00C252B0">
        <w:t xml:space="preserve">Lot-to lot consistency of HI antibody GMTs of three lots of the </w:t>
      </w:r>
      <w:proofErr w:type="spellStart"/>
      <w:r w:rsidRPr="00C252B0">
        <w:t>quadri</w:t>
      </w:r>
      <w:r w:rsidR="003F4408">
        <w:t>valent</w:t>
      </w:r>
      <w:proofErr w:type="spellEnd"/>
      <w:r w:rsidR="003F4408">
        <w:t xml:space="preserve"> influenza vaccine D-QIV.</w:t>
      </w:r>
    </w:p>
    <w:p w:rsidR="00C252B0" w:rsidRPr="00C252B0" w:rsidRDefault="00C252B0" w:rsidP="00D31681">
      <w:pPr>
        <w:pStyle w:val="Numberbullet0"/>
      </w:pPr>
      <w:r w:rsidRPr="00C252B0">
        <w:t>Non-inferiority in terms of HI antibody GMTs and seroconversion rates of D-QIV compared to trivalent influenza vaccine TIV-1 (Brisbane) and TIV-2 (Yamagata) vaccine for the three strains that were included in each</w:t>
      </w:r>
      <w:r w:rsidR="003F4408">
        <w:t xml:space="preserve"> of the two trivalent vaccines.</w:t>
      </w:r>
    </w:p>
    <w:p w:rsidR="00C252B0" w:rsidRPr="00C252B0" w:rsidRDefault="00C252B0" w:rsidP="00D31681">
      <w:pPr>
        <w:pStyle w:val="Numberbullet0"/>
      </w:pPr>
      <w:r w:rsidRPr="00C252B0">
        <w:t>Superiority in terms of GMTs and SCRs of the D-QIV vaccine compared to the two trivalent vaccines for the B strain that wa</w:t>
      </w:r>
      <w:r w:rsidR="003F4408">
        <w:t>s not included in each vaccine.</w:t>
      </w:r>
    </w:p>
    <w:p w:rsidR="00C252B0" w:rsidRPr="00C252B0" w:rsidRDefault="00C252B0" w:rsidP="00C252B0">
      <w:r w:rsidRPr="00C252B0">
        <w:t>Lot-to-lot constancy was shown for Lots 1 and 2. Non-inferiority criteria for HI antibody GMTs and seroconversion rates were met for all vaccine strains shared with the trivalent vaccines. Criteria for superiority of D-QIV to TIVs for the B-strains not included in t</w:t>
      </w:r>
      <w:r w:rsidR="003F4408">
        <w:t>he trivalent vaccines were met.</w:t>
      </w:r>
    </w:p>
    <w:p w:rsidR="00C252B0" w:rsidRPr="00C252B0" w:rsidRDefault="00C252B0" w:rsidP="00C252B0">
      <w:r w:rsidRPr="00C252B0">
        <w:t>Secondary objectives were to describe the immunogenicity in terms of GMTs and seroprotection rate at Days 0 and 21, seroconversion rate and mean geometric increase at Day 21 and to assess reactogenicity and safety.</w:t>
      </w:r>
    </w:p>
    <w:p w:rsidR="00C252B0" w:rsidRPr="00257136" w:rsidRDefault="00C252B0" w:rsidP="00C252B0">
      <w:r w:rsidRPr="00C252B0">
        <w:t xml:space="preserve">Baseline seropositivity rates were similar across vaccination groups. The lowest seropositivity rate was for the H1N1 component of the vaccine (53.7% to 58.2%). For H3N2, the rates were </w:t>
      </w:r>
      <w:r w:rsidR="00D31681">
        <w:t>approximately</w:t>
      </w:r>
      <w:r w:rsidRPr="00C252B0">
        <w:t xml:space="preserve"> 80%, for B virus Victoria lineage rates were </w:t>
      </w:r>
      <w:r w:rsidR="00D31681">
        <w:t>approximately</w:t>
      </w:r>
      <w:r w:rsidR="00D31681" w:rsidRPr="00C252B0">
        <w:t xml:space="preserve"> </w:t>
      </w:r>
      <w:r w:rsidRPr="00C252B0">
        <w:t xml:space="preserve">85% and for the Yamagata lineage </w:t>
      </w:r>
      <w:r w:rsidR="00D31681">
        <w:t>approximately</w:t>
      </w:r>
      <w:r w:rsidR="00D31681" w:rsidRPr="00C252B0">
        <w:t xml:space="preserve"> </w:t>
      </w:r>
      <w:r w:rsidRPr="00C252B0">
        <w:t>86%. For each strain and each vaccine, seroconversion rates, seroprotection rates and fold increase</w:t>
      </w:r>
      <w:r w:rsidRPr="00257136">
        <w:t>s met the CPMP/BWP/214/96 Harmonisation of Requirements for Influenza Vaccines</w:t>
      </w:r>
      <w:r w:rsidR="00643F59">
        <w:fldChar w:fldCharType="begin"/>
      </w:r>
      <w:r w:rsidR="00643F59">
        <w:instrText xml:space="preserve"> NOTEREF _Ref372797230 \h  \* MERGEFORMAT </w:instrText>
      </w:r>
      <w:r w:rsidR="00643F59">
        <w:fldChar w:fldCharType="separate"/>
      </w:r>
      <w:r w:rsidR="006421C6">
        <w:t>9</w:t>
      </w:r>
      <w:r w:rsidR="00643F59">
        <w:fldChar w:fldCharType="end"/>
      </w:r>
      <w:r w:rsidRPr="00257136">
        <w:t xml:space="preserve"> guidelines fo</w:t>
      </w:r>
      <w:r w:rsidR="003F4408">
        <w:t>r adults 18 to 60 years of age.</w:t>
      </w:r>
    </w:p>
    <w:p w:rsidR="00C252B0" w:rsidRPr="00C252B0" w:rsidRDefault="00C252B0" w:rsidP="00C252B0">
      <w:r w:rsidRPr="00257136">
        <w:rPr>
          <w:rStyle w:val="Heading6Char"/>
          <w:rFonts w:eastAsia="Cambria"/>
        </w:rPr>
        <w:t>Evaluator comment:</w:t>
      </w:r>
      <w:r w:rsidRPr="00257136">
        <w:t xml:space="preserve"> This study was well designed</w:t>
      </w:r>
      <w:r w:rsidRPr="00C252B0">
        <w:t xml:space="preserve"> and reported and the immunogenicity results generally support the opinion that the quadrivalent vaccine is sufficiently immunogenic to recommend registration for use in adults from 18 years of age. The 2 issues requiring clarification</w:t>
      </w:r>
      <w:r w:rsidR="00257136">
        <w:t xml:space="preserve"> (see List of Questions) </w:t>
      </w:r>
      <w:r w:rsidRPr="00C252B0">
        <w:t xml:space="preserve">considered satisfactorily addressed in the </w:t>
      </w:r>
      <w:r w:rsidR="00F873CF">
        <w:t>sponsor’s response to TGA’s consolidated request for information</w:t>
      </w:r>
      <w:r w:rsidR="003F4408">
        <w:t>.</w:t>
      </w:r>
    </w:p>
    <w:p w:rsidR="00C252B0" w:rsidRPr="00C252B0" w:rsidRDefault="00C252B0" w:rsidP="00C252B0">
      <w:r w:rsidRPr="00D31681">
        <w:rPr>
          <w:rStyle w:val="Heading4Char"/>
        </w:rPr>
        <w:t xml:space="preserve">Supportive adult study FLU-D-QIV-001 </w:t>
      </w:r>
      <w:r w:rsidRPr="00C252B0">
        <w:t>conducted in one centre in the Czech Republic between Jul</w:t>
      </w:r>
      <w:r w:rsidR="00D31681">
        <w:t xml:space="preserve">y 2008 and January </w:t>
      </w:r>
      <w:proofErr w:type="gramStart"/>
      <w:r w:rsidR="00D31681">
        <w:t>2009,</w:t>
      </w:r>
      <w:proofErr w:type="gramEnd"/>
      <w:r w:rsidR="00D31681">
        <w:t xml:space="preserve"> was a P</w:t>
      </w:r>
      <w:r w:rsidRPr="00C252B0">
        <w:t>hase I/II dose finding single blind, controlled study in adults years to evaluate the immunogenicity, safety and reactogenicity of the quadrivalent influenza candidate vaccine.</w:t>
      </w:r>
    </w:p>
    <w:p w:rsidR="00C252B0" w:rsidRPr="00C252B0" w:rsidRDefault="00C252B0" w:rsidP="00C252B0">
      <w:r w:rsidRPr="00C252B0">
        <w:lastRenderedPageBreak/>
        <w:t>Participants aged 19 to 59 years were randomised 1:1:1:1 to four groups of 105 participants. The groups were vaccinated with D-QIV or Fluarix or with a low dose adjuvanted quadrivalent or trivalent vaccine. The quadrivalent vaccine included B/Malaysia/2506/2004 and B/Jiangsu/10/2003. The seasonal vaccine included the B/Malaysia strain. Participants were almost exclusively White-Caucasian. Only one participant withdrew from the study and two were excluded from the ATP analyses.</w:t>
      </w:r>
    </w:p>
    <w:p w:rsidR="00C252B0" w:rsidRPr="00C252B0" w:rsidRDefault="00C252B0" w:rsidP="00C252B0">
      <w:r w:rsidRPr="00C252B0">
        <w:t>Co-primary objectives relevant to the appraisal of D-QIV were assessment of non-inferiority of HI GMTs of D-QIV</w:t>
      </w:r>
      <w:r w:rsidR="00C64FF5">
        <w:t xml:space="preserve"> versus </w:t>
      </w:r>
      <w:r w:rsidRPr="00C252B0">
        <w:t>Fluarix for the three seasonal strains, and superiority of HI GMT of D-QIV</w:t>
      </w:r>
      <w:r w:rsidR="00C64FF5">
        <w:t xml:space="preserve"> versus </w:t>
      </w:r>
      <w:r w:rsidRPr="00C252B0">
        <w:t xml:space="preserve">Fluarix for the B/Jiangsu/10/2003 strain not included in Fluarix. Criteria for non-inferiority were met for the three strains included in the seasonal trivalent vaccine. Superiority in protocol defined terms was shown for </w:t>
      </w:r>
      <w:r w:rsidR="006D189C">
        <w:t xml:space="preserve">strain not included in </w:t>
      </w:r>
      <w:proofErr w:type="spellStart"/>
      <w:r w:rsidR="006D189C">
        <w:t>Fluarix</w:t>
      </w:r>
      <w:proofErr w:type="spellEnd"/>
      <w:r w:rsidR="006D189C">
        <w:t>.</w:t>
      </w:r>
    </w:p>
    <w:p w:rsidR="00C252B0" w:rsidRPr="00C252B0" w:rsidRDefault="00C252B0" w:rsidP="00C252B0">
      <w:r w:rsidRPr="00C252B0">
        <w:t xml:space="preserve">Secondary objectives included assessment of humeral immune responses. Baseline seropositivity rates were similar for all vaccine groups and were relatively high: </w:t>
      </w:r>
      <w:r w:rsidR="00D31681">
        <w:t>approximately</w:t>
      </w:r>
      <w:r w:rsidR="00D31681" w:rsidRPr="00C252B0">
        <w:t xml:space="preserve"> </w:t>
      </w:r>
      <w:r w:rsidRPr="00C252B0">
        <w:t xml:space="preserve">60% for A/Solomon/H1N1, </w:t>
      </w:r>
      <w:r w:rsidR="00D31681">
        <w:t>approximately</w:t>
      </w:r>
      <w:r w:rsidR="00D31681" w:rsidRPr="00C252B0">
        <w:t xml:space="preserve"> </w:t>
      </w:r>
      <w:r w:rsidRPr="00C252B0">
        <w:t xml:space="preserve">80% for A/Wisconsin/H3N2, between 75% 82% for D-QIV and TIV respectively for B/Malaysia and </w:t>
      </w:r>
      <w:r w:rsidR="00D31681">
        <w:t>approximately</w:t>
      </w:r>
      <w:r w:rsidR="00D31681" w:rsidRPr="00C252B0">
        <w:t xml:space="preserve"> </w:t>
      </w:r>
      <w:r w:rsidRPr="00C252B0">
        <w:t>70% for B/Jiangsu. For D-QIV, seroconversion rates, seroprotection rates and fold increases met CPMP guidelines for adults 18 to 60 years. The guidelines were met for Fluarix f</w:t>
      </w:r>
      <w:r w:rsidR="006D189C">
        <w:t>or the three antigens included.</w:t>
      </w:r>
    </w:p>
    <w:p w:rsidR="00C252B0" w:rsidRPr="00C252B0" w:rsidRDefault="00C252B0" w:rsidP="00C252B0">
      <w:r w:rsidRPr="00D31681">
        <w:rPr>
          <w:rStyle w:val="Heading6Char"/>
          <w:rFonts w:eastAsia="Cambria"/>
        </w:rPr>
        <w:t xml:space="preserve">Evaluator comment: </w:t>
      </w:r>
      <w:r w:rsidRPr="00C252B0">
        <w:t>The study was well conducted and reported. The results support the opinion that the quadrivalent vaccine is sufficiently immunogenic to recommend registration for the age group included in the study. The GMT result</w:t>
      </w:r>
      <w:r w:rsidR="006D189C">
        <w:t>s did not suggest interference.</w:t>
      </w:r>
    </w:p>
    <w:p w:rsidR="00C252B0" w:rsidRPr="00C252B0" w:rsidRDefault="00C252B0" w:rsidP="00D31681">
      <w:pPr>
        <w:pStyle w:val="Heading3"/>
      </w:pPr>
      <w:bookmarkStart w:id="168" w:name="_Toc383345673"/>
      <w:r w:rsidRPr="00C252B0">
        <w:t>Adult efficacy</w:t>
      </w:r>
      <w:bookmarkEnd w:id="168"/>
    </w:p>
    <w:p w:rsidR="00C252B0" w:rsidRPr="00C252B0" w:rsidRDefault="00C252B0" w:rsidP="00C252B0">
      <w:r w:rsidRPr="00D31681">
        <w:rPr>
          <w:rStyle w:val="Heading4Char"/>
        </w:rPr>
        <w:t>Supportive adult efficacy study Fluarix-US-006</w:t>
      </w:r>
      <w:r w:rsidRPr="00C252B0">
        <w:rPr>
          <w:b/>
          <w:i/>
        </w:rPr>
        <w:t xml:space="preserve"> </w:t>
      </w:r>
      <w:r w:rsidRPr="00C252B0">
        <w:t xml:space="preserve">was conducted during the influenza season 2006/2007 at one centre in the Czech Republic and fourteen centres in Finland. It was a </w:t>
      </w:r>
      <w:r w:rsidR="00D31681">
        <w:t>P</w:t>
      </w:r>
      <w:r w:rsidRPr="00C252B0">
        <w:t>hase IV, placebo controlled double-blind trial including healthy adults aged 18-64 years. A total of 7652 participants were randomised 1:1:1 to receive Fluarix lot 1, Fluarix lot 2 or placebo (normal saline). The study population was almost exclusively White Caucasian, 60% were female. The withdrawal rate was less than 3%</w:t>
      </w:r>
      <w:r w:rsidR="006D189C">
        <w:t>.</w:t>
      </w:r>
    </w:p>
    <w:p w:rsidR="00C252B0" w:rsidRPr="00C252B0" w:rsidRDefault="00C252B0" w:rsidP="00C252B0">
      <w:r w:rsidRPr="00C252B0">
        <w:t>The primary objective was to demonstrate efficacy of Fluarix in the prevention of culture confirmed influenza A and/or B cases for vaccine antigenically matched strains compared to the placebo group. The primary objective was met if the lower limit of the 95% confidence interval for the vaccine efficacy against culture-confirmed influenza A and/or B, for vaccine antigenically matched strains, was above 35%.</w:t>
      </w:r>
    </w:p>
    <w:p w:rsidR="00C252B0" w:rsidRPr="00C252B0" w:rsidRDefault="00C252B0" w:rsidP="00C252B0">
      <w:r w:rsidRPr="00C252B0">
        <w:t xml:space="preserve">Active surveillance for influenza like illness was conducted by the investigator approximately bi-weekly during the study period starting from 2 weeks after vaccination until the end of the influenza season. There was a 14 day follow-up period for each ILI episode. Influenza like illness was defined as at least one systemic symptom, fever (oral temp </w:t>
      </w:r>
      <w:r w:rsidR="00D31681">
        <w:t>≥</w:t>
      </w:r>
      <w:r w:rsidRPr="00C252B0">
        <w:t xml:space="preserve"> 37.8°C) and/or myalgia and at least one respiratory symptom.</w:t>
      </w:r>
    </w:p>
    <w:p w:rsidR="00C252B0" w:rsidRPr="00C252B0" w:rsidRDefault="00C252B0" w:rsidP="00C252B0">
      <w:r w:rsidRPr="00C252B0">
        <w:t>The first day of an ILI episode was defined as the first day with one systemic symptom and one respiratory symptom. The last day of an ILI episode was defined as the last day either with fever, myalgia, cough or sore throat. A new ILI episode was only to be taken into account after the complete resolution of the previous one. Between two ILI episodes, there had to be at least 7 days free of any symptoms.  A swab of both nares and a throat swab were collected at the onset of the ILI for influenza virus culture and identification, classification of influenza A and/or B virus isolates as “vaccine matching” or not, by serological typing and testing for influenza A and/or B by RT-PCR. A diagnosis of pneumonia was confirmed by chest x-ray.</w:t>
      </w:r>
    </w:p>
    <w:p w:rsidR="00C252B0" w:rsidRPr="00C252B0" w:rsidRDefault="00C252B0" w:rsidP="00C252B0">
      <w:r w:rsidRPr="00C252B0">
        <w:t>The study found that the lower attack rate in the Fluarix group resulted in vaccine efficacy estimate of 66.9%. The primary objective was met; the lower limit of the confidence interval for the vaccine efficacy (51.9%) was above 35%.</w:t>
      </w:r>
    </w:p>
    <w:p w:rsidR="00C252B0" w:rsidRPr="00C252B0" w:rsidRDefault="00C252B0" w:rsidP="00C252B0">
      <w:r w:rsidRPr="00D31681">
        <w:rPr>
          <w:rStyle w:val="Heading6Char"/>
          <w:rFonts w:eastAsia="Cambria"/>
        </w:rPr>
        <w:lastRenderedPageBreak/>
        <w:t>Evaluator comment:</w:t>
      </w:r>
      <w:r w:rsidRPr="00C252B0">
        <w:t xml:space="preserve"> Results of this study supports efficacy of vaccination with Fluarix. There were a number of participants who were not swabbed in the protocol defined 5 day interval, or who were not swabbed or had swabs lost. In addition, it is unclear how long after the onset of symptoms or influenza infection that swabs were likely to be remain positive. Questions relating to these comments were addressed by the applicant and the </w:t>
      </w:r>
      <w:r w:rsidR="00D31681">
        <w:t xml:space="preserve">sponsor’s </w:t>
      </w:r>
      <w:r w:rsidRPr="00C252B0">
        <w:t>responses were accepted.</w:t>
      </w:r>
      <w:bookmarkStart w:id="169" w:name="here"/>
      <w:bookmarkEnd w:id="169"/>
    </w:p>
    <w:p w:rsidR="00C252B0" w:rsidRPr="00C252B0" w:rsidRDefault="006D189C" w:rsidP="00D31681">
      <w:pPr>
        <w:pStyle w:val="Heading3"/>
      </w:pPr>
      <w:bookmarkStart w:id="170" w:name="_Toc383345674"/>
      <w:r>
        <w:t>Adult s</w:t>
      </w:r>
      <w:r w:rsidR="00C252B0" w:rsidRPr="00C252B0">
        <w:t>afety</w:t>
      </w:r>
      <w:bookmarkEnd w:id="170"/>
    </w:p>
    <w:p w:rsidR="00C252B0" w:rsidRPr="00C252B0" w:rsidRDefault="00C252B0" w:rsidP="00C252B0">
      <w:r w:rsidRPr="00C252B0">
        <w:t xml:space="preserve">A total of 3,036 adults were exposed to at least one dose of D-QIV vaccine in </w:t>
      </w:r>
      <w:r w:rsidR="000E0F86">
        <w:t>Study D-QIV</w:t>
      </w:r>
      <w:r w:rsidRPr="00C252B0">
        <w:t xml:space="preserve">-008 and 105 adults in </w:t>
      </w:r>
      <w:r w:rsidR="000E0F86">
        <w:t>Study D-QIV</w:t>
      </w:r>
      <w:r w:rsidRPr="00C252B0">
        <w:t xml:space="preserve">-001. No new or unexpected safety signal was detected. In general, in the pivotal study, safety in the D-QIV vaccinated groups mirrored that </w:t>
      </w:r>
      <w:r w:rsidR="006D189C">
        <w:t>of the TIV vaccinated groups.</w:t>
      </w:r>
    </w:p>
    <w:p w:rsidR="00C252B0" w:rsidRPr="00C252B0" w:rsidRDefault="00C252B0" w:rsidP="00C252B0">
      <w:r w:rsidRPr="00C252B0">
        <w:t xml:space="preserve">The incidences of solicited AEs were generally similar following vaccination with D-QIV and Fluarix except for injection site pain in supportive </w:t>
      </w:r>
      <w:r w:rsidR="000E0F86">
        <w:t>Study D-QIV</w:t>
      </w:r>
      <w:r w:rsidRPr="00C252B0">
        <w:t xml:space="preserve">-001, where pain was more common in the D-QIV group (72.4%) than in the Fluarix group (49.5%). In </w:t>
      </w:r>
      <w:r w:rsidR="000E0F86">
        <w:t>Study D-QIV</w:t>
      </w:r>
      <w:r w:rsidRPr="00C252B0">
        <w:t xml:space="preserve">-008, pain at the injection site was reported by a similar percentage of individuals in the D-QIV group (36.4%) and the TIV-1 and TIV-2 groups (36.8% and 31.3% respectively). In </w:t>
      </w:r>
      <w:r w:rsidR="000E0F86">
        <w:t>Study D-QIV</w:t>
      </w:r>
      <w:r w:rsidRPr="00C252B0">
        <w:t xml:space="preserve">-008, </w:t>
      </w:r>
      <w:r w:rsidR="00D31681">
        <w:t>G</w:t>
      </w:r>
      <w:r w:rsidRPr="00C252B0">
        <w:t xml:space="preserve">rade 3 pain was reported in 0.5%-1.2% of individuals across the 3 vaccine groups. Redness and swelling were reported by 1.3% to 2.1% of individuals. The applicant considers that the smaller number of participants in D-QIV-001 may have biased the results for pain. The evaluator notes that </w:t>
      </w:r>
      <w:r w:rsidR="000E0F86">
        <w:t>Study D-QIV</w:t>
      </w:r>
      <w:r w:rsidR="006D189C">
        <w:t>-001 was not double blind.</w:t>
      </w:r>
    </w:p>
    <w:p w:rsidR="00C252B0" w:rsidRPr="00C252B0" w:rsidRDefault="00C252B0" w:rsidP="00C252B0">
      <w:r w:rsidRPr="00C252B0">
        <w:t xml:space="preserve">In both adult studies, fatigue, myalgia and headache were the most common solicited general symptoms. Incidences of fatigue and headache were higher in supportive </w:t>
      </w:r>
      <w:r w:rsidR="000E0F86">
        <w:t>Study D-QIV</w:t>
      </w:r>
      <w:r w:rsidRPr="00C252B0">
        <w:t xml:space="preserve">-001 than in the large pivotal </w:t>
      </w:r>
      <w:r w:rsidR="000E0F86">
        <w:t>Study D-QIV</w:t>
      </w:r>
      <w:r w:rsidRPr="00C252B0">
        <w:t xml:space="preserve">-008, particularly so for fatigue. Examining each study separately, the incidences of events were similar for included vaccine groups. For D-QIV-008 results were; myalgia: D QIV 16.4%, TIV-1 19.4% and TIV-2 16.1%; fatigue: D-QIV15.8%, TIV-1 18.4% and TIV-2 14.8% and headache: D-QIV 15.9%, TIV-1 16.4% and TIV-2 13.2%. For D-QIV-001 results were: myalgia: D-QIV 16.2% TIV 14.3%, fatigue: D-QIV 31.4%, TIV 32.4% and headache: 23.8%, TIV 24.8%. Grade 3 solicited general events were reported by a maximum of 2.9% of participants, the maximum being for headache in the D-QIV group in supportive </w:t>
      </w:r>
      <w:r w:rsidR="000E0F86">
        <w:t>Study D-QIV</w:t>
      </w:r>
      <w:r w:rsidRPr="00C252B0">
        <w:t>-001.</w:t>
      </w:r>
    </w:p>
    <w:p w:rsidR="00C252B0" w:rsidRPr="00C252B0" w:rsidRDefault="00C252B0" w:rsidP="00C252B0">
      <w:r w:rsidRPr="00C252B0">
        <w:t xml:space="preserve">Lower reactogenicity was seen in participants aged </w:t>
      </w:r>
      <w:r w:rsidR="00D31681">
        <w:t>≥</w:t>
      </w:r>
      <w:r w:rsidRPr="00C252B0">
        <w:t xml:space="preserve"> 65 years in </w:t>
      </w:r>
      <w:r w:rsidR="000E0F86">
        <w:t>Study D-QIV</w:t>
      </w:r>
      <w:r w:rsidRPr="00C252B0">
        <w:t xml:space="preserve">-008 compared </w:t>
      </w:r>
      <w:r w:rsidR="006D189C">
        <w:t>with those aged 18 to 64 years.</w:t>
      </w:r>
    </w:p>
    <w:p w:rsidR="00C252B0" w:rsidRPr="00C252B0" w:rsidRDefault="00C252B0" w:rsidP="00C252B0">
      <w:r w:rsidRPr="00C252B0">
        <w:t xml:space="preserve">The most frequently reported unsolicited AEs were nasopharyngitis, cough and oropharyngeal pain in </w:t>
      </w:r>
      <w:r w:rsidR="000E0F86">
        <w:t>Study D-QIV</w:t>
      </w:r>
      <w:r w:rsidRPr="00C252B0">
        <w:t xml:space="preserve">-008 and pharyngitis and headache in </w:t>
      </w:r>
      <w:r w:rsidR="000E0F86">
        <w:t>Study D-QIV</w:t>
      </w:r>
      <w:r w:rsidRPr="00C252B0">
        <w:t>-</w:t>
      </w:r>
      <w:proofErr w:type="gramStart"/>
      <w:r w:rsidRPr="00C252B0">
        <w:t>001,</w:t>
      </w:r>
      <w:proofErr w:type="gramEnd"/>
      <w:r w:rsidRPr="00C252B0">
        <w:t xml:space="preserve"> all reported at incidences lower than 2.0% in each vaccine group. Few unsolicited AEs were considered vaccine-related, the most common being injection site haematoma and oropharyngeal pain in </w:t>
      </w:r>
      <w:r w:rsidR="000E0F86">
        <w:t>Study D-QIV</w:t>
      </w:r>
      <w:r w:rsidRPr="00C252B0">
        <w:t>-008, reported in 0.</w:t>
      </w:r>
      <w:r w:rsidR="00D31681">
        <w:t>2-0.5% of individuals. Severe (G</w:t>
      </w:r>
      <w:r w:rsidRPr="00C252B0">
        <w:t xml:space="preserve">rade 3) AEs after D-QIV vaccination were reported by 1.3% of individuals in </w:t>
      </w:r>
      <w:r w:rsidR="000E0F86">
        <w:t>Study D-QIV</w:t>
      </w:r>
      <w:r w:rsidRPr="00C252B0">
        <w:t>-008 and none in D-QIV-001.</w:t>
      </w:r>
    </w:p>
    <w:p w:rsidR="00C252B0" w:rsidRPr="00C252B0" w:rsidRDefault="00C252B0" w:rsidP="00C252B0">
      <w:r w:rsidRPr="00C252B0">
        <w:t>There were no deaths, serious adverse events discontinuations or potential immune mediated diseases considered related to study vaccine.</w:t>
      </w:r>
    </w:p>
    <w:p w:rsidR="00C252B0" w:rsidRPr="00C252B0" w:rsidRDefault="00C252B0" w:rsidP="00C252B0">
      <w:r w:rsidRPr="00D31681">
        <w:rPr>
          <w:rStyle w:val="Heading6Char"/>
          <w:rFonts w:eastAsia="Cambria"/>
        </w:rPr>
        <w:t>Evaluator comment:</w:t>
      </w:r>
      <w:r w:rsidRPr="00C252B0">
        <w:t xml:space="preserve"> The safety and reactogenicity of D-QIV was found to be similar to that of Fluarix and therefore there appears no safety reason not to recommend registration for adults from 18 years of age.</w:t>
      </w:r>
    </w:p>
    <w:p w:rsidR="00C252B0" w:rsidRPr="00C252B0" w:rsidRDefault="00C252B0" w:rsidP="00D31681">
      <w:pPr>
        <w:pStyle w:val="Heading3"/>
      </w:pPr>
      <w:bookmarkStart w:id="171" w:name="_Toc383345675"/>
      <w:r w:rsidRPr="00C252B0">
        <w:t xml:space="preserve">Paediatric </w:t>
      </w:r>
      <w:r w:rsidR="006D189C">
        <w:t>i</w:t>
      </w:r>
      <w:r w:rsidRPr="00C252B0">
        <w:t>mmunogenicity</w:t>
      </w:r>
      <w:bookmarkEnd w:id="171"/>
    </w:p>
    <w:p w:rsidR="00C252B0" w:rsidRPr="00C252B0" w:rsidRDefault="00C252B0" w:rsidP="00C252B0">
      <w:r w:rsidRPr="00D31681">
        <w:rPr>
          <w:rStyle w:val="Heading4Char"/>
        </w:rPr>
        <w:t>Pivotal paediatric study FLU-D-QIV-003</w:t>
      </w:r>
      <w:r w:rsidRPr="00C252B0">
        <w:t xml:space="preserve"> was conducted between October 2010 and June 2011 in the Czech Republic, France, Germany, Philippines and the USA. It was a </w:t>
      </w:r>
      <w:r w:rsidR="00D31681">
        <w:t>P</w:t>
      </w:r>
      <w:r w:rsidRPr="00C252B0">
        <w:t xml:space="preserve">hase III, randomised, controlled, multi-country, multi-centre study with four parallel groups. A total of </w:t>
      </w:r>
      <w:r w:rsidRPr="00C252B0">
        <w:lastRenderedPageBreak/>
        <w:t xml:space="preserve">2741 participants aged 3 to 17 years were randomised 1:1:1 to receive D-QIV, TIV-1 (Fluarix, with B/Victoria) or TIV-2 (with B/Yamagata). </w:t>
      </w:r>
      <w:r w:rsidR="006D189C">
        <w:t>\</w:t>
      </w:r>
    </w:p>
    <w:p w:rsidR="00C252B0" w:rsidRPr="00C252B0" w:rsidRDefault="00C252B0" w:rsidP="00C252B0">
      <w:r w:rsidRPr="00C252B0">
        <w:t xml:space="preserve">Primed participants were vaccinated with one intramuscular injection on Day 0. By protocol definition, primed participants had received at least one dose of an influenza A (H1N1) 2009 monovalent vaccine in the previous season or had laboratory confirmed H1N1 infection </w:t>
      </w:r>
      <w:r w:rsidRPr="00C252B0">
        <w:rPr>
          <w:i/>
        </w:rPr>
        <w:t>and</w:t>
      </w:r>
      <w:r w:rsidRPr="00C252B0">
        <w:t xml:space="preserve"> had received two doses of seasonal influenza immunization separated by at least one month during last season or had received at least one dose prior to last season. </w:t>
      </w:r>
      <w:r w:rsidR="006D189C">
        <w:t>\</w:t>
      </w:r>
    </w:p>
    <w:p w:rsidR="00C252B0" w:rsidRPr="00C252B0" w:rsidRDefault="00C252B0" w:rsidP="00C252B0">
      <w:r w:rsidRPr="00C252B0">
        <w:t xml:space="preserve">Two IM injections at Day 0 and Day 28 were given to unprimed participants. By protocol definition, these children had not received any influenza A (H1N1) 2009 monovalent </w:t>
      </w:r>
      <w:proofErr w:type="gramStart"/>
      <w:r w:rsidRPr="00C252B0">
        <w:t>vaccine</w:t>
      </w:r>
      <w:proofErr w:type="gramEnd"/>
      <w:r w:rsidRPr="00C252B0">
        <w:t xml:space="preserve"> in the last season or did not have laboratory confirmed H1N1 infection </w:t>
      </w:r>
      <w:r w:rsidRPr="00C252B0">
        <w:rPr>
          <w:i/>
        </w:rPr>
        <w:t>or</w:t>
      </w:r>
      <w:r w:rsidRPr="00C252B0">
        <w:t xml:space="preserve"> had not previously receive</w:t>
      </w:r>
      <w:r w:rsidR="00D31681">
        <w:t>d any seasonal influenza immunis</w:t>
      </w:r>
      <w:r w:rsidRPr="00C252B0">
        <w:t>ation in the past or received only one dose of influenza vaccine for the first time in the last influenza season.</w:t>
      </w:r>
    </w:p>
    <w:p w:rsidR="00C252B0" w:rsidRPr="00C252B0" w:rsidRDefault="00C252B0" w:rsidP="00C252B0">
      <w:r w:rsidRPr="00C252B0">
        <w:t xml:space="preserve">Demographics were similar across the three groups. The population included White Caucasians </w:t>
      </w:r>
      <w:r w:rsidR="00D31681">
        <w:t>approximately</w:t>
      </w:r>
      <w:r w:rsidR="00D31681" w:rsidRPr="00C252B0">
        <w:t xml:space="preserve"> </w:t>
      </w:r>
      <w:r w:rsidRPr="00C252B0">
        <w:t xml:space="preserve">56%, South East Asians </w:t>
      </w:r>
      <w:r w:rsidR="00D31681">
        <w:t>approximately</w:t>
      </w:r>
      <w:r w:rsidR="00D31681" w:rsidRPr="00C252B0">
        <w:t xml:space="preserve"> </w:t>
      </w:r>
      <w:r w:rsidRPr="00C252B0">
        <w:t xml:space="preserve">26% and African Americans </w:t>
      </w:r>
      <w:r w:rsidR="00D31681">
        <w:t>approximately</w:t>
      </w:r>
      <w:r w:rsidR="00D31681" w:rsidRPr="00C252B0">
        <w:t xml:space="preserve"> </w:t>
      </w:r>
      <w:r w:rsidRPr="00C252B0">
        <w:t>13%. Over 5% were eliminated from the ATP immunogenicity population; therefore, analyses were conducted on the ATP and the TVC populations.</w:t>
      </w:r>
    </w:p>
    <w:p w:rsidR="00C252B0" w:rsidRPr="00C252B0" w:rsidRDefault="00C252B0" w:rsidP="00C252B0">
      <w:r w:rsidRPr="00C252B0">
        <w:t xml:space="preserve">A fourth group, D-QIV-Y, aged 6 to 35 was also included in the study. Immunogenicity results for this group were not evaluated for this </w:t>
      </w:r>
      <w:r w:rsidR="00017DE3">
        <w:t>clinical evaluation report (</w:t>
      </w:r>
      <w:r w:rsidRPr="00C252B0">
        <w:t>CER</w:t>
      </w:r>
      <w:r w:rsidR="00017DE3">
        <w:t>)</w:t>
      </w:r>
      <w:r w:rsidRPr="00C252B0">
        <w:t>; however the</w:t>
      </w:r>
      <w:r w:rsidR="006D189C">
        <w:t xml:space="preserve"> group was examined for safety.</w:t>
      </w:r>
    </w:p>
    <w:p w:rsidR="00C252B0" w:rsidRPr="00C252B0" w:rsidRDefault="00C252B0" w:rsidP="00C252B0">
      <w:r w:rsidRPr="00C252B0">
        <w:t xml:space="preserve"> The following objectives were based on results from participants 3 </w:t>
      </w:r>
      <w:r w:rsidR="00017DE3">
        <w:t>to</w:t>
      </w:r>
      <w:r w:rsidRPr="00C252B0">
        <w:t xml:space="preserve"> 17 years of age. The primary objective was to evaluate immunological non-inferiority of D-QIV versus TIV-1 containing B/Victoria lineage and TIV-2 containing B/Yamagata lineage, in terms of GMT and SCR 28 days after completion of the vaccination series (Day 28 for primed individuals, Day 56 for unprimed participants). Evaluation of immunological superiority in terms of GMTs and SCR, of D-QIV versus TIV-1 and TIV-2 for the B strain not contained in each TIV formulation was a secondary objective. Other secondary objectives were to describe the immunogenicity in terms of GMTs, seroprotection rate, seroconversion rate and mean geometric increase and to ass</w:t>
      </w:r>
      <w:r w:rsidR="006D189C">
        <w:t xml:space="preserve">ess </w:t>
      </w:r>
      <w:proofErr w:type="spellStart"/>
      <w:r w:rsidR="006D189C">
        <w:t>reactogenicity</w:t>
      </w:r>
      <w:proofErr w:type="spellEnd"/>
      <w:r w:rsidR="006D189C">
        <w:t>, and safety.</w:t>
      </w:r>
    </w:p>
    <w:p w:rsidR="00C252B0" w:rsidRPr="00C252B0" w:rsidRDefault="00C252B0" w:rsidP="00C252B0">
      <w:r w:rsidRPr="00C252B0">
        <w:t>The primary objectives were met. Non-inferiority of D-QIV versus Fluarix and TIV-2 and D-QIV versus TIV-2 for the common antigens was demonstrated. Superiority of D-QIV versus the two TIV vaccines was demonstrated for the B strain no</w:t>
      </w:r>
      <w:r w:rsidR="006D189C">
        <w:t>t included in the TIV vaccines.</w:t>
      </w:r>
    </w:p>
    <w:p w:rsidR="00C252B0" w:rsidRPr="00C252B0" w:rsidRDefault="00C252B0" w:rsidP="00C252B0">
      <w:r w:rsidRPr="00C252B0">
        <w:t xml:space="preserve">Baseline seropositivity rates were between 63.5% and 68.9% for A (H1N1), between 76.1% and 79.4% for A (H3N2), approximately 75% for B (Victoria) and 92% for B (Yamagata). GMTs rose </w:t>
      </w:r>
      <w:r w:rsidR="00692B0F">
        <w:t>post vaccination</w:t>
      </w:r>
      <w:r w:rsidRPr="00C252B0">
        <w:t xml:space="preserve"> for all antigens but more so for anti</w:t>
      </w:r>
      <w:r w:rsidR="006D189C">
        <w:t>gens contained in the vaccines.</w:t>
      </w:r>
    </w:p>
    <w:p w:rsidR="00C252B0" w:rsidRPr="00C252B0" w:rsidRDefault="00C252B0" w:rsidP="00C252B0">
      <w:r w:rsidRPr="00C252B0">
        <w:t>Seroprotection rates post vaccination were high and met the CPMP criteria for adults 18 to 60 years for all antigens included in the vaccines and for B/Brisbane not contained in the TIV-2 vaccine. Seroprotection rate for the B/Yamagata strain not contained in TIV-2 met the criterion for adults over 60 years of age. Mean fold changes met the CPMP criterion for adults 18 to 60 years for all antigens, irrespective of inclusion in a particular vaccine; however, fold rises were considerably higher for anti</w:t>
      </w:r>
      <w:r w:rsidR="006D189C">
        <w:t>gens included in the vaccines.</w:t>
      </w:r>
    </w:p>
    <w:p w:rsidR="00C252B0" w:rsidRPr="00C252B0" w:rsidRDefault="00C252B0" w:rsidP="00C252B0">
      <w:r w:rsidRPr="00017DE3">
        <w:rPr>
          <w:rStyle w:val="Heading6Char"/>
          <w:rFonts w:eastAsia="Cambria"/>
        </w:rPr>
        <w:t>Evaluator comment</w:t>
      </w:r>
      <w:r w:rsidRPr="00C252B0">
        <w:t>: Results of this well conducted, well reported study support the opinion that immunogenicity is sufficient to recommend registration.</w:t>
      </w:r>
    </w:p>
    <w:p w:rsidR="00C252B0" w:rsidRPr="00C252B0" w:rsidRDefault="00C252B0" w:rsidP="00C252B0">
      <w:r w:rsidRPr="00017DE3">
        <w:rPr>
          <w:rStyle w:val="Heading4Char"/>
        </w:rPr>
        <w:t xml:space="preserve">Supportive paediatric study FLU-D-QIV-002 </w:t>
      </w:r>
      <w:r w:rsidRPr="00C252B0">
        <w:t xml:space="preserve">conducted between October 2009 and May 2010 in two centres in Mexico, was a </w:t>
      </w:r>
      <w:r w:rsidR="00017DE3">
        <w:t>P</w:t>
      </w:r>
      <w:r w:rsidRPr="00C252B0">
        <w:t xml:space="preserve">hase II, double-blind, multicentre, randomised study evaluating immunogenicity, reactogenicity and safety of D-QIV compared with the Fluarix, in children 18 </w:t>
      </w:r>
      <w:r w:rsidR="00017DE3">
        <w:t>to</w:t>
      </w:r>
      <w:r w:rsidR="006D189C">
        <w:t xml:space="preserve"> 47 months of age.</w:t>
      </w:r>
    </w:p>
    <w:p w:rsidR="00C252B0" w:rsidRPr="00C252B0" w:rsidRDefault="00C252B0" w:rsidP="00C252B0">
      <w:r w:rsidRPr="00C252B0">
        <w:t xml:space="preserve">In all, 599 children were randomised 1:2:1:2 into four groups with approximately 100 children in each of the D-QIV and TIV primed group and 200 in each of the D-QIV and TIV unprimed </w:t>
      </w:r>
      <w:r w:rsidRPr="00C252B0">
        <w:lastRenderedPageBreak/>
        <w:t xml:space="preserve">groups. By study definition, unprimed children had not been vaccinated with 2 doses of influenza vaccine in the previous season and received two doses of vaccine in the study. Primed children had previously received 2 doses of Fluarix 0.5 mL in </w:t>
      </w:r>
      <w:r w:rsidR="00017DE3">
        <w:t>the GSK Biologicals’ S</w:t>
      </w:r>
      <w:r w:rsidRPr="00C252B0">
        <w:t xml:space="preserve">tudy Fluarix-US-007 the preceding season and were vaccinated with one dose in </w:t>
      </w:r>
      <w:r w:rsidR="000E0F86">
        <w:t>Study D-QIV</w:t>
      </w:r>
      <w:r w:rsidRPr="00C252B0">
        <w:t>-002. The B virus lineage of the priming vaccine could not be determined and t</w:t>
      </w:r>
      <w:r w:rsidR="006D189C">
        <w:t>hus was inferred from results.</w:t>
      </w:r>
    </w:p>
    <w:p w:rsidR="00C252B0" w:rsidRPr="00C252B0" w:rsidRDefault="00C252B0" w:rsidP="00C252B0">
      <w:r w:rsidRPr="00C252B0">
        <w:t>The primary objective was to assess non-inferiority of D-QIV for the three recommended seasonal strains. Assessment of</w:t>
      </w:r>
      <w:r w:rsidRPr="00C252B0">
        <w:rPr>
          <w:b/>
          <w:bCs/>
          <w:i/>
          <w:iCs/>
        </w:rPr>
        <w:t xml:space="preserve"> </w:t>
      </w:r>
      <w:r w:rsidRPr="00C252B0">
        <w:t>superiority of D-QIV compared to TIV for the B strain not included in the trivalent vaccine was a secondary objective. The primary object was met for the three recommended seasonal strains according to the protocol. Superiority was demonstrated for the B strain not included in the TIV vaccine.</w:t>
      </w:r>
    </w:p>
    <w:p w:rsidR="00C252B0" w:rsidRPr="00C252B0" w:rsidRDefault="00C252B0" w:rsidP="00C252B0">
      <w:r w:rsidRPr="00C252B0">
        <w:t>Humeral immune response was assessed as a secondary objective. Baseline seropositivity results were higher for the primed participants than for the non-primed, even for the B strain not included in the priming vaccine; however, seropositivity result for the B strain not included in the priming vaccine for both primed and unprimed children was considerably l</w:t>
      </w:r>
      <w:r w:rsidR="006D189C">
        <w:t>ower than for other strains.</w:t>
      </w:r>
    </w:p>
    <w:p w:rsidR="00C252B0" w:rsidRPr="00C252B0" w:rsidRDefault="00C252B0" w:rsidP="00C252B0">
      <w:r w:rsidRPr="00C252B0">
        <w:t>Seroconversion rates for A/H1N1 met the CPMP criterion for adults 18 to 60 years except for primed participants in the D-QIV group which met the criterion for adults over 60 years of age. For A/H3N2 and B/Victoria, the criterion was met for all groups. For B/Yamagata, the result was better for D-QIV but still passed the CPMP criterion for participants in the TIV g</w:t>
      </w:r>
      <w:r w:rsidR="00017DE3">
        <w:t>r</w:t>
      </w:r>
      <w:r w:rsidRPr="00C252B0">
        <w:t>oup who were not vaccinated with the B/Yamagata strain. Fold increases met the CPMP criterion for adults 18 to 60 years for all antigens and were higher in the unprime</w:t>
      </w:r>
      <w:r w:rsidR="006D189C">
        <w:t>d than the primed participants.</w:t>
      </w:r>
    </w:p>
    <w:p w:rsidR="00C252B0" w:rsidRPr="00C252B0" w:rsidRDefault="00C252B0" w:rsidP="00C252B0">
      <w:r w:rsidRPr="00C252B0">
        <w:t>Seroprotection rates for B/Victoria met the CPMP criterion for adults 18 to 60 years for both unprimed groups but both primed groups failed to reach criteria both for adults 18 to 60 years and over 60 years of age. For the B/Yamagata strain, results met the CPMP criterion for adults 18 to 60 years for all but the TIV unprimed group which met the crit</w:t>
      </w:r>
      <w:r w:rsidR="006D189C">
        <w:t>erion for adults over 60 years.</w:t>
      </w:r>
    </w:p>
    <w:p w:rsidR="00C252B0" w:rsidRPr="00C252B0" w:rsidRDefault="00C252B0" w:rsidP="00C252B0">
      <w:r w:rsidRPr="004B5878">
        <w:rPr>
          <w:rStyle w:val="Heading6Char"/>
          <w:rFonts w:eastAsia="Cambria"/>
        </w:rPr>
        <w:t>Evaluator comment:</w:t>
      </w:r>
      <w:r w:rsidRPr="004B5878">
        <w:t xml:space="preserve"> There are questions to be answered before final conclusions are made; see </w:t>
      </w:r>
      <w:r w:rsidR="004B5878" w:rsidRPr="004B5878">
        <w:rPr>
          <w:i/>
        </w:rPr>
        <w:t>List of Questions</w:t>
      </w:r>
      <w:r w:rsidRPr="004B5878">
        <w:t>. The study design and reporting complicated interpretation of results. Although the child</w:t>
      </w:r>
      <w:r w:rsidRPr="00C252B0">
        <w:t>ren in this study were generally younger than those for whom the indication is proposed, there was a proportion between 36 and 47 months of age, relevant to this application. These children were not separately analysed. The results overall, suggest that a young child previously vaccinated with a trivalent vaccine, may benefit from two doses at first vaccination</w:t>
      </w:r>
      <w:r w:rsidR="006D189C">
        <w:t xml:space="preserve"> with the </w:t>
      </w:r>
      <w:proofErr w:type="spellStart"/>
      <w:r w:rsidR="006D189C">
        <w:t>quadrivalent</w:t>
      </w:r>
      <w:proofErr w:type="spellEnd"/>
      <w:r w:rsidR="006D189C">
        <w:t xml:space="preserve"> vaccine.</w:t>
      </w:r>
    </w:p>
    <w:p w:rsidR="00C252B0" w:rsidRPr="00C252B0" w:rsidRDefault="006D189C" w:rsidP="00017DE3">
      <w:pPr>
        <w:pStyle w:val="Heading3"/>
      </w:pPr>
      <w:bookmarkStart w:id="172" w:name="_Toc383345676"/>
      <w:r>
        <w:t>Paediatric s</w:t>
      </w:r>
      <w:r w:rsidR="00C252B0" w:rsidRPr="00C252B0">
        <w:t>afety</w:t>
      </w:r>
      <w:bookmarkEnd w:id="172"/>
    </w:p>
    <w:p w:rsidR="00C252B0" w:rsidRPr="00C252B0" w:rsidRDefault="00C252B0" w:rsidP="00C252B0">
      <w:r w:rsidRPr="00C252B0">
        <w:t xml:space="preserve">In total, 1192 children from 6 months to 17 years of age were exposed to at least one dose of D-QIV vaccine in the Phase III D-QIV-003 study; 915 of whom were in the 3 </w:t>
      </w:r>
      <w:r w:rsidR="00017DE3">
        <w:t>to</w:t>
      </w:r>
      <w:r w:rsidRPr="00C252B0">
        <w:t xml:space="preserve"> 17 years age group. Safety data were available for 534 children who received one dose and 956 children who received two doses of the D-QIV vaccine. An additional 298 children from the supportive </w:t>
      </w:r>
      <w:r w:rsidR="000E0F86">
        <w:t>Study D-QIV</w:t>
      </w:r>
      <w:r w:rsidRPr="00C252B0">
        <w:t xml:space="preserve">-002 </w:t>
      </w:r>
      <w:r w:rsidR="006D189C">
        <w:t>contributed safety information.</w:t>
      </w:r>
    </w:p>
    <w:p w:rsidR="00C252B0" w:rsidRPr="00C252B0" w:rsidRDefault="00C252B0" w:rsidP="00C252B0">
      <w:r w:rsidRPr="00C252B0">
        <w:t>The most common solicited local AE was injection site pain reported by approximately 40%</w:t>
      </w:r>
      <w:r w:rsidR="00017DE3">
        <w:t xml:space="preserve"> to </w:t>
      </w:r>
      <w:r w:rsidRPr="00C252B0">
        <w:t xml:space="preserve">50% of participants across all studies groups. Grade 3 pain was reported by 0.2% </w:t>
      </w:r>
      <w:r w:rsidR="00017DE3">
        <w:t>to</w:t>
      </w:r>
      <w:r w:rsidRPr="00C252B0">
        <w:t xml:space="preserve"> 2.3%. Redness and swelling were less common and were reported at similar rates across the vaccine groups in both studies. Pain tended to be reported by fewer participants aged 6 </w:t>
      </w:r>
      <w:r w:rsidR="00017DE3">
        <w:t>to</w:t>
      </w:r>
      <w:r w:rsidRPr="00C252B0">
        <w:t xml:space="preserve"> 35 months (30.5%) than in children aged 3</w:t>
      </w:r>
      <w:r w:rsidR="00017DE3">
        <w:t xml:space="preserve"> to </w:t>
      </w:r>
      <w:r w:rsidRPr="00C252B0">
        <w:t>17 years, possibly re</w:t>
      </w:r>
      <w:r w:rsidR="00017DE3">
        <w:t xml:space="preserve">lated to developmental language </w:t>
      </w:r>
      <w:r w:rsidRPr="00C252B0">
        <w:t xml:space="preserve">ability, while a trend to more reports of redness (28.4%) was </w:t>
      </w:r>
      <w:r w:rsidR="006D189C">
        <w:t>observed in the youngest group.</w:t>
      </w:r>
    </w:p>
    <w:p w:rsidR="00C252B0" w:rsidRPr="00C252B0" w:rsidRDefault="00C252B0" w:rsidP="00C252B0">
      <w:r w:rsidRPr="00C252B0">
        <w:lastRenderedPageBreak/>
        <w:t>In children aged 6</w:t>
      </w:r>
      <w:r w:rsidR="00017DE3">
        <w:t xml:space="preserve"> to </w:t>
      </w:r>
      <w:r w:rsidRPr="00C252B0">
        <w:t xml:space="preserve">17 years from </w:t>
      </w:r>
      <w:r w:rsidR="000E0F86">
        <w:t>Study D-QIV</w:t>
      </w:r>
      <w:r w:rsidRPr="00C252B0">
        <w:t>-003, the most frequently reported solicited general symptoms were fatigue, muscle aches and headache, all reported with frequencies ranging fro</w:t>
      </w:r>
      <w:r w:rsidR="006D189C">
        <w:t>m 16.9% to 21.2% across groups.</w:t>
      </w:r>
    </w:p>
    <w:p w:rsidR="00C252B0" w:rsidRPr="00C252B0" w:rsidRDefault="00C252B0" w:rsidP="00C252B0">
      <w:r w:rsidRPr="00C252B0">
        <w:t xml:space="preserve">The incidences of solicited general adverse events were similar across all study groups in pivotal </w:t>
      </w:r>
      <w:r w:rsidR="000E0F86">
        <w:t>Study D-QIV</w:t>
      </w:r>
      <w:r w:rsidRPr="00C252B0">
        <w:t>-003, regardless of severity and causal relationship. For children aged &lt; 6 years (3</w:t>
      </w:r>
      <w:r w:rsidR="00017DE3">
        <w:t xml:space="preserve"> to </w:t>
      </w:r>
      <w:r w:rsidRPr="00C252B0">
        <w:t>5 years in D-QIV-003, 18</w:t>
      </w:r>
      <w:r w:rsidR="00017DE3">
        <w:t xml:space="preserve"> to </w:t>
      </w:r>
      <w:r w:rsidRPr="00C252B0">
        <w:t xml:space="preserve">47 months in D-QIV-002), loss of appetite, irritability and drowsiness were reported for 20.3% to 30.7% of the D-QIV vaccinated children in both studies. Fever was recorded for 17.2% and 25.3% of D-QIV participants in </w:t>
      </w:r>
      <w:r w:rsidR="00017DE3">
        <w:t>S</w:t>
      </w:r>
      <w:r w:rsidRPr="00C252B0">
        <w:t>tudies D-QIV-003 and D-QIV-002, respectively.</w:t>
      </w:r>
    </w:p>
    <w:p w:rsidR="00C252B0" w:rsidRPr="00C252B0" w:rsidRDefault="00C252B0" w:rsidP="00C252B0">
      <w:r w:rsidRPr="00C252B0">
        <w:t xml:space="preserve">In general, the incidences of all local and general solicited symptoms were similar following vaccination with D-QIV and the trivalent comparators. The incidences of solicited general AEs, including fever, in children aged 6 </w:t>
      </w:r>
      <w:r w:rsidR="00017DE3">
        <w:t>to</w:t>
      </w:r>
      <w:r w:rsidRPr="00C252B0">
        <w:t xml:space="preserve"> 35 months who received D-QIV vaccine in </w:t>
      </w:r>
      <w:r w:rsidR="000E0F86">
        <w:t>Study D-QIV</w:t>
      </w:r>
      <w:r w:rsidRPr="00C252B0">
        <w:t xml:space="preserve">-003, were within the same range as in children aged 18 </w:t>
      </w:r>
      <w:r w:rsidR="00017DE3">
        <w:t>to</w:t>
      </w:r>
      <w:r w:rsidRPr="00C252B0">
        <w:t xml:space="preserve"> 47 months in </w:t>
      </w:r>
      <w:r w:rsidR="000E0F86">
        <w:t>Study D-QIV</w:t>
      </w:r>
      <w:r w:rsidRPr="00C252B0">
        <w:t xml:space="preserve">-002 but were generally higher than in children aged 3 </w:t>
      </w:r>
      <w:r w:rsidR="00017DE3">
        <w:t>to</w:t>
      </w:r>
      <w:r w:rsidRPr="00C252B0">
        <w:t xml:space="preserve"> 17 years in D-QIV-003. Grade 3 fever reports followed 3.9% of doses in 6.5% of individu</w:t>
      </w:r>
      <w:r w:rsidR="006D189C">
        <w:t>als in the youngest age ranges.</w:t>
      </w:r>
    </w:p>
    <w:p w:rsidR="00C252B0" w:rsidRPr="00C252B0" w:rsidRDefault="00C252B0" w:rsidP="00C252B0">
      <w:r w:rsidRPr="00C252B0">
        <w:t xml:space="preserve">In </w:t>
      </w:r>
      <w:r w:rsidR="000E0F86">
        <w:t>Study D-QIV</w:t>
      </w:r>
      <w:r w:rsidRPr="00C252B0">
        <w:t>-003 for children aged 3</w:t>
      </w:r>
      <w:r w:rsidR="00017DE3">
        <w:t xml:space="preserve"> to </w:t>
      </w:r>
      <w:r w:rsidRPr="00C252B0">
        <w:t xml:space="preserve">17 years, fever (defined as rectal temperature </w:t>
      </w:r>
      <w:r w:rsidR="00017DE3">
        <w:t>≥</w:t>
      </w:r>
      <w:r w:rsidRPr="00C252B0">
        <w:t xml:space="preserve"> 38°C, oral or axillary temperature </w:t>
      </w:r>
      <w:r w:rsidR="00017DE3">
        <w:t>≥</w:t>
      </w:r>
      <w:r w:rsidRPr="00C252B0">
        <w:t xml:space="preserve"> 37.5°C) was reported for 10.8% of individuals in the D-QIV group, compared to 12.3% in the Fluarix group and 9.4% in the TIV-2 group. The incidence of fever &gt;38°C was 4.6% in the D-QIV group, 4.9% in the Fluarix group and 3.5% in the TIV-2 group. Grade 3 fever defined as &gt; 39°C was reported in 1.8% of individuals in the D-QIV group, 1.1% in the Fluarix gro</w:t>
      </w:r>
      <w:r w:rsidR="006D189C">
        <w:t>up and 0.8% in the TIV-2 group.</w:t>
      </w:r>
    </w:p>
    <w:p w:rsidR="00C252B0" w:rsidRPr="00C252B0" w:rsidRDefault="00C252B0" w:rsidP="00C252B0">
      <w:r w:rsidRPr="00C252B0">
        <w:t xml:space="preserve">Febrile convulsions were considered events of specific interest in pivotal </w:t>
      </w:r>
      <w:r w:rsidR="000E0F86">
        <w:t>Study D-QIV</w:t>
      </w:r>
      <w:r w:rsidRPr="00C252B0">
        <w:t xml:space="preserve">-003. Two cases of febrile convulsion were reported, both from the D-QIV-Y group. Both cases were reported as SAEs, neither was reported within the 2 days </w:t>
      </w:r>
      <w:r w:rsidR="00692B0F">
        <w:t>post vaccination</w:t>
      </w:r>
      <w:r w:rsidRPr="00C252B0">
        <w:t xml:space="preserve"> enhanced surveillance period and neither was considered related to vaccination: In </w:t>
      </w:r>
      <w:r w:rsidR="000E0F86">
        <w:t>Study D-QIV</w:t>
      </w:r>
      <w:r w:rsidRPr="00C252B0">
        <w:t>-002, one case of febrile convulsion was reported in the D-QIV group and was not con</w:t>
      </w:r>
      <w:r w:rsidR="006D189C">
        <w:t>sidered related to vaccination.</w:t>
      </w:r>
    </w:p>
    <w:p w:rsidR="00C252B0" w:rsidRPr="00C252B0" w:rsidRDefault="00C252B0" w:rsidP="00C252B0">
      <w:r w:rsidRPr="00C252B0">
        <w:t>In those participants who received two doses, there was no evidence of an increased incidence of solicited AEs following administration of a second dose compared to the first dose. Grade 3 solicited events were reported following ≤ 1.6% of doses across vaccine groups from both studies.</w:t>
      </w:r>
    </w:p>
    <w:p w:rsidR="00C252B0" w:rsidRPr="00C252B0" w:rsidRDefault="00C252B0" w:rsidP="00C252B0">
      <w:r w:rsidRPr="00C252B0">
        <w:t>Few unsolicited AEs were considered vaccine-related (</w:t>
      </w:r>
      <w:r w:rsidR="00017DE3">
        <w:t>≤</w:t>
      </w:r>
      <w:r w:rsidRPr="00C252B0">
        <w:t xml:space="preserve"> 2.3% after D-QIV vaccination). </w:t>
      </w:r>
      <w:proofErr w:type="gramStart"/>
      <w:r w:rsidRPr="00C252B0">
        <w:t>Severe (</w:t>
      </w:r>
      <w:r w:rsidR="00017DE3">
        <w:t>G</w:t>
      </w:r>
      <w:r w:rsidRPr="00C252B0">
        <w:t>rade 3) unsolicited AEs were reported for D-QIV</w:t>
      </w:r>
      <w:r w:rsidR="00017DE3">
        <w:t>;</w:t>
      </w:r>
      <w:r w:rsidRPr="00C252B0">
        <w:t xml:space="preserve"> 2.2% (3</w:t>
      </w:r>
      <w:r w:rsidR="00017DE3">
        <w:t xml:space="preserve"> to </w:t>
      </w:r>
      <w:r w:rsidRPr="00C252B0">
        <w:t>17 years), 3.4% (18</w:t>
      </w:r>
      <w:r w:rsidR="00017DE3">
        <w:t xml:space="preserve"> to </w:t>
      </w:r>
      <w:r w:rsidRPr="00C252B0">
        <w:t>47 months) and 7.2% (6</w:t>
      </w:r>
      <w:r w:rsidR="00017DE3">
        <w:t xml:space="preserve"> to </w:t>
      </w:r>
      <w:r w:rsidRPr="00C252B0">
        <w:t>35 months).</w:t>
      </w:r>
      <w:proofErr w:type="gramEnd"/>
      <w:r w:rsidRPr="00C252B0">
        <w:t xml:space="preserve"> In both paediatric studies no differences between D-QIV and comparators were observed.</w:t>
      </w:r>
    </w:p>
    <w:p w:rsidR="00C252B0" w:rsidRPr="00C252B0" w:rsidRDefault="00017DE3" w:rsidP="00C252B0">
      <w:r>
        <w:t>N</w:t>
      </w:r>
      <w:r w:rsidR="00C252B0" w:rsidRPr="00C252B0">
        <w:t xml:space="preserve">o serious adverse event was considered vaccine related. In </w:t>
      </w:r>
      <w:r w:rsidR="000E0F86">
        <w:t>Study D-QIV</w:t>
      </w:r>
      <w:r w:rsidR="00C252B0" w:rsidRPr="00C252B0">
        <w:t>-003, 3 individuals discontinued the study because of an unrelated SAE or AE. One individual in the Fluarix group died due to a road traffic accident; one in the D-QIV group was withdrawn due to non-fatal bacterial gastroenteritis; one in the Fluarix group was withdrawn due to non-serious viral pneumonia.</w:t>
      </w:r>
    </w:p>
    <w:p w:rsidR="00C252B0" w:rsidRPr="00C252B0" w:rsidRDefault="00C252B0" w:rsidP="00C252B0">
      <w:r w:rsidRPr="00C252B0">
        <w:t xml:space="preserve">Two potential immune mediated diseases were reported in </w:t>
      </w:r>
      <w:r w:rsidR="000E0F86">
        <w:t>Study D-QIV</w:t>
      </w:r>
      <w:r w:rsidRPr="00C252B0">
        <w:t>-003, one case of non-serious Bell’s palsy and one serious case of type 1 diabetes mellitus were reported. Neither wa</w:t>
      </w:r>
      <w:r w:rsidR="006D189C">
        <w:t>s considered vaccine related.</w:t>
      </w:r>
    </w:p>
    <w:p w:rsidR="00C252B0" w:rsidRPr="00C252B0" w:rsidRDefault="00C252B0" w:rsidP="00C252B0">
      <w:r w:rsidRPr="00017DE3">
        <w:rPr>
          <w:rStyle w:val="Heading6Char"/>
          <w:rFonts w:eastAsia="Cambria"/>
        </w:rPr>
        <w:t xml:space="preserve">Evaluator comment: </w:t>
      </w:r>
      <w:r w:rsidRPr="00C252B0">
        <w:t>The safety and reactogenicity of D-QIV was found to be similar to that of Fluarix and therefore there appears no safety reason not to recommend registration for children from 3 years of age.</w:t>
      </w:r>
    </w:p>
    <w:p w:rsidR="00C252B0" w:rsidRPr="00C252B0" w:rsidRDefault="006D189C" w:rsidP="00622F60">
      <w:pPr>
        <w:pStyle w:val="Heading3"/>
      </w:pPr>
      <w:bookmarkStart w:id="173" w:name="_Toc355350131"/>
      <w:bookmarkStart w:id="174" w:name="_Toc383345677"/>
      <w:r>
        <w:lastRenderedPageBreak/>
        <w:t>First r</w:t>
      </w:r>
      <w:r w:rsidR="00622F60">
        <w:t xml:space="preserve">ound </w:t>
      </w:r>
      <w:r>
        <w:t>r</w:t>
      </w:r>
      <w:r w:rsidR="00622F60">
        <w:t xml:space="preserve">isk </w:t>
      </w:r>
      <w:r>
        <w:t>b</w:t>
      </w:r>
      <w:r w:rsidR="00622F60">
        <w:t xml:space="preserve">enefit </w:t>
      </w:r>
      <w:r>
        <w:t>a</w:t>
      </w:r>
      <w:r w:rsidR="00C252B0" w:rsidRPr="00C252B0">
        <w:t>ssessment</w:t>
      </w:r>
      <w:bookmarkEnd w:id="173"/>
      <w:bookmarkEnd w:id="174"/>
    </w:p>
    <w:p w:rsidR="00C252B0" w:rsidRPr="00C252B0" w:rsidRDefault="00C252B0" w:rsidP="00C252B0">
      <w:r w:rsidRPr="00C252B0">
        <w:t>The safety of the quadrivalent vaccine studied in the age groups proposed for registration appears similar to that of the registered trivalen</w:t>
      </w:r>
      <w:r w:rsidR="006D189C">
        <w:t>t vaccines used in the studies.</w:t>
      </w:r>
    </w:p>
    <w:p w:rsidR="00C252B0" w:rsidRPr="00C252B0" w:rsidRDefault="00C252B0" w:rsidP="00C252B0">
      <w:r w:rsidRPr="00C252B0">
        <w:t>Immunogenicity of the quadrivalent vaccine has been demonstra</w:t>
      </w:r>
      <w:r w:rsidR="006D189C">
        <w:t>ted in the populations studied.</w:t>
      </w:r>
    </w:p>
    <w:p w:rsidR="00C252B0" w:rsidRPr="00C252B0" w:rsidRDefault="00C252B0" w:rsidP="00C252B0">
      <w:r w:rsidRPr="00C252B0">
        <w:t>Efficacy of the quadrivalent v</w:t>
      </w:r>
      <w:r w:rsidR="006D189C">
        <w:t>accine has not been determined.</w:t>
      </w:r>
    </w:p>
    <w:p w:rsidR="00017DE3" w:rsidRDefault="00C22678" w:rsidP="00017DE3">
      <w:pPr>
        <w:pStyle w:val="Heading2"/>
      </w:pPr>
      <w:bookmarkStart w:id="175" w:name="_Toc383345678"/>
      <w:r>
        <w:t>First round recommendation regarding authorisation</w:t>
      </w:r>
      <w:bookmarkEnd w:id="175"/>
    </w:p>
    <w:p w:rsidR="00017DE3" w:rsidRPr="00C252B0" w:rsidRDefault="00622F60" w:rsidP="00017DE3">
      <w:r>
        <w:t>The risk benefit balance wa</w:t>
      </w:r>
      <w:r w:rsidR="00017DE3" w:rsidRPr="00C252B0">
        <w:t>s determined to be on the side of benefit. Reg</w:t>
      </w:r>
      <w:r w:rsidR="00017DE3">
        <w:t>istration of the vaccine wa</w:t>
      </w:r>
      <w:r w:rsidR="00017DE3" w:rsidRPr="00C252B0">
        <w:t>s recomm</w:t>
      </w:r>
      <w:r w:rsidR="006D189C">
        <w:t>ended.</w:t>
      </w:r>
    </w:p>
    <w:p w:rsidR="00017DE3" w:rsidRPr="00C252B0" w:rsidRDefault="00017DE3" w:rsidP="00017DE3">
      <w:r w:rsidRPr="00C252B0">
        <w:t>The applicant’s response to comments on th</w:t>
      </w:r>
      <w:r>
        <w:t>e proposed Product Information wa</w:t>
      </w:r>
      <w:r w:rsidRPr="00C252B0">
        <w:t xml:space="preserve">s accepted with one exception. In the Dosage and Administration section of the amended draft Product Information, the diagrams have been deleted. This is not recommended. </w:t>
      </w:r>
      <w:r>
        <w:t>The sponsor was asked to p</w:t>
      </w:r>
      <w:r w:rsidRPr="00C252B0">
        <w:t>lease reinstate the diagram</w:t>
      </w:r>
      <w:r>
        <w:t>.</w:t>
      </w:r>
    </w:p>
    <w:p w:rsidR="00C22678" w:rsidRDefault="00C22678" w:rsidP="00C22678">
      <w:pPr>
        <w:pStyle w:val="Heading2"/>
      </w:pPr>
      <w:bookmarkStart w:id="176" w:name="_Toc383345679"/>
      <w:r>
        <w:t>Clinical questions</w:t>
      </w:r>
      <w:bookmarkEnd w:id="176"/>
    </w:p>
    <w:p w:rsidR="00C252B0" w:rsidRDefault="00FF7776" w:rsidP="00C252B0">
      <w:r>
        <w:t xml:space="preserve">The clinical questions raised by the evaluator are discussed below together with the sponsor’s responses and the evaluator’s comments on the </w:t>
      </w:r>
      <w:r w:rsidR="00017DE3">
        <w:t xml:space="preserve">sponsor’s </w:t>
      </w:r>
      <w:r>
        <w:t>re</w:t>
      </w:r>
      <w:r w:rsidR="00017DE3">
        <w:t>s</w:t>
      </w:r>
      <w:r>
        <w:t>ponses.</w:t>
      </w:r>
    </w:p>
    <w:p w:rsidR="00C618F7" w:rsidRDefault="00C618F7" w:rsidP="00C618F7">
      <w:pPr>
        <w:pStyle w:val="Heading2"/>
      </w:pPr>
      <w:bookmarkStart w:id="177" w:name="_Toc383345680"/>
      <w:r>
        <w:t>Second round evaluation of clinical data submitted in response to questions</w:t>
      </w:r>
      <w:bookmarkEnd w:id="177"/>
    </w:p>
    <w:p w:rsidR="00FF7776" w:rsidRPr="00FF7776" w:rsidRDefault="00FF7776" w:rsidP="00017DE3">
      <w:pPr>
        <w:pStyle w:val="Heading3"/>
      </w:pPr>
      <w:bookmarkStart w:id="178" w:name="_Toc383345681"/>
      <w:r w:rsidRPr="00FF7776">
        <w:t>Question 1 (D-QIV-008)</w:t>
      </w:r>
      <w:bookmarkEnd w:id="178"/>
    </w:p>
    <w:p w:rsidR="00FF7776" w:rsidRPr="00FF7776" w:rsidRDefault="00FF7776" w:rsidP="006D189C">
      <w:r w:rsidRPr="00FF7776">
        <w:t xml:space="preserve">Please provide the lot-to-lot consistency </w:t>
      </w:r>
      <w:r w:rsidRPr="006D189C">
        <w:t>results</w:t>
      </w:r>
      <w:r w:rsidRPr="00FF7776">
        <w:t xml:space="preserve"> for all three lots in </w:t>
      </w:r>
      <w:r w:rsidR="000E0F86">
        <w:t>Study D-QIV</w:t>
      </w:r>
      <w:r w:rsidR="006D189C">
        <w:t>-008.</w:t>
      </w:r>
    </w:p>
    <w:p w:rsidR="00FF7776" w:rsidRPr="00FF7776" w:rsidRDefault="00017DE3" w:rsidP="006D189C">
      <w:pPr>
        <w:pStyle w:val="Heading4"/>
      </w:pPr>
      <w:r>
        <w:t xml:space="preserve">Sponsor’s </w:t>
      </w:r>
      <w:r w:rsidR="006D189C">
        <w:t>r</w:t>
      </w:r>
      <w:r w:rsidR="00FF7776" w:rsidRPr="00FF7776">
        <w:t>esponse:</w:t>
      </w:r>
    </w:p>
    <w:p w:rsidR="00FF7776" w:rsidRPr="00FF7776" w:rsidRDefault="00FF7776" w:rsidP="006D189C">
      <w:pPr>
        <w:pStyle w:val="TableTitle"/>
      </w:pPr>
      <w:proofErr w:type="gramStart"/>
      <w:r w:rsidRPr="00FF7776">
        <w:t>Table</w:t>
      </w:r>
      <w:r w:rsidR="009F021B">
        <w:t xml:space="preserve"> 49.</w:t>
      </w:r>
      <w:proofErr w:type="gramEnd"/>
      <w:r w:rsidRPr="00FF7776">
        <w:t xml:space="preserve"> </w:t>
      </w:r>
      <w:r w:rsidR="000E0F86">
        <w:t>Study D-QIV</w:t>
      </w:r>
      <w:r w:rsidRPr="00FF7776">
        <w:t>-008: adjusted GMT ratios of HI antibody at Day 21 for the all pairwise comparisons between two lots of D-QIV for the 4 strains contained in the D-QIV vaccine</w:t>
      </w:r>
    </w:p>
    <w:p w:rsidR="00FF7776" w:rsidRPr="00FF7776" w:rsidRDefault="00FF7776" w:rsidP="00FF7776">
      <w:pPr>
        <w:rPr>
          <w:bCs/>
        </w:rPr>
      </w:pPr>
      <w:r w:rsidRPr="00FF7776">
        <w:rPr>
          <w:bCs/>
          <w:noProof/>
          <w:lang w:eastAsia="en-AU"/>
        </w:rPr>
        <w:drawing>
          <wp:inline distT="0" distB="0" distL="0" distR="0">
            <wp:extent cx="5850122" cy="1760502"/>
            <wp:effectExtent l="19050" t="0" r="0" b="0"/>
            <wp:docPr id="204" name="Picture 4" descr="Table 49. Study D-QIV-008: adjusted GMT ratios of HI antibody at Day 21 for the all pairwise comparisons between two lots of D-QIV for the 4 strains contained in the D-QIV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5857513" cy="1762726"/>
                    </a:xfrm>
                    <a:prstGeom prst="rect">
                      <a:avLst/>
                    </a:prstGeom>
                    <a:noFill/>
                    <a:ln w="9525">
                      <a:noFill/>
                      <a:miter lim="800000"/>
                      <a:headEnd/>
                      <a:tailEnd/>
                    </a:ln>
                  </pic:spPr>
                </pic:pic>
              </a:graphicData>
            </a:graphic>
          </wp:inline>
        </w:drawing>
      </w:r>
    </w:p>
    <w:p w:rsidR="00FF7776" w:rsidRPr="00FF7776" w:rsidRDefault="009F021B" w:rsidP="006D189C">
      <w:pPr>
        <w:pStyle w:val="Heading4"/>
      </w:pPr>
      <w:r>
        <w:t xml:space="preserve">Evaluator </w:t>
      </w:r>
      <w:r w:rsidR="006D189C">
        <w:t>c</w:t>
      </w:r>
      <w:r w:rsidR="00FF7776" w:rsidRPr="00FF7776">
        <w:t>omment</w:t>
      </w:r>
    </w:p>
    <w:p w:rsidR="00FF7776" w:rsidRPr="00FF7776" w:rsidRDefault="00FF7776" w:rsidP="00FF7776">
      <w:r w:rsidRPr="00FF7776">
        <w:rPr>
          <w:bCs/>
        </w:rPr>
        <w:t xml:space="preserve">The response is accepted. All comparisons were </w:t>
      </w:r>
      <w:r w:rsidRPr="00FF7776">
        <w:t>between 0.67 and 1.5 for the four strains.</w:t>
      </w:r>
    </w:p>
    <w:p w:rsidR="00FF7776" w:rsidRPr="00FF7776" w:rsidRDefault="00FF7776" w:rsidP="006D189C">
      <w:pPr>
        <w:pStyle w:val="Heading3"/>
      </w:pPr>
      <w:bookmarkStart w:id="179" w:name="_Toc383345682"/>
      <w:r w:rsidRPr="00FF7776">
        <w:lastRenderedPageBreak/>
        <w:t>Question 2 (D-QIV-008)</w:t>
      </w:r>
      <w:bookmarkEnd w:id="179"/>
    </w:p>
    <w:p w:rsidR="009F021B" w:rsidRDefault="00FF7776" w:rsidP="006D189C">
      <w:r w:rsidRPr="00FF7776">
        <w:t>Please compare and discuss the GMT, seroconversion, seroprotection and fold increase results for participants aged 18 to 60</w:t>
      </w:r>
      <w:r w:rsidR="00C64FF5">
        <w:t xml:space="preserve"> versus </w:t>
      </w:r>
      <w:r w:rsidRPr="00FF7776">
        <w:t xml:space="preserve">those &gt; 60 </w:t>
      </w:r>
      <w:r w:rsidRPr="00257136">
        <w:t>years of age.</w:t>
      </w:r>
    </w:p>
    <w:p w:rsidR="00FF7776" w:rsidRPr="00FF7776" w:rsidRDefault="00FF7776" w:rsidP="006D189C">
      <w:r w:rsidRPr="00FF7776">
        <w:t xml:space="preserve">In Module 5 </w:t>
      </w:r>
      <w:r w:rsidR="009F021B">
        <w:t>Clinical Study Report (</w:t>
      </w:r>
      <w:r w:rsidRPr="00FF7776">
        <w:t>CSR</w:t>
      </w:r>
      <w:r w:rsidR="009F021B">
        <w:t>)</w:t>
      </w:r>
      <w:r w:rsidRPr="00FF7776">
        <w:t xml:space="preserve"> there was no discussion of the results for participants stratified by age. Of particular interest is the comparison between those </w:t>
      </w:r>
      <w:r w:rsidR="009F021B">
        <w:t>≤</w:t>
      </w:r>
      <w:r w:rsidRPr="00FF7776">
        <w:t xml:space="preserve"> 60 years</w:t>
      </w:r>
      <w:r w:rsidR="00C64FF5">
        <w:t xml:space="preserve"> versus </w:t>
      </w:r>
      <w:r w:rsidRPr="00FF7776">
        <w:t>those &gt; 60 years.</w:t>
      </w:r>
    </w:p>
    <w:p w:rsidR="00FF7776" w:rsidRPr="00FF7776" w:rsidRDefault="00FF7776" w:rsidP="006D189C">
      <w:r w:rsidRPr="00FF7776">
        <w:t>While for both age categories, the seroconversion rate, seroprotection rate and fold changes were commensurate with those recommended by CPMP for acceptance of seasonal vaccines and confidence intervals were tight, it was noted that the trivalent vaccines each passed the criteria even for the antigen not included.</w:t>
      </w:r>
    </w:p>
    <w:p w:rsidR="00FF7776" w:rsidRPr="00FF7776" w:rsidRDefault="00FF7776" w:rsidP="006D189C">
      <w:r w:rsidRPr="00FF7776">
        <w:t xml:space="preserve">In addition, in relation to GMTs responses, those of D-QIV were less than for either TIV-1 or TIV-2 for A/California, and A/Victoria, and in both instances, the A antigen GMTs for those &gt; 60 years were considerably less than for those </w:t>
      </w:r>
      <w:r w:rsidR="009F021B">
        <w:t>≤</w:t>
      </w:r>
      <w:r w:rsidRPr="00FF7776">
        <w:t xml:space="preserve"> 60 years and quite a deal less than for the responses to the B antigens, especially for B-Yamagata including for TIV-1. Does this suggest the possibility of a degree of interference with antib</w:t>
      </w:r>
      <w:r w:rsidR="006D189C">
        <w:t>ody response to the A antigens?</w:t>
      </w:r>
    </w:p>
    <w:p w:rsidR="00FF7776" w:rsidRPr="00FF7776" w:rsidRDefault="009F021B" w:rsidP="006D189C">
      <w:pPr>
        <w:pStyle w:val="Heading4"/>
      </w:pPr>
      <w:r>
        <w:t xml:space="preserve">Sponsor’s </w:t>
      </w:r>
      <w:r w:rsidR="006D189C">
        <w:t>response</w:t>
      </w:r>
    </w:p>
    <w:p w:rsidR="00FF7776" w:rsidRPr="00FF7776" w:rsidRDefault="00FF7776" w:rsidP="00FF7776">
      <w:pPr>
        <w:rPr>
          <w:bCs/>
        </w:rPr>
      </w:pPr>
      <w:r w:rsidRPr="00FF7776">
        <w:rPr>
          <w:bCs/>
        </w:rPr>
        <w:t>Discussion of the results was provid</w:t>
      </w:r>
      <w:r w:rsidR="009F021B">
        <w:rPr>
          <w:bCs/>
        </w:rPr>
        <w:t>ed as requested. The response was considered to be</w:t>
      </w:r>
      <w:r w:rsidRPr="00FF7776">
        <w:rPr>
          <w:bCs/>
        </w:rPr>
        <w:t xml:space="preserve"> accept</w:t>
      </w:r>
      <w:r w:rsidR="009F021B">
        <w:rPr>
          <w:bCs/>
        </w:rPr>
        <w:t>able.</w:t>
      </w:r>
    </w:p>
    <w:p w:rsidR="00FF7776" w:rsidRPr="00FF7776" w:rsidRDefault="00FF7776" w:rsidP="00FF7776">
      <w:pPr>
        <w:rPr>
          <w:bCs/>
        </w:rPr>
      </w:pPr>
      <w:r w:rsidRPr="00FF7776">
        <w:rPr>
          <w:bCs/>
        </w:rPr>
        <w:t xml:space="preserve">Regarding </w:t>
      </w:r>
      <w:proofErr w:type="gramStart"/>
      <w:r w:rsidRPr="00FF7776">
        <w:rPr>
          <w:bCs/>
        </w:rPr>
        <w:t>A</w:t>
      </w:r>
      <w:proofErr w:type="gramEnd"/>
      <w:r w:rsidRPr="00FF7776">
        <w:rPr>
          <w:bCs/>
        </w:rPr>
        <w:t xml:space="preserve"> antigen responses, GMT point estimates in the D-QIV group are each time within the 95%CI limits of the respective GMTs in the TIV groups. Hence, the results do not allow to conclude that the response to the A strains is lower with D-QIV than with TIV and these slight differences in the point estimate do not suggest a possible interference of DQIV on the response to A antigens.</w:t>
      </w:r>
    </w:p>
    <w:p w:rsidR="00FF7776" w:rsidRPr="00FF7776" w:rsidRDefault="00FF7776" w:rsidP="00FF7776">
      <w:pPr>
        <w:rPr>
          <w:bCs/>
        </w:rPr>
      </w:pPr>
      <w:r w:rsidRPr="00FF7776">
        <w:rPr>
          <w:bCs/>
        </w:rPr>
        <w:t xml:space="preserve">When comparing </w:t>
      </w:r>
      <w:proofErr w:type="gramStart"/>
      <w:r w:rsidRPr="00FF7776">
        <w:rPr>
          <w:bCs/>
        </w:rPr>
        <w:t>A</w:t>
      </w:r>
      <w:proofErr w:type="gramEnd"/>
      <w:r w:rsidRPr="00FF7776">
        <w:rPr>
          <w:bCs/>
        </w:rPr>
        <w:t xml:space="preserve"> antigen responses to those against the B antigens it is observed that GMTs responses to the A antigens are lower than GMTs of antibodies against the B antigens. However, this is mainly due to the particularly high responses to the B antigens in this study, an observation that was made in other studies performed during the same season 2010-2011; as further discussed below. Both Yamagata and Victoria B strains had been circulating in preceding influenza seasons and a very high proportion of subjects (approximately 85%) in </w:t>
      </w:r>
      <w:r w:rsidR="000E0F86">
        <w:rPr>
          <w:bCs/>
        </w:rPr>
        <w:t>Study D-QIV</w:t>
      </w:r>
      <w:r w:rsidRPr="00FF7776">
        <w:rPr>
          <w:bCs/>
        </w:rPr>
        <w:t>-008 were seropositive to the two B strains before vaccination.</w:t>
      </w:r>
    </w:p>
    <w:p w:rsidR="00FF7776" w:rsidRPr="00FF7776" w:rsidRDefault="009F021B" w:rsidP="006D189C">
      <w:pPr>
        <w:pStyle w:val="Heading4"/>
      </w:pPr>
      <w:r>
        <w:t xml:space="preserve">Evaluator </w:t>
      </w:r>
      <w:r w:rsidR="006D189C">
        <w:t>c</w:t>
      </w:r>
      <w:r w:rsidR="00FF7776" w:rsidRPr="00FF7776">
        <w:t>omment</w:t>
      </w:r>
    </w:p>
    <w:p w:rsidR="00FF7776" w:rsidRPr="00FF7776" w:rsidRDefault="00FF7776" w:rsidP="00FF7776">
      <w:pPr>
        <w:rPr>
          <w:bCs/>
        </w:rPr>
      </w:pPr>
      <w:r w:rsidRPr="00FF7776">
        <w:rPr>
          <w:bCs/>
        </w:rPr>
        <w:t>Response accepted</w:t>
      </w:r>
      <w:r w:rsidR="009F021B">
        <w:rPr>
          <w:bCs/>
        </w:rPr>
        <w:t>.</w:t>
      </w:r>
    </w:p>
    <w:p w:rsidR="00FF7776" w:rsidRPr="00FF7776" w:rsidRDefault="00FF7776" w:rsidP="006D189C">
      <w:pPr>
        <w:pStyle w:val="Heading3"/>
      </w:pPr>
      <w:bookmarkStart w:id="180" w:name="_Toc383345683"/>
      <w:r w:rsidRPr="00FF7776">
        <w:t>Question 3 (Fluarix-US-006)</w:t>
      </w:r>
      <w:bookmarkEnd w:id="180"/>
    </w:p>
    <w:p w:rsidR="00FF7776" w:rsidRPr="00FF7776" w:rsidRDefault="00FF7776" w:rsidP="006D189C">
      <w:r w:rsidRPr="00FF7776">
        <w:t>It was noted that the H3N2 the GMTs in Study 008 were higher than in Fluarix-US-006, approximately 310</w:t>
      </w:r>
      <w:r w:rsidR="00C64FF5">
        <w:t xml:space="preserve"> versus </w:t>
      </w:r>
      <w:r w:rsidRPr="00FF7776">
        <w:t xml:space="preserve">133. In </w:t>
      </w:r>
      <w:r w:rsidR="009F021B">
        <w:t>S</w:t>
      </w:r>
      <w:r w:rsidRPr="00FF7776">
        <w:t>tudy Fluarix-US-006, although the primary objective was met, 77.8% of the 19 cases of influenza A H3 were vaccine matching. Were the GMTs of those with vacci</w:t>
      </w:r>
      <w:r w:rsidR="006D189C">
        <w:t>ne matching influenza examined?</w:t>
      </w:r>
    </w:p>
    <w:p w:rsidR="00FF7776" w:rsidRPr="00FF7776" w:rsidRDefault="009F021B" w:rsidP="006D189C">
      <w:pPr>
        <w:pStyle w:val="Heading4"/>
      </w:pPr>
      <w:r>
        <w:t xml:space="preserve">Sponsor’s </w:t>
      </w:r>
      <w:r w:rsidR="006D189C">
        <w:t>response</w:t>
      </w:r>
    </w:p>
    <w:p w:rsidR="00FF7776" w:rsidRPr="00FF7776" w:rsidRDefault="00FF7776" w:rsidP="00FF7776">
      <w:r w:rsidRPr="00FF7776">
        <w:t xml:space="preserve">The absolute figures for GMTs obtained in study Fluarix –US-006 against H3N2 were indeed lower than those observed in </w:t>
      </w:r>
      <w:r w:rsidR="000E0F86">
        <w:t>Study D-QIV</w:t>
      </w:r>
      <w:r w:rsidRPr="00FF7776">
        <w:t>-008, acknowledging that these were different studies, conducted with different vaccine compositions, in different seasons and in different populations.</w:t>
      </w:r>
    </w:p>
    <w:p w:rsidR="00FF7776" w:rsidRPr="00FF7776" w:rsidRDefault="00FF7776" w:rsidP="00FF7776">
      <w:r w:rsidRPr="00FF7776">
        <w:t xml:space="preserve">As the efficacy results have been mainly driven by the VE against H3N2 in that study, as pointed out by the assessor, this could support the reassuring fact that VE observed in that study represents a worst case </w:t>
      </w:r>
      <w:r w:rsidR="009F021B">
        <w:t>s</w:t>
      </w:r>
      <w:r w:rsidRPr="00FF7776">
        <w:t xml:space="preserve">ituation, leading to lower VE than could be anticipated with higher </w:t>
      </w:r>
      <w:r w:rsidRPr="00FF7776">
        <w:lastRenderedPageBreak/>
        <w:t>titres. This has however to be balanced with two elements: on one hand, it can be expected that, depending on the strain, the correlation between HI titres and protection might not be strictly linear. Also, individual immunological responses can vary widely around the calculated GMTs, as evidenced by the maximum (3620) and minimum (&gt;10) HI values observed against H3N2.</w:t>
      </w:r>
    </w:p>
    <w:p w:rsidR="00FF7776" w:rsidRPr="00FF7776" w:rsidRDefault="00FF7776" w:rsidP="00FF7776">
      <w:r w:rsidRPr="00FF7776">
        <w:t>Blood samples to assess the immune response were taken from a subset of 460 subjects (6% of total enrolled cohort). Among these, only 3 subjects (all in the placebo group) had culture</w:t>
      </w:r>
      <w:r w:rsidR="009F021B">
        <w:t xml:space="preserve"> </w:t>
      </w:r>
      <w:r w:rsidRPr="00FF7776">
        <w:t>confirmed influenza due to</w:t>
      </w:r>
      <w:r w:rsidR="006D189C">
        <w:t xml:space="preserve"> H3N2, precluding any analysis.</w:t>
      </w:r>
    </w:p>
    <w:p w:rsidR="00FF7776" w:rsidRPr="00FF7776" w:rsidRDefault="009F021B" w:rsidP="006D189C">
      <w:pPr>
        <w:pStyle w:val="Heading4"/>
      </w:pPr>
      <w:r>
        <w:t xml:space="preserve">Evaluator </w:t>
      </w:r>
      <w:r w:rsidR="006D189C">
        <w:t>comment</w:t>
      </w:r>
    </w:p>
    <w:p w:rsidR="00FF7776" w:rsidRPr="00FF7776" w:rsidRDefault="00FF7776" w:rsidP="00FF7776">
      <w:r w:rsidRPr="00FF7776">
        <w:t>Response accepted</w:t>
      </w:r>
      <w:r w:rsidR="009F021B">
        <w:t>.</w:t>
      </w:r>
    </w:p>
    <w:p w:rsidR="00FF7776" w:rsidRPr="00FF7776" w:rsidRDefault="00FF7776" w:rsidP="006D189C">
      <w:pPr>
        <w:pStyle w:val="Heading3"/>
      </w:pPr>
      <w:bookmarkStart w:id="181" w:name="_Toc383345684"/>
      <w:r w:rsidRPr="00FF7776">
        <w:t>Question 4 (Fluarix-US-006)</w:t>
      </w:r>
      <w:bookmarkEnd w:id="181"/>
    </w:p>
    <w:p w:rsidR="00FF7776" w:rsidRPr="00FF7776" w:rsidRDefault="00FF7776" w:rsidP="006D189C">
      <w:r w:rsidRPr="00FF7776">
        <w:t>How long is influenza virus excreted in amounts measurable by the study methods?</w:t>
      </w:r>
    </w:p>
    <w:p w:rsidR="00FF7776" w:rsidRPr="00FF7776" w:rsidRDefault="009F021B" w:rsidP="006D189C">
      <w:pPr>
        <w:pStyle w:val="Heading4"/>
      </w:pPr>
      <w:r>
        <w:t xml:space="preserve">Sponsor’s </w:t>
      </w:r>
      <w:r w:rsidR="006D189C">
        <w:t>response</w:t>
      </w:r>
    </w:p>
    <w:p w:rsidR="00FF7776" w:rsidRPr="00E44646" w:rsidRDefault="00FF7776" w:rsidP="00FF7776">
      <w:r w:rsidRPr="00FF7776">
        <w:t>Published data have shown that titres of infectious influenza virus peak during the first 24</w:t>
      </w:r>
      <w:r w:rsidR="009F021B">
        <w:t xml:space="preserve"> to </w:t>
      </w:r>
      <w:r w:rsidRPr="00FF7776">
        <w:t>72</w:t>
      </w:r>
      <w:r w:rsidR="00F873CF">
        <w:t xml:space="preserve"> </w:t>
      </w:r>
      <w:r w:rsidRPr="00E44646">
        <w:t xml:space="preserve">h of </w:t>
      </w:r>
      <w:proofErr w:type="gramStart"/>
      <w:r w:rsidRPr="00E44646">
        <w:t>illness</w:t>
      </w:r>
      <w:r w:rsidR="009F021B" w:rsidRPr="00E44646">
        <w:t xml:space="preserve"> ..</w:t>
      </w:r>
      <w:proofErr w:type="gramEnd"/>
      <w:r w:rsidRPr="00E44646">
        <w:t xml:space="preserve"> </w:t>
      </w:r>
      <w:proofErr w:type="gramStart"/>
      <w:r w:rsidRPr="00E44646">
        <w:t>and</w:t>
      </w:r>
      <w:proofErr w:type="gramEnd"/>
      <w:r w:rsidRPr="00E44646">
        <w:t xml:space="preserve"> decline within several days, with titres usually low or undetectable by Day 5. (Bell et al Emerg </w:t>
      </w:r>
      <w:proofErr w:type="gramStart"/>
      <w:r w:rsidRPr="00E44646">
        <w:t>Inf</w:t>
      </w:r>
      <w:proofErr w:type="gramEnd"/>
      <w:r w:rsidRPr="00E44646">
        <w:t xml:space="preserve"> Dis 2006).</w:t>
      </w:r>
      <w:r w:rsidR="000B5F57" w:rsidRPr="00E44646">
        <w:rPr>
          <w:rStyle w:val="FootnoteReference"/>
        </w:rPr>
        <w:footnoteReference w:id="20"/>
      </w:r>
    </w:p>
    <w:p w:rsidR="00FF7776" w:rsidRPr="00FF7776" w:rsidRDefault="009F021B" w:rsidP="00FF7776">
      <w:r w:rsidRPr="00E44646">
        <w:t>In S</w:t>
      </w:r>
      <w:r w:rsidR="00FF7776" w:rsidRPr="00E44646">
        <w:t>tudy Fluarix-US-006, the number</w:t>
      </w:r>
      <w:r w:rsidR="00FF7776" w:rsidRPr="00FF7776">
        <w:t xml:space="preserve"> of positive samples (by RT-PCR and cultur</w:t>
      </w:r>
      <w:r w:rsidR="00FF7776" w:rsidRPr="00AB431A">
        <w:t>e) were stratified per time period betwe</w:t>
      </w:r>
      <w:r w:rsidR="00ED670F" w:rsidRPr="00AB431A">
        <w:t>en ILI onset and sample (nasal/</w:t>
      </w:r>
      <w:r w:rsidR="00FF7776" w:rsidRPr="00AB431A">
        <w:t>throat swabs) collection (</w:t>
      </w:r>
      <w:r w:rsidR="00643F59">
        <w:fldChar w:fldCharType="begin"/>
      </w:r>
      <w:r w:rsidR="00643F59">
        <w:instrText xml:space="preserve"> REF _Ref355336743 \h  \* MERGEFORMAT </w:instrText>
      </w:r>
      <w:r w:rsidR="00643F59">
        <w:fldChar w:fldCharType="separate"/>
      </w:r>
      <w:r w:rsidR="006421C6" w:rsidRPr="00FF7776">
        <w:t>Figure</w:t>
      </w:r>
      <w:r w:rsidR="006421C6">
        <w:t xml:space="preserve"> 9.</w:t>
      </w:r>
      <w:r w:rsidR="00643F59">
        <w:fldChar w:fldCharType="end"/>
      </w:r>
      <w:r w:rsidR="00257136" w:rsidRPr="00AB431A">
        <w:t>9</w:t>
      </w:r>
      <w:r w:rsidR="00FF7776" w:rsidRPr="00AB431A">
        <w:t xml:space="preserve">). </w:t>
      </w:r>
      <w:proofErr w:type="gramStart"/>
      <w:r w:rsidR="00FF7776" w:rsidRPr="00AB431A">
        <w:t>Among</w:t>
      </w:r>
      <w:proofErr w:type="gramEnd"/>
      <w:r w:rsidR="00FF7776" w:rsidRPr="00AB431A">
        <w:t xml:space="preserve"> the 1151 ILI cases sampled, 9 were taken after 5 days. Eight were negative by both methods and one was not processed. These 9 cases were not included in the analysis shown in </w:t>
      </w:r>
      <w:r w:rsidR="00AB431A">
        <w:t>Figure 9</w:t>
      </w:r>
      <w:r w:rsidR="00FF7776" w:rsidRPr="00AB431A">
        <w:t xml:space="preserve"> </w:t>
      </w:r>
      <w:r w:rsidR="00AB431A">
        <w:t>below</w:t>
      </w:r>
      <w:r w:rsidR="00FF7776" w:rsidRPr="00AB431A">
        <w:t>. For both assays, the maximum percentage of collected swabs that tested</w:t>
      </w:r>
      <w:r w:rsidR="00FF7776" w:rsidRPr="00FF7776">
        <w:t xml:space="preserve"> positive was recorded on the day of onset of ILI symptoms (</w:t>
      </w:r>
      <w:r w:rsidR="00ED670F">
        <w:t>that is,</w:t>
      </w:r>
      <w:r w:rsidR="00FF7776" w:rsidRPr="00FF7776">
        <w:t xml:space="preserve"> Day 0, 29% for RT-PCR and 18% for culture).</w:t>
      </w:r>
    </w:p>
    <w:p w:rsidR="00FF7776" w:rsidRPr="00FF7776" w:rsidRDefault="00FF7776" w:rsidP="00FF7776">
      <w:r w:rsidRPr="00FF7776">
        <w:t>Thereafter, the percentage of RT-PCR positive samples remained relatively constant (17</w:t>
      </w:r>
      <w:r w:rsidR="00ED670F">
        <w:t xml:space="preserve"> to</w:t>
      </w:r>
      <w:r w:rsidRPr="00FF7776">
        <w:t xml:space="preserve"> 21%) while the percentage of culture positive samples decreased progressively from 15% on Day 1 to 0% on Day 5, indicating that RT-PCR was more likely to detect viral shedding later after clinical onset. With both methods, most of the cases were diagnosed on Day 1.</w:t>
      </w:r>
    </w:p>
    <w:p w:rsidR="00FF7776" w:rsidRPr="00FF7776" w:rsidRDefault="00FF7776" w:rsidP="00ED670F">
      <w:pPr>
        <w:pStyle w:val="FigureTitle"/>
        <w:keepNext/>
      </w:pPr>
      <w:bookmarkStart w:id="182" w:name="_Ref355336743"/>
      <w:bookmarkStart w:id="183" w:name="_Ref355336746"/>
      <w:proofErr w:type="gramStart"/>
      <w:r w:rsidRPr="00FF7776">
        <w:lastRenderedPageBreak/>
        <w:t>Figure</w:t>
      </w:r>
      <w:r w:rsidR="00257136">
        <w:t xml:space="preserve"> 9</w:t>
      </w:r>
      <w:r w:rsidR="00ED670F">
        <w:t>.</w:t>
      </w:r>
      <w:bookmarkEnd w:id="182"/>
      <w:proofErr w:type="gramEnd"/>
      <w:r w:rsidRPr="00FF7776">
        <w:t xml:space="preserve"> Numbers of RT-PCR and culture positive samples stratified by time period between onset of ILI and collection of sample</w:t>
      </w:r>
      <w:bookmarkEnd w:id="183"/>
    </w:p>
    <w:p w:rsidR="00FF7776" w:rsidRPr="00FF7776" w:rsidRDefault="00FF7776" w:rsidP="00D7735A">
      <w:r w:rsidRPr="00FF7776">
        <w:rPr>
          <w:noProof/>
          <w:lang w:eastAsia="en-AU"/>
        </w:rPr>
        <w:drawing>
          <wp:inline distT="0" distB="0" distL="0" distR="0" wp14:anchorId="6F8C6ECC" wp14:editId="79837F9E">
            <wp:extent cx="4343400" cy="3019425"/>
            <wp:effectExtent l="19050" t="0" r="0" b="0"/>
            <wp:docPr id="205" name="Picture 13" descr="Figure 9. Numbers of RT-PCR and culture positive samples stratified by time period between onset of ILI and collection of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l="7692"/>
                    <a:stretch>
                      <a:fillRect/>
                    </a:stretch>
                  </pic:blipFill>
                  <pic:spPr bwMode="auto">
                    <a:xfrm>
                      <a:off x="0" y="0"/>
                      <a:ext cx="4343400" cy="3019425"/>
                    </a:xfrm>
                    <a:prstGeom prst="rect">
                      <a:avLst/>
                    </a:prstGeom>
                    <a:noFill/>
                    <a:ln w="9525">
                      <a:noFill/>
                      <a:miter lim="800000"/>
                      <a:headEnd/>
                      <a:tailEnd/>
                    </a:ln>
                  </pic:spPr>
                </pic:pic>
              </a:graphicData>
            </a:graphic>
          </wp:inline>
        </w:drawing>
      </w:r>
    </w:p>
    <w:p w:rsidR="00FF7776" w:rsidRPr="00FF7776" w:rsidRDefault="00ED670F" w:rsidP="00D7735A">
      <w:pPr>
        <w:pStyle w:val="Heading4"/>
      </w:pPr>
      <w:r>
        <w:t xml:space="preserve">Evaluator </w:t>
      </w:r>
      <w:r w:rsidR="00D7735A">
        <w:t>c</w:t>
      </w:r>
      <w:r w:rsidR="00FF7776" w:rsidRPr="00FF7776">
        <w:t>omment</w:t>
      </w:r>
    </w:p>
    <w:p w:rsidR="00FF7776" w:rsidRPr="00FF7776" w:rsidRDefault="00FF7776" w:rsidP="00FF7776">
      <w:r w:rsidRPr="00FF7776">
        <w:t>Difficulty in diagnosis of influenza illness with increasing length of time between onset and sampling complicates the interpretation of the study results. However, it is acknowledged that this study involved complicated organisation while ad</w:t>
      </w:r>
      <w:r w:rsidR="00D7735A">
        <w:t>dressing an important question.</w:t>
      </w:r>
    </w:p>
    <w:p w:rsidR="00FF7776" w:rsidRPr="00FF7776" w:rsidRDefault="00FF7776" w:rsidP="00FF7776">
      <w:r w:rsidRPr="00FF7776">
        <w:t>N</w:t>
      </w:r>
      <w:r w:rsidR="00ED670F">
        <w:t>ote:</w:t>
      </w:r>
      <w:r w:rsidRPr="00FF7776">
        <w:t xml:space="preserve"> the blurring of </w:t>
      </w:r>
      <w:r w:rsidR="00257136">
        <w:t>Figure 9</w:t>
      </w:r>
      <w:r w:rsidRPr="00FF7776">
        <w:t xml:space="preserve"> is unavoidable due to the blurring of the image in the response document.</w:t>
      </w:r>
    </w:p>
    <w:p w:rsidR="00FF7776" w:rsidRPr="00FF7776" w:rsidRDefault="00FF7776" w:rsidP="00D7735A">
      <w:pPr>
        <w:pStyle w:val="Heading3"/>
      </w:pPr>
      <w:bookmarkStart w:id="184" w:name="_Toc383345685"/>
      <w:r w:rsidRPr="00FF7776">
        <w:t>Question 5 (Fluarix-</w:t>
      </w:r>
      <w:r w:rsidRPr="00D7735A">
        <w:t>US</w:t>
      </w:r>
      <w:r w:rsidRPr="00FF7776">
        <w:t>-006)</w:t>
      </w:r>
      <w:bookmarkEnd w:id="184"/>
    </w:p>
    <w:p w:rsidR="00FF7776" w:rsidRPr="00FF7776" w:rsidRDefault="00FF7776" w:rsidP="00D7735A">
      <w:r w:rsidRPr="00FF7776">
        <w:t>Would the applicant please comment on whether the collection of samples later than 5 days for 7 of the Fluarix group and 2 of the placebo group, had the potential to bias results in favour of Fluarix? In addition, would the applicant specify in which group(s) the swabs were either not taken or were lost?</w:t>
      </w:r>
    </w:p>
    <w:p w:rsidR="00FF7776" w:rsidRPr="00FF7776" w:rsidRDefault="00ED670F" w:rsidP="00D7735A">
      <w:pPr>
        <w:pStyle w:val="Heading4"/>
      </w:pPr>
      <w:r>
        <w:t xml:space="preserve">Sponsor’s </w:t>
      </w:r>
      <w:r w:rsidR="00D7735A">
        <w:t>response</w:t>
      </w:r>
    </w:p>
    <w:p w:rsidR="00FF7776" w:rsidRPr="00FF7776" w:rsidRDefault="00FF7776" w:rsidP="00FF7776">
      <w:pPr>
        <w:rPr>
          <w:bCs/>
        </w:rPr>
      </w:pPr>
      <w:r w:rsidRPr="00FF7776">
        <w:rPr>
          <w:bCs/>
        </w:rPr>
        <w:t xml:space="preserve">All 9 samples collected later than 5 days in both Fluarix and placebo groups were negative. To check for potential bias, the </w:t>
      </w:r>
      <w:r w:rsidR="00ED670F">
        <w:rPr>
          <w:bCs/>
        </w:rPr>
        <w:t>sponsor</w:t>
      </w:r>
      <w:r w:rsidRPr="00FF7776">
        <w:rPr>
          <w:bCs/>
        </w:rPr>
        <w:t xml:space="preserve"> tabulated the Vaccine Efficacy as an exploratory analysis, assuming that all the swabs collected after 5 days may have been positive, which represents the worst case for Fluarix efficacy estimates. </w:t>
      </w:r>
      <w:r w:rsidR="00257136">
        <w:t>Table 50 below</w:t>
      </w:r>
      <w:r w:rsidRPr="00FF7776">
        <w:rPr>
          <w:bCs/>
        </w:rPr>
        <w:t xml:space="preserve"> shows the computations of VE based on the attack rates including the cases taken outside of the 5</w:t>
      </w:r>
      <w:r w:rsidR="00ED670F">
        <w:rPr>
          <w:bCs/>
        </w:rPr>
        <w:t xml:space="preserve"> day</w:t>
      </w:r>
      <w:r w:rsidRPr="00FF7776">
        <w:rPr>
          <w:bCs/>
        </w:rPr>
        <w:t xml:space="preserve"> window (assuming all were positive), assuming the event outcome was </w:t>
      </w:r>
      <w:proofErr w:type="spellStart"/>
      <w:r w:rsidRPr="00FF7776">
        <w:rPr>
          <w:bCs/>
        </w:rPr>
        <w:t>Bionomial</w:t>
      </w:r>
      <w:proofErr w:type="spellEnd"/>
      <w:r w:rsidRPr="00FF7776">
        <w:rPr>
          <w:bCs/>
        </w:rPr>
        <w:t xml:space="preserve"> distribution. The point</w:t>
      </w:r>
      <w:r w:rsidR="00ED670F">
        <w:rPr>
          <w:bCs/>
        </w:rPr>
        <w:t xml:space="preserve"> estimate for VE is 63% (48.2% to</w:t>
      </w:r>
      <w:r w:rsidRPr="00FF7776">
        <w:rPr>
          <w:bCs/>
        </w:rPr>
        <w:t xml:space="preserve"> 73.8%), still meeting the criteria for evaluation, </w:t>
      </w:r>
      <w:r w:rsidR="00ED670F">
        <w:rPr>
          <w:bCs/>
        </w:rPr>
        <w:t xml:space="preserve">that is, </w:t>
      </w:r>
      <w:r w:rsidRPr="00FF7776">
        <w:rPr>
          <w:bCs/>
        </w:rPr>
        <w:t>LL for 95% CI &gt; 35%.</w:t>
      </w:r>
    </w:p>
    <w:p w:rsidR="00FF7776" w:rsidRPr="00FF7776" w:rsidRDefault="00FF7776" w:rsidP="00D7735A">
      <w:pPr>
        <w:pStyle w:val="TableTitle"/>
      </w:pPr>
      <w:bookmarkStart w:id="185" w:name="_Ref355336012"/>
      <w:proofErr w:type="gramStart"/>
      <w:r w:rsidRPr="00FF7776">
        <w:t>Table</w:t>
      </w:r>
      <w:r w:rsidR="00ED670F">
        <w:t xml:space="preserve"> 50</w:t>
      </w:r>
      <w:bookmarkEnd w:id="185"/>
      <w:r w:rsidR="00ED670F">
        <w:t>.</w:t>
      </w:r>
      <w:proofErr w:type="gramEnd"/>
      <w:r w:rsidR="00ED670F">
        <w:t xml:space="preserve"> C</w:t>
      </w:r>
      <w:r w:rsidR="00ED670F" w:rsidRPr="00FF7776">
        <w:t>omputations of VE based on the attack rates including the cases taken outside of the 5</w:t>
      </w:r>
      <w:r w:rsidR="00ED670F">
        <w:t xml:space="preserve"> </w:t>
      </w:r>
      <w:r w:rsidR="00ED670F" w:rsidRPr="00FF7776">
        <w:t>day window</w:t>
      </w:r>
      <w:r w:rsidR="00ED670F">
        <w:t>.</w:t>
      </w:r>
    </w:p>
    <w:p w:rsidR="00FF7776" w:rsidRPr="00FF7776" w:rsidRDefault="00FF7776" w:rsidP="00D7735A">
      <w:r w:rsidRPr="00FF7776">
        <w:rPr>
          <w:noProof/>
          <w:lang w:eastAsia="en-AU"/>
        </w:rPr>
        <w:drawing>
          <wp:inline distT="0" distB="0" distL="0" distR="0" wp14:anchorId="5466F9CD" wp14:editId="0D8A17E0">
            <wp:extent cx="4128351" cy="793630"/>
            <wp:effectExtent l="19050" t="0" r="5499" b="0"/>
            <wp:docPr id="206" name="Picture 10" descr="Table 50. Computations of VE based on the attack rates including the cases taken outside of the 5 da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4134807" cy="794871"/>
                    </a:xfrm>
                    <a:prstGeom prst="rect">
                      <a:avLst/>
                    </a:prstGeom>
                    <a:noFill/>
                    <a:ln w="9525">
                      <a:noFill/>
                      <a:miter lim="800000"/>
                      <a:headEnd/>
                      <a:tailEnd/>
                    </a:ln>
                  </pic:spPr>
                </pic:pic>
              </a:graphicData>
            </a:graphic>
          </wp:inline>
        </w:drawing>
      </w:r>
    </w:p>
    <w:p w:rsidR="00FF7776" w:rsidRPr="00FF7776" w:rsidRDefault="00FF7776" w:rsidP="00FF7776">
      <w:pPr>
        <w:rPr>
          <w:bCs/>
        </w:rPr>
      </w:pPr>
      <w:r w:rsidRPr="00FF7776">
        <w:rPr>
          <w:bCs/>
        </w:rPr>
        <w:lastRenderedPageBreak/>
        <w:t>The number of subjects with samples either not taken or lost</w:t>
      </w:r>
      <w:r w:rsidR="00ED670F">
        <w:rPr>
          <w:bCs/>
        </w:rPr>
        <w:t xml:space="preserve"> is presented per group in the t</w:t>
      </w:r>
      <w:r w:rsidRPr="00FF7776">
        <w:rPr>
          <w:bCs/>
        </w:rPr>
        <w:t>able below.</w:t>
      </w:r>
    </w:p>
    <w:p w:rsidR="00FF7776" w:rsidRPr="00FF7776" w:rsidRDefault="00FF7776" w:rsidP="00D7735A">
      <w:pPr>
        <w:pStyle w:val="TableTitle"/>
      </w:pPr>
      <w:proofErr w:type="gramStart"/>
      <w:r w:rsidRPr="00FF7776">
        <w:rPr>
          <w:bCs/>
        </w:rPr>
        <w:t>Table</w:t>
      </w:r>
      <w:r w:rsidR="00ED670F">
        <w:rPr>
          <w:bCs/>
        </w:rPr>
        <w:t xml:space="preserve"> 51</w:t>
      </w:r>
      <w:r w:rsidR="00ED670F">
        <w:t>.</w:t>
      </w:r>
      <w:proofErr w:type="gramEnd"/>
      <w:r w:rsidR="00ED670F">
        <w:t xml:space="preserve"> </w:t>
      </w:r>
      <w:proofErr w:type="gramStart"/>
      <w:r w:rsidR="00ED670F">
        <w:t>Number of samples not taken or lost.</w:t>
      </w:r>
      <w:proofErr w:type="gramEnd"/>
    </w:p>
    <w:p w:rsidR="00FF7776" w:rsidRPr="00FF7776" w:rsidRDefault="00FF7776" w:rsidP="00FF7776">
      <w:pPr>
        <w:rPr>
          <w:bCs/>
        </w:rPr>
      </w:pPr>
      <w:r w:rsidRPr="00FF7776">
        <w:rPr>
          <w:bCs/>
          <w:noProof/>
          <w:lang w:eastAsia="en-AU"/>
        </w:rPr>
        <w:drawing>
          <wp:inline distT="0" distB="0" distL="0" distR="0">
            <wp:extent cx="3253264" cy="841248"/>
            <wp:effectExtent l="19050" t="0" r="4286" b="0"/>
            <wp:docPr id="207" name="Picture 7" descr="Table 51. Number of samples not taken or 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3253264" cy="841248"/>
                    </a:xfrm>
                    <a:prstGeom prst="rect">
                      <a:avLst/>
                    </a:prstGeom>
                    <a:noFill/>
                    <a:ln w="9525">
                      <a:noFill/>
                      <a:miter lim="800000"/>
                      <a:headEnd/>
                      <a:tailEnd/>
                    </a:ln>
                  </pic:spPr>
                </pic:pic>
              </a:graphicData>
            </a:graphic>
          </wp:inline>
        </w:drawing>
      </w:r>
    </w:p>
    <w:p w:rsidR="00FF7776" w:rsidRPr="00FF7776" w:rsidRDefault="00ED670F" w:rsidP="005A13F2">
      <w:pPr>
        <w:pStyle w:val="Heading4"/>
      </w:pPr>
      <w:r>
        <w:t xml:space="preserve">Evaluator </w:t>
      </w:r>
      <w:r w:rsidR="005A13F2">
        <w:t>c</w:t>
      </w:r>
      <w:r w:rsidR="00FF7776" w:rsidRPr="00FF7776">
        <w:t>omment</w:t>
      </w:r>
    </w:p>
    <w:p w:rsidR="00FF7776" w:rsidRPr="00FF7776" w:rsidRDefault="00FF7776" w:rsidP="00FF7776">
      <w:pPr>
        <w:rPr>
          <w:bCs/>
        </w:rPr>
      </w:pPr>
      <w:r w:rsidRPr="00FF7776">
        <w:rPr>
          <w:bCs/>
        </w:rPr>
        <w:t>Response accepted</w:t>
      </w:r>
      <w:r w:rsidR="00ED670F">
        <w:rPr>
          <w:bCs/>
        </w:rPr>
        <w:t>.</w:t>
      </w:r>
    </w:p>
    <w:p w:rsidR="00FF7776" w:rsidRPr="00FF7776" w:rsidRDefault="00FF7776" w:rsidP="00ED670F">
      <w:pPr>
        <w:pStyle w:val="Heading3"/>
      </w:pPr>
      <w:bookmarkStart w:id="186" w:name="_Toc383345686"/>
      <w:r w:rsidRPr="00FF7776">
        <w:t>Question 6 (D-QIV-003)</w:t>
      </w:r>
      <w:bookmarkEnd w:id="186"/>
    </w:p>
    <w:p w:rsidR="00FF7776" w:rsidRPr="00FF7776" w:rsidRDefault="000E0F86" w:rsidP="00A737DA">
      <w:r>
        <w:t>Study D-QIV</w:t>
      </w:r>
      <w:r w:rsidR="00FF7776" w:rsidRPr="00FF7776">
        <w:t xml:space="preserve">-003 Supplement Table 132 </w:t>
      </w:r>
      <w:r w:rsidR="00257136">
        <w:t>(</w:t>
      </w:r>
      <w:r w:rsidR="00FF7776" w:rsidRPr="00FF7776">
        <w:t>reproduced below</w:t>
      </w:r>
      <w:r w:rsidR="00257136">
        <w:t xml:space="preserve"> as Table 52)</w:t>
      </w:r>
      <w:r w:rsidR="00FF7776" w:rsidRPr="00FF7776">
        <w:t xml:space="preserve"> had as a footnote “Site 82400 excluded”. Please explain the exclusion of the site.</w:t>
      </w:r>
    </w:p>
    <w:p w:rsidR="00FF7776" w:rsidRPr="00FF7776" w:rsidRDefault="00FF7776" w:rsidP="00A737DA">
      <w:pPr>
        <w:pStyle w:val="TableTitle"/>
      </w:pPr>
      <w:proofErr w:type="gramStart"/>
      <w:r w:rsidRPr="00FF7776">
        <w:t xml:space="preserve">Table </w:t>
      </w:r>
      <w:r w:rsidR="00ED670F">
        <w:t>52.</w:t>
      </w:r>
      <w:proofErr w:type="gramEnd"/>
      <w:r w:rsidRPr="00FF7776">
        <w:t xml:space="preserve"> D-QIV-003 Non-inferiority of D-QIV versus TIV-2 in terms of seroconversion rate (difference in seroconversion rate) at </w:t>
      </w:r>
      <w:r w:rsidR="00ED670F">
        <w:t>D</w:t>
      </w:r>
      <w:r w:rsidRPr="00FF7776">
        <w:t>ay 28 after the last vaccination for B-Yamagata strain (Total vaccinated cohort)</w:t>
      </w:r>
    </w:p>
    <w:p w:rsidR="00FF7776" w:rsidRDefault="00FF7776" w:rsidP="00ED670F">
      <w:pPr>
        <w:keepNext/>
      </w:pPr>
      <w:r w:rsidRPr="00FF7776">
        <w:rPr>
          <w:noProof/>
          <w:lang w:eastAsia="en-AU"/>
        </w:rPr>
        <w:drawing>
          <wp:inline distT="0" distB="0" distL="0" distR="0">
            <wp:extent cx="4819650" cy="2047875"/>
            <wp:effectExtent l="19050" t="0" r="0" b="0"/>
            <wp:docPr id="208" name="Picture 54" descr="Table 52. D-QIV-003 Non-inferiority of D-QIV versus TIV-2 in terms of seroconversion rate (difference in seroconversion rate) at Day 28 after the last vaccination for B-Yamagata strain (Total vaccinate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srcRect/>
                    <a:stretch>
                      <a:fillRect/>
                    </a:stretch>
                  </pic:blipFill>
                  <pic:spPr bwMode="auto">
                    <a:xfrm>
                      <a:off x="0" y="0"/>
                      <a:ext cx="4819650" cy="2047875"/>
                    </a:xfrm>
                    <a:prstGeom prst="rect">
                      <a:avLst/>
                    </a:prstGeom>
                    <a:noFill/>
                    <a:ln w="9525">
                      <a:noFill/>
                      <a:miter lim="800000"/>
                      <a:headEnd/>
                      <a:tailEnd/>
                    </a:ln>
                  </pic:spPr>
                </pic:pic>
              </a:graphicData>
            </a:graphic>
          </wp:inline>
        </w:drawing>
      </w:r>
    </w:p>
    <w:p w:rsidR="00ED670F" w:rsidRPr="00ED670F" w:rsidRDefault="00ED670F" w:rsidP="00A737DA">
      <w:pPr>
        <w:pStyle w:val="TableDescription"/>
      </w:pPr>
      <w:r w:rsidRPr="00ED670F">
        <w:t>Site 82400 excluded</w:t>
      </w:r>
    </w:p>
    <w:p w:rsidR="00FF7776" w:rsidRPr="00FF7776" w:rsidRDefault="00ED670F" w:rsidP="00A737DA">
      <w:pPr>
        <w:pStyle w:val="Heading4"/>
      </w:pPr>
      <w:r>
        <w:t xml:space="preserve">Sponsor’s </w:t>
      </w:r>
      <w:r w:rsidR="00A737DA" w:rsidRPr="00A737DA">
        <w:t>r</w:t>
      </w:r>
      <w:r w:rsidR="00FF7776" w:rsidRPr="00A737DA">
        <w:t>esponse</w:t>
      </w:r>
    </w:p>
    <w:p w:rsidR="00FF7776" w:rsidRPr="00FF7776" w:rsidRDefault="00FF7776" w:rsidP="00FF7776">
      <w:pPr>
        <w:rPr>
          <w:bCs/>
        </w:rPr>
      </w:pPr>
      <w:r w:rsidRPr="00FF7776">
        <w:rPr>
          <w:bCs/>
        </w:rPr>
        <w:t xml:space="preserve">Supplement Table 132 includes all subjects from all centres: the “site 82400 excluded” note is actually not a footnote but a title applicable to Supplement Table 133. The </w:t>
      </w:r>
      <w:r w:rsidR="00ED670F">
        <w:rPr>
          <w:bCs/>
        </w:rPr>
        <w:t>sponsor</w:t>
      </w:r>
      <w:r w:rsidRPr="00FF7776">
        <w:rPr>
          <w:bCs/>
        </w:rPr>
        <w:t xml:space="preserve"> apologise</w:t>
      </w:r>
      <w:r w:rsidR="00ED670F">
        <w:rPr>
          <w:bCs/>
        </w:rPr>
        <w:t>d</w:t>
      </w:r>
      <w:r w:rsidRPr="00FF7776">
        <w:rPr>
          <w:bCs/>
        </w:rPr>
        <w:t xml:space="preserve"> for the confusing layout.</w:t>
      </w:r>
    </w:p>
    <w:p w:rsidR="00FF7776" w:rsidRPr="00FF7776" w:rsidRDefault="00FF7776" w:rsidP="00FF7776">
      <w:pPr>
        <w:rPr>
          <w:bCs/>
        </w:rPr>
      </w:pPr>
      <w:r w:rsidRPr="00FF7776">
        <w:rPr>
          <w:bCs/>
        </w:rPr>
        <w:t xml:space="preserve">In </w:t>
      </w:r>
      <w:r w:rsidR="000E0F86">
        <w:rPr>
          <w:bCs/>
        </w:rPr>
        <w:t>Study D-QIV</w:t>
      </w:r>
      <w:r w:rsidRPr="00FF7776">
        <w:rPr>
          <w:bCs/>
        </w:rPr>
        <w:t>-003, site 82400 in the US was audited and as quality issues were found, the Company decided to also analyse the primary objective of the study excluding the 69 subjects of this site. Though the number of subjects from this centre represented less than 5% (</w:t>
      </w:r>
      <w:r w:rsidR="00ED670F">
        <w:rPr>
          <w:bCs/>
        </w:rPr>
        <w:t xml:space="preserve">that is, </w:t>
      </w:r>
      <w:r w:rsidRPr="00FF7776">
        <w:rPr>
          <w:bCs/>
        </w:rPr>
        <w:t>2.3%) and no difference was expected to be seen, the primary objectives (non-inferiority objectives) were analysed excluding this center for the Total Vaccinated Cohort. Data including and excluding those subjects from the total vaccinated cohort are thus presented in the report:</w:t>
      </w:r>
    </w:p>
    <w:p w:rsidR="00FF7776" w:rsidRPr="00FF7776" w:rsidRDefault="00FF7776" w:rsidP="00ED670F">
      <w:pPr>
        <w:pStyle w:val="ListBullet"/>
      </w:pPr>
      <w:r w:rsidRPr="00FF7776">
        <w:t>The non-inferiority of D-QIV versus TIV-1 (Fluarix) and TIV-2 in children 3 to 17 years old, at 2</w:t>
      </w:r>
      <w:r w:rsidR="00ED670F">
        <w:t>8 days after last vaccination, wa</w:t>
      </w:r>
      <w:r w:rsidRPr="00FF7776">
        <w:t>s presented in Supplement 127 to Supplement 132.</w:t>
      </w:r>
    </w:p>
    <w:p w:rsidR="00FF7776" w:rsidRPr="00FF7776" w:rsidRDefault="00FF7776" w:rsidP="00ED670F">
      <w:pPr>
        <w:pStyle w:val="ListBullet"/>
      </w:pPr>
      <w:r w:rsidRPr="00FF7776">
        <w:t>The non-inferiority of D-QIV versus TIV-1 (Fluarix) and TIV-2 in children 3 to 17 years old, at 28 days after last vaccin</w:t>
      </w:r>
      <w:r w:rsidR="00ED670F">
        <w:t>ation excluding the site 82400 wa</w:t>
      </w:r>
      <w:r w:rsidRPr="00FF7776">
        <w:t>s presented in Supplement 133 to Supplement 138.</w:t>
      </w:r>
    </w:p>
    <w:p w:rsidR="00FF7776" w:rsidRPr="00FF7776" w:rsidRDefault="00FF7776" w:rsidP="00FF7776">
      <w:pPr>
        <w:rPr>
          <w:bCs/>
        </w:rPr>
      </w:pPr>
      <w:r w:rsidRPr="00FF7776">
        <w:rPr>
          <w:bCs/>
        </w:rPr>
        <w:lastRenderedPageBreak/>
        <w:t>Excluding site 82400 from the total vaccinated cohort did not affect the outcome of the non-inferiority analysis in the total vaccinated cohort.</w:t>
      </w:r>
    </w:p>
    <w:p w:rsidR="00FF7776" w:rsidRPr="00FF7776" w:rsidRDefault="00ED670F" w:rsidP="00A737DA">
      <w:pPr>
        <w:pStyle w:val="Heading4"/>
      </w:pPr>
      <w:r>
        <w:t xml:space="preserve">Evaluator </w:t>
      </w:r>
      <w:r w:rsidR="00A737DA">
        <w:t>c</w:t>
      </w:r>
      <w:r w:rsidR="00FF7776" w:rsidRPr="00FF7776">
        <w:t>omment</w:t>
      </w:r>
    </w:p>
    <w:p w:rsidR="00FF7776" w:rsidRPr="00FF7776" w:rsidRDefault="00FF7776" w:rsidP="00FF7776">
      <w:pPr>
        <w:rPr>
          <w:bCs/>
        </w:rPr>
      </w:pPr>
      <w:r w:rsidRPr="00FF7776">
        <w:rPr>
          <w:bCs/>
        </w:rPr>
        <w:t>Response accepted</w:t>
      </w:r>
      <w:r w:rsidR="00ED670F">
        <w:rPr>
          <w:bCs/>
        </w:rPr>
        <w:t>.</w:t>
      </w:r>
    </w:p>
    <w:p w:rsidR="00FF7776" w:rsidRPr="00FF7776" w:rsidRDefault="00FF7776" w:rsidP="00A737DA">
      <w:pPr>
        <w:pStyle w:val="Heading3"/>
      </w:pPr>
      <w:bookmarkStart w:id="187" w:name="_Toc383345687"/>
      <w:r w:rsidRPr="00A737DA">
        <w:t>Question</w:t>
      </w:r>
      <w:r w:rsidRPr="00FF7776">
        <w:t xml:space="preserve"> 7 (D-QIV-002)</w:t>
      </w:r>
      <w:bookmarkEnd w:id="187"/>
    </w:p>
    <w:p w:rsidR="00FF7776" w:rsidRPr="00FF7776" w:rsidRDefault="00FF7776" w:rsidP="00A737DA">
      <w:r w:rsidRPr="00FF7776">
        <w:t xml:space="preserve">Please provide details of the B strain lineage contained in the priming vaccine.  </w:t>
      </w:r>
    </w:p>
    <w:p w:rsidR="00FF7776" w:rsidRPr="00FF7776" w:rsidRDefault="00ED670F" w:rsidP="00A737DA">
      <w:pPr>
        <w:pStyle w:val="Heading4"/>
      </w:pPr>
      <w:r>
        <w:t xml:space="preserve">Sponsor’s </w:t>
      </w:r>
      <w:r w:rsidR="00A737DA">
        <w:t>r</w:t>
      </w:r>
      <w:r w:rsidR="00FF7776" w:rsidRPr="00FF7776">
        <w:t>esponse</w:t>
      </w:r>
    </w:p>
    <w:p w:rsidR="00FF7776" w:rsidRPr="00FF7776" w:rsidRDefault="00ED670F" w:rsidP="00A737DA">
      <w:pPr>
        <w:pStyle w:val="TableTitle"/>
      </w:pPr>
      <w:proofErr w:type="gramStart"/>
      <w:r>
        <w:t>Table 53.</w:t>
      </w:r>
      <w:proofErr w:type="gramEnd"/>
      <w:r>
        <w:t xml:space="preserve"> </w:t>
      </w:r>
      <w:r w:rsidR="00FF7776" w:rsidRPr="00FF7776">
        <w:t>Strain composition of vaccine formulation used in study Fluarix-US- 007</w:t>
      </w:r>
    </w:p>
    <w:p w:rsidR="00FF7776" w:rsidRPr="00FF7776" w:rsidRDefault="00FF7776" w:rsidP="00FF7776">
      <w:r w:rsidRPr="00FF7776">
        <w:rPr>
          <w:noProof/>
          <w:lang w:eastAsia="en-AU"/>
        </w:rPr>
        <w:drawing>
          <wp:inline distT="0" distB="0" distL="0" distR="0">
            <wp:extent cx="5229225" cy="1372636"/>
            <wp:effectExtent l="19050" t="0" r="0" b="0"/>
            <wp:docPr id="210" name="Picture 1" descr="Table 53. Strain composition of vaccine formulation used in study Fluarix-US-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5233529" cy="1373766"/>
                    </a:xfrm>
                    <a:prstGeom prst="rect">
                      <a:avLst/>
                    </a:prstGeom>
                    <a:noFill/>
                    <a:ln w="9525">
                      <a:noFill/>
                      <a:miter lim="800000"/>
                      <a:headEnd/>
                      <a:tailEnd/>
                    </a:ln>
                  </pic:spPr>
                </pic:pic>
              </a:graphicData>
            </a:graphic>
          </wp:inline>
        </w:drawing>
      </w:r>
    </w:p>
    <w:p w:rsidR="00FF7776" w:rsidRPr="00A737DA" w:rsidRDefault="00ED670F" w:rsidP="00A737DA">
      <w:pPr>
        <w:pStyle w:val="Heading4"/>
      </w:pPr>
      <w:r w:rsidRPr="00A737DA">
        <w:t xml:space="preserve">Evaluator </w:t>
      </w:r>
      <w:r w:rsidR="00A737DA" w:rsidRPr="00A737DA">
        <w:t>c</w:t>
      </w:r>
      <w:r w:rsidR="00FF7776" w:rsidRPr="00A737DA">
        <w:t>o</w:t>
      </w:r>
      <w:r w:rsidR="00FF7776" w:rsidRPr="00A737DA">
        <w:rPr>
          <w:rStyle w:val="Heading4Char"/>
          <w:b/>
          <w:bCs/>
        </w:rPr>
        <w:t>m</w:t>
      </w:r>
      <w:r w:rsidR="00FF7776" w:rsidRPr="00A737DA">
        <w:t>ment</w:t>
      </w:r>
    </w:p>
    <w:p w:rsidR="00FF7776" w:rsidRPr="00FF7776" w:rsidRDefault="00FF7776" w:rsidP="00FF7776">
      <w:r w:rsidRPr="00FF7776">
        <w:t>Response accepted.</w:t>
      </w:r>
    </w:p>
    <w:p w:rsidR="00FF7776" w:rsidRPr="00FF7776" w:rsidRDefault="00FF7776" w:rsidP="00A737DA">
      <w:pPr>
        <w:pStyle w:val="Heading3"/>
      </w:pPr>
      <w:bookmarkStart w:id="188" w:name="_Toc383345688"/>
      <w:r w:rsidRPr="00FF7776">
        <w:t>Question 8 (D-QIV-002)</w:t>
      </w:r>
      <w:bookmarkEnd w:id="188"/>
    </w:p>
    <w:p w:rsidR="00FF7776" w:rsidRPr="00FF7776" w:rsidRDefault="00FF7776" w:rsidP="00A737DA">
      <w:r w:rsidRPr="00FF7776">
        <w:t xml:space="preserve">Please explain the reason for inclusion of cohorts and sub-cohorts, a design feature which was found difficult to evaluate, particularly when reconciling text with table headings. </w:t>
      </w:r>
    </w:p>
    <w:p w:rsidR="00FF7776" w:rsidRPr="00FF7776" w:rsidRDefault="00ED670F" w:rsidP="00A737DA">
      <w:pPr>
        <w:pStyle w:val="Heading4"/>
      </w:pPr>
      <w:r>
        <w:t xml:space="preserve">Sponsor’s </w:t>
      </w:r>
      <w:r w:rsidR="00A737DA">
        <w:t>response</w:t>
      </w:r>
    </w:p>
    <w:p w:rsidR="00FF7776" w:rsidRPr="00FF7776" w:rsidRDefault="00FF7776" w:rsidP="00FF7776">
      <w:r w:rsidRPr="00FF7776">
        <w:t xml:space="preserve">The reason to create the sub-cohorts was to get only two blood samples in the independent cohort of unprimed children instead of three, </w:t>
      </w:r>
      <w:r w:rsidR="00ED670F">
        <w:t>that is,</w:t>
      </w:r>
      <w:r w:rsidRPr="00FF7776">
        <w:t xml:space="preserve"> the first one on </w:t>
      </w:r>
      <w:r w:rsidR="00ED670F">
        <w:t>D</w:t>
      </w:r>
      <w:r w:rsidRPr="00FF7776">
        <w:t>ay 0 a</w:t>
      </w:r>
      <w:r w:rsidR="00ED670F">
        <w:t>nd the second one either after Dose 1 or after D</w:t>
      </w:r>
      <w:r w:rsidRPr="00FF7776">
        <w:t>ose 2, yet to explore the immune responses after the first and the second dose.</w:t>
      </w:r>
    </w:p>
    <w:p w:rsidR="00FF7776" w:rsidRPr="00FF7776" w:rsidRDefault="00ED670F" w:rsidP="00A737DA">
      <w:pPr>
        <w:pStyle w:val="Heading4"/>
      </w:pPr>
      <w:r>
        <w:t xml:space="preserve">Evaluator </w:t>
      </w:r>
      <w:r w:rsidR="00A737DA">
        <w:t>comment</w:t>
      </w:r>
    </w:p>
    <w:p w:rsidR="00FF7776" w:rsidRPr="00FF7776" w:rsidRDefault="00ED670F" w:rsidP="00FF7776">
      <w:r>
        <w:t>The response wa</w:t>
      </w:r>
      <w:r w:rsidR="00FF7776" w:rsidRPr="00FF7776">
        <w:t>s accepted. Reporting of cohorts, sub-cohorts and populations for analysis was confusing unlike any other s</w:t>
      </w:r>
      <w:r w:rsidR="00A737DA">
        <w:t>tudy submitted in this dossier.</w:t>
      </w:r>
    </w:p>
    <w:p w:rsidR="00FF7776" w:rsidRPr="00FF7776" w:rsidRDefault="00FF7776" w:rsidP="00A737DA">
      <w:pPr>
        <w:pStyle w:val="Heading3"/>
      </w:pPr>
      <w:bookmarkStart w:id="189" w:name="_Toc383345689"/>
      <w:r w:rsidRPr="00FF7776">
        <w:t>Question 9 (D-QIV-002)</w:t>
      </w:r>
      <w:bookmarkEnd w:id="189"/>
    </w:p>
    <w:p w:rsidR="00FF7776" w:rsidRPr="00FF7776" w:rsidRDefault="00FF7776" w:rsidP="00A737DA">
      <w:r w:rsidRPr="00FF7776">
        <w:t xml:space="preserve">It appears that there may be some cross reactivity between the 2 B-lineages in primed and unprimed children, or there may have been B-Yamagata circulating in community. Please discuss the findings as </w:t>
      </w:r>
      <w:r w:rsidR="001E6DE1">
        <w:t>the sponsor</w:t>
      </w:r>
      <w:r w:rsidRPr="00FF7776">
        <w:t xml:space="preserve"> ha</w:t>
      </w:r>
      <w:r w:rsidR="001E6DE1">
        <w:t>s</w:t>
      </w:r>
      <w:r w:rsidRPr="00FF7776">
        <w:t xml:space="preserve"> previously stated that in unprimed children there is evidence of low or almost non-existing cross-reactivity of antibodies</w:t>
      </w:r>
      <w:r w:rsidR="00A737DA">
        <w:t xml:space="preserve"> between the two B lineages.</w:t>
      </w:r>
    </w:p>
    <w:p w:rsidR="00FF7776" w:rsidRPr="00FF7776" w:rsidRDefault="001E6DE1" w:rsidP="00A737DA">
      <w:pPr>
        <w:pStyle w:val="Heading4"/>
      </w:pPr>
      <w:r>
        <w:t xml:space="preserve">Sponsor’s </w:t>
      </w:r>
      <w:r w:rsidR="00A737DA">
        <w:t>r</w:t>
      </w:r>
      <w:r w:rsidR="00FF7776" w:rsidRPr="00FF7776">
        <w:t>esponse</w:t>
      </w:r>
    </w:p>
    <w:p w:rsidR="00FF7776" w:rsidRPr="00FF7776" w:rsidRDefault="00FF7776" w:rsidP="00FF7776">
      <w:r w:rsidRPr="00FF7776">
        <w:t xml:space="preserve">The </w:t>
      </w:r>
      <w:r w:rsidR="001E6DE1">
        <w:t>sponsor</w:t>
      </w:r>
      <w:r w:rsidRPr="00FF7776">
        <w:t xml:space="preserve"> acknowledge</w:t>
      </w:r>
      <w:r w:rsidR="001E6DE1">
        <w:t>d</w:t>
      </w:r>
      <w:r w:rsidRPr="00FF7776">
        <w:t xml:space="preserve"> that some level of cross-reactivity is indeed observed between the two B lineages, both in children and in adults. This was observed in </w:t>
      </w:r>
      <w:r w:rsidR="001E6DE1">
        <w:t>S</w:t>
      </w:r>
      <w:r w:rsidRPr="00FF7776">
        <w:t xml:space="preserve">tudy DQIV- 002 as well as </w:t>
      </w:r>
      <w:r w:rsidR="001E6DE1">
        <w:t>in S</w:t>
      </w:r>
      <w:r w:rsidRPr="00FF7776">
        <w:t>tudies D-QIV-003 and D-QIV-008.</w:t>
      </w:r>
    </w:p>
    <w:p w:rsidR="00FF7776" w:rsidRPr="00FF7776" w:rsidRDefault="00FF7776" w:rsidP="00FF7776">
      <w:proofErr w:type="gramStart"/>
      <w:r w:rsidRPr="00FF7776">
        <w:lastRenderedPageBreak/>
        <w:t>Results obtained in this suggests</w:t>
      </w:r>
      <w:proofErr w:type="gramEnd"/>
      <w:r w:rsidRPr="00FF7776">
        <w:t xml:space="preserve"> that the level of cross-reactivity may increase with age, in line with the hypothesis that cross-reactivity is impacted by previous exposure</w:t>
      </w:r>
      <w:r w:rsidR="00A737DA">
        <w:t>.</w:t>
      </w:r>
    </w:p>
    <w:p w:rsidR="00FF7776" w:rsidRPr="00FF7776" w:rsidRDefault="001E6DE1" w:rsidP="00A737DA">
      <w:pPr>
        <w:pStyle w:val="Heading4"/>
      </w:pPr>
      <w:r>
        <w:t xml:space="preserve">Evaluator </w:t>
      </w:r>
      <w:r w:rsidR="00A737DA">
        <w:t>c</w:t>
      </w:r>
      <w:r w:rsidR="00FF7776" w:rsidRPr="00FF7776">
        <w:t>omment</w:t>
      </w:r>
    </w:p>
    <w:p w:rsidR="00FF7776" w:rsidRPr="00FF7776" w:rsidRDefault="00FF7776" w:rsidP="00FF7776">
      <w:r w:rsidRPr="00FF7776">
        <w:t>Response accepted</w:t>
      </w:r>
      <w:r w:rsidR="001E6DE1">
        <w:t>.</w:t>
      </w:r>
    </w:p>
    <w:p w:rsidR="00FF7776" w:rsidRPr="00FF7776" w:rsidRDefault="00FF7776" w:rsidP="001E6DE1">
      <w:pPr>
        <w:pStyle w:val="Heading3"/>
      </w:pPr>
      <w:bookmarkStart w:id="190" w:name="_Toc383345690"/>
      <w:r w:rsidRPr="00FF7776">
        <w:t>Question 10 (D-QIV-002)</w:t>
      </w:r>
      <w:bookmarkEnd w:id="190"/>
    </w:p>
    <w:p w:rsidR="00FF7776" w:rsidRPr="00FF7776" w:rsidRDefault="00FF7776" w:rsidP="00A737DA">
      <w:r w:rsidRPr="00FF7776">
        <w:t>SCRs met the CPMP criteria for adults between 18 and 60 years of &gt; 40% for the primed individuals vaccinated with TIV and for both unprimed groups. The result for primed individuals vaccinated with D-QIV met the criterion of &gt; 30% for adults over 60 years. The SCR and SPR results for unprimed participants are considered to suggest that the primed as well as the unprimed, very young children may benefit from a tw</w:t>
      </w:r>
      <w:r w:rsidR="00A737DA">
        <w:t>o dose regimen. Please comment.</w:t>
      </w:r>
    </w:p>
    <w:p w:rsidR="00FF7776" w:rsidRPr="00FF7776" w:rsidRDefault="001E6DE1" w:rsidP="00A737DA">
      <w:pPr>
        <w:pStyle w:val="Heading4"/>
      </w:pPr>
      <w:r>
        <w:t xml:space="preserve">Sponsor’s </w:t>
      </w:r>
      <w:r w:rsidR="00A737DA">
        <w:t>r</w:t>
      </w:r>
      <w:r w:rsidR="00FF7776" w:rsidRPr="00FF7776">
        <w:t>esponse</w:t>
      </w:r>
    </w:p>
    <w:p w:rsidR="00FF7776" w:rsidRPr="00FF7776" w:rsidRDefault="00FF7776" w:rsidP="00A737DA">
      <w:pPr>
        <w:pStyle w:val="ListBullet"/>
      </w:pPr>
      <w:r w:rsidRPr="00FF7776">
        <w:t>Dosage was based on that recommended for inactivated influenza vaccines</w:t>
      </w:r>
    </w:p>
    <w:p w:rsidR="00FF7776" w:rsidRPr="00FF7776" w:rsidRDefault="00FF7776" w:rsidP="00A737DA">
      <w:pPr>
        <w:pStyle w:val="ListBullet"/>
      </w:pPr>
      <w:r w:rsidRPr="00FF7776">
        <w:t>The company acknowledge</w:t>
      </w:r>
      <w:r w:rsidR="001E6DE1">
        <w:t>d</w:t>
      </w:r>
      <w:r w:rsidRPr="00FF7776">
        <w:t xml:space="preserve"> the somewhat lower immune responses after one dose of vaccine in primed children</w:t>
      </w:r>
      <w:r w:rsidR="001E6DE1">
        <w:t>.</w:t>
      </w:r>
    </w:p>
    <w:p w:rsidR="00FF7776" w:rsidRPr="00FF7776" w:rsidRDefault="00FF7776" w:rsidP="00A737DA">
      <w:pPr>
        <w:pStyle w:val="ListBullet"/>
      </w:pPr>
      <w:r w:rsidRPr="00FF7776">
        <w:t xml:space="preserve">Primed children had received a vaccine </w:t>
      </w:r>
      <w:r w:rsidR="00F873CF">
        <w:t>that</w:t>
      </w:r>
      <w:r w:rsidRPr="00FF7776">
        <w:t xml:space="preserve"> prevented natural infection whereas unprimed children may have had natural exposure/infection</w:t>
      </w:r>
      <w:r w:rsidR="001E6DE1">
        <w:t>.</w:t>
      </w:r>
    </w:p>
    <w:p w:rsidR="00FF7776" w:rsidRPr="00FF7776" w:rsidRDefault="00FF7776" w:rsidP="00A737DA">
      <w:pPr>
        <w:pStyle w:val="ListBullet"/>
      </w:pPr>
      <w:r w:rsidRPr="00FF7776">
        <w:t>The study was not powered to compare responses of primed</w:t>
      </w:r>
      <w:r w:rsidR="00C64FF5">
        <w:t xml:space="preserve"> versus </w:t>
      </w:r>
      <w:r w:rsidRPr="00FF7776">
        <w:t>unprimed children</w:t>
      </w:r>
      <w:r w:rsidR="001E6DE1">
        <w:t>.</w:t>
      </w:r>
    </w:p>
    <w:p w:rsidR="00FF7776" w:rsidRPr="00FF7776" w:rsidRDefault="00FF7776" w:rsidP="00A737DA">
      <w:pPr>
        <w:pStyle w:val="ListBullet"/>
      </w:pPr>
      <w:r w:rsidRPr="00FF7776">
        <w:t>The study population was younger than the lower age limit sought for the Fluarix Tetra indication</w:t>
      </w:r>
      <w:r w:rsidR="001E6DE1">
        <w:t>.</w:t>
      </w:r>
    </w:p>
    <w:p w:rsidR="00FF7776" w:rsidRPr="00FF7776" w:rsidRDefault="00FF7776" w:rsidP="00A737DA">
      <w:pPr>
        <w:pStyle w:val="ListBullet"/>
      </w:pPr>
      <w:r w:rsidRPr="00FF7776">
        <w:t>Responses in primed</w:t>
      </w:r>
      <w:r w:rsidR="00C64FF5">
        <w:t xml:space="preserve"> versus </w:t>
      </w:r>
      <w:r w:rsidRPr="00FF7776">
        <w:t>unprimed very young children may vary according to antigens to which they have been exposed</w:t>
      </w:r>
      <w:r w:rsidR="001E6DE1">
        <w:t>.</w:t>
      </w:r>
    </w:p>
    <w:p w:rsidR="00FF7776" w:rsidRPr="00FF7776" w:rsidRDefault="00FF7776" w:rsidP="00A737DA">
      <w:pPr>
        <w:pStyle w:val="ListBullet"/>
      </w:pPr>
      <w:r w:rsidRPr="00FF7776">
        <w:t>A field study would be impossible to validate due to inherent nature of flu vaccines with varying composition each year.</w:t>
      </w:r>
    </w:p>
    <w:p w:rsidR="00FF7776" w:rsidRPr="00FF7776" w:rsidRDefault="001E6DE1" w:rsidP="00A737DA">
      <w:pPr>
        <w:pStyle w:val="Heading4"/>
      </w:pPr>
      <w:r>
        <w:t xml:space="preserve">Evaluator </w:t>
      </w:r>
      <w:r w:rsidR="00A737DA">
        <w:t>c</w:t>
      </w:r>
      <w:r w:rsidR="00FF7776" w:rsidRPr="00FF7776">
        <w:t>omment</w:t>
      </w:r>
    </w:p>
    <w:p w:rsidR="00FF7776" w:rsidRPr="00FF7776" w:rsidRDefault="00FF7776" w:rsidP="00FF7776">
      <w:r w:rsidRPr="00FF7776">
        <w:t>The question raised a</w:t>
      </w:r>
      <w:r w:rsidR="00F873CF">
        <w:t xml:space="preserve"> hypothesis and it wa</w:t>
      </w:r>
      <w:r w:rsidRPr="00FF7776">
        <w:t xml:space="preserve">s agreed that this could not be tested in D-QIV-002. The hypothesis will become more relevant if the company wishes to register the vaccine for </w:t>
      </w:r>
      <w:r w:rsidR="00A737DA">
        <w:t>younger children in the future.</w:t>
      </w:r>
    </w:p>
    <w:p w:rsidR="00FF7776" w:rsidRPr="00FF7776" w:rsidRDefault="00FF7776" w:rsidP="00A737DA">
      <w:pPr>
        <w:pStyle w:val="Heading3"/>
      </w:pPr>
      <w:bookmarkStart w:id="191" w:name="_Toc383345691"/>
      <w:r w:rsidRPr="00FF7776">
        <w:t>Question 11 (D-QIV-003 and D-QIV-002)</w:t>
      </w:r>
      <w:bookmarkEnd w:id="191"/>
    </w:p>
    <w:p w:rsidR="00FF7776" w:rsidRPr="00FF7776" w:rsidRDefault="00FF7776" w:rsidP="00A737DA">
      <w:r w:rsidRPr="00FF7776">
        <w:t xml:space="preserve">Regarding the paediatric studies, in reporting of temperature, and in particular in grading of fever, it is unclear whether there was adjustment for method of recording fever.  In both studies according to the protocol, fever was defined as: rectal temperature </w:t>
      </w:r>
      <w:r w:rsidR="001E6DE1">
        <w:t>≥</w:t>
      </w:r>
      <w:r w:rsidRPr="00FF7776">
        <w:t xml:space="preserve"> 38°C/axillary temperature </w:t>
      </w:r>
      <w:r w:rsidR="001E6DE1">
        <w:t>≥</w:t>
      </w:r>
      <w:r w:rsidRPr="00FF7776">
        <w:t xml:space="preserve"> 37.5°C /oral temperature </w:t>
      </w:r>
      <w:r w:rsidR="001E6DE1">
        <w:t>≥</w:t>
      </w:r>
      <w:r w:rsidRPr="00FF7776">
        <w:t xml:space="preserve"> 37.5°C. The grading shown in the table below does not account for the method of measurement. Was adjustment made for method of measurement in analysis of fever? </w:t>
      </w:r>
    </w:p>
    <w:p w:rsidR="00FF7776" w:rsidRPr="00FF7776" w:rsidRDefault="00FF7776" w:rsidP="00A737DA">
      <w:pPr>
        <w:pStyle w:val="TableTitle"/>
      </w:pPr>
      <w:proofErr w:type="gramStart"/>
      <w:r w:rsidRPr="00FF7776">
        <w:t>Table</w:t>
      </w:r>
      <w:r w:rsidR="001E6DE1">
        <w:t xml:space="preserve"> 54.</w:t>
      </w:r>
      <w:proofErr w:type="gramEnd"/>
      <w:r w:rsidRPr="00FF7776">
        <w:t xml:space="preserve"> Studies D-QIV-001, D-QIV-002, D-QIV-003 and D-QIV-008: Intensity scores used for fever</w:t>
      </w:r>
    </w:p>
    <w:p w:rsidR="00FF7776" w:rsidRPr="00FF7776" w:rsidRDefault="00FF7776" w:rsidP="00FF7776">
      <w:r w:rsidRPr="00FF7776">
        <w:rPr>
          <w:noProof/>
          <w:lang w:eastAsia="en-AU"/>
        </w:rPr>
        <w:drawing>
          <wp:inline distT="0" distB="0" distL="0" distR="0">
            <wp:extent cx="5238750" cy="1190625"/>
            <wp:effectExtent l="19050" t="0" r="0" b="0"/>
            <wp:docPr id="211" name="Picture 56" descr="Table 54. Studies D-QIV-001, D-QIV-002, D-QIV-003 and D-QIV-008: Intensity scores used for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srcRect/>
                    <a:stretch>
                      <a:fillRect/>
                    </a:stretch>
                  </pic:blipFill>
                  <pic:spPr bwMode="auto">
                    <a:xfrm>
                      <a:off x="0" y="0"/>
                      <a:ext cx="5238750" cy="1190625"/>
                    </a:xfrm>
                    <a:prstGeom prst="rect">
                      <a:avLst/>
                    </a:prstGeom>
                    <a:noFill/>
                    <a:ln w="9525">
                      <a:noFill/>
                      <a:miter lim="800000"/>
                      <a:headEnd/>
                      <a:tailEnd/>
                    </a:ln>
                  </pic:spPr>
                </pic:pic>
              </a:graphicData>
            </a:graphic>
          </wp:inline>
        </w:drawing>
      </w:r>
    </w:p>
    <w:p w:rsidR="00FF7776" w:rsidRPr="00FF7776" w:rsidRDefault="001E6DE1" w:rsidP="00A737DA">
      <w:pPr>
        <w:pStyle w:val="Heading4"/>
      </w:pPr>
      <w:r>
        <w:lastRenderedPageBreak/>
        <w:t xml:space="preserve">Sponsor’s </w:t>
      </w:r>
      <w:r w:rsidR="00A737DA">
        <w:t>r</w:t>
      </w:r>
      <w:r w:rsidR="00FF7776" w:rsidRPr="00FF7776">
        <w:t>esponse</w:t>
      </w:r>
    </w:p>
    <w:p w:rsidR="00FF7776" w:rsidRPr="00FF7776" w:rsidRDefault="00FF7776" w:rsidP="00FF7776">
      <w:r w:rsidRPr="00FF7776">
        <w:t xml:space="preserve">The </w:t>
      </w:r>
      <w:r w:rsidR="001E6DE1">
        <w:t>sponsor confirmed</w:t>
      </w:r>
      <w:r w:rsidRPr="00FF7776">
        <w:t xml:space="preserve"> tha</w:t>
      </w:r>
      <w:r w:rsidR="001E6DE1">
        <w:t>t</w:t>
      </w:r>
      <w:r w:rsidRPr="00FF7776">
        <w:t xml:space="preserve"> for p</w:t>
      </w:r>
      <w:r w:rsidR="001E6DE1">
        <w:t>a</w:t>
      </w:r>
      <w:r w:rsidRPr="00FF7776">
        <w:t xml:space="preserve">ediatric studies, an adjustment for temperature measurement was done according to the recording route, </w:t>
      </w:r>
      <w:r w:rsidR="001E6DE1">
        <w:t>that is,</w:t>
      </w:r>
      <w:r w:rsidRPr="00FF7776">
        <w:t xml:space="preserve"> Grade 1 fever is either </w:t>
      </w:r>
      <w:r w:rsidR="001E6DE1">
        <w:t xml:space="preserve">≥ </w:t>
      </w:r>
      <w:r w:rsidRPr="00FF7776">
        <w:t xml:space="preserve">38°C by rectal route or </w:t>
      </w:r>
      <w:r w:rsidR="001E6DE1">
        <w:t>≥</w:t>
      </w:r>
      <w:r w:rsidRPr="00FF7776">
        <w:t xml:space="preserve"> 37.5°C by any other route. Other grades are systematically defined with </w:t>
      </w:r>
      <w:proofErr w:type="gramStart"/>
      <w:r w:rsidRPr="00FF7776">
        <w:t>0.5</w:t>
      </w:r>
      <w:r w:rsidR="001E6DE1">
        <w:sym w:font="Symbol" w:char="F0B0"/>
      </w:r>
      <w:r w:rsidRPr="00FF7776">
        <w:rPr>
          <w:rFonts w:cs="Cambria"/>
        </w:rPr>
        <w:t>C increment</w:t>
      </w:r>
      <w:proofErr w:type="gramEnd"/>
      <w:r w:rsidRPr="00FF7776">
        <w:rPr>
          <w:rFonts w:cs="Cambria"/>
        </w:rPr>
        <w:t xml:space="preserve"> for rectal route.</w:t>
      </w:r>
    </w:p>
    <w:p w:rsidR="00FF7776" w:rsidRPr="00FF7776" w:rsidRDefault="00FF7776" w:rsidP="00FF7776">
      <w:r w:rsidRPr="00FF7776">
        <w:t>In the D-QIV 002 study, all temperature measurements (which were recorded and their route known) were done using the axillary route.</w:t>
      </w:r>
    </w:p>
    <w:p w:rsidR="00FF7776" w:rsidRPr="00FF7776" w:rsidRDefault="00FF7776" w:rsidP="00FF7776">
      <w:r w:rsidRPr="00FF7776">
        <w:t>In the D-QIV 003 study, approximately 20% of the subjects recorded their temperature using the rectal route while the rest of the subjects measured using the oral, axillary or tympanic route.</w:t>
      </w:r>
    </w:p>
    <w:p w:rsidR="00FF7776" w:rsidRPr="00FF7776" w:rsidRDefault="001E6DE1" w:rsidP="00A737DA">
      <w:pPr>
        <w:pStyle w:val="Heading4"/>
      </w:pPr>
      <w:r>
        <w:t xml:space="preserve">Evaluators </w:t>
      </w:r>
      <w:r w:rsidR="00A737DA">
        <w:t>comment</w:t>
      </w:r>
    </w:p>
    <w:p w:rsidR="00FF7776" w:rsidRPr="00FF7776" w:rsidRDefault="00FF7776" w:rsidP="00FF7776">
      <w:r w:rsidRPr="00FF7776">
        <w:t>With res</w:t>
      </w:r>
      <w:r w:rsidR="001E6DE1">
        <w:t>pect to D-QIV-002 the response wa</w:t>
      </w:r>
      <w:r w:rsidR="00A737DA">
        <w:t>s accepted.</w:t>
      </w:r>
    </w:p>
    <w:p w:rsidR="00FF7776" w:rsidRPr="00FF7776" w:rsidRDefault="00FF7776" w:rsidP="00FF7776">
      <w:r w:rsidRPr="00FF7776">
        <w:t>With respect to D-QIV-003, in the absence of confirmation that all measurements were record</w:t>
      </w:r>
      <w:r w:rsidR="001E6DE1">
        <w:t>ed with their route known, it was</w:t>
      </w:r>
      <w:r w:rsidRPr="00FF7776">
        <w:t xml:space="preserve"> considered that the potential may have been present to underreport the incidence of fever if correction could not be made when rou</w:t>
      </w:r>
      <w:r w:rsidR="00A737DA">
        <w:t>te of measurement was unknown.</w:t>
      </w:r>
    </w:p>
    <w:p w:rsidR="00FF7776" w:rsidRPr="00FF7776" w:rsidRDefault="00FF7776" w:rsidP="00A737DA">
      <w:pPr>
        <w:pStyle w:val="Heading3"/>
      </w:pPr>
      <w:bookmarkStart w:id="192" w:name="_Toc383345692"/>
      <w:r w:rsidRPr="00A737DA">
        <w:t>Question</w:t>
      </w:r>
      <w:r w:rsidRPr="00FF7776">
        <w:t xml:space="preserve"> 12 (All D-QIV studies)</w:t>
      </w:r>
      <w:bookmarkEnd w:id="192"/>
    </w:p>
    <w:p w:rsidR="00FF7776" w:rsidRPr="00FF7776" w:rsidRDefault="00FF7776" w:rsidP="00A737DA">
      <w:r w:rsidRPr="00FF7776">
        <w:t>Were the disposable needle and syringe used in each of the D-QIV studies the same as that proposed for use with the registered product? If so, were there any accidents reported when the prefilled syringe wa</w:t>
      </w:r>
      <w:r w:rsidR="00A737DA">
        <w:t>s being prepared for injection?</w:t>
      </w:r>
    </w:p>
    <w:p w:rsidR="00FF7776" w:rsidRPr="00FF7776" w:rsidRDefault="001E6DE1" w:rsidP="00A737DA">
      <w:pPr>
        <w:pStyle w:val="Heading4"/>
      </w:pPr>
      <w:r>
        <w:t xml:space="preserve">Sponsor’s </w:t>
      </w:r>
      <w:r w:rsidR="00A737DA">
        <w:t>response</w:t>
      </w:r>
    </w:p>
    <w:p w:rsidR="00FF7776" w:rsidRPr="00FF7776" w:rsidRDefault="00FF7776" w:rsidP="00FF7776">
      <w:r w:rsidRPr="00FF7776">
        <w:t xml:space="preserve">The presentation used in all D-QIV clinical studies was the </w:t>
      </w:r>
      <w:r w:rsidR="00347F37">
        <w:t>plastic rigid tip cap (</w:t>
      </w:r>
      <w:r w:rsidRPr="00FF7776">
        <w:t>PRTC</w:t>
      </w:r>
      <w:r w:rsidR="00347F37">
        <w:t>)</w:t>
      </w:r>
      <w:r w:rsidRPr="00FF7776">
        <w:t>, a pre-filled syringe without fixed needle. No incidents or accidents were reported upon the use of this device.</w:t>
      </w:r>
    </w:p>
    <w:p w:rsidR="00FF7776" w:rsidRPr="00FF7776" w:rsidRDefault="001E6DE1" w:rsidP="00A737DA">
      <w:pPr>
        <w:pStyle w:val="Heading4"/>
      </w:pPr>
      <w:r>
        <w:t xml:space="preserve">Evaluator </w:t>
      </w:r>
      <w:r w:rsidR="00A737DA">
        <w:t>c</w:t>
      </w:r>
      <w:r w:rsidR="00FF7776" w:rsidRPr="00FF7776">
        <w:t>omment</w:t>
      </w:r>
    </w:p>
    <w:p w:rsidR="00FF7776" w:rsidRPr="00FF7776" w:rsidRDefault="00FF7776" w:rsidP="00FF7776">
      <w:r w:rsidRPr="00FF7776">
        <w:t xml:space="preserve">The response above </w:t>
      </w:r>
      <w:r w:rsidR="001E6DE1">
        <w:t>wa</w:t>
      </w:r>
      <w:r w:rsidR="00A737DA">
        <w:t>s accepted.</w:t>
      </w:r>
    </w:p>
    <w:bookmarkEnd w:id="3"/>
    <w:bookmarkEnd w:id="2"/>
    <w:bookmarkEnd w:id="1"/>
    <w:p w:rsidR="003D1E62" w:rsidRPr="001D043B" w:rsidRDefault="008E7846" w:rsidP="002666AC">
      <w:pPr>
        <w:sectPr w:rsidR="003D1E62" w:rsidRPr="001D043B" w:rsidSect="008D770F">
          <w:headerReference w:type="even" r:id="rId75"/>
          <w:headerReference w:type="default" r:id="rId76"/>
          <w:headerReference w:type="first" r:id="rId77"/>
          <w:footerReference w:type="first" r:id="rId78"/>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79"/>
      <w:headerReference w:type="default" r:id="rId80"/>
      <w:footerReference w:type="default" r:id="rId81"/>
      <w:headerReference w:type="first" r:id="rId82"/>
      <w:footerReference w:type="first" r:id="rId83"/>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463" w:rsidRDefault="00CF0463" w:rsidP="00C40A36">
      <w:pPr>
        <w:spacing w:after="0"/>
      </w:pPr>
      <w:r>
        <w:separator/>
      </w:r>
    </w:p>
  </w:endnote>
  <w:endnote w:type="continuationSeparator" w:id="0">
    <w:p w:rsidR="00CF0463" w:rsidRDefault="00CF046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573" w:type="dxa"/>
      <w:tblLayout w:type="fixed"/>
      <w:tblCellMar>
        <w:top w:w="170" w:type="dxa"/>
        <w:left w:w="0" w:type="dxa"/>
        <w:bottom w:w="227" w:type="dxa"/>
        <w:right w:w="0" w:type="dxa"/>
      </w:tblCellMar>
      <w:tblLook w:val="04A0" w:firstRow="1" w:lastRow="0" w:firstColumn="1" w:lastColumn="0" w:noHBand="0" w:noVBand="1"/>
    </w:tblPr>
    <w:tblGrid>
      <w:gridCol w:w="7938"/>
      <w:gridCol w:w="1020"/>
      <w:gridCol w:w="923"/>
      <w:gridCol w:w="923"/>
      <w:gridCol w:w="923"/>
      <w:gridCol w:w="923"/>
      <w:gridCol w:w="923"/>
    </w:tblGrid>
    <w:tr w:rsidR="00D7735A" w:rsidRPr="00487162" w:rsidTr="00CD37DF">
      <w:trPr>
        <w:trHeight w:val="269"/>
      </w:trPr>
      <w:tc>
        <w:tcPr>
          <w:tcW w:w="7938" w:type="dxa"/>
          <w:tcBorders>
            <w:top w:val="single" w:sz="4" w:space="0" w:color="auto"/>
          </w:tcBorders>
          <w:tcMar>
            <w:top w:w="142" w:type="dxa"/>
            <w:bottom w:w="0" w:type="dxa"/>
          </w:tcMar>
        </w:tcPr>
        <w:p w:rsidR="00D7735A" w:rsidRDefault="00D7735A" w:rsidP="00C252B0">
          <w:pPr>
            <w:pStyle w:val="Footer"/>
          </w:pPr>
          <w:r>
            <w:t>Submission</w:t>
          </w:r>
          <w:r w:rsidRPr="00487162">
            <w:t xml:space="preserve"> PM-20</w:t>
          </w:r>
          <w:r>
            <w:t>12</w:t>
          </w:r>
          <w:r w:rsidRPr="00487162">
            <w:t>-</w:t>
          </w:r>
          <w:r>
            <w:t>02287-3-2</w:t>
          </w:r>
        </w:p>
        <w:p w:rsidR="00D7735A" w:rsidRPr="00487162" w:rsidRDefault="00D7735A" w:rsidP="00C252B0">
          <w:pPr>
            <w:pStyle w:val="Footer"/>
          </w:pPr>
          <w:r>
            <w:t>Extract from the Clinical Evaluation Report for Fluarix Tetra</w:t>
          </w:r>
        </w:p>
      </w:tc>
      <w:tc>
        <w:tcPr>
          <w:tcW w:w="1020" w:type="dxa"/>
          <w:tcBorders>
            <w:top w:val="single" w:sz="4" w:space="0" w:color="auto"/>
          </w:tcBorders>
        </w:tcPr>
        <w:p w:rsidR="00D7735A" w:rsidRPr="00CF0024" w:rsidRDefault="00D7735A" w:rsidP="00F41460">
          <w:pPr>
            <w:pStyle w:val="Footer"/>
            <w:jc w:val="center"/>
          </w:pPr>
          <w:r w:rsidRPr="00487162">
            <w:t xml:space="preserve">Page </w:t>
          </w:r>
          <w:r>
            <w:fldChar w:fldCharType="begin"/>
          </w:r>
          <w:r>
            <w:instrText>PAGE</w:instrText>
          </w:r>
          <w:r>
            <w:fldChar w:fldCharType="separate"/>
          </w:r>
          <w:r w:rsidR="00070410">
            <w:rPr>
              <w:noProof/>
            </w:rPr>
            <w:t>69</w:t>
          </w:r>
          <w:r>
            <w:rPr>
              <w:noProof/>
            </w:rPr>
            <w:fldChar w:fldCharType="end"/>
          </w:r>
          <w:r w:rsidRPr="00487162">
            <w:t xml:space="preserve"> of</w:t>
          </w:r>
          <w:r>
            <w:t xml:space="preserve"> </w:t>
          </w:r>
          <w:fldSimple w:instr=" NUMPAGES  \* Arabic ">
            <w:r w:rsidR="00070410">
              <w:rPr>
                <w:noProof/>
              </w:rPr>
              <w:t>69</w:t>
            </w:r>
          </w:fldSimple>
        </w:p>
      </w:tc>
      <w:tc>
        <w:tcPr>
          <w:tcW w:w="923" w:type="dxa"/>
          <w:tcBorders>
            <w:top w:val="single" w:sz="4" w:space="0" w:color="auto"/>
          </w:tcBorders>
        </w:tcPr>
        <w:p w:rsidR="00D7735A" w:rsidRPr="00487162" w:rsidRDefault="00D7735A" w:rsidP="000C71CB">
          <w:pPr>
            <w:pStyle w:val="Footer"/>
            <w:jc w:val="right"/>
          </w:pPr>
        </w:p>
      </w:tc>
      <w:tc>
        <w:tcPr>
          <w:tcW w:w="923" w:type="dxa"/>
        </w:tcPr>
        <w:p w:rsidR="00D7735A" w:rsidRPr="00487162" w:rsidRDefault="00D7735A" w:rsidP="00A165A1">
          <w:pPr>
            <w:pStyle w:val="Footer"/>
            <w:jc w:val="right"/>
          </w:pPr>
        </w:p>
      </w:tc>
      <w:tc>
        <w:tcPr>
          <w:tcW w:w="923" w:type="dxa"/>
        </w:tcPr>
        <w:p w:rsidR="00D7735A" w:rsidRPr="00487162" w:rsidRDefault="00D7735A" w:rsidP="005E3EB3">
          <w:pPr>
            <w:pStyle w:val="Footer"/>
            <w:jc w:val="right"/>
          </w:pPr>
        </w:p>
      </w:tc>
      <w:tc>
        <w:tcPr>
          <w:tcW w:w="923" w:type="dxa"/>
        </w:tcPr>
        <w:p w:rsidR="00D7735A" w:rsidRPr="00487162" w:rsidRDefault="00D7735A" w:rsidP="005E3EB3">
          <w:pPr>
            <w:pStyle w:val="Footer"/>
            <w:jc w:val="right"/>
          </w:pPr>
        </w:p>
      </w:tc>
      <w:tc>
        <w:tcPr>
          <w:tcW w:w="923" w:type="dxa"/>
          <w:tcMar>
            <w:top w:w="142" w:type="dxa"/>
            <w:bottom w:w="0" w:type="dxa"/>
          </w:tcMar>
        </w:tcPr>
        <w:p w:rsidR="00D7735A" w:rsidRPr="00487162" w:rsidRDefault="00D7735A" w:rsidP="00D855D4">
          <w:pPr>
            <w:pStyle w:val="Footer"/>
            <w:jc w:val="right"/>
          </w:pPr>
        </w:p>
      </w:tc>
    </w:tr>
  </w:tbl>
  <w:p w:rsidR="00D7735A" w:rsidRDefault="00D7735A"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7735A" w:rsidRPr="00487162" w:rsidTr="00E45619">
      <w:trPr>
        <w:trHeight w:val="269"/>
      </w:trPr>
      <w:tc>
        <w:tcPr>
          <w:tcW w:w="4519" w:type="dxa"/>
          <w:tcBorders>
            <w:top w:val="single" w:sz="4" w:space="0" w:color="auto"/>
          </w:tcBorders>
          <w:tcMar>
            <w:top w:w="142" w:type="dxa"/>
            <w:bottom w:w="0" w:type="dxa"/>
          </w:tcMar>
        </w:tcPr>
        <w:p w:rsidR="00D7735A" w:rsidRPr="00487162" w:rsidRDefault="00D7735A" w:rsidP="00FE1DEE">
          <w:pPr>
            <w:pStyle w:val="Footer"/>
          </w:pPr>
          <w:r w:rsidRPr="00487162">
            <w:t>Document title, Part #, Section # - Section title</w:t>
          </w:r>
        </w:p>
        <w:p w:rsidR="00D7735A" w:rsidRPr="00487162" w:rsidRDefault="00D7735A" w:rsidP="00FE1DEE">
          <w:pPr>
            <w:pStyle w:val="Footer"/>
          </w:pPr>
          <w:r w:rsidRPr="00487162">
            <w:t>V1.0 October 2010</w:t>
          </w:r>
        </w:p>
      </w:tc>
      <w:tc>
        <w:tcPr>
          <w:tcW w:w="4342" w:type="dxa"/>
          <w:tcBorders>
            <w:top w:val="single" w:sz="4" w:space="0" w:color="auto"/>
          </w:tcBorders>
          <w:tcMar>
            <w:top w:w="142" w:type="dxa"/>
            <w:bottom w:w="0" w:type="dxa"/>
          </w:tcMar>
        </w:tcPr>
        <w:p w:rsidR="00D7735A" w:rsidRPr="00487162" w:rsidRDefault="00D7735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rsidR="00D7735A" w:rsidRDefault="00D773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EndPr/>
    <w:sdtContent>
      <w:sdt>
        <w:sdtPr>
          <w:rPr>
            <w:b w:val="0"/>
            <w:sz w:val="16"/>
          </w:rPr>
          <w:id w:val="16144364"/>
          <w:docPartObj>
            <w:docPartGallery w:val="Page Numbers (Top of Page)"/>
            <w:docPartUnique/>
          </w:docPartObj>
        </w:sdtPr>
        <w:sdtEnd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D7735A" w:rsidRPr="00487162" w:rsidTr="008D770F">
              <w:trPr>
                <w:trHeight w:hRule="exact" w:val="564"/>
              </w:trPr>
              <w:tc>
                <w:tcPr>
                  <w:tcW w:w="9175" w:type="dxa"/>
                </w:tcPr>
                <w:p w:rsidR="00D7735A" w:rsidRPr="00487162" w:rsidRDefault="00D7735A" w:rsidP="008E7846">
                  <w:pPr>
                    <w:pStyle w:val="TGASignoff"/>
                  </w:pPr>
                  <w:r w:rsidRPr="00487162">
                    <w:t>Therapeutic Goods Administration</w:t>
                  </w:r>
                </w:p>
              </w:tc>
            </w:tr>
            <w:tr w:rsidR="00D7735A" w:rsidRPr="00487162" w:rsidTr="00E45619">
              <w:trPr>
                <w:trHeight w:val="1221"/>
              </w:trPr>
              <w:tc>
                <w:tcPr>
                  <w:tcW w:w="9175" w:type="dxa"/>
                  <w:tcMar>
                    <w:top w:w="28" w:type="dxa"/>
                  </w:tcMar>
                </w:tcPr>
                <w:p w:rsidR="00D7735A" w:rsidRPr="00487162" w:rsidRDefault="00D7735A" w:rsidP="00E45619">
                  <w:pPr>
                    <w:pStyle w:val="Address"/>
                  </w:pPr>
                  <w:r w:rsidRPr="00487162">
                    <w:t>PO Box 100 Woden ACT 2606 Australia</w:t>
                  </w:r>
                </w:p>
                <w:p w:rsidR="00D7735A" w:rsidRPr="00487162" w:rsidRDefault="00D7735A"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D7735A" w:rsidRPr="008D770F" w:rsidRDefault="00070410" w:rsidP="008D770F">
                  <w:pPr>
                    <w:pStyle w:val="Address"/>
                    <w:spacing w:line="260" w:lineRule="atLeast"/>
                    <w:rPr>
                      <w:b/>
                      <w:color w:val="0000FF"/>
                      <w:u w:val="single"/>
                    </w:rPr>
                  </w:pPr>
                  <w:hyperlink r:id="rId2" w:history="1">
                    <w:r w:rsidR="00D7735A" w:rsidRPr="007C06C7">
                      <w:rPr>
                        <w:rStyle w:val="Hyperlink"/>
                        <w:b/>
                      </w:rPr>
                      <w:t>http://www.tga.gov.au</w:t>
                    </w:r>
                  </w:hyperlink>
                </w:p>
              </w:tc>
            </w:tr>
          </w:tbl>
          <w:p w:rsidR="00D7735A" w:rsidRDefault="00070410" w:rsidP="008E7846">
            <w:pPr>
              <w:pStyle w:val="Notes"/>
            </w:pP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7735A" w:rsidTr="0010601F">
      <w:trPr>
        <w:trHeight w:val="108"/>
      </w:trPr>
      <w:tc>
        <w:tcPr>
          <w:tcW w:w="8875" w:type="dxa"/>
          <w:gridSpan w:val="2"/>
          <w:tcBorders>
            <w:bottom w:val="single" w:sz="4" w:space="0" w:color="auto"/>
          </w:tcBorders>
          <w:tcMar>
            <w:right w:w="284" w:type="dxa"/>
          </w:tcMar>
        </w:tcPr>
        <w:p w:rsidR="00D7735A" w:rsidRDefault="00D7735A" w:rsidP="006E08B3">
          <w:pPr>
            <w:pStyle w:val="Heading3"/>
          </w:pPr>
          <w:r>
            <w:t>Copyright</w:t>
          </w:r>
        </w:p>
        <w:p w:rsidR="00D7735A" w:rsidRDefault="00D7735A" w:rsidP="006E08B3">
          <w:r>
            <w:rPr>
              <w:rFonts w:cs="Arial"/>
            </w:rPr>
            <w:t>©</w:t>
          </w:r>
          <w:r>
            <w:t xml:space="preserve"> Commonwealth of Australia [add year]</w:t>
          </w:r>
        </w:p>
        <w:p w:rsidR="00D7735A" w:rsidRDefault="00D7735A" w:rsidP="006E08B3"/>
        <w:p w:rsidR="00D7735A" w:rsidRDefault="00D7735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7735A" w:rsidRDefault="00D7735A" w:rsidP="006E08B3"/>
        <w:p w:rsidR="00D7735A" w:rsidRDefault="00D7735A" w:rsidP="006E08B3">
          <w:pPr>
            <w:pStyle w:val="Heading3"/>
          </w:pPr>
          <w:r>
            <w:t>Confidentiality</w:t>
          </w:r>
        </w:p>
        <w:p w:rsidR="00D7735A" w:rsidRDefault="00D7735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7735A" w:rsidRDefault="00D7735A" w:rsidP="006E08B3"/>
        <w:p w:rsidR="00D7735A" w:rsidRDefault="00D7735A" w:rsidP="006E08B3">
          <w:r>
            <w:t>For submission made by individuals, all personal details, other than your name, will be removed from your submission before it is published on the TGA’s Internet site.</w:t>
          </w:r>
        </w:p>
        <w:p w:rsidR="00D7735A" w:rsidRDefault="00D7735A" w:rsidP="006E08B3"/>
        <w:p w:rsidR="00D7735A" w:rsidRDefault="00D7735A" w:rsidP="006E08B3">
          <w:r>
            <w:t>In addition, a list of parties making submissions will be published. If you do not wish to be identified with your submission you must specifically request this in the space provided ib the submission coversheet.</w:t>
          </w:r>
        </w:p>
      </w:tc>
    </w:tr>
    <w:tr w:rsidR="00D7735A" w:rsidTr="0010601F">
      <w:trPr>
        <w:trHeight w:val="417"/>
      </w:trPr>
      <w:tc>
        <w:tcPr>
          <w:tcW w:w="4519" w:type="dxa"/>
          <w:tcBorders>
            <w:top w:val="single" w:sz="4" w:space="0" w:color="auto"/>
          </w:tcBorders>
          <w:tcMar>
            <w:top w:w="142" w:type="dxa"/>
            <w:bottom w:w="0" w:type="dxa"/>
          </w:tcMar>
        </w:tcPr>
        <w:p w:rsidR="00D7735A" w:rsidRDefault="00D7735A" w:rsidP="006E08B3">
          <w:r>
            <w:t>Document title, Part #, Section # - Section title</w:t>
          </w:r>
        </w:p>
        <w:p w:rsidR="00D7735A" w:rsidRDefault="00D7735A" w:rsidP="006E08B3">
          <w:r>
            <w:t>V1.0 October 2010</w:t>
          </w:r>
        </w:p>
      </w:tc>
      <w:tc>
        <w:tcPr>
          <w:tcW w:w="4356" w:type="dxa"/>
          <w:tcBorders>
            <w:top w:val="single" w:sz="4" w:space="0" w:color="auto"/>
          </w:tcBorders>
          <w:tcMar>
            <w:top w:w="142" w:type="dxa"/>
            <w:bottom w:w="0" w:type="dxa"/>
          </w:tcMar>
        </w:tcPr>
        <w:p w:rsidR="00D7735A" w:rsidRDefault="00D7735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w:t>
            </w:r>
          </w:fldSimple>
          <w:r>
            <w:t xml:space="preserve">  </w:t>
          </w:r>
        </w:p>
      </w:tc>
    </w:tr>
  </w:tbl>
  <w:p w:rsidR="00D7735A" w:rsidRDefault="00D773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463" w:rsidRDefault="00CF0463" w:rsidP="00C40A36">
      <w:pPr>
        <w:spacing w:after="0"/>
      </w:pPr>
      <w:r>
        <w:separator/>
      </w:r>
    </w:p>
  </w:footnote>
  <w:footnote w:type="continuationSeparator" w:id="0">
    <w:p w:rsidR="00CF0463" w:rsidRDefault="00CF0463" w:rsidP="00C40A36">
      <w:pPr>
        <w:spacing w:after="0"/>
      </w:pPr>
      <w:r>
        <w:continuationSeparator/>
      </w:r>
    </w:p>
  </w:footnote>
  <w:footnote w:id="1">
    <w:p w:rsidR="00D7735A" w:rsidRPr="00CD37DF" w:rsidRDefault="00D7735A" w:rsidP="007A4F20">
      <w:pPr>
        <w:pStyle w:val="FootnoteText"/>
      </w:pPr>
      <w:r w:rsidRPr="00CD37DF">
        <w:rPr>
          <w:rStyle w:val="FootnoteReference"/>
          <w:rFonts w:ascii="Cambria" w:hAnsi="Cambria"/>
          <w:szCs w:val="18"/>
        </w:rPr>
        <w:footnoteRef/>
      </w:r>
      <w:r w:rsidRPr="00CD37DF">
        <w:t xml:space="preserve"> Thompson WW, Shay DK, </w:t>
      </w:r>
      <w:proofErr w:type="spellStart"/>
      <w:r w:rsidRPr="00CD37DF">
        <w:t>Weintraub</w:t>
      </w:r>
      <w:proofErr w:type="spellEnd"/>
      <w:r w:rsidRPr="00CD37DF">
        <w:t xml:space="preserve"> </w:t>
      </w:r>
      <w:proofErr w:type="spellStart"/>
      <w:r w:rsidRPr="00CD37DF">
        <w:t>E at</w:t>
      </w:r>
      <w:proofErr w:type="spellEnd"/>
      <w:r w:rsidRPr="00CD37DF">
        <w:t xml:space="preserve"> al. Mortality associated with influenza and respiratory </w:t>
      </w:r>
      <w:proofErr w:type="spellStart"/>
      <w:r w:rsidRPr="00CD37DF">
        <w:t>sincytial</w:t>
      </w:r>
      <w:proofErr w:type="spellEnd"/>
      <w:r w:rsidRPr="00CD37DF">
        <w:t xml:space="preserve"> virus in the United States. JAMA 2003;289:179-186</w:t>
      </w:r>
    </w:p>
  </w:footnote>
  <w:footnote w:id="2">
    <w:p w:rsidR="00D7735A" w:rsidRPr="00CD37DF" w:rsidRDefault="00D7735A" w:rsidP="007A4F20">
      <w:pPr>
        <w:pStyle w:val="FootnoteText"/>
      </w:pPr>
      <w:r w:rsidRPr="00CD37DF">
        <w:rPr>
          <w:rStyle w:val="FootnoteReference"/>
          <w:rFonts w:ascii="Cambria" w:hAnsi="Cambria"/>
          <w:szCs w:val="18"/>
        </w:rPr>
        <w:footnoteRef/>
      </w:r>
      <w:r w:rsidRPr="00CD37DF">
        <w:t xml:space="preserve"> Shaw MW, Xu X, Li Y et al. Reappearance and global spread of variants of Influenza B/Victoria/2/87 lineage viruses in the 2000-2001 and 2001-2002 seasons. Virology 2002;303:1-8; </w:t>
      </w:r>
    </w:p>
  </w:footnote>
  <w:footnote w:id="3">
    <w:p w:rsidR="00D7735A" w:rsidRPr="00CD37DF" w:rsidRDefault="00D7735A" w:rsidP="007A4F20">
      <w:pPr>
        <w:pStyle w:val="FootnoteText"/>
      </w:pPr>
      <w:r w:rsidRPr="00CD37DF">
        <w:rPr>
          <w:rStyle w:val="FootnoteReference"/>
          <w:rFonts w:ascii="Cambria" w:hAnsi="Cambria"/>
          <w:szCs w:val="18"/>
        </w:rPr>
        <w:footnoteRef/>
      </w:r>
      <w:r w:rsidRPr="00CD37DF">
        <w:t xml:space="preserve"> </w:t>
      </w:r>
      <w:proofErr w:type="spellStart"/>
      <w:r w:rsidRPr="00CD37DF">
        <w:t>Belshe</w:t>
      </w:r>
      <w:proofErr w:type="spellEnd"/>
      <w:r w:rsidRPr="00CD37DF">
        <w:t xml:space="preserve"> RB. </w:t>
      </w:r>
      <w:proofErr w:type="gramStart"/>
      <w:r w:rsidRPr="00CD37DF">
        <w:t>The need for quadrivalent vaccine against seasonal influenza.</w:t>
      </w:r>
      <w:proofErr w:type="gramEnd"/>
      <w:r w:rsidRPr="00CD37DF">
        <w:t xml:space="preserve"> </w:t>
      </w:r>
      <w:proofErr w:type="gramStart"/>
      <w:r w:rsidRPr="00CD37DF">
        <w:t>Vaccine.</w:t>
      </w:r>
      <w:proofErr w:type="gramEnd"/>
      <w:r w:rsidRPr="00CD37DF">
        <w:t xml:space="preserve"> 2010 Sep 7;28 Suppl 4:D45-53</w:t>
      </w:r>
    </w:p>
  </w:footnote>
  <w:footnote w:id="4">
    <w:p w:rsidR="00D7735A" w:rsidRPr="00CD37DF" w:rsidRDefault="00D7735A" w:rsidP="007A4F20">
      <w:pPr>
        <w:pStyle w:val="FootnoteText"/>
      </w:pPr>
      <w:r w:rsidRPr="00CD37DF">
        <w:rPr>
          <w:rStyle w:val="FootnoteReference"/>
          <w:rFonts w:ascii="Cambria" w:hAnsi="Cambria"/>
          <w:szCs w:val="18"/>
        </w:rPr>
        <w:footnoteRef/>
      </w:r>
      <w:r w:rsidRPr="00CD37DF">
        <w:t xml:space="preserve"> </w:t>
      </w:r>
      <w:proofErr w:type="spellStart"/>
      <w:proofErr w:type="gramStart"/>
      <w:r w:rsidRPr="00CD37DF">
        <w:t>Levandowski</w:t>
      </w:r>
      <w:proofErr w:type="spellEnd"/>
      <w:r w:rsidRPr="00CD37DF">
        <w:t xml:space="preserve"> RA, </w:t>
      </w:r>
      <w:proofErr w:type="spellStart"/>
      <w:r w:rsidRPr="00CD37DF">
        <w:t>Regnery</w:t>
      </w:r>
      <w:proofErr w:type="spellEnd"/>
      <w:r w:rsidRPr="00CD37DF">
        <w:t xml:space="preserve"> HL, </w:t>
      </w:r>
      <w:proofErr w:type="spellStart"/>
      <w:r w:rsidRPr="00CD37DF">
        <w:t>Staton</w:t>
      </w:r>
      <w:proofErr w:type="spellEnd"/>
      <w:r w:rsidRPr="00CD37DF">
        <w:t xml:space="preserve"> E, Burgess GB, Michael S. Williams MS, </w:t>
      </w:r>
      <w:proofErr w:type="spellStart"/>
      <w:r w:rsidRPr="00CD37DF">
        <w:t>Groothuis</w:t>
      </w:r>
      <w:proofErr w:type="spellEnd"/>
      <w:r w:rsidRPr="00CD37DF">
        <w:t xml:space="preserve"> JR. Antibody Responses to Influenza B Viruses in immunologically unprimed children.</w:t>
      </w:r>
      <w:proofErr w:type="gramEnd"/>
      <w:r w:rsidRPr="00CD37DF">
        <w:t xml:space="preserve"> </w:t>
      </w:r>
      <w:proofErr w:type="spellStart"/>
      <w:r w:rsidRPr="00CD37DF">
        <w:t>Pediatrics</w:t>
      </w:r>
      <w:proofErr w:type="spellEnd"/>
      <w:r w:rsidRPr="00CD37DF">
        <w:t xml:space="preserve"> 1991; 88 (5): 1031-6.</w:t>
      </w:r>
    </w:p>
  </w:footnote>
  <w:footnote w:id="5">
    <w:p w:rsidR="00D7735A" w:rsidRPr="00CD37DF" w:rsidRDefault="00D7735A" w:rsidP="007A4F20">
      <w:pPr>
        <w:pStyle w:val="FootnoteText"/>
      </w:pPr>
      <w:r w:rsidRPr="00CD37DF">
        <w:rPr>
          <w:rStyle w:val="FootnoteReference"/>
          <w:rFonts w:ascii="Cambria" w:hAnsi="Cambria"/>
          <w:szCs w:val="18"/>
        </w:rPr>
        <w:footnoteRef/>
      </w:r>
      <w:r w:rsidRPr="00CD37DF">
        <w:t xml:space="preserve"> </w:t>
      </w:r>
      <w:proofErr w:type="spellStart"/>
      <w:proofErr w:type="gramStart"/>
      <w:r w:rsidRPr="00CD37DF">
        <w:t>Englund</w:t>
      </w:r>
      <w:proofErr w:type="spellEnd"/>
      <w:r w:rsidRPr="00CD37DF">
        <w:t xml:space="preserve"> JA, Walter EB., </w:t>
      </w:r>
      <w:proofErr w:type="spellStart"/>
      <w:r w:rsidRPr="00CD37DF">
        <w:t>Gbadebo</w:t>
      </w:r>
      <w:proofErr w:type="spellEnd"/>
      <w:r w:rsidRPr="00CD37DF">
        <w:t xml:space="preserve"> A., Monto AS., Zhu Y, </w:t>
      </w:r>
      <w:proofErr w:type="spellStart"/>
      <w:r w:rsidRPr="00CD37DF">
        <w:t>Neuzil</w:t>
      </w:r>
      <w:proofErr w:type="spellEnd"/>
      <w:r w:rsidRPr="00CD37DF">
        <w:t xml:space="preserve"> KM. Immunization with trivalent inactivated influenza vaccine in partially immunized toddlers.</w:t>
      </w:r>
      <w:proofErr w:type="gramEnd"/>
      <w:r w:rsidRPr="00CD37DF">
        <w:t xml:space="preserve"> </w:t>
      </w:r>
      <w:proofErr w:type="spellStart"/>
      <w:proofErr w:type="gramStart"/>
      <w:r w:rsidRPr="00CD37DF">
        <w:t>Pediatrics</w:t>
      </w:r>
      <w:proofErr w:type="spellEnd"/>
      <w:r w:rsidRPr="00CD37DF">
        <w:t>.</w:t>
      </w:r>
      <w:proofErr w:type="gramEnd"/>
      <w:r w:rsidRPr="00CD37DF">
        <w:t xml:space="preserve"> 2006</w:t>
      </w:r>
      <w:proofErr w:type="gramStart"/>
      <w:r w:rsidRPr="00CD37DF">
        <w:t>;118:579</w:t>
      </w:r>
      <w:proofErr w:type="gramEnd"/>
      <w:r w:rsidRPr="00CD37DF">
        <w:t>-585.</w:t>
      </w:r>
    </w:p>
  </w:footnote>
  <w:footnote w:id="6">
    <w:p w:rsidR="00D7735A" w:rsidRPr="006B62B7" w:rsidRDefault="00D7735A" w:rsidP="007A4F20">
      <w:pPr>
        <w:pStyle w:val="FootnoteText"/>
      </w:pPr>
      <w:r w:rsidRPr="006B62B7">
        <w:rPr>
          <w:rStyle w:val="FootnoteReference"/>
          <w:rFonts w:ascii="Cambria" w:hAnsi="Cambria"/>
        </w:rPr>
        <w:footnoteRef/>
      </w:r>
      <w:r>
        <w:t xml:space="preserve"> </w:t>
      </w:r>
      <w:r>
        <w:rPr>
          <w:lang w:val="en"/>
        </w:rPr>
        <w:t>Guidance for Industry: Clinical Data Needed to Support the Licensure of Seasonal Inactivated Influenza Vaccines</w:t>
      </w:r>
      <w:r w:rsidRPr="006B62B7">
        <w:t xml:space="preserve"> </w:t>
      </w:r>
      <w:r>
        <w:t>&lt;</w:t>
      </w:r>
      <w:r w:rsidRPr="006B62B7">
        <w:t>http://www.fda.gov/BiologicsBloodVaccines/GuidanceComplianceRegulatoryInformation/Guidances/Vaccines/ucm074794.htm</w:t>
      </w:r>
      <w:r>
        <w:t>&gt;</w:t>
      </w:r>
    </w:p>
  </w:footnote>
  <w:footnote w:id="7">
    <w:p w:rsidR="00D7735A" w:rsidRPr="006B62B7" w:rsidRDefault="00D7735A" w:rsidP="007A4F20">
      <w:pPr>
        <w:pStyle w:val="FootnoteText"/>
        <w:rPr>
          <w:rFonts w:ascii="Cambria" w:hAnsi="Cambria"/>
        </w:rPr>
      </w:pPr>
      <w:r w:rsidRPr="006B62B7">
        <w:rPr>
          <w:rStyle w:val="FootnoteReference"/>
          <w:rFonts w:ascii="Cambria" w:hAnsi="Cambria"/>
        </w:rPr>
        <w:footnoteRef/>
      </w:r>
      <w:r>
        <w:rPr>
          <w:rFonts w:ascii="Cambria" w:hAnsi="Cambria"/>
        </w:rPr>
        <w:t xml:space="preserve"> </w:t>
      </w:r>
      <w:r>
        <w:rPr>
          <w:rFonts w:eastAsiaTheme="minorHAnsi"/>
        </w:rPr>
        <w:t>EMEA/CHMP/VWP/164653/2005</w:t>
      </w:r>
      <w:r w:rsidRPr="006B62B7">
        <w:rPr>
          <w:rFonts w:ascii="Cambria" w:hAnsi="Cambria"/>
        </w:rPr>
        <w:t xml:space="preserve"> </w:t>
      </w:r>
      <w:r w:rsidRPr="00C77212">
        <w:rPr>
          <w:rFonts w:ascii="Cambria" w:hAnsi="Cambria"/>
        </w:rPr>
        <w:t>Guideline</w:t>
      </w:r>
      <w:r w:rsidRPr="00C77212">
        <w:rPr>
          <w:rFonts w:eastAsiaTheme="minorHAnsi"/>
        </w:rPr>
        <w:t xml:space="preserve"> on clinical evaluation of new vaccines</w:t>
      </w:r>
    </w:p>
  </w:footnote>
  <w:footnote w:id="8">
    <w:p w:rsidR="00D7735A" w:rsidRPr="006B62B7" w:rsidRDefault="00D7735A" w:rsidP="00C77212">
      <w:pPr>
        <w:autoSpaceDE w:val="0"/>
        <w:autoSpaceDN w:val="0"/>
        <w:adjustRightInd w:val="0"/>
        <w:spacing w:before="0" w:after="0" w:line="240" w:lineRule="auto"/>
      </w:pPr>
      <w:r w:rsidRPr="006B62B7">
        <w:rPr>
          <w:rStyle w:val="FootnoteReference"/>
        </w:rPr>
        <w:footnoteRef/>
      </w:r>
      <w:r w:rsidRPr="006B62B7">
        <w:t xml:space="preserve"> </w:t>
      </w:r>
      <w:r>
        <w:rPr>
          <w:rFonts w:ascii="Times-Roman" w:eastAsiaTheme="minorHAnsi" w:hAnsi="Times-Roman" w:cs="Times-Roman"/>
          <w:sz w:val="21"/>
          <w:szCs w:val="21"/>
        </w:rPr>
        <w:t>CHMP/437/04</w:t>
      </w:r>
      <w:r w:rsidRPr="006B62B7">
        <w:t xml:space="preserve"> </w:t>
      </w:r>
      <w:r w:rsidRPr="00C77212">
        <w:rPr>
          <w:rFonts w:ascii="Times-Bold" w:eastAsiaTheme="minorHAnsi" w:hAnsi="Times-Bold" w:cs="Times-Bold"/>
          <w:bCs/>
          <w:sz w:val="21"/>
          <w:szCs w:val="21"/>
        </w:rPr>
        <w:t>G</w:t>
      </w:r>
      <w:r>
        <w:rPr>
          <w:rFonts w:ascii="Times-Bold" w:eastAsiaTheme="minorHAnsi" w:hAnsi="Times-Bold" w:cs="Times-Bold"/>
          <w:bCs/>
          <w:sz w:val="21"/>
          <w:szCs w:val="21"/>
        </w:rPr>
        <w:t>uideline on similar biological medicinal products</w:t>
      </w:r>
    </w:p>
  </w:footnote>
  <w:footnote w:id="9">
    <w:p w:rsidR="00D7735A" w:rsidRPr="006B62B7" w:rsidRDefault="00D7735A" w:rsidP="007A4F20">
      <w:pPr>
        <w:pStyle w:val="FootnoteText"/>
      </w:pPr>
      <w:r w:rsidRPr="006B62B7">
        <w:rPr>
          <w:rStyle w:val="FootnoteReference"/>
          <w:rFonts w:ascii="Cambria" w:hAnsi="Cambria"/>
        </w:rPr>
        <w:footnoteRef/>
      </w:r>
      <w:r>
        <w:t xml:space="preserve"> </w:t>
      </w:r>
      <w:r w:rsidRPr="00BC26A0">
        <w:t>CPMP/BWP/214/96 Note for guidance on harmonisation of requirements for influenza vaccines</w:t>
      </w:r>
    </w:p>
  </w:footnote>
  <w:footnote w:id="10">
    <w:p w:rsidR="00D7735A" w:rsidRPr="008E314A" w:rsidRDefault="00D7735A" w:rsidP="007A4F20">
      <w:pPr>
        <w:pStyle w:val="FootnoteText"/>
        <w:rPr>
          <w:b/>
        </w:rPr>
      </w:pPr>
      <w:r>
        <w:rPr>
          <w:rStyle w:val="FootnoteReference"/>
        </w:rPr>
        <w:footnoteRef/>
      </w:r>
      <w:r>
        <w:t xml:space="preserve"> </w:t>
      </w:r>
      <w:r w:rsidRPr="00643F59">
        <w:t>Summary of CPMP/BWP/214/96 Harmonisation of Requirements for Influenza Vaccines</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D7735A" w:rsidRPr="008E314A" w:rsidTr="008E314A">
        <w:trPr>
          <w:trHeight w:val="696"/>
        </w:trPr>
        <w:tc>
          <w:tcPr>
            <w:tcW w:w="0" w:type="auto"/>
            <w:tcBorders>
              <w:top w:val="single" w:sz="4" w:space="0" w:color="auto"/>
              <w:left w:val="single" w:sz="4" w:space="0" w:color="auto"/>
              <w:bottom w:val="single" w:sz="4" w:space="0" w:color="auto"/>
              <w:right w:val="single" w:sz="4" w:space="0" w:color="auto"/>
            </w:tcBorders>
            <w:hideMark/>
          </w:tcPr>
          <w:p w:rsidR="00D7735A" w:rsidRPr="008E314A" w:rsidRDefault="00D7735A" w:rsidP="007A4F20">
            <w:pPr>
              <w:pStyle w:val="FootnoteText"/>
            </w:pPr>
            <w:r w:rsidRPr="008E314A">
              <w:t>The tolerance and efficacy of the vaccine shall be evaluated separately in two groups of at least 50 healthy volunteers, aged between 18 - 60, and over 60 years of age. For the latter group it is important that the pri</w:t>
            </w:r>
            <w:r>
              <w:t>or vaccination status be known.</w:t>
            </w:r>
          </w:p>
          <w:p w:rsidR="00D7735A" w:rsidRPr="008E314A" w:rsidRDefault="00D7735A" w:rsidP="007A4F20">
            <w:pPr>
              <w:pStyle w:val="FootnoteText"/>
            </w:pPr>
            <w:r w:rsidRPr="008E314A">
              <w:t xml:space="preserve">At least one of the assessments should meet these requirements. </w:t>
            </w:r>
          </w:p>
        </w:tc>
      </w:tr>
      <w:tr w:rsidR="00D7735A" w:rsidRPr="008E314A" w:rsidTr="008E314A">
        <w:trPr>
          <w:trHeight w:val="1415"/>
        </w:trPr>
        <w:tc>
          <w:tcPr>
            <w:tcW w:w="0" w:type="auto"/>
            <w:tcBorders>
              <w:top w:val="single" w:sz="4" w:space="0" w:color="auto"/>
              <w:left w:val="single" w:sz="4" w:space="0" w:color="auto"/>
              <w:bottom w:val="single" w:sz="4" w:space="0" w:color="auto"/>
              <w:right w:val="single" w:sz="4" w:space="0" w:color="auto"/>
            </w:tcBorders>
            <w:hideMark/>
          </w:tcPr>
          <w:p w:rsidR="00D7735A" w:rsidRPr="008E314A" w:rsidRDefault="00D7735A" w:rsidP="007A4F20">
            <w:pPr>
              <w:pStyle w:val="FootnoteText"/>
            </w:pPr>
            <w:r w:rsidRPr="008E314A">
              <w:t>Sera should be assayed for anti-HA antibody against prototype strains by haemagglutinin inhibition or single radial haemolysis tests. A (HI) titre is</w:t>
            </w:r>
            <w:r>
              <w:t xml:space="preserve"> considered protective if ≥ 40.</w:t>
            </w:r>
          </w:p>
          <w:p w:rsidR="00D7735A" w:rsidRPr="008E314A" w:rsidRDefault="00D7735A" w:rsidP="007A4F20">
            <w:pPr>
              <w:pStyle w:val="FootnoteText"/>
            </w:pPr>
            <w:r w:rsidRPr="008E314A">
              <w:t>Seroconversion is defined in terms of HI. For individuals with a pre-vaccination titre &lt; 10 (1/dil), a post-vaccination titre ≥ 40 (1/dil) represents seroconversion</w:t>
            </w:r>
          </w:p>
          <w:p w:rsidR="00D7735A" w:rsidRPr="008E314A" w:rsidRDefault="00D7735A" w:rsidP="007A4F20">
            <w:pPr>
              <w:pStyle w:val="FootnoteText"/>
            </w:pPr>
            <w:r w:rsidRPr="008E314A">
              <w:t>For individuals with a pre-vaccination titre ≥ 10 (1/dil) a ≥ 4 fold increase from pre to post-vaccination titre represents a significant rise in antibody titre.</w:t>
            </w:r>
          </w:p>
        </w:tc>
      </w:tr>
      <w:tr w:rsidR="00D7735A" w:rsidRPr="008E314A" w:rsidTr="008E314A">
        <w:trPr>
          <w:trHeight w:val="697"/>
        </w:trPr>
        <w:tc>
          <w:tcPr>
            <w:tcW w:w="0" w:type="auto"/>
            <w:tcBorders>
              <w:top w:val="single" w:sz="4" w:space="0" w:color="auto"/>
              <w:left w:val="single" w:sz="4" w:space="0" w:color="auto"/>
              <w:bottom w:val="nil"/>
              <w:right w:val="single" w:sz="4" w:space="0" w:color="auto"/>
            </w:tcBorders>
            <w:hideMark/>
          </w:tcPr>
          <w:p w:rsidR="00D7735A" w:rsidRPr="008E314A" w:rsidRDefault="00D7735A" w:rsidP="007A4F20">
            <w:pPr>
              <w:pStyle w:val="FootnoteText"/>
            </w:pPr>
            <w:r w:rsidRPr="008E314A">
              <w:t>Guideline requirements for adults 18 – 60 years</w:t>
            </w:r>
          </w:p>
          <w:p w:rsidR="00D7735A" w:rsidRPr="008E314A" w:rsidRDefault="00D7735A" w:rsidP="007A4F20">
            <w:pPr>
              <w:pStyle w:val="FootnoteText"/>
            </w:pPr>
            <w:r w:rsidRPr="008E314A">
              <w:t>1. The rate of seroconversions or significant increase in anti-HI antibody titre should be &gt; 40%</w:t>
            </w:r>
          </w:p>
          <w:p w:rsidR="00D7735A" w:rsidRPr="008E314A" w:rsidRDefault="00D7735A" w:rsidP="007A4F20">
            <w:pPr>
              <w:pStyle w:val="FootnoteText"/>
            </w:pPr>
            <w:r w:rsidRPr="008E314A">
              <w:t>2. Mean geometric increase between day 0 and Day 21: &gt; 2.5</w:t>
            </w:r>
          </w:p>
        </w:tc>
      </w:tr>
      <w:tr w:rsidR="00D7735A" w:rsidRPr="008E314A" w:rsidTr="008E314A">
        <w:trPr>
          <w:trHeight w:val="274"/>
        </w:trPr>
        <w:tc>
          <w:tcPr>
            <w:tcW w:w="0" w:type="auto"/>
            <w:tcBorders>
              <w:top w:val="nil"/>
              <w:left w:val="single" w:sz="4" w:space="0" w:color="auto"/>
              <w:bottom w:val="single" w:sz="4" w:space="0" w:color="auto"/>
              <w:right w:val="single" w:sz="4" w:space="0" w:color="auto"/>
            </w:tcBorders>
            <w:hideMark/>
          </w:tcPr>
          <w:p w:rsidR="00D7735A" w:rsidRPr="008E314A" w:rsidRDefault="00D7735A" w:rsidP="007A4F20">
            <w:pPr>
              <w:pStyle w:val="FootnoteText"/>
            </w:pPr>
            <w:r w:rsidRPr="008E314A">
              <w:t>3. The proportion of individuals achieving an HI titre ≥ 40 should be &gt; 70%.</w:t>
            </w:r>
          </w:p>
        </w:tc>
      </w:tr>
      <w:tr w:rsidR="00D7735A" w:rsidRPr="008E314A" w:rsidTr="008E314A">
        <w:trPr>
          <w:trHeight w:val="940"/>
        </w:trPr>
        <w:tc>
          <w:tcPr>
            <w:tcW w:w="0" w:type="auto"/>
            <w:tcBorders>
              <w:top w:val="single" w:sz="4" w:space="0" w:color="auto"/>
              <w:left w:val="single" w:sz="4" w:space="0" w:color="auto"/>
              <w:bottom w:val="single" w:sz="4" w:space="0" w:color="auto"/>
              <w:right w:val="single" w:sz="4" w:space="0" w:color="auto"/>
            </w:tcBorders>
            <w:hideMark/>
          </w:tcPr>
          <w:p w:rsidR="00D7735A" w:rsidRPr="008E314A" w:rsidRDefault="00D7735A" w:rsidP="007A4F20">
            <w:pPr>
              <w:pStyle w:val="FootnoteText"/>
            </w:pPr>
            <w:r w:rsidRPr="008E314A">
              <w:t>Requirements for adults over 60 years</w:t>
            </w:r>
          </w:p>
          <w:p w:rsidR="00D7735A" w:rsidRPr="008E314A" w:rsidRDefault="00D7735A" w:rsidP="007A4F20">
            <w:pPr>
              <w:pStyle w:val="FootnoteText"/>
            </w:pPr>
            <w:r w:rsidRPr="008E314A">
              <w:t>1. The rate of seroconversion or significant increase in anti-HI antibody titre: &gt; 30%</w:t>
            </w:r>
          </w:p>
          <w:p w:rsidR="00D7735A" w:rsidRPr="008E314A" w:rsidRDefault="00D7735A" w:rsidP="007A4F20">
            <w:pPr>
              <w:pStyle w:val="FootnoteText"/>
            </w:pPr>
            <w:r w:rsidRPr="008E314A">
              <w:t>2. Mean geometric increase between day 0 and day 21 should be &gt;2</w:t>
            </w:r>
          </w:p>
          <w:p w:rsidR="00D7735A" w:rsidRPr="008E314A" w:rsidRDefault="00D7735A" w:rsidP="007A4F20">
            <w:pPr>
              <w:pStyle w:val="FootnoteText"/>
            </w:pPr>
            <w:r w:rsidRPr="008E314A">
              <w:t>3. The proportion of individuals achieving an HI titre ≥ 40 or SRH titre ≥ 25mm</w:t>
            </w:r>
            <w:r w:rsidRPr="008E314A">
              <w:rPr>
                <w:vertAlign w:val="superscript"/>
              </w:rPr>
              <w:t>2</w:t>
            </w:r>
            <w:r w:rsidRPr="008E314A">
              <w:t xml:space="preserve"> should be &gt; 60%.</w:t>
            </w:r>
          </w:p>
        </w:tc>
      </w:tr>
    </w:tbl>
    <w:p w:rsidR="00D7735A" w:rsidRDefault="00D7735A" w:rsidP="007A4F20">
      <w:pPr>
        <w:pStyle w:val="FootnoteText"/>
      </w:pPr>
    </w:p>
  </w:footnote>
  <w:footnote w:id="11">
    <w:p w:rsidR="00D7735A" w:rsidRPr="008E314A" w:rsidRDefault="00D7735A" w:rsidP="007A4F20">
      <w:pPr>
        <w:pStyle w:val="FootnoteText"/>
      </w:pPr>
      <w:r>
        <w:rPr>
          <w:rStyle w:val="FootnoteReference"/>
        </w:rPr>
        <w:footnoteRef/>
      </w:r>
      <w:r>
        <w:t xml:space="preserve"> </w:t>
      </w:r>
      <w:bookmarkStart w:id="27" w:name="_Ref338151521"/>
      <w:r>
        <w:t>A</w:t>
      </w:r>
      <w:r w:rsidRPr="008E314A">
        <w:t>cceptability criteria for HI response set by CBER and CPMP</w:t>
      </w:r>
      <w:bookmarkEnd w:id="27"/>
    </w:p>
    <w:p w:rsidR="00D7735A" w:rsidRDefault="00D7735A" w:rsidP="007A4F20">
      <w:pPr>
        <w:pStyle w:val="FootnoteText"/>
      </w:pPr>
      <w:r w:rsidRPr="008E314A">
        <w:rPr>
          <w:noProof/>
        </w:rPr>
        <w:drawing>
          <wp:inline distT="0" distB="0" distL="0" distR="0" wp14:anchorId="56C5881F" wp14:editId="7303EBBE">
            <wp:extent cx="5711899" cy="1085439"/>
            <wp:effectExtent l="0" t="0" r="0" b="0"/>
            <wp:docPr id="7" name="Picture 60" descr="Acceptability criteria for HI response set by CBER and C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cstate="print"/>
                    <a:srcRect/>
                    <a:stretch>
                      <a:fillRect/>
                    </a:stretch>
                  </pic:blipFill>
                  <pic:spPr bwMode="auto">
                    <a:xfrm>
                      <a:off x="0" y="0"/>
                      <a:ext cx="5727182" cy="1088343"/>
                    </a:xfrm>
                    <a:prstGeom prst="rect">
                      <a:avLst/>
                    </a:prstGeom>
                    <a:noFill/>
                    <a:ln w="9525">
                      <a:noFill/>
                      <a:miter lim="800000"/>
                      <a:headEnd/>
                      <a:tailEnd/>
                    </a:ln>
                  </pic:spPr>
                </pic:pic>
              </a:graphicData>
            </a:graphic>
          </wp:inline>
        </w:drawing>
      </w:r>
    </w:p>
  </w:footnote>
  <w:footnote w:id="12">
    <w:p w:rsidR="00D7735A" w:rsidRPr="00F41460" w:rsidRDefault="00D7735A" w:rsidP="007A4F20">
      <w:pPr>
        <w:pStyle w:val="FootnoteText"/>
      </w:pPr>
      <w:r w:rsidRPr="00F41460">
        <w:rPr>
          <w:rStyle w:val="FootnoteReference"/>
        </w:rPr>
        <w:footnoteRef/>
      </w:r>
      <w:r w:rsidRPr="00F41460">
        <w:t xml:space="preserve"> Sponsor comment:” The sponsor addressed these points in their Response to Questions (see “Section 11. </w:t>
      </w:r>
      <w:proofErr w:type="gramStart"/>
      <w:r w:rsidRPr="00F41460">
        <w:t>Second round evaluation of clinical data submitted in response to questions” below).”</w:t>
      </w:r>
      <w:proofErr w:type="gramEnd"/>
    </w:p>
  </w:footnote>
  <w:footnote w:id="13">
    <w:p w:rsidR="00D7735A" w:rsidRPr="00F41460" w:rsidRDefault="00D7735A" w:rsidP="007A4F20">
      <w:pPr>
        <w:pStyle w:val="FootnoteText"/>
      </w:pPr>
      <w:r>
        <w:rPr>
          <w:rStyle w:val="FootnoteReference"/>
        </w:rPr>
        <w:footnoteRef/>
      </w:r>
      <w:r>
        <w:t xml:space="preserve"> </w:t>
      </w:r>
      <w:r w:rsidRPr="00F41460">
        <w:t xml:space="preserve">Sponsor </w:t>
      </w:r>
      <w:proofErr w:type="spellStart"/>
      <w:r w:rsidRPr="00F41460">
        <w:t>comment:”The</w:t>
      </w:r>
      <w:proofErr w:type="spellEnd"/>
      <w:r w:rsidRPr="00F41460">
        <w:t xml:space="preserve"> sponsor addressed these points in their Response to Questions (see “Section 11. Second round evaluation of clinical data submitted in response to questions” below)</w:t>
      </w:r>
    </w:p>
  </w:footnote>
  <w:footnote w:id="14">
    <w:p w:rsidR="00D7735A" w:rsidRDefault="00D7735A" w:rsidP="007A4F20">
      <w:pPr>
        <w:pStyle w:val="FootnoteText"/>
      </w:pPr>
      <w:r>
        <w:rPr>
          <w:rStyle w:val="FootnoteReference"/>
        </w:rPr>
        <w:footnoteRef/>
      </w:r>
      <w:r w:rsidRPr="00F41460">
        <w:t xml:space="preserve"> Sponsor comment: “an exploratory alternative formulation”</w:t>
      </w:r>
      <w:r>
        <w:t>.</w:t>
      </w:r>
    </w:p>
  </w:footnote>
  <w:footnote w:id="15">
    <w:p w:rsidR="00D7735A" w:rsidRPr="00F41460" w:rsidRDefault="00D7735A" w:rsidP="007A4F20">
      <w:pPr>
        <w:pStyle w:val="FootnoteText"/>
      </w:pPr>
      <w:r>
        <w:rPr>
          <w:rStyle w:val="FootnoteReference"/>
        </w:rPr>
        <w:footnoteRef/>
      </w:r>
      <w:r>
        <w:t xml:space="preserve"> </w:t>
      </w:r>
      <w:r w:rsidRPr="00F41460">
        <w:t xml:space="preserve">Sponsor </w:t>
      </w:r>
      <w:proofErr w:type="spellStart"/>
      <w:r w:rsidRPr="00F41460">
        <w:t>comment:”Two</w:t>
      </w:r>
      <w:proofErr w:type="spellEnd"/>
      <w:r w:rsidRPr="00F41460">
        <w:t xml:space="preserve"> exploratory alternative formulations”</w:t>
      </w:r>
    </w:p>
  </w:footnote>
  <w:footnote w:id="16">
    <w:p w:rsidR="00D7735A" w:rsidRPr="005B66F5" w:rsidRDefault="00D7735A" w:rsidP="007A4F20">
      <w:pPr>
        <w:pStyle w:val="FootnoteText"/>
      </w:pPr>
      <w:r>
        <w:rPr>
          <w:rStyle w:val="FootnoteReference"/>
        </w:rPr>
        <w:footnoteRef/>
      </w:r>
      <w:r>
        <w:t xml:space="preserve"> </w:t>
      </w:r>
      <w:bookmarkStart w:id="77" w:name="_Ref335140151"/>
      <w:r w:rsidRPr="005B66F5">
        <w:t xml:space="preserve">Fluarix-US-006 Vaccines, formulation, lot numbers </w:t>
      </w:r>
      <w:r w:rsidRPr="007A4F20">
        <w:t>and</w:t>
      </w:r>
      <w:r w:rsidRPr="005B66F5">
        <w:t xml:space="preserve"> allocation</w:t>
      </w:r>
      <w:bookmarkEnd w:id="77"/>
    </w:p>
    <w:p w:rsidR="00D7735A" w:rsidRDefault="00D7735A" w:rsidP="007A4F20">
      <w:r w:rsidRPr="00982586">
        <w:rPr>
          <w:noProof/>
          <w:lang w:eastAsia="en-AU"/>
        </w:rPr>
        <w:drawing>
          <wp:inline distT="0" distB="0" distL="0" distR="0" wp14:anchorId="183FF74E" wp14:editId="68FF1957">
            <wp:extent cx="3590925" cy="1979470"/>
            <wp:effectExtent l="0" t="0" r="0" b="0"/>
            <wp:docPr id="10" name="Picture 100" descr="Fluarix-US-006 Vaccines, formulation, lot numbers and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 cstate="print">
                      <a:duotone>
                        <a:prstClr val="black"/>
                        <a:schemeClr val="bg1">
                          <a:tint val="45000"/>
                          <a:satMod val="400000"/>
                        </a:schemeClr>
                      </a:duotone>
                    </a:blip>
                    <a:srcRect/>
                    <a:stretch>
                      <a:fillRect/>
                    </a:stretch>
                  </pic:blipFill>
                  <pic:spPr bwMode="auto">
                    <a:xfrm>
                      <a:off x="0" y="0"/>
                      <a:ext cx="3598149" cy="1983452"/>
                    </a:xfrm>
                    <a:prstGeom prst="rect">
                      <a:avLst/>
                    </a:prstGeom>
                    <a:noFill/>
                    <a:ln w="9525">
                      <a:noFill/>
                      <a:miter lim="800000"/>
                      <a:headEnd/>
                      <a:tailEnd/>
                    </a:ln>
                  </pic:spPr>
                </pic:pic>
              </a:graphicData>
            </a:graphic>
          </wp:inline>
        </w:drawing>
      </w:r>
    </w:p>
  </w:footnote>
  <w:footnote w:id="17">
    <w:p w:rsidR="00D7735A" w:rsidRPr="005B66F5" w:rsidRDefault="00D7735A" w:rsidP="007A4F20">
      <w:pPr>
        <w:pStyle w:val="FootnoteText"/>
      </w:pPr>
      <w:r w:rsidRPr="004D6B1F">
        <w:rPr>
          <w:rStyle w:val="FootnoteReference"/>
        </w:rPr>
        <w:footnoteRef/>
      </w:r>
      <w:r>
        <w:t xml:space="preserve"> </w:t>
      </w:r>
      <w:r w:rsidRPr="004D6B1F">
        <w:t>Sponsor comment: This was further explained by the sponsor in their Response Questions (see “Section 11. Second round evaluation of clinical data submitted in response to questions” below)</w:t>
      </w:r>
    </w:p>
  </w:footnote>
  <w:footnote w:id="18">
    <w:p w:rsidR="00D7735A" w:rsidRDefault="00D7735A" w:rsidP="007A4F20">
      <w:pPr>
        <w:pStyle w:val="FootnoteText"/>
      </w:pPr>
      <w:r>
        <w:rPr>
          <w:rStyle w:val="FootnoteReference"/>
        </w:rPr>
        <w:footnoteRef/>
      </w:r>
      <w:r>
        <w:t xml:space="preserve"> </w:t>
      </w:r>
      <w:r w:rsidRPr="005B66F5">
        <w:t xml:space="preserve">Sponsor comment: This was further explained by the sponsor in their Response Questions (see “Section 11. Second round evaluation of clinical data submitted in response to questions” </w:t>
      </w:r>
      <w:r>
        <w:t xml:space="preserve">Question 7 </w:t>
      </w:r>
      <w:r w:rsidRPr="005B66F5">
        <w:t>below)</w:t>
      </w:r>
    </w:p>
  </w:footnote>
  <w:footnote w:id="19">
    <w:p w:rsidR="00D7735A" w:rsidRPr="003F2D39" w:rsidRDefault="00D7735A" w:rsidP="007A4F20">
      <w:pPr>
        <w:pStyle w:val="FootnoteText"/>
      </w:pPr>
      <w:r w:rsidRPr="004D6B1F">
        <w:rPr>
          <w:rStyle w:val="FootnoteReference"/>
        </w:rPr>
        <w:footnoteRef/>
      </w:r>
      <w:r>
        <w:t xml:space="preserve"> </w:t>
      </w:r>
      <w:r w:rsidRPr="004D6B1F">
        <w:t>Sponsor comment:”</w:t>
      </w:r>
      <w:r w:rsidRPr="004D6B1F">
        <w:rPr>
          <w:rFonts w:eastAsia="Cambria"/>
          <w:kern w:val="0"/>
          <w:sz w:val="22"/>
          <w:szCs w:val="22"/>
          <w:lang w:eastAsia="en-US"/>
        </w:rPr>
        <w:t xml:space="preserve"> </w:t>
      </w:r>
      <w:r w:rsidRPr="004D6B1F">
        <w:t xml:space="preserve">This is not a GSK hypothesis and the data do not support such </w:t>
      </w:r>
      <w:r>
        <w:t xml:space="preserve">a </w:t>
      </w:r>
      <w:r w:rsidRPr="004D6B1F">
        <w:t>statement</w:t>
      </w:r>
      <w:r>
        <w:t>.”</w:t>
      </w:r>
    </w:p>
  </w:footnote>
  <w:footnote w:id="20">
    <w:p w:rsidR="00D7735A" w:rsidRPr="000B5F57" w:rsidRDefault="00D7735A" w:rsidP="007A4F20">
      <w:pPr>
        <w:pStyle w:val="FootnoteText"/>
      </w:pPr>
      <w:r w:rsidRPr="004D6B1F">
        <w:rPr>
          <w:rStyle w:val="FootnoteReference"/>
          <w:rFonts w:cs="Arial"/>
        </w:rPr>
        <w:footnoteRef/>
      </w:r>
      <w:r w:rsidRPr="004D6B1F">
        <w:t xml:space="preserve"> Bell DM et al; (2006).</w:t>
      </w:r>
      <w:r w:rsidRPr="004D6B1F">
        <w:rPr>
          <w:i/>
        </w:rPr>
        <w:t xml:space="preserve"> </w:t>
      </w:r>
      <w:proofErr w:type="gramStart"/>
      <w:r w:rsidRPr="004D6B1F">
        <w:t>Non-pharmaceutical interventions for pandemic influenza, international measures.</w:t>
      </w:r>
      <w:proofErr w:type="gramEnd"/>
      <w:r w:rsidRPr="004D6B1F">
        <w:rPr>
          <w:i/>
        </w:rPr>
        <w:t xml:space="preserve"> Emerg Infect Dis </w:t>
      </w:r>
      <w:r w:rsidRPr="004D6B1F">
        <w:t>12:81-7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5A" w:rsidRDefault="00D7735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5A" w:rsidRDefault="00D7735A">
    <w:pPr>
      <w:rPr>
        <w:noProof/>
        <w:lang w:eastAsia="en-AU"/>
      </w:rPr>
    </w:pPr>
    <w:r w:rsidRPr="00BE32D5">
      <w:rPr>
        <w:noProof/>
        <w:lang w:eastAsia="en-AU"/>
      </w:rPr>
      <w:drawing>
        <wp:anchor distT="0" distB="0" distL="114300" distR="114300" simplePos="0" relativeHeight="251659264" behindDoc="1" locked="0" layoutInCell="1" allowOverlap="1" wp14:anchorId="6BAE0D42" wp14:editId="0F3F9A09">
          <wp:simplePos x="0" y="0"/>
          <wp:positionH relativeFrom="column">
            <wp:posOffset>-920603</wp:posOffset>
          </wp:positionH>
          <wp:positionV relativeFrom="paragraph">
            <wp:posOffset>-580390</wp:posOffset>
          </wp:positionV>
          <wp:extent cx="7568736" cy="10706100"/>
          <wp:effectExtent l="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7735A" w:rsidRDefault="00D7735A" w:rsidP="00593AD1">
    <w:pPr>
      <w:pStyle w:val="HeaderNoLine"/>
    </w:pPr>
    <w:r>
      <w:rPr>
        <w:noProof/>
        <w:lang w:eastAsia="en-AU"/>
      </w:rPr>
      <w:drawing>
        <wp:inline distT="0" distB="0" distL="0" distR="0" wp14:anchorId="160504E4" wp14:editId="59996C74">
          <wp:extent cx="5381625" cy="7639050"/>
          <wp:effectExtent l="0" t="0" r="9525" b="0"/>
          <wp:docPr id="2"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8162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5A" w:rsidRDefault="00D773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5A" w:rsidRDefault="00D7735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5A" w:rsidRDefault="00D7735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5A" w:rsidRDefault="00D7735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5A" w:rsidRDefault="00D7735A"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5A" w:rsidRDefault="00D7735A" w:rsidP="006E08B3">
    <w:r>
      <w:t>Therapeutic Goods Administration</w:t>
    </w:r>
  </w:p>
  <w:p w:rsidR="00D7735A" w:rsidRDefault="00D7735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62BF0E"/>
    <w:lvl w:ilvl="0">
      <w:start w:val="1"/>
      <w:numFmt w:val="decimal"/>
      <w:lvlText w:val="%1."/>
      <w:lvlJc w:val="left"/>
      <w:pPr>
        <w:tabs>
          <w:tab w:val="num" w:pos="1492"/>
        </w:tabs>
        <w:ind w:left="1492" w:hanging="360"/>
      </w:pPr>
    </w:lvl>
  </w:abstractNum>
  <w:abstractNum w:abstractNumId="1">
    <w:nsid w:val="FFFFFF7D"/>
    <w:multiLevelType w:val="singleLevel"/>
    <w:tmpl w:val="20C214C2"/>
    <w:lvl w:ilvl="0">
      <w:start w:val="1"/>
      <w:numFmt w:val="decimal"/>
      <w:lvlText w:val="%1."/>
      <w:lvlJc w:val="left"/>
      <w:pPr>
        <w:tabs>
          <w:tab w:val="num" w:pos="1209"/>
        </w:tabs>
        <w:ind w:left="1209" w:hanging="360"/>
      </w:pPr>
    </w:lvl>
  </w:abstractNum>
  <w:abstractNum w:abstractNumId="2">
    <w:nsid w:val="FFFFFF7E"/>
    <w:multiLevelType w:val="singleLevel"/>
    <w:tmpl w:val="1592CBE6"/>
    <w:lvl w:ilvl="0">
      <w:start w:val="1"/>
      <w:numFmt w:val="decimal"/>
      <w:lvlText w:val="%1."/>
      <w:lvlJc w:val="left"/>
      <w:pPr>
        <w:tabs>
          <w:tab w:val="num" w:pos="926"/>
        </w:tabs>
        <w:ind w:left="926" w:hanging="360"/>
      </w:pPr>
    </w:lvl>
  </w:abstractNum>
  <w:abstractNum w:abstractNumId="3">
    <w:nsid w:val="FFFFFF7F"/>
    <w:multiLevelType w:val="singleLevel"/>
    <w:tmpl w:val="3B548036"/>
    <w:lvl w:ilvl="0">
      <w:start w:val="1"/>
      <w:numFmt w:val="decimal"/>
      <w:lvlText w:val="%1."/>
      <w:lvlJc w:val="left"/>
      <w:pPr>
        <w:tabs>
          <w:tab w:val="num" w:pos="643"/>
        </w:tabs>
        <w:ind w:left="643" w:hanging="360"/>
      </w:pPr>
    </w:lvl>
  </w:abstractNum>
  <w:abstractNum w:abstractNumId="4">
    <w:nsid w:val="FFFFFF80"/>
    <w:multiLevelType w:val="singleLevel"/>
    <w:tmpl w:val="94480CC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454825C"/>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6BCE4B10"/>
    <w:lvl w:ilvl="0">
      <w:start w:val="1"/>
      <w:numFmt w:val="decimal"/>
      <w:lvlText w:val="%1."/>
      <w:lvlJc w:val="left"/>
      <w:pPr>
        <w:tabs>
          <w:tab w:val="num" w:pos="360"/>
        </w:tabs>
        <w:ind w:left="360" w:hanging="360"/>
      </w:pPr>
    </w:lvl>
  </w:abstractNum>
  <w:abstractNum w:abstractNumId="7">
    <w:nsid w:val="00376340"/>
    <w:multiLevelType w:val="hybridMultilevel"/>
    <w:tmpl w:val="13CE33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6052330"/>
    <w:multiLevelType w:val="hybridMultilevel"/>
    <w:tmpl w:val="5AECAC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8F253ED"/>
    <w:multiLevelType w:val="multilevel"/>
    <w:tmpl w:val="BCA0FE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0F001331"/>
    <w:multiLevelType w:val="hybridMultilevel"/>
    <w:tmpl w:val="E842B0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04972D3"/>
    <w:multiLevelType w:val="hybridMultilevel"/>
    <w:tmpl w:val="8CF28B96"/>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16945537"/>
    <w:multiLevelType w:val="hybridMultilevel"/>
    <w:tmpl w:val="AC98DEC2"/>
    <w:lvl w:ilvl="0" w:tplc="AD2C1F46">
      <w:start w:val="1"/>
      <w:numFmt w:val="bullet"/>
      <w:lvlText w:val=""/>
      <w:lvlJc w:val="left"/>
      <w:pPr>
        <w:ind w:left="360" w:hanging="360"/>
      </w:pPr>
      <w:rPr>
        <w:rFonts w:ascii="Symbol" w:hAnsi="Symbol" w:hint="default"/>
      </w:rPr>
    </w:lvl>
    <w:lvl w:ilvl="1" w:tplc="22CAF492">
      <w:start w:val="1"/>
      <w:numFmt w:val="decimal"/>
      <w:lvlText w:val="%2."/>
      <w:lvlJc w:val="left"/>
      <w:pPr>
        <w:tabs>
          <w:tab w:val="num" w:pos="1440"/>
        </w:tabs>
        <w:ind w:left="1440" w:hanging="360"/>
      </w:pPr>
    </w:lvl>
    <w:lvl w:ilvl="2" w:tplc="1CF439DE">
      <w:start w:val="1"/>
      <w:numFmt w:val="decimal"/>
      <w:lvlText w:val="%3."/>
      <w:lvlJc w:val="left"/>
      <w:pPr>
        <w:tabs>
          <w:tab w:val="num" w:pos="2160"/>
        </w:tabs>
        <w:ind w:left="2160" w:hanging="360"/>
      </w:pPr>
    </w:lvl>
    <w:lvl w:ilvl="3" w:tplc="50786190">
      <w:start w:val="1"/>
      <w:numFmt w:val="decimal"/>
      <w:lvlText w:val="%4."/>
      <w:lvlJc w:val="left"/>
      <w:pPr>
        <w:tabs>
          <w:tab w:val="num" w:pos="2880"/>
        </w:tabs>
        <w:ind w:left="2880" w:hanging="360"/>
      </w:pPr>
    </w:lvl>
    <w:lvl w:ilvl="4" w:tplc="58288994">
      <w:start w:val="1"/>
      <w:numFmt w:val="decimal"/>
      <w:lvlText w:val="%5."/>
      <w:lvlJc w:val="left"/>
      <w:pPr>
        <w:tabs>
          <w:tab w:val="num" w:pos="3600"/>
        </w:tabs>
        <w:ind w:left="3600" w:hanging="360"/>
      </w:pPr>
    </w:lvl>
    <w:lvl w:ilvl="5" w:tplc="6148713A">
      <w:start w:val="1"/>
      <w:numFmt w:val="decimal"/>
      <w:lvlText w:val="%6."/>
      <w:lvlJc w:val="left"/>
      <w:pPr>
        <w:tabs>
          <w:tab w:val="num" w:pos="4320"/>
        </w:tabs>
        <w:ind w:left="4320" w:hanging="360"/>
      </w:pPr>
    </w:lvl>
    <w:lvl w:ilvl="6" w:tplc="4CE6738A">
      <w:start w:val="1"/>
      <w:numFmt w:val="decimal"/>
      <w:lvlText w:val="%7."/>
      <w:lvlJc w:val="left"/>
      <w:pPr>
        <w:tabs>
          <w:tab w:val="num" w:pos="5040"/>
        </w:tabs>
        <w:ind w:left="5040" w:hanging="360"/>
      </w:pPr>
    </w:lvl>
    <w:lvl w:ilvl="7" w:tplc="17EE43C2">
      <w:start w:val="1"/>
      <w:numFmt w:val="decimal"/>
      <w:lvlText w:val="%8."/>
      <w:lvlJc w:val="left"/>
      <w:pPr>
        <w:tabs>
          <w:tab w:val="num" w:pos="5760"/>
        </w:tabs>
        <w:ind w:left="5760" w:hanging="360"/>
      </w:pPr>
    </w:lvl>
    <w:lvl w:ilvl="8" w:tplc="B51A4102">
      <w:start w:val="1"/>
      <w:numFmt w:val="decimal"/>
      <w:lvlText w:val="%9."/>
      <w:lvlJc w:val="left"/>
      <w:pPr>
        <w:tabs>
          <w:tab w:val="num" w:pos="6480"/>
        </w:tabs>
        <w:ind w:left="6480" w:hanging="360"/>
      </w:pPr>
    </w:lvl>
  </w:abstractNum>
  <w:abstractNum w:abstractNumId="15">
    <w:nsid w:val="17891906"/>
    <w:multiLevelType w:val="hybridMultilevel"/>
    <w:tmpl w:val="43BE2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CF228C3"/>
    <w:multiLevelType w:val="hybridMultilevel"/>
    <w:tmpl w:val="EF7E4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2DC0639"/>
    <w:multiLevelType w:val="hybridMultilevel"/>
    <w:tmpl w:val="BF7EC6CC"/>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nsid w:val="3066740A"/>
    <w:multiLevelType w:val="hybridMultilevel"/>
    <w:tmpl w:val="32A09876"/>
    <w:lvl w:ilvl="0" w:tplc="0C090001">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342A6BAF"/>
    <w:multiLevelType w:val="hybridMultilevel"/>
    <w:tmpl w:val="C7F80DA0"/>
    <w:lvl w:ilvl="0" w:tplc="A7F28256">
      <w:start w:val="1"/>
      <w:numFmt w:val="bullet"/>
      <w:lvlText w:val=""/>
      <w:lvlJc w:val="left"/>
      <w:pPr>
        <w:ind w:left="360" w:hanging="360"/>
      </w:pPr>
      <w:rPr>
        <w:rFonts w:ascii="Symbol" w:hAnsi="Symbol" w:hint="default"/>
      </w:rPr>
    </w:lvl>
    <w:lvl w:ilvl="1" w:tplc="8BB66AE4">
      <w:start w:val="1"/>
      <w:numFmt w:val="decimal"/>
      <w:lvlText w:val="%2."/>
      <w:lvlJc w:val="left"/>
      <w:pPr>
        <w:tabs>
          <w:tab w:val="num" w:pos="1440"/>
        </w:tabs>
        <w:ind w:left="1440" w:hanging="360"/>
      </w:pPr>
    </w:lvl>
    <w:lvl w:ilvl="2" w:tplc="463CE52A">
      <w:start w:val="1"/>
      <w:numFmt w:val="decimal"/>
      <w:lvlText w:val="%3."/>
      <w:lvlJc w:val="left"/>
      <w:pPr>
        <w:tabs>
          <w:tab w:val="num" w:pos="2160"/>
        </w:tabs>
        <w:ind w:left="2160" w:hanging="360"/>
      </w:pPr>
    </w:lvl>
    <w:lvl w:ilvl="3" w:tplc="FD02F138">
      <w:start w:val="1"/>
      <w:numFmt w:val="decimal"/>
      <w:lvlText w:val="%4."/>
      <w:lvlJc w:val="left"/>
      <w:pPr>
        <w:tabs>
          <w:tab w:val="num" w:pos="2880"/>
        </w:tabs>
        <w:ind w:left="2880" w:hanging="360"/>
      </w:pPr>
    </w:lvl>
    <w:lvl w:ilvl="4" w:tplc="98C400B2">
      <w:start w:val="1"/>
      <w:numFmt w:val="decimal"/>
      <w:lvlText w:val="%5."/>
      <w:lvlJc w:val="left"/>
      <w:pPr>
        <w:tabs>
          <w:tab w:val="num" w:pos="3600"/>
        </w:tabs>
        <w:ind w:left="3600" w:hanging="360"/>
      </w:pPr>
    </w:lvl>
    <w:lvl w:ilvl="5" w:tplc="14401D0C">
      <w:start w:val="1"/>
      <w:numFmt w:val="decimal"/>
      <w:lvlText w:val="%6."/>
      <w:lvlJc w:val="left"/>
      <w:pPr>
        <w:tabs>
          <w:tab w:val="num" w:pos="4320"/>
        </w:tabs>
        <w:ind w:left="4320" w:hanging="360"/>
      </w:pPr>
    </w:lvl>
    <w:lvl w:ilvl="6" w:tplc="C68EE0A4">
      <w:start w:val="1"/>
      <w:numFmt w:val="decimal"/>
      <w:lvlText w:val="%7."/>
      <w:lvlJc w:val="left"/>
      <w:pPr>
        <w:tabs>
          <w:tab w:val="num" w:pos="5040"/>
        </w:tabs>
        <w:ind w:left="5040" w:hanging="360"/>
      </w:pPr>
    </w:lvl>
    <w:lvl w:ilvl="7" w:tplc="B538A906">
      <w:start w:val="1"/>
      <w:numFmt w:val="decimal"/>
      <w:lvlText w:val="%8."/>
      <w:lvlJc w:val="left"/>
      <w:pPr>
        <w:tabs>
          <w:tab w:val="num" w:pos="5760"/>
        </w:tabs>
        <w:ind w:left="5760" w:hanging="360"/>
      </w:pPr>
    </w:lvl>
    <w:lvl w:ilvl="8" w:tplc="CD4A4DBA">
      <w:start w:val="1"/>
      <w:numFmt w:val="decimal"/>
      <w:lvlText w:val="%9."/>
      <w:lvlJc w:val="left"/>
      <w:pPr>
        <w:tabs>
          <w:tab w:val="num" w:pos="6480"/>
        </w:tabs>
        <w:ind w:left="6480" w:hanging="360"/>
      </w:pPr>
    </w:lvl>
  </w:abstractNum>
  <w:abstractNum w:abstractNumId="20">
    <w:nsid w:val="3A965331"/>
    <w:multiLevelType w:val="hybridMultilevel"/>
    <w:tmpl w:val="810C20C4"/>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nsid w:val="3AC02909"/>
    <w:multiLevelType w:val="hybridMultilevel"/>
    <w:tmpl w:val="A5A8AF8A"/>
    <w:lvl w:ilvl="0" w:tplc="0C090001">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2">
    <w:nsid w:val="3B795C26"/>
    <w:multiLevelType w:val="hybridMultilevel"/>
    <w:tmpl w:val="E17E2F8C"/>
    <w:lvl w:ilvl="0" w:tplc="CA78D244">
      <w:start w:val="1"/>
      <w:numFmt w:val="bullet"/>
      <w:lvlText w:val=""/>
      <w:lvlJc w:val="left"/>
      <w:pPr>
        <w:ind w:left="360" w:hanging="360"/>
      </w:pPr>
      <w:rPr>
        <w:rFonts w:ascii="Symbol" w:hAnsi="Symbol" w:hint="default"/>
      </w:rPr>
    </w:lvl>
    <w:lvl w:ilvl="1" w:tplc="0B90D8BA" w:tentative="1">
      <w:start w:val="1"/>
      <w:numFmt w:val="bullet"/>
      <w:lvlText w:val="o"/>
      <w:lvlJc w:val="left"/>
      <w:pPr>
        <w:ind w:left="1080" w:hanging="360"/>
      </w:pPr>
      <w:rPr>
        <w:rFonts w:ascii="Courier New" w:hAnsi="Courier New" w:cs="Courier New" w:hint="default"/>
      </w:rPr>
    </w:lvl>
    <w:lvl w:ilvl="2" w:tplc="0AC6BB7A" w:tentative="1">
      <w:start w:val="1"/>
      <w:numFmt w:val="bullet"/>
      <w:lvlText w:val=""/>
      <w:lvlJc w:val="left"/>
      <w:pPr>
        <w:ind w:left="1800" w:hanging="360"/>
      </w:pPr>
      <w:rPr>
        <w:rFonts w:ascii="Wingdings" w:hAnsi="Wingdings" w:hint="default"/>
      </w:rPr>
    </w:lvl>
    <w:lvl w:ilvl="3" w:tplc="BA5A9102" w:tentative="1">
      <w:start w:val="1"/>
      <w:numFmt w:val="bullet"/>
      <w:lvlText w:val=""/>
      <w:lvlJc w:val="left"/>
      <w:pPr>
        <w:ind w:left="2520" w:hanging="360"/>
      </w:pPr>
      <w:rPr>
        <w:rFonts w:ascii="Symbol" w:hAnsi="Symbol" w:hint="default"/>
      </w:rPr>
    </w:lvl>
    <w:lvl w:ilvl="4" w:tplc="87DC7642" w:tentative="1">
      <w:start w:val="1"/>
      <w:numFmt w:val="bullet"/>
      <w:lvlText w:val="o"/>
      <w:lvlJc w:val="left"/>
      <w:pPr>
        <w:ind w:left="3240" w:hanging="360"/>
      </w:pPr>
      <w:rPr>
        <w:rFonts w:ascii="Courier New" w:hAnsi="Courier New" w:cs="Courier New" w:hint="default"/>
      </w:rPr>
    </w:lvl>
    <w:lvl w:ilvl="5" w:tplc="25BCE562" w:tentative="1">
      <w:start w:val="1"/>
      <w:numFmt w:val="bullet"/>
      <w:lvlText w:val=""/>
      <w:lvlJc w:val="left"/>
      <w:pPr>
        <w:ind w:left="3960" w:hanging="360"/>
      </w:pPr>
      <w:rPr>
        <w:rFonts w:ascii="Wingdings" w:hAnsi="Wingdings" w:hint="default"/>
      </w:rPr>
    </w:lvl>
    <w:lvl w:ilvl="6" w:tplc="6C5C972C" w:tentative="1">
      <w:start w:val="1"/>
      <w:numFmt w:val="bullet"/>
      <w:lvlText w:val=""/>
      <w:lvlJc w:val="left"/>
      <w:pPr>
        <w:ind w:left="4680" w:hanging="360"/>
      </w:pPr>
      <w:rPr>
        <w:rFonts w:ascii="Symbol" w:hAnsi="Symbol" w:hint="default"/>
      </w:rPr>
    </w:lvl>
    <w:lvl w:ilvl="7" w:tplc="FE8020C4" w:tentative="1">
      <w:start w:val="1"/>
      <w:numFmt w:val="bullet"/>
      <w:lvlText w:val="o"/>
      <w:lvlJc w:val="left"/>
      <w:pPr>
        <w:ind w:left="5400" w:hanging="360"/>
      </w:pPr>
      <w:rPr>
        <w:rFonts w:ascii="Courier New" w:hAnsi="Courier New" w:cs="Courier New" w:hint="default"/>
      </w:rPr>
    </w:lvl>
    <w:lvl w:ilvl="8" w:tplc="7098EE8A" w:tentative="1">
      <w:start w:val="1"/>
      <w:numFmt w:val="bullet"/>
      <w:lvlText w:val=""/>
      <w:lvlJc w:val="left"/>
      <w:pPr>
        <w:ind w:left="6120" w:hanging="360"/>
      </w:pPr>
      <w:rPr>
        <w:rFonts w:ascii="Wingdings" w:hAnsi="Wingdings" w:hint="default"/>
      </w:rPr>
    </w:lvl>
  </w:abstractNum>
  <w:abstractNum w:abstractNumId="23">
    <w:nsid w:val="4C3372F5"/>
    <w:multiLevelType w:val="hybridMultilevel"/>
    <w:tmpl w:val="FE00E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E60028B"/>
    <w:multiLevelType w:val="hybridMultilevel"/>
    <w:tmpl w:val="8BAE1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F134C8F"/>
    <w:multiLevelType w:val="hybridMultilevel"/>
    <w:tmpl w:val="B1521088"/>
    <w:lvl w:ilvl="0" w:tplc="25522D50">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6">
    <w:nsid w:val="4F5D76EB"/>
    <w:multiLevelType w:val="hybridMultilevel"/>
    <w:tmpl w:val="C7B4ED7E"/>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nsid w:val="4F6055D7"/>
    <w:multiLevelType w:val="hybridMultilevel"/>
    <w:tmpl w:val="BDE692A0"/>
    <w:lvl w:ilvl="0" w:tplc="1D1E80C4">
      <w:start w:val="1"/>
      <w:numFmt w:val="bullet"/>
      <w:lvlText w:val=""/>
      <w:lvlJc w:val="left"/>
      <w:pPr>
        <w:ind w:left="36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8">
    <w:nsid w:val="50D9522A"/>
    <w:multiLevelType w:val="hybridMultilevel"/>
    <w:tmpl w:val="B8C040D0"/>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9">
    <w:nsid w:val="5431310B"/>
    <w:multiLevelType w:val="hybridMultilevel"/>
    <w:tmpl w:val="7C1E01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BA472CC"/>
    <w:multiLevelType w:val="hybridMultilevel"/>
    <w:tmpl w:val="976EC368"/>
    <w:lvl w:ilvl="0" w:tplc="0C090001">
      <w:start w:val="1"/>
      <w:numFmt w:val="decimal"/>
      <w:pStyle w:val="Numberedlist"/>
      <w:lvlText w:val="%1."/>
      <w:lvlJc w:val="left"/>
      <w:pPr>
        <w:tabs>
          <w:tab w:val="num" w:pos="567"/>
        </w:tabs>
        <w:ind w:left="567" w:hanging="567"/>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1">
    <w:nsid w:val="5EC452D2"/>
    <w:multiLevelType w:val="hybridMultilevel"/>
    <w:tmpl w:val="384E5D50"/>
    <w:lvl w:ilvl="0" w:tplc="0310CC48">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32">
    <w:nsid w:val="5F800170"/>
    <w:multiLevelType w:val="hybridMultilevel"/>
    <w:tmpl w:val="8946C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9D56AAE"/>
    <w:multiLevelType w:val="hybridMultilevel"/>
    <w:tmpl w:val="4BC2A6AC"/>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4">
    <w:nsid w:val="6ABF63EE"/>
    <w:multiLevelType w:val="hybridMultilevel"/>
    <w:tmpl w:val="EFECF6B4"/>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5">
    <w:nsid w:val="6D0B1B75"/>
    <w:multiLevelType w:val="multilevel"/>
    <w:tmpl w:val="39D02EF2"/>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6">
    <w:nsid w:val="6D214E8B"/>
    <w:multiLevelType w:val="hybridMultilevel"/>
    <w:tmpl w:val="D2E2B818"/>
    <w:lvl w:ilvl="0" w:tplc="0310CC48">
      <w:start w:val="1"/>
      <w:numFmt w:val="bullet"/>
      <w:pStyle w:val="TableBullet"/>
      <w:lvlText w:val="•"/>
      <w:lvlJc w:val="left"/>
      <w:pPr>
        <w:tabs>
          <w:tab w:val="num" w:pos="113"/>
        </w:tabs>
        <w:ind w:left="113" w:hanging="113"/>
      </w:pPr>
      <w:rPr>
        <w:rFonts w:ascii="Times New Roman" w:hAnsi="Times New Roman" w:cs="Times New Roman" w:hint="default"/>
        <w:sz w:val="20"/>
        <w:szCs w:val="20"/>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7">
    <w:nsid w:val="6F3101AC"/>
    <w:multiLevelType w:val="hybridMultilevel"/>
    <w:tmpl w:val="C2A82298"/>
    <w:lvl w:ilvl="0" w:tplc="0310CC48">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38">
    <w:nsid w:val="75DE2075"/>
    <w:multiLevelType w:val="hybridMultilevel"/>
    <w:tmpl w:val="B5504AB6"/>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9">
    <w:nsid w:val="764F7479"/>
    <w:multiLevelType w:val="hybridMultilevel"/>
    <w:tmpl w:val="424245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11"/>
  </w:num>
  <w:num w:numId="3">
    <w:abstractNumId w:val="13"/>
  </w:num>
  <w:num w:numId="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5"/>
  </w:num>
  <w:num w:numId="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6"/>
  </w:num>
  <w:num w:numId="9">
    <w:abstractNumId w:val="18"/>
  </w:num>
  <w:num w:numId="10">
    <w:abstractNumId w:val="21"/>
  </w:num>
  <w:num w:numId="11">
    <w:abstractNumId w:val="30"/>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15"/>
  </w:num>
  <w:num w:numId="1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22"/>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7"/>
  </w:num>
  <w:num w:numId="34">
    <w:abstractNumId w:val="8"/>
  </w:num>
  <w:num w:numId="35">
    <w:abstractNumId w:val="16"/>
  </w:num>
  <w:num w:numId="36">
    <w:abstractNumId w:val="32"/>
  </w:num>
  <w:num w:numId="37">
    <w:abstractNumId w:val="5"/>
  </w:num>
  <w:num w:numId="38">
    <w:abstractNumId w:val="4"/>
  </w:num>
  <w:num w:numId="39">
    <w:abstractNumId w:val="6"/>
  </w:num>
  <w:num w:numId="40">
    <w:abstractNumId w:val="3"/>
  </w:num>
  <w:num w:numId="41">
    <w:abstractNumId w:val="2"/>
  </w:num>
  <w:num w:numId="42">
    <w:abstractNumId w:val="1"/>
  </w:num>
  <w:num w:numId="43">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FF7776"/>
    <w:rsid w:val="00002031"/>
    <w:rsid w:val="00004734"/>
    <w:rsid w:val="00006B22"/>
    <w:rsid w:val="0001276A"/>
    <w:rsid w:val="000141CA"/>
    <w:rsid w:val="00017DE3"/>
    <w:rsid w:val="00020842"/>
    <w:rsid w:val="000246AE"/>
    <w:rsid w:val="00025C67"/>
    <w:rsid w:val="00040ACB"/>
    <w:rsid w:val="00052B3A"/>
    <w:rsid w:val="0005559E"/>
    <w:rsid w:val="00070410"/>
    <w:rsid w:val="00075197"/>
    <w:rsid w:val="00077775"/>
    <w:rsid w:val="00090471"/>
    <w:rsid w:val="000A3AED"/>
    <w:rsid w:val="000A63AF"/>
    <w:rsid w:val="000B3532"/>
    <w:rsid w:val="000B3A75"/>
    <w:rsid w:val="000B5F57"/>
    <w:rsid w:val="000C6595"/>
    <w:rsid w:val="000C690F"/>
    <w:rsid w:val="000C71CB"/>
    <w:rsid w:val="000D1295"/>
    <w:rsid w:val="000D391B"/>
    <w:rsid w:val="000D3D6D"/>
    <w:rsid w:val="000D4FC7"/>
    <w:rsid w:val="000E0F86"/>
    <w:rsid w:val="000F02F9"/>
    <w:rsid w:val="000F4869"/>
    <w:rsid w:val="000F5B42"/>
    <w:rsid w:val="000F6E6F"/>
    <w:rsid w:val="00104613"/>
    <w:rsid w:val="0010601F"/>
    <w:rsid w:val="0010788A"/>
    <w:rsid w:val="00107A31"/>
    <w:rsid w:val="00110EA5"/>
    <w:rsid w:val="00112F56"/>
    <w:rsid w:val="001159DD"/>
    <w:rsid w:val="00125318"/>
    <w:rsid w:val="001305A2"/>
    <w:rsid w:val="00133238"/>
    <w:rsid w:val="0014197B"/>
    <w:rsid w:val="001447CD"/>
    <w:rsid w:val="001516B1"/>
    <w:rsid w:val="00154EBB"/>
    <w:rsid w:val="00156316"/>
    <w:rsid w:val="00165389"/>
    <w:rsid w:val="0017078F"/>
    <w:rsid w:val="0017693F"/>
    <w:rsid w:val="00180ACB"/>
    <w:rsid w:val="0018110E"/>
    <w:rsid w:val="00181684"/>
    <w:rsid w:val="001843C6"/>
    <w:rsid w:val="001850E0"/>
    <w:rsid w:val="001A2158"/>
    <w:rsid w:val="001A525F"/>
    <w:rsid w:val="001B09F9"/>
    <w:rsid w:val="001B6448"/>
    <w:rsid w:val="001D38BB"/>
    <w:rsid w:val="001E07CF"/>
    <w:rsid w:val="001E59F1"/>
    <w:rsid w:val="001E637D"/>
    <w:rsid w:val="001E6DE1"/>
    <w:rsid w:val="001F49EB"/>
    <w:rsid w:val="001F6B54"/>
    <w:rsid w:val="001F6CBA"/>
    <w:rsid w:val="00201D4E"/>
    <w:rsid w:val="002076C9"/>
    <w:rsid w:val="0021228E"/>
    <w:rsid w:val="00217F9C"/>
    <w:rsid w:val="00220B8A"/>
    <w:rsid w:val="002257F3"/>
    <w:rsid w:val="00233456"/>
    <w:rsid w:val="002339A5"/>
    <w:rsid w:val="00257136"/>
    <w:rsid w:val="00257848"/>
    <w:rsid w:val="002666AC"/>
    <w:rsid w:val="0027084A"/>
    <w:rsid w:val="00286434"/>
    <w:rsid w:val="00286C59"/>
    <w:rsid w:val="00292113"/>
    <w:rsid w:val="002942D1"/>
    <w:rsid w:val="0029501A"/>
    <w:rsid w:val="002A12FF"/>
    <w:rsid w:val="002B1638"/>
    <w:rsid w:val="002C63ED"/>
    <w:rsid w:val="002D6161"/>
    <w:rsid w:val="002E4C9A"/>
    <w:rsid w:val="002E7F84"/>
    <w:rsid w:val="002F11F8"/>
    <w:rsid w:val="002F3F56"/>
    <w:rsid w:val="002F44B5"/>
    <w:rsid w:val="002F4C25"/>
    <w:rsid w:val="00311AC0"/>
    <w:rsid w:val="0032583B"/>
    <w:rsid w:val="00327883"/>
    <w:rsid w:val="00335504"/>
    <w:rsid w:val="00337FFE"/>
    <w:rsid w:val="00347F37"/>
    <w:rsid w:val="003521E8"/>
    <w:rsid w:val="003728F3"/>
    <w:rsid w:val="0037496E"/>
    <w:rsid w:val="0037623D"/>
    <w:rsid w:val="00386150"/>
    <w:rsid w:val="003874CE"/>
    <w:rsid w:val="00390900"/>
    <w:rsid w:val="00392729"/>
    <w:rsid w:val="00396C92"/>
    <w:rsid w:val="003A40AF"/>
    <w:rsid w:val="003A7F6C"/>
    <w:rsid w:val="003B1113"/>
    <w:rsid w:val="003B4D60"/>
    <w:rsid w:val="003B634F"/>
    <w:rsid w:val="003B7E39"/>
    <w:rsid w:val="003C58DC"/>
    <w:rsid w:val="003D0A3B"/>
    <w:rsid w:val="003D1E62"/>
    <w:rsid w:val="003D3163"/>
    <w:rsid w:val="003D565E"/>
    <w:rsid w:val="003E2486"/>
    <w:rsid w:val="003E3208"/>
    <w:rsid w:val="003F0B04"/>
    <w:rsid w:val="003F0BFE"/>
    <w:rsid w:val="003F2D39"/>
    <w:rsid w:val="003F4408"/>
    <w:rsid w:val="0040134E"/>
    <w:rsid w:val="00415D59"/>
    <w:rsid w:val="00436190"/>
    <w:rsid w:val="0043797D"/>
    <w:rsid w:val="00440A2D"/>
    <w:rsid w:val="004422EC"/>
    <w:rsid w:val="004564A7"/>
    <w:rsid w:val="004617BF"/>
    <w:rsid w:val="00463658"/>
    <w:rsid w:val="004722CC"/>
    <w:rsid w:val="0047360B"/>
    <w:rsid w:val="004936E4"/>
    <w:rsid w:val="00494D2E"/>
    <w:rsid w:val="00494E60"/>
    <w:rsid w:val="00497487"/>
    <w:rsid w:val="004A0839"/>
    <w:rsid w:val="004A7E13"/>
    <w:rsid w:val="004B5878"/>
    <w:rsid w:val="004B7B76"/>
    <w:rsid w:val="004C2DCA"/>
    <w:rsid w:val="004C3023"/>
    <w:rsid w:val="004D0EBE"/>
    <w:rsid w:val="004D6B1F"/>
    <w:rsid w:val="004E5566"/>
    <w:rsid w:val="004E7D76"/>
    <w:rsid w:val="004F0F38"/>
    <w:rsid w:val="004F45C0"/>
    <w:rsid w:val="00501921"/>
    <w:rsid w:val="00516405"/>
    <w:rsid w:val="00530354"/>
    <w:rsid w:val="0053625B"/>
    <w:rsid w:val="005434C6"/>
    <w:rsid w:val="00543B39"/>
    <w:rsid w:val="00546DAE"/>
    <w:rsid w:val="00550096"/>
    <w:rsid w:val="005512B0"/>
    <w:rsid w:val="00557FF9"/>
    <w:rsid w:val="00576378"/>
    <w:rsid w:val="00577945"/>
    <w:rsid w:val="00577E38"/>
    <w:rsid w:val="00585322"/>
    <w:rsid w:val="005857C6"/>
    <w:rsid w:val="00586F98"/>
    <w:rsid w:val="00592F6E"/>
    <w:rsid w:val="00593AD1"/>
    <w:rsid w:val="00596581"/>
    <w:rsid w:val="005967BC"/>
    <w:rsid w:val="005A13F2"/>
    <w:rsid w:val="005A68B6"/>
    <w:rsid w:val="005B66F5"/>
    <w:rsid w:val="005C5570"/>
    <w:rsid w:val="005C79A4"/>
    <w:rsid w:val="005D5442"/>
    <w:rsid w:val="005E3EB3"/>
    <w:rsid w:val="00601FD4"/>
    <w:rsid w:val="00603F32"/>
    <w:rsid w:val="00611544"/>
    <w:rsid w:val="00615201"/>
    <w:rsid w:val="00620406"/>
    <w:rsid w:val="00622F60"/>
    <w:rsid w:val="00630E27"/>
    <w:rsid w:val="00632398"/>
    <w:rsid w:val="00640FC3"/>
    <w:rsid w:val="00642020"/>
    <w:rsid w:val="006421C6"/>
    <w:rsid w:val="00643F59"/>
    <w:rsid w:val="00646206"/>
    <w:rsid w:val="0065337B"/>
    <w:rsid w:val="0065419D"/>
    <w:rsid w:val="00655CE1"/>
    <w:rsid w:val="006604D8"/>
    <w:rsid w:val="00664A5B"/>
    <w:rsid w:val="006763D2"/>
    <w:rsid w:val="00680C08"/>
    <w:rsid w:val="006819AE"/>
    <w:rsid w:val="00692B0F"/>
    <w:rsid w:val="006931B1"/>
    <w:rsid w:val="006A15C0"/>
    <w:rsid w:val="006B62B7"/>
    <w:rsid w:val="006C130C"/>
    <w:rsid w:val="006C223A"/>
    <w:rsid w:val="006C3E2A"/>
    <w:rsid w:val="006C642F"/>
    <w:rsid w:val="006D03E5"/>
    <w:rsid w:val="006D189C"/>
    <w:rsid w:val="006D5D3E"/>
    <w:rsid w:val="006E08B3"/>
    <w:rsid w:val="006F17AC"/>
    <w:rsid w:val="006F1D37"/>
    <w:rsid w:val="006F2796"/>
    <w:rsid w:val="006F5033"/>
    <w:rsid w:val="006F572E"/>
    <w:rsid w:val="007006C3"/>
    <w:rsid w:val="00703341"/>
    <w:rsid w:val="007046D6"/>
    <w:rsid w:val="00705DB0"/>
    <w:rsid w:val="00715197"/>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A2F02"/>
    <w:rsid w:val="007A4F20"/>
    <w:rsid w:val="007B6E9F"/>
    <w:rsid w:val="007C1216"/>
    <w:rsid w:val="007C1AF7"/>
    <w:rsid w:val="007E6E27"/>
    <w:rsid w:val="00805D27"/>
    <w:rsid w:val="00807AEC"/>
    <w:rsid w:val="00821776"/>
    <w:rsid w:val="008256B1"/>
    <w:rsid w:val="0082669A"/>
    <w:rsid w:val="008321F5"/>
    <w:rsid w:val="00832369"/>
    <w:rsid w:val="00834660"/>
    <w:rsid w:val="00836BC2"/>
    <w:rsid w:val="008414A0"/>
    <w:rsid w:val="00854FC1"/>
    <w:rsid w:val="0085641B"/>
    <w:rsid w:val="00857136"/>
    <w:rsid w:val="00861E6E"/>
    <w:rsid w:val="00886D15"/>
    <w:rsid w:val="00887DD8"/>
    <w:rsid w:val="00896018"/>
    <w:rsid w:val="008960DD"/>
    <w:rsid w:val="0089635C"/>
    <w:rsid w:val="008A2B9D"/>
    <w:rsid w:val="008A4961"/>
    <w:rsid w:val="008A53DC"/>
    <w:rsid w:val="008A5E0B"/>
    <w:rsid w:val="008A6D59"/>
    <w:rsid w:val="008B4B03"/>
    <w:rsid w:val="008B596F"/>
    <w:rsid w:val="008B5A3E"/>
    <w:rsid w:val="008C159F"/>
    <w:rsid w:val="008C1623"/>
    <w:rsid w:val="008C1850"/>
    <w:rsid w:val="008C4B6C"/>
    <w:rsid w:val="008C51A9"/>
    <w:rsid w:val="008C6D5A"/>
    <w:rsid w:val="008D770F"/>
    <w:rsid w:val="008E314A"/>
    <w:rsid w:val="008E6E79"/>
    <w:rsid w:val="008E7846"/>
    <w:rsid w:val="008F1CCC"/>
    <w:rsid w:val="008F2967"/>
    <w:rsid w:val="008F6943"/>
    <w:rsid w:val="00902A21"/>
    <w:rsid w:val="0091307A"/>
    <w:rsid w:val="00920330"/>
    <w:rsid w:val="009219D7"/>
    <w:rsid w:val="00922D53"/>
    <w:rsid w:val="00923B70"/>
    <w:rsid w:val="00924482"/>
    <w:rsid w:val="00930237"/>
    <w:rsid w:val="00946EA5"/>
    <w:rsid w:val="0095160F"/>
    <w:rsid w:val="00963C08"/>
    <w:rsid w:val="00982586"/>
    <w:rsid w:val="0098585A"/>
    <w:rsid w:val="0098669D"/>
    <w:rsid w:val="009A4CED"/>
    <w:rsid w:val="009A690D"/>
    <w:rsid w:val="009B1D12"/>
    <w:rsid w:val="009B416B"/>
    <w:rsid w:val="009C4BD5"/>
    <w:rsid w:val="009D37A3"/>
    <w:rsid w:val="009D7B77"/>
    <w:rsid w:val="009D7CA6"/>
    <w:rsid w:val="009E0BB0"/>
    <w:rsid w:val="009E3FBB"/>
    <w:rsid w:val="009F021B"/>
    <w:rsid w:val="00A102E4"/>
    <w:rsid w:val="00A12C42"/>
    <w:rsid w:val="00A14DF7"/>
    <w:rsid w:val="00A165A1"/>
    <w:rsid w:val="00A235D9"/>
    <w:rsid w:val="00A3246D"/>
    <w:rsid w:val="00A329E6"/>
    <w:rsid w:val="00A36FA7"/>
    <w:rsid w:val="00A475B7"/>
    <w:rsid w:val="00A47AF7"/>
    <w:rsid w:val="00A47C3E"/>
    <w:rsid w:val="00A50226"/>
    <w:rsid w:val="00A54A4D"/>
    <w:rsid w:val="00A60BAD"/>
    <w:rsid w:val="00A65AD6"/>
    <w:rsid w:val="00A737DA"/>
    <w:rsid w:val="00A964D1"/>
    <w:rsid w:val="00AA0ED0"/>
    <w:rsid w:val="00AA3499"/>
    <w:rsid w:val="00AA7BC8"/>
    <w:rsid w:val="00AB431A"/>
    <w:rsid w:val="00AC2B40"/>
    <w:rsid w:val="00AC2BB2"/>
    <w:rsid w:val="00AC2C3C"/>
    <w:rsid w:val="00AC512D"/>
    <w:rsid w:val="00AE01C2"/>
    <w:rsid w:val="00AE65EB"/>
    <w:rsid w:val="00AE67A7"/>
    <w:rsid w:val="00AF1D94"/>
    <w:rsid w:val="00AF60C5"/>
    <w:rsid w:val="00B009C6"/>
    <w:rsid w:val="00B01548"/>
    <w:rsid w:val="00B02208"/>
    <w:rsid w:val="00B12162"/>
    <w:rsid w:val="00B1425E"/>
    <w:rsid w:val="00B17FB6"/>
    <w:rsid w:val="00B209B6"/>
    <w:rsid w:val="00B21D29"/>
    <w:rsid w:val="00B25034"/>
    <w:rsid w:val="00B300EA"/>
    <w:rsid w:val="00B33588"/>
    <w:rsid w:val="00B33863"/>
    <w:rsid w:val="00B37D17"/>
    <w:rsid w:val="00B4175E"/>
    <w:rsid w:val="00B452CE"/>
    <w:rsid w:val="00B54C25"/>
    <w:rsid w:val="00B76B91"/>
    <w:rsid w:val="00B77EB1"/>
    <w:rsid w:val="00B811C6"/>
    <w:rsid w:val="00B85A87"/>
    <w:rsid w:val="00B861FC"/>
    <w:rsid w:val="00B92E08"/>
    <w:rsid w:val="00B93498"/>
    <w:rsid w:val="00B96EBE"/>
    <w:rsid w:val="00BC26A0"/>
    <w:rsid w:val="00BC622A"/>
    <w:rsid w:val="00BD45E3"/>
    <w:rsid w:val="00BE0A78"/>
    <w:rsid w:val="00BE32D5"/>
    <w:rsid w:val="00BE53C3"/>
    <w:rsid w:val="00BE6252"/>
    <w:rsid w:val="00BE76C7"/>
    <w:rsid w:val="00BE79F0"/>
    <w:rsid w:val="00BF046D"/>
    <w:rsid w:val="00BF1190"/>
    <w:rsid w:val="00BF5D04"/>
    <w:rsid w:val="00C05D8E"/>
    <w:rsid w:val="00C1164D"/>
    <w:rsid w:val="00C16861"/>
    <w:rsid w:val="00C22678"/>
    <w:rsid w:val="00C252B0"/>
    <w:rsid w:val="00C404A6"/>
    <w:rsid w:val="00C40A36"/>
    <w:rsid w:val="00C44419"/>
    <w:rsid w:val="00C45E7B"/>
    <w:rsid w:val="00C471B1"/>
    <w:rsid w:val="00C618F7"/>
    <w:rsid w:val="00C6316B"/>
    <w:rsid w:val="00C634A9"/>
    <w:rsid w:val="00C64586"/>
    <w:rsid w:val="00C64FF5"/>
    <w:rsid w:val="00C70D53"/>
    <w:rsid w:val="00C73D0B"/>
    <w:rsid w:val="00C77212"/>
    <w:rsid w:val="00C772FF"/>
    <w:rsid w:val="00C801AF"/>
    <w:rsid w:val="00C80256"/>
    <w:rsid w:val="00C811C0"/>
    <w:rsid w:val="00C92E74"/>
    <w:rsid w:val="00CB6BC0"/>
    <w:rsid w:val="00CC1B7C"/>
    <w:rsid w:val="00CC727F"/>
    <w:rsid w:val="00CD37DF"/>
    <w:rsid w:val="00CE60C7"/>
    <w:rsid w:val="00CF0463"/>
    <w:rsid w:val="00CF15C3"/>
    <w:rsid w:val="00CF2B6F"/>
    <w:rsid w:val="00CF58B6"/>
    <w:rsid w:val="00D017ED"/>
    <w:rsid w:val="00D040D3"/>
    <w:rsid w:val="00D04C65"/>
    <w:rsid w:val="00D224FE"/>
    <w:rsid w:val="00D31681"/>
    <w:rsid w:val="00D53A31"/>
    <w:rsid w:val="00D60F88"/>
    <w:rsid w:val="00D63D98"/>
    <w:rsid w:val="00D6493E"/>
    <w:rsid w:val="00D7301E"/>
    <w:rsid w:val="00D7735A"/>
    <w:rsid w:val="00D83AE1"/>
    <w:rsid w:val="00D85270"/>
    <w:rsid w:val="00D855D4"/>
    <w:rsid w:val="00D93466"/>
    <w:rsid w:val="00DA1124"/>
    <w:rsid w:val="00DB75B7"/>
    <w:rsid w:val="00DC0E48"/>
    <w:rsid w:val="00DC6E02"/>
    <w:rsid w:val="00DE02AE"/>
    <w:rsid w:val="00DF1D7F"/>
    <w:rsid w:val="00DF4BE4"/>
    <w:rsid w:val="00E02FB4"/>
    <w:rsid w:val="00E07F15"/>
    <w:rsid w:val="00E20571"/>
    <w:rsid w:val="00E235F7"/>
    <w:rsid w:val="00E23659"/>
    <w:rsid w:val="00E239D4"/>
    <w:rsid w:val="00E26130"/>
    <w:rsid w:val="00E2741C"/>
    <w:rsid w:val="00E40B22"/>
    <w:rsid w:val="00E4366E"/>
    <w:rsid w:val="00E44646"/>
    <w:rsid w:val="00E45619"/>
    <w:rsid w:val="00E4588F"/>
    <w:rsid w:val="00E46DA3"/>
    <w:rsid w:val="00E51BB1"/>
    <w:rsid w:val="00E53F4F"/>
    <w:rsid w:val="00E55FCF"/>
    <w:rsid w:val="00E624A5"/>
    <w:rsid w:val="00E7344E"/>
    <w:rsid w:val="00E762C0"/>
    <w:rsid w:val="00E90709"/>
    <w:rsid w:val="00E91D94"/>
    <w:rsid w:val="00E936E3"/>
    <w:rsid w:val="00EB0798"/>
    <w:rsid w:val="00EB40AD"/>
    <w:rsid w:val="00EB586E"/>
    <w:rsid w:val="00EB5FC8"/>
    <w:rsid w:val="00ED011E"/>
    <w:rsid w:val="00ED3CAD"/>
    <w:rsid w:val="00ED5895"/>
    <w:rsid w:val="00ED5A41"/>
    <w:rsid w:val="00ED670F"/>
    <w:rsid w:val="00EE1DA2"/>
    <w:rsid w:val="00EE1DE8"/>
    <w:rsid w:val="00F033EC"/>
    <w:rsid w:val="00F04F68"/>
    <w:rsid w:val="00F12670"/>
    <w:rsid w:val="00F14B27"/>
    <w:rsid w:val="00F3148D"/>
    <w:rsid w:val="00F325C5"/>
    <w:rsid w:val="00F32FBB"/>
    <w:rsid w:val="00F32FE0"/>
    <w:rsid w:val="00F35298"/>
    <w:rsid w:val="00F41460"/>
    <w:rsid w:val="00F47333"/>
    <w:rsid w:val="00F47E37"/>
    <w:rsid w:val="00F53C07"/>
    <w:rsid w:val="00F54B65"/>
    <w:rsid w:val="00F640B6"/>
    <w:rsid w:val="00F77356"/>
    <w:rsid w:val="00F80E40"/>
    <w:rsid w:val="00F848D9"/>
    <w:rsid w:val="00F873CF"/>
    <w:rsid w:val="00F95C6D"/>
    <w:rsid w:val="00FA5B82"/>
    <w:rsid w:val="00FA639E"/>
    <w:rsid w:val="00FC25E4"/>
    <w:rsid w:val="00FC36BE"/>
    <w:rsid w:val="00FC4EF7"/>
    <w:rsid w:val="00FD39AA"/>
    <w:rsid w:val="00FE0E88"/>
    <w:rsid w:val="00FE1DEE"/>
    <w:rsid w:val="00FF2126"/>
    <w:rsid w:val="00FF5755"/>
    <w:rsid w:val="00FF69BE"/>
    <w:rsid w:val="00FF7776"/>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7A4F2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3F0BFE"/>
    <w:pPr>
      <w:keepNext/>
      <w:numPr>
        <w:ilvl w:val="7"/>
        <w:numId w:val="7"/>
      </w:num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7"/>
    </w:pPr>
    <w:rPr>
      <w:rFonts w:ascii="Times New Roman" w:eastAsia="Times New Roman" w:hAnsi="Times New Roman"/>
      <w:i/>
      <w:iCs/>
      <w:kern w:val="16"/>
      <w:sz w:val="24"/>
      <w:szCs w:val="24"/>
      <w:lang w:eastAsia="en-AU"/>
    </w:rPr>
  </w:style>
  <w:style w:type="paragraph" w:styleId="Heading9">
    <w:name w:val="heading 9"/>
    <w:basedOn w:val="Normal"/>
    <w:next w:val="Normal"/>
    <w:link w:val="Heading9Char"/>
    <w:qFormat/>
    <w:rsid w:val="00C252B0"/>
    <w:pPr>
      <w:numPr>
        <w:ilvl w:val="8"/>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8"/>
    </w:pPr>
    <w:rPr>
      <w:rFonts w:ascii="Arial" w:eastAsia="Times New Roman" w:hAnsi="Arial" w:cs="Arial"/>
      <w:kern w:val="1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D63D98"/>
    <w:pPr>
      <w:spacing w:after="240"/>
    </w:pPr>
    <w:rPr>
      <w:sz w:val="18"/>
      <w:szCs w:val="18"/>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rsid w:val="007A4F2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heme="minorHAnsi" w:eastAsia="Times New Roman" w:hAnsiTheme="minorHAnsi"/>
      <w:bCs/>
      <w:kern w:val="16"/>
      <w:sz w:val="18"/>
      <w:szCs w:val="20"/>
      <w:lang w:eastAsia="en-AU"/>
    </w:rPr>
  </w:style>
  <w:style w:type="character" w:customStyle="1" w:styleId="FootnoteTextChar">
    <w:name w:val="Footnote Text Char"/>
    <w:basedOn w:val="DefaultParagraphFont"/>
    <w:link w:val="FootnoteText"/>
    <w:semiHidden/>
    <w:rsid w:val="007A4F20"/>
    <w:rPr>
      <w:rFonts w:eastAsia="Times New Roman" w:cs="Times New Roman"/>
      <w:bCs/>
      <w:kern w:val="16"/>
      <w:sz w:val="18"/>
      <w:szCs w:val="20"/>
      <w:lang w:eastAsia="en-AU"/>
    </w:rPr>
  </w:style>
  <w:style w:type="character" w:styleId="FootnoteReference">
    <w:name w:val="footnote reference"/>
    <w:basedOn w:val="DefaultParagraphFont"/>
    <w:semiHidden/>
    <w:rsid w:val="00C252B0"/>
    <w:rPr>
      <w:vertAlign w:val="superscript"/>
    </w:rPr>
  </w:style>
  <w:style w:type="character" w:customStyle="1" w:styleId="Heading8Char">
    <w:name w:val="Heading 8 Char"/>
    <w:basedOn w:val="DefaultParagraphFont"/>
    <w:link w:val="Heading8"/>
    <w:rsid w:val="003F0BFE"/>
    <w:rPr>
      <w:rFonts w:ascii="Times New Roman" w:eastAsia="Times New Roman" w:hAnsi="Times New Roman" w:cs="Times New Roman"/>
      <w:i/>
      <w:iCs/>
      <w:kern w:val="16"/>
      <w:sz w:val="24"/>
      <w:szCs w:val="24"/>
      <w:lang w:eastAsia="en-AU"/>
    </w:rPr>
  </w:style>
  <w:style w:type="character" w:customStyle="1" w:styleId="Heading9Char">
    <w:name w:val="Heading 9 Char"/>
    <w:basedOn w:val="DefaultParagraphFont"/>
    <w:link w:val="Heading9"/>
    <w:rsid w:val="00C252B0"/>
    <w:rPr>
      <w:rFonts w:ascii="Arial" w:eastAsia="Times New Roman" w:hAnsi="Arial" w:cs="Arial"/>
      <w:kern w:val="16"/>
      <w:lang w:eastAsia="en-AU"/>
    </w:rPr>
  </w:style>
  <w:style w:type="paragraph" w:customStyle="1" w:styleId="Numberedlist">
    <w:name w:val="Numbered list"/>
    <w:basedOn w:val="Normal"/>
    <w:rsid w:val="00C252B0"/>
    <w:pPr>
      <w:numPr>
        <w:numId w:val="11"/>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4"/>
      <w:szCs w:val="24"/>
      <w:lang w:eastAsia="en-AU"/>
    </w:rPr>
  </w:style>
  <w:style w:type="paragraph" w:customStyle="1" w:styleId="Bullet1">
    <w:name w:val="Bullet 1"/>
    <w:basedOn w:val="Normal"/>
    <w:rsid w:val="00C252B0"/>
    <w:pPr>
      <w:numPr>
        <w:numId w:val="9"/>
      </w:num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rsid w:val="00C252B0"/>
    <w:pPr>
      <w:numPr>
        <w:numId w:val="10"/>
      </w:numPr>
      <w:tabs>
        <w:tab w:val="clear" w:pos="567"/>
        <w:tab w:val="num" w:pos="284"/>
      </w:tabs>
      <w:ind w:left="284" w:hanging="284"/>
    </w:pPr>
  </w:style>
  <w:style w:type="paragraph" w:customStyle="1" w:styleId="Comment1">
    <w:name w:val="Comment 1"/>
    <w:basedOn w:val="Normal"/>
    <w:next w:val="Comment2"/>
    <w:rsid w:val="00C252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Arial" w:eastAsia="Times New Roman" w:hAnsi="Arial" w:cs="Arial"/>
      <w:kern w:val="16"/>
      <w:sz w:val="20"/>
      <w:lang w:eastAsia="en-AU"/>
    </w:rPr>
  </w:style>
  <w:style w:type="paragraph" w:customStyle="1" w:styleId="Comment2">
    <w:name w:val="Comment 2"/>
    <w:basedOn w:val="Normal"/>
    <w:rsid w:val="00C252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Arial" w:eastAsia="Times New Roman" w:hAnsi="Arial" w:cs="Arial"/>
      <w:kern w:val="16"/>
      <w:sz w:val="20"/>
      <w:lang w:eastAsia="en-AU"/>
    </w:rPr>
  </w:style>
  <w:style w:type="paragraph" w:customStyle="1" w:styleId="Heading0inTOC">
    <w:name w:val="Heading 0 (in TOC)"/>
    <w:basedOn w:val="Heading1"/>
    <w:next w:val="Normal"/>
    <w:rsid w:val="00C252B0"/>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rsid w:val="00C252B0"/>
    <w:rPr>
      <w:sz w:val="20"/>
    </w:rPr>
  </w:style>
  <w:style w:type="paragraph" w:customStyle="1" w:styleId="TableBullet">
    <w:name w:val="Table Bullet"/>
    <w:basedOn w:val="Normal"/>
    <w:rsid w:val="00C252B0"/>
    <w:pPr>
      <w:numPr>
        <w:numId w:val="8"/>
      </w:numPr>
      <w:tabs>
        <w:tab w:val="clear" w:pos="113"/>
        <w:tab w:val="num"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0" w:firstLine="0"/>
    </w:pPr>
    <w:rPr>
      <w:rFonts w:ascii="Times New Roman" w:eastAsia="Times New Roman" w:hAnsi="Times New Roman"/>
      <w:kern w:val="16"/>
      <w:sz w:val="20"/>
      <w:szCs w:val="24"/>
      <w:lang w:eastAsia="en-AU"/>
    </w:rPr>
  </w:style>
  <w:style w:type="paragraph" w:customStyle="1" w:styleId="Heading0notinTOC">
    <w:name w:val="Heading 0 (not in TOC)"/>
    <w:basedOn w:val="Normal"/>
    <w:next w:val="Normal"/>
    <w:rsid w:val="00C252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Arial" w:eastAsia="Times New Roman" w:hAnsi="Arial"/>
      <w:b/>
      <w:kern w:val="16"/>
      <w:sz w:val="28"/>
      <w:szCs w:val="24"/>
      <w:lang w:eastAsia="en-AU"/>
    </w:rPr>
  </w:style>
  <w:style w:type="paragraph" w:styleId="Quote">
    <w:name w:val="Quote"/>
    <w:basedOn w:val="Normal"/>
    <w:link w:val="QuoteChar"/>
    <w:qFormat/>
    <w:rsid w:val="00C252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567"/>
    </w:pPr>
    <w:rPr>
      <w:rFonts w:ascii="Arial" w:eastAsia="Times New Roman" w:hAnsi="Arial"/>
      <w:kern w:val="16"/>
      <w:sz w:val="20"/>
      <w:szCs w:val="24"/>
      <w:lang w:eastAsia="en-AU"/>
    </w:rPr>
  </w:style>
  <w:style w:type="character" w:customStyle="1" w:styleId="QuoteChar">
    <w:name w:val="Quote Char"/>
    <w:basedOn w:val="DefaultParagraphFont"/>
    <w:link w:val="Quote"/>
    <w:rsid w:val="00C252B0"/>
    <w:rPr>
      <w:rFonts w:ascii="Arial" w:eastAsia="Times New Roman" w:hAnsi="Arial" w:cs="Times New Roman"/>
      <w:kern w:val="16"/>
      <w:sz w:val="20"/>
      <w:szCs w:val="24"/>
      <w:lang w:eastAsia="en-AU"/>
    </w:rPr>
  </w:style>
  <w:style w:type="paragraph" w:styleId="TOC4">
    <w:name w:val="toc 4"/>
    <w:basedOn w:val="Normal"/>
    <w:next w:val="Normal"/>
    <w:uiPriority w:val="39"/>
    <w:rsid w:val="00C252B0"/>
    <w:pPr>
      <w:tabs>
        <w:tab w:val="left" w:pos="1134"/>
        <w:tab w:val="right" w:leader="dot" w:pos="9072"/>
      </w:tabs>
      <w:spacing w:before="0" w:after="0" w:line="240" w:lineRule="auto"/>
      <w:ind w:left="1474" w:hanging="1134"/>
    </w:pPr>
    <w:rPr>
      <w:rFonts w:ascii="Times New Roman" w:eastAsia="Times New Roman" w:hAnsi="Times New Roman"/>
      <w:kern w:val="16"/>
      <w:sz w:val="20"/>
      <w:szCs w:val="24"/>
      <w:lang w:eastAsia="en-AU"/>
    </w:rPr>
  </w:style>
  <w:style w:type="paragraph" w:styleId="TOC5">
    <w:name w:val="toc 5"/>
    <w:basedOn w:val="Normal"/>
    <w:next w:val="Normal"/>
    <w:semiHidden/>
    <w:rsid w:val="00C252B0"/>
    <w:pPr>
      <w:spacing w:before="0" w:after="0" w:line="240" w:lineRule="auto"/>
      <w:ind w:left="960"/>
    </w:pPr>
    <w:rPr>
      <w:rFonts w:ascii="Times New Roman" w:eastAsia="Times New Roman" w:hAnsi="Times New Roman"/>
      <w:kern w:val="16"/>
      <w:sz w:val="20"/>
      <w:szCs w:val="24"/>
      <w:lang w:eastAsia="en-AU"/>
    </w:rPr>
  </w:style>
  <w:style w:type="paragraph" w:styleId="TOC6">
    <w:name w:val="toc 6"/>
    <w:basedOn w:val="Normal"/>
    <w:next w:val="Normal"/>
    <w:semiHidden/>
    <w:rsid w:val="00C252B0"/>
    <w:pPr>
      <w:spacing w:before="0" w:after="0" w:line="240" w:lineRule="auto"/>
      <w:ind w:left="1200"/>
    </w:pPr>
    <w:rPr>
      <w:rFonts w:ascii="Times New Roman" w:eastAsia="Times New Roman" w:hAnsi="Times New Roman"/>
      <w:kern w:val="16"/>
      <w:sz w:val="20"/>
      <w:szCs w:val="24"/>
      <w:lang w:eastAsia="en-AU"/>
    </w:rPr>
  </w:style>
  <w:style w:type="paragraph" w:styleId="TOC7">
    <w:name w:val="toc 7"/>
    <w:basedOn w:val="Normal"/>
    <w:next w:val="Normal"/>
    <w:semiHidden/>
    <w:rsid w:val="00C252B0"/>
    <w:pPr>
      <w:spacing w:before="0" w:after="0" w:line="240" w:lineRule="auto"/>
      <w:ind w:left="1440"/>
    </w:pPr>
    <w:rPr>
      <w:rFonts w:ascii="Times New Roman" w:eastAsia="Times New Roman" w:hAnsi="Times New Roman"/>
      <w:kern w:val="16"/>
      <w:sz w:val="20"/>
      <w:szCs w:val="24"/>
      <w:lang w:eastAsia="en-AU"/>
    </w:rPr>
  </w:style>
  <w:style w:type="paragraph" w:styleId="TOC8">
    <w:name w:val="toc 8"/>
    <w:basedOn w:val="Normal"/>
    <w:next w:val="Normal"/>
    <w:semiHidden/>
    <w:rsid w:val="00C252B0"/>
    <w:pPr>
      <w:spacing w:before="0" w:after="0" w:line="240" w:lineRule="auto"/>
      <w:ind w:left="1680"/>
    </w:pPr>
    <w:rPr>
      <w:rFonts w:ascii="Times New Roman" w:eastAsia="Times New Roman" w:hAnsi="Times New Roman"/>
      <w:kern w:val="16"/>
      <w:sz w:val="20"/>
      <w:szCs w:val="24"/>
      <w:lang w:eastAsia="en-AU"/>
    </w:rPr>
  </w:style>
  <w:style w:type="paragraph" w:styleId="TOC9">
    <w:name w:val="toc 9"/>
    <w:basedOn w:val="Normal"/>
    <w:next w:val="Normal"/>
    <w:semiHidden/>
    <w:rsid w:val="00C252B0"/>
    <w:pPr>
      <w:spacing w:before="0" w:after="0" w:line="240" w:lineRule="auto"/>
      <w:ind w:left="1920"/>
    </w:pPr>
    <w:rPr>
      <w:rFonts w:ascii="Times New Roman" w:eastAsia="Times New Roman" w:hAnsi="Times New Roman"/>
      <w:kern w:val="16"/>
      <w:sz w:val="20"/>
      <w:szCs w:val="24"/>
      <w:lang w:eastAsia="en-AU"/>
    </w:rPr>
  </w:style>
  <w:style w:type="paragraph" w:styleId="EndnoteText">
    <w:name w:val="endnote text"/>
    <w:basedOn w:val="Normal"/>
    <w:link w:val="EndnoteTextChar"/>
    <w:semiHidden/>
    <w:rsid w:val="00C252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semiHidden/>
    <w:rsid w:val="00C252B0"/>
    <w:rPr>
      <w:rFonts w:ascii="Times New Roman" w:eastAsia="Times New Roman" w:hAnsi="Times New Roman" w:cs="Times New Roman"/>
      <w:kern w:val="16"/>
      <w:sz w:val="20"/>
      <w:szCs w:val="20"/>
      <w:lang w:eastAsia="en-AU"/>
    </w:rPr>
  </w:style>
  <w:style w:type="character" w:styleId="EndnoteReference">
    <w:name w:val="endnote reference"/>
    <w:basedOn w:val="DefaultParagraphFont"/>
    <w:semiHidden/>
    <w:rsid w:val="00C252B0"/>
    <w:rPr>
      <w:vertAlign w:val="superscript"/>
    </w:rPr>
  </w:style>
  <w:style w:type="paragraph" w:customStyle="1" w:styleId="Tablenormal0">
    <w:name w:val="Table normal"/>
    <w:basedOn w:val="Normal"/>
    <w:rsid w:val="00C252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Pr>
      <w:rFonts w:ascii="Times New Roman" w:eastAsia="Times New Roman" w:hAnsi="Times New Roman"/>
      <w:kern w:val="16"/>
      <w:sz w:val="20"/>
      <w:szCs w:val="20"/>
      <w:lang w:eastAsia="en-AU"/>
    </w:rPr>
  </w:style>
  <w:style w:type="paragraph" w:customStyle="1" w:styleId="Abbreviations">
    <w:name w:val="Abbreviations"/>
    <w:basedOn w:val="Normal"/>
    <w:rsid w:val="00C252B0"/>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 w:type="paragraph" w:styleId="NormalWeb">
    <w:name w:val="Normal (Web)"/>
    <w:basedOn w:val="Normal"/>
    <w:uiPriority w:val="99"/>
    <w:unhideWhenUsed/>
    <w:rsid w:val="00C252B0"/>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uiPriority w:val="34"/>
    <w:rsid w:val="00982586"/>
    <w:pPr>
      <w:ind w:left="720"/>
      <w:contextualSpacing/>
    </w:pPr>
  </w:style>
  <w:style w:type="character" w:styleId="CommentReference">
    <w:name w:val="annotation reference"/>
    <w:basedOn w:val="DefaultParagraphFont"/>
    <w:uiPriority w:val="99"/>
    <w:semiHidden/>
    <w:unhideWhenUsed/>
    <w:rsid w:val="00A65AD6"/>
    <w:rPr>
      <w:sz w:val="16"/>
      <w:szCs w:val="16"/>
    </w:rPr>
  </w:style>
  <w:style w:type="paragraph" w:styleId="CommentText">
    <w:name w:val="annotation text"/>
    <w:basedOn w:val="Normal"/>
    <w:link w:val="CommentTextChar"/>
    <w:uiPriority w:val="99"/>
    <w:unhideWhenUsed/>
    <w:rsid w:val="00A65AD6"/>
    <w:pPr>
      <w:spacing w:line="240" w:lineRule="auto"/>
    </w:pPr>
    <w:rPr>
      <w:sz w:val="20"/>
      <w:szCs w:val="20"/>
    </w:rPr>
  </w:style>
  <w:style w:type="character" w:customStyle="1" w:styleId="CommentTextChar">
    <w:name w:val="Comment Text Char"/>
    <w:basedOn w:val="DefaultParagraphFont"/>
    <w:link w:val="CommentText"/>
    <w:uiPriority w:val="99"/>
    <w:rsid w:val="00A65AD6"/>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A65AD6"/>
    <w:rPr>
      <w:b/>
      <w:bCs/>
    </w:rPr>
  </w:style>
  <w:style w:type="character" w:customStyle="1" w:styleId="CommentSubjectChar">
    <w:name w:val="Comment Subject Char"/>
    <w:basedOn w:val="CommentTextChar"/>
    <w:link w:val="CommentSubject"/>
    <w:uiPriority w:val="99"/>
    <w:semiHidden/>
    <w:rsid w:val="00A65AD6"/>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C252B0"/>
    <w:pPr>
      <w:numPr>
        <w:ilvl w:val="7"/>
        <w:numId w:val="7"/>
      </w:num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7"/>
    </w:pPr>
    <w:rPr>
      <w:rFonts w:ascii="Times New Roman" w:eastAsia="Times New Roman" w:hAnsi="Times New Roman"/>
      <w:i/>
      <w:iCs/>
      <w:kern w:val="16"/>
      <w:sz w:val="24"/>
      <w:szCs w:val="24"/>
      <w:lang w:eastAsia="en-AU"/>
    </w:rPr>
  </w:style>
  <w:style w:type="paragraph" w:styleId="Heading9">
    <w:name w:val="heading 9"/>
    <w:basedOn w:val="Normal"/>
    <w:next w:val="Normal"/>
    <w:link w:val="Heading9Char"/>
    <w:qFormat/>
    <w:rsid w:val="00C252B0"/>
    <w:pPr>
      <w:numPr>
        <w:ilvl w:val="8"/>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8"/>
    </w:pPr>
    <w:rPr>
      <w:rFonts w:ascii="Arial" w:eastAsia="Times New Roman" w:hAnsi="Arial" w:cs="Arial"/>
      <w:kern w:val="1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rsid w:val="00C252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FootnoteTextChar">
    <w:name w:val="Footnote Text Char"/>
    <w:basedOn w:val="DefaultParagraphFont"/>
    <w:link w:val="FootnoteText"/>
    <w:semiHidden/>
    <w:rsid w:val="00C252B0"/>
    <w:rPr>
      <w:rFonts w:ascii="Times New Roman" w:eastAsia="Times New Roman" w:hAnsi="Times New Roman" w:cs="Times New Roman"/>
      <w:kern w:val="16"/>
      <w:sz w:val="20"/>
      <w:szCs w:val="20"/>
      <w:lang w:eastAsia="en-AU"/>
    </w:rPr>
  </w:style>
  <w:style w:type="character" w:styleId="FootnoteReference">
    <w:name w:val="footnote reference"/>
    <w:basedOn w:val="DefaultParagraphFont"/>
    <w:semiHidden/>
    <w:rsid w:val="00C252B0"/>
    <w:rPr>
      <w:vertAlign w:val="superscript"/>
    </w:rPr>
  </w:style>
  <w:style w:type="character" w:customStyle="1" w:styleId="Heading8Char">
    <w:name w:val="Heading 8 Char"/>
    <w:basedOn w:val="DefaultParagraphFont"/>
    <w:link w:val="Heading8"/>
    <w:rsid w:val="00C252B0"/>
    <w:rPr>
      <w:rFonts w:ascii="Times New Roman" w:eastAsia="Times New Roman" w:hAnsi="Times New Roman" w:cs="Times New Roman"/>
      <w:i/>
      <w:iCs/>
      <w:kern w:val="16"/>
      <w:sz w:val="24"/>
      <w:szCs w:val="24"/>
      <w:lang w:eastAsia="en-AU"/>
    </w:rPr>
  </w:style>
  <w:style w:type="character" w:customStyle="1" w:styleId="Heading9Char">
    <w:name w:val="Heading 9 Char"/>
    <w:basedOn w:val="DefaultParagraphFont"/>
    <w:link w:val="Heading9"/>
    <w:rsid w:val="00C252B0"/>
    <w:rPr>
      <w:rFonts w:ascii="Arial" w:eastAsia="Times New Roman" w:hAnsi="Arial" w:cs="Arial"/>
      <w:kern w:val="16"/>
      <w:lang w:eastAsia="en-AU"/>
    </w:rPr>
  </w:style>
  <w:style w:type="paragraph" w:customStyle="1" w:styleId="Numberedlist">
    <w:name w:val="Numbered list"/>
    <w:basedOn w:val="Normal"/>
    <w:rsid w:val="00C252B0"/>
    <w:pPr>
      <w:numPr>
        <w:numId w:val="11"/>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4"/>
      <w:szCs w:val="24"/>
      <w:lang w:eastAsia="en-AU"/>
    </w:rPr>
  </w:style>
  <w:style w:type="paragraph" w:customStyle="1" w:styleId="Bullet1">
    <w:name w:val="Bullet 1"/>
    <w:basedOn w:val="Normal"/>
    <w:rsid w:val="00C252B0"/>
    <w:pPr>
      <w:numPr>
        <w:numId w:val="9"/>
      </w:num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rsid w:val="00C252B0"/>
    <w:pPr>
      <w:numPr>
        <w:numId w:val="10"/>
      </w:numPr>
      <w:tabs>
        <w:tab w:val="clear" w:pos="567"/>
        <w:tab w:val="num" w:pos="284"/>
      </w:tabs>
      <w:ind w:left="284" w:hanging="284"/>
    </w:pPr>
  </w:style>
  <w:style w:type="paragraph" w:customStyle="1" w:styleId="Comment1">
    <w:name w:val="Comment 1"/>
    <w:basedOn w:val="Normal"/>
    <w:next w:val="Comment2"/>
    <w:rsid w:val="00C252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Arial" w:eastAsia="Times New Roman" w:hAnsi="Arial" w:cs="Arial"/>
      <w:kern w:val="16"/>
      <w:sz w:val="20"/>
      <w:lang w:eastAsia="en-AU"/>
    </w:rPr>
  </w:style>
  <w:style w:type="paragraph" w:customStyle="1" w:styleId="Comment2">
    <w:name w:val="Comment 2"/>
    <w:basedOn w:val="Normal"/>
    <w:rsid w:val="00C252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Arial" w:eastAsia="Times New Roman" w:hAnsi="Arial" w:cs="Arial"/>
      <w:kern w:val="16"/>
      <w:sz w:val="20"/>
      <w:lang w:eastAsia="en-AU"/>
    </w:rPr>
  </w:style>
  <w:style w:type="paragraph" w:customStyle="1" w:styleId="Heading0inTOC">
    <w:name w:val="Heading 0 (in TOC)"/>
    <w:basedOn w:val="Heading1"/>
    <w:next w:val="Normal"/>
    <w:rsid w:val="00C252B0"/>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rsid w:val="00C252B0"/>
    <w:rPr>
      <w:sz w:val="20"/>
    </w:rPr>
  </w:style>
  <w:style w:type="paragraph" w:customStyle="1" w:styleId="TableBullet">
    <w:name w:val="Table Bullet"/>
    <w:basedOn w:val="Normal"/>
    <w:rsid w:val="00C252B0"/>
    <w:pPr>
      <w:numPr>
        <w:numId w:val="8"/>
      </w:numPr>
      <w:tabs>
        <w:tab w:val="clear" w:pos="113"/>
        <w:tab w:val="num"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0" w:firstLine="0"/>
    </w:pPr>
    <w:rPr>
      <w:rFonts w:ascii="Times New Roman" w:eastAsia="Times New Roman" w:hAnsi="Times New Roman"/>
      <w:kern w:val="16"/>
      <w:sz w:val="20"/>
      <w:szCs w:val="24"/>
      <w:lang w:eastAsia="en-AU"/>
    </w:rPr>
  </w:style>
  <w:style w:type="paragraph" w:customStyle="1" w:styleId="Heading0notinTOC">
    <w:name w:val="Heading 0 (not in TOC)"/>
    <w:basedOn w:val="Normal"/>
    <w:next w:val="Normal"/>
    <w:rsid w:val="00C252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Arial" w:eastAsia="Times New Roman" w:hAnsi="Arial"/>
      <w:b/>
      <w:kern w:val="16"/>
      <w:sz w:val="28"/>
      <w:szCs w:val="24"/>
      <w:lang w:eastAsia="en-AU"/>
    </w:rPr>
  </w:style>
  <w:style w:type="paragraph" w:styleId="Quote">
    <w:name w:val="Quote"/>
    <w:basedOn w:val="Normal"/>
    <w:link w:val="QuoteChar"/>
    <w:qFormat/>
    <w:rsid w:val="00C252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567"/>
    </w:pPr>
    <w:rPr>
      <w:rFonts w:ascii="Arial" w:eastAsia="Times New Roman" w:hAnsi="Arial"/>
      <w:kern w:val="16"/>
      <w:sz w:val="20"/>
      <w:szCs w:val="24"/>
      <w:lang w:eastAsia="en-AU"/>
    </w:rPr>
  </w:style>
  <w:style w:type="character" w:customStyle="1" w:styleId="QuoteChar">
    <w:name w:val="Quote Char"/>
    <w:basedOn w:val="DefaultParagraphFont"/>
    <w:link w:val="Quote"/>
    <w:rsid w:val="00C252B0"/>
    <w:rPr>
      <w:rFonts w:ascii="Arial" w:eastAsia="Times New Roman" w:hAnsi="Arial" w:cs="Times New Roman"/>
      <w:kern w:val="16"/>
      <w:sz w:val="20"/>
      <w:szCs w:val="24"/>
      <w:lang w:eastAsia="en-AU"/>
    </w:rPr>
  </w:style>
  <w:style w:type="paragraph" w:styleId="TOC4">
    <w:name w:val="toc 4"/>
    <w:basedOn w:val="Normal"/>
    <w:next w:val="Normal"/>
    <w:uiPriority w:val="39"/>
    <w:rsid w:val="00C252B0"/>
    <w:pPr>
      <w:tabs>
        <w:tab w:val="left" w:pos="1134"/>
        <w:tab w:val="right" w:leader="dot" w:pos="9072"/>
      </w:tabs>
      <w:spacing w:before="0" w:after="0" w:line="240" w:lineRule="auto"/>
      <w:ind w:left="1474" w:hanging="1134"/>
    </w:pPr>
    <w:rPr>
      <w:rFonts w:ascii="Times New Roman" w:eastAsia="Times New Roman" w:hAnsi="Times New Roman"/>
      <w:kern w:val="16"/>
      <w:sz w:val="20"/>
      <w:szCs w:val="24"/>
      <w:lang w:eastAsia="en-AU"/>
    </w:rPr>
  </w:style>
  <w:style w:type="paragraph" w:styleId="TOC5">
    <w:name w:val="toc 5"/>
    <w:basedOn w:val="Normal"/>
    <w:next w:val="Normal"/>
    <w:semiHidden/>
    <w:rsid w:val="00C252B0"/>
    <w:pPr>
      <w:spacing w:before="0" w:after="0" w:line="240" w:lineRule="auto"/>
      <w:ind w:left="960"/>
    </w:pPr>
    <w:rPr>
      <w:rFonts w:ascii="Times New Roman" w:eastAsia="Times New Roman" w:hAnsi="Times New Roman"/>
      <w:kern w:val="16"/>
      <w:sz w:val="20"/>
      <w:szCs w:val="24"/>
      <w:lang w:eastAsia="en-AU"/>
    </w:rPr>
  </w:style>
  <w:style w:type="paragraph" w:styleId="TOC6">
    <w:name w:val="toc 6"/>
    <w:basedOn w:val="Normal"/>
    <w:next w:val="Normal"/>
    <w:semiHidden/>
    <w:rsid w:val="00C252B0"/>
    <w:pPr>
      <w:spacing w:before="0" w:after="0" w:line="240" w:lineRule="auto"/>
      <w:ind w:left="1200"/>
    </w:pPr>
    <w:rPr>
      <w:rFonts w:ascii="Times New Roman" w:eastAsia="Times New Roman" w:hAnsi="Times New Roman"/>
      <w:kern w:val="16"/>
      <w:sz w:val="20"/>
      <w:szCs w:val="24"/>
      <w:lang w:eastAsia="en-AU"/>
    </w:rPr>
  </w:style>
  <w:style w:type="paragraph" w:styleId="TOC7">
    <w:name w:val="toc 7"/>
    <w:basedOn w:val="Normal"/>
    <w:next w:val="Normal"/>
    <w:semiHidden/>
    <w:rsid w:val="00C252B0"/>
    <w:pPr>
      <w:spacing w:before="0" w:after="0" w:line="240" w:lineRule="auto"/>
      <w:ind w:left="1440"/>
    </w:pPr>
    <w:rPr>
      <w:rFonts w:ascii="Times New Roman" w:eastAsia="Times New Roman" w:hAnsi="Times New Roman"/>
      <w:kern w:val="16"/>
      <w:sz w:val="20"/>
      <w:szCs w:val="24"/>
      <w:lang w:eastAsia="en-AU"/>
    </w:rPr>
  </w:style>
  <w:style w:type="paragraph" w:styleId="TOC8">
    <w:name w:val="toc 8"/>
    <w:basedOn w:val="Normal"/>
    <w:next w:val="Normal"/>
    <w:semiHidden/>
    <w:rsid w:val="00C252B0"/>
    <w:pPr>
      <w:spacing w:before="0" w:after="0" w:line="240" w:lineRule="auto"/>
      <w:ind w:left="1680"/>
    </w:pPr>
    <w:rPr>
      <w:rFonts w:ascii="Times New Roman" w:eastAsia="Times New Roman" w:hAnsi="Times New Roman"/>
      <w:kern w:val="16"/>
      <w:sz w:val="20"/>
      <w:szCs w:val="24"/>
      <w:lang w:eastAsia="en-AU"/>
    </w:rPr>
  </w:style>
  <w:style w:type="paragraph" w:styleId="TOC9">
    <w:name w:val="toc 9"/>
    <w:basedOn w:val="Normal"/>
    <w:next w:val="Normal"/>
    <w:semiHidden/>
    <w:rsid w:val="00C252B0"/>
    <w:pPr>
      <w:spacing w:before="0" w:after="0" w:line="240" w:lineRule="auto"/>
      <w:ind w:left="1920"/>
    </w:pPr>
    <w:rPr>
      <w:rFonts w:ascii="Times New Roman" w:eastAsia="Times New Roman" w:hAnsi="Times New Roman"/>
      <w:kern w:val="16"/>
      <w:sz w:val="20"/>
      <w:szCs w:val="24"/>
      <w:lang w:eastAsia="en-AU"/>
    </w:rPr>
  </w:style>
  <w:style w:type="paragraph" w:styleId="EndnoteText">
    <w:name w:val="endnote text"/>
    <w:basedOn w:val="Normal"/>
    <w:link w:val="EndnoteTextChar"/>
    <w:semiHidden/>
    <w:rsid w:val="00C252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semiHidden/>
    <w:rsid w:val="00C252B0"/>
    <w:rPr>
      <w:rFonts w:ascii="Times New Roman" w:eastAsia="Times New Roman" w:hAnsi="Times New Roman" w:cs="Times New Roman"/>
      <w:kern w:val="16"/>
      <w:sz w:val="20"/>
      <w:szCs w:val="20"/>
      <w:lang w:eastAsia="en-AU"/>
    </w:rPr>
  </w:style>
  <w:style w:type="character" w:styleId="EndnoteReference">
    <w:name w:val="endnote reference"/>
    <w:basedOn w:val="DefaultParagraphFont"/>
    <w:semiHidden/>
    <w:rsid w:val="00C252B0"/>
    <w:rPr>
      <w:vertAlign w:val="superscript"/>
    </w:rPr>
  </w:style>
  <w:style w:type="paragraph" w:customStyle="1" w:styleId="Tablenormal0">
    <w:name w:val="Table normal"/>
    <w:basedOn w:val="Normal"/>
    <w:rsid w:val="00C252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Pr>
      <w:rFonts w:ascii="Times New Roman" w:eastAsia="Times New Roman" w:hAnsi="Times New Roman"/>
      <w:kern w:val="16"/>
      <w:sz w:val="20"/>
      <w:szCs w:val="20"/>
      <w:lang w:eastAsia="en-AU"/>
    </w:rPr>
  </w:style>
  <w:style w:type="paragraph" w:customStyle="1" w:styleId="Abbreviations">
    <w:name w:val="Abbreviations"/>
    <w:basedOn w:val="Normal"/>
    <w:rsid w:val="00C252B0"/>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 w:type="paragraph" w:styleId="NormalWeb">
    <w:name w:val="Normal (Web)"/>
    <w:basedOn w:val="Normal"/>
    <w:uiPriority w:val="99"/>
    <w:unhideWhenUsed/>
    <w:rsid w:val="00C252B0"/>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uiPriority w:val="34"/>
    <w:rsid w:val="00982586"/>
    <w:pPr>
      <w:ind w:left="720"/>
      <w:contextualSpacing/>
    </w:pPr>
  </w:style>
  <w:style w:type="character" w:styleId="CommentReference">
    <w:name w:val="annotation reference"/>
    <w:basedOn w:val="DefaultParagraphFont"/>
    <w:uiPriority w:val="99"/>
    <w:semiHidden/>
    <w:unhideWhenUsed/>
    <w:rsid w:val="00A65AD6"/>
    <w:rPr>
      <w:sz w:val="16"/>
      <w:szCs w:val="16"/>
    </w:rPr>
  </w:style>
  <w:style w:type="paragraph" w:styleId="CommentText">
    <w:name w:val="annotation text"/>
    <w:basedOn w:val="Normal"/>
    <w:link w:val="CommentTextChar"/>
    <w:uiPriority w:val="99"/>
    <w:unhideWhenUsed/>
    <w:rsid w:val="00A65AD6"/>
    <w:pPr>
      <w:spacing w:line="240" w:lineRule="auto"/>
    </w:pPr>
    <w:rPr>
      <w:sz w:val="20"/>
      <w:szCs w:val="20"/>
    </w:rPr>
  </w:style>
  <w:style w:type="character" w:customStyle="1" w:styleId="CommentTextChar">
    <w:name w:val="Comment Text Char"/>
    <w:basedOn w:val="DefaultParagraphFont"/>
    <w:link w:val="CommentText"/>
    <w:uiPriority w:val="99"/>
    <w:rsid w:val="00A65AD6"/>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A65AD6"/>
    <w:rPr>
      <w:b/>
      <w:bCs/>
    </w:rPr>
  </w:style>
  <w:style w:type="character" w:customStyle="1" w:styleId="CommentSubjectChar">
    <w:name w:val="Comment Subject Char"/>
    <w:basedOn w:val="CommentTextChar"/>
    <w:link w:val="CommentSubject"/>
    <w:uiPriority w:val="99"/>
    <w:semiHidden/>
    <w:rsid w:val="00A65AD6"/>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6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9.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eader" Target="header4.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tga.copyright@tga.gov.a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header" Target="header8.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eader" Target="header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eader" Target="header3.xm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www.tga.gov.au/hp/information-medicines-pi.htm" TargetMode="External"/><Relationship Id="rId31" Type="http://schemas.openxmlformats.org/officeDocument/2006/relationships/image" Target="media/image20.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oter" Target="footer2.xml"/><Relationship Id="rId81"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376\t0N20KKI.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24F15-ABFB-4630-B46B-E196E30EC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t0N20KKI.DOTX</Template>
  <TotalTime>530</TotalTime>
  <Pages>70</Pages>
  <Words>21405</Words>
  <Characters>122014</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vt:lpstr>
    </vt:vector>
  </TitlesOfParts>
  <Company>TGA</Company>
  <LinksUpToDate>false</LinksUpToDate>
  <CharactersWithSpaces>143133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Influenza virus haemagglutinin inactivated split influenza vaccine</dc:title>
  <dc:subject>prescription medicine regulation</dc:subject>
  <dc:creator>Therapeutic Goods Administration</dc:creator>
  <cp:keywords>clinical, evaluation, report, medicine, assessment, regulation, australia, influenza, virus, haemagglutinin, inactivated, split, vaccine, fluarix, tetra, glaxosmithkline</cp:keywords>
  <cp:lastModifiedBy>Sheppard, Fran</cp:lastModifiedBy>
  <cp:revision>34</cp:revision>
  <cp:lastPrinted>2010-12-20T22:59:00Z</cp:lastPrinted>
  <dcterms:created xsi:type="dcterms:W3CDTF">2014-02-17T01:12:00Z</dcterms:created>
  <dcterms:modified xsi:type="dcterms:W3CDTF">2014-03-24T07:54:00Z</dcterms:modified>
</cp:coreProperties>
</file>