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380F" w:rsidRPr="00937EBC" w:rsidRDefault="002A6612" w:rsidP="006E37C3">
      <w:pPr>
        <w:spacing w:before="120" w:after="120"/>
        <w:jc w:val="center"/>
        <w:rPr>
          <w:rFonts w:ascii="Arial" w:hAnsi="Arial" w:cs="Arial"/>
          <w:b/>
          <w:color w:val="0000FF"/>
          <w:sz w:val="22"/>
          <w:szCs w:val="22"/>
          <w:lang w:val="en-GB"/>
        </w:rPr>
      </w:pPr>
      <w:bookmarkStart w:id="0" w:name="_GoBack"/>
      <w:bookmarkEnd w:id="0"/>
      <w:r w:rsidRPr="00937EBC">
        <w:rPr>
          <w:rFonts w:ascii="Arial" w:hAnsi="Arial" w:cs="Arial"/>
          <w:b/>
          <w:color w:val="0000FF"/>
          <w:sz w:val="22"/>
          <w:szCs w:val="22"/>
          <w:lang w:val="en-GB"/>
        </w:rPr>
        <w:t>FLUARIX</w:t>
      </w:r>
      <w:r w:rsidR="00EA7278" w:rsidRPr="00EA7278">
        <w:rPr>
          <w:rFonts w:ascii="Arial" w:hAnsi="Arial" w:cs="Arial"/>
          <w:b/>
          <w:color w:val="0000FF"/>
          <w:sz w:val="22"/>
          <w:szCs w:val="22"/>
          <w:vertAlign w:val="superscript"/>
          <w:lang w:val="en-GB"/>
        </w:rPr>
        <w:t>TM</w:t>
      </w:r>
      <w:r w:rsidRPr="00EA7278">
        <w:rPr>
          <w:rFonts w:ascii="Arial" w:hAnsi="Arial" w:cs="Arial"/>
          <w:b/>
          <w:color w:val="0000FF"/>
          <w:sz w:val="22"/>
          <w:szCs w:val="22"/>
          <w:vertAlign w:val="superscript"/>
          <w:lang w:val="en-GB"/>
        </w:rPr>
        <w:t xml:space="preserve"> </w:t>
      </w:r>
      <w:r w:rsidRPr="00937EBC">
        <w:rPr>
          <w:rFonts w:ascii="Arial" w:hAnsi="Arial" w:cs="Arial"/>
          <w:b/>
          <w:color w:val="0000FF"/>
          <w:sz w:val="22"/>
          <w:szCs w:val="22"/>
          <w:lang w:val="en-GB"/>
        </w:rPr>
        <w:t>TETRA</w:t>
      </w:r>
    </w:p>
    <w:p w:rsidR="007A4294" w:rsidRPr="00937EBC" w:rsidRDefault="0077380F" w:rsidP="00197076">
      <w:pPr>
        <w:spacing w:before="120"/>
        <w:jc w:val="center"/>
        <w:rPr>
          <w:rFonts w:ascii="Arial" w:hAnsi="Arial" w:cs="Arial"/>
          <w:b/>
          <w:sz w:val="22"/>
          <w:szCs w:val="22"/>
          <w:lang w:val="en-GB"/>
        </w:rPr>
      </w:pPr>
      <w:r w:rsidRPr="00937EBC">
        <w:rPr>
          <w:rFonts w:ascii="Arial" w:hAnsi="Arial" w:cs="Arial"/>
          <w:b/>
          <w:sz w:val="22"/>
          <w:szCs w:val="22"/>
          <w:lang w:val="en-GB"/>
        </w:rPr>
        <w:t>PRODUCT INFORMATION</w:t>
      </w:r>
    </w:p>
    <w:p w:rsidR="007A0414" w:rsidRPr="00937EBC" w:rsidRDefault="007A0414" w:rsidP="00197076">
      <w:pPr>
        <w:spacing w:before="120"/>
        <w:jc w:val="center"/>
        <w:rPr>
          <w:rFonts w:ascii="Arial" w:hAnsi="Arial" w:cs="Arial"/>
          <w:b/>
          <w:sz w:val="22"/>
          <w:szCs w:val="22"/>
          <w:lang w:val="en-GB"/>
        </w:rPr>
      </w:pPr>
    </w:p>
    <w:p w:rsidR="00E81E59" w:rsidRPr="00937EBC" w:rsidRDefault="0077380F" w:rsidP="00E81E59">
      <w:pPr>
        <w:spacing w:before="120"/>
        <w:jc w:val="both"/>
        <w:rPr>
          <w:rFonts w:ascii="Arial" w:hAnsi="Arial" w:cs="Arial"/>
          <w:sz w:val="22"/>
          <w:szCs w:val="22"/>
          <w:lang w:val="en-GB"/>
        </w:rPr>
      </w:pPr>
      <w:r w:rsidRPr="00937EBC">
        <w:rPr>
          <w:rFonts w:ascii="Arial" w:hAnsi="Arial" w:cs="Arial"/>
          <w:b/>
          <w:sz w:val="22"/>
          <w:szCs w:val="22"/>
          <w:lang w:val="en-GB"/>
        </w:rPr>
        <w:t>NAME OF THE MEDICINE</w:t>
      </w:r>
    </w:p>
    <w:p w:rsidR="009B6E92" w:rsidRPr="00937EBC" w:rsidRDefault="009B6E92" w:rsidP="009B6E92">
      <w:pPr>
        <w:spacing w:line="360" w:lineRule="atLeast"/>
        <w:jc w:val="both"/>
        <w:rPr>
          <w:rFonts w:ascii="Arial" w:hAnsi="Arial"/>
          <w:sz w:val="22"/>
          <w:lang w:val="en-GB"/>
        </w:rPr>
      </w:pPr>
      <w:r w:rsidRPr="00937EBC">
        <w:rPr>
          <w:rFonts w:ascii="Arial" w:hAnsi="Arial"/>
          <w:sz w:val="22"/>
          <w:lang w:val="en-GB"/>
        </w:rPr>
        <w:t>Quadrivalent influenza vaccine (split virion, inactivated)</w:t>
      </w:r>
    </w:p>
    <w:p w:rsidR="004F640B" w:rsidRPr="00937EBC" w:rsidRDefault="004F640B" w:rsidP="00053893">
      <w:pPr>
        <w:spacing w:before="120" w:after="240"/>
        <w:jc w:val="both"/>
        <w:rPr>
          <w:rFonts w:ascii="Arial" w:hAnsi="Arial" w:cs="Arial"/>
          <w:b/>
          <w:sz w:val="22"/>
          <w:szCs w:val="22"/>
          <w:lang w:val="en-GB"/>
        </w:rPr>
      </w:pPr>
    </w:p>
    <w:p w:rsidR="00C556BA" w:rsidRPr="00937EBC" w:rsidRDefault="00E81E59" w:rsidP="00053893">
      <w:pPr>
        <w:spacing w:before="120" w:after="240"/>
        <w:jc w:val="both"/>
        <w:rPr>
          <w:rFonts w:ascii="Arial" w:hAnsi="Arial" w:cs="Arial"/>
          <w:b/>
          <w:sz w:val="22"/>
          <w:szCs w:val="22"/>
          <w:lang w:val="en-GB"/>
        </w:rPr>
      </w:pPr>
      <w:r w:rsidRPr="00937EBC">
        <w:rPr>
          <w:rFonts w:ascii="Arial" w:hAnsi="Arial" w:cs="Arial"/>
          <w:b/>
          <w:sz w:val="22"/>
          <w:szCs w:val="22"/>
          <w:lang w:val="en-GB"/>
        </w:rPr>
        <w:t>DESCRIPTION</w:t>
      </w:r>
    </w:p>
    <w:p w:rsidR="001D3244" w:rsidRDefault="00C12727" w:rsidP="009B6E92">
      <w:pPr>
        <w:pStyle w:val="BodyText2"/>
        <w:tabs>
          <w:tab w:val="clear" w:pos="5103"/>
        </w:tabs>
        <w:rPr>
          <w:rFonts w:ascii="Arial" w:hAnsi="Arial"/>
          <w:sz w:val="22"/>
          <w:lang w:val="en-GB"/>
        </w:rPr>
      </w:pPr>
      <w:r w:rsidRPr="00C12727">
        <w:rPr>
          <w:rFonts w:ascii="Arial" w:hAnsi="Arial"/>
          <w:sz w:val="22"/>
          <w:lang w:val="en-GB"/>
        </w:rPr>
        <w:t>Fluarix</w:t>
      </w:r>
      <w:r>
        <w:rPr>
          <w:rFonts w:ascii="Arial" w:hAnsi="Arial"/>
          <w:sz w:val="22"/>
          <w:lang w:val="en-GB"/>
        </w:rPr>
        <w:t xml:space="preserve"> Tetra</w:t>
      </w:r>
      <w:r w:rsidRPr="00C12727">
        <w:rPr>
          <w:rFonts w:ascii="Arial" w:hAnsi="Arial"/>
          <w:sz w:val="22"/>
          <w:lang w:val="en-GB"/>
        </w:rPr>
        <w:t xml:space="preserve"> is an inactivated and purified split influenza vaccine.  The antigen composition and strains for the 2013 influenza season corresponds to the following types:</w:t>
      </w:r>
    </w:p>
    <w:p w:rsidR="00EA7278" w:rsidRPr="00174DAE" w:rsidRDefault="00EA7278" w:rsidP="00EA7278">
      <w:pPr>
        <w:pStyle w:val="BodyText2"/>
        <w:rPr>
          <w:rFonts w:ascii="Arial" w:hAnsi="Arial"/>
          <w:sz w:val="22"/>
          <w:lang w:val="en-GB"/>
        </w:rPr>
      </w:pPr>
      <w:r>
        <w:rPr>
          <w:rFonts w:ascii="Arial" w:hAnsi="Arial"/>
          <w:sz w:val="22"/>
          <w:lang w:val="en-GB"/>
        </w:rPr>
        <w:t>A/California/7/2009-like virus</w:t>
      </w:r>
    </w:p>
    <w:p w:rsidR="00EA7278" w:rsidRPr="00174DAE" w:rsidRDefault="00EA7278" w:rsidP="00EA7278">
      <w:pPr>
        <w:pStyle w:val="BodyText2"/>
        <w:rPr>
          <w:rFonts w:ascii="Arial" w:hAnsi="Arial"/>
          <w:sz w:val="22"/>
          <w:lang w:val="en-GB"/>
        </w:rPr>
      </w:pPr>
      <w:r w:rsidRPr="00174DAE">
        <w:rPr>
          <w:rFonts w:ascii="Arial" w:hAnsi="Arial"/>
          <w:sz w:val="22"/>
          <w:lang w:val="en-GB"/>
        </w:rPr>
        <w:t>A/Victoria/361/2011-like virus</w:t>
      </w:r>
    </w:p>
    <w:p w:rsidR="00EA7278" w:rsidRDefault="00EA7278" w:rsidP="00EA7278">
      <w:pPr>
        <w:pStyle w:val="BodyText2"/>
        <w:rPr>
          <w:rFonts w:ascii="Arial" w:hAnsi="Arial"/>
          <w:sz w:val="22"/>
          <w:lang w:val="en-GB"/>
        </w:rPr>
      </w:pPr>
      <w:r w:rsidRPr="00174DAE">
        <w:rPr>
          <w:rFonts w:ascii="Arial" w:hAnsi="Arial"/>
          <w:sz w:val="22"/>
          <w:lang w:val="en-GB"/>
        </w:rPr>
        <w:t>B/Wisconsin/1/2010-like virus</w:t>
      </w:r>
    </w:p>
    <w:p w:rsidR="009B6E92" w:rsidRDefault="00184E4A" w:rsidP="009B6E92">
      <w:pPr>
        <w:spacing w:line="360" w:lineRule="atLeast"/>
        <w:jc w:val="both"/>
        <w:rPr>
          <w:rFonts w:ascii="Arial" w:hAnsi="Arial" w:cs="Arial"/>
          <w:sz w:val="22"/>
          <w:szCs w:val="22"/>
          <w:lang w:val="en-GB"/>
        </w:rPr>
      </w:pPr>
      <w:r w:rsidRPr="00184E4A">
        <w:rPr>
          <w:rFonts w:ascii="Arial" w:hAnsi="Arial"/>
          <w:sz w:val="22"/>
          <w:lang w:val="en-GB"/>
        </w:rPr>
        <w:t>B/Brisbane/60/2008-like virus</w:t>
      </w:r>
    </w:p>
    <w:p w:rsidR="005B12B7" w:rsidRDefault="005B12B7" w:rsidP="009B6E92">
      <w:pPr>
        <w:spacing w:line="360" w:lineRule="atLeast"/>
        <w:jc w:val="both"/>
        <w:rPr>
          <w:rFonts w:ascii="Arial" w:hAnsi="Arial" w:cs="Arial"/>
          <w:sz w:val="22"/>
          <w:szCs w:val="22"/>
          <w:lang w:val="en-GB"/>
        </w:rPr>
      </w:pPr>
      <w:r w:rsidRPr="005B12B7">
        <w:rPr>
          <w:rFonts w:ascii="Arial" w:hAnsi="Arial" w:cs="Arial"/>
          <w:sz w:val="22"/>
          <w:szCs w:val="22"/>
          <w:lang w:val="en-GB"/>
        </w:rPr>
        <w:t xml:space="preserve">Fluarix </w:t>
      </w:r>
      <w:r w:rsidR="0046166A">
        <w:rPr>
          <w:rFonts w:ascii="Arial" w:hAnsi="Arial" w:cs="Arial"/>
          <w:sz w:val="22"/>
          <w:szCs w:val="22"/>
          <w:lang w:val="en-GB"/>
        </w:rPr>
        <w:t xml:space="preserve">Tetra </w:t>
      </w:r>
      <w:r w:rsidRPr="005B12B7">
        <w:rPr>
          <w:rFonts w:ascii="Arial" w:hAnsi="Arial" w:cs="Arial"/>
          <w:sz w:val="22"/>
          <w:szCs w:val="22"/>
          <w:lang w:val="en-GB"/>
        </w:rPr>
        <w:t xml:space="preserve">is prepared using whole virus cultivated in </w:t>
      </w:r>
      <w:proofErr w:type="spellStart"/>
      <w:r w:rsidRPr="005B12B7">
        <w:rPr>
          <w:rFonts w:ascii="Arial" w:hAnsi="Arial" w:cs="Arial"/>
          <w:sz w:val="22"/>
          <w:szCs w:val="22"/>
          <w:lang w:val="en-GB"/>
        </w:rPr>
        <w:t>embryonated</w:t>
      </w:r>
      <w:proofErr w:type="spellEnd"/>
      <w:r w:rsidRPr="005B12B7">
        <w:rPr>
          <w:rFonts w:ascii="Arial" w:hAnsi="Arial" w:cs="Arial"/>
          <w:sz w:val="22"/>
          <w:szCs w:val="22"/>
          <w:lang w:val="en-GB"/>
        </w:rPr>
        <w:t xml:space="preserve"> hens' eggs.  The virus is concentrated and purified by clarification, adsorption and centrifugation.  The purified whole virus is then treated with the detergent sodium deoxycholate and again centrifuged, and the resulting antigen suspension is</w:t>
      </w:r>
      <w:r>
        <w:rPr>
          <w:rFonts w:ascii="Arial" w:hAnsi="Arial" w:cs="Arial"/>
          <w:sz w:val="22"/>
          <w:szCs w:val="22"/>
          <w:lang w:val="en-GB"/>
        </w:rPr>
        <w:t xml:space="preserve"> inactivated with formaldehyde.</w:t>
      </w:r>
    </w:p>
    <w:p w:rsidR="005B12B7" w:rsidRPr="00937EBC" w:rsidRDefault="005B12B7" w:rsidP="009B6E92">
      <w:pPr>
        <w:spacing w:line="360" w:lineRule="atLeast"/>
        <w:jc w:val="both"/>
        <w:rPr>
          <w:rFonts w:ascii="Arial" w:hAnsi="Arial" w:cs="Arial"/>
          <w:sz w:val="22"/>
          <w:szCs w:val="22"/>
          <w:lang w:val="en-GB"/>
        </w:rPr>
      </w:pPr>
    </w:p>
    <w:p w:rsidR="009B6E92" w:rsidRPr="00937EBC" w:rsidRDefault="009B6E92" w:rsidP="009B6E92">
      <w:pPr>
        <w:pStyle w:val="BodyText2"/>
        <w:rPr>
          <w:rFonts w:ascii="Arial" w:hAnsi="Arial"/>
          <w:sz w:val="22"/>
          <w:lang w:val="en-GB"/>
        </w:rPr>
      </w:pPr>
      <w:proofErr w:type="gramStart"/>
      <w:r w:rsidRPr="00937EBC">
        <w:rPr>
          <w:rFonts w:ascii="Arial" w:hAnsi="Arial"/>
          <w:sz w:val="22"/>
          <w:lang w:val="en-GB"/>
        </w:rPr>
        <w:t>Suspension for injection.</w:t>
      </w:r>
      <w:proofErr w:type="gramEnd"/>
    </w:p>
    <w:p w:rsidR="009B6E92" w:rsidRPr="00937EBC" w:rsidRDefault="009B6E92" w:rsidP="009B6E92">
      <w:pPr>
        <w:pStyle w:val="BodyText2"/>
        <w:tabs>
          <w:tab w:val="clear" w:pos="5103"/>
        </w:tabs>
        <w:rPr>
          <w:rFonts w:ascii="Arial" w:hAnsi="Arial"/>
          <w:sz w:val="22"/>
          <w:lang w:val="en-GB"/>
        </w:rPr>
      </w:pPr>
    </w:p>
    <w:p w:rsidR="009B6E92" w:rsidRPr="00937EBC" w:rsidRDefault="009B6E92" w:rsidP="009B6E92">
      <w:pPr>
        <w:pStyle w:val="BodyText2"/>
        <w:tabs>
          <w:tab w:val="clear" w:pos="5103"/>
        </w:tabs>
        <w:rPr>
          <w:rFonts w:ascii="Arial" w:hAnsi="Arial"/>
          <w:sz w:val="22"/>
          <w:lang w:val="en-GB"/>
        </w:rPr>
      </w:pPr>
      <w:r w:rsidRPr="00937EBC">
        <w:rPr>
          <w:rFonts w:ascii="Arial" w:hAnsi="Arial"/>
          <w:sz w:val="22"/>
          <w:lang w:val="en-GB"/>
        </w:rPr>
        <w:t>Fluarix Tetra is a colourless to slightly opalescent suspension.</w:t>
      </w:r>
    </w:p>
    <w:p w:rsidR="009B6E92" w:rsidRPr="00937EBC" w:rsidRDefault="009B6E92" w:rsidP="009B6E92">
      <w:pPr>
        <w:pStyle w:val="Text"/>
        <w:tabs>
          <w:tab w:val="left" w:pos="10173"/>
          <w:tab w:val="left" w:pos="10456"/>
        </w:tabs>
        <w:spacing w:line="360" w:lineRule="atLeast"/>
        <w:rPr>
          <w:sz w:val="22"/>
        </w:rPr>
      </w:pPr>
    </w:p>
    <w:p w:rsidR="003A08D5" w:rsidRDefault="009B6E92" w:rsidP="009B6E92">
      <w:pPr>
        <w:tabs>
          <w:tab w:val="left" w:pos="10173"/>
          <w:tab w:val="left" w:pos="10456"/>
        </w:tabs>
        <w:spacing w:line="360" w:lineRule="atLeast"/>
        <w:ind w:right="27"/>
        <w:jc w:val="both"/>
        <w:rPr>
          <w:rFonts w:ascii="Arial" w:hAnsi="Arial"/>
          <w:sz w:val="22"/>
          <w:lang w:val="en-GB"/>
        </w:rPr>
      </w:pPr>
      <w:r w:rsidRPr="00937EBC">
        <w:rPr>
          <w:rFonts w:ascii="Arial" w:hAnsi="Arial"/>
          <w:sz w:val="22"/>
          <w:lang w:val="en-GB"/>
        </w:rPr>
        <w:t xml:space="preserve">Each 0.5 ml vaccine dose contains 15 </w:t>
      </w:r>
      <w:r w:rsidR="00CD56B0" w:rsidRPr="00937EBC">
        <w:rPr>
          <w:rFonts w:ascii="Arial" w:hAnsi="Arial"/>
          <w:sz w:val="22"/>
          <w:lang w:val="en-GB"/>
        </w:rPr>
        <w:fldChar w:fldCharType="begin"/>
      </w:r>
      <w:r w:rsidRPr="00937EBC">
        <w:rPr>
          <w:rFonts w:ascii="Arial" w:hAnsi="Arial"/>
          <w:sz w:val="22"/>
          <w:lang w:val="en-GB"/>
        </w:rPr>
        <w:instrText>SYMBOL 109 \f "Symbol"</w:instrText>
      </w:r>
      <w:r w:rsidR="00CD56B0" w:rsidRPr="00937EBC">
        <w:rPr>
          <w:rFonts w:ascii="Arial" w:hAnsi="Arial"/>
          <w:sz w:val="22"/>
          <w:lang w:val="en-GB"/>
        </w:rPr>
        <w:fldChar w:fldCharType="end"/>
      </w:r>
      <w:r w:rsidRPr="00937EBC">
        <w:rPr>
          <w:rFonts w:ascii="Arial" w:hAnsi="Arial"/>
          <w:sz w:val="22"/>
          <w:lang w:val="en-GB"/>
        </w:rPr>
        <w:t xml:space="preserve">g haemagglutinin of each of four </w:t>
      </w:r>
      <w:r w:rsidR="00E15F33">
        <w:rPr>
          <w:rFonts w:ascii="Arial" w:hAnsi="Arial"/>
          <w:sz w:val="22"/>
          <w:lang w:val="en-GB"/>
        </w:rPr>
        <w:t xml:space="preserve">influenza </w:t>
      </w:r>
      <w:r w:rsidRPr="00937EBC">
        <w:rPr>
          <w:rFonts w:ascii="Arial" w:hAnsi="Arial"/>
          <w:sz w:val="22"/>
          <w:lang w:val="en-GB"/>
        </w:rPr>
        <w:t>strains</w:t>
      </w:r>
      <w:r w:rsidR="00034B65" w:rsidRPr="00937EBC">
        <w:rPr>
          <w:rFonts w:ascii="Arial" w:hAnsi="Arial"/>
          <w:sz w:val="22"/>
          <w:lang w:val="en-GB"/>
        </w:rPr>
        <w:t xml:space="preserve"> in </w:t>
      </w:r>
      <w:r w:rsidRPr="00937EBC">
        <w:rPr>
          <w:rFonts w:ascii="Arial" w:hAnsi="Arial"/>
          <w:sz w:val="22"/>
          <w:lang w:val="en-GB"/>
        </w:rPr>
        <w:t>phosphate buffered saline</w:t>
      </w:r>
      <w:r w:rsidR="00034B65" w:rsidRPr="00937EBC">
        <w:rPr>
          <w:rFonts w:ascii="Arial" w:hAnsi="Arial"/>
          <w:sz w:val="22"/>
          <w:lang w:val="en-GB"/>
        </w:rPr>
        <w:t>. The vaccine preparation also contains</w:t>
      </w:r>
      <w:r w:rsidRPr="00937EBC">
        <w:rPr>
          <w:rFonts w:ascii="Arial" w:hAnsi="Arial"/>
          <w:sz w:val="22"/>
          <w:lang w:val="en-GB"/>
        </w:rPr>
        <w:t xml:space="preserve"> </w:t>
      </w:r>
      <w:proofErr w:type="spellStart"/>
      <w:r w:rsidRPr="00937EBC">
        <w:rPr>
          <w:rFonts w:ascii="Arial" w:hAnsi="Arial"/>
          <w:sz w:val="22"/>
          <w:lang w:val="en-GB"/>
        </w:rPr>
        <w:t>polysorbate</w:t>
      </w:r>
      <w:proofErr w:type="spellEnd"/>
      <w:r w:rsidRPr="00937EBC">
        <w:rPr>
          <w:rFonts w:ascii="Arial" w:hAnsi="Arial"/>
          <w:sz w:val="22"/>
          <w:lang w:val="en-GB"/>
        </w:rPr>
        <w:t xml:space="preserve"> 80, </w:t>
      </w:r>
      <w:proofErr w:type="spellStart"/>
      <w:r w:rsidRPr="00937EBC">
        <w:rPr>
          <w:rFonts w:ascii="Arial" w:hAnsi="Arial"/>
          <w:sz w:val="22"/>
          <w:lang w:val="en-GB"/>
        </w:rPr>
        <w:t>octoxinol</w:t>
      </w:r>
      <w:proofErr w:type="spellEnd"/>
      <w:r w:rsidRPr="00937EBC">
        <w:rPr>
          <w:rFonts w:ascii="Arial" w:hAnsi="Arial"/>
          <w:sz w:val="22"/>
          <w:lang w:val="en-GB"/>
        </w:rPr>
        <w:t xml:space="preserve"> 10, α-</w:t>
      </w:r>
      <w:proofErr w:type="spellStart"/>
      <w:r w:rsidRPr="00937EBC">
        <w:rPr>
          <w:rFonts w:ascii="Arial" w:hAnsi="Arial"/>
          <w:sz w:val="22"/>
          <w:lang w:val="en-GB"/>
        </w:rPr>
        <w:t>tocopheryl</w:t>
      </w:r>
      <w:proofErr w:type="spellEnd"/>
      <w:r w:rsidRPr="00937EBC">
        <w:rPr>
          <w:rFonts w:ascii="Arial" w:hAnsi="Arial"/>
          <w:sz w:val="22"/>
          <w:lang w:val="en-GB"/>
        </w:rPr>
        <w:t xml:space="preserve"> hydrogen succinate, sodium chloride, disodium phosphate dodecahydrate, potassium dihydrogen phosphate, potassium chloride, magnesium chloride hexahydrate, water for injections</w:t>
      </w:r>
      <w:r w:rsidR="003A08D5">
        <w:rPr>
          <w:rFonts w:ascii="Arial" w:hAnsi="Arial"/>
          <w:sz w:val="22"/>
          <w:lang w:val="en-GB"/>
        </w:rPr>
        <w:t>.</w:t>
      </w:r>
      <w:r w:rsidR="00034B65" w:rsidRPr="00937EBC">
        <w:rPr>
          <w:rFonts w:ascii="Arial" w:hAnsi="Arial"/>
          <w:sz w:val="22"/>
          <w:lang w:val="en-GB"/>
        </w:rPr>
        <w:t xml:space="preserve"> </w:t>
      </w:r>
    </w:p>
    <w:p w:rsidR="00034B65" w:rsidRPr="00937EBC" w:rsidRDefault="003A08D5" w:rsidP="009B6E92">
      <w:pPr>
        <w:tabs>
          <w:tab w:val="left" w:pos="10173"/>
          <w:tab w:val="left" w:pos="10456"/>
        </w:tabs>
        <w:spacing w:line="360" w:lineRule="atLeast"/>
        <w:ind w:right="27"/>
        <w:jc w:val="both"/>
        <w:rPr>
          <w:rFonts w:ascii="Arial" w:hAnsi="Arial"/>
          <w:sz w:val="22"/>
          <w:lang w:val="en-GB"/>
        </w:rPr>
      </w:pPr>
      <w:proofErr w:type="gramStart"/>
      <w:r>
        <w:rPr>
          <w:rFonts w:ascii="Arial" w:hAnsi="Arial"/>
          <w:sz w:val="22"/>
          <w:lang w:val="en-GB"/>
        </w:rPr>
        <w:t xml:space="preserve">May contain residual amounts of the following process related impurities: </w:t>
      </w:r>
      <w:r w:rsidR="00034B65" w:rsidRPr="00937EBC">
        <w:rPr>
          <w:rFonts w:ascii="Arial" w:hAnsi="Arial"/>
          <w:sz w:val="22"/>
          <w:lang w:val="en-GB"/>
        </w:rPr>
        <w:t>h</w:t>
      </w:r>
      <w:r w:rsidR="009B6E92" w:rsidRPr="00937EBC">
        <w:rPr>
          <w:rFonts w:ascii="Arial" w:hAnsi="Arial"/>
          <w:sz w:val="22"/>
          <w:lang w:val="en-GB"/>
        </w:rPr>
        <w:t xml:space="preserve">ydrocortisone, gentamicin </w:t>
      </w:r>
      <w:proofErr w:type="spellStart"/>
      <w:r w:rsidR="009B6E92" w:rsidRPr="00937EBC">
        <w:rPr>
          <w:rFonts w:ascii="Arial" w:hAnsi="Arial"/>
          <w:sz w:val="22"/>
          <w:lang w:val="en-GB"/>
        </w:rPr>
        <w:t>sulfate</w:t>
      </w:r>
      <w:proofErr w:type="spellEnd"/>
      <w:r w:rsidR="009B6E92" w:rsidRPr="00937EBC">
        <w:rPr>
          <w:rFonts w:ascii="Arial" w:hAnsi="Arial"/>
          <w:sz w:val="22"/>
          <w:lang w:val="en-GB"/>
        </w:rPr>
        <w:t>, ovalbumin, formaldehyde, and sodium deoxycholate</w:t>
      </w:r>
      <w:r w:rsidR="00034B65" w:rsidRPr="00937EBC">
        <w:rPr>
          <w:rFonts w:ascii="Arial" w:hAnsi="Arial"/>
          <w:sz w:val="22"/>
          <w:lang w:val="en-GB"/>
        </w:rPr>
        <w:t>.</w:t>
      </w:r>
      <w:proofErr w:type="gramEnd"/>
    </w:p>
    <w:p w:rsidR="005B12B7" w:rsidRDefault="005B12B7" w:rsidP="009B6E92">
      <w:pPr>
        <w:tabs>
          <w:tab w:val="left" w:pos="10173"/>
          <w:tab w:val="left" w:pos="10456"/>
        </w:tabs>
        <w:spacing w:line="360" w:lineRule="atLeast"/>
        <w:ind w:right="27"/>
        <w:rPr>
          <w:rFonts w:ascii="Arial" w:hAnsi="Arial"/>
          <w:sz w:val="22"/>
          <w:lang w:val="en-GB"/>
        </w:rPr>
      </w:pPr>
    </w:p>
    <w:p w:rsidR="005B12B7" w:rsidRPr="005B12B7" w:rsidRDefault="005B12B7" w:rsidP="005B12B7">
      <w:pPr>
        <w:tabs>
          <w:tab w:val="left" w:pos="10173"/>
          <w:tab w:val="left" w:pos="10456"/>
        </w:tabs>
        <w:spacing w:line="360" w:lineRule="atLeast"/>
        <w:ind w:right="27"/>
        <w:rPr>
          <w:rFonts w:ascii="Arial" w:hAnsi="Arial"/>
          <w:sz w:val="22"/>
          <w:lang w:val="en-GB"/>
        </w:rPr>
      </w:pPr>
      <w:r w:rsidRPr="005B12B7">
        <w:rPr>
          <w:rFonts w:ascii="Arial" w:hAnsi="Arial"/>
          <w:sz w:val="22"/>
          <w:lang w:val="en-GB"/>
        </w:rPr>
        <w:t xml:space="preserve">The manufacture of this product includes exposure to bovine derived materials.  No evidence exists that any case of </w:t>
      </w:r>
      <w:proofErr w:type="spellStart"/>
      <w:r w:rsidRPr="005B12B7">
        <w:rPr>
          <w:rFonts w:ascii="Arial" w:hAnsi="Arial"/>
          <w:sz w:val="22"/>
          <w:lang w:val="en-GB"/>
        </w:rPr>
        <w:t>vCJD</w:t>
      </w:r>
      <w:proofErr w:type="spellEnd"/>
      <w:r w:rsidRPr="005B12B7">
        <w:rPr>
          <w:rFonts w:ascii="Arial" w:hAnsi="Arial"/>
          <w:sz w:val="22"/>
          <w:lang w:val="en-GB"/>
        </w:rPr>
        <w:t xml:space="preserve"> (considered to be the human form of bovine spongiform encephalopathy) has resulted from the administration of any vaccine product.</w:t>
      </w:r>
    </w:p>
    <w:p w:rsidR="005B12B7" w:rsidRPr="005B12B7" w:rsidRDefault="005B12B7" w:rsidP="005B12B7">
      <w:pPr>
        <w:tabs>
          <w:tab w:val="left" w:pos="10173"/>
          <w:tab w:val="left" w:pos="10456"/>
        </w:tabs>
        <w:spacing w:line="360" w:lineRule="atLeast"/>
        <w:ind w:right="27"/>
        <w:rPr>
          <w:rFonts w:ascii="Arial" w:hAnsi="Arial"/>
          <w:sz w:val="22"/>
          <w:lang w:val="en-GB"/>
        </w:rPr>
      </w:pPr>
    </w:p>
    <w:p w:rsidR="005B12B7" w:rsidRDefault="005B12B7" w:rsidP="005B12B7">
      <w:pPr>
        <w:tabs>
          <w:tab w:val="left" w:pos="10173"/>
          <w:tab w:val="left" w:pos="10456"/>
        </w:tabs>
        <w:spacing w:line="360" w:lineRule="atLeast"/>
        <w:ind w:right="27"/>
        <w:rPr>
          <w:rFonts w:ascii="Arial" w:hAnsi="Arial"/>
          <w:sz w:val="22"/>
          <w:lang w:val="en-GB"/>
        </w:rPr>
      </w:pPr>
      <w:r w:rsidRPr="005B12B7">
        <w:rPr>
          <w:rFonts w:ascii="Arial" w:hAnsi="Arial"/>
          <w:sz w:val="22"/>
          <w:lang w:val="en-GB"/>
        </w:rPr>
        <w:lastRenderedPageBreak/>
        <w:t xml:space="preserve">Fluarix </w:t>
      </w:r>
      <w:r w:rsidR="0046166A">
        <w:rPr>
          <w:rFonts w:ascii="Arial" w:hAnsi="Arial"/>
          <w:sz w:val="22"/>
          <w:lang w:val="en-GB"/>
        </w:rPr>
        <w:t xml:space="preserve">Tetra </w:t>
      </w:r>
      <w:r w:rsidRPr="005B12B7">
        <w:rPr>
          <w:rFonts w:ascii="Arial" w:hAnsi="Arial"/>
          <w:sz w:val="22"/>
          <w:lang w:val="en-GB"/>
        </w:rPr>
        <w:t>meets the WHO requirements for biological substances and influenza vaccines and the European Pharmacopoeia requirements for influenza vaccines.</w:t>
      </w:r>
    </w:p>
    <w:p w:rsidR="005B12B7" w:rsidRDefault="005B12B7" w:rsidP="005B12B7">
      <w:pPr>
        <w:tabs>
          <w:tab w:val="left" w:pos="10173"/>
          <w:tab w:val="left" w:pos="10456"/>
        </w:tabs>
        <w:spacing w:line="360" w:lineRule="atLeast"/>
        <w:ind w:right="27"/>
        <w:rPr>
          <w:rFonts w:ascii="Arial" w:hAnsi="Arial"/>
          <w:sz w:val="22"/>
          <w:lang w:val="en-GB"/>
        </w:rPr>
      </w:pPr>
    </w:p>
    <w:p w:rsidR="005B12B7" w:rsidRPr="005B12B7" w:rsidRDefault="005B12B7" w:rsidP="005B12B7">
      <w:pPr>
        <w:tabs>
          <w:tab w:val="left" w:pos="10173"/>
          <w:tab w:val="left" w:pos="10456"/>
        </w:tabs>
        <w:spacing w:line="360" w:lineRule="atLeast"/>
        <w:ind w:right="27"/>
        <w:rPr>
          <w:rFonts w:ascii="Arial" w:hAnsi="Arial"/>
          <w:sz w:val="22"/>
          <w:lang w:val="en-GB"/>
        </w:rPr>
      </w:pPr>
      <w:r w:rsidRPr="005B12B7">
        <w:rPr>
          <w:rFonts w:ascii="Arial" w:hAnsi="Arial"/>
          <w:sz w:val="22"/>
          <w:lang w:val="en-GB"/>
        </w:rPr>
        <w:t xml:space="preserve">The type and amount of viral antigens in Fluarix </w:t>
      </w:r>
      <w:r w:rsidR="0046166A">
        <w:rPr>
          <w:rFonts w:ascii="Arial" w:hAnsi="Arial"/>
          <w:sz w:val="22"/>
          <w:lang w:val="en-GB"/>
        </w:rPr>
        <w:t xml:space="preserve">Tetra </w:t>
      </w:r>
      <w:r w:rsidRPr="005B12B7">
        <w:rPr>
          <w:rFonts w:ascii="Arial" w:hAnsi="Arial"/>
          <w:sz w:val="22"/>
          <w:lang w:val="en-GB"/>
        </w:rPr>
        <w:t xml:space="preserve">conform to the annual requirements of the Australian Influenza Vaccine Committee (AIVC) and the </w:t>
      </w:r>
      <w:r>
        <w:rPr>
          <w:rFonts w:ascii="Arial" w:hAnsi="Arial"/>
          <w:sz w:val="22"/>
          <w:lang w:val="en-GB"/>
        </w:rPr>
        <w:t>New Zealand Ministry of Health.</w:t>
      </w:r>
    </w:p>
    <w:p w:rsidR="009B6E92" w:rsidRPr="00937EBC" w:rsidRDefault="009B6E92" w:rsidP="009B6E92">
      <w:pPr>
        <w:tabs>
          <w:tab w:val="left" w:pos="10173"/>
          <w:tab w:val="left" w:pos="10456"/>
        </w:tabs>
        <w:spacing w:line="360" w:lineRule="atLeast"/>
        <w:ind w:right="27"/>
        <w:rPr>
          <w:rFonts w:ascii="Arial" w:hAnsi="Arial"/>
          <w:sz w:val="22"/>
          <w:lang w:val="en-GB"/>
        </w:rPr>
      </w:pPr>
      <w:r w:rsidRPr="00937EBC">
        <w:rPr>
          <w:rFonts w:ascii="Arial" w:hAnsi="Arial"/>
          <w:sz w:val="22"/>
          <w:lang w:val="en-GB"/>
        </w:rPr>
        <w:tab/>
      </w:r>
    </w:p>
    <w:p w:rsidR="0077380F" w:rsidRPr="00937EBC" w:rsidRDefault="0077380F" w:rsidP="00053893">
      <w:pPr>
        <w:spacing w:before="120" w:after="240"/>
        <w:jc w:val="both"/>
        <w:rPr>
          <w:rFonts w:ascii="Arial" w:hAnsi="Arial" w:cs="Arial"/>
          <w:b/>
          <w:sz w:val="22"/>
          <w:szCs w:val="22"/>
          <w:lang w:val="en-GB"/>
        </w:rPr>
      </w:pPr>
      <w:r w:rsidRPr="00937EBC">
        <w:rPr>
          <w:rFonts w:ascii="Arial" w:hAnsi="Arial" w:cs="Arial"/>
          <w:b/>
          <w:sz w:val="22"/>
          <w:szCs w:val="22"/>
          <w:lang w:val="en-GB"/>
        </w:rPr>
        <w:t>PHARMACOLOGY</w:t>
      </w:r>
    </w:p>
    <w:p w:rsidR="00034B65" w:rsidRDefault="00034B65" w:rsidP="00034B65">
      <w:pPr>
        <w:tabs>
          <w:tab w:val="left" w:pos="10173"/>
          <w:tab w:val="left" w:pos="10456"/>
        </w:tabs>
        <w:spacing w:line="360" w:lineRule="atLeast"/>
        <w:ind w:right="27"/>
        <w:jc w:val="both"/>
        <w:rPr>
          <w:rFonts w:ascii="Arial" w:hAnsi="Arial"/>
          <w:sz w:val="22"/>
          <w:lang w:val="en-GB"/>
        </w:rPr>
      </w:pPr>
      <w:r w:rsidRPr="00937EBC">
        <w:rPr>
          <w:rFonts w:ascii="Arial" w:hAnsi="Arial"/>
          <w:sz w:val="22"/>
          <w:lang w:val="en-GB"/>
        </w:rPr>
        <w:t>Pharmacotherapeutic group: Influenza vaccines, ATC Code J07BB02.</w:t>
      </w:r>
    </w:p>
    <w:p w:rsidR="00937EBC" w:rsidRPr="00937EBC" w:rsidRDefault="00937EBC" w:rsidP="00034B65">
      <w:pPr>
        <w:tabs>
          <w:tab w:val="left" w:pos="10173"/>
          <w:tab w:val="left" w:pos="10456"/>
        </w:tabs>
        <w:spacing w:line="360" w:lineRule="atLeast"/>
        <w:ind w:right="27"/>
        <w:jc w:val="both"/>
        <w:rPr>
          <w:rFonts w:ascii="Arial" w:hAnsi="Arial"/>
          <w:sz w:val="22"/>
          <w:lang w:val="en-GB"/>
        </w:rPr>
      </w:pPr>
    </w:p>
    <w:p w:rsidR="00034B65" w:rsidRPr="00937EBC" w:rsidRDefault="00034B65" w:rsidP="00034B65">
      <w:pPr>
        <w:tabs>
          <w:tab w:val="left" w:pos="10173"/>
          <w:tab w:val="left" w:pos="10456"/>
        </w:tabs>
        <w:spacing w:line="360" w:lineRule="atLeast"/>
        <w:ind w:right="27"/>
        <w:jc w:val="both"/>
        <w:rPr>
          <w:rFonts w:ascii="Arial" w:hAnsi="Arial"/>
          <w:sz w:val="22"/>
          <w:lang w:val="en-GB"/>
        </w:rPr>
      </w:pPr>
      <w:r w:rsidRPr="00937EBC">
        <w:rPr>
          <w:rFonts w:ascii="Arial" w:hAnsi="Arial"/>
          <w:sz w:val="22"/>
          <w:lang w:val="en-GB"/>
        </w:rPr>
        <w:t xml:space="preserve">Fluarix Tetra provides active immunisation against </w:t>
      </w:r>
      <w:r w:rsidR="008F5C5D">
        <w:rPr>
          <w:rFonts w:ascii="Arial" w:hAnsi="Arial"/>
          <w:sz w:val="22"/>
          <w:lang w:val="en-GB"/>
        </w:rPr>
        <w:t xml:space="preserve">the </w:t>
      </w:r>
      <w:r w:rsidRPr="00937EBC">
        <w:rPr>
          <w:rFonts w:ascii="Arial" w:hAnsi="Arial"/>
          <w:sz w:val="22"/>
          <w:lang w:val="en-GB"/>
        </w:rPr>
        <w:t xml:space="preserve">four influenza virus strains (two </w:t>
      </w:r>
      <w:proofErr w:type="gramStart"/>
      <w:r w:rsidRPr="00937EBC">
        <w:rPr>
          <w:rFonts w:ascii="Arial" w:hAnsi="Arial"/>
          <w:sz w:val="22"/>
          <w:lang w:val="en-GB"/>
        </w:rPr>
        <w:t>A</w:t>
      </w:r>
      <w:proofErr w:type="gramEnd"/>
      <w:r w:rsidRPr="00937EBC">
        <w:rPr>
          <w:rFonts w:ascii="Arial" w:hAnsi="Arial"/>
          <w:sz w:val="22"/>
          <w:lang w:val="en-GB"/>
        </w:rPr>
        <w:t xml:space="preserve"> subtypes and two B </w:t>
      </w:r>
      <w:r w:rsidR="00E15F33">
        <w:rPr>
          <w:rFonts w:ascii="Arial" w:hAnsi="Arial"/>
          <w:sz w:val="22"/>
          <w:lang w:val="en-GB"/>
        </w:rPr>
        <w:t>strains</w:t>
      </w:r>
      <w:r w:rsidRPr="00937EBC">
        <w:rPr>
          <w:rFonts w:ascii="Arial" w:hAnsi="Arial"/>
          <w:sz w:val="22"/>
          <w:lang w:val="en-GB"/>
        </w:rPr>
        <w:t xml:space="preserve">) contained in the vaccine.  Fluarix Tetra induces humoral antibodies against the </w:t>
      </w:r>
      <w:proofErr w:type="spellStart"/>
      <w:r w:rsidRPr="00937EBC">
        <w:rPr>
          <w:rFonts w:ascii="Arial" w:hAnsi="Arial"/>
          <w:sz w:val="22"/>
          <w:lang w:val="en-GB"/>
        </w:rPr>
        <w:t>haemagglutinins</w:t>
      </w:r>
      <w:proofErr w:type="spellEnd"/>
      <w:r w:rsidRPr="00937EBC">
        <w:rPr>
          <w:rFonts w:ascii="Arial" w:hAnsi="Arial"/>
          <w:sz w:val="22"/>
          <w:lang w:val="en-GB"/>
        </w:rPr>
        <w:t>.  These antibodies neutralise influenza viruses.</w:t>
      </w:r>
    </w:p>
    <w:p w:rsidR="00034B65" w:rsidRDefault="00034B65" w:rsidP="00034B65">
      <w:pPr>
        <w:tabs>
          <w:tab w:val="left" w:pos="10173"/>
          <w:tab w:val="left" w:pos="10456"/>
        </w:tabs>
        <w:spacing w:line="360" w:lineRule="atLeast"/>
        <w:ind w:right="27"/>
        <w:jc w:val="both"/>
        <w:rPr>
          <w:rFonts w:ascii="Arial" w:hAnsi="Arial"/>
          <w:sz w:val="22"/>
          <w:lang w:val="en-GB"/>
        </w:rPr>
      </w:pPr>
      <w:r w:rsidRPr="00937EBC">
        <w:rPr>
          <w:rFonts w:ascii="Arial" w:hAnsi="Arial"/>
          <w:sz w:val="22"/>
          <w:lang w:val="en-GB"/>
        </w:rPr>
        <w:t xml:space="preserve">Specific levels of </w:t>
      </w:r>
      <w:proofErr w:type="spellStart"/>
      <w:r w:rsidRPr="00937EBC">
        <w:rPr>
          <w:rFonts w:ascii="Arial" w:hAnsi="Arial"/>
          <w:sz w:val="22"/>
          <w:lang w:val="en-GB"/>
        </w:rPr>
        <w:t>h</w:t>
      </w:r>
      <w:r w:rsidR="00644BAD">
        <w:rPr>
          <w:rFonts w:ascii="Arial" w:hAnsi="Arial"/>
          <w:sz w:val="22"/>
          <w:lang w:val="en-GB"/>
        </w:rPr>
        <w:t>a</w:t>
      </w:r>
      <w:r w:rsidRPr="00937EBC">
        <w:rPr>
          <w:rFonts w:ascii="Arial" w:hAnsi="Arial"/>
          <w:sz w:val="22"/>
          <w:lang w:val="en-GB"/>
        </w:rPr>
        <w:t>emagglutination</w:t>
      </w:r>
      <w:proofErr w:type="spellEnd"/>
      <w:r w:rsidRPr="00937EBC">
        <w:rPr>
          <w:rFonts w:ascii="Arial" w:hAnsi="Arial"/>
          <w:sz w:val="22"/>
          <w:lang w:val="en-GB"/>
        </w:rPr>
        <w:t xml:space="preserve">-inhibition (HI) antibody </w:t>
      </w:r>
      <w:proofErr w:type="spellStart"/>
      <w:r w:rsidRPr="00937EBC">
        <w:rPr>
          <w:rFonts w:ascii="Arial" w:hAnsi="Arial"/>
          <w:sz w:val="22"/>
          <w:lang w:val="en-GB"/>
        </w:rPr>
        <w:t>titer</w:t>
      </w:r>
      <w:proofErr w:type="spellEnd"/>
      <w:r w:rsidRPr="00937EBC">
        <w:rPr>
          <w:rFonts w:ascii="Arial" w:hAnsi="Arial"/>
          <w:sz w:val="22"/>
          <w:lang w:val="en-GB"/>
        </w:rPr>
        <w:t xml:space="preserve"> post-vaccination with inactivated influenza virus vaccines have not been correlated with protection from influenza illness but the HI antibody titers have been used as a measure of vaccine activity.  In some human challenge studies, HI antibody titres of ≥1:40 have been associated with protection from influenza illness in up to 50% of </w:t>
      </w:r>
      <w:r w:rsidR="00822070">
        <w:rPr>
          <w:rFonts w:ascii="Arial" w:hAnsi="Arial"/>
          <w:sz w:val="22"/>
          <w:lang w:val="en-GB"/>
        </w:rPr>
        <w:t>individual</w:t>
      </w:r>
      <w:r w:rsidRPr="00937EBC">
        <w:rPr>
          <w:rFonts w:ascii="Arial" w:hAnsi="Arial"/>
          <w:sz w:val="22"/>
          <w:lang w:val="en-GB"/>
        </w:rPr>
        <w:t>s.</w:t>
      </w:r>
    </w:p>
    <w:p w:rsidR="00937EBC" w:rsidRPr="00937EBC" w:rsidRDefault="00937EBC" w:rsidP="00034B65">
      <w:pPr>
        <w:tabs>
          <w:tab w:val="left" w:pos="10173"/>
          <w:tab w:val="left" w:pos="10456"/>
        </w:tabs>
        <w:spacing w:line="360" w:lineRule="atLeast"/>
        <w:ind w:right="27"/>
        <w:jc w:val="both"/>
        <w:rPr>
          <w:rFonts w:ascii="Arial" w:hAnsi="Arial"/>
          <w:sz w:val="22"/>
          <w:lang w:val="en-GB"/>
        </w:rPr>
      </w:pPr>
    </w:p>
    <w:p w:rsidR="00937EBC" w:rsidRPr="00937EBC" w:rsidRDefault="00034B65" w:rsidP="00034B65">
      <w:pPr>
        <w:tabs>
          <w:tab w:val="left" w:pos="10173"/>
          <w:tab w:val="left" w:pos="10456"/>
        </w:tabs>
        <w:spacing w:line="360" w:lineRule="atLeast"/>
        <w:ind w:right="27"/>
        <w:jc w:val="both"/>
        <w:rPr>
          <w:rFonts w:ascii="Arial" w:hAnsi="Arial"/>
          <w:sz w:val="22"/>
          <w:lang w:val="en-GB"/>
        </w:rPr>
      </w:pPr>
      <w:r w:rsidRPr="00937EBC">
        <w:rPr>
          <w:rFonts w:ascii="Arial" w:hAnsi="Arial"/>
          <w:sz w:val="22"/>
          <w:lang w:val="en-GB"/>
        </w:rPr>
        <w:t>Annual revaccination with the current vaccine is recommended because immunity declines during the year after vaccination, and because circulating strains of influenza virus might change from year to year.</w:t>
      </w:r>
      <w:r w:rsidR="006710B4">
        <w:rPr>
          <w:rFonts w:ascii="Arial" w:hAnsi="Arial"/>
          <w:sz w:val="22"/>
          <w:lang w:val="en-GB"/>
        </w:rPr>
        <w:t xml:space="preserve"> </w:t>
      </w:r>
      <w:r w:rsidR="002E086B" w:rsidRPr="002E086B">
        <w:rPr>
          <w:rFonts w:ascii="Arial" w:hAnsi="Arial"/>
          <w:sz w:val="22"/>
          <w:lang w:val="en-GB"/>
        </w:rPr>
        <w:t xml:space="preserve">Protection afforded as a result of vaccination with Fluarix </w:t>
      </w:r>
      <w:r w:rsidR="002E086B">
        <w:rPr>
          <w:rFonts w:ascii="Arial" w:hAnsi="Arial"/>
          <w:sz w:val="22"/>
          <w:lang w:val="en-GB"/>
        </w:rPr>
        <w:t xml:space="preserve">Tetra </w:t>
      </w:r>
      <w:r w:rsidR="002E086B" w:rsidRPr="002E086B">
        <w:rPr>
          <w:rFonts w:ascii="Arial" w:hAnsi="Arial"/>
          <w:sz w:val="22"/>
          <w:lang w:val="en-GB"/>
        </w:rPr>
        <w:t>is specific to the influenza strains contained in Fluarix</w:t>
      </w:r>
      <w:r w:rsidR="002E086B">
        <w:rPr>
          <w:rFonts w:ascii="Arial" w:hAnsi="Arial"/>
          <w:sz w:val="22"/>
          <w:lang w:val="en-GB"/>
        </w:rPr>
        <w:t xml:space="preserve"> Tetra or to closely related strains.</w:t>
      </w:r>
    </w:p>
    <w:p w:rsidR="00E8070F" w:rsidRPr="00410A71" w:rsidRDefault="00E8070F" w:rsidP="00E8070F">
      <w:pPr>
        <w:jc w:val="both"/>
        <w:rPr>
          <w:rFonts w:ascii="Arial" w:hAnsi="Arial" w:cs="Arial"/>
          <w:sz w:val="22"/>
          <w:szCs w:val="22"/>
          <w:lang w:val="en-GB"/>
        </w:rPr>
      </w:pPr>
    </w:p>
    <w:p w:rsidR="0077380F" w:rsidRPr="00937EBC" w:rsidRDefault="0077380F" w:rsidP="00053893">
      <w:pPr>
        <w:jc w:val="both"/>
        <w:rPr>
          <w:rFonts w:ascii="Arial" w:hAnsi="Arial" w:cs="Arial"/>
          <w:b/>
          <w:sz w:val="22"/>
          <w:szCs w:val="22"/>
          <w:lang w:val="en-GB"/>
        </w:rPr>
      </w:pPr>
      <w:r w:rsidRPr="00937EBC">
        <w:rPr>
          <w:rFonts w:ascii="Arial" w:hAnsi="Arial" w:cs="Arial"/>
          <w:b/>
          <w:sz w:val="22"/>
          <w:szCs w:val="22"/>
          <w:lang w:val="en-GB"/>
        </w:rPr>
        <w:t>CLINICAL TRIALS</w:t>
      </w:r>
    </w:p>
    <w:p w:rsidR="00882490" w:rsidRDefault="00882490" w:rsidP="00882490">
      <w:pPr>
        <w:tabs>
          <w:tab w:val="left" w:pos="10173"/>
          <w:tab w:val="left" w:pos="10456"/>
        </w:tabs>
        <w:spacing w:line="360" w:lineRule="atLeast"/>
        <w:ind w:right="27"/>
        <w:jc w:val="both"/>
        <w:rPr>
          <w:rFonts w:ascii="Arial" w:hAnsi="Arial"/>
          <w:sz w:val="22"/>
          <w:lang w:val="en-GB"/>
        </w:rPr>
      </w:pPr>
    </w:p>
    <w:p w:rsidR="00882490" w:rsidRDefault="00882490" w:rsidP="006F6351">
      <w:pPr>
        <w:tabs>
          <w:tab w:val="left" w:pos="10173"/>
          <w:tab w:val="left" w:pos="10456"/>
        </w:tabs>
        <w:spacing w:line="360" w:lineRule="atLeast"/>
        <w:ind w:right="27"/>
        <w:jc w:val="both"/>
        <w:rPr>
          <w:rFonts w:ascii="Arial" w:hAnsi="Arial"/>
          <w:sz w:val="22"/>
          <w:lang w:val="en-GB"/>
        </w:rPr>
      </w:pPr>
      <w:r w:rsidRPr="00882490">
        <w:rPr>
          <w:rFonts w:ascii="Arial" w:hAnsi="Arial"/>
          <w:sz w:val="22"/>
          <w:lang w:val="en-GB"/>
        </w:rPr>
        <w:t xml:space="preserve">Clinical studies performed in adults (D-QIV-001 and D-QIV-008) and in children 3 years to 17 years of age (D-QIV-003) assessed the non-inferiority of </w:t>
      </w:r>
      <w:r w:rsidR="00B466E6">
        <w:rPr>
          <w:rFonts w:ascii="Arial" w:hAnsi="Arial"/>
          <w:sz w:val="22"/>
          <w:lang w:val="en-GB"/>
        </w:rPr>
        <w:t xml:space="preserve">the </w:t>
      </w:r>
      <w:r w:rsidR="00B466E6">
        <w:rPr>
          <w:rFonts w:ascii="Arial" w:hAnsi="Arial" w:cs="Arial"/>
          <w:sz w:val="22"/>
          <w:lang w:val="en-GB"/>
        </w:rPr>
        <w:t>antigen components</w:t>
      </w:r>
      <w:r w:rsidR="00B466E6" w:rsidRPr="00882490">
        <w:rPr>
          <w:rFonts w:ascii="Arial" w:hAnsi="Arial"/>
          <w:sz w:val="22"/>
          <w:lang w:val="en-GB"/>
        </w:rPr>
        <w:t xml:space="preserve"> </w:t>
      </w:r>
      <w:r w:rsidR="00B466E6">
        <w:rPr>
          <w:rFonts w:ascii="Arial" w:hAnsi="Arial"/>
          <w:sz w:val="22"/>
          <w:lang w:val="en-GB"/>
        </w:rPr>
        <w:t xml:space="preserve">common to </w:t>
      </w:r>
      <w:r w:rsidRPr="00882490">
        <w:rPr>
          <w:rFonts w:ascii="Arial" w:hAnsi="Arial"/>
          <w:sz w:val="22"/>
          <w:lang w:val="en-GB"/>
        </w:rPr>
        <w:t xml:space="preserve">Fluarix Tetra versus </w:t>
      </w:r>
      <w:r w:rsidR="006F6351" w:rsidRPr="006F6351">
        <w:rPr>
          <w:rFonts w:ascii="Arial" w:hAnsi="Arial"/>
          <w:sz w:val="22"/>
          <w:lang w:val="en-GB"/>
        </w:rPr>
        <w:t>trivalent influenza vaccine</w:t>
      </w:r>
      <w:r w:rsidR="00410A71">
        <w:rPr>
          <w:rFonts w:ascii="Arial" w:hAnsi="Arial"/>
          <w:sz w:val="22"/>
          <w:lang w:val="en-GB"/>
        </w:rPr>
        <w:t>s</w:t>
      </w:r>
      <w:r w:rsidR="006F6351" w:rsidRPr="006F6351">
        <w:rPr>
          <w:rFonts w:ascii="Arial" w:hAnsi="Arial"/>
          <w:sz w:val="22"/>
          <w:lang w:val="en-GB"/>
        </w:rPr>
        <w:t xml:space="preserve"> </w:t>
      </w:r>
      <w:r w:rsidR="00410A71">
        <w:rPr>
          <w:rFonts w:ascii="Arial" w:hAnsi="Arial"/>
          <w:sz w:val="22"/>
          <w:lang w:val="en-GB"/>
        </w:rPr>
        <w:t>(</w:t>
      </w:r>
      <w:r w:rsidR="006F6351" w:rsidRPr="006F6351">
        <w:rPr>
          <w:rFonts w:ascii="Arial" w:hAnsi="Arial"/>
          <w:sz w:val="22"/>
          <w:lang w:val="en-GB"/>
        </w:rPr>
        <w:t>TIV</w:t>
      </w:r>
      <w:r w:rsidR="00410A71">
        <w:rPr>
          <w:rFonts w:ascii="Arial" w:hAnsi="Arial"/>
          <w:sz w:val="22"/>
          <w:lang w:val="en-GB"/>
        </w:rPr>
        <w:t>)</w:t>
      </w:r>
      <w:r w:rsidR="008F5C5D">
        <w:rPr>
          <w:rFonts w:ascii="Arial" w:hAnsi="Arial"/>
          <w:sz w:val="22"/>
          <w:lang w:val="en-GB"/>
        </w:rPr>
        <w:t xml:space="preserve"> -</w:t>
      </w:r>
      <w:r w:rsidR="00410A71">
        <w:rPr>
          <w:rFonts w:ascii="Arial" w:hAnsi="Arial"/>
          <w:sz w:val="22"/>
          <w:lang w:val="en-GB"/>
        </w:rPr>
        <w:t xml:space="preserve"> </w:t>
      </w:r>
      <w:r w:rsidRPr="00882490">
        <w:rPr>
          <w:rFonts w:ascii="Arial" w:hAnsi="Arial"/>
          <w:sz w:val="22"/>
          <w:lang w:val="en-GB"/>
        </w:rPr>
        <w:t>Fluarix</w:t>
      </w:r>
      <w:r w:rsidR="008B64FD" w:rsidRPr="008B64FD">
        <w:rPr>
          <w:rFonts w:ascii="Arial" w:hAnsi="Arial" w:cs="Arial"/>
          <w:sz w:val="22"/>
          <w:vertAlign w:val="superscript"/>
          <w:lang w:val="en-GB"/>
        </w:rPr>
        <w:t>®</w:t>
      </w:r>
      <w:r w:rsidR="00410A71">
        <w:rPr>
          <w:rFonts w:ascii="Arial" w:hAnsi="Arial" w:cs="Arial"/>
          <w:sz w:val="22"/>
          <w:lang w:val="en-GB"/>
        </w:rPr>
        <w:t xml:space="preserve"> (TIV-1)</w:t>
      </w:r>
      <w:r w:rsidRPr="00882490">
        <w:rPr>
          <w:rFonts w:ascii="Arial" w:hAnsi="Arial"/>
          <w:sz w:val="22"/>
          <w:lang w:val="en-GB"/>
        </w:rPr>
        <w:t xml:space="preserve"> </w:t>
      </w:r>
      <w:r w:rsidR="006F6351" w:rsidRPr="006F6351">
        <w:rPr>
          <w:rFonts w:ascii="Arial" w:hAnsi="Arial"/>
          <w:sz w:val="22"/>
          <w:lang w:val="en-GB"/>
        </w:rPr>
        <w:t>and</w:t>
      </w:r>
      <w:r w:rsidR="006F6351">
        <w:rPr>
          <w:rFonts w:ascii="Arial" w:hAnsi="Arial"/>
          <w:sz w:val="22"/>
          <w:lang w:val="en-GB"/>
        </w:rPr>
        <w:t xml:space="preserve"> </w:t>
      </w:r>
      <w:r w:rsidR="006F6351" w:rsidRPr="006F6351">
        <w:rPr>
          <w:rFonts w:ascii="Arial" w:hAnsi="Arial"/>
          <w:sz w:val="22"/>
          <w:lang w:val="en-GB"/>
        </w:rPr>
        <w:t>TIV-2</w:t>
      </w:r>
      <w:r w:rsidR="00EA4824">
        <w:rPr>
          <w:rFonts w:ascii="Arial" w:hAnsi="Arial"/>
          <w:sz w:val="22"/>
          <w:lang w:val="en-GB"/>
        </w:rPr>
        <w:t xml:space="preserve"> (an </w:t>
      </w:r>
      <w:r w:rsidR="00EA4824" w:rsidRPr="00EA4824">
        <w:rPr>
          <w:rFonts w:ascii="Arial" w:hAnsi="Arial"/>
          <w:sz w:val="22"/>
          <w:lang w:val="en-GB"/>
        </w:rPr>
        <w:t>alternate trivalent formulation containing the same A strains as TIV-1 but the B strain of the other lineage present in D-QIV</w:t>
      </w:r>
      <w:r w:rsidR="00EA4824">
        <w:rPr>
          <w:rFonts w:ascii="Arial" w:hAnsi="Arial"/>
          <w:sz w:val="22"/>
          <w:lang w:val="en-GB"/>
        </w:rPr>
        <w:t>)</w:t>
      </w:r>
      <w:r w:rsidR="002566AE">
        <w:rPr>
          <w:rFonts w:ascii="Arial" w:hAnsi="Arial"/>
          <w:sz w:val="22"/>
          <w:lang w:val="en-GB"/>
        </w:rPr>
        <w:t>,</w:t>
      </w:r>
      <w:r w:rsidR="00B466E6">
        <w:rPr>
          <w:rFonts w:ascii="Arial" w:hAnsi="Arial"/>
          <w:sz w:val="22"/>
          <w:lang w:val="en-GB"/>
        </w:rPr>
        <w:t xml:space="preserve"> and the </w:t>
      </w:r>
      <w:r w:rsidR="00B466E6" w:rsidRPr="00B466E6">
        <w:rPr>
          <w:rFonts w:ascii="Arial" w:hAnsi="Arial"/>
          <w:sz w:val="22"/>
          <w:lang w:val="en-GB"/>
        </w:rPr>
        <w:t>immunological superiority</w:t>
      </w:r>
      <w:r w:rsidR="00B466E6">
        <w:rPr>
          <w:rFonts w:ascii="Arial" w:hAnsi="Arial"/>
          <w:sz w:val="22"/>
          <w:lang w:val="en-GB"/>
        </w:rPr>
        <w:t xml:space="preserve"> for the additional </w:t>
      </w:r>
      <w:r w:rsidR="003F4EBA">
        <w:rPr>
          <w:rFonts w:ascii="Arial" w:hAnsi="Arial"/>
          <w:sz w:val="22"/>
          <w:lang w:val="en-GB"/>
        </w:rPr>
        <w:t xml:space="preserve">B </w:t>
      </w:r>
      <w:r w:rsidR="00B466E6">
        <w:rPr>
          <w:rFonts w:ascii="Arial" w:hAnsi="Arial"/>
          <w:sz w:val="22"/>
          <w:lang w:val="en-GB"/>
        </w:rPr>
        <w:t>strain unique to Fluarix Tetra</w:t>
      </w:r>
      <w:r w:rsidR="006F6351">
        <w:rPr>
          <w:rFonts w:ascii="Arial" w:hAnsi="Arial" w:cs="Arial"/>
          <w:sz w:val="22"/>
          <w:lang w:val="en-GB"/>
        </w:rPr>
        <w:t>.</w:t>
      </w:r>
      <w:r w:rsidR="006F6351" w:rsidRPr="00882490">
        <w:rPr>
          <w:rFonts w:ascii="Arial" w:hAnsi="Arial"/>
          <w:sz w:val="22"/>
          <w:lang w:val="en-GB"/>
        </w:rPr>
        <w:t xml:space="preserve"> </w:t>
      </w:r>
      <w:r w:rsidRPr="00882490">
        <w:rPr>
          <w:rFonts w:ascii="Arial" w:hAnsi="Arial"/>
          <w:sz w:val="22"/>
          <w:lang w:val="en-GB"/>
        </w:rPr>
        <w:t xml:space="preserve">HI </w:t>
      </w:r>
      <w:r w:rsidR="008F5C5D">
        <w:rPr>
          <w:rFonts w:ascii="Arial" w:hAnsi="Arial"/>
          <w:sz w:val="22"/>
          <w:lang w:val="en-GB"/>
        </w:rPr>
        <w:t xml:space="preserve">antibody </w:t>
      </w:r>
      <w:r w:rsidRPr="00882490">
        <w:rPr>
          <w:rFonts w:ascii="Arial" w:hAnsi="Arial"/>
          <w:sz w:val="22"/>
          <w:lang w:val="en-GB"/>
        </w:rPr>
        <w:t xml:space="preserve">Geometric </w:t>
      </w:r>
      <w:r w:rsidR="00634BA7">
        <w:rPr>
          <w:rFonts w:ascii="Arial" w:hAnsi="Arial"/>
          <w:sz w:val="22"/>
          <w:lang w:val="en-GB"/>
        </w:rPr>
        <w:t>M</w:t>
      </w:r>
      <w:r w:rsidR="00634BA7" w:rsidRPr="00882490">
        <w:rPr>
          <w:rFonts w:ascii="Arial" w:hAnsi="Arial"/>
          <w:sz w:val="22"/>
          <w:lang w:val="en-GB"/>
        </w:rPr>
        <w:t xml:space="preserve">ean </w:t>
      </w:r>
      <w:r w:rsidR="00634BA7">
        <w:rPr>
          <w:rFonts w:ascii="Arial" w:hAnsi="Arial"/>
          <w:sz w:val="22"/>
          <w:lang w:val="en-GB"/>
        </w:rPr>
        <w:t>T</w:t>
      </w:r>
      <w:r w:rsidR="00634BA7" w:rsidRPr="00882490">
        <w:rPr>
          <w:rFonts w:ascii="Arial" w:hAnsi="Arial"/>
          <w:sz w:val="22"/>
          <w:lang w:val="en-GB"/>
        </w:rPr>
        <w:t xml:space="preserve">iter </w:t>
      </w:r>
      <w:r w:rsidRPr="00882490">
        <w:rPr>
          <w:rFonts w:ascii="Arial" w:hAnsi="Arial"/>
          <w:sz w:val="22"/>
          <w:lang w:val="en-GB"/>
        </w:rPr>
        <w:t xml:space="preserve">(GMT) at Day 21 (for adults) and at 28 </w:t>
      </w:r>
      <w:r w:rsidR="00D669CE">
        <w:rPr>
          <w:rFonts w:ascii="Arial" w:hAnsi="Arial"/>
          <w:sz w:val="22"/>
          <w:lang w:val="en-GB"/>
        </w:rPr>
        <w:t>d</w:t>
      </w:r>
      <w:r w:rsidR="00D669CE" w:rsidRPr="00882490">
        <w:rPr>
          <w:rFonts w:ascii="Arial" w:hAnsi="Arial"/>
          <w:sz w:val="22"/>
          <w:lang w:val="en-GB"/>
        </w:rPr>
        <w:t>ay</w:t>
      </w:r>
      <w:r w:rsidR="00D669CE">
        <w:rPr>
          <w:rFonts w:ascii="Arial" w:hAnsi="Arial"/>
          <w:sz w:val="22"/>
          <w:lang w:val="en-GB"/>
        </w:rPr>
        <w:t>s</w:t>
      </w:r>
      <w:r w:rsidR="00D669CE" w:rsidRPr="00882490">
        <w:rPr>
          <w:rFonts w:ascii="Arial" w:hAnsi="Arial"/>
          <w:sz w:val="22"/>
          <w:lang w:val="en-GB"/>
        </w:rPr>
        <w:t xml:space="preserve"> </w:t>
      </w:r>
      <w:r w:rsidR="00D669CE">
        <w:rPr>
          <w:rFonts w:ascii="Arial" w:hAnsi="Arial"/>
          <w:sz w:val="22"/>
          <w:lang w:val="en-GB"/>
        </w:rPr>
        <w:t xml:space="preserve">after the final vaccination </w:t>
      </w:r>
      <w:r w:rsidRPr="00882490">
        <w:rPr>
          <w:rFonts w:ascii="Arial" w:hAnsi="Arial"/>
          <w:sz w:val="22"/>
          <w:lang w:val="en-GB"/>
        </w:rPr>
        <w:t>(for children) and HI seroconversion rate (</w:t>
      </w:r>
      <w:r w:rsidR="009C7AF1">
        <w:rPr>
          <w:rFonts w:ascii="Arial" w:hAnsi="Arial"/>
          <w:sz w:val="22"/>
          <w:lang w:val="en-GB"/>
        </w:rPr>
        <w:t xml:space="preserve">Seroconversion rate was defined as the percentage of individuals who had either a pre-vaccination titre &lt; 1:10 and a post-vaccination titre </w:t>
      </w:r>
      <w:r w:rsidR="009C7AF1">
        <w:rPr>
          <w:rFonts w:ascii="Arial" w:hAnsi="Arial" w:cs="Arial"/>
          <w:sz w:val="22"/>
          <w:lang w:val="en-GB"/>
        </w:rPr>
        <w:t>≥</w:t>
      </w:r>
      <w:r w:rsidR="009C7AF1">
        <w:rPr>
          <w:rFonts w:ascii="Arial" w:hAnsi="Arial"/>
          <w:sz w:val="22"/>
          <w:lang w:val="en-GB"/>
        </w:rPr>
        <w:t xml:space="preserve"> 1:40 or pre-</w:t>
      </w:r>
      <w:r w:rsidR="009C7AF1">
        <w:rPr>
          <w:rFonts w:ascii="Arial" w:hAnsi="Arial"/>
          <w:sz w:val="22"/>
          <w:lang w:val="en-GB"/>
        </w:rPr>
        <w:lastRenderedPageBreak/>
        <w:t xml:space="preserve">vaccination titre </w:t>
      </w:r>
      <w:r w:rsidR="009C7AF1">
        <w:rPr>
          <w:rFonts w:ascii="Arial" w:hAnsi="Arial" w:cs="Arial"/>
          <w:sz w:val="22"/>
          <w:lang w:val="en-GB"/>
        </w:rPr>
        <w:t>≥</w:t>
      </w:r>
      <w:r w:rsidR="009C7AF1">
        <w:rPr>
          <w:rFonts w:ascii="Arial" w:hAnsi="Arial"/>
          <w:sz w:val="22"/>
          <w:lang w:val="en-GB"/>
        </w:rPr>
        <w:t xml:space="preserve"> 1:10 and at least a 4-fold increase in post-vaccination titre</w:t>
      </w:r>
      <w:r w:rsidRPr="00882490">
        <w:rPr>
          <w:rFonts w:ascii="Arial" w:hAnsi="Arial"/>
          <w:sz w:val="22"/>
          <w:lang w:val="en-GB"/>
        </w:rPr>
        <w:t>)</w:t>
      </w:r>
      <w:r w:rsidR="00B708D1">
        <w:rPr>
          <w:rFonts w:ascii="Arial" w:hAnsi="Arial"/>
          <w:sz w:val="22"/>
          <w:lang w:val="en-GB"/>
        </w:rPr>
        <w:t xml:space="preserve"> w</w:t>
      </w:r>
      <w:r w:rsidR="008F5C5D">
        <w:rPr>
          <w:rFonts w:ascii="Arial" w:hAnsi="Arial"/>
          <w:sz w:val="22"/>
          <w:lang w:val="en-GB"/>
        </w:rPr>
        <w:t>ere</w:t>
      </w:r>
      <w:r w:rsidR="00B708D1">
        <w:rPr>
          <w:rFonts w:ascii="Arial" w:hAnsi="Arial"/>
          <w:sz w:val="22"/>
          <w:lang w:val="en-GB"/>
        </w:rPr>
        <w:t xml:space="preserve"> evaluated for each antigen</w:t>
      </w:r>
      <w:r w:rsidRPr="00882490">
        <w:rPr>
          <w:rFonts w:ascii="Arial" w:hAnsi="Arial"/>
          <w:sz w:val="22"/>
          <w:lang w:val="en-GB"/>
        </w:rPr>
        <w:t>.</w:t>
      </w:r>
    </w:p>
    <w:p w:rsidR="00882490" w:rsidRPr="00882490" w:rsidRDefault="00882490" w:rsidP="00882490">
      <w:pPr>
        <w:tabs>
          <w:tab w:val="left" w:pos="10173"/>
          <w:tab w:val="left" w:pos="10456"/>
        </w:tabs>
        <w:spacing w:line="360" w:lineRule="atLeast"/>
        <w:ind w:right="27"/>
        <w:jc w:val="both"/>
        <w:rPr>
          <w:rFonts w:ascii="Arial" w:hAnsi="Arial"/>
          <w:sz w:val="22"/>
          <w:lang w:val="en-GB"/>
        </w:rPr>
      </w:pPr>
    </w:p>
    <w:p w:rsidR="00882490" w:rsidRPr="00410A71" w:rsidRDefault="00882490" w:rsidP="00882490">
      <w:pPr>
        <w:tabs>
          <w:tab w:val="left" w:pos="10173"/>
          <w:tab w:val="left" w:pos="10456"/>
        </w:tabs>
        <w:spacing w:line="360" w:lineRule="atLeast"/>
        <w:ind w:right="27"/>
        <w:jc w:val="both"/>
        <w:rPr>
          <w:rFonts w:ascii="Arial" w:hAnsi="Arial"/>
          <w:sz w:val="22"/>
          <w:lang w:val="en-GB"/>
        </w:rPr>
      </w:pPr>
      <w:r w:rsidRPr="00882490">
        <w:rPr>
          <w:rFonts w:ascii="Arial" w:hAnsi="Arial"/>
          <w:sz w:val="22"/>
          <w:lang w:val="en-GB"/>
        </w:rPr>
        <w:t xml:space="preserve">In all </w:t>
      </w:r>
      <w:r w:rsidR="008F5C5D">
        <w:rPr>
          <w:rFonts w:ascii="Arial" w:hAnsi="Arial"/>
          <w:sz w:val="22"/>
          <w:lang w:val="en-GB"/>
        </w:rPr>
        <w:t xml:space="preserve">comparative </w:t>
      </w:r>
      <w:r w:rsidRPr="00882490">
        <w:rPr>
          <w:rFonts w:ascii="Arial" w:hAnsi="Arial"/>
          <w:sz w:val="22"/>
          <w:lang w:val="en-GB"/>
        </w:rPr>
        <w:t xml:space="preserve">studies, the immune response elicited by Fluarix Tetra against the three strains </w:t>
      </w:r>
      <w:r w:rsidR="00B708D1">
        <w:rPr>
          <w:rFonts w:ascii="Arial" w:hAnsi="Arial"/>
          <w:sz w:val="22"/>
          <w:lang w:val="en-GB"/>
        </w:rPr>
        <w:t>common to both vaccines</w:t>
      </w:r>
      <w:r w:rsidR="00B708D1">
        <w:rPr>
          <w:rFonts w:ascii="Arial" w:hAnsi="Arial" w:cs="Arial"/>
          <w:color w:val="0000FF"/>
          <w:vertAlign w:val="superscript"/>
          <w:lang w:val="en-GB"/>
        </w:rPr>
        <w:t xml:space="preserve"> </w:t>
      </w:r>
      <w:r w:rsidRPr="00882490">
        <w:rPr>
          <w:rFonts w:ascii="Arial" w:hAnsi="Arial"/>
          <w:sz w:val="22"/>
          <w:lang w:val="en-GB"/>
        </w:rPr>
        <w:t xml:space="preserve">was non-inferior. Fluarix Tetra elicited a superior immune response against the </w:t>
      </w:r>
      <w:r w:rsidR="00C221D7">
        <w:rPr>
          <w:rFonts w:ascii="Arial" w:hAnsi="Arial"/>
          <w:sz w:val="22"/>
          <w:lang w:val="en-GB"/>
        </w:rPr>
        <w:t>unique</w:t>
      </w:r>
      <w:r w:rsidR="00404D30">
        <w:rPr>
          <w:rFonts w:ascii="Arial" w:hAnsi="Arial"/>
          <w:sz w:val="22"/>
          <w:lang w:val="en-GB"/>
        </w:rPr>
        <w:t xml:space="preserve"> </w:t>
      </w:r>
      <w:r w:rsidRPr="00882490">
        <w:rPr>
          <w:rFonts w:ascii="Arial" w:hAnsi="Arial"/>
          <w:sz w:val="22"/>
          <w:lang w:val="en-GB"/>
        </w:rPr>
        <w:t xml:space="preserve">B strain </w:t>
      </w:r>
      <w:r w:rsidR="00404D30">
        <w:rPr>
          <w:rFonts w:ascii="Arial" w:hAnsi="Arial"/>
          <w:sz w:val="22"/>
          <w:lang w:val="en-GB"/>
        </w:rPr>
        <w:t xml:space="preserve">not </w:t>
      </w:r>
      <w:r w:rsidRPr="00882490">
        <w:rPr>
          <w:rFonts w:ascii="Arial" w:hAnsi="Arial"/>
          <w:sz w:val="22"/>
          <w:lang w:val="en-GB"/>
        </w:rPr>
        <w:t>included in</w:t>
      </w:r>
      <w:r w:rsidR="00634BA7">
        <w:rPr>
          <w:rFonts w:ascii="Arial" w:hAnsi="Arial"/>
          <w:sz w:val="22"/>
          <w:lang w:val="en-GB"/>
        </w:rPr>
        <w:t xml:space="preserve"> the comparator</w:t>
      </w:r>
      <w:r w:rsidR="00B466E6">
        <w:rPr>
          <w:rFonts w:ascii="Arial" w:hAnsi="Arial"/>
          <w:sz w:val="22"/>
          <w:lang w:val="en-GB"/>
        </w:rPr>
        <w:t xml:space="preserve"> TIV</w:t>
      </w:r>
      <w:r w:rsidR="00404D30">
        <w:rPr>
          <w:rFonts w:ascii="Arial" w:hAnsi="Arial"/>
          <w:sz w:val="22"/>
          <w:lang w:val="en-GB"/>
        </w:rPr>
        <w:t xml:space="preserve"> </w:t>
      </w:r>
      <w:r w:rsidR="00B466E6">
        <w:rPr>
          <w:rFonts w:ascii="Arial" w:hAnsi="Arial"/>
          <w:sz w:val="22"/>
          <w:lang w:val="en-GB"/>
        </w:rPr>
        <w:t>(</w:t>
      </w:r>
      <w:r w:rsidRPr="008F5C5D">
        <w:rPr>
          <w:rFonts w:ascii="Arial" w:hAnsi="Arial"/>
          <w:sz w:val="22"/>
          <w:szCs w:val="22"/>
          <w:lang w:val="en-GB"/>
        </w:rPr>
        <w:t>Fluarix</w:t>
      </w:r>
      <w:r w:rsidR="00B466E6" w:rsidRPr="008F5C5D">
        <w:rPr>
          <w:rFonts w:ascii="Arial" w:hAnsi="Arial" w:cs="Arial"/>
          <w:sz w:val="22"/>
          <w:szCs w:val="22"/>
          <w:lang w:val="en-GB"/>
        </w:rPr>
        <w:t xml:space="preserve"> or TIV-2)</w:t>
      </w:r>
      <w:r w:rsidRPr="008F5C5D">
        <w:rPr>
          <w:rFonts w:ascii="Arial" w:hAnsi="Arial"/>
          <w:sz w:val="22"/>
          <w:szCs w:val="22"/>
          <w:lang w:val="en-GB"/>
        </w:rPr>
        <w:t>.</w:t>
      </w:r>
    </w:p>
    <w:p w:rsidR="00882490" w:rsidRPr="00410A71" w:rsidRDefault="00882490" w:rsidP="00882490">
      <w:pPr>
        <w:tabs>
          <w:tab w:val="left" w:pos="10173"/>
          <w:tab w:val="left" w:pos="10456"/>
        </w:tabs>
        <w:spacing w:line="360" w:lineRule="atLeast"/>
        <w:ind w:right="27"/>
        <w:jc w:val="both"/>
        <w:rPr>
          <w:rFonts w:ascii="Arial" w:hAnsi="Arial"/>
          <w:sz w:val="22"/>
          <w:lang w:val="en-GB"/>
        </w:rPr>
      </w:pPr>
    </w:p>
    <w:p w:rsidR="00882490" w:rsidRPr="00410A71" w:rsidRDefault="00882490" w:rsidP="00882490">
      <w:pPr>
        <w:tabs>
          <w:tab w:val="left" w:pos="10173"/>
          <w:tab w:val="left" w:pos="10456"/>
        </w:tabs>
        <w:spacing w:line="360" w:lineRule="atLeast"/>
        <w:ind w:right="27"/>
        <w:jc w:val="both"/>
        <w:rPr>
          <w:rFonts w:ascii="Arial" w:hAnsi="Arial"/>
          <w:sz w:val="22"/>
          <w:u w:val="single"/>
          <w:lang w:val="en-GB"/>
        </w:rPr>
      </w:pPr>
      <w:r w:rsidRPr="00410A71">
        <w:rPr>
          <w:rFonts w:ascii="Arial" w:hAnsi="Arial"/>
          <w:sz w:val="22"/>
          <w:u w:val="single"/>
          <w:lang w:val="en-GB"/>
        </w:rPr>
        <w:t>Adults 18 years of age and older</w:t>
      </w:r>
    </w:p>
    <w:p w:rsidR="00882490" w:rsidRPr="00410A71" w:rsidRDefault="00882490" w:rsidP="00882490">
      <w:pPr>
        <w:tabs>
          <w:tab w:val="left" w:pos="10173"/>
          <w:tab w:val="left" w:pos="10456"/>
        </w:tabs>
        <w:spacing w:line="360" w:lineRule="atLeast"/>
        <w:ind w:right="27"/>
        <w:jc w:val="both"/>
        <w:rPr>
          <w:rFonts w:ascii="Arial" w:hAnsi="Arial"/>
          <w:sz w:val="22"/>
          <w:lang w:val="en-GB"/>
        </w:rPr>
      </w:pPr>
      <w:r w:rsidRPr="00410A71">
        <w:rPr>
          <w:rFonts w:ascii="Arial" w:hAnsi="Arial"/>
          <w:sz w:val="22"/>
          <w:lang w:val="en-GB"/>
        </w:rPr>
        <w:t xml:space="preserve">In clinical study D-QIV-008, </w:t>
      </w:r>
      <w:r w:rsidR="00DC6402">
        <w:rPr>
          <w:rFonts w:ascii="Arial" w:hAnsi="Arial"/>
          <w:sz w:val="22"/>
          <w:lang w:val="en-GB"/>
        </w:rPr>
        <w:t xml:space="preserve">the </w:t>
      </w:r>
      <w:r w:rsidR="00711536">
        <w:rPr>
          <w:rFonts w:ascii="Arial" w:hAnsi="Arial"/>
          <w:sz w:val="22"/>
          <w:lang w:val="en-GB"/>
        </w:rPr>
        <w:t>evaluable population was</w:t>
      </w:r>
      <w:r w:rsidR="00DC6402">
        <w:rPr>
          <w:rFonts w:ascii="Arial" w:hAnsi="Arial"/>
          <w:sz w:val="22"/>
          <w:lang w:val="en-GB"/>
        </w:rPr>
        <w:t xml:space="preserve"> </w:t>
      </w:r>
      <w:r w:rsidRPr="00410A71">
        <w:rPr>
          <w:rFonts w:ascii="Arial" w:hAnsi="Arial"/>
          <w:sz w:val="22"/>
          <w:lang w:val="en-GB"/>
        </w:rPr>
        <w:t xml:space="preserve">approximately 1,800 adults 18 years of age and older </w:t>
      </w:r>
      <w:r w:rsidR="00711536">
        <w:rPr>
          <w:rFonts w:ascii="Arial" w:hAnsi="Arial"/>
          <w:sz w:val="22"/>
          <w:lang w:val="en-GB"/>
        </w:rPr>
        <w:t xml:space="preserve">who </w:t>
      </w:r>
      <w:r w:rsidRPr="00410A71">
        <w:rPr>
          <w:rFonts w:ascii="Arial" w:hAnsi="Arial"/>
          <w:sz w:val="22"/>
          <w:lang w:val="en-GB"/>
        </w:rPr>
        <w:t>received a single dose of Fluarix Tetra</w:t>
      </w:r>
      <w:r w:rsidR="00B93E83" w:rsidRPr="00410A71">
        <w:rPr>
          <w:rFonts w:ascii="Arial" w:hAnsi="Arial" w:cs="Arial"/>
          <w:lang w:val="en-GB"/>
        </w:rPr>
        <w:t>,</w:t>
      </w:r>
      <w:r w:rsidRPr="00410A71">
        <w:rPr>
          <w:rFonts w:ascii="Arial" w:hAnsi="Arial"/>
          <w:sz w:val="22"/>
          <w:lang w:val="en-GB"/>
        </w:rPr>
        <w:t xml:space="preserve"> approximately 600 </w:t>
      </w:r>
      <w:r w:rsidR="00822070">
        <w:rPr>
          <w:rFonts w:ascii="Arial" w:hAnsi="Arial"/>
          <w:sz w:val="22"/>
          <w:lang w:val="en-GB"/>
        </w:rPr>
        <w:t>individual</w:t>
      </w:r>
      <w:r w:rsidR="00822070" w:rsidRPr="00410A71">
        <w:rPr>
          <w:rFonts w:ascii="Arial" w:hAnsi="Arial"/>
          <w:sz w:val="22"/>
          <w:lang w:val="en-GB"/>
        </w:rPr>
        <w:t xml:space="preserve">s </w:t>
      </w:r>
      <w:r w:rsidR="00711536">
        <w:rPr>
          <w:rFonts w:ascii="Arial" w:hAnsi="Arial"/>
          <w:sz w:val="22"/>
          <w:lang w:val="en-GB"/>
        </w:rPr>
        <w:t xml:space="preserve">who </w:t>
      </w:r>
      <w:r w:rsidRPr="00410A71">
        <w:rPr>
          <w:rFonts w:ascii="Arial" w:hAnsi="Arial"/>
          <w:sz w:val="22"/>
          <w:lang w:val="en-GB"/>
        </w:rPr>
        <w:t xml:space="preserve">received a single dose of </w:t>
      </w:r>
      <w:r w:rsidR="006F6351" w:rsidRPr="00410A71">
        <w:rPr>
          <w:rFonts w:ascii="Arial" w:hAnsi="Arial"/>
          <w:sz w:val="22"/>
          <w:lang w:val="en-GB"/>
        </w:rPr>
        <w:t>TIV-1 (</w:t>
      </w:r>
      <w:r w:rsidRPr="00410A71">
        <w:rPr>
          <w:rFonts w:ascii="Arial" w:hAnsi="Arial"/>
          <w:sz w:val="22"/>
          <w:lang w:val="en-GB"/>
        </w:rPr>
        <w:t>Fluarix</w:t>
      </w:r>
      <w:r w:rsidR="00B93E83" w:rsidRPr="00410A71">
        <w:rPr>
          <w:rFonts w:ascii="Arial" w:hAnsi="Arial" w:cs="Arial"/>
          <w:sz w:val="22"/>
          <w:szCs w:val="22"/>
          <w:lang w:val="en-GB"/>
        </w:rPr>
        <w:t xml:space="preserve">), and </w:t>
      </w:r>
      <w:r w:rsidR="00634BA7" w:rsidRPr="00410A71">
        <w:rPr>
          <w:rFonts w:ascii="Arial" w:hAnsi="Arial" w:cs="Arial"/>
          <w:sz w:val="22"/>
          <w:szCs w:val="22"/>
          <w:lang w:val="en-GB"/>
        </w:rPr>
        <w:t>approximately</w:t>
      </w:r>
      <w:r w:rsidR="00B93E83" w:rsidRPr="00410A71">
        <w:rPr>
          <w:rFonts w:ascii="Arial" w:hAnsi="Arial" w:cs="Arial"/>
          <w:sz w:val="22"/>
          <w:szCs w:val="22"/>
          <w:lang w:val="en-GB"/>
        </w:rPr>
        <w:t xml:space="preserve"> 5</w:t>
      </w:r>
      <w:r w:rsidR="00711536">
        <w:rPr>
          <w:rFonts w:ascii="Arial" w:hAnsi="Arial" w:cs="Arial"/>
          <w:sz w:val="22"/>
          <w:szCs w:val="22"/>
          <w:lang w:val="en-GB"/>
        </w:rPr>
        <w:t>3</w:t>
      </w:r>
      <w:r w:rsidR="00B93E83" w:rsidRPr="00410A71">
        <w:rPr>
          <w:rFonts w:ascii="Arial" w:hAnsi="Arial" w:cs="Arial"/>
          <w:sz w:val="22"/>
          <w:szCs w:val="22"/>
          <w:lang w:val="en-GB"/>
        </w:rPr>
        <w:t xml:space="preserve">0 </w:t>
      </w:r>
      <w:r w:rsidR="00822070">
        <w:rPr>
          <w:rFonts w:ascii="Arial" w:hAnsi="Arial"/>
          <w:sz w:val="22"/>
          <w:lang w:val="en-GB"/>
        </w:rPr>
        <w:t>individual</w:t>
      </w:r>
      <w:r w:rsidR="00822070" w:rsidRPr="00410A71">
        <w:rPr>
          <w:rFonts w:ascii="Arial" w:hAnsi="Arial"/>
          <w:sz w:val="22"/>
          <w:lang w:val="en-GB"/>
        </w:rPr>
        <w:t>s</w:t>
      </w:r>
      <w:r w:rsidR="00B93E83" w:rsidRPr="00410A71">
        <w:rPr>
          <w:rFonts w:ascii="Arial" w:hAnsi="Arial" w:cs="Arial"/>
          <w:sz w:val="22"/>
          <w:szCs w:val="22"/>
          <w:lang w:val="en-GB"/>
        </w:rPr>
        <w:t xml:space="preserve"> </w:t>
      </w:r>
      <w:r w:rsidR="00711536">
        <w:rPr>
          <w:rFonts w:ascii="Arial" w:hAnsi="Arial" w:cs="Arial"/>
          <w:sz w:val="22"/>
          <w:szCs w:val="22"/>
          <w:lang w:val="en-GB"/>
        </w:rPr>
        <w:t xml:space="preserve">who </w:t>
      </w:r>
      <w:r w:rsidR="00B93E83" w:rsidRPr="00410A71">
        <w:rPr>
          <w:rFonts w:ascii="Arial" w:hAnsi="Arial" w:cs="Arial"/>
          <w:sz w:val="22"/>
          <w:szCs w:val="22"/>
          <w:lang w:val="en-GB"/>
        </w:rPr>
        <w:t xml:space="preserve">received a single dose of </w:t>
      </w:r>
      <w:r w:rsidR="006F6351" w:rsidRPr="00410A71">
        <w:rPr>
          <w:rFonts w:ascii="Arial" w:hAnsi="Arial" w:cs="Arial"/>
          <w:sz w:val="22"/>
          <w:szCs w:val="22"/>
          <w:lang w:val="en-GB"/>
        </w:rPr>
        <w:t>TIV-2</w:t>
      </w:r>
      <w:r w:rsidRPr="00410A71">
        <w:rPr>
          <w:rFonts w:ascii="Arial" w:hAnsi="Arial"/>
          <w:sz w:val="22"/>
          <w:lang w:val="en-GB"/>
        </w:rPr>
        <w:t>.</w:t>
      </w:r>
    </w:p>
    <w:p w:rsidR="00882490" w:rsidRDefault="00882490" w:rsidP="00882490">
      <w:pPr>
        <w:tabs>
          <w:tab w:val="left" w:pos="10173"/>
          <w:tab w:val="left" w:pos="10456"/>
        </w:tabs>
        <w:spacing w:line="360" w:lineRule="atLeast"/>
        <w:ind w:right="27"/>
        <w:jc w:val="both"/>
        <w:rPr>
          <w:rFonts w:ascii="Arial" w:hAnsi="Arial"/>
          <w:sz w:val="22"/>
          <w:lang w:val="en-GB"/>
        </w:rPr>
      </w:pPr>
    </w:p>
    <w:p w:rsidR="00882490" w:rsidRDefault="004437FD" w:rsidP="004437FD">
      <w:pPr>
        <w:tabs>
          <w:tab w:val="left" w:pos="10173"/>
          <w:tab w:val="left" w:pos="10456"/>
        </w:tabs>
        <w:spacing w:line="0" w:lineRule="atLeast"/>
        <w:ind w:right="28"/>
        <w:jc w:val="both"/>
        <w:rPr>
          <w:rFonts w:ascii="Arial" w:hAnsi="Arial"/>
          <w:sz w:val="22"/>
          <w:lang w:val="en-GB"/>
        </w:rPr>
      </w:pPr>
      <w:r>
        <w:rPr>
          <w:rFonts w:ascii="Arial" w:hAnsi="Arial"/>
          <w:b/>
          <w:sz w:val="22"/>
          <w:lang w:val="en-GB"/>
        </w:rPr>
        <w:t>Table 1</w:t>
      </w:r>
      <w:r>
        <w:rPr>
          <w:rFonts w:ascii="Arial" w:hAnsi="Arial"/>
          <w:sz w:val="22"/>
          <w:lang w:val="en-GB"/>
        </w:rPr>
        <w:t xml:space="preserve">: </w:t>
      </w:r>
      <w:r w:rsidR="00882490" w:rsidRPr="00882490">
        <w:rPr>
          <w:rFonts w:ascii="Arial" w:hAnsi="Arial"/>
          <w:sz w:val="22"/>
          <w:lang w:val="en-GB"/>
        </w:rPr>
        <w:t>Post-vaccination GMT and seroconversion rates</w:t>
      </w:r>
      <w:r>
        <w:rPr>
          <w:rFonts w:ascii="Arial" w:hAnsi="Arial"/>
          <w:sz w:val="22"/>
          <w:lang w:val="en-GB"/>
        </w:rPr>
        <w:t xml:space="preserve"> </w:t>
      </w:r>
      <w:r w:rsidR="006710B4">
        <w:rPr>
          <w:rFonts w:ascii="Arial" w:hAnsi="Arial"/>
          <w:sz w:val="22"/>
          <w:lang w:val="en-GB"/>
        </w:rPr>
        <w:t xml:space="preserve">in </w:t>
      </w:r>
      <w:r>
        <w:rPr>
          <w:rFonts w:ascii="Arial" w:hAnsi="Arial"/>
          <w:sz w:val="22"/>
          <w:lang w:val="en-GB"/>
        </w:rPr>
        <w:t>clinical study</w:t>
      </w:r>
      <w:r w:rsidR="006710B4">
        <w:rPr>
          <w:rFonts w:ascii="Arial" w:hAnsi="Arial"/>
          <w:sz w:val="22"/>
          <w:lang w:val="en-GB"/>
        </w:rPr>
        <w:t xml:space="preserve"> </w:t>
      </w:r>
      <w:r>
        <w:rPr>
          <w:rFonts w:ascii="Arial" w:hAnsi="Arial"/>
          <w:sz w:val="22"/>
          <w:lang w:val="en-GB"/>
        </w:rPr>
        <w:t>D-QIV-008</w:t>
      </w:r>
      <w:r w:rsidR="00882490" w:rsidRPr="00882490">
        <w:rPr>
          <w:rFonts w:ascii="Arial" w:hAnsi="Arial"/>
          <w:sz w:val="22"/>
          <w:lang w:val="en-GB"/>
        </w:rPr>
        <w:t>:</w:t>
      </w:r>
    </w:p>
    <w:tbl>
      <w:tblPr>
        <w:tblW w:w="90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3"/>
        <w:gridCol w:w="2381"/>
        <w:gridCol w:w="2138"/>
        <w:gridCol w:w="2130"/>
      </w:tblGrid>
      <w:tr w:rsidR="000204CF" w:rsidRPr="00882490" w:rsidTr="000204CF">
        <w:tc>
          <w:tcPr>
            <w:tcW w:w="2393" w:type="dxa"/>
          </w:tcPr>
          <w:p w:rsidR="000204CF" w:rsidRPr="00882490" w:rsidRDefault="000204CF" w:rsidP="005A317C">
            <w:pPr>
              <w:tabs>
                <w:tab w:val="left" w:pos="567"/>
              </w:tabs>
              <w:jc w:val="center"/>
              <w:rPr>
                <w:rFonts w:ascii="Arial" w:hAnsi="Arial" w:cs="Arial"/>
                <w:color w:val="000000"/>
                <w:szCs w:val="22"/>
              </w:rPr>
            </w:pPr>
            <w:r w:rsidRPr="00882490">
              <w:rPr>
                <w:rFonts w:ascii="Arial" w:hAnsi="Arial" w:cs="Arial"/>
                <w:b/>
                <w:color w:val="000000"/>
                <w:szCs w:val="22"/>
              </w:rPr>
              <w:t>Adults 18 years of age and older</w:t>
            </w:r>
          </w:p>
        </w:tc>
        <w:tc>
          <w:tcPr>
            <w:tcW w:w="2381" w:type="dxa"/>
          </w:tcPr>
          <w:p w:rsidR="000204CF" w:rsidRPr="00882490" w:rsidRDefault="000204CF" w:rsidP="005A317C">
            <w:pPr>
              <w:tabs>
                <w:tab w:val="left" w:pos="567"/>
              </w:tabs>
              <w:jc w:val="center"/>
              <w:rPr>
                <w:rFonts w:ascii="Arial" w:hAnsi="Arial" w:cs="Arial"/>
                <w:color w:val="000000"/>
                <w:szCs w:val="22"/>
              </w:rPr>
            </w:pPr>
            <w:r w:rsidRPr="00882490">
              <w:rPr>
                <w:rFonts w:ascii="Arial" w:hAnsi="Arial" w:cs="Arial"/>
                <w:color w:val="000000"/>
                <w:szCs w:val="22"/>
              </w:rPr>
              <w:t>Fluarix Tetra</w:t>
            </w:r>
            <w:r w:rsidR="00410A71" w:rsidRPr="00410A71">
              <w:rPr>
                <w:rFonts w:ascii="Arial" w:hAnsi="Arial" w:cs="Arial"/>
                <w:szCs w:val="22"/>
                <w:vertAlign w:val="superscript"/>
              </w:rPr>
              <w:t>1</w:t>
            </w:r>
          </w:p>
          <w:p w:rsidR="000204CF" w:rsidRPr="00882490" w:rsidRDefault="000204CF" w:rsidP="005A317C">
            <w:pPr>
              <w:tabs>
                <w:tab w:val="left" w:pos="567"/>
              </w:tabs>
              <w:jc w:val="center"/>
              <w:rPr>
                <w:rFonts w:ascii="Arial" w:hAnsi="Arial" w:cs="Arial"/>
                <w:color w:val="000000"/>
                <w:szCs w:val="22"/>
              </w:rPr>
            </w:pPr>
            <w:r w:rsidRPr="00882490">
              <w:rPr>
                <w:rFonts w:ascii="Arial" w:hAnsi="Arial" w:cs="Arial"/>
                <w:color w:val="000000"/>
                <w:szCs w:val="22"/>
              </w:rPr>
              <w:t>N=1809</w:t>
            </w:r>
          </w:p>
        </w:tc>
        <w:tc>
          <w:tcPr>
            <w:tcW w:w="2138" w:type="dxa"/>
          </w:tcPr>
          <w:p w:rsidR="000204CF" w:rsidRPr="00882490" w:rsidRDefault="000204CF" w:rsidP="005A317C">
            <w:pPr>
              <w:tabs>
                <w:tab w:val="left" w:pos="567"/>
              </w:tabs>
              <w:jc w:val="center"/>
              <w:rPr>
                <w:rFonts w:ascii="Arial" w:hAnsi="Arial" w:cs="Arial"/>
                <w:color w:val="000000"/>
                <w:szCs w:val="22"/>
              </w:rPr>
            </w:pPr>
            <w:r>
              <w:rPr>
                <w:rFonts w:ascii="Arial" w:hAnsi="Arial" w:cs="Arial"/>
                <w:color w:val="000000"/>
                <w:szCs w:val="22"/>
              </w:rPr>
              <w:t>TIV-1 (</w:t>
            </w:r>
            <w:r w:rsidRPr="00882490">
              <w:rPr>
                <w:rFonts w:ascii="Arial" w:hAnsi="Arial" w:cs="Arial"/>
                <w:color w:val="000000"/>
                <w:szCs w:val="22"/>
              </w:rPr>
              <w:t>Fluarix</w:t>
            </w:r>
            <w:r w:rsidRPr="00410A71">
              <w:rPr>
                <w:rFonts w:ascii="Arial" w:hAnsi="Arial" w:cs="Arial"/>
                <w:lang w:val="en-GB"/>
              </w:rPr>
              <w:t>)</w:t>
            </w:r>
            <w:r w:rsidR="00410A71" w:rsidRPr="00410A71" w:rsidDel="00410A71">
              <w:rPr>
                <w:rFonts w:ascii="Arial" w:hAnsi="Arial" w:cs="Arial"/>
                <w:szCs w:val="22"/>
                <w:vertAlign w:val="superscript"/>
              </w:rPr>
              <w:t xml:space="preserve"> </w:t>
            </w:r>
            <w:r w:rsidR="00410A71">
              <w:rPr>
                <w:rFonts w:ascii="Arial" w:hAnsi="Arial" w:cs="Arial"/>
                <w:szCs w:val="22"/>
                <w:vertAlign w:val="superscript"/>
              </w:rPr>
              <w:t>2</w:t>
            </w:r>
          </w:p>
          <w:p w:rsidR="000204CF" w:rsidRPr="00882490" w:rsidRDefault="000204CF" w:rsidP="005A317C">
            <w:pPr>
              <w:tabs>
                <w:tab w:val="left" w:pos="567"/>
              </w:tabs>
              <w:jc w:val="center"/>
              <w:rPr>
                <w:rFonts w:ascii="Arial" w:hAnsi="Arial" w:cs="Arial"/>
                <w:color w:val="000000"/>
                <w:szCs w:val="22"/>
              </w:rPr>
            </w:pPr>
            <w:r w:rsidRPr="00882490">
              <w:rPr>
                <w:rFonts w:ascii="Arial" w:hAnsi="Arial" w:cs="Arial"/>
                <w:color w:val="000000"/>
                <w:szCs w:val="22"/>
              </w:rPr>
              <w:t>N=608</w:t>
            </w:r>
          </w:p>
        </w:tc>
        <w:tc>
          <w:tcPr>
            <w:tcW w:w="2130" w:type="dxa"/>
          </w:tcPr>
          <w:p w:rsidR="000204CF" w:rsidRDefault="000204CF" w:rsidP="005A317C">
            <w:pPr>
              <w:tabs>
                <w:tab w:val="left" w:pos="567"/>
              </w:tabs>
              <w:jc w:val="center"/>
              <w:rPr>
                <w:rFonts w:ascii="Arial" w:hAnsi="Arial" w:cs="Arial"/>
                <w:color w:val="000000"/>
                <w:szCs w:val="22"/>
              </w:rPr>
            </w:pPr>
            <w:r>
              <w:rPr>
                <w:rFonts w:ascii="Arial" w:hAnsi="Arial" w:cs="Arial"/>
                <w:color w:val="000000"/>
                <w:szCs w:val="22"/>
              </w:rPr>
              <w:t>TIV-2</w:t>
            </w:r>
            <w:r w:rsidR="00410A71">
              <w:rPr>
                <w:rFonts w:ascii="Arial" w:hAnsi="Arial" w:cs="Arial"/>
                <w:color w:val="000000"/>
                <w:szCs w:val="22"/>
                <w:vertAlign w:val="superscript"/>
              </w:rPr>
              <w:t>3</w:t>
            </w:r>
          </w:p>
          <w:p w:rsidR="000204CF" w:rsidRDefault="000204CF" w:rsidP="005A317C">
            <w:pPr>
              <w:tabs>
                <w:tab w:val="left" w:pos="567"/>
              </w:tabs>
              <w:jc w:val="center"/>
              <w:rPr>
                <w:rFonts w:ascii="Arial" w:hAnsi="Arial" w:cs="Arial"/>
                <w:color w:val="000000"/>
                <w:szCs w:val="22"/>
              </w:rPr>
            </w:pPr>
            <w:r>
              <w:rPr>
                <w:rFonts w:ascii="Arial" w:hAnsi="Arial" w:cs="Arial"/>
                <w:color w:val="000000"/>
                <w:szCs w:val="22"/>
              </w:rPr>
              <w:t>N=534</w:t>
            </w:r>
          </w:p>
        </w:tc>
      </w:tr>
      <w:tr w:rsidR="000204CF" w:rsidRPr="00882490" w:rsidTr="00D467CF">
        <w:tc>
          <w:tcPr>
            <w:tcW w:w="2393" w:type="dxa"/>
          </w:tcPr>
          <w:p w:rsidR="000204CF" w:rsidRPr="00882490" w:rsidRDefault="000204CF" w:rsidP="005A317C">
            <w:pPr>
              <w:tabs>
                <w:tab w:val="left" w:pos="567"/>
              </w:tabs>
              <w:rPr>
                <w:rFonts w:ascii="Arial" w:hAnsi="Arial" w:cs="Arial"/>
                <w:b/>
                <w:color w:val="000000"/>
                <w:szCs w:val="22"/>
              </w:rPr>
            </w:pPr>
          </w:p>
        </w:tc>
        <w:tc>
          <w:tcPr>
            <w:tcW w:w="6649" w:type="dxa"/>
            <w:gridSpan w:val="3"/>
          </w:tcPr>
          <w:p w:rsidR="000204CF" w:rsidRPr="00882490" w:rsidRDefault="000204CF" w:rsidP="005A317C">
            <w:pPr>
              <w:tabs>
                <w:tab w:val="left" w:pos="567"/>
              </w:tabs>
              <w:jc w:val="center"/>
              <w:rPr>
                <w:rFonts w:ascii="Arial" w:hAnsi="Arial" w:cs="Arial"/>
                <w:b/>
                <w:color w:val="000000"/>
                <w:szCs w:val="22"/>
              </w:rPr>
            </w:pPr>
            <w:r w:rsidRPr="00882490">
              <w:rPr>
                <w:rFonts w:ascii="Arial" w:hAnsi="Arial" w:cs="Arial"/>
                <w:b/>
                <w:color w:val="000000"/>
                <w:szCs w:val="22"/>
              </w:rPr>
              <w:t>GMT (95% confidence interval)</w:t>
            </w:r>
          </w:p>
        </w:tc>
      </w:tr>
      <w:tr w:rsidR="000204CF" w:rsidRPr="00882490" w:rsidTr="000204CF">
        <w:tc>
          <w:tcPr>
            <w:tcW w:w="2393" w:type="dxa"/>
          </w:tcPr>
          <w:p w:rsidR="000204CF" w:rsidRPr="00882490" w:rsidRDefault="000204CF" w:rsidP="005A317C">
            <w:pPr>
              <w:tabs>
                <w:tab w:val="left" w:pos="567"/>
              </w:tabs>
              <w:rPr>
                <w:rFonts w:ascii="Arial" w:hAnsi="Arial" w:cs="Arial"/>
                <w:b/>
                <w:color w:val="000000"/>
                <w:szCs w:val="22"/>
              </w:rPr>
            </w:pPr>
            <w:r w:rsidRPr="00882490">
              <w:rPr>
                <w:rFonts w:ascii="Arial" w:hAnsi="Arial" w:cs="Arial"/>
              </w:rPr>
              <w:br w:type="page"/>
            </w:r>
            <w:r w:rsidRPr="00882490">
              <w:rPr>
                <w:rFonts w:ascii="Arial" w:hAnsi="Arial" w:cs="Arial"/>
                <w:b/>
                <w:color w:val="000000"/>
                <w:szCs w:val="22"/>
              </w:rPr>
              <w:tab/>
              <w:t>A/H1N1</w:t>
            </w:r>
          </w:p>
        </w:tc>
        <w:tc>
          <w:tcPr>
            <w:tcW w:w="2381" w:type="dxa"/>
          </w:tcPr>
          <w:p w:rsidR="000204CF" w:rsidRPr="00882490" w:rsidRDefault="000204CF" w:rsidP="005A317C">
            <w:pPr>
              <w:tabs>
                <w:tab w:val="left" w:pos="567"/>
              </w:tabs>
              <w:jc w:val="center"/>
              <w:rPr>
                <w:rFonts w:ascii="Arial" w:hAnsi="Arial" w:cs="Arial"/>
                <w:color w:val="000000"/>
                <w:szCs w:val="22"/>
              </w:rPr>
            </w:pPr>
            <w:r w:rsidRPr="00882490">
              <w:rPr>
                <w:rFonts w:ascii="Arial" w:hAnsi="Arial" w:cs="Arial"/>
                <w:color w:val="000000"/>
                <w:szCs w:val="22"/>
              </w:rPr>
              <w:t>201.1 (188.1;215.1)</w:t>
            </w:r>
          </w:p>
        </w:tc>
        <w:tc>
          <w:tcPr>
            <w:tcW w:w="2138" w:type="dxa"/>
          </w:tcPr>
          <w:p w:rsidR="000204CF" w:rsidRPr="00882490" w:rsidRDefault="000204CF" w:rsidP="005A317C">
            <w:pPr>
              <w:tabs>
                <w:tab w:val="left" w:pos="567"/>
              </w:tabs>
              <w:jc w:val="center"/>
              <w:rPr>
                <w:rFonts w:ascii="Arial" w:hAnsi="Arial" w:cs="Arial"/>
                <w:color w:val="000000"/>
                <w:szCs w:val="22"/>
              </w:rPr>
            </w:pPr>
            <w:r w:rsidRPr="00882490">
              <w:rPr>
                <w:rFonts w:ascii="Arial" w:hAnsi="Arial" w:cs="Arial"/>
                <w:color w:val="000000"/>
                <w:szCs w:val="22"/>
              </w:rPr>
              <w:t>218.4 (194.2;245.6)</w:t>
            </w:r>
          </w:p>
        </w:tc>
        <w:tc>
          <w:tcPr>
            <w:tcW w:w="2130" w:type="dxa"/>
          </w:tcPr>
          <w:p w:rsidR="000204CF" w:rsidRPr="00882490" w:rsidRDefault="000204CF" w:rsidP="005A317C">
            <w:pPr>
              <w:tabs>
                <w:tab w:val="left" w:pos="567"/>
              </w:tabs>
              <w:jc w:val="center"/>
              <w:rPr>
                <w:rFonts w:ascii="Arial" w:hAnsi="Arial" w:cs="Arial"/>
                <w:color w:val="000000"/>
                <w:szCs w:val="22"/>
              </w:rPr>
            </w:pPr>
            <w:r>
              <w:rPr>
                <w:rFonts w:ascii="Arial" w:hAnsi="Arial" w:cs="Arial"/>
                <w:color w:val="000000"/>
                <w:szCs w:val="22"/>
              </w:rPr>
              <w:t>213.0 (187.6;241.9)</w:t>
            </w:r>
          </w:p>
        </w:tc>
      </w:tr>
      <w:tr w:rsidR="000204CF" w:rsidRPr="00882490" w:rsidTr="000204CF">
        <w:tc>
          <w:tcPr>
            <w:tcW w:w="2393" w:type="dxa"/>
          </w:tcPr>
          <w:p w:rsidR="000204CF" w:rsidRPr="00882490" w:rsidRDefault="000204CF" w:rsidP="005A317C">
            <w:pPr>
              <w:tabs>
                <w:tab w:val="left" w:pos="567"/>
              </w:tabs>
              <w:rPr>
                <w:rFonts w:ascii="Arial" w:hAnsi="Arial" w:cs="Arial"/>
                <w:b/>
                <w:color w:val="000000"/>
                <w:szCs w:val="22"/>
              </w:rPr>
            </w:pPr>
            <w:r w:rsidRPr="00882490">
              <w:rPr>
                <w:rFonts w:ascii="Arial" w:hAnsi="Arial" w:cs="Arial"/>
                <w:b/>
                <w:color w:val="000000"/>
                <w:szCs w:val="22"/>
              </w:rPr>
              <w:tab/>
              <w:t>A/H3N2</w:t>
            </w:r>
          </w:p>
        </w:tc>
        <w:tc>
          <w:tcPr>
            <w:tcW w:w="2381" w:type="dxa"/>
          </w:tcPr>
          <w:p w:rsidR="000204CF" w:rsidRPr="00882490" w:rsidRDefault="000204CF" w:rsidP="005A317C">
            <w:pPr>
              <w:tabs>
                <w:tab w:val="left" w:pos="567"/>
              </w:tabs>
              <w:jc w:val="center"/>
              <w:rPr>
                <w:rFonts w:ascii="Arial" w:hAnsi="Arial" w:cs="Arial"/>
                <w:color w:val="000000"/>
                <w:szCs w:val="22"/>
              </w:rPr>
            </w:pPr>
            <w:r w:rsidRPr="00882490">
              <w:rPr>
                <w:rFonts w:ascii="Arial" w:hAnsi="Arial" w:cs="Arial"/>
                <w:color w:val="000000"/>
                <w:szCs w:val="22"/>
              </w:rPr>
              <w:t>314.7 (296.8;333.6)</w:t>
            </w:r>
          </w:p>
        </w:tc>
        <w:tc>
          <w:tcPr>
            <w:tcW w:w="2138" w:type="dxa"/>
          </w:tcPr>
          <w:p w:rsidR="000204CF" w:rsidRPr="00882490" w:rsidRDefault="000204CF" w:rsidP="005A317C">
            <w:pPr>
              <w:tabs>
                <w:tab w:val="left" w:pos="567"/>
              </w:tabs>
              <w:jc w:val="center"/>
              <w:rPr>
                <w:rFonts w:ascii="Arial" w:hAnsi="Arial" w:cs="Arial"/>
                <w:color w:val="000000"/>
                <w:szCs w:val="22"/>
              </w:rPr>
            </w:pPr>
            <w:r w:rsidRPr="00882490">
              <w:rPr>
                <w:rFonts w:ascii="Arial" w:hAnsi="Arial" w:cs="Arial"/>
                <w:color w:val="000000"/>
                <w:szCs w:val="22"/>
              </w:rPr>
              <w:t>298.2 (268.4;331.3)</w:t>
            </w:r>
          </w:p>
        </w:tc>
        <w:tc>
          <w:tcPr>
            <w:tcW w:w="2130" w:type="dxa"/>
          </w:tcPr>
          <w:p w:rsidR="000204CF" w:rsidRPr="00882490" w:rsidRDefault="000204CF" w:rsidP="005A317C">
            <w:pPr>
              <w:tabs>
                <w:tab w:val="left" w:pos="567"/>
              </w:tabs>
              <w:jc w:val="center"/>
              <w:rPr>
                <w:rFonts w:ascii="Arial" w:hAnsi="Arial" w:cs="Arial"/>
                <w:color w:val="000000"/>
                <w:szCs w:val="22"/>
              </w:rPr>
            </w:pPr>
            <w:r>
              <w:rPr>
                <w:rFonts w:ascii="Arial" w:hAnsi="Arial" w:cs="Arial"/>
                <w:color w:val="000000"/>
                <w:szCs w:val="22"/>
              </w:rPr>
              <w:t>340.4 (304.3;380.9)</w:t>
            </w:r>
          </w:p>
        </w:tc>
      </w:tr>
      <w:tr w:rsidR="000204CF" w:rsidRPr="00882490" w:rsidTr="000204CF">
        <w:tc>
          <w:tcPr>
            <w:tcW w:w="2393" w:type="dxa"/>
          </w:tcPr>
          <w:p w:rsidR="000204CF" w:rsidRPr="00882490" w:rsidRDefault="000204CF" w:rsidP="003D1656">
            <w:pPr>
              <w:tabs>
                <w:tab w:val="left" w:pos="567"/>
              </w:tabs>
              <w:rPr>
                <w:rFonts w:ascii="Arial" w:hAnsi="Arial" w:cs="Arial"/>
                <w:b/>
                <w:color w:val="000000"/>
                <w:szCs w:val="22"/>
              </w:rPr>
            </w:pPr>
            <w:r w:rsidRPr="00882490">
              <w:rPr>
                <w:rFonts w:ascii="Arial" w:hAnsi="Arial" w:cs="Arial"/>
                <w:b/>
                <w:color w:val="000000"/>
                <w:szCs w:val="22"/>
              </w:rPr>
              <w:tab/>
              <w:t>B (Victoria)</w:t>
            </w:r>
          </w:p>
        </w:tc>
        <w:tc>
          <w:tcPr>
            <w:tcW w:w="2381" w:type="dxa"/>
          </w:tcPr>
          <w:p w:rsidR="000204CF" w:rsidRPr="00882490" w:rsidRDefault="000204CF" w:rsidP="005A317C">
            <w:pPr>
              <w:tabs>
                <w:tab w:val="left" w:pos="567"/>
              </w:tabs>
              <w:jc w:val="center"/>
              <w:rPr>
                <w:rFonts w:ascii="Arial" w:hAnsi="Arial" w:cs="Arial"/>
                <w:color w:val="000000"/>
                <w:szCs w:val="22"/>
              </w:rPr>
            </w:pPr>
            <w:r w:rsidRPr="00882490">
              <w:rPr>
                <w:rFonts w:ascii="Arial" w:hAnsi="Arial" w:cs="Arial"/>
                <w:color w:val="000000"/>
                <w:szCs w:val="22"/>
              </w:rPr>
              <w:t>404.6 (386.6;423.4)</w:t>
            </w:r>
          </w:p>
        </w:tc>
        <w:tc>
          <w:tcPr>
            <w:tcW w:w="2138" w:type="dxa"/>
          </w:tcPr>
          <w:p w:rsidR="000204CF" w:rsidRPr="00882490" w:rsidRDefault="000204CF" w:rsidP="005A317C">
            <w:pPr>
              <w:tabs>
                <w:tab w:val="left" w:pos="567"/>
              </w:tabs>
              <w:jc w:val="center"/>
              <w:rPr>
                <w:rFonts w:ascii="Arial" w:hAnsi="Arial" w:cs="Arial"/>
                <w:color w:val="000000"/>
                <w:szCs w:val="22"/>
              </w:rPr>
            </w:pPr>
            <w:r w:rsidRPr="00882490">
              <w:rPr>
                <w:rFonts w:ascii="Arial" w:hAnsi="Arial" w:cs="Arial"/>
                <w:color w:val="000000"/>
                <w:szCs w:val="22"/>
              </w:rPr>
              <w:t>393.8 (362.7;427.6)</w:t>
            </w:r>
          </w:p>
        </w:tc>
        <w:tc>
          <w:tcPr>
            <w:tcW w:w="2130" w:type="dxa"/>
          </w:tcPr>
          <w:p w:rsidR="000204CF" w:rsidRPr="00882490" w:rsidRDefault="000204CF" w:rsidP="00410A71">
            <w:pPr>
              <w:tabs>
                <w:tab w:val="left" w:pos="567"/>
              </w:tabs>
              <w:jc w:val="center"/>
              <w:rPr>
                <w:rFonts w:ascii="Arial" w:hAnsi="Arial" w:cs="Arial"/>
                <w:color w:val="000000"/>
                <w:szCs w:val="22"/>
              </w:rPr>
            </w:pPr>
            <w:r>
              <w:rPr>
                <w:rFonts w:ascii="Arial" w:hAnsi="Arial" w:cs="Arial"/>
                <w:color w:val="000000"/>
                <w:szCs w:val="22"/>
              </w:rPr>
              <w:t>258.5 (234.6;284.8)</w:t>
            </w:r>
            <w:r w:rsidR="00410A71">
              <w:rPr>
                <w:rFonts w:ascii="Arial" w:hAnsi="Arial" w:cs="Arial"/>
                <w:color w:val="000000"/>
                <w:szCs w:val="22"/>
                <w:vertAlign w:val="superscript"/>
              </w:rPr>
              <w:t>4</w:t>
            </w:r>
          </w:p>
        </w:tc>
      </w:tr>
      <w:tr w:rsidR="000204CF" w:rsidRPr="00882490" w:rsidTr="000204CF">
        <w:tc>
          <w:tcPr>
            <w:tcW w:w="2393" w:type="dxa"/>
          </w:tcPr>
          <w:p w:rsidR="000204CF" w:rsidRPr="00882490" w:rsidRDefault="000204CF" w:rsidP="000204CF">
            <w:pPr>
              <w:tabs>
                <w:tab w:val="left" w:pos="567"/>
              </w:tabs>
              <w:rPr>
                <w:rFonts w:ascii="Arial" w:hAnsi="Arial" w:cs="Arial"/>
                <w:b/>
                <w:color w:val="000000"/>
                <w:szCs w:val="22"/>
              </w:rPr>
            </w:pPr>
            <w:r w:rsidRPr="00882490">
              <w:rPr>
                <w:rFonts w:ascii="Arial" w:hAnsi="Arial" w:cs="Arial"/>
                <w:b/>
                <w:color w:val="000000"/>
                <w:szCs w:val="22"/>
              </w:rPr>
              <w:tab/>
              <w:t>B (Yamagata)</w:t>
            </w:r>
          </w:p>
        </w:tc>
        <w:tc>
          <w:tcPr>
            <w:tcW w:w="2381" w:type="dxa"/>
          </w:tcPr>
          <w:p w:rsidR="000204CF" w:rsidRPr="00882490" w:rsidRDefault="000204CF" w:rsidP="005A317C">
            <w:pPr>
              <w:tabs>
                <w:tab w:val="left" w:pos="567"/>
              </w:tabs>
              <w:jc w:val="center"/>
              <w:rPr>
                <w:rFonts w:ascii="Arial" w:hAnsi="Arial" w:cs="Arial"/>
                <w:color w:val="000000"/>
                <w:szCs w:val="22"/>
              </w:rPr>
            </w:pPr>
            <w:r w:rsidRPr="00882490">
              <w:rPr>
                <w:rFonts w:ascii="Arial" w:hAnsi="Arial" w:cs="Arial"/>
                <w:color w:val="000000"/>
                <w:szCs w:val="22"/>
              </w:rPr>
              <w:t>601.8 (573.3;631.6)</w:t>
            </w:r>
          </w:p>
        </w:tc>
        <w:tc>
          <w:tcPr>
            <w:tcW w:w="2138" w:type="dxa"/>
          </w:tcPr>
          <w:p w:rsidR="000204CF" w:rsidRPr="00882490" w:rsidRDefault="000204CF" w:rsidP="00410A71">
            <w:pPr>
              <w:tabs>
                <w:tab w:val="left" w:pos="567"/>
              </w:tabs>
              <w:jc w:val="center"/>
              <w:rPr>
                <w:rFonts w:ascii="Arial" w:hAnsi="Arial" w:cs="Arial"/>
                <w:color w:val="000000"/>
                <w:szCs w:val="22"/>
              </w:rPr>
            </w:pPr>
            <w:r w:rsidRPr="00882490">
              <w:rPr>
                <w:rFonts w:ascii="Arial" w:hAnsi="Arial" w:cs="Arial"/>
                <w:color w:val="000000"/>
                <w:szCs w:val="22"/>
              </w:rPr>
              <w:t>386.6 (351.5;425.3)</w:t>
            </w:r>
            <w:r w:rsidR="00410A71">
              <w:rPr>
                <w:rFonts w:ascii="Arial" w:hAnsi="Arial" w:cs="Arial"/>
                <w:color w:val="000000"/>
                <w:szCs w:val="22"/>
                <w:vertAlign w:val="superscript"/>
              </w:rPr>
              <w:t>4</w:t>
            </w:r>
          </w:p>
        </w:tc>
        <w:tc>
          <w:tcPr>
            <w:tcW w:w="2130" w:type="dxa"/>
          </w:tcPr>
          <w:p w:rsidR="000204CF" w:rsidRPr="00882490" w:rsidRDefault="000204CF" w:rsidP="005A317C">
            <w:pPr>
              <w:tabs>
                <w:tab w:val="left" w:pos="567"/>
              </w:tabs>
              <w:jc w:val="center"/>
              <w:rPr>
                <w:rFonts w:ascii="Arial" w:hAnsi="Arial" w:cs="Arial"/>
                <w:color w:val="000000"/>
                <w:szCs w:val="22"/>
              </w:rPr>
            </w:pPr>
            <w:r>
              <w:rPr>
                <w:rFonts w:ascii="Arial" w:hAnsi="Arial" w:cs="Arial"/>
                <w:color w:val="000000"/>
                <w:szCs w:val="22"/>
              </w:rPr>
              <w:t>582.5 (534.6;634.7)</w:t>
            </w:r>
          </w:p>
        </w:tc>
      </w:tr>
      <w:tr w:rsidR="000204CF" w:rsidRPr="00882490" w:rsidTr="00D467CF">
        <w:tc>
          <w:tcPr>
            <w:tcW w:w="2393" w:type="dxa"/>
          </w:tcPr>
          <w:p w:rsidR="000204CF" w:rsidRPr="00882490" w:rsidRDefault="000204CF" w:rsidP="005A317C">
            <w:pPr>
              <w:tabs>
                <w:tab w:val="left" w:pos="567"/>
              </w:tabs>
              <w:rPr>
                <w:rFonts w:ascii="Arial" w:hAnsi="Arial" w:cs="Arial"/>
                <w:b/>
                <w:color w:val="000000"/>
                <w:szCs w:val="22"/>
              </w:rPr>
            </w:pPr>
          </w:p>
        </w:tc>
        <w:tc>
          <w:tcPr>
            <w:tcW w:w="6649" w:type="dxa"/>
            <w:gridSpan w:val="3"/>
          </w:tcPr>
          <w:p w:rsidR="000204CF" w:rsidRPr="00882490" w:rsidRDefault="000204CF" w:rsidP="005A317C">
            <w:pPr>
              <w:tabs>
                <w:tab w:val="left" w:pos="567"/>
              </w:tabs>
              <w:jc w:val="center"/>
              <w:rPr>
                <w:rFonts w:ascii="Arial" w:hAnsi="Arial" w:cs="Arial"/>
                <w:b/>
                <w:color w:val="000000"/>
                <w:szCs w:val="22"/>
              </w:rPr>
            </w:pPr>
            <w:r w:rsidRPr="00882490">
              <w:rPr>
                <w:rFonts w:ascii="Arial" w:hAnsi="Arial" w:cs="Arial"/>
                <w:b/>
                <w:color w:val="000000"/>
                <w:szCs w:val="22"/>
              </w:rPr>
              <w:t>Seroconversion rate (95% confidence interval)</w:t>
            </w:r>
          </w:p>
        </w:tc>
      </w:tr>
      <w:tr w:rsidR="000204CF" w:rsidRPr="00882490" w:rsidTr="000204CF">
        <w:tc>
          <w:tcPr>
            <w:tcW w:w="2393" w:type="dxa"/>
          </w:tcPr>
          <w:p w:rsidR="000204CF" w:rsidRPr="00882490" w:rsidRDefault="000204CF" w:rsidP="005A317C">
            <w:pPr>
              <w:tabs>
                <w:tab w:val="left" w:pos="567"/>
              </w:tabs>
              <w:rPr>
                <w:rFonts w:ascii="Arial" w:hAnsi="Arial" w:cs="Arial"/>
                <w:b/>
                <w:color w:val="000000"/>
                <w:szCs w:val="22"/>
              </w:rPr>
            </w:pPr>
            <w:r w:rsidRPr="00882490">
              <w:rPr>
                <w:rFonts w:ascii="Arial" w:hAnsi="Arial" w:cs="Arial"/>
                <w:b/>
                <w:color w:val="000000"/>
                <w:szCs w:val="22"/>
              </w:rPr>
              <w:tab/>
              <w:t>A/H1N1</w:t>
            </w:r>
          </w:p>
        </w:tc>
        <w:tc>
          <w:tcPr>
            <w:tcW w:w="2381" w:type="dxa"/>
          </w:tcPr>
          <w:p w:rsidR="000204CF" w:rsidRPr="00882490" w:rsidRDefault="000204CF" w:rsidP="005A317C">
            <w:pPr>
              <w:tabs>
                <w:tab w:val="left" w:pos="567"/>
              </w:tabs>
              <w:jc w:val="center"/>
              <w:rPr>
                <w:rFonts w:ascii="Arial" w:hAnsi="Arial" w:cs="Arial"/>
                <w:color w:val="000000"/>
                <w:szCs w:val="22"/>
              </w:rPr>
            </w:pPr>
            <w:r w:rsidRPr="00882490">
              <w:rPr>
                <w:rFonts w:ascii="Arial" w:hAnsi="Arial" w:cs="Arial"/>
                <w:color w:val="000000"/>
                <w:szCs w:val="22"/>
              </w:rPr>
              <w:t>77.5% (75.5;79.4)</w:t>
            </w:r>
          </w:p>
        </w:tc>
        <w:tc>
          <w:tcPr>
            <w:tcW w:w="2138" w:type="dxa"/>
          </w:tcPr>
          <w:p w:rsidR="000204CF" w:rsidRPr="00882490" w:rsidRDefault="000204CF" w:rsidP="005A317C">
            <w:pPr>
              <w:tabs>
                <w:tab w:val="left" w:pos="567"/>
              </w:tabs>
              <w:jc w:val="center"/>
              <w:rPr>
                <w:rFonts w:ascii="Arial" w:hAnsi="Arial" w:cs="Arial"/>
                <w:color w:val="000000"/>
                <w:szCs w:val="22"/>
              </w:rPr>
            </w:pPr>
            <w:r w:rsidRPr="00882490">
              <w:rPr>
                <w:rFonts w:ascii="Arial" w:hAnsi="Arial" w:cs="Arial"/>
                <w:color w:val="000000"/>
                <w:szCs w:val="22"/>
              </w:rPr>
              <w:t>77.2% (73.6;80.5)</w:t>
            </w:r>
          </w:p>
        </w:tc>
        <w:tc>
          <w:tcPr>
            <w:tcW w:w="2130" w:type="dxa"/>
          </w:tcPr>
          <w:p w:rsidR="000204CF" w:rsidRPr="00882490" w:rsidRDefault="000204CF" w:rsidP="005A317C">
            <w:pPr>
              <w:tabs>
                <w:tab w:val="left" w:pos="567"/>
              </w:tabs>
              <w:jc w:val="center"/>
              <w:rPr>
                <w:rFonts w:ascii="Arial" w:hAnsi="Arial" w:cs="Arial"/>
                <w:color w:val="000000"/>
                <w:szCs w:val="22"/>
              </w:rPr>
            </w:pPr>
            <w:r>
              <w:rPr>
                <w:rFonts w:ascii="Arial" w:hAnsi="Arial" w:cs="Arial"/>
                <w:color w:val="000000"/>
                <w:szCs w:val="22"/>
              </w:rPr>
              <w:t>80.2% (76.5;83.5)</w:t>
            </w:r>
          </w:p>
        </w:tc>
      </w:tr>
      <w:tr w:rsidR="000204CF" w:rsidRPr="00882490" w:rsidTr="000204CF">
        <w:tc>
          <w:tcPr>
            <w:tcW w:w="2393" w:type="dxa"/>
          </w:tcPr>
          <w:p w:rsidR="000204CF" w:rsidRPr="00882490" w:rsidRDefault="000204CF" w:rsidP="005A317C">
            <w:pPr>
              <w:tabs>
                <w:tab w:val="left" w:pos="567"/>
              </w:tabs>
              <w:rPr>
                <w:rFonts w:ascii="Arial" w:hAnsi="Arial" w:cs="Arial"/>
                <w:b/>
                <w:color w:val="000000"/>
                <w:szCs w:val="22"/>
              </w:rPr>
            </w:pPr>
            <w:r w:rsidRPr="00882490">
              <w:rPr>
                <w:rFonts w:ascii="Arial" w:hAnsi="Arial" w:cs="Arial"/>
                <w:b/>
                <w:color w:val="000000"/>
                <w:szCs w:val="22"/>
              </w:rPr>
              <w:tab/>
              <w:t>A/H3N2</w:t>
            </w:r>
          </w:p>
        </w:tc>
        <w:tc>
          <w:tcPr>
            <w:tcW w:w="2381" w:type="dxa"/>
          </w:tcPr>
          <w:p w:rsidR="000204CF" w:rsidRPr="00882490" w:rsidRDefault="000204CF" w:rsidP="005A317C">
            <w:pPr>
              <w:tabs>
                <w:tab w:val="left" w:pos="567"/>
              </w:tabs>
              <w:jc w:val="center"/>
              <w:rPr>
                <w:rFonts w:ascii="Arial" w:hAnsi="Arial" w:cs="Arial"/>
                <w:color w:val="000000"/>
                <w:szCs w:val="22"/>
              </w:rPr>
            </w:pPr>
            <w:r w:rsidRPr="00882490">
              <w:rPr>
                <w:rFonts w:ascii="Arial" w:hAnsi="Arial" w:cs="Arial"/>
                <w:color w:val="000000"/>
                <w:szCs w:val="22"/>
              </w:rPr>
              <w:t>71.5% (69.3;73.5)</w:t>
            </w:r>
          </w:p>
        </w:tc>
        <w:tc>
          <w:tcPr>
            <w:tcW w:w="2138" w:type="dxa"/>
          </w:tcPr>
          <w:p w:rsidR="000204CF" w:rsidRPr="00882490" w:rsidRDefault="000204CF" w:rsidP="005A317C">
            <w:pPr>
              <w:tabs>
                <w:tab w:val="left" w:pos="567"/>
              </w:tabs>
              <w:jc w:val="center"/>
              <w:rPr>
                <w:rFonts w:ascii="Arial" w:hAnsi="Arial" w:cs="Arial"/>
                <w:color w:val="000000"/>
                <w:szCs w:val="22"/>
              </w:rPr>
            </w:pPr>
            <w:r w:rsidRPr="00882490">
              <w:rPr>
                <w:rFonts w:ascii="Arial" w:hAnsi="Arial" w:cs="Arial"/>
                <w:color w:val="000000"/>
                <w:szCs w:val="22"/>
              </w:rPr>
              <w:t>65.8% (61.9;69.6)</w:t>
            </w:r>
          </w:p>
        </w:tc>
        <w:tc>
          <w:tcPr>
            <w:tcW w:w="2130" w:type="dxa"/>
          </w:tcPr>
          <w:p w:rsidR="000204CF" w:rsidRPr="00882490" w:rsidRDefault="000204CF" w:rsidP="005A317C">
            <w:pPr>
              <w:tabs>
                <w:tab w:val="left" w:pos="567"/>
              </w:tabs>
              <w:jc w:val="center"/>
              <w:rPr>
                <w:rFonts w:ascii="Arial" w:hAnsi="Arial" w:cs="Arial"/>
                <w:color w:val="000000"/>
                <w:szCs w:val="22"/>
              </w:rPr>
            </w:pPr>
            <w:r>
              <w:rPr>
                <w:rFonts w:ascii="Arial" w:hAnsi="Arial" w:cs="Arial"/>
                <w:color w:val="000000"/>
                <w:szCs w:val="22"/>
              </w:rPr>
              <w:t>70.0% (65.9;73.9)</w:t>
            </w:r>
          </w:p>
        </w:tc>
      </w:tr>
      <w:tr w:rsidR="000204CF" w:rsidRPr="00882490" w:rsidTr="000204CF">
        <w:tc>
          <w:tcPr>
            <w:tcW w:w="2393" w:type="dxa"/>
          </w:tcPr>
          <w:p w:rsidR="000204CF" w:rsidRPr="00882490" w:rsidRDefault="000204CF" w:rsidP="003D1656">
            <w:pPr>
              <w:tabs>
                <w:tab w:val="left" w:pos="567"/>
              </w:tabs>
              <w:rPr>
                <w:rFonts w:ascii="Arial" w:hAnsi="Arial" w:cs="Arial"/>
                <w:b/>
                <w:color w:val="000000"/>
                <w:szCs w:val="22"/>
              </w:rPr>
            </w:pPr>
            <w:r w:rsidRPr="00882490">
              <w:rPr>
                <w:rFonts w:ascii="Arial" w:hAnsi="Arial" w:cs="Arial"/>
                <w:b/>
                <w:color w:val="000000"/>
                <w:szCs w:val="22"/>
              </w:rPr>
              <w:tab/>
              <w:t>B (Victoria)</w:t>
            </w:r>
          </w:p>
        </w:tc>
        <w:tc>
          <w:tcPr>
            <w:tcW w:w="2381" w:type="dxa"/>
          </w:tcPr>
          <w:p w:rsidR="000204CF" w:rsidRPr="00882490" w:rsidRDefault="000204CF" w:rsidP="005A317C">
            <w:pPr>
              <w:tabs>
                <w:tab w:val="left" w:pos="567"/>
              </w:tabs>
              <w:jc w:val="center"/>
              <w:rPr>
                <w:rFonts w:ascii="Arial" w:hAnsi="Arial" w:cs="Arial"/>
                <w:color w:val="000000"/>
                <w:szCs w:val="22"/>
              </w:rPr>
            </w:pPr>
            <w:r w:rsidRPr="00882490">
              <w:rPr>
                <w:rFonts w:ascii="Arial" w:hAnsi="Arial" w:cs="Arial"/>
                <w:color w:val="000000"/>
                <w:szCs w:val="22"/>
              </w:rPr>
              <w:t>58.1% (55.8;60.4)</w:t>
            </w:r>
          </w:p>
        </w:tc>
        <w:tc>
          <w:tcPr>
            <w:tcW w:w="2138" w:type="dxa"/>
          </w:tcPr>
          <w:p w:rsidR="000204CF" w:rsidRPr="00882490" w:rsidRDefault="000204CF" w:rsidP="005A317C">
            <w:pPr>
              <w:tabs>
                <w:tab w:val="left" w:pos="567"/>
              </w:tabs>
              <w:jc w:val="center"/>
              <w:rPr>
                <w:rFonts w:ascii="Arial" w:hAnsi="Arial" w:cs="Arial"/>
                <w:color w:val="000000"/>
                <w:szCs w:val="22"/>
              </w:rPr>
            </w:pPr>
            <w:r w:rsidRPr="00882490">
              <w:rPr>
                <w:rFonts w:ascii="Arial" w:hAnsi="Arial" w:cs="Arial"/>
                <w:color w:val="000000"/>
                <w:szCs w:val="22"/>
              </w:rPr>
              <w:t>55.4% (51.3;59.4)</w:t>
            </w:r>
          </w:p>
        </w:tc>
        <w:tc>
          <w:tcPr>
            <w:tcW w:w="2130" w:type="dxa"/>
          </w:tcPr>
          <w:p w:rsidR="000204CF" w:rsidRPr="00882490" w:rsidRDefault="000204CF" w:rsidP="003D1656">
            <w:pPr>
              <w:tabs>
                <w:tab w:val="left" w:pos="567"/>
              </w:tabs>
              <w:jc w:val="center"/>
              <w:rPr>
                <w:rFonts w:ascii="Arial" w:hAnsi="Arial" w:cs="Arial"/>
                <w:color w:val="000000"/>
                <w:szCs w:val="22"/>
              </w:rPr>
            </w:pPr>
            <w:r>
              <w:rPr>
                <w:rFonts w:ascii="Arial" w:hAnsi="Arial" w:cs="Arial"/>
                <w:color w:val="000000"/>
                <w:szCs w:val="22"/>
              </w:rPr>
              <w:t>47.5% (43.2;51.9)</w:t>
            </w:r>
            <w:r w:rsidR="00410A71">
              <w:rPr>
                <w:rFonts w:ascii="Arial" w:hAnsi="Arial" w:cs="Arial"/>
                <w:color w:val="000000"/>
                <w:szCs w:val="22"/>
                <w:vertAlign w:val="superscript"/>
              </w:rPr>
              <w:t>4</w:t>
            </w:r>
          </w:p>
        </w:tc>
      </w:tr>
      <w:tr w:rsidR="000204CF" w:rsidRPr="00882490" w:rsidTr="000204CF">
        <w:tc>
          <w:tcPr>
            <w:tcW w:w="2393" w:type="dxa"/>
          </w:tcPr>
          <w:p w:rsidR="000204CF" w:rsidRPr="00882490" w:rsidRDefault="000204CF" w:rsidP="000204CF">
            <w:pPr>
              <w:tabs>
                <w:tab w:val="left" w:pos="567"/>
              </w:tabs>
              <w:rPr>
                <w:rFonts w:ascii="Arial" w:hAnsi="Arial" w:cs="Arial"/>
                <w:b/>
                <w:color w:val="000000"/>
                <w:szCs w:val="22"/>
              </w:rPr>
            </w:pPr>
            <w:r w:rsidRPr="00882490">
              <w:rPr>
                <w:rFonts w:ascii="Arial" w:hAnsi="Arial" w:cs="Arial"/>
                <w:b/>
                <w:color w:val="000000"/>
                <w:szCs w:val="22"/>
              </w:rPr>
              <w:tab/>
              <w:t>B (Yamagata)</w:t>
            </w:r>
          </w:p>
        </w:tc>
        <w:tc>
          <w:tcPr>
            <w:tcW w:w="2381" w:type="dxa"/>
          </w:tcPr>
          <w:p w:rsidR="000204CF" w:rsidRPr="00882490" w:rsidRDefault="000204CF" w:rsidP="005A317C">
            <w:pPr>
              <w:tabs>
                <w:tab w:val="left" w:pos="567"/>
              </w:tabs>
              <w:jc w:val="center"/>
              <w:rPr>
                <w:rFonts w:ascii="Arial" w:hAnsi="Arial" w:cs="Arial"/>
                <w:color w:val="000000"/>
                <w:szCs w:val="22"/>
              </w:rPr>
            </w:pPr>
            <w:r w:rsidRPr="00882490">
              <w:rPr>
                <w:rFonts w:ascii="Arial" w:hAnsi="Arial" w:cs="Arial"/>
                <w:color w:val="000000"/>
                <w:szCs w:val="22"/>
              </w:rPr>
              <w:t>61.7% (59.5;64.0)</w:t>
            </w:r>
          </w:p>
        </w:tc>
        <w:tc>
          <w:tcPr>
            <w:tcW w:w="2138" w:type="dxa"/>
          </w:tcPr>
          <w:p w:rsidR="000204CF" w:rsidRPr="00882490" w:rsidRDefault="000204CF" w:rsidP="003D1656">
            <w:pPr>
              <w:tabs>
                <w:tab w:val="left" w:pos="567"/>
              </w:tabs>
              <w:jc w:val="center"/>
              <w:rPr>
                <w:rFonts w:ascii="Arial" w:hAnsi="Arial" w:cs="Arial"/>
                <w:color w:val="000000"/>
                <w:szCs w:val="22"/>
              </w:rPr>
            </w:pPr>
            <w:r w:rsidRPr="00882490">
              <w:rPr>
                <w:rFonts w:ascii="Arial" w:hAnsi="Arial" w:cs="Arial"/>
                <w:color w:val="000000"/>
                <w:szCs w:val="22"/>
              </w:rPr>
              <w:t>45.6% (41.6;49.7)</w:t>
            </w:r>
            <w:r w:rsidR="00410A71">
              <w:rPr>
                <w:rFonts w:ascii="Arial" w:hAnsi="Arial" w:cs="Arial"/>
                <w:color w:val="000000"/>
                <w:szCs w:val="22"/>
                <w:vertAlign w:val="superscript"/>
              </w:rPr>
              <w:t>4</w:t>
            </w:r>
          </w:p>
        </w:tc>
        <w:tc>
          <w:tcPr>
            <w:tcW w:w="2130" w:type="dxa"/>
          </w:tcPr>
          <w:p w:rsidR="000204CF" w:rsidRPr="00882490" w:rsidRDefault="000204CF" w:rsidP="005A317C">
            <w:pPr>
              <w:tabs>
                <w:tab w:val="left" w:pos="567"/>
              </w:tabs>
              <w:jc w:val="center"/>
              <w:rPr>
                <w:rFonts w:ascii="Arial" w:hAnsi="Arial" w:cs="Arial"/>
                <w:color w:val="000000"/>
                <w:szCs w:val="22"/>
              </w:rPr>
            </w:pPr>
            <w:r>
              <w:rPr>
                <w:rFonts w:ascii="Arial" w:hAnsi="Arial" w:cs="Arial"/>
                <w:color w:val="000000"/>
                <w:szCs w:val="22"/>
              </w:rPr>
              <w:t>59.1% (54.7;63.3)</w:t>
            </w:r>
          </w:p>
        </w:tc>
      </w:tr>
    </w:tbl>
    <w:p w:rsidR="00410A71" w:rsidRDefault="00410A71" w:rsidP="00882490">
      <w:pPr>
        <w:tabs>
          <w:tab w:val="left" w:pos="10173"/>
          <w:tab w:val="left" w:pos="10456"/>
        </w:tabs>
        <w:spacing w:line="360" w:lineRule="atLeast"/>
        <w:ind w:right="27"/>
        <w:jc w:val="both"/>
        <w:rPr>
          <w:rFonts w:ascii="Arial" w:hAnsi="Arial"/>
          <w:vertAlign w:val="superscript"/>
          <w:lang w:val="en-GB"/>
        </w:rPr>
      </w:pPr>
      <w:proofErr w:type="gramStart"/>
      <w:r w:rsidRPr="00774F3B">
        <w:rPr>
          <w:rFonts w:ascii="Arial" w:hAnsi="Arial"/>
          <w:vertAlign w:val="superscript"/>
          <w:lang w:val="en-GB"/>
        </w:rPr>
        <w:t>1</w:t>
      </w:r>
      <w:r w:rsidRPr="00774F3B">
        <w:rPr>
          <w:rFonts w:ascii="Arial" w:hAnsi="Arial"/>
          <w:lang w:val="en-GB"/>
        </w:rPr>
        <w:t>containing A/H1N1, A/H3N2 and B (Victoria lineage)</w:t>
      </w:r>
      <w:r w:rsidRPr="00410A71">
        <w:rPr>
          <w:rFonts w:ascii="Arial" w:hAnsi="Arial"/>
          <w:lang w:val="en-GB"/>
        </w:rPr>
        <w:t xml:space="preserve"> </w:t>
      </w:r>
      <w:r w:rsidRPr="00774F3B">
        <w:rPr>
          <w:rFonts w:ascii="Arial" w:hAnsi="Arial"/>
          <w:lang w:val="en-GB"/>
        </w:rPr>
        <w:t>and B (</w:t>
      </w:r>
      <w:r>
        <w:rPr>
          <w:rFonts w:ascii="Arial" w:hAnsi="Arial"/>
          <w:lang w:val="en-GB"/>
        </w:rPr>
        <w:t>Yamagata</w:t>
      </w:r>
      <w:r w:rsidRPr="00774F3B">
        <w:rPr>
          <w:rFonts w:ascii="Arial" w:hAnsi="Arial"/>
          <w:lang w:val="en-GB"/>
        </w:rPr>
        <w:t xml:space="preserve"> lineage)</w:t>
      </w:r>
      <w:r w:rsidR="00107DCC">
        <w:rPr>
          <w:rFonts w:ascii="Arial" w:hAnsi="Arial"/>
          <w:lang w:val="en-GB"/>
        </w:rPr>
        <w:t>.</w:t>
      </w:r>
      <w:proofErr w:type="gramEnd"/>
      <w:r w:rsidR="00107DCC">
        <w:rPr>
          <w:rFonts w:ascii="Arial" w:hAnsi="Arial"/>
          <w:lang w:val="en-GB"/>
        </w:rPr>
        <w:t xml:space="preserve">  The two </w:t>
      </w:r>
      <w:proofErr w:type="gramStart"/>
      <w:r w:rsidR="00107DCC">
        <w:rPr>
          <w:rFonts w:ascii="Arial" w:hAnsi="Arial"/>
          <w:lang w:val="en-GB"/>
        </w:rPr>
        <w:t>A</w:t>
      </w:r>
      <w:proofErr w:type="gramEnd"/>
      <w:r w:rsidR="00107DCC">
        <w:rPr>
          <w:rFonts w:ascii="Arial" w:hAnsi="Arial"/>
          <w:lang w:val="en-GB"/>
        </w:rPr>
        <w:t xml:space="preserve"> s</w:t>
      </w:r>
      <w:r w:rsidR="009637B7">
        <w:rPr>
          <w:rFonts w:ascii="Arial" w:hAnsi="Arial"/>
          <w:lang w:val="en-GB"/>
        </w:rPr>
        <w:t>ubtype</w:t>
      </w:r>
      <w:r w:rsidR="00107DCC">
        <w:rPr>
          <w:rFonts w:ascii="Arial" w:hAnsi="Arial"/>
          <w:lang w:val="en-GB"/>
        </w:rPr>
        <w:t xml:space="preserve">s plus the </w:t>
      </w:r>
      <w:r w:rsidR="00107DCC" w:rsidRPr="00774F3B">
        <w:rPr>
          <w:rFonts w:ascii="Arial" w:hAnsi="Arial"/>
          <w:lang w:val="en-GB"/>
        </w:rPr>
        <w:t>B (Victoria</w:t>
      </w:r>
      <w:r w:rsidR="00107DCC">
        <w:rPr>
          <w:rFonts w:ascii="Arial" w:hAnsi="Arial"/>
          <w:lang w:val="en-GB"/>
        </w:rPr>
        <w:t xml:space="preserve">) strain constitute the TIV vaccine as recommended by WHO for </w:t>
      </w:r>
      <w:r w:rsidR="00107DCC" w:rsidRPr="00774F3B">
        <w:rPr>
          <w:rFonts w:ascii="Arial" w:hAnsi="Arial"/>
          <w:lang w:val="en-GB"/>
        </w:rPr>
        <w:t xml:space="preserve">the </w:t>
      </w:r>
      <w:r w:rsidR="00107DCC">
        <w:rPr>
          <w:rFonts w:ascii="Arial" w:hAnsi="Arial"/>
          <w:lang w:val="en-GB"/>
        </w:rPr>
        <w:t xml:space="preserve">Northern Hemisphere </w:t>
      </w:r>
      <w:r w:rsidR="00107DCC" w:rsidRPr="00774F3B">
        <w:rPr>
          <w:rFonts w:ascii="Arial" w:hAnsi="Arial"/>
          <w:lang w:val="en-GB"/>
        </w:rPr>
        <w:t>season 2010-2011</w:t>
      </w:r>
      <w:r w:rsidR="00107DCC">
        <w:rPr>
          <w:rFonts w:ascii="Arial" w:hAnsi="Arial"/>
          <w:lang w:val="en-GB"/>
        </w:rPr>
        <w:t xml:space="preserve">.  The </w:t>
      </w:r>
      <w:r w:rsidR="00107DCC" w:rsidRPr="00774F3B">
        <w:rPr>
          <w:rFonts w:ascii="Arial" w:hAnsi="Arial"/>
          <w:lang w:val="en-GB"/>
        </w:rPr>
        <w:t>B (</w:t>
      </w:r>
      <w:r w:rsidR="00107DCC">
        <w:rPr>
          <w:rFonts w:ascii="Arial" w:hAnsi="Arial"/>
          <w:lang w:val="en-GB"/>
        </w:rPr>
        <w:t>Yamagata) was</w:t>
      </w:r>
      <w:r w:rsidR="00107DCC" w:rsidRPr="0000520C">
        <w:rPr>
          <w:rFonts w:ascii="Arial" w:hAnsi="Arial"/>
          <w:lang w:val="en-GB"/>
        </w:rPr>
        <w:t xml:space="preserve"> </w:t>
      </w:r>
      <w:r w:rsidR="00107DCC">
        <w:rPr>
          <w:rFonts w:ascii="Arial" w:hAnsi="Arial"/>
          <w:lang w:val="en-GB"/>
        </w:rPr>
        <w:t xml:space="preserve">recommended by </w:t>
      </w:r>
      <w:proofErr w:type="gramStart"/>
      <w:r w:rsidR="00107DCC">
        <w:rPr>
          <w:rFonts w:ascii="Arial" w:hAnsi="Arial"/>
          <w:lang w:val="en-GB"/>
        </w:rPr>
        <w:t>WHO</w:t>
      </w:r>
      <w:proofErr w:type="gramEnd"/>
      <w:r w:rsidR="00107DCC">
        <w:rPr>
          <w:rFonts w:ascii="Arial" w:hAnsi="Arial"/>
          <w:lang w:val="en-GB"/>
        </w:rPr>
        <w:t xml:space="preserve"> for </w:t>
      </w:r>
      <w:r w:rsidR="00107DCC" w:rsidRPr="00774F3B">
        <w:rPr>
          <w:rFonts w:ascii="Arial" w:hAnsi="Arial"/>
          <w:lang w:val="en-GB"/>
        </w:rPr>
        <w:t xml:space="preserve">the </w:t>
      </w:r>
      <w:r w:rsidR="00107DCC">
        <w:rPr>
          <w:rFonts w:ascii="Arial" w:hAnsi="Arial"/>
          <w:lang w:val="en-GB"/>
        </w:rPr>
        <w:t xml:space="preserve">Northern Hemisphere </w:t>
      </w:r>
      <w:r w:rsidR="00107DCC" w:rsidRPr="00774F3B">
        <w:rPr>
          <w:rFonts w:ascii="Arial" w:hAnsi="Arial"/>
          <w:lang w:val="en-GB"/>
        </w:rPr>
        <w:t>season 20</w:t>
      </w:r>
      <w:r w:rsidR="00107DCC">
        <w:rPr>
          <w:rFonts w:ascii="Arial" w:hAnsi="Arial"/>
          <w:lang w:val="en-GB"/>
        </w:rPr>
        <w:t>08</w:t>
      </w:r>
      <w:r w:rsidR="00107DCC" w:rsidRPr="00774F3B">
        <w:rPr>
          <w:rFonts w:ascii="Arial" w:hAnsi="Arial"/>
          <w:lang w:val="en-GB"/>
        </w:rPr>
        <w:t>-20</w:t>
      </w:r>
      <w:r w:rsidR="00107DCC">
        <w:rPr>
          <w:rFonts w:ascii="Arial" w:hAnsi="Arial"/>
          <w:lang w:val="en-GB"/>
        </w:rPr>
        <w:t>09.</w:t>
      </w:r>
    </w:p>
    <w:p w:rsidR="00882490" w:rsidRDefault="00410A71" w:rsidP="00882490">
      <w:pPr>
        <w:tabs>
          <w:tab w:val="left" w:pos="10173"/>
          <w:tab w:val="left" w:pos="10456"/>
        </w:tabs>
        <w:spacing w:line="360" w:lineRule="atLeast"/>
        <w:ind w:right="27"/>
        <w:jc w:val="both"/>
        <w:rPr>
          <w:rFonts w:ascii="Arial" w:hAnsi="Arial"/>
          <w:lang w:val="en-GB"/>
        </w:rPr>
      </w:pPr>
      <w:r>
        <w:rPr>
          <w:rFonts w:ascii="Arial" w:hAnsi="Arial"/>
          <w:vertAlign w:val="superscript"/>
          <w:lang w:val="en-GB"/>
        </w:rPr>
        <w:t>2</w:t>
      </w:r>
      <w:r w:rsidR="00882490" w:rsidRPr="00774F3B">
        <w:rPr>
          <w:rFonts w:ascii="Arial" w:hAnsi="Arial"/>
          <w:lang w:val="en-GB"/>
        </w:rPr>
        <w:t>containing A/H1N1, A/H3N2 and B (Victoria lineage)</w:t>
      </w:r>
    </w:p>
    <w:p w:rsidR="000204CF" w:rsidRPr="00774F3B" w:rsidRDefault="00410A71" w:rsidP="00882490">
      <w:pPr>
        <w:tabs>
          <w:tab w:val="left" w:pos="10173"/>
          <w:tab w:val="left" w:pos="10456"/>
        </w:tabs>
        <w:spacing w:line="360" w:lineRule="atLeast"/>
        <w:ind w:right="27"/>
        <w:jc w:val="both"/>
        <w:rPr>
          <w:rFonts w:ascii="Arial" w:hAnsi="Arial"/>
          <w:lang w:val="en-GB"/>
        </w:rPr>
      </w:pPr>
      <w:r>
        <w:rPr>
          <w:rFonts w:ascii="Arial" w:hAnsi="Arial"/>
          <w:vertAlign w:val="superscript"/>
          <w:lang w:val="en-GB"/>
        </w:rPr>
        <w:t>3</w:t>
      </w:r>
      <w:r w:rsidR="000204CF">
        <w:rPr>
          <w:rFonts w:ascii="Arial" w:hAnsi="Arial"/>
          <w:lang w:val="en-GB"/>
        </w:rPr>
        <w:t xml:space="preserve">containing </w:t>
      </w:r>
      <w:r w:rsidR="000204CF" w:rsidRPr="00774F3B">
        <w:rPr>
          <w:rFonts w:ascii="Arial" w:hAnsi="Arial"/>
          <w:lang w:val="en-GB"/>
        </w:rPr>
        <w:t>A/H1N1, A/H3N2 and B (</w:t>
      </w:r>
      <w:r w:rsidR="000204CF">
        <w:rPr>
          <w:rFonts w:ascii="Arial" w:hAnsi="Arial"/>
          <w:lang w:val="en-GB"/>
        </w:rPr>
        <w:t>Yamagata</w:t>
      </w:r>
      <w:r w:rsidR="000204CF" w:rsidRPr="00774F3B">
        <w:rPr>
          <w:rFonts w:ascii="Arial" w:hAnsi="Arial"/>
          <w:lang w:val="en-GB"/>
        </w:rPr>
        <w:t xml:space="preserve"> lineage)</w:t>
      </w:r>
    </w:p>
    <w:p w:rsidR="00912B2E" w:rsidRPr="00774F3B" w:rsidRDefault="00410A71" w:rsidP="00882490">
      <w:pPr>
        <w:tabs>
          <w:tab w:val="left" w:pos="10173"/>
          <w:tab w:val="left" w:pos="10456"/>
        </w:tabs>
        <w:spacing w:line="360" w:lineRule="atLeast"/>
        <w:ind w:right="27"/>
        <w:jc w:val="both"/>
        <w:rPr>
          <w:rFonts w:ascii="Arial" w:hAnsi="Arial"/>
          <w:lang w:val="en-GB"/>
        </w:rPr>
      </w:pPr>
      <w:r>
        <w:rPr>
          <w:rFonts w:ascii="Arial" w:hAnsi="Arial"/>
          <w:vertAlign w:val="superscript"/>
          <w:lang w:val="en-GB"/>
        </w:rPr>
        <w:t>4</w:t>
      </w:r>
      <w:r w:rsidR="0028449F">
        <w:rPr>
          <w:rFonts w:ascii="Arial" w:hAnsi="Arial"/>
          <w:lang w:val="en-GB"/>
        </w:rPr>
        <w:t xml:space="preserve">B strain not included in </w:t>
      </w:r>
      <w:r w:rsidR="0062350F">
        <w:rPr>
          <w:rFonts w:ascii="Arial" w:hAnsi="Arial"/>
          <w:lang w:val="en-GB"/>
        </w:rPr>
        <w:t xml:space="preserve">comparator </w:t>
      </w:r>
      <w:r w:rsidR="0028449F">
        <w:rPr>
          <w:rFonts w:ascii="Arial" w:hAnsi="Arial"/>
          <w:lang w:val="en-GB"/>
        </w:rPr>
        <w:t>TIV vaccine.  I</w:t>
      </w:r>
      <w:r w:rsidR="00C824B2">
        <w:rPr>
          <w:rFonts w:ascii="Arial" w:hAnsi="Arial"/>
          <w:lang w:val="en-GB"/>
        </w:rPr>
        <w:t xml:space="preserve">mmunological responses to </w:t>
      </w:r>
      <w:r w:rsidR="0028449F">
        <w:rPr>
          <w:rFonts w:ascii="Arial" w:hAnsi="Arial"/>
          <w:lang w:val="en-GB"/>
        </w:rPr>
        <w:t xml:space="preserve">the </w:t>
      </w:r>
      <w:r w:rsidR="00C824B2">
        <w:rPr>
          <w:rFonts w:ascii="Arial" w:hAnsi="Arial"/>
          <w:lang w:val="en-GB"/>
        </w:rPr>
        <w:t xml:space="preserve">B strain not contained in the TIV are indicative </w:t>
      </w:r>
      <w:r w:rsidR="003B19D6">
        <w:rPr>
          <w:rFonts w:ascii="Arial" w:hAnsi="Arial"/>
          <w:lang w:val="en-GB"/>
        </w:rPr>
        <w:t>of</w:t>
      </w:r>
      <w:r w:rsidR="00C824B2">
        <w:rPr>
          <w:rFonts w:ascii="Arial" w:hAnsi="Arial"/>
          <w:lang w:val="en-GB"/>
        </w:rPr>
        <w:t xml:space="preserve"> the non-naive status of most </w:t>
      </w:r>
      <w:r w:rsidR="00822070">
        <w:rPr>
          <w:rFonts w:ascii="Arial" w:hAnsi="Arial"/>
          <w:lang w:val="en-GB"/>
        </w:rPr>
        <w:t>individuals</w:t>
      </w:r>
      <w:r w:rsidR="00C824B2">
        <w:rPr>
          <w:rFonts w:ascii="Arial" w:hAnsi="Arial"/>
          <w:lang w:val="en-GB"/>
        </w:rPr>
        <w:t xml:space="preserve"> from prior vaccination or exposure to circulating strains.</w:t>
      </w:r>
    </w:p>
    <w:p w:rsidR="00882490" w:rsidRDefault="00882490" w:rsidP="00882490">
      <w:pPr>
        <w:tabs>
          <w:tab w:val="left" w:pos="10173"/>
          <w:tab w:val="left" w:pos="10456"/>
        </w:tabs>
        <w:spacing w:line="360" w:lineRule="atLeast"/>
        <w:ind w:right="27"/>
        <w:jc w:val="both"/>
        <w:rPr>
          <w:rFonts w:ascii="Arial" w:hAnsi="Arial"/>
          <w:sz w:val="22"/>
          <w:lang w:val="en-GB"/>
        </w:rPr>
      </w:pPr>
    </w:p>
    <w:p w:rsidR="00882490" w:rsidRPr="00882490" w:rsidRDefault="00882490" w:rsidP="00882490">
      <w:pPr>
        <w:tabs>
          <w:tab w:val="left" w:pos="10173"/>
          <w:tab w:val="left" w:pos="10456"/>
        </w:tabs>
        <w:spacing w:line="360" w:lineRule="atLeast"/>
        <w:ind w:right="27"/>
        <w:jc w:val="both"/>
        <w:rPr>
          <w:rFonts w:ascii="Arial" w:hAnsi="Arial"/>
          <w:sz w:val="22"/>
          <w:lang w:val="en-GB"/>
        </w:rPr>
      </w:pPr>
      <w:r w:rsidRPr="00882490">
        <w:rPr>
          <w:rFonts w:ascii="Arial" w:hAnsi="Arial"/>
          <w:sz w:val="22"/>
          <w:lang w:val="en-GB"/>
        </w:rPr>
        <w:t xml:space="preserve">Post-vaccination seroprotection rates (Day 21 reciprocal titer of ≥ 40) for Fluarix Tetra were 91.3% against A/H1N1, 96.8% against A/H3N2, 98.8% against B (Victoria) and </w:t>
      </w:r>
      <w:r w:rsidR="002737E1">
        <w:rPr>
          <w:rFonts w:ascii="Arial" w:hAnsi="Arial"/>
          <w:sz w:val="22"/>
          <w:lang w:val="en-GB"/>
        </w:rPr>
        <w:t>99.1</w:t>
      </w:r>
      <w:r w:rsidRPr="00882490">
        <w:rPr>
          <w:rFonts w:ascii="Arial" w:hAnsi="Arial"/>
          <w:sz w:val="22"/>
          <w:lang w:val="en-GB"/>
        </w:rPr>
        <w:t>% against B (Yamagata).</w:t>
      </w:r>
    </w:p>
    <w:p w:rsidR="00882490" w:rsidRDefault="00882490" w:rsidP="00882490">
      <w:pPr>
        <w:tabs>
          <w:tab w:val="left" w:pos="10173"/>
          <w:tab w:val="left" w:pos="10456"/>
        </w:tabs>
        <w:spacing w:line="360" w:lineRule="atLeast"/>
        <w:ind w:right="27"/>
        <w:jc w:val="both"/>
        <w:rPr>
          <w:rFonts w:ascii="Arial" w:hAnsi="Arial"/>
          <w:sz w:val="22"/>
          <w:lang w:val="en-GB"/>
        </w:rPr>
      </w:pPr>
    </w:p>
    <w:p w:rsidR="00882490" w:rsidRDefault="00882490" w:rsidP="00882490">
      <w:pPr>
        <w:tabs>
          <w:tab w:val="left" w:pos="10173"/>
          <w:tab w:val="left" w:pos="10456"/>
        </w:tabs>
        <w:spacing w:line="360" w:lineRule="atLeast"/>
        <w:ind w:right="27"/>
        <w:jc w:val="both"/>
        <w:rPr>
          <w:rFonts w:ascii="Arial" w:hAnsi="Arial"/>
          <w:sz w:val="22"/>
          <w:lang w:val="en-GB"/>
        </w:rPr>
      </w:pPr>
      <w:r w:rsidRPr="00882490">
        <w:rPr>
          <w:rFonts w:ascii="Arial" w:hAnsi="Arial"/>
          <w:sz w:val="22"/>
          <w:lang w:val="en-GB"/>
        </w:rPr>
        <w:lastRenderedPageBreak/>
        <w:t>In clinical study D-QIV-001 (vaccine composition of 2007-2008 season), post-vaccination seroprotection rates for Fluarix Tetra were 92.3% against A/H1N1, 97.1% against A/H3N2, 97.1% against B (Victoria) and 98.1% against B (Yamagata).</w:t>
      </w:r>
      <w:r w:rsidR="00822070">
        <w:rPr>
          <w:rFonts w:ascii="Arial" w:hAnsi="Arial"/>
          <w:sz w:val="22"/>
          <w:lang w:val="en-GB"/>
        </w:rPr>
        <w:t xml:space="preserve"> Seroprotection was defined as the percentage of individuals with a serum HI titre </w:t>
      </w:r>
      <w:r w:rsidR="00822070">
        <w:rPr>
          <w:rFonts w:ascii="Arial" w:hAnsi="Arial" w:cs="Arial"/>
          <w:sz w:val="22"/>
          <w:lang w:val="en-GB"/>
        </w:rPr>
        <w:t>≥</w:t>
      </w:r>
      <w:r w:rsidR="00822070">
        <w:rPr>
          <w:rFonts w:ascii="Arial" w:hAnsi="Arial"/>
          <w:sz w:val="22"/>
          <w:lang w:val="en-GB"/>
        </w:rPr>
        <w:t xml:space="preserve"> 1:40.</w:t>
      </w:r>
    </w:p>
    <w:p w:rsidR="00882490" w:rsidRDefault="00882490" w:rsidP="00882490">
      <w:pPr>
        <w:tabs>
          <w:tab w:val="left" w:pos="10173"/>
          <w:tab w:val="left" w:pos="10456"/>
        </w:tabs>
        <w:spacing w:line="360" w:lineRule="atLeast"/>
        <w:ind w:right="27"/>
        <w:jc w:val="both"/>
        <w:rPr>
          <w:rFonts w:ascii="Arial" w:hAnsi="Arial"/>
          <w:sz w:val="22"/>
          <w:lang w:val="en-GB"/>
        </w:rPr>
      </w:pPr>
    </w:p>
    <w:p w:rsidR="00882490" w:rsidRPr="00882490" w:rsidRDefault="00882490" w:rsidP="00882490">
      <w:pPr>
        <w:tabs>
          <w:tab w:val="left" w:pos="10173"/>
          <w:tab w:val="left" w:pos="10456"/>
        </w:tabs>
        <w:spacing w:line="360" w:lineRule="atLeast"/>
        <w:ind w:right="27"/>
        <w:jc w:val="both"/>
        <w:rPr>
          <w:rFonts w:ascii="Arial" w:hAnsi="Arial"/>
          <w:sz w:val="22"/>
          <w:u w:val="single"/>
          <w:lang w:val="en-GB"/>
        </w:rPr>
      </w:pPr>
      <w:r w:rsidRPr="00882490">
        <w:rPr>
          <w:rFonts w:ascii="Arial" w:hAnsi="Arial"/>
          <w:sz w:val="22"/>
          <w:u w:val="single"/>
          <w:lang w:val="en-GB"/>
        </w:rPr>
        <w:t>Children 3-17 years of age</w:t>
      </w:r>
    </w:p>
    <w:p w:rsidR="00882490" w:rsidRDefault="00882490" w:rsidP="00882490">
      <w:pPr>
        <w:tabs>
          <w:tab w:val="left" w:pos="10173"/>
          <w:tab w:val="left" w:pos="10456"/>
        </w:tabs>
        <w:spacing w:line="360" w:lineRule="atLeast"/>
        <w:ind w:right="27"/>
        <w:jc w:val="both"/>
        <w:rPr>
          <w:rFonts w:ascii="Arial" w:hAnsi="Arial"/>
          <w:sz w:val="22"/>
          <w:lang w:val="en-GB"/>
        </w:rPr>
      </w:pPr>
      <w:r w:rsidRPr="00882490">
        <w:rPr>
          <w:rFonts w:ascii="Arial" w:hAnsi="Arial"/>
          <w:sz w:val="22"/>
          <w:lang w:val="en-GB"/>
        </w:rPr>
        <w:t xml:space="preserve">In clinical study (D-QIV-003), </w:t>
      </w:r>
      <w:r w:rsidR="0009565C">
        <w:rPr>
          <w:rFonts w:ascii="Arial" w:hAnsi="Arial"/>
          <w:sz w:val="22"/>
          <w:lang w:val="en-GB"/>
        </w:rPr>
        <w:t xml:space="preserve">the </w:t>
      </w:r>
      <w:r w:rsidR="00711536">
        <w:rPr>
          <w:rFonts w:ascii="Arial" w:hAnsi="Arial"/>
          <w:sz w:val="22"/>
          <w:lang w:val="en-GB"/>
        </w:rPr>
        <w:t xml:space="preserve">evaluable population was </w:t>
      </w:r>
      <w:r w:rsidRPr="00882490">
        <w:rPr>
          <w:rFonts w:ascii="Arial" w:hAnsi="Arial"/>
          <w:sz w:val="22"/>
          <w:lang w:val="en-GB"/>
        </w:rPr>
        <w:t xml:space="preserve">approximately </w:t>
      </w:r>
      <w:r w:rsidR="006029CC">
        <w:rPr>
          <w:rFonts w:ascii="Arial" w:hAnsi="Arial"/>
          <w:sz w:val="22"/>
          <w:lang w:val="en-GB"/>
        </w:rPr>
        <w:t>8</w:t>
      </w:r>
      <w:r w:rsidRPr="00882490">
        <w:rPr>
          <w:rFonts w:ascii="Arial" w:hAnsi="Arial"/>
          <w:sz w:val="22"/>
          <w:lang w:val="en-GB"/>
        </w:rPr>
        <w:t xml:space="preserve">00 children from 3-17 years of age </w:t>
      </w:r>
      <w:r w:rsidR="00711536">
        <w:rPr>
          <w:rFonts w:ascii="Arial" w:hAnsi="Arial"/>
          <w:sz w:val="22"/>
          <w:lang w:val="en-GB"/>
        </w:rPr>
        <w:t xml:space="preserve">who </w:t>
      </w:r>
      <w:r w:rsidRPr="00882490">
        <w:rPr>
          <w:rFonts w:ascii="Arial" w:hAnsi="Arial"/>
          <w:sz w:val="22"/>
          <w:lang w:val="en-GB"/>
        </w:rPr>
        <w:t>received Fluarix Tetra</w:t>
      </w:r>
      <w:r w:rsidR="006029CC">
        <w:rPr>
          <w:rFonts w:ascii="Arial" w:hAnsi="Arial"/>
          <w:sz w:val="22"/>
          <w:lang w:val="en-GB"/>
        </w:rPr>
        <w:t xml:space="preserve"> or</w:t>
      </w:r>
      <w:r w:rsidRPr="00882490">
        <w:rPr>
          <w:rFonts w:ascii="Arial" w:hAnsi="Arial"/>
          <w:sz w:val="22"/>
          <w:lang w:val="en-GB"/>
        </w:rPr>
        <w:t xml:space="preserve"> </w:t>
      </w:r>
      <w:r w:rsidR="00235829">
        <w:rPr>
          <w:rFonts w:ascii="Arial" w:hAnsi="Arial"/>
          <w:sz w:val="22"/>
          <w:lang w:val="en-GB"/>
        </w:rPr>
        <w:t>TIV-1 (</w:t>
      </w:r>
      <w:r w:rsidRPr="00410A71">
        <w:rPr>
          <w:rFonts w:ascii="Arial" w:hAnsi="Arial"/>
          <w:sz w:val="22"/>
          <w:lang w:val="en-GB"/>
        </w:rPr>
        <w:t>Fluarix</w:t>
      </w:r>
      <w:r w:rsidR="00235829" w:rsidRPr="008F5C5D">
        <w:rPr>
          <w:rFonts w:ascii="Arial" w:hAnsi="Arial" w:cs="Arial"/>
          <w:sz w:val="22"/>
          <w:szCs w:val="22"/>
          <w:lang w:val="en-GB"/>
        </w:rPr>
        <w:t>)</w:t>
      </w:r>
      <w:r w:rsidR="006029CC" w:rsidRPr="008F5C5D">
        <w:rPr>
          <w:rFonts w:ascii="Arial" w:hAnsi="Arial" w:cs="Arial"/>
          <w:sz w:val="22"/>
          <w:szCs w:val="22"/>
          <w:lang w:val="en-GB"/>
        </w:rPr>
        <w:t xml:space="preserve">, and approximately 500 children </w:t>
      </w:r>
      <w:r w:rsidR="00711536" w:rsidRPr="008F5C5D">
        <w:rPr>
          <w:rFonts w:ascii="Arial" w:hAnsi="Arial" w:cs="Arial"/>
          <w:sz w:val="22"/>
          <w:szCs w:val="22"/>
          <w:lang w:val="en-GB"/>
        </w:rPr>
        <w:t xml:space="preserve">who </w:t>
      </w:r>
      <w:r w:rsidR="006029CC" w:rsidRPr="008F5C5D">
        <w:rPr>
          <w:rFonts w:ascii="Arial" w:hAnsi="Arial" w:cs="Arial"/>
          <w:sz w:val="22"/>
          <w:szCs w:val="22"/>
          <w:lang w:val="en-GB"/>
        </w:rPr>
        <w:t xml:space="preserve">received </w:t>
      </w:r>
      <w:r w:rsidR="00235829" w:rsidRPr="008F5C5D">
        <w:rPr>
          <w:rFonts w:ascii="Arial" w:hAnsi="Arial" w:cs="Arial"/>
          <w:sz w:val="22"/>
          <w:szCs w:val="22"/>
          <w:lang w:val="en-GB"/>
        </w:rPr>
        <w:t>TIV-2</w:t>
      </w:r>
      <w:r w:rsidR="00B279A6" w:rsidRPr="008F5C5D">
        <w:rPr>
          <w:rFonts w:ascii="Arial" w:hAnsi="Arial" w:cs="Arial"/>
          <w:sz w:val="22"/>
          <w:szCs w:val="22"/>
          <w:lang w:val="en-GB"/>
        </w:rPr>
        <w:t>;</w:t>
      </w:r>
      <w:r w:rsidR="00B279A6" w:rsidRPr="008F5C5D">
        <w:rPr>
          <w:rFonts w:ascii="Arial" w:hAnsi="Arial"/>
          <w:sz w:val="22"/>
          <w:szCs w:val="22"/>
          <w:lang w:val="en-GB"/>
        </w:rPr>
        <w:t xml:space="preserve"> one dose for primed </w:t>
      </w:r>
      <w:r w:rsidR="00822070">
        <w:rPr>
          <w:rFonts w:ascii="Arial" w:hAnsi="Arial"/>
          <w:sz w:val="22"/>
          <w:szCs w:val="22"/>
          <w:lang w:val="en-GB"/>
        </w:rPr>
        <w:t>individuals</w:t>
      </w:r>
      <w:r w:rsidR="00B279A6" w:rsidRPr="008F5C5D">
        <w:rPr>
          <w:rFonts w:ascii="Arial" w:hAnsi="Arial"/>
          <w:sz w:val="22"/>
          <w:szCs w:val="22"/>
          <w:lang w:val="en-GB"/>
        </w:rPr>
        <w:t xml:space="preserve"> o</w:t>
      </w:r>
      <w:r w:rsidR="00B279A6" w:rsidRPr="00882490">
        <w:rPr>
          <w:rFonts w:ascii="Arial" w:hAnsi="Arial"/>
          <w:sz w:val="22"/>
          <w:lang w:val="en-GB"/>
        </w:rPr>
        <w:t>r two doses</w:t>
      </w:r>
      <w:r w:rsidR="00B279A6">
        <w:rPr>
          <w:rFonts w:ascii="Arial" w:hAnsi="Arial"/>
          <w:sz w:val="22"/>
          <w:lang w:val="en-GB"/>
        </w:rPr>
        <w:t xml:space="preserve"> for </w:t>
      </w:r>
      <w:r w:rsidR="00B4216E">
        <w:rPr>
          <w:rFonts w:ascii="Arial" w:hAnsi="Arial"/>
          <w:sz w:val="22"/>
          <w:lang w:val="en-GB"/>
        </w:rPr>
        <w:t>naive</w:t>
      </w:r>
      <w:r w:rsidR="00B279A6">
        <w:rPr>
          <w:rFonts w:ascii="Arial" w:hAnsi="Arial"/>
          <w:sz w:val="22"/>
          <w:lang w:val="en-GB"/>
        </w:rPr>
        <w:t xml:space="preserve"> </w:t>
      </w:r>
      <w:r w:rsidR="00822070">
        <w:rPr>
          <w:rFonts w:ascii="Arial" w:hAnsi="Arial"/>
          <w:sz w:val="22"/>
          <w:lang w:val="en-GB"/>
        </w:rPr>
        <w:t>individuals</w:t>
      </w:r>
      <w:r w:rsidRPr="00882490">
        <w:rPr>
          <w:rFonts w:ascii="Arial" w:hAnsi="Arial"/>
          <w:sz w:val="22"/>
          <w:lang w:val="en-GB"/>
        </w:rPr>
        <w:t>.</w:t>
      </w:r>
    </w:p>
    <w:p w:rsidR="00882490" w:rsidRPr="00882490" w:rsidRDefault="00882490" w:rsidP="00882490">
      <w:pPr>
        <w:tabs>
          <w:tab w:val="left" w:pos="10173"/>
          <w:tab w:val="left" w:pos="10456"/>
        </w:tabs>
        <w:spacing w:line="360" w:lineRule="atLeast"/>
        <w:ind w:right="27"/>
        <w:jc w:val="both"/>
        <w:rPr>
          <w:rFonts w:ascii="Arial" w:hAnsi="Arial"/>
          <w:sz w:val="22"/>
          <w:lang w:val="en-GB"/>
        </w:rPr>
      </w:pPr>
    </w:p>
    <w:p w:rsidR="00882490" w:rsidRDefault="004437FD" w:rsidP="00882490">
      <w:pPr>
        <w:tabs>
          <w:tab w:val="left" w:pos="10173"/>
          <w:tab w:val="left" w:pos="10456"/>
        </w:tabs>
        <w:spacing w:line="0" w:lineRule="atLeast"/>
        <w:ind w:right="28"/>
        <w:jc w:val="both"/>
        <w:rPr>
          <w:rFonts w:ascii="Arial" w:hAnsi="Arial"/>
          <w:sz w:val="22"/>
          <w:lang w:val="en-GB"/>
        </w:rPr>
      </w:pPr>
      <w:r>
        <w:rPr>
          <w:rFonts w:ascii="Arial" w:hAnsi="Arial"/>
          <w:b/>
          <w:sz w:val="22"/>
          <w:lang w:val="en-GB"/>
        </w:rPr>
        <w:t>Table 2</w:t>
      </w:r>
      <w:r>
        <w:rPr>
          <w:rFonts w:ascii="Arial" w:hAnsi="Arial"/>
          <w:sz w:val="22"/>
          <w:lang w:val="en-GB"/>
        </w:rPr>
        <w:t xml:space="preserve">: </w:t>
      </w:r>
      <w:r w:rsidR="00882490" w:rsidRPr="00882490">
        <w:rPr>
          <w:rFonts w:ascii="Arial" w:hAnsi="Arial"/>
          <w:sz w:val="22"/>
          <w:lang w:val="en-GB"/>
        </w:rPr>
        <w:t>Post-vaccination GMT and seroconversion rates</w:t>
      </w:r>
      <w:r>
        <w:rPr>
          <w:rFonts w:ascii="Arial" w:hAnsi="Arial"/>
          <w:sz w:val="22"/>
          <w:lang w:val="en-GB"/>
        </w:rPr>
        <w:t xml:space="preserve"> in clinical study </w:t>
      </w:r>
      <w:r w:rsidRPr="00882490">
        <w:rPr>
          <w:rFonts w:ascii="Arial" w:hAnsi="Arial"/>
          <w:sz w:val="22"/>
          <w:lang w:val="en-GB"/>
        </w:rPr>
        <w:t>D-QIV-003</w:t>
      </w:r>
      <w:r w:rsidR="00882490" w:rsidRPr="00882490">
        <w:rPr>
          <w:rFonts w:ascii="Arial" w:hAnsi="Arial"/>
          <w:sz w:val="22"/>
          <w:lang w:val="en-GB"/>
        </w:rPr>
        <w:t xml:space="preserve"> </w:t>
      </w:r>
    </w:p>
    <w:tbl>
      <w:tblPr>
        <w:tblW w:w="90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5"/>
        <w:gridCol w:w="2382"/>
        <w:gridCol w:w="2185"/>
        <w:gridCol w:w="2130"/>
      </w:tblGrid>
      <w:tr w:rsidR="0045317D" w:rsidRPr="00882490" w:rsidTr="00B1220E">
        <w:tc>
          <w:tcPr>
            <w:tcW w:w="2345" w:type="dxa"/>
          </w:tcPr>
          <w:p w:rsidR="0045317D" w:rsidRPr="00882490" w:rsidRDefault="0045317D" w:rsidP="005A317C">
            <w:pPr>
              <w:tabs>
                <w:tab w:val="left" w:pos="567"/>
              </w:tabs>
              <w:jc w:val="center"/>
              <w:rPr>
                <w:rFonts w:ascii="Arial" w:hAnsi="Arial" w:cs="Arial"/>
                <w:color w:val="000000"/>
                <w:szCs w:val="22"/>
              </w:rPr>
            </w:pPr>
            <w:r w:rsidRPr="00882490">
              <w:rPr>
                <w:rFonts w:ascii="Arial" w:hAnsi="Arial" w:cs="Arial"/>
                <w:b/>
                <w:color w:val="000000"/>
                <w:szCs w:val="22"/>
              </w:rPr>
              <w:t>Children 3 years to 17 years of age</w:t>
            </w:r>
          </w:p>
        </w:tc>
        <w:tc>
          <w:tcPr>
            <w:tcW w:w="2382" w:type="dxa"/>
          </w:tcPr>
          <w:p w:rsidR="0045317D" w:rsidRPr="00882490" w:rsidRDefault="0045317D" w:rsidP="005A317C">
            <w:pPr>
              <w:tabs>
                <w:tab w:val="left" w:pos="567"/>
              </w:tabs>
              <w:jc w:val="center"/>
              <w:rPr>
                <w:rFonts w:ascii="Arial" w:hAnsi="Arial" w:cs="Arial"/>
                <w:color w:val="000000"/>
                <w:szCs w:val="22"/>
              </w:rPr>
            </w:pPr>
            <w:r w:rsidRPr="00882490">
              <w:rPr>
                <w:rFonts w:ascii="Arial" w:hAnsi="Arial" w:cs="Arial"/>
                <w:color w:val="000000"/>
                <w:szCs w:val="22"/>
              </w:rPr>
              <w:t>Fluarix Tetra</w:t>
            </w:r>
            <w:r w:rsidR="003742B4" w:rsidRPr="00882490">
              <w:rPr>
                <w:rFonts w:ascii="Arial" w:hAnsi="Arial" w:cs="Arial"/>
                <w:color w:val="000000"/>
                <w:szCs w:val="22"/>
                <w:vertAlign w:val="superscript"/>
              </w:rPr>
              <w:t>1</w:t>
            </w:r>
          </w:p>
          <w:p w:rsidR="0045317D" w:rsidRPr="00882490" w:rsidRDefault="0045317D" w:rsidP="005A317C">
            <w:pPr>
              <w:tabs>
                <w:tab w:val="left" w:pos="567"/>
              </w:tabs>
              <w:jc w:val="center"/>
              <w:rPr>
                <w:rFonts w:ascii="Arial" w:hAnsi="Arial" w:cs="Arial"/>
                <w:color w:val="000000"/>
                <w:szCs w:val="22"/>
              </w:rPr>
            </w:pPr>
            <w:r w:rsidRPr="00882490">
              <w:rPr>
                <w:rFonts w:ascii="Arial" w:hAnsi="Arial" w:cs="Arial"/>
                <w:color w:val="000000"/>
                <w:szCs w:val="22"/>
              </w:rPr>
              <w:t>N=791</w:t>
            </w:r>
          </w:p>
        </w:tc>
        <w:tc>
          <w:tcPr>
            <w:tcW w:w="2185" w:type="dxa"/>
          </w:tcPr>
          <w:p w:rsidR="0045317D" w:rsidRPr="00882490" w:rsidRDefault="00410A71" w:rsidP="005A317C">
            <w:pPr>
              <w:tabs>
                <w:tab w:val="left" w:pos="567"/>
              </w:tabs>
              <w:jc w:val="center"/>
              <w:rPr>
                <w:rFonts w:ascii="Arial" w:hAnsi="Arial" w:cs="Arial"/>
                <w:color w:val="000000"/>
                <w:szCs w:val="22"/>
              </w:rPr>
            </w:pPr>
            <w:r>
              <w:rPr>
                <w:rFonts w:ascii="Arial" w:hAnsi="Arial" w:cs="Arial"/>
                <w:color w:val="000000"/>
                <w:szCs w:val="22"/>
              </w:rPr>
              <w:t>TIV-1 (</w:t>
            </w:r>
            <w:r w:rsidR="0045317D" w:rsidRPr="00882490">
              <w:rPr>
                <w:rFonts w:ascii="Arial" w:hAnsi="Arial" w:cs="Arial"/>
                <w:color w:val="000000"/>
                <w:szCs w:val="22"/>
              </w:rPr>
              <w:t>Fluarix</w:t>
            </w:r>
            <w:r>
              <w:rPr>
                <w:rFonts w:ascii="Arial" w:hAnsi="Arial" w:cs="Arial"/>
                <w:color w:val="000000"/>
                <w:szCs w:val="22"/>
              </w:rPr>
              <w:t>)</w:t>
            </w:r>
            <w:r w:rsidR="003742B4">
              <w:rPr>
                <w:rFonts w:ascii="Arial" w:hAnsi="Arial" w:cs="Arial"/>
                <w:color w:val="000000"/>
                <w:szCs w:val="22"/>
                <w:vertAlign w:val="superscript"/>
              </w:rPr>
              <w:t>2</w:t>
            </w:r>
          </w:p>
          <w:p w:rsidR="0045317D" w:rsidRPr="00882490" w:rsidRDefault="0045317D" w:rsidP="005A317C">
            <w:pPr>
              <w:tabs>
                <w:tab w:val="left" w:pos="567"/>
              </w:tabs>
              <w:jc w:val="center"/>
              <w:rPr>
                <w:rFonts w:ascii="Arial" w:hAnsi="Arial" w:cs="Arial"/>
                <w:color w:val="000000"/>
                <w:szCs w:val="22"/>
              </w:rPr>
            </w:pPr>
            <w:r w:rsidRPr="00882490">
              <w:rPr>
                <w:rFonts w:ascii="Arial" w:hAnsi="Arial" w:cs="Arial"/>
                <w:color w:val="000000"/>
                <w:szCs w:val="22"/>
              </w:rPr>
              <w:t>N=818</w:t>
            </w:r>
          </w:p>
        </w:tc>
        <w:tc>
          <w:tcPr>
            <w:tcW w:w="2130" w:type="dxa"/>
          </w:tcPr>
          <w:p w:rsidR="0045317D" w:rsidRDefault="0045317D" w:rsidP="0045317D">
            <w:pPr>
              <w:tabs>
                <w:tab w:val="left" w:pos="567"/>
              </w:tabs>
              <w:jc w:val="center"/>
              <w:rPr>
                <w:rFonts w:ascii="Arial" w:hAnsi="Arial" w:cs="Arial"/>
                <w:color w:val="000000"/>
                <w:szCs w:val="22"/>
              </w:rPr>
            </w:pPr>
            <w:r>
              <w:rPr>
                <w:rFonts w:ascii="Arial" w:hAnsi="Arial" w:cs="Arial"/>
                <w:color w:val="000000"/>
                <w:szCs w:val="22"/>
              </w:rPr>
              <w:t>TIV-2</w:t>
            </w:r>
            <w:r w:rsidR="003742B4">
              <w:rPr>
                <w:rFonts w:ascii="Arial" w:hAnsi="Arial" w:cs="Arial"/>
                <w:color w:val="000000"/>
                <w:szCs w:val="22"/>
                <w:vertAlign w:val="superscript"/>
              </w:rPr>
              <w:t>3</w:t>
            </w:r>
          </w:p>
          <w:p w:rsidR="0045317D" w:rsidRPr="00882490" w:rsidRDefault="0045317D" w:rsidP="0045317D">
            <w:pPr>
              <w:tabs>
                <w:tab w:val="left" w:pos="567"/>
              </w:tabs>
              <w:jc w:val="center"/>
              <w:rPr>
                <w:rFonts w:ascii="Arial" w:hAnsi="Arial" w:cs="Arial"/>
                <w:color w:val="000000"/>
                <w:szCs w:val="22"/>
              </w:rPr>
            </w:pPr>
            <w:r>
              <w:rPr>
                <w:rFonts w:ascii="Arial" w:hAnsi="Arial" w:cs="Arial"/>
                <w:color w:val="000000"/>
                <w:szCs w:val="22"/>
              </w:rPr>
              <w:t>N=534</w:t>
            </w:r>
          </w:p>
        </w:tc>
      </w:tr>
      <w:tr w:rsidR="00B1220E" w:rsidRPr="00882490" w:rsidTr="00D467CF">
        <w:tc>
          <w:tcPr>
            <w:tcW w:w="2345" w:type="dxa"/>
          </w:tcPr>
          <w:p w:rsidR="00B1220E" w:rsidRPr="00882490" w:rsidRDefault="00B1220E" w:rsidP="005A317C">
            <w:pPr>
              <w:tabs>
                <w:tab w:val="left" w:pos="567"/>
              </w:tabs>
              <w:rPr>
                <w:rFonts w:ascii="Arial" w:hAnsi="Arial" w:cs="Arial"/>
                <w:b/>
                <w:color w:val="000000"/>
                <w:szCs w:val="22"/>
              </w:rPr>
            </w:pPr>
          </w:p>
        </w:tc>
        <w:tc>
          <w:tcPr>
            <w:tcW w:w="6697" w:type="dxa"/>
            <w:gridSpan w:val="3"/>
          </w:tcPr>
          <w:p w:rsidR="00B1220E" w:rsidRPr="00882490" w:rsidRDefault="00B1220E" w:rsidP="005A317C">
            <w:pPr>
              <w:tabs>
                <w:tab w:val="left" w:pos="567"/>
              </w:tabs>
              <w:jc w:val="center"/>
              <w:rPr>
                <w:rFonts w:ascii="Arial" w:hAnsi="Arial" w:cs="Arial"/>
                <w:b/>
                <w:color w:val="000000"/>
                <w:szCs w:val="22"/>
              </w:rPr>
            </w:pPr>
            <w:r w:rsidRPr="00882490">
              <w:rPr>
                <w:rFonts w:ascii="Arial" w:hAnsi="Arial" w:cs="Arial"/>
                <w:b/>
                <w:color w:val="000000"/>
                <w:szCs w:val="22"/>
              </w:rPr>
              <w:t>GMT (95% confidence interval)</w:t>
            </w:r>
          </w:p>
        </w:tc>
      </w:tr>
      <w:tr w:rsidR="0045317D" w:rsidRPr="00882490" w:rsidTr="00B1220E">
        <w:tc>
          <w:tcPr>
            <w:tcW w:w="2345" w:type="dxa"/>
          </w:tcPr>
          <w:p w:rsidR="0045317D" w:rsidRPr="00882490" w:rsidRDefault="0045317D" w:rsidP="005A317C">
            <w:pPr>
              <w:tabs>
                <w:tab w:val="left" w:pos="142"/>
              </w:tabs>
              <w:rPr>
                <w:rFonts w:ascii="Arial" w:hAnsi="Arial" w:cs="Arial"/>
                <w:b/>
                <w:color w:val="000000"/>
                <w:szCs w:val="22"/>
              </w:rPr>
            </w:pPr>
            <w:r w:rsidRPr="00882490">
              <w:rPr>
                <w:rFonts w:ascii="Arial" w:hAnsi="Arial" w:cs="Arial"/>
                <w:b/>
                <w:color w:val="000000"/>
                <w:szCs w:val="22"/>
              </w:rPr>
              <w:tab/>
              <w:t>A/H1N1</w:t>
            </w:r>
          </w:p>
        </w:tc>
        <w:tc>
          <w:tcPr>
            <w:tcW w:w="2382" w:type="dxa"/>
          </w:tcPr>
          <w:p w:rsidR="0045317D" w:rsidRPr="00882490" w:rsidRDefault="0045317D" w:rsidP="005A317C">
            <w:pPr>
              <w:tabs>
                <w:tab w:val="left" w:pos="567"/>
              </w:tabs>
              <w:jc w:val="center"/>
              <w:rPr>
                <w:rFonts w:ascii="Arial" w:hAnsi="Arial" w:cs="Arial"/>
                <w:color w:val="000000"/>
                <w:szCs w:val="22"/>
              </w:rPr>
            </w:pPr>
            <w:r w:rsidRPr="00882490">
              <w:rPr>
                <w:rFonts w:ascii="Arial" w:hAnsi="Arial" w:cs="Arial"/>
                <w:color w:val="000000"/>
                <w:szCs w:val="22"/>
              </w:rPr>
              <w:t>386.2 (357.3;417.4)</w:t>
            </w:r>
          </w:p>
        </w:tc>
        <w:tc>
          <w:tcPr>
            <w:tcW w:w="2185" w:type="dxa"/>
          </w:tcPr>
          <w:p w:rsidR="0045317D" w:rsidRPr="00882490" w:rsidRDefault="0045317D" w:rsidP="005A317C">
            <w:pPr>
              <w:tabs>
                <w:tab w:val="left" w:pos="567"/>
              </w:tabs>
              <w:jc w:val="center"/>
              <w:rPr>
                <w:rFonts w:ascii="Arial" w:hAnsi="Arial" w:cs="Arial"/>
                <w:color w:val="000000"/>
                <w:szCs w:val="22"/>
              </w:rPr>
            </w:pPr>
            <w:r w:rsidRPr="00882490">
              <w:rPr>
                <w:rFonts w:ascii="Arial" w:hAnsi="Arial" w:cs="Arial"/>
                <w:color w:val="000000"/>
                <w:szCs w:val="22"/>
              </w:rPr>
              <w:t>433.2 (401.0;468.0)</w:t>
            </w:r>
          </w:p>
        </w:tc>
        <w:tc>
          <w:tcPr>
            <w:tcW w:w="2130" w:type="dxa"/>
          </w:tcPr>
          <w:p w:rsidR="0045317D" w:rsidRPr="00B1220E" w:rsidRDefault="00B1220E" w:rsidP="005A317C">
            <w:pPr>
              <w:tabs>
                <w:tab w:val="left" w:pos="567"/>
              </w:tabs>
              <w:jc w:val="center"/>
              <w:rPr>
                <w:rFonts w:ascii="Arial" w:hAnsi="Arial" w:cs="Arial"/>
                <w:color w:val="000000"/>
                <w:szCs w:val="22"/>
              </w:rPr>
            </w:pPr>
            <w:r w:rsidRPr="00B1220E">
              <w:rPr>
                <w:rFonts w:ascii="Arial" w:eastAsia="ArialNarrow" w:hAnsi="Arial" w:cs="Arial"/>
              </w:rPr>
              <w:t>422.3 (390.5;456.5)</w:t>
            </w:r>
          </w:p>
        </w:tc>
      </w:tr>
      <w:tr w:rsidR="0045317D" w:rsidRPr="00882490" w:rsidTr="00B1220E">
        <w:tc>
          <w:tcPr>
            <w:tcW w:w="2345" w:type="dxa"/>
          </w:tcPr>
          <w:p w:rsidR="0045317D" w:rsidRPr="00882490" w:rsidRDefault="0045317D" w:rsidP="005A317C">
            <w:pPr>
              <w:tabs>
                <w:tab w:val="left" w:pos="142"/>
              </w:tabs>
              <w:rPr>
                <w:rFonts w:ascii="Arial" w:hAnsi="Arial" w:cs="Arial"/>
                <w:b/>
                <w:color w:val="000000"/>
                <w:szCs w:val="22"/>
              </w:rPr>
            </w:pPr>
            <w:r w:rsidRPr="00882490">
              <w:rPr>
                <w:rFonts w:ascii="Arial" w:hAnsi="Arial" w:cs="Arial"/>
                <w:b/>
                <w:color w:val="000000"/>
                <w:szCs w:val="22"/>
              </w:rPr>
              <w:tab/>
              <w:t>A/H3N2</w:t>
            </w:r>
          </w:p>
        </w:tc>
        <w:tc>
          <w:tcPr>
            <w:tcW w:w="2382" w:type="dxa"/>
          </w:tcPr>
          <w:p w:rsidR="0045317D" w:rsidRPr="00882490" w:rsidRDefault="0045317D" w:rsidP="005A317C">
            <w:pPr>
              <w:tabs>
                <w:tab w:val="left" w:pos="567"/>
              </w:tabs>
              <w:jc w:val="center"/>
              <w:rPr>
                <w:rFonts w:ascii="Arial" w:hAnsi="Arial" w:cs="Arial"/>
                <w:color w:val="000000"/>
                <w:szCs w:val="22"/>
              </w:rPr>
            </w:pPr>
            <w:r w:rsidRPr="00882490">
              <w:rPr>
                <w:rFonts w:ascii="Arial" w:hAnsi="Arial" w:cs="Arial"/>
                <w:color w:val="000000"/>
                <w:szCs w:val="22"/>
              </w:rPr>
              <w:t>228.8 (215.0;243.4)</w:t>
            </w:r>
          </w:p>
        </w:tc>
        <w:tc>
          <w:tcPr>
            <w:tcW w:w="2185" w:type="dxa"/>
          </w:tcPr>
          <w:p w:rsidR="0045317D" w:rsidRPr="00882490" w:rsidRDefault="0045317D" w:rsidP="005A317C">
            <w:pPr>
              <w:tabs>
                <w:tab w:val="left" w:pos="567"/>
              </w:tabs>
              <w:jc w:val="center"/>
              <w:rPr>
                <w:rFonts w:ascii="Arial" w:hAnsi="Arial" w:cs="Arial"/>
                <w:color w:val="000000"/>
                <w:szCs w:val="22"/>
              </w:rPr>
            </w:pPr>
            <w:r w:rsidRPr="00882490">
              <w:rPr>
                <w:rFonts w:ascii="Arial" w:hAnsi="Arial" w:cs="Arial"/>
                <w:color w:val="000000"/>
                <w:szCs w:val="22"/>
              </w:rPr>
              <w:t>227.3 (213.3;242.3)</w:t>
            </w:r>
          </w:p>
        </w:tc>
        <w:tc>
          <w:tcPr>
            <w:tcW w:w="2130" w:type="dxa"/>
          </w:tcPr>
          <w:p w:rsidR="0045317D" w:rsidRPr="00B1220E" w:rsidRDefault="00B1220E" w:rsidP="005A317C">
            <w:pPr>
              <w:tabs>
                <w:tab w:val="left" w:pos="567"/>
              </w:tabs>
              <w:jc w:val="center"/>
              <w:rPr>
                <w:rFonts w:ascii="Arial" w:hAnsi="Arial" w:cs="Arial"/>
                <w:color w:val="000000"/>
                <w:szCs w:val="22"/>
              </w:rPr>
            </w:pPr>
            <w:r w:rsidRPr="00B1220E">
              <w:rPr>
                <w:rFonts w:ascii="Arial" w:eastAsia="ArialNarrow" w:hAnsi="Arial" w:cs="Arial"/>
              </w:rPr>
              <w:t xml:space="preserve">234.0 </w:t>
            </w:r>
            <w:r>
              <w:rPr>
                <w:rFonts w:ascii="Arial" w:eastAsia="ArialNarrow" w:hAnsi="Arial" w:cs="Arial"/>
              </w:rPr>
              <w:t>(219.1;</w:t>
            </w:r>
            <w:r w:rsidRPr="00B1220E">
              <w:rPr>
                <w:rFonts w:ascii="Arial" w:eastAsia="ArialNarrow" w:hAnsi="Arial" w:cs="Arial"/>
              </w:rPr>
              <w:t>249.9</w:t>
            </w:r>
            <w:r>
              <w:rPr>
                <w:rFonts w:ascii="Arial" w:eastAsia="ArialNarrow" w:hAnsi="Arial" w:cs="Arial"/>
              </w:rPr>
              <w:t>)</w:t>
            </w:r>
          </w:p>
        </w:tc>
      </w:tr>
      <w:tr w:rsidR="0045317D" w:rsidRPr="00882490" w:rsidTr="00B1220E">
        <w:tc>
          <w:tcPr>
            <w:tcW w:w="2345" w:type="dxa"/>
          </w:tcPr>
          <w:p w:rsidR="0045317D" w:rsidRPr="00882490" w:rsidRDefault="0045317D" w:rsidP="003D1656">
            <w:pPr>
              <w:tabs>
                <w:tab w:val="left" w:pos="142"/>
              </w:tabs>
              <w:rPr>
                <w:rFonts w:ascii="Arial" w:hAnsi="Arial" w:cs="Arial"/>
                <w:b/>
                <w:color w:val="000000"/>
                <w:szCs w:val="22"/>
              </w:rPr>
            </w:pPr>
            <w:r w:rsidRPr="00882490">
              <w:rPr>
                <w:rFonts w:ascii="Arial" w:hAnsi="Arial" w:cs="Arial"/>
                <w:b/>
                <w:color w:val="000000"/>
                <w:szCs w:val="22"/>
              </w:rPr>
              <w:tab/>
              <w:t>B (Victoria)</w:t>
            </w:r>
          </w:p>
        </w:tc>
        <w:tc>
          <w:tcPr>
            <w:tcW w:w="2382" w:type="dxa"/>
          </w:tcPr>
          <w:p w:rsidR="0045317D" w:rsidRPr="00882490" w:rsidRDefault="0045317D" w:rsidP="005A317C">
            <w:pPr>
              <w:tabs>
                <w:tab w:val="left" w:pos="567"/>
              </w:tabs>
              <w:jc w:val="center"/>
              <w:rPr>
                <w:rFonts w:ascii="Arial" w:hAnsi="Arial" w:cs="Arial"/>
                <w:color w:val="000000"/>
                <w:szCs w:val="22"/>
              </w:rPr>
            </w:pPr>
            <w:r w:rsidRPr="00882490">
              <w:rPr>
                <w:rFonts w:ascii="Arial" w:hAnsi="Arial" w:cs="Arial"/>
                <w:color w:val="000000"/>
                <w:szCs w:val="22"/>
              </w:rPr>
              <w:t>244.2 (227.5;262.1)</w:t>
            </w:r>
          </w:p>
        </w:tc>
        <w:tc>
          <w:tcPr>
            <w:tcW w:w="2185" w:type="dxa"/>
          </w:tcPr>
          <w:p w:rsidR="0045317D" w:rsidRPr="00882490" w:rsidRDefault="0045317D" w:rsidP="005A317C">
            <w:pPr>
              <w:tabs>
                <w:tab w:val="left" w:pos="567"/>
              </w:tabs>
              <w:jc w:val="center"/>
              <w:rPr>
                <w:rFonts w:ascii="Arial" w:hAnsi="Arial" w:cs="Arial"/>
                <w:color w:val="000000"/>
                <w:szCs w:val="22"/>
              </w:rPr>
            </w:pPr>
            <w:r w:rsidRPr="00882490">
              <w:rPr>
                <w:rFonts w:ascii="Arial" w:hAnsi="Arial" w:cs="Arial"/>
                <w:color w:val="000000"/>
                <w:szCs w:val="22"/>
              </w:rPr>
              <w:t>245.6 (229.2;263.2)</w:t>
            </w:r>
          </w:p>
        </w:tc>
        <w:tc>
          <w:tcPr>
            <w:tcW w:w="2130" w:type="dxa"/>
          </w:tcPr>
          <w:p w:rsidR="0045317D" w:rsidRPr="00B1220E" w:rsidRDefault="00B1220E" w:rsidP="003742B4">
            <w:pPr>
              <w:tabs>
                <w:tab w:val="left" w:pos="567"/>
              </w:tabs>
              <w:jc w:val="center"/>
              <w:rPr>
                <w:rFonts w:ascii="Arial" w:hAnsi="Arial" w:cs="Arial"/>
                <w:color w:val="000000"/>
                <w:szCs w:val="22"/>
              </w:rPr>
            </w:pPr>
            <w:r>
              <w:rPr>
                <w:rFonts w:ascii="Arial" w:eastAsia="ArialNarrow" w:hAnsi="Arial" w:cs="Arial"/>
              </w:rPr>
              <w:t>88.4 (81.5;</w:t>
            </w:r>
            <w:r w:rsidRPr="00B1220E">
              <w:rPr>
                <w:rFonts w:ascii="Arial" w:eastAsia="ArialNarrow" w:hAnsi="Arial" w:cs="Arial"/>
              </w:rPr>
              <w:t>95.8</w:t>
            </w:r>
            <w:r>
              <w:rPr>
                <w:rFonts w:ascii="Arial" w:eastAsia="ArialNarrow" w:hAnsi="Arial" w:cs="Arial"/>
              </w:rPr>
              <w:t>)</w:t>
            </w:r>
            <w:r w:rsidR="003742B4">
              <w:rPr>
                <w:rFonts w:ascii="Arial" w:eastAsia="ArialNarrow" w:hAnsi="Arial" w:cs="Arial"/>
                <w:vertAlign w:val="superscript"/>
              </w:rPr>
              <w:t>4</w:t>
            </w:r>
          </w:p>
        </w:tc>
      </w:tr>
      <w:tr w:rsidR="0045317D" w:rsidRPr="00882490" w:rsidTr="00B1220E">
        <w:tc>
          <w:tcPr>
            <w:tcW w:w="2345" w:type="dxa"/>
          </w:tcPr>
          <w:p w:rsidR="0045317D" w:rsidRPr="00882490" w:rsidRDefault="0045317D" w:rsidP="00235829">
            <w:pPr>
              <w:tabs>
                <w:tab w:val="left" w:pos="142"/>
              </w:tabs>
              <w:rPr>
                <w:rFonts w:ascii="Arial" w:hAnsi="Arial" w:cs="Arial"/>
                <w:b/>
                <w:color w:val="000000"/>
                <w:szCs w:val="22"/>
              </w:rPr>
            </w:pPr>
            <w:r w:rsidRPr="00882490">
              <w:rPr>
                <w:rFonts w:ascii="Arial" w:hAnsi="Arial" w:cs="Arial"/>
                <w:b/>
                <w:color w:val="000000"/>
                <w:szCs w:val="22"/>
              </w:rPr>
              <w:tab/>
              <w:t>B (Yamagata)</w:t>
            </w:r>
          </w:p>
        </w:tc>
        <w:tc>
          <w:tcPr>
            <w:tcW w:w="2382" w:type="dxa"/>
          </w:tcPr>
          <w:p w:rsidR="0045317D" w:rsidRPr="00882490" w:rsidRDefault="0045317D" w:rsidP="005A317C">
            <w:pPr>
              <w:tabs>
                <w:tab w:val="left" w:pos="567"/>
              </w:tabs>
              <w:jc w:val="center"/>
              <w:rPr>
                <w:rFonts w:ascii="Arial" w:hAnsi="Arial" w:cs="Arial"/>
                <w:color w:val="000000"/>
                <w:szCs w:val="22"/>
              </w:rPr>
            </w:pPr>
            <w:r w:rsidRPr="00882490">
              <w:rPr>
                <w:rFonts w:ascii="Arial" w:hAnsi="Arial" w:cs="Arial"/>
                <w:color w:val="000000"/>
                <w:szCs w:val="22"/>
              </w:rPr>
              <w:t>569.6 (533.6;608.1)</w:t>
            </w:r>
          </w:p>
        </w:tc>
        <w:tc>
          <w:tcPr>
            <w:tcW w:w="2185" w:type="dxa"/>
          </w:tcPr>
          <w:p w:rsidR="0045317D" w:rsidRPr="00882490" w:rsidRDefault="0045317D" w:rsidP="003742B4">
            <w:pPr>
              <w:tabs>
                <w:tab w:val="left" w:pos="567"/>
              </w:tabs>
              <w:jc w:val="center"/>
              <w:rPr>
                <w:rFonts w:ascii="Arial" w:hAnsi="Arial" w:cs="Arial"/>
                <w:color w:val="000000"/>
                <w:szCs w:val="22"/>
              </w:rPr>
            </w:pPr>
            <w:r w:rsidRPr="00882490">
              <w:rPr>
                <w:rFonts w:ascii="Arial" w:hAnsi="Arial" w:cs="Arial"/>
                <w:color w:val="000000"/>
                <w:szCs w:val="22"/>
              </w:rPr>
              <w:t>224.7 (207.9;242.9)</w:t>
            </w:r>
            <w:r w:rsidR="003742B4">
              <w:rPr>
                <w:rFonts w:ascii="Arial" w:hAnsi="Arial" w:cs="Arial"/>
                <w:color w:val="000000"/>
                <w:szCs w:val="22"/>
                <w:vertAlign w:val="superscript"/>
              </w:rPr>
              <w:t>4</w:t>
            </w:r>
          </w:p>
        </w:tc>
        <w:tc>
          <w:tcPr>
            <w:tcW w:w="2130" w:type="dxa"/>
          </w:tcPr>
          <w:p w:rsidR="0045317D" w:rsidRPr="00B1220E" w:rsidRDefault="00B1220E" w:rsidP="005A317C">
            <w:pPr>
              <w:tabs>
                <w:tab w:val="left" w:pos="567"/>
              </w:tabs>
              <w:jc w:val="center"/>
              <w:rPr>
                <w:rFonts w:ascii="Arial" w:hAnsi="Arial" w:cs="Arial"/>
                <w:color w:val="000000"/>
                <w:szCs w:val="22"/>
              </w:rPr>
            </w:pPr>
            <w:r w:rsidRPr="00B1220E">
              <w:rPr>
                <w:rFonts w:ascii="Arial" w:eastAsia="ArialNarrow" w:hAnsi="Arial" w:cs="Arial"/>
              </w:rPr>
              <w:t xml:space="preserve">643.3 </w:t>
            </w:r>
            <w:r>
              <w:rPr>
                <w:rFonts w:ascii="Arial" w:eastAsia="ArialNarrow" w:hAnsi="Arial" w:cs="Arial"/>
              </w:rPr>
              <w:t>(603.2;</w:t>
            </w:r>
            <w:r w:rsidRPr="00B1220E">
              <w:rPr>
                <w:rFonts w:ascii="Arial" w:eastAsia="ArialNarrow" w:hAnsi="Arial" w:cs="Arial"/>
              </w:rPr>
              <w:t>686.1</w:t>
            </w:r>
            <w:r>
              <w:rPr>
                <w:rFonts w:ascii="Arial" w:eastAsia="ArialNarrow" w:hAnsi="Arial" w:cs="Arial"/>
              </w:rPr>
              <w:t>)</w:t>
            </w:r>
          </w:p>
        </w:tc>
      </w:tr>
      <w:tr w:rsidR="00B1220E" w:rsidRPr="00882490" w:rsidTr="00D467CF">
        <w:tc>
          <w:tcPr>
            <w:tcW w:w="2345" w:type="dxa"/>
          </w:tcPr>
          <w:p w:rsidR="00B1220E" w:rsidRPr="00882490" w:rsidRDefault="00B1220E" w:rsidP="005A317C">
            <w:pPr>
              <w:tabs>
                <w:tab w:val="left" w:pos="567"/>
              </w:tabs>
              <w:rPr>
                <w:rFonts w:ascii="Arial" w:hAnsi="Arial" w:cs="Arial"/>
                <w:b/>
                <w:color w:val="000000"/>
                <w:szCs w:val="22"/>
              </w:rPr>
            </w:pPr>
          </w:p>
        </w:tc>
        <w:tc>
          <w:tcPr>
            <w:tcW w:w="6697" w:type="dxa"/>
            <w:gridSpan w:val="3"/>
          </w:tcPr>
          <w:p w:rsidR="00B1220E" w:rsidRPr="00882490" w:rsidRDefault="00B1220E" w:rsidP="005A317C">
            <w:pPr>
              <w:tabs>
                <w:tab w:val="left" w:pos="567"/>
              </w:tabs>
              <w:jc w:val="center"/>
              <w:rPr>
                <w:rFonts w:ascii="Arial" w:hAnsi="Arial" w:cs="Arial"/>
                <w:b/>
                <w:color w:val="000000"/>
                <w:szCs w:val="22"/>
              </w:rPr>
            </w:pPr>
            <w:r w:rsidRPr="00882490">
              <w:rPr>
                <w:rFonts w:ascii="Arial" w:hAnsi="Arial" w:cs="Arial"/>
                <w:b/>
                <w:color w:val="000000"/>
                <w:szCs w:val="22"/>
              </w:rPr>
              <w:t>Seroconversion rate (95% confidence interval)</w:t>
            </w:r>
          </w:p>
        </w:tc>
      </w:tr>
      <w:tr w:rsidR="0045317D" w:rsidRPr="00882490" w:rsidTr="00B1220E">
        <w:tc>
          <w:tcPr>
            <w:tcW w:w="2345" w:type="dxa"/>
          </w:tcPr>
          <w:p w:rsidR="0045317D" w:rsidRPr="00882490" w:rsidRDefault="0045317D" w:rsidP="005A317C">
            <w:pPr>
              <w:tabs>
                <w:tab w:val="left" w:pos="142"/>
              </w:tabs>
              <w:rPr>
                <w:rFonts w:ascii="Arial" w:hAnsi="Arial" w:cs="Arial"/>
                <w:b/>
                <w:color w:val="000000"/>
                <w:szCs w:val="22"/>
              </w:rPr>
            </w:pPr>
            <w:r w:rsidRPr="00882490">
              <w:rPr>
                <w:rFonts w:ascii="Arial" w:hAnsi="Arial" w:cs="Arial"/>
                <w:b/>
                <w:color w:val="000000"/>
                <w:szCs w:val="22"/>
              </w:rPr>
              <w:tab/>
              <w:t>A/H1N1</w:t>
            </w:r>
          </w:p>
        </w:tc>
        <w:tc>
          <w:tcPr>
            <w:tcW w:w="2382" w:type="dxa"/>
          </w:tcPr>
          <w:p w:rsidR="0045317D" w:rsidRPr="00882490" w:rsidRDefault="0045317D" w:rsidP="005A317C">
            <w:pPr>
              <w:tabs>
                <w:tab w:val="left" w:pos="567"/>
              </w:tabs>
              <w:jc w:val="center"/>
              <w:rPr>
                <w:rFonts w:ascii="Arial" w:hAnsi="Arial" w:cs="Arial"/>
                <w:color w:val="000000"/>
                <w:szCs w:val="22"/>
              </w:rPr>
            </w:pPr>
            <w:r w:rsidRPr="00882490">
              <w:rPr>
                <w:rFonts w:ascii="Arial" w:hAnsi="Arial" w:cs="Arial"/>
                <w:color w:val="000000"/>
                <w:szCs w:val="22"/>
              </w:rPr>
              <w:t>91.4% (89.2;93.3)</w:t>
            </w:r>
          </w:p>
        </w:tc>
        <w:tc>
          <w:tcPr>
            <w:tcW w:w="2185" w:type="dxa"/>
          </w:tcPr>
          <w:p w:rsidR="0045317D" w:rsidRPr="00882490" w:rsidRDefault="0045317D" w:rsidP="005A317C">
            <w:pPr>
              <w:tabs>
                <w:tab w:val="left" w:pos="567"/>
              </w:tabs>
              <w:jc w:val="center"/>
              <w:rPr>
                <w:rFonts w:ascii="Arial" w:hAnsi="Arial" w:cs="Arial"/>
                <w:color w:val="000000"/>
                <w:szCs w:val="22"/>
              </w:rPr>
            </w:pPr>
            <w:r w:rsidRPr="00882490">
              <w:rPr>
                <w:rFonts w:ascii="Arial" w:hAnsi="Arial" w:cs="Arial"/>
                <w:color w:val="000000"/>
                <w:szCs w:val="22"/>
              </w:rPr>
              <w:t>89.9% (87.6;91.8)</w:t>
            </w:r>
          </w:p>
        </w:tc>
        <w:tc>
          <w:tcPr>
            <w:tcW w:w="2130" w:type="dxa"/>
          </w:tcPr>
          <w:p w:rsidR="0045317D" w:rsidRPr="00B1220E" w:rsidRDefault="00B1220E" w:rsidP="005A317C">
            <w:pPr>
              <w:tabs>
                <w:tab w:val="left" w:pos="567"/>
              </w:tabs>
              <w:jc w:val="center"/>
              <w:rPr>
                <w:rFonts w:ascii="Arial" w:hAnsi="Arial" w:cs="Arial"/>
                <w:color w:val="000000"/>
                <w:szCs w:val="22"/>
              </w:rPr>
            </w:pPr>
            <w:r w:rsidRPr="00B1220E">
              <w:rPr>
                <w:rFonts w:ascii="Arial" w:eastAsia="ArialNarrow" w:hAnsi="Arial" w:cs="Arial"/>
              </w:rPr>
              <w:t xml:space="preserve">91.6 </w:t>
            </w:r>
            <w:r>
              <w:rPr>
                <w:rFonts w:ascii="Arial" w:eastAsia="ArialNarrow" w:hAnsi="Arial" w:cs="Arial"/>
              </w:rPr>
              <w:t>(</w:t>
            </w:r>
            <w:r w:rsidRPr="00B1220E">
              <w:rPr>
                <w:rFonts w:ascii="Arial" w:eastAsia="ArialNarrow" w:hAnsi="Arial" w:cs="Arial"/>
              </w:rPr>
              <w:t>89.5</w:t>
            </w:r>
            <w:r>
              <w:rPr>
                <w:rFonts w:ascii="Arial" w:eastAsia="ArialNarrow" w:hAnsi="Arial" w:cs="Arial"/>
              </w:rPr>
              <w:t>;</w:t>
            </w:r>
            <w:r w:rsidRPr="00B1220E">
              <w:rPr>
                <w:rFonts w:ascii="Arial" w:eastAsia="ArialNarrow" w:hAnsi="Arial" w:cs="Arial"/>
              </w:rPr>
              <w:t>93.5</w:t>
            </w:r>
            <w:r>
              <w:rPr>
                <w:rFonts w:ascii="Arial" w:eastAsia="ArialNarrow" w:hAnsi="Arial" w:cs="Arial"/>
              </w:rPr>
              <w:t>)</w:t>
            </w:r>
          </w:p>
        </w:tc>
      </w:tr>
      <w:tr w:rsidR="0045317D" w:rsidRPr="00882490" w:rsidTr="00B1220E">
        <w:tc>
          <w:tcPr>
            <w:tcW w:w="2345" w:type="dxa"/>
          </w:tcPr>
          <w:p w:rsidR="0045317D" w:rsidRPr="00882490" w:rsidRDefault="0045317D" w:rsidP="005A317C">
            <w:pPr>
              <w:tabs>
                <w:tab w:val="left" w:pos="142"/>
              </w:tabs>
              <w:rPr>
                <w:rFonts w:ascii="Arial" w:hAnsi="Arial" w:cs="Arial"/>
                <w:b/>
                <w:color w:val="000000"/>
                <w:szCs w:val="22"/>
              </w:rPr>
            </w:pPr>
            <w:r w:rsidRPr="00882490">
              <w:rPr>
                <w:rFonts w:ascii="Arial" w:hAnsi="Arial" w:cs="Arial"/>
                <w:b/>
                <w:color w:val="000000"/>
                <w:szCs w:val="22"/>
              </w:rPr>
              <w:tab/>
              <w:t>A/H3N2</w:t>
            </w:r>
          </w:p>
        </w:tc>
        <w:tc>
          <w:tcPr>
            <w:tcW w:w="2382" w:type="dxa"/>
          </w:tcPr>
          <w:p w:rsidR="0045317D" w:rsidRPr="00882490" w:rsidRDefault="0045317D" w:rsidP="005A317C">
            <w:pPr>
              <w:tabs>
                <w:tab w:val="left" w:pos="567"/>
              </w:tabs>
              <w:jc w:val="center"/>
              <w:rPr>
                <w:rFonts w:ascii="Arial" w:hAnsi="Arial" w:cs="Arial"/>
                <w:color w:val="000000"/>
                <w:szCs w:val="22"/>
              </w:rPr>
            </w:pPr>
            <w:r w:rsidRPr="00882490">
              <w:rPr>
                <w:rFonts w:ascii="Arial" w:hAnsi="Arial" w:cs="Arial"/>
                <w:color w:val="000000"/>
                <w:szCs w:val="22"/>
              </w:rPr>
              <w:t>72.3% (69.0;75.4)</w:t>
            </w:r>
          </w:p>
        </w:tc>
        <w:tc>
          <w:tcPr>
            <w:tcW w:w="2185" w:type="dxa"/>
          </w:tcPr>
          <w:p w:rsidR="0045317D" w:rsidRPr="00882490" w:rsidRDefault="0045317D" w:rsidP="005A317C">
            <w:pPr>
              <w:tabs>
                <w:tab w:val="left" w:pos="567"/>
              </w:tabs>
              <w:jc w:val="center"/>
              <w:rPr>
                <w:rFonts w:ascii="Arial" w:hAnsi="Arial" w:cs="Arial"/>
                <w:color w:val="000000"/>
                <w:szCs w:val="22"/>
              </w:rPr>
            </w:pPr>
            <w:r w:rsidRPr="00882490">
              <w:rPr>
                <w:rFonts w:ascii="Arial" w:hAnsi="Arial" w:cs="Arial"/>
                <w:color w:val="000000"/>
                <w:szCs w:val="22"/>
              </w:rPr>
              <w:t>70.7% (67.4;73.8)</w:t>
            </w:r>
          </w:p>
        </w:tc>
        <w:tc>
          <w:tcPr>
            <w:tcW w:w="2130" w:type="dxa"/>
          </w:tcPr>
          <w:p w:rsidR="0045317D" w:rsidRPr="00B1220E" w:rsidRDefault="00B1220E" w:rsidP="005A317C">
            <w:pPr>
              <w:tabs>
                <w:tab w:val="left" w:pos="567"/>
              </w:tabs>
              <w:jc w:val="center"/>
              <w:rPr>
                <w:rFonts w:ascii="Arial" w:hAnsi="Arial" w:cs="Arial"/>
                <w:color w:val="000000"/>
                <w:szCs w:val="22"/>
              </w:rPr>
            </w:pPr>
            <w:r>
              <w:rPr>
                <w:rFonts w:ascii="Arial" w:eastAsia="ArialNarrow" w:hAnsi="Arial" w:cs="Arial"/>
              </w:rPr>
              <w:t>71.9 (68.6;</w:t>
            </w:r>
            <w:r w:rsidRPr="00B1220E">
              <w:rPr>
                <w:rFonts w:ascii="Arial" w:eastAsia="ArialNarrow" w:hAnsi="Arial" w:cs="Arial"/>
              </w:rPr>
              <w:t>75.0</w:t>
            </w:r>
            <w:r>
              <w:rPr>
                <w:rFonts w:ascii="Arial" w:eastAsia="ArialNarrow" w:hAnsi="Arial" w:cs="Arial"/>
              </w:rPr>
              <w:t>)</w:t>
            </w:r>
          </w:p>
        </w:tc>
      </w:tr>
      <w:tr w:rsidR="0045317D" w:rsidRPr="00882490" w:rsidTr="00B1220E">
        <w:tc>
          <w:tcPr>
            <w:tcW w:w="2345" w:type="dxa"/>
          </w:tcPr>
          <w:p w:rsidR="0045317D" w:rsidRPr="00882490" w:rsidRDefault="0045317D" w:rsidP="003D1656">
            <w:pPr>
              <w:tabs>
                <w:tab w:val="left" w:pos="142"/>
              </w:tabs>
              <w:rPr>
                <w:rFonts w:ascii="Arial" w:hAnsi="Arial" w:cs="Arial"/>
                <w:b/>
                <w:color w:val="000000"/>
                <w:szCs w:val="22"/>
              </w:rPr>
            </w:pPr>
            <w:r w:rsidRPr="00882490">
              <w:rPr>
                <w:rFonts w:ascii="Arial" w:hAnsi="Arial" w:cs="Arial"/>
                <w:b/>
                <w:color w:val="000000"/>
                <w:szCs w:val="22"/>
              </w:rPr>
              <w:tab/>
              <w:t>B (Victoria)</w:t>
            </w:r>
          </w:p>
        </w:tc>
        <w:tc>
          <w:tcPr>
            <w:tcW w:w="2382" w:type="dxa"/>
          </w:tcPr>
          <w:p w:rsidR="0045317D" w:rsidRPr="00882490" w:rsidRDefault="0045317D" w:rsidP="005A317C">
            <w:pPr>
              <w:tabs>
                <w:tab w:val="left" w:pos="567"/>
              </w:tabs>
              <w:jc w:val="center"/>
              <w:rPr>
                <w:rFonts w:ascii="Arial" w:hAnsi="Arial" w:cs="Arial"/>
                <w:color w:val="000000"/>
                <w:szCs w:val="22"/>
              </w:rPr>
            </w:pPr>
            <w:r w:rsidRPr="00882490">
              <w:rPr>
                <w:rFonts w:ascii="Arial" w:hAnsi="Arial" w:cs="Arial"/>
                <w:color w:val="000000"/>
                <w:szCs w:val="22"/>
              </w:rPr>
              <w:t>70.0% (66.7;73.2)</w:t>
            </w:r>
          </w:p>
        </w:tc>
        <w:tc>
          <w:tcPr>
            <w:tcW w:w="2185" w:type="dxa"/>
          </w:tcPr>
          <w:p w:rsidR="0045317D" w:rsidRPr="00882490" w:rsidRDefault="0045317D" w:rsidP="005A317C">
            <w:pPr>
              <w:tabs>
                <w:tab w:val="left" w:pos="567"/>
              </w:tabs>
              <w:jc w:val="center"/>
              <w:rPr>
                <w:rFonts w:ascii="Arial" w:hAnsi="Arial" w:cs="Arial"/>
                <w:color w:val="000000"/>
                <w:szCs w:val="22"/>
              </w:rPr>
            </w:pPr>
            <w:r w:rsidRPr="00882490">
              <w:rPr>
                <w:rFonts w:ascii="Arial" w:hAnsi="Arial" w:cs="Arial"/>
                <w:color w:val="000000"/>
                <w:szCs w:val="22"/>
              </w:rPr>
              <w:t>68.5% (65.2;71.6)</w:t>
            </w:r>
          </w:p>
        </w:tc>
        <w:tc>
          <w:tcPr>
            <w:tcW w:w="2130" w:type="dxa"/>
          </w:tcPr>
          <w:p w:rsidR="0045317D" w:rsidRPr="00B1220E" w:rsidRDefault="00B1220E" w:rsidP="003D1656">
            <w:pPr>
              <w:tabs>
                <w:tab w:val="left" w:pos="567"/>
              </w:tabs>
              <w:jc w:val="center"/>
              <w:rPr>
                <w:rFonts w:ascii="Arial" w:hAnsi="Arial" w:cs="Arial"/>
                <w:color w:val="000000"/>
                <w:szCs w:val="22"/>
              </w:rPr>
            </w:pPr>
            <w:r w:rsidRPr="00B1220E">
              <w:rPr>
                <w:rFonts w:ascii="Arial" w:eastAsia="ArialNarrow" w:hAnsi="Arial" w:cs="Arial"/>
              </w:rPr>
              <w:t xml:space="preserve">29.6 </w:t>
            </w:r>
            <w:r>
              <w:rPr>
                <w:rFonts w:ascii="Arial" w:eastAsia="ArialNarrow" w:hAnsi="Arial" w:cs="Arial"/>
              </w:rPr>
              <w:t>(</w:t>
            </w:r>
            <w:r w:rsidRPr="00B1220E">
              <w:rPr>
                <w:rFonts w:ascii="Arial" w:eastAsia="ArialNarrow" w:hAnsi="Arial" w:cs="Arial"/>
              </w:rPr>
              <w:t>26.5</w:t>
            </w:r>
            <w:r>
              <w:rPr>
                <w:rFonts w:ascii="Arial" w:eastAsia="ArialNarrow" w:hAnsi="Arial" w:cs="Arial"/>
              </w:rPr>
              <w:t>;</w:t>
            </w:r>
            <w:r w:rsidRPr="00B1220E">
              <w:rPr>
                <w:rFonts w:ascii="Arial" w:eastAsia="ArialNarrow" w:hAnsi="Arial" w:cs="Arial"/>
              </w:rPr>
              <w:t>32.9</w:t>
            </w:r>
            <w:r>
              <w:rPr>
                <w:rFonts w:ascii="Arial" w:eastAsia="ArialNarrow" w:hAnsi="Arial" w:cs="Arial"/>
              </w:rPr>
              <w:t>)</w:t>
            </w:r>
            <w:r w:rsidR="003742B4">
              <w:rPr>
                <w:rFonts w:ascii="Arial" w:eastAsia="ArialNarrow" w:hAnsi="Arial" w:cs="Arial"/>
                <w:vertAlign w:val="superscript"/>
              </w:rPr>
              <w:t>4</w:t>
            </w:r>
          </w:p>
        </w:tc>
      </w:tr>
      <w:tr w:rsidR="0045317D" w:rsidRPr="00882490" w:rsidTr="00B1220E">
        <w:tc>
          <w:tcPr>
            <w:tcW w:w="2345" w:type="dxa"/>
          </w:tcPr>
          <w:p w:rsidR="0045317D" w:rsidRPr="00882490" w:rsidRDefault="0045317D" w:rsidP="005A317C">
            <w:pPr>
              <w:tabs>
                <w:tab w:val="left" w:pos="142"/>
              </w:tabs>
              <w:rPr>
                <w:rFonts w:ascii="Arial" w:hAnsi="Arial" w:cs="Arial"/>
                <w:b/>
                <w:color w:val="000000"/>
                <w:szCs w:val="22"/>
              </w:rPr>
            </w:pPr>
            <w:r w:rsidRPr="00882490">
              <w:rPr>
                <w:rFonts w:ascii="Arial" w:hAnsi="Arial" w:cs="Arial"/>
                <w:b/>
                <w:color w:val="000000"/>
                <w:szCs w:val="22"/>
              </w:rPr>
              <w:tab/>
              <w:t>B (Yamagata)</w:t>
            </w:r>
          </w:p>
        </w:tc>
        <w:tc>
          <w:tcPr>
            <w:tcW w:w="2382" w:type="dxa"/>
          </w:tcPr>
          <w:p w:rsidR="0045317D" w:rsidRPr="00882490" w:rsidRDefault="0045317D" w:rsidP="005A317C">
            <w:pPr>
              <w:tabs>
                <w:tab w:val="left" w:pos="567"/>
              </w:tabs>
              <w:jc w:val="center"/>
              <w:rPr>
                <w:rFonts w:ascii="Arial" w:hAnsi="Arial" w:cs="Arial"/>
                <w:color w:val="000000"/>
                <w:szCs w:val="22"/>
              </w:rPr>
            </w:pPr>
            <w:r w:rsidRPr="00882490">
              <w:rPr>
                <w:rFonts w:ascii="Arial" w:hAnsi="Arial" w:cs="Arial"/>
                <w:color w:val="000000"/>
                <w:szCs w:val="22"/>
              </w:rPr>
              <w:t>72.5% (69.3;75.6)</w:t>
            </w:r>
          </w:p>
        </w:tc>
        <w:tc>
          <w:tcPr>
            <w:tcW w:w="2185" w:type="dxa"/>
          </w:tcPr>
          <w:p w:rsidR="0045317D" w:rsidRPr="00882490" w:rsidRDefault="0045317D" w:rsidP="003D1656">
            <w:pPr>
              <w:tabs>
                <w:tab w:val="left" w:pos="567"/>
              </w:tabs>
              <w:jc w:val="center"/>
              <w:rPr>
                <w:rFonts w:ascii="Arial" w:hAnsi="Arial" w:cs="Arial"/>
                <w:color w:val="000000"/>
                <w:szCs w:val="22"/>
              </w:rPr>
            </w:pPr>
            <w:r w:rsidRPr="00882490">
              <w:rPr>
                <w:rFonts w:ascii="Arial" w:hAnsi="Arial" w:cs="Arial"/>
                <w:color w:val="000000"/>
                <w:szCs w:val="22"/>
              </w:rPr>
              <w:t>37.0% (33.7;40.5)</w:t>
            </w:r>
            <w:r w:rsidR="003742B4">
              <w:rPr>
                <w:rFonts w:ascii="Arial" w:hAnsi="Arial" w:cs="Arial"/>
                <w:color w:val="000000"/>
                <w:szCs w:val="22"/>
                <w:vertAlign w:val="superscript"/>
              </w:rPr>
              <w:t>4</w:t>
            </w:r>
          </w:p>
        </w:tc>
        <w:tc>
          <w:tcPr>
            <w:tcW w:w="2130" w:type="dxa"/>
          </w:tcPr>
          <w:p w:rsidR="0045317D" w:rsidRPr="00B1220E" w:rsidRDefault="00B1220E" w:rsidP="005A317C">
            <w:pPr>
              <w:tabs>
                <w:tab w:val="left" w:pos="567"/>
              </w:tabs>
              <w:jc w:val="center"/>
              <w:rPr>
                <w:rFonts w:ascii="Arial" w:hAnsi="Arial" w:cs="Arial"/>
                <w:color w:val="000000"/>
                <w:szCs w:val="22"/>
              </w:rPr>
            </w:pPr>
            <w:r>
              <w:rPr>
                <w:rFonts w:ascii="Arial" w:eastAsia="ArialNarrow" w:hAnsi="Arial" w:cs="Arial"/>
              </w:rPr>
              <w:t>70.8 (67.5;</w:t>
            </w:r>
            <w:r w:rsidRPr="00B1220E">
              <w:rPr>
                <w:rFonts w:ascii="Arial" w:eastAsia="ArialNarrow" w:hAnsi="Arial" w:cs="Arial"/>
              </w:rPr>
              <w:t>73.9</w:t>
            </w:r>
            <w:r>
              <w:rPr>
                <w:rFonts w:ascii="Arial" w:eastAsia="ArialNarrow" w:hAnsi="Arial" w:cs="Arial"/>
              </w:rPr>
              <w:t>)</w:t>
            </w:r>
          </w:p>
        </w:tc>
      </w:tr>
    </w:tbl>
    <w:p w:rsidR="003742B4" w:rsidRDefault="003742B4" w:rsidP="003742B4">
      <w:pPr>
        <w:tabs>
          <w:tab w:val="left" w:pos="10173"/>
          <w:tab w:val="left" w:pos="10456"/>
        </w:tabs>
        <w:spacing w:line="360" w:lineRule="atLeast"/>
        <w:ind w:right="27"/>
        <w:jc w:val="both"/>
        <w:rPr>
          <w:rFonts w:ascii="Arial" w:hAnsi="Arial"/>
          <w:vertAlign w:val="superscript"/>
          <w:lang w:val="en-GB"/>
        </w:rPr>
      </w:pPr>
      <w:proofErr w:type="gramStart"/>
      <w:r w:rsidRPr="00774F3B">
        <w:rPr>
          <w:rFonts w:ascii="Arial" w:hAnsi="Arial"/>
          <w:vertAlign w:val="superscript"/>
          <w:lang w:val="en-GB"/>
        </w:rPr>
        <w:t>1</w:t>
      </w:r>
      <w:r w:rsidRPr="00774F3B">
        <w:rPr>
          <w:rFonts w:ascii="Arial" w:hAnsi="Arial"/>
          <w:lang w:val="en-GB"/>
        </w:rPr>
        <w:t>containing A/H1N1, A/H3N2 and B (Victoria lineage)</w:t>
      </w:r>
      <w:r w:rsidRPr="00410A71">
        <w:rPr>
          <w:rFonts w:ascii="Arial" w:hAnsi="Arial"/>
          <w:lang w:val="en-GB"/>
        </w:rPr>
        <w:t xml:space="preserve"> </w:t>
      </w:r>
      <w:r w:rsidRPr="00774F3B">
        <w:rPr>
          <w:rFonts w:ascii="Arial" w:hAnsi="Arial"/>
          <w:lang w:val="en-GB"/>
        </w:rPr>
        <w:t>and B (</w:t>
      </w:r>
      <w:r>
        <w:rPr>
          <w:rFonts w:ascii="Arial" w:hAnsi="Arial"/>
          <w:lang w:val="en-GB"/>
        </w:rPr>
        <w:t>Yamagata</w:t>
      </w:r>
      <w:r w:rsidRPr="00774F3B">
        <w:rPr>
          <w:rFonts w:ascii="Arial" w:hAnsi="Arial"/>
          <w:lang w:val="en-GB"/>
        </w:rPr>
        <w:t xml:space="preserve"> lineage)</w:t>
      </w:r>
      <w:r w:rsidR="00107DCC">
        <w:rPr>
          <w:rFonts w:ascii="Arial" w:hAnsi="Arial"/>
          <w:lang w:val="en-GB"/>
        </w:rPr>
        <w:t>.</w:t>
      </w:r>
      <w:proofErr w:type="gramEnd"/>
      <w:r w:rsidR="00107DCC">
        <w:rPr>
          <w:rFonts w:ascii="Arial" w:hAnsi="Arial"/>
          <w:lang w:val="en-GB"/>
        </w:rPr>
        <w:t xml:space="preserve">  The two </w:t>
      </w:r>
      <w:proofErr w:type="gramStart"/>
      <w:r w:rsidR="00107DCC">
        <w:rPr>
          <w:rFonts w:ascii="Arial" w:hAnsi="Arial"/>
          <w:lang w:val="en-GB"/>
        </w:rPr>
        <w:t>A</w:t>
      </w:r>
      <w:proofErr w:type="gramEnd"/>
      <w:r w:rsidR="00107DCC">
        <w:rPr>
          <w:rFonts w:ascii="Arial" w:hAnsi="Arial"/>
          <w:lang w:val="en-GB"/>
        </w:rPr>
        <w:t xml:space="preserve"> s</w:t>
      </w:r>
      <w:r w:rsidR="00B72009">
        <w:rPr>
          <w:rFonts w:ascii="Arial" w:hAnsi="Arial"/>
          <w:lang w:val="en-GB"/>
        </w:rPr>
        <w:t>ubtype</w:t>
      </w:r>
      <w:r w:rsidR="00107DCC">
        <w:rPr>
          <w:rFonts w:ascii="Arial" w:hAnsi="Arial"/>
          <w:lang w:val="en-GB"/>
        </w:rPr>
        <w:t xml:space="preserve">s plus the </w:t>
      </w:r>
      <w:r w:rsidR="00107DCC" w:rsidRPr="00774F3B">
        <w:rPr>
          <w:rFonts w:ascii="Arial" w:hAnsi="Arial"/>
          <w:lang w:val="en-GB"/>
        </w:rPr>
        <w:t>B (Victoria</w:t>
      </w:r>
      <w:r w:rsidR="00107DCC">
        <w:rPr>
          <w:rFonts w:ascii="Arial" w:hAnsi="Arial"/>
          <w:lang w:val="en-GB"/>
        </w:rPr>
        <w:t xml:space="preserve"> lineage) constitute the TIV vaccine as recommended by WHO for </w:t>
      </w:r>
      <w:r w:rsidR="00107DCC" w:rsidRPr="00774F3B">
        <w:rPr>
          <w:rFonts w:ascii="Arial" w:hAnsi="Arial"/>
          <w:lang w:val="en-GB"/>
        </w:rPr>
        <w:t xml:space="preserve">the </w:t>
      </w:r>
      <w:r w:rsidR="00107DCC">
        <w:rPr>
          <w:rFonts w:ascii="Arial" w:hAnsi="Arial"/>
          <w:lang w:val="en-GB"/>
        </w:rPr>
        <w:t xml:space="preserve">Northern Hemisphere </w:t>
      </w:r>
      <w:r w:rsidR="00107DCC" w:rsidRPr="00774F3B">
        <w:rPr>
          <w:rFonts w:ascii="Arial" w:hAnsi="Arial"/>
          <w:lang w:val="en-GB"/>
        </w:rPr>
        <w:t>season 2010-2011</w:t>
      </w:r>
      <w:r w:rsidR="00107DCC">
        <w:rPr>
          <w:rFonts w:ascii="Arial" w:hAnsi="Arial"/>
          <w:lang w:val="en-GB"/>
        </w:rPr>
        <w:t xml:space="preserve">.  The </w:t>
      </w:r>
      <w:r w:rsidR="00107DCC" w:rsidRPr="00774F3B">
        <w:rPr>
          <w:rFonts w:ascii="Arial" w:hAnsi="Arial"/>
          <w:lang w:val="en-GB"/>
        </w:rPr>
        <w:t>B (</w:t>
      </w:r>
      <w:r w:rsidR="00107DCC">
        <w:rPr>
          <w:rFonts w:ascii="Arial" w:hAnsi="Arial"/>
          <w:lang w:val="en-GB"/>
        </w:rPr>
        <w:t>Yamagata) was</w:t>
      </w:r>
      <w:r w:rsidR="00107DCC" w:rsidRPr="0000520C">
        <w:rPr>
          <w:rFonts w:ascii="Arial" w:hAnsi="Arial"/>
          <w:lang w:val="en-GB"/>
        </w:rPr>
        <w:t xml:space="preserve"> </w:t>
      </w:r>
      <w:r w:rsidR="00107DCC">
        <w:rPr>
          <w:rFonts w:ascii="Arial" w:hAnsi="Arial"/>
          <w:lang w:val="en-GB"/>
        </w:rPr>
        <w:t xml:space="preserve">recommended by </w:t>
      </w:r>
      <w:proofErr w:type="gramStart"/>
      <w:r w:rsidR="00107DCC">
        <w:rPr>
          <w:rFonts w:ascii="Arial" w:hAnsi="Arial"/>
          <w:lang w:val="en-GB"/>
        </w:rPr>
        <w:t>WHO</w:t>
      </w:r>
      <w:proofErr w:type="gramEnd"/>
      <w:r w:rsidR="00107DCC">
        <w:rPr>
          <w:rFonts w:ascii="Arial" w:hAnsi="Arial"/>
          <w:lang w:val="en-GB"/>
        </w:rPr>
        <w:t xml:space="preserve"> for </w:t>
      </w:r>
      <w:r w:rsidR="00107DCC" w:rsidRPr="00774F3B">
        <w:rPr>
          <w:rFonts w:ascii="Arial" w:hAnsi="Arial"/>
          <w:lang w:val="en-GB"/>
        </w:rPr>
        <w:t xml:space="preserve">the </w:t>
      </w:r>
      <w:r w:rsidR="00107DCC">
        <w:rPr>
          <w:rFonts w:ascii="Arial" w:hAnsi="Arial"/>
          <w:lang w:val="en-GB"/>
        </w:rPr>
        <w:t xml:space="preserve">Northern Hemisphere </w:t>
      </w:r>
      <w:r w:rsidR="00107DCC" w:rsidRPr="00774F3B">
        <w:rPr>
          <w:rFonts w:ascii="Arial" w:hAnsi="Arial"/>
          <w:lang w:val="en-GB"/>
        </w:rPr>
        <w:t>season 20</w:t>
      </w:r>
      <w:r w:rsidR="00107DCC">
        <w:rPr>
          <w:rFonts w:ascii="Arial" w:hAnsi="Arial"/>
          <w:lang w:val="en-GB"/>
        </w:rPr>
        <w:t>08</w:t>
      </w:r>
      <w:r w:rsidR="00107DCC" w:rsidRPr="00774F3B">
        <w:rPr>
          <w:rFonts w:ascii="Arial" w:hAnsi="Arial"/>
          <w:lang w:val="en-GB"/>
        </w:rPr>
        <w:t>-20</w:t>
      </w:r>
      <w:r w:rsidR="00107DCC">
        <w:rPr>
          <w:rFonts w:ascii="Arial" w:hAnsi="Arial"/>
          <w:lang w:val="en-GB"/>
        </w:rPr>
        <w:t>09.</w:t>
      </w:r>
    </w:p>
    <w:p w:rsidR="00882490" w:rsidRDefault="003742B4" w:rsidP="00882490">
      <w:pPr>
        <w:tabs>
          <w:tab w:val="left" w:pos="10173"/>
          <w:tab w:val="left" w:pos="10456"/>
        </w:tabs>
        <w:spacing w:line="360" w:lineRule="atLeast"/>
        <w:ind w:right="27"/>
        <w:jc w:val="both"/>
        <w:rPr>
          <w:rFonts w:ascii="Arial" w:hAnsi="Arial"/>
          <w:lang w:val="en-GB"/>
        </w:rPr>
      </w:pPr>
      <w:r>
        <w:rPr>
          <w:rFonts w:ascii="Arial" w:hAnsi="Arial"/>
          <w:vertAlign w:val="superscript"/>
          <w:lang w:val="en-GB"/>
        </w:rPr>
        <w:t>2</w:t>
      </w:r>
      <w:r w:rsidR="00882490" w:rsidRPr="00774F3B">
        <w:rPr>
          <w:rFonts w:ascii="Arial" w:hAnsi="Arial"/>
          <w:lang w:val="en-GB"/>
        </w:rPr>
        <w:t>containing A/H1N1, A/H3N2 and B (Victoria lineage)</w:t>
      </w:r>
    </w:p>
    <w:p w:rsidR="00235829" w:rsidRPr="00774F3B" w:rsidRDefault="003742B4" w:rsidP="00882490">
      <w:pPr>
        <w:tabs>
          <w:tab w:val="left" w:pos="10173"/>
          <w:tab w:val="left" w:pos="10456"/>
        </w:tabs>
        <w:spacing w:line="360" w:lineRule="atLeast"/>
        <w:ind w:right="27"/>
        <w:jc w:val="both"/>
        <w:rPr>
          <w:rFonts w:ascii="Arial" w:hAnsi="Arial"/>
          <w:lang w:val="en-GB"/>
        </w:rPr>
      </w:pPr>
      <w:r>
        <w:rPr>
          <w:rFonts w:ascii="Arial" w:hAnsi="Arial"/>
          <w:vertAlign w:val="superscript"/>
          <w:lang w:val="en-GB"/>
        </w:rPr>
        <w:t>3</w:t>
      </w:r>
      <w:r w:rsidR="00235829" w:rsidRPr="00774F3B">
        <w:rPr>
          <w:rFonts w:ascii="Arial" w:hAnsi="Arial"/>
          <w:lang w:val="en-GB"/>
        </w:rPr>
        <w:t>containing A/H1N1, A/H3N2 and B (</w:t>
      </w:r>
      <w:r w:rsidR="00235829">
        <w:rPr>
          <w:rFonts w:ascii="Arial" w:hAnsi="Arial"/>
          <w:lang w:val="en-GB"/>
        </w:rPr>
        <w:t>Yamagata</w:t>
      </w:r>
      <w:r w:rsidR="003D1656">
        <w:rPr>
          <w:rFonts w:ascii="Arial" w:hAnsi="Arial"/>
          <w:lang w:val="en-GB"/>
        </w:rPr>
        <w:t xml:space="preserve"> </w:t>
      </w:r>
      <w:r w:rsidR="003D1656" w:rsidRPr="00774F3B">
        <w:rPr>
          <w:rFonts w:ascii="Arial" w:hAnsi="Arial"/>
          <w:lang w:val="en-GB"/>
        </w:rPr>
        <w:t>lineage</w:t>
      </w:r>
      <w:r w:rsidR="00235829" w:rsidRPr="00774F3B">
        <w:rPr>
          <w:rFonts w:ascii="Arial" w:hAnsi="Arial"/>
          <w:lang w:val="en-GB"/>
        </w:rPr>
        <w:t>)</w:t>
      </w:r>
    </w:p>
    <w:p w:rsidR="00B1220E" w:rsidRPr="00774F3B" w:rsidRDefault="003742B4" w:rsidP="00882490">
      <w:pPr>
        <w:tabs>
          <w:tab w:val="left" w:pos="10173"/>
          <w:tab w:val="left" w:pos="10456"/>
        </w:tabs>
        <w:spacing w:line="360" w:lineRule="atLeast"/>
        <w:ind w:right="27"/>
        <w:jc w:val="both"/>
        <w:rPr>
          <w:rFonts w:ascii="Arial" w:hAnsi="Arial"/>
          <w:lang w:val="en-GB"/>
        </w:rPr>
      </w:pPr>
      <w:r>
        <w:rPr>
          <w:rFonts w:ascii="Arial" w:hAnsi="Arial"/>
          <w:vertAlign w:val="superscript"/>
          <w:lang w:val="en-GB"/>
        </w:rPr>
        <w:t>4</w:t>
      </w:r>
      <w:r w:rsidR="003D1656">
        <w:rPr>
          <w:rFonts w:ascii="Arial" w:hAnsi="Arial"/>
          <w:lang w:val="en-GB"/>
        </w:rPr>
        <w:t>B strain not included in comparator TIV vaccine.  I</w:t>
      </w:r>
      <w:r w:rsidR="00B1220E">
        <w:rPr>
          <w:rFonts w:ascii="Arial" w:hAnsi="Arial"/>
          <w:lang w:val="en-GB"/>
        </w:rPr>
        <w:t xml:space="preserve">mmunological responses to B strains not contained in the TIV are indicative of </w:t>
      </w:r>
      <w:r w:rsidR="00B279A6">
        <w:rPr>
          <w:rFonts w:ascii="Arial" w:hAnsi="Arial"/>
          <w:lang w:val="en-GB"/>
        </w:rPr>
        <w:t xml:space="preserve">primed </w:t>
      </w:r>
      <w:r w:rsidR="00822070" w:rsidRPr="00822070">
        <w:rPr>
          <w:rFonts w:ascii="Arial" w:hAnsi="Arial"/>
          <w:lang w:val="en-GB"/>
        </w:rPr>
        <w:t>individuals</w:t>
      </w:r>
      <w:r w:rsidR="00B279A6">
        <w:rPr>
          <w:rFonts w:ascii="Arial" w:hAnsi="Arial"/>
          <w:lang w:val="en-GB"/>
        </w:rPr>
        <w:t xml:space="preserve"> following </w:t>
      </w:r>
      <w:r w:rsidR="00D26FC8">
        <w:rPr>
          <w:rFonts w:ascii="Arial" w:hAnsi="Arial"/>
          <w:lang w:val="en-GB"/>
        </w:rPr>
        <w:t>prior vaccination or exposure to circulating strains</w:t>
      </w:r>
      <w:r w:rsidR="00B72009">
        <w:rPr>
          <w:rFonts w:ascii="Arial" w:hAnsi="Arial"/>
          <w:lang w:val="en-GB"/>
        </w:rPr>
        <w:t>.</w:t>
      </w:r>
    </w:p>
    <w:p w:rsidR="00774F3B" w:rsidRDefault="00774F3B" w:rsidP="00882490">
      <w:pPr>
        <w:tabs>
          <w:tab w:val="left" w:pos="10173"/>
          <w:tab w:val="left" w:pos="10456"/>
        </w:tabs>
        <w:spacing w:line="360" w:lineRule="atLeast"/>
        <w:ind w:right="27"/>
        <w:jc w:val="both"/>
        <w:rPr>
          <w:rFonts w:ascii="Arial" w:hAnsi="Arial"/>
          <w:sz w:val="22"/>
          <w:lang w:val="en-GB"/>
        </w:rPr>
      </w:pPr>
    </w:p>
    <w:p w:rsidR="00882490" w:rsidRDefault="00882490" w:rsidP="00882490">
      <w:pPr>
        <w:tabs>
          <w:tab w:val="left" w:pos="10173"/>
          <w:tab w:val="left" w:pos="10456"/>
        </w:tabs>
        <w:spacing w:line="360" w:lineRule="atLeast"/>
        <w:ind w:right="27"/>
        <w:jc w:val="both"/>
        <w:rPr>
          <w:rFonts w:ascii="Arial" w:hAnsi="Arial"/>
          <w:sz w:val="22"/>
          <w:lang w:val="en-GB"/>
        </w:rPr>
      </w:pPr>
      <w:r w:rsidRPr="00882490">
        <w:rPr>
          <w:rFonts w:ascii="Arial" w:hAnsi="Arial"/>
          <w:sz w:val="22"/>
          <w:lang w:val="en-GB"/>
        </w:rPr>
        <w:t>Post-vaccination seroprotection rates for Fluarix Tetra were 96.6% against A/H1N1, 98.0% against A/H3N2, 97.3% against B (Victoria) and 99.2% against B (Yamagata).</w:t>
      </w:r>
    </w:p>
    <w:p w:rsidR="00C83E3B" w:rsidRDefault="00C83E3B">
      <w:pPr>
        <w:rPr>
          <w:rFonts w:ascii="Arial" w:hAnsi="Arial" w:cs="Arial"/>
          <w:b/>
          <w:sz w:val="22"/>
          <w:szCs w:val="22"/>
          <w:lang w:val="en-GB"/>
        </w:rPr>
      </w:pPr>
    </w:p>
    <w:p w:rsidR="0077380F" w:rsidRPr="00937EBC" w:rsidRDefault="0077380F" w:rsidP="00053893">
      <w:pPr>
        <w:spacing w:before="120" w:after="240"/>
        <w:jc w:val="both"/>
        <w:rPr>
          <w:rFonts w:ascii="Arial" w:hAnsi="Arial" w:cs="Arial"/>
          <w:b/>
          <w:sz w:val="22"/>
          <w:szCs w:val="22"/>
          <w:lang w:val="en-GB"/>
        </w:rPr>
      </w:pPr>
      <w:r w:rsidRPr="00937EBC">
        <w:rPr>
          <w:rFonts w:ascii="Arial" w:hAnsi="Arial" w:cs="Arial"/>
          <w:b/>
          <w:sz w:val="22"/>
          <w:szCs w:val="22"/>
          <w:lang w:val="en-GB"/>
        </w:rPr>
        <w:t>INDICATIONS</w:t>
      </w:r>
    </w:p>
    <w:p w:rsidR="00EA58A4" w:rsidRDefault="00EA58A4" w:rsidP="00EA58A4">
      <w:pPr>
        <w:tabs>
          <w:tab w:val="left" w:pos="10173"/>
          <w:tab w:val="left" w:pos="10456"/>
        </w:tabs>
        <w:spacing w:line="360" w:lineRule="atLeast"/>
        <w:ind w:right="27"/>
        <w:jc w:val="both"/>
        <w:rPr>
          <w:rFonts w:ascii="Arial" w:hAnsi="Arial"/>
          <w:sz w:val="22"/>
          <w:lang w:val="en-GB"/>
        </w:rPr>
      </w:pPr>
      <w:r w:rsidRPr="00EA58A4">
        <w:rPr>
          <w:rFonts w:ascii="Arial" w:hAnsi="Arial"/>
          <w:sz w:val="22"/>
          <w:lang w:val="en-GB"/>
        </w:rPr>
        <w:t xml:space="preserve">Fluarix Tetra is a quadrivalent vaccine indicated for active immunisation of adults and children from 3 years of age for the prevention of influenza disease caused by </w:t>
      </w:r>
      <w:r w:rsidR="008F5C5D">
        <w:rPr>
          <w:rFonts w:ascii="Arial" w:hAnsi="Arial"/>
          <w:sz w:val="22"/>
          <w:lang w:val="en-GB"/>
        </w:rPr>
        <w:t xml:space="preserve">the </w:t>
      </w:r>
      <w:r w:rsidRPr="00EA58A4">
        <w:rPr>
          <w:rFonts w:ascii="Arial" w:hAnsi="Arial"/>
          <w:sz w:val="22"/>
          <w:lang w:val="en-GB"/>
        </w:rPr>
        <w:t>influenza virus types A and B contained in the vaccine.</w:t>
      </w:r>
    </w:p>
    <w:p w:rsidR="006555DF" w:rsidRDefault="006555DF" w:rsidP="00EA58A4">
      <w:pPr>
        <w:tabs>
          <w:tab w:val="left" w:pos="10173"/>
          <w:tab w:val="left" w:pos="10456"/>
        </w:tabs>
        <w:spacing w:line="360" w:lineRule="atLeast"/>
        <w:ind w:right="27"/>
        <w:jc w:val="both"/>
        <w:rPr>
          <w:rFonts w:ascii="Arial" w:hAnsi="Arial"/>
          <w:sz w:val="22"/>
          <w:lang w:val="en-GB"/>
        </w:rPr>
      </w:pPr>
      <w:r w:rsidRPr="006555DF">
        <w:rPr>
          <w:rFonts w:ascii="Arial" w:hAnsi="Arial"/>
          <w:sz w:val="22"/>
          <w:lang w:val="en-GB"/>
        </w:rPr>
        <w:lastRenderedPageBreak/>
        <w:t xml:space="preserve">The use of </w:t>
      </w:r>
      <w:proofErr w:type="spellStart"/>
      <w:r w:rsidRPr="006555DF">
        <w:rPr>
          <w:rFonts w:ascii="Arial" w:hAnsi="Arial"/>
          <w:sz w:val="22"/>
          <w:lang w:val="en-GB"/>
        </w:rPr>
        <w:t>Fluarix</w:t>
      </w:r>
      <w:proofErr w:type="spellEnd"/>
      <w:r w:rsidRPr="006555DF">
        <w:rPr>
          <w:rFonts w:ascii="Arial" w:hAnsi="Arial"/>
          <w:sz w:val="22"/>
          <w:lang w:val="en-GB"/>
        </w:rPr>
        <w:t xml:space="preserve"> Tetra should be based on official recommendations</w:t>
      </w:r>
    </w:p>
    <w:p w:rsidR="00EA58A4" w:rsidRPr="00937EBC" w:rsidRDefault="00EA58A4" w:rsidP="00EA58A4">
      <w:pPr>
        <w:spacing w:before="120" w:after="240"/>
        <w:jc w:val="both"/>
        <w:rPr>
          <w:rFonts w:ascii="Arial" w:hAnsi="Arial" w:cs="Arial"/>
          <w:b/>
          <w:sz w:val="22"/>
          <w:szCs w:val="22"/>
          <w:lang w:val="en-GB"/>
        </w:rPr>
      </w:pPr>
    </w:p>
    <w:p w:rsidR="0077380F" w:rsidRPr="00937EBC" w:rsidRDefault="0077380F" w:rsidP="00053893">
      <w:pPr>
        <w:spacing w:before="120" w:after="240"/>
        <w:jc w:val="both"/>
        <w:rPr>
          <w:rFonts w:ascii="Arial" w:hAnsi="Arial" w:cs="Arial"/>
          <w:b/>
          <w:sz w:val="22"/>
          <w:szCs w:val="22"/>
          <w:lang w:val="en-GB"/>
        </w:rPr>
      </w:pPr>
      <w:r w:rsidRPr="00937EBC">
        <w:rPr>
          <w:rFonts w:ascii="Arial" w:hAnsi="Arial" w:cs="Arial"/>
          <w:b/>
          <w:sz w:val="22"/>
          <w:szCs w:val="22"/>
          <w:lang w:val="en-GB"/>
        </w:rPr>
        <w:t>CONTRAINDICATIONS</w:t>
      </w:r>
    </w:p>
    <w:p w:rsidR="00EA58A4" w:rsidRDefault="00EA58A4" w:rsidP="00EA58A4">
      <w:pPr>
        <w:tabs>
          <w:tab w:val="left" w:pos="10173"/>
          <w:tab w:val="left" w:pos="10456"/>
        </w:tabs>
        <w:spacing w:line="360" w:lineRule="atLeast"/>
        <w:ind w:right="27"/>
        <w:jc w:val="both"/>
        <w:rPr>
          <w:rFonts w:ascii="Arial" w:hAnsi="Arial"/>
          <w:sz w:val="22"/>
          <w:lang w:val="en-GB"/>
        </w:rPr>
      </w:pPr>
      <w:r w:rsidRPr="00EA58A4">
        <w:rPr>
          <w:rFonts w:ascii="Arial" w:hAnsi="Arial"/>
          <w:sz w:val="22"/>
          <w:lang w:val="en-GB"/>
        </w:rPr>
        <w:t xml:space="preserve">Fluarix Tetra should not be administered to </w:t>
      </w:r>
      <w:r w:rsidR="00822070" w:rsidRPr="00822070">
        <w:rPr>
          <w:rFonts w:ascii="Arial" w:hAnsi="Arial"/>
          <w:sz w:val="22"/>
          <w:lang w:val="en-GB"/>
        </w:rPr>
        <w:t>individuals</w:t>
      </w:r>
      <w:r w:rsidRPr="00EA58A4">
        <w:rPr>
          <w:rFonts w:ascii="Arial" w:hAnsi="Arial"/>
          <w:sz w:val="22"/>
          <w:lang w:val="en-GB"/>
        </w:rPr>
        <w:t xml:space="preserve"> with known hypersensitivity after previous administration of Fluarix Tetra or influenza vaccines or to any component of the vaccine.</w:t>
      </w:r>
    </w:p>
    <w:p w:rsidR="004F640B" w:rsidRPr="00937EBC" w:rsidRDefault="004F640B" w:rsidP="00053893">
      <w:pPr>
        <w:spacing w:before="120" w:after="240"/>
        <w:jc w:val="both"/>
        <w:rPr>
          <w:rFonts w:ascii="Arial" w:hAnsi="Arial" w:cs="Arial"/>
          <w:b/>
          <w:sz w:val="22"/>
          <w:szCs w:val="22"/>
          <w:lang w:val="en-GB"/>
        </w:rPr>
      </w:pPr>
    </w:p>
    <w:p w:rsidR="0077380F" w:rsidRPr="00937EBC" w:rsidRDefault="0077380F" w:rsidP="00053893">
      <w:pPr>
        <w:spacing w:before="120" w:after="240"/>
        <w:jc w:val="both"/>
        <w:rPr>
          <w:rFonts w:ascii="Arial" w:hAnsi="Arial" w:cs="Arial"/>
          <w:b/>
          <w:sz w:val="22"/>
          <w:szCs w:val="22"/>
          <w:lang w:val="en-GB"/>
        </w:rPr>
      </w:pPr>
      <w:r w:rsidRPr="00937EBC">
        <w:rPr>
          <w:rFonts w:ascii="Arial" w:hAnsi="Arial" w:cs="Arial"/>
          <w:b/>
          <w:sz w:val="22"/>
          <w:szCs w:val="22"/>
          <w:lang w:val="en-GB"/>
        </w:rPr>
        <w:t>PRECAUTIONS</w:t>
      </w:r>
    </w:p>
    <w:p w:rsidR="0022557A" w:rsidRDefault="0022557A" w:rsidP="0022557A">
      <w:pPr>
        <w:spacing w:line="360" w:lineRule="atLeast"/>
        <w:jc w:val="both"/>
        <w:rPr>
          <w:rFonts w:ascii="Arial" w:hAnsi="Arial"/>
          <w:b/>
          <w:sz w:val="22"/>
        </w:rPr>
      </w:pPr>
      <w:r>
        <w:rPr>
          <w:rFonts w:ascii="Arial" w:hAnsi="Arial"/>
          <w:b/>
          <w:sz w:val="22"/>
        </w:rPr>
        <w:t xml:space="preserve">Fluarix </w:t>
      </w:r>
      <w:r w:rsidR="008B64FD">
        <w:rPr>
          <w:rFonts w:ascii="Arial" w:hAnsi="Arial"/>
          <w:b/>
          <w:sz w:val="22"/>
        </w:rPr>
        <w:t xml:space="preserve">Tetra </w:t>
      </w:r>
      <w:r>
        <w:rPr>
          <w:rFonts w:ascii="Arial" w:hAnsi="Arial"/>
          <w:b/>
          <w:sz w:val="22"/>
        </w:rPr>
        <w:t xml:space="preserve">should under no circumstances be administered </w:t>
      </w:r>
      <w:r w:rsidR="00F71B59">
        <w:rPr>
          <w:rFonts w:ascii="Arial" w:hAnsi="Arial"/>
          <w:b/>
          <w:sz w:val="22"/>
        </w:rPr>
        <w:t>intravascularly</w:t>
      </w:r>
      <w:r>
        <w:rPr>
          <w:rFonts w:ascii="Arial" w:hAnsi="Arial"/>
          <w:b/>
          <w:sz w:val="22"/>
        </w:rPr>
        <w:t>.</w:t>
      </w:r>
    </w:p>
    <w:p w:rsidR="0022557A" w:rsidRDefault="0022557A" w:rsidP="0022557A">
      <w:pPr>
        <w:tabs>
          <w:tab w:val="left" w:pos="10173"/>
          <w:tab w:val="left" w:pos="10456"/>
        </w:tabs>
        <w:spacing w:line="360" w:lineRule="atLeast"/>
        <w:ind w:right="27"/>
        <w:jc w:val="both"/>
        <w:rPr>
          <w:rFonts w:ascii="Arial" w:hAnsi="Arial"/>
          <w:sz w:val="22"/>
          <w:lang w:val="en-GB"/>
        </w:rPr>
      </w:pPr>
    </w:p>
    <w:p w:rsidR="00D32123" w:rsidRDefault="0022557A" w:rsidP="0022557A">
      <w:pPr>
        <w:tabs>
          <w:tab w:val="left" w:pos="10173"/>
          <w:tab w:val="left" w:pos="10456"/>
        </w:tabs>
        <w:spacing w:line="360" w:lineRule="atLeast"/>
        <w:ind w:right="27"/>
        <w:jc w:val="both"/>
        <w:rPr>
          <w:rFonts w:ascii="Arial" w:hAnsi="Arial"/>
          <w:sz w:val="22"/>
          <w:lang w:val="en-GB"/>
        </w:rPr>
      </w:pPr>
      <w:r w:rsidRPr="0022557A">
        <w:rPr>
          <w:rFonts w:ascii="Arial" w:hAnsi="Arial"/>
          <w:sz w:val="22"/>
          <w:lang w:val="en-GB"/>
        </w:rPr>
        <w:t>As with all injectable vaccines, appropriate medical treatment and supervision should always be readily available in case of an anaphylactic event following the administration of the vaccine.</w:t>
      </w:r>
    </w:p>
    <w:p w:rsidR="0022557A" w:rsidRDefault="0022557A" w:rsidP="0022557A">
      <w:pPr>
        <w:tabs>
          <w:tab w:val="left" w:pos="10173"/>
          <w:tab w:val="left" w:pos="10456"/>
        </w:tabs>
        <w:spacing w:line="360" w:lineRule="atLeast"/>
        <w:ind w:right="27"/>
        <w:jc w:val="both"/>
        <w:rPr>
          <w:rFonts w:ascii="Arial" w:hAnsi="Arial"/>
          <w:sz w:val="22"/>
          <w:lang w:val="en-GB"/>
        </w:rPr>
      </w:pPr>
    </w:p>
    <w:p w:rsidR="0022557A" w:rsidRDefault="0022557A" w:rsidP="0022557A">
      <w:pPr>
        <w:tabs>
          <w:tab w:val="left" w:pos="10173"/>
          <w:tab w:val="left" w:pos="10456"/>
        </w:tabs>
        <w:spacing w:line="360" w:lineRule="atLeast"/>
        <w:ind w:right="27"/>
        <w:jc w:val="both"/>
        <w:rPr>
          <w:rFonts w:ascii="Arial" w:hAnsi="Arial"/>
          <w:sz w:val="22"/>
          <w:lang w:val="en-GB"/>
        </w:rPr>
      </w:pPr>
      <w:r w:rsidRPr="0022557A">
        <w:rPr>
          <w:rFonts w:ascii="Arial" w:hAnsi="Arial"/>
          <w:sz w:val="22"/>
          <w:lang w:val="en-GB"/>
        </w:rPr>
        <w:t xml:space="preserve">As with other vaccines, vaccination with Fluarix Tetra should be postponed in </w:t>
      </w:r>
      <w:r w:rsidR="00822070" w:rsidRPr="00822070">
        <w:rPr>
          <w:rFonts w:ascii="Arial" w:hAnsi="Arial"/>
          <w:sz w:val="22"/>
          <w:lang w:val="en-GB"/>
        </w:rPr>
        <w:t>individuals</w:t>
      </w:r>
      <w:r w:rsidRPr="0022557A">
        <w:rPr>
          <w:rFonts w:ascii="Arial" w:hAnsi="Arial"/>
          <w:sz w:val="22"/>
          <w:lang w:val="en-GB"/>
        </w:rPr>
        <w:t xml:space="preserve"> suffering from an acute severe febrile illness. The presence of a minor infection, such as a cold, should not result in the deferral of vaccination.</w:t>
      </w:r>
    </w:p>
    <w:p w:rsidR="0022557A" w:rsidRPr="0022557A" w:rsidRDefault="0022557A" w:rsidP="0022557A">
      <w:pPr>
        <w:tabs>
          <w:tab w:val="left" w:pos="10173"/>
          <w:tab w:val="left" w:pos="10456"/>
        </w:tabs>
        <w:spacing w:line="360" w:lineRule="atLeast"/>
        <w:ind w:right="27"/>
        <w:jc w:val="both"/>
        <w:rPr>
          <w:rFonts w:ascii="Arial" w:hAnsi="Arial"/>
          <w:sz w:val="22"/>
          <w:lang w:val="en-GB"/>
        </w:rPr>
      </w:pPr>
    </w:p>
    <w:p w:rsidR="0022557A" w:rsidRDefault="0022557A" w:rsidP="0022557A">
      <w:pPr>
        <w:tabs>
          <w:tab w:val="left" w:pos="10173"/>
          <w:tab w:val="left" w:pos="10456"/>
        </w:tabs>
        <w:spacing w:line="360" w:lineRule="atLeast"/>
        <w:ind w:right="27"/>
        <w:jc w:val="both"/>
        <w:rPr>
          <w:rFonts w:ascii="Arial" w:hAnsi="Arial"/>
          <w:sz w:val="22"/>
          <w:lang w:val="en-GB"/>
        </w:rPr>
      </w:pPr>
      <w:r w:rsidRPr="0022557A">
        <w:rPr>
          <w:rFonts w:ascii="Arial" w:hAnsi="Arial"/>
          <w:sz w:val="22"/>
          <w:lang w:val="en-GB"/>
        </w:rPr>
        <w:t>It may be expected that in patients receiving immunosuppressive treatment or patients with immunodeficiency, an adequate immune response may not be elicited.</w:t>
      </w:r>
    </w:p>
    <w:p w:rsidR="0022557A" w:rsidRPr="0022557A" w:rsidRDefault="0022557A" w:rsidP="0022557A">
      <w:pPr>
        <w:tabs>
          <w:tab w:val="left" w:pos="10173"/>
          <w:tab w:val="left" w:pos="10456"/>
        </w:tabs>
        <w:spacing w:line="360" w:lineRule="atLeast"/>
        <w:ind w:right="27"/>
        <w:jc w:val="both"/>
        <w:rPr>
          <w:rFonts w:ascii="Arial" w:hAnsi="Arial"/>
          <w:sz w:val="22"/>
          <w:lang w:val="en-GB"/>
        </w:rPr>
      </w:pPr>
    </w:p>
    <w:p w:rsidR="0022557A" w:rsidRDefault="0022557A" w:rsidP="0022557A">
      <w:pPr>
        <w:tabs>
          <w:tab w:val="left" w:pos="10173"/>
          <w:tab w:val="left" w:pos="10456"/>
        </w:tabs>
        <w:spacing w:line="360" w:lineRule="atLeast"/>
        <w:ind w:right="27"/>
        <w:jc w:val="both"/>
        <w:rPr>
          <w:rFonts w:ascii="Arial" w:hAnsi="Arial"/>
          <w:sz w:val="22"/>
          <w:lang w:val="en-GB"/>
        </w:rPr>
      </w:pPr>
      <w:r w:rsidRPr="0022557A">
        <w:rPr>
          <w:rFonts w:ascii="Arial" w:hAnsi="Arial"/>
          <w:sz w:val="22"/>
          <w:lang w:val="en-GB"/>
        </w:rPr>
        <w:t>Fluarix Tetra is not effective against all possible strains of influenza virus. Fluarix Tetra is intended to provide protection against those strains of virus from which the vaccine is prepared and to closely related strains.</w:t>
      </w:r>
    </w:p>
    <w:p w:rsidR="0022557A" w:rsidRDefault="0022557A" w:rsidP="0022557A">
      <w:pPr>
        <w:tabs>
          <w:tab w:val="left" w:pos="10173"/>
          <w:tab w:val="left" w:pos="10456"/>
        </w:tabs>
        <w:spacing w:line="360" w:lineRule="atLeast"/>
        <w:ind w:right="27"/>
        <w:jc w:val="both"/>
        <w:rPr>
          <w:rFonts w:ascii="Arial" w:hAnsi="Arial"/>
          <w:sz w:val="22"/>
          <w:lang w:val="en-GB"/>
        </w:rPr>
      </w:pPr>
    </w:p>
    <w:p w:rsidR="00843EDB" w:rsidRPr="00843EDB" w:rsidRDefault="00843EDB" w:rsidP="00843EDB">
      <w:pPr>
        <w:tabs>
          <w:tab w:val="left" w:pos="10173"/>
          <w:tab w:val="left" w:pos="10456"/>
        </w:tabs>
        <w:spacing w:line="360" w:lineRule="atLeast"/>
        <w:ind w:right="27"/>
        <w:jc w:val="both"/>
        <w:rPr>
          <w:rFonts w:ascii="Arial" w:hAnsi="Arial"/>
          <w:sz w:val="22"/>
          <w:lang w:val="en-GB"/>
        </w:rPr>
      </w:pPr>
      <w:r w:rsidRPr="00843EDB">
        <w:rPr>
          <w:rFonts w:ascii="Arial" w:hAnsi="Arial"/>
          <w:sz w:val="22"/>
          <w:lang w:val="en-GB"/>
        </w:rPr>
        <w:t>Patients with a history of Guillain-Barre Syndrome (GBS) with an onset within six weeks of an influenza vaccination may be at increased risk of again developing GBS if given influenza vaccine.  Such risk should be weighed against the benefits to the individual patient of influenza vaccination.</w:t>
      </w:r>
    </w:p>
    <w:p w:rsidR="00843EDB" w:rsidRPr="00843EDB" w:rsidRDefault="00843EDB" w:rsidP="00843EDB">
      <w:pPr>
        <w:tabs>
          <w:tab w:val="left" w:pos="10173"/>
          <w:tab w:val="left" w:pos="10456"/>
        </w:tabs>
        <w:spacing w:line="360" w:lineRule="atLeast"/>
        <w:ind w:right="27"/>
        <w:jc w:val="both"/>
        <w:rPr>
          <w:rFonts w:ascii="Arial" w:hAnsi="Arial"/>
          <w:sz w:val="22"/>
          <w:lang w:val="en-GB"/>
        </w:rPr>
      </w:pPr>
    </w:p>
    <w:p w:rsidR="00843EDB" w:rsidRDefault="00843EDB" w:rsidP="00843EDB">
      <w:pPr>
        <w:tabs>
          <w:tab w:val="left" w:pos="10173"/>
          <w:tab w:val="left" w:pos="10456"/>
        </w:tabs>
        <w:spacing w:line="360" w:lineRule="atLeast"/>
        <w:ind w:right="27"/>
        <w:jc w:val="both"/>
        <w:rPr>
          <w:rFonts w:ascii="Arial" w:hAnsi="Arial"/>
          <w:sz w:val="22"/>
          <w:lang w:val="en-GB"/>
        </w:rPr>
      </w:pPr>
      <w:r w:rsidRPr="00843EDB">
        <w:rPr>
          <w:rFonts w:ascii="Arial" w:hAnsi="Arial"/>
          <w:sz w:val="22"/>
          <w:lang w:val="en-GB"/>
        </w:rPr>
        <w:t>As patients with a history of GBS have an increased likelihood of again developing the syndrome, the chance of them coincidently developing the syndrome following influenza vaccination may be higher than in individuals with no history of GBS.</w:t>
      </w:r>
    </w:p>
    <w:p w:rsidR="00843EDB" w:rsidRPr="0022557A" w:rsidRDefault="00843EDB" w:rsidP="0022557A">
      <w:pPr>
        <w:tabs>
          <w:tab w:val="left" w:pos="10173"/>
          <w:tab w:val="left" w:pos="10456"/>
        </w:tabs>
        <w:spacing w:line="360" w:lineRule="atLeast"/>
        <w:ind w:right="27"/>
        <w:jc w:val="both"/>
        <w:rPr>
          <w:rFonts w:ascii="Arial" w:hAnsi="Arial"/>
          <w:sz w:val="22"/>
          <w:lang w:val="en-GB"/>
        </w:rPr>
      </w:pPr>
    </w:p>
    <w:p w:rsidR="0022557A" w:rsidRDefault="0022557A" w:rsidP="0022557A">
      <w:pPr>
        <w:tabs>
          <w:tab w:val="left" w:pos="10173"/>
          <w:tab w:val="left" w:pos="10456"/>
        </w:tabs>
        <w:spacing w:line="360" w:lineRule="atLeast"/>
        <w:ind w:right="27"/>
        <w:jc w:val="both"/>
        <w:rPr>
          <w:rFonts w:ascii="Arial" w:hAnsi="Arial"/>
          <w:sz w:val="22"/>
          <w:lang w:val="en-GB"/>
        </w:rPr>
      </w:pPr>
      <w:r w:rsidRPr="0022557A">
        <w:rPr>
          <w:rFonts w:ascii="Arial" w:hAnsi="Arial"/>
          <w:sz w:val="22"/>
          <w:lang w:val="en-GB"/>
        </w:rPr>
        <w:lastRenderedPageBreak/>
        <w:t>As with any vaccine, a protective immune response may not be elicited in all vaccinees.</w:t>
      </w:r>
    </w:p>
    <w:p w:rsidR="0022557A" w:rsidRPr="0022557A" w:rsidRDefault="0022557A" w:rsidP="0022557A">
      <w:pPr>
        <w:tabs>
          <w:tab w:val="left" w:pos="10173"/>
          <w:tab w:val="left" w:pos="10456"/>
        </w:tabs>
        <w:spacing w:line="360" w:lineRule="atLeast"/>
        <w:ind w:right="27"/>
        <w:jc w:val="both"/>
        <w:rPr>
          <w:rFonts w:ascii="Arial" w:hAnsi="Arial"/>
          <w:sz w:val="22"/>
          <w:lang w:val="en-GB"/>
        </w:rPr>
      </w:pPr>
    </w:p>
    <w:p w:rsidR="0022557A" w:rsidRDefault="0022557A" w:rsidP="0022557A">
      <w:pPr>
        <w:tabs>
          <w:tab w:val="left" w:pos="10173"/>
          <w:tab w:val="left" w:pos="10456"/>
        </w:tabs>
        <w:spacing w:line="360" w:lineRule="atLeast"/>
        <w:ind w:right="27"/>
        <w:jc w:val="both"/>
        <w:rPr>
          <w:rFonts w:ascii="Arial" w:hAnsi="Arial"/>
          <w:sz w:val="22"/>
          <w:lang w:val="en-GB"/>
        </w:rPr>
      </w:pPr>
      <w:r w:rsidRPr="0022557A">
        <w:rPr>
          <w:rFonts w:ascii="Arial" w:hAnsi="Arial"/>
          <w:sz w:val="22"/>
          <w:lang w:val="en-GB"/>
        </w:rPr>
        <w:t xml:space="preserve">As with other vaccines administered intramuscularly, Fluarix Tetra should be given with caution to individuals with thrombocytopenia or any coagulation disorder since bleeding may occur following an intramuscular administration to these </w:t>
      </w:r>
      <w:r w:rsidR="00822070" w:rsidRPr="00822070">
        <w:rPr>
          <w:rFonts w:ascii="Arial" w:hAnsi="Arial"/>
          <w:sz w:val="22"/>
          <w:lang w:val="en-GB"/>
        </w:rPr>
        <w:t>individuals</w:t>
      </w:r>
      <w:r w:rsidRPr="0022557A">
        <w:rPr>
          <w:rFonts w:ascii="Arial" w:hAnsi="Arial"/>
          <w:sz w:val="22"/>
          <w:lang w:val="en-GB"/>
        </w:rPr>
        <w:t xml:space="preserve">. </w:t>
      </w:r>
    </w:p>
    <w:p w:rsidR="0022557A" w:rsidRPr="0022557A" w:rsidRDefault="0022557A" w:rsidP="0022557A">
      <w:pPr>
        <w:tabs>
          <w:tab w:val="left" w:pos="10173"/>
          <w:tab w:val="left" w:pos="10456"/>
        </w:tabs>
        <w:spacing w:line="360" w:lineRule="atLeast"/>
        <w:ind w:right="27"/>
        <w:jc w:val="both"/>
        <w:rPr>
          <w:rFonts w:ascii="Arial" w:hAnsi="Arial"/>
          <w:sz w:val="22"/>
          <w:lang w:val="en-GB"/>
        </w:rPr>
      </w:pPr>
    </w:p>
    <w:p w:rsidR="0022557A" w:rsidRDefault="0022557A" w:rsidP="0022557A">
      <w:pPr>
        <w:tabs>
          <w:tab w:val="left" w:pos="10173"/>
          <w:tab w:val="left" w:pos="10456"/>
        </w:tabs>
        <w:spacing w:line="360" w:lineRule="atLeast"/>
        <w:ind w:right="27"/>
        <w:jc w:val="both"/>
        <w:rPr>
          <w:rFonts w:ascii="Arial" w:hAnsi="Arial"/>
          <w:sz w:val="22"/>
          <w:lang w:val="en-GB"/>
        </w:rPr>
      </w:pPr>
      <w:r w:rsidRPr="0022557A">
        <w:rPr>
          <w:rFonts w:ascii="Arial" w:hAnsi="Arial"/>
          <w:sz w:val="22"/>
          <w:lang w:val="en-GB"/>
        </w:rPr>
        <w:t>Syncope (fainting) can occur following, or even before, any vaccination as a psychogenic response to the needle injection. It is important that procedures are in place to avoid injury from faints.</w:t>
      </w:r>
    </w:p>
    <w:p w:rsidR="003D5F03" w:rsidRDefault="003D5F03" w:rsidP="0022557A">
      <w:pPr>
        <w:tabs>
          <w:tab w:val="left" w:pos="10173"/>
          <w:tab w:val="left" w:pos="10456"/>
        </w:tabs>
        <w:spacing w:line="360" w:lineRule="atLeast"/>
        <w:ind w:right="27"/>
        <w:jc w:val="both"/>
        <w:rPr>
          <w:rFonts w:ascii="Arial" w:hAnsi="Arial"/>
          <w:sz w:val="22"/>
          <w:lang w:val="en-GB"/>
        </w:rPr>
      </w:pPr>
    </w:p>
    <w:p w:rsidR="003D5F03" w:rsidRPr="00937EBC" w:rsidRDefault="003D5F03" w:rsidP="003D5F03">
      <w:pPr>
        <w:jc w:val="both"/>
        <w:rPr>
          <w:rFonts w:ascii="Arial" w:hAnsi="Arial" w:cs="Arial"/>
          <w:b/>
          <w:sz w:val="22"/>
          <w:szCs w:val="22"/>
          <w:lang w:val="en-GB"/>
        </w:rPr>
      </w:pPr>
      <w:r w:rsidRPr="009755BA">
        <w:rPr>
          <w:rFonts w:ascii="Arial" w:hAnsi="Arial" w:cs="Arial"/>
          <w:b/>
          <w:sz w:val="22"/>
          <w:szCs w:val="22"/>
          <w:lang w:val="en-GB"/>
        </w:rPr>
        <w:t>Effects on fertility</w:t>
      </w:r>
      <w:r w:rsidRPr="00937EBC">
        <w:rPr>
          <w:rFonts w:ascii="Arial" w:hAnsi="Arial" w:cs="Arial"/>
          <w:b/>
          <w:sz w:val="22"/>
          <w:szCs w:val="22"/>
          <w:lang w:val="en-GB"/>
        </w:rPr>
        <w:t>:</w:t>
      </w:r>
    </w:p>
    <w:p w:rsidR="003B63E3" w:rsidRDefault="003D5F03" w:rsidP="0022557A">
      <w:pPr>
        <w:tabs>
          <w:tab w:val="left" w:pos="10173"/>
          <w:tab w:val="left" w:pos="10456"/>
        </w:tabs>
        <w:spacing w:line="360" w:lineRule="atLeast"/>
        <w:ind w:right="27"/>
        <w:jc w:val="both"/>
        <w:rPr>
          <w:rFonts w:ascii="Arial" w:hAnsi="Arial"/>
          <w:sz w:val="22"/>
          <w:lang w:val="en-GB"/>
        </w:rPr>
      </w:pPr>
      <w:r w:rsidRPr="009755BA">
        <w:rPr>
          <w:rFonts w:ascii="Arial" w:hAnsi="Arial"/>
          <w:sz w:val="22"/>
          <w:lang w:val="en-GB"/>
        </w:rPr>
        <w:t>A reproductive and developmental toxicity study in which female rats were</w:t>
      </w:r>
      <w:r>
        <w:rPr>
          <w:rFonts w:ascii="Arial" w:hAnsi="Arial"/>
          <w:sz w:val="22"/>
          <w:lang w:val="en-GB"/>
        </w:rPr>
        <w:t xml:space="preserve"> </w:t>
      </w:r>
      <w:r w:rsidRPr="009755BA">
        <w:rPr>
          <w:rFonts w:ascii="Arial" w:hAnsi="Arial"/>
          <w:sz w:val="22"/>
          <w:lang w:val="en-GB"/>
        </w:rPr>
        <w:t>administered Fluarix Tetra (0.2 mL dose per rat, approximately 80x the human</w:t>
      </w:r>
      <w:r>
        <w:rPr>
          <w:rFonts w:ascii="Arial" w:hAnsi="Arial"/>
          <w:sz w:val="22"/>
          <w:lang w:val="en-GB"/>
        </w:rPr>
        <w:t xml:space="preserve"> </w:t>
      </w:r>
      <w:r w:rsidRPr="009755BA">
        <w:rPr>
          <w:rFonts w:ascii="Arial" w:hAnsi="Arial"/>
          <w:sz w:val="22"/>
          <w:lang w:val="en-GB"/>
        </w:rPr>
        <w:t>dose on the basis of bodyweight) twice prior to mating showed no adverse effects</w:t>
      </w:r>
      <w:r>
        <w:rPr>
          <w:rFonts w:ascii="Arial" w:hAnsi="Arial"/>
          <w:sz w:val="22"/>
          <w:lang w:val="en-GB"/>
        </w:rPr>
        <w:t xml:space="preserve"> </w:t>
      </w:r>
      <w:r w:rsidRPr="009755BA">
        <w:rPr>
          <w:rFonts w:ascii="Arial" w:hAnsi="Arial"/>
          <w:sz w:val="22"/>
          <w:lang w:val="en-GB"/>
        </w:rPr>
        <w:t xml:space="preserve">on female fertility. </w:t>
      </w:r>
    </w:p>
    <w:p w:rsidR="00CB73E2" w:rsidRDefault="00CB73E2" w:rsidP="0022557A">
      <w:pPr>
        <w:tabs>
          <w:tab w:val="left" w:pos="10173"/>
          <w:tab w:val="left" w:pos="10456"/>
        </w:tabs>
        <w:spacing w:line="360" w:lineRule="atLeast"/>
        <w:ind w:right="27"/>
        <w:jc w:val="both"/>
        <w:rPr>
          <w:rFonts w:ascii="Arial" w:hAnsi="Arial"/>
          <w:sz w:val="22"/>
          <w:lang w:val="en-GB"/>
        </w:rPr>
      </w:pPr>
    </w:p>
    <w:p w:rsidR="00C63332" w:rsidRPr="00937EBC" w:rsidRDefault="00242B97" w:rsidP="00C63332">
      <w:pPr>
        <w:jc w:val="both"/>
        <w:rPr>
          <w:rFonts w:ascii="Arial" w:hAnsi="Arial" w:cs="Arial"/>
          <w:b/>
          <w:sz w:val="22"/>
          <w:szCs w:val="22"/>
          <w:lang w:val="en-GB"/>
        </w:rPr>
      </w:pPr>
      <w:r w:rsidRPr="00937EBC">
        <w:rPr>
          <w:rFonts w:ascii="Arial" w:hAnsi="Arial" w:cs="Arial"/>
          <w:b/>
          <w:sz w:val="22"/>
          <w:szCs w:val="22"/>
          <w:lang w:val="en-GB"/>
        </w:rPr>
        <w:t xml:space="preserve">Use in </w:t>
      </w:r>
      <w:r w:rsidR="00C63332" w:rsidRPr="00937EBC">
        <w:rPr>
          <w:rFonts w:ascii="Arial" w:hAnsi="Arial" w:cs="Arial"/>
          <w:b/>
          <w:sz w:val="22"/>
          <w:szCs w:val="22"/>
          <w:lang w:val="en-GB"/>
        </w:rPr>
        <w:t>Pregnancy</w:t>
      </w:r>
      <w:r w:rsidRPr="00937EBC">
        <w:rPr>
          <w:rFonts w:ascii="Arial" w:hAnsi="Arial" w:cs="Arial"/>
          <w:b/>
          <w:sz w:val="22"/>
          <w:szCs w:val="22"/>
          <w:lang w:val="en-GB"/>
        </w:rPr>
        <w:t xml:space="preserve"> (</w:t>
      </w:r>
      <w:r w:rsidRPr="00937EBC">
        <w:rPr>
          <w:rFonts w:ascii="Arial" w:hAnsi="Arial" w:cs="Arial"/>
          <w:b/>
          <w:color w:val="000000"/>
          <w:sz w:val="22"/>
          <w:szCs w:val="22"/>
          <w:lang w:val="en-GB"/>
        </w:rPr>
        <w:t>Category</w:t>
      </w:r>
      <w:r w:rsidR="004F640B" w:rsidRPr="00937EBC">
        <w:rPr>
          <w:rFonts w:ascii="Arial" w:hAnsi="Arial" w:cs="Arial"/>
          <w:b/>
          <w:color w:val="000000"/>
          <w:sz w:val="22"/>
          <w:szCs w:val="22"/>
          <w:lang w:val="en-GB"/>
        </w:rPr>
        <w:t xml:space="preserve"> </w:t>
      </w:r>
      <w:r w:rsidR="003D5F03">
        <w:rPr>
          <w:rFonts w:ascii="Arial" w:hAnsi="Arial" w:cs="Arial"/>
          <w:b/>
          <w:color w:val="000000"/>
          <w:sz w:val="22"/>
          <w:szCs w:val="22"/>
          <w:lang w:val="en-GB"/>
        </w:rPr>
        <w:t>B1</w:t>
      </w:r>
      <w:r w:rsidRPr="00937EBC">
        <w:rPr>
          <w:rFonts w:ascii="Arial" w:hAnsi="Arial" w:cs="Arial"/>
          <w:b/>
          <w:sz w:val="22"/>
          <w:szCs w:val="22"/>
          <w:lang w:val="en-GB"/>
        </w:rPr>
        <w:t>)</w:t>
      </w:r>
      <w:r w:rsidR="00C63332" w:rsidRPr="00937EBC">
        <w:rPr>
          <w:rFonts w:ascii="Arial" w:hAnsi="Arial" w:cs="Arial"/>
          <w:b/>
          <w:sz w:val="22"/>
          <w:szCs w:val="22"/>
          <w:lang w:val="en-GB"/>
        </w:rPr>
        <w:t>:</w:t>
      </w:r>
    </w:p>
    <w:p w:rsidR="003B63E3" w:rsidRPr="003B63E3" w:rsidRDefault="003B63E3" w:rsidP="003B63E3">
      <w:pPr>
        <w:tabs>
          <w:tab w:val="left" w:pos="10173"/>
          <w:tab w:val="left" w:pos="10456"/>
        </w:tabs>
        <w:spacing w:line="360" w:lineRule="atLeast"/>
        <w:ind w:right="27"/>
        <w:jc w:val="both"/>
        <w:rPr>
          <w:rFonts w:ascii="Arial" w:hAnsi="Arial"/>
          <w:sz w:val="22"/>
          <w:lang w:val="en-GB"/>
        </w:rPr>
      </w:pPr>
      <w:r w:rsidRPr="003B63E3">
        <w:rPr>
          <w:rFonts w:ascii="Arial" w:hAnsi="Arial"/>
          <w:sz w:val="22"/>
          <w:lang w:val="en-GB"/>
        </w:rPr>
        <w:t>The safety of Fluarix Tetra when administered to pregnant women has not been evaluated.</w:t>
      </w:r>
      <w:r w:rsidR="003D5F03">
        <w:rPr>
          <w:rFonts w:ascii="Arial" w:hAnsi="Arial"/>
          <w:sz w:val="22"/>
          <w:lang w:val="en-GB"/>
        </w:rPr>
        <w:t xml:space="preserve">  </w:t>
      </w:r>
      <w:r w:rsidR="003D5F03" w:rsidRPr="009755BA">
        <w:rPr>
          <w:rFonts w:ascii="Arial" w:hAnsi="Arial"/>
          <w:sz w:val="22"/>
          <w:lang w:val="en-GB"/>
        </w:rPr>
        <w:t>A reproductive and developmental toxicity study in which female rats</w:t>
      </w:r>
      <w:r w:rsidR="003D5F03">
        <w:rPr>
          <w:rFonts w:ascii="Arial" w:hAnsi="Arial"/>
          <w:sz w:val="22"/>
          <w:lang w:val="en-GB"/>
        </w:rPr>
        <w:t xml:space="preserve"> </w:t>
      </w:r>
      <w:r w:rsidR="003D5F03" w:rsidRPr="009755BA">
        <w:rPr>
          <w:rFonts w:ascii="Arial" w:hAnsi="Arial"/>
          <w:sz w:val="22"/>
          <w:lang w:val="en-GB"/>
        </w:rPr>
        <w:t xml:space="preserve">were administered Fluarix </w:t>
      </w:r>
      <w:r w:rsidR="003D5F03">
        <w:rPr>
          <w:rFonts w:ascii="Arial" w:hAnsi="Arial"/>
          <w:sz w:val="22"/>
          <w:lang w:val="en-GB"/>
        </w:rPr>
        <w:t>T</w:t>
      </w:r>
      <w:r w:rsidR="003D5F03" w:rsidRPr="009755BA">
        <w:rPr>
          <w:rFonts w:ascii="Arial" w:hAnsi="Arial"/>
          <w:sz w:val="22"/>
          <w:lang w:val="en-GB"/>
        </w:rPr>
        <w:t>etra by IM injection (0.2 mL dose per rat,</w:t>
      </w:r>
      <w:r w:rsidR="003D5F03">
        <w:rPr>
          <w:rFonts w:ascii="Arial" w:hAnsi="Arial"/>
          <w:sz w:val="22"/>
          <w:lang w:val="en-GB"/>
        </w:rPr>
        <w:t xml:space="preserve"> </w:t>
      </w:r>
      <w:r w:rsidR="003D5F03" w:rsidRPr="009755BA">
        <w:rPr>
          <w:rFonts w:ascii="Arial" w:hAnsi="Arial"/>
          <w:sz w:val="22"/>
          <w:lang w:val="en-GB"/>
        </w:rPr>
        <w:t>approximately 80x the human dose on the basis of bodyweight) twice prior to</w:t>
      </w:r>
      <w:r w:rsidR="003D5F03">
        <w:rPr>
          <w:rFonts w:ascii="Arial" w:hAnsi="Arial"/>
          <w:sz w:val="22"/>
          <w:lang w:val="en-GB"/>
        </w:rPr>
        <w:t xml:space="preserve"> </w:t>
      </w:r>
      <w:r w:rsidR="003D5F03" w:rsidRPr="009755BA">
        <w:rPr>
          <w:rFonts w:ascii="Arial" w:hAnsi="Arial"/>
          <w:sz w:val="22"/>
          <w:lang w:val="en-GB"/>
        </w:rPr>
        <w:t>mating, four times during gestation, and once on lactation day 7, showed no</w:t>
      </w:r>
      <w:r w:rsidR="003D5F03">
        <w:rPr>
          <w:rFonts w:ascii="Arial" w:hAnsi="Arial"/>
          <w:sz w:val="22"/>
          <w:lang w:val="en-GB"/>
        </w:rPr>
        <w:t xml:space="preserve"> </w:t>
      </w:r>
      <w:r w:rsidR="003D5F03" w:rsidRPr="009755BA">
        <w:rPr>
          <w:rFonts w:ascii="Arial" w:hAnsi="Arial"/>
          <w:sz w:val="22"/>
          <w:lang w:val="en-GB"/>
        </w:rPr>
        <w:t>adverse effects on female fertility, pregnancy, parturition, lactation, and</w:t>
      </w:r>
      <w:r w:rsidR="003D5F03">
        <w:rPr>
          <w:rFonts w:ascii="Arial" w:hAnsi="Arial"/>
          <w:sz w:val="22"/>
          <w:lang w:val="en-GB"/>
        </w:rPr>
        <w:t xml:space="preserve"> </w:t>
      </w:r>
      <w:proofErr w:type="spellStart"/>
      <w:r w:rsidR="003D5F03" w:rsidRPr="009755BA">
        <w:rPr>
          <w:rFonts w:ascii="Arial" w:hAnsi="Arial"/>
          <w:sz w:val="22"/>
          <w:lang w:val="en-GB"/>
        </w:rPr>
        <w:t>embryof</w:t>
      </w:r>
      <w:r w:rsidR="003D5F03">
        <w:rPr>
          <w:rFonts w:ascii="Arial" w:hAnsi="Arial"/>
          <w:sz w:val="22"/>
          <w:lang w:val="en-GB"/>
        </w:rPr>
        <w:t>o</w:t>
      </w:r>
      <w:r w:rsidR="003D5F03" w:rsidRPr="009755BA">
        <w:rPr>
          <w:rFonts w:ascii="Arial" w:hAnsi="Arial"/>
          <w:sz w:val="22"/>
          <w:lang w:val="en-GB"/>
        </w:rPr>
        <w:t>etal</w:t>
      </w:r>
      <w:proofErr w:type="spellEnd"/>
      <w:r w:rsidR="003D5F03" w:rsidRPr="009755BA">
        <w:rPr>
          <w:rFonts w:ascii="Arial" w:hAnsi="Arial"/>
          <w:sz w:val="22"/>
          <w:lang w:val="en-GB"/>
        </w:rPr>
        <w:t xml:space="preserve"> and pre-weaning development. Vaccine antigen-</w:t>
      </w:r>
      <w:r w:rsidR="003D5F03">
        <w:rPr>
          <w:rFonts w:ascii="Arial" w:hAnsi="Arial"/>
          <w:sz w:val="22"/>
          <w:lang w:val="en-GB"/>
        </w:rPr>
        <w:t>s</w:t>
      </w:r>
      <w:r w:rsidR="003D5F03" w:rsidRPr="009755BA">
        <w:rPr>
          <w:rFonts w:ascii="Arial" w:hAnsi="Arial"/>
          <w:sz w:val="22"/>
          <w:lang w:val="en-GB"/>
        </w:rPr>
        <w:t>pecific antibodies</w:t>
      </w:r>
      <w:r w:rsidR="003D5F03">
        <w:rPr>
          <w:rFonts w:ascii="Arial" w:hAnsi="Arial"/>
          <w:sz w:val="22"/>
          <w:lang w:val="en-GB"/>
        </w:rPr>
        <w:t xml:space="preserve"> </w:t>
      </w:r>
      <w:r w:rsidR="003D5F03" w:rsidRPr="009755BA">
        <w:rPr>
          <w:rFonts w:ascii="Arial" w:hAnsi="Arial"/>
          <w:sz w:val="22"/>
          <w:lang w:val="en-GB"/>
        </w:rPr>
        <w:t>were detected in f</w:t>
      </w:r>
      <w:r w:rsidR="003D5F03">
        <w:rPr>
          <w:rFonts w:ascii="Arial" w:hAnsi="Arial"/>
          <w:sz w:val="22"/>
          <w:lang w:val="en-GB"/>
        </w:rPr>
        <w:t>o</w:t>
      </w:r>
      <w:r w:rsidR="003D5F03" w:rsidRPr="009755BA">
        <w:rPr>
          <w:rFonts w:ascii="Arial" w:hAnsi="Arial"/>
          <w:sz w:val="22"/>
          <w:lang w:val="en-GB"/>
        </w:rPr>
        <w:t>etuses and pups of treated rats.</w:t>
      </w:r>
      <w:r w:rsidR="003D5F03" w:rsidRPr="003B63E3">
        <w:rPr>
          <w:rFonts w:ascii="Arial" w:hAnsi="Arial"/>
          <w:sz w:val="22"/>
          <w:lang w:val="en-GB"/>
        </w:rPr>
        <w:t xml:space="preserve"> </w:t>
      </w:r>
    </w:p>
    <w:p w:rsidR="003B63E3" w:rsidRDefault="003B63E3" w:rsidP="003B63E3">
      <w:pPr>
        <w:tabs>
          <w:tab w:val="left" w:pos="10173"/>
          <w:tab w:val="left" w:pos="10456"/>
        </w:tabs>
        <w:spacing w:line="360" w:lineRule="atLeast"/>
        <w:ind w:right="27"/>
        <w:jc w:val="both"/>
        <w:rPr>
          <w:rFonts w:ascii="Arial" w:hAnsi="Arial"/>
          <w:sz w:val="22"/>
          <w:lang w:val="en-GB"/>
        </w:rPr>
      </w:pPr>
    </w:p>
    <w:p w:rsidR="00D32123" w:rsidRDefault="003B63E3" w:rsidP="003B63E3">
      <w:pPr>
        <w:tabs>
          <w:tab w:val="left" w:pos="10173"/>
          <w:tab w:val="left" w:pos="10456"/>
        </w:tabs>
        <w:spacing w:line="360" w:lineRule="atLeast"/>
        <w:ind w:right="27"/>
        <w:jc w:val="both"/>
        <w:rPr>
          <w:rFonts w:ascii="Arial" w:hAnsi="Arial"/>
          <w:sz w:val="22"/>
          <w:lang w:val="en-GB"/>
        </w:rPr>
      </w:pPr>
      <w:r w:rsidRPr="003B63E3">
        <w:rPr>
          <w:rFonts w:ascii="Arial" w:hAnsi="Arial"/>
          <w:sz w:val="22"/>
          <w:lang w:val="en-GB"/>
        </w:rPr>
        <w:t>Fluarix Tetra should be used during pregnancy only when clearly needed, and</w:t>
      </w:r>
      <w:r w:rsidR="0035387D">
        <w:rPr>
          <w:rFonts w:ascii="Arial" w:hAnsi="Arial"/>
          <w:sz w:val="22"/>
          <w:lang w:val="en-GB"/>
        </w:rPr>
        <w:t xml:space="preserve"> when</w:t>
      </w:r>
      <w:r w:rsidRPr="003B63E3">
        <w:rPr>
          <w:rFonts w:ascii="Arial" w:hAnsi="Arial"/>
          <w:sz w:val="22"/>
          <w:lang w:val="en-GB"/>
        </w:rPr>
        <w:t xml:space="preserve"> the possible advantages outweigh the potential risks for the </w:t>
      </w:r>
      <w:r w:rsidR="00DC6402">
        <w:rPr>
          <w:rFonts w:ascii="Arial" w:hAnsi="Arial"/>
          <w:sz w:val="22"/>
          <w:lang w:val="en-GB"/>
        </w:rPr>
        <w:t xml:space="preserve">mother or </w:t>
      </w:r>
      <w:r w:rsidRPr="003B63E3">
        <w:rPr>
          <w:rFonts w:ascii="Arial" w:hAnsi="Arial"/>
          <w:sz w:val="22"/>
          <w:lang w:val="en-GB"/>
        </w:rPr>
        <w:t>foetus.</w:t>
      </w:r>
    </w:p>
    <w:p w:rsidR="003B63E3" w:rsidRDefault="003B63E3" w:rsidP="003B63E3">
      <w:pPr>
        <w:tabs>
          <w:tab w:val="left" w:pos="10173"/>
          <w:tab w:val="left" w:pos="10456"/>
        </w:tabs>
        <w:spacing w:line="360" w:lineRule="atLeast"/>
        <w:ind w:right="27"/>
        <w:jc w:val="both"/>
        <w:rPr>
          <w:rFonts w:ascii="Arial" w:hAnsi="Arial"/>
          <w:sz w:val="22"/>
          <w:lang w:val="en-GB"/>
        </w:rPr>
      </w:pPr>
    </w:p>
    <w:p w:rsidR="00C63332" w:rsidRPr="00937EBC" w:rsidRDefault="00242B97" w:rsidP="00C63332">
      <w:pPr>
        <w:jc w:val="both"/>
        <w:rPr>
          <w:rFonts w:ascii="Arial" w:hAnsi="Arial" w:cs="Arial"/>
          <w:b/>
          <w:sz w:val="22"/>
          <w:szCs w:val="22"/>
          <w:lang w:val="en-GB"/>
        </w:rPr>
      </w:pPr>
      <w:r w:rsidRPr="00937EBC">
        <w:rPr>
          <w:rFonts w:ascii="Arial" w:hAnsi="Arial" w:cs="Arial"/>
          <w:b/>
          <w:sz w:val="22"/>
          <w:szCs w:val="22"/>
          <w:lang w:val="en-GB"/>
        </w:rPr>
        <w:t xml:space="preserve">Use in </w:t>
      </w:r>
      <w:r w:rsidR="00C63332" w:rsidRPr="00937EBC">
        <w:rPr>
          <w:rFonts w:ascii="Arial" w:hAnsi="Arial" w:cs="Arial"/>
          <w:b/>
          <w:sz w:val="22"/>
          <w:szCs w:val="22"/>
          <w:lang w:val="en-GB"/>
        </w:rPr>
        <w:t>Lactation:</w:t>
      </w:r>
    </w:p>
    <w:p w:rsidR="000D697A" w:rsidRDefault="000D697A" w:rsidP="000D697A">
      <w:pPr>
        <w:tabs>
          <w:tab w:val="left" w:pos="10173"/>
          <w:tab w:val="left" w:pos="10456"/>
        </w:tabs>
        <w:spacing w:line="360" w:lineRule="atLeast"/>
        <w:ind w:right="27"/>
        <w:jc w:val="both"/>
        <w:rPr>
          <w:rFonts w:ascii="Arial" w:hAnsi="Arial"/>
          <w:sz w:val="22"/>
          <w:lang w:val="en-GB"/>
        </w:rPr>
      </w:pPr>
      <w:r w:rsidRPr="000D697A">
        <w:rPr>
          <w:rFonts w:ascii="Arial" w:hAnsi="Arial"/>
          <w:sz w:val="22"/>
          <w:lang w:val="en-GB"/>
        </w:rPr>
        <w:t>The safety of Fluarix Tetra when administered to breastfeeding women has not been evaluated. It is unknown whether Fluarix Tetra is excreted in human breast milk.</w:t>
      </w:r>
    </w:p>
    <w:p w:rsidR="003D5F03" w:rsidRDefault="003D5F03" w:rsidP="000D697A">
      <w:pPr>
        <w:tabs>
          <w:tab w:val="left" w:pos="10173"/>
          <w:tab w:val="left" w:pos="10456"/>
        </w:tabs>
        <w:spacing w:line="360" w:lineRule="atLeast"/>
        <w:ind w:right="27"/>
        <w:jc w:val="both"/>
        <w:rPr>
          <w:rFonts w:ascii="Arial" w:hAnsi="Arial"/>
          <w:sz w:val="22"/>
          <w:lang w:val="en-GB"/>
        </w:rPr>
      </w:pPr>
    </w:p>
    <w:p w:rsidR="003D5F03" w:rsidRPr="000D697A" w:rsidRDefault="003D5F03" w:rsidP="000D697A">
      <w:pPr>
        <w:tabs>
          <w:tab w:val="left" w:pos="10173"/>
          <w:tab w:val="left" w:pos="10456"/>
        </w:tabs>
        <w:spacing w:line="360" w:lineRule="atLeast"/>
        <w:ind w:right="27"/>
        <w:jc w:val="both"/>
        <w:rPr>
          <w:rFonts w:ascii="Arial" w:hAnsi="Arial"/>
          <w:sz w:val="22"/>
          <w:lang w:val="en-GB"/>
        </w:rPr>
      </w:pPr>
      <w:r w:rsidRPr="003D5F03">
        <w:rPr>
          <w:rFonts w:ascii="Arial" w:hAnsi="Arial"/>
          <w:sz w:val="22"/>
          <w:lang w:val="en-GB"/>
        </w:rPr>
        <w:t>Vaccine antigen-specific antibodies were transferred to rat pups via milk from dams administered Fluarix Tetra during gestation and lactation, with no adverse effects.</w:t>
      </w:r>
    </w:p>
    <w:p w:rsidR="00A247DB" w:rsidRDefault="00A247DB" w:rsidP="000D697A">
      <w:pPr>
        <w:tabs>
          <w:tab w:val="left" w:pos="10173"/>
          <w:tab w:val="left" w:pos="10456"/>
        </w:tabs>
        <w:spacing w:line="360" w:lineRule="atLeast"/>
        <w:ind w:right="27"/>
        <w:jc w:val="both"/>
        <w:rPr>
          <w:rFonts w:ascii="Arial" w:hAnsi="Arial"/>
          <w:sz w:val="22"/>
          <w:lang w:val="en-GB"/>
        </w:rPr>
      </w:pPr>
    </w:p>
    <w:p w:rsidR="00D32123" w:rsidRDefault="000D697A" w:rsidP="000D697A">
      <w:pPr>
        <w:tabs>
          <w:tab w:val="left" w:pos="10173"/>
          <w:tab w:val="left" w:pos="10456"/>
        </w:tabs>
        <w:spacing w:line="360" w:lineRule="atLeast"/>
        <w:ind w:right="27"/>
        <w:jc w:val="both"/>
        <w:rPr>
          <w:rFonts w:ascii="Arial" w:hAnsi="Arial"/>
          <w:sz w:val="22"/>
          <w:lang w:val="en-GB"/>
        </w:rPr>
      </w:pPr>
      <w:r w:rsidRPr="000D697A">
        <w:rPr>
          <w:rFonts w:ascii="Arial" w:hAnsi="Arial"/>
          <w:sz w:val="22"/>
          <w:lang w:val="en-GB"/>
        </w:rPr>
        <w:t>Fluarix Tetra should only be used during breast-feeding when the possible advantages outweigh the potential risks.</w:t>
      </w:r>
    </w:p>
    <w:p w:rsidR="00205245" w:rsidRDefault="00205245" w:rsidP="000D697A">
      <w:pPr>
        <w:tabs>
          <w:tab w:val="left" w:pos="10173"/>
          <w:tab w:val="left" w:pos="10456"/>
        </w:tabs>
        <w:spacing w:line="360" w:lineRule="atLeast"/>
        <w:ind w:right="27"/>
        <w:jc w:val="both"/>
        <w:rPr>
          <w:rFonts w:ascii="Arial" w:hAnsi="Arial"/>
          <w:sz w:val="22"/>
          <w:lang w:val="en-GB"/>
        </w:rPr>
      </w:pPr>
    </w:p>
    <w:p w:rsidR="00C83E3B" w:rsidRDefault="00C83E3B" w:rsidP="003D5F03">
      <w:pPr>
        <w:tabs>
          <w:tab w:val="left" w:pos="10173"/>
          <w:tab w:val="left" w:pos="10456"/>
        </w:tabs>
        <w:spacing w:line="360" w:lineRule="atLeast"/>
        <w:ind w:right="27"/>
        <w:jc w:val="both"/>
        <w:rPr>
          <w:rFonts w:ascii="Arial" w:hAnsi="Arial"/>
          <w:b/>
          <w:sz w:val="22"/>
          <w:lang w:val="en-GB"/>
        </w:rPr>
      </w:pPr>
    </w:p>
    <w:p w:rsidR="003D5F03" w:rsidRPr="007E140A" w:rsidRDefault="003D5F03" w:rsidP="003D5F03">
      <w:pPr>
        <w:tabs>
          <w:tab w:val="left" w:pos="10173"/>
          <w:tab w:val="left" w:pos="10456"/>
        </w:tabs>
        <w:spacing w:line="360" w:lineRule="atLeast"/>
        <w:ind w:right="27"/>
        <w:jc w:val="both"/>
        <w:rPr>
          <w:rFonts w:ascii="Arial" w:hAnsi="Arial"/>
          <w:b/>
          <w:sz w:val="22"/>
          <w:lang w:val="en-GB"/>
        </w:rPr>
      </w:pPr>
      <w:proofErr w:type="spellStart"/>
      <w:r w:rsidRPr="007E140A">
        <w:rPr>
          <w:rFonts w:ascii="Arial" w:hAnsi="Arial"/>
          <w:b/>
          <w:sz w:val="22"/>
          <w:lang w:val="en-GB"/>
        </w:rPr>
        <w:lastRenderedPageBreak/>
        <w:t>Genotoxicity</w:t>
      </w:r>
      <w:proofErr w:type="spellEnd"/>
      <w:r>
        <w:rPr>
          <w:rFonts w:ascii="Arial" w:hAnsi="Arial"/>
          <w:b/>
          <w:sz w:val="22"/>
          <w:lang w:val="en-GB"/>
        </w:rPr>
        <w:t>:</w:t>
      </w:r>
    </w:p>
    <w:p w:rsidR="003D5F03" w:rsidRDefault="003D5F03" w:rsidP="003D5F03">
      <w:pPr>
        <w:tabs>
          <w:tab w:val="left" w:pos="10173"/>
          <w:tab w:val="left" w:pos="10456"/>
        </w:tabs>
        <w:spacing w:line="360" w:lineRule="atLeast"/>
        <w:ind w:right="27"/>
        <w:jc w:val="both"/>
        <w:rPr>
          <w:rFonts w:ascii="Arial" w:hAnsi="Arial"/>
          <w:sz w:val="22"/>
          <w:lang w:val="en-GB"/>
        </w:rPr>
      </w:pPr>
      <w:r w:rsidRPr="007E140A">
        <w:rPr>
          <w:rFonts w:ascii="Arial" w:hAnsi="Arial"/>
          <w:sz w:val="22"/>
          <w:lang w:val="en-GB"/>
        </w:rPr>
        <w:t>Fluarix Tetra has not been tested for genotoxic potential.</w:t>
      </w:r>
    </w:p>
    <w:p w:rsidR="003D5F03" w:rsidRPr="007E140A" w:rsidRDefault="003D5F03" w:rsidP="003D5F03">
      <w:pPr>
        <w:tabs>
          <w:tab w:val="left" w:pos="10173"/>
          <w:tab w:val="left" w:pos="10456"/>
        </w:tabs>
        <w:spacing w:line="360" w:lineRule="atLeast"/>
        <w:ind w:right="27"/>
        <w:jc w:val="both"/>
        <w:rPr>
          <w:rFonts w:ascii="Arial" w:hAnsi="Arial"/>
          <w:sz w:val="22"/>
          <w:lang w:val="en-GB"/>
        </w:rPr>
      </w:pPr>
    </w:p>
    <w:p w:rsidR="003D5F03" w:rsidRPr="007E140A" w:rsidRDefault="003D5F03" w:rsidP="003D5F03">
      <w:pPr>
        <w:tabs>
          <w:tab w:val="left" w:pos="10173"/>
          <w:tab w:val="left" w:pos="10456"/>
        </w:tabs>
        <w:spacing w:line="360" w:lineRule="atLeast"/>
        <w:ind w:right="27"/>
        <w:jc w:val="both"/>
        <w:rPr>
          <w:rFonts w:ascii="Arial" w:hAnsi="Arial"/>
          <w:b/>
          <w:sz w:val="22"/>
          <w:lang w:val="en-GB"/>
        </w:rPr>
      </w:pPr>
      <w:r w:rsidRPr="007E140A">
        <w:rPr>
          <w:rFonts w:ascii="Arial" w:hAnsi="Arial"/>
          <w:b/>
          <w:sz w:val="22"/>
          <w:lang w:val="en-GB"/>
        </w:rPr>
        <w:t>Carcinogenicity</w:t>
      </w:r>
      <w:r>
        <w:rPr>
          <w:rFonts w:ascii="Arial" w:hAnsi="Arial"/>
          <w:b/>
          <w:sz w:val="22"/>
          <w:lang w:val="en-GB"/>
        </w:rPr>
        <w:t>:</w:t>
      </w:r>
    </w:p>
    <w:p w:rsidR="003D5F03" w:rsidRPr="000D697A" w:rsidRDefault="003D5F03" w:rsidP="003D5F03">
      <w:pPr>
        <w:tabs>
          <w:tab w:val="left" w:pos="10173"/>
          <w:tab w:val="left" w:pos="10456"/>
        </w:tabs>
        <w:spacing w:line="360" w:lineRule="atLeast"/>
        <w:ind w:right="27"/>
        <w:jc w:val="both"/>
        <w:rPr>
          <w:rFonts w:ascii="Arial" w:hAnsi="Arial"/>
          <w:sz w:val="22"/>
          <w:lang w:val="en-GB"/>
        </w:rPr>
      </w:pPr>
      <w:r w:rsidRPr="007E140A">
        <w:rPr>
          <w:rFonts w:ascii="Arial" w:hAnsi="Arial"/>
          <w:sz w:val="22"/>
          <w:lang w:val="en-GB"/>
        </w:rPr>
        <w:t>Fluarix Tetra has not been tested for carcinogenic potential</w:t>
      </w:r>
      <w:r>
        <w:rPr>
          <w:rFonts w:ascii="Arial" w:hAnsi="Arial"/>
          <w:sz w:val="22"/>
          <w:lang w:val="en-GB"/>
        </w:rPr>
        <w:t>.</w:t>
      </w:r>
    </w:p>
    <w:p w:rsidR="003D5F03" w:rsidRDefault="003D5F03" w:rsidP="000D697A">
      <w:pPr>
        <w:tabs>
          <w:tab w:val="left" w:pos="10173"/>
          <w:tab w:val="left" w:pos="10456"/>
        </w:tabs>
        <w:spacing w:line="360" w:lineRule="atLeast"/>
        <w:ind w:right="27"/>
        <w:jc w:val="both"/>
        <w:rPr>
          <w:rFonts w:ascii="Arial" w:hAnsi="Arial"/>
          <w:sz w:val="22"/>
          <w:lang w:val="en-GB"/>
        </w:rPr>
      </w:pPr>
    </w:p>
    <w:p w:rsidR="00205245" w:rsidRPr="00205245" w:rsidRDefault="00205245" w:rsidP="00205245">
      <w:pPr>
        <w:spacing w:line="360" w:lineRule="atLeast"/>
        <w:jc w:val="both"/>
        <w:rPr>
          <w:rFonts w:ascii="Arial" w:hAnsi="Arial" w:cs="Arial"/>
          <w:b/>
          <w:sz w:val="22"/>
          <w:szCs w:val="22"/>
          <w:lang w:val="en-GB"/>
        </w:rPr>
      </w:pPr>
      <w:r>
        <w:rPr>
          <w:rFonts w:ascii="Arial" w:hAnsi="Arial" w:cs="Arial"/>
          <w:b/>
          <w:sz w:val="22"/>
          <w:szCs w:val="22"/>
          <w:lang w:val="en-GB"/>
        </w:rPr>
        <w:t>Use in geriatrics:</w:t>
      </w:r>
    </w:p>
    <w:p w:rsidR="00FC10B6" w:rsidRDefault="004F3BDE" w:rsidP="000D697A">
      <w:pPr>
        <w:tabs>
          <w:tab w:val="left" w:pos="10173"/>
          <w:tab w:val="left" w:pos="10456"/>
        </w:tabs>
        <w:spacing w:line="360" w:lineRule="atLeast"/>
        <w:ind w:right="27"/>
        <w:jc w:val="both"/>
        <w:rPr>
          <w:rFonts w:ascii="Arial" w:hAnsi="Arial"/>
          <w:sz w:val="22"/>
          <w:lang w:val="en-GB"/>
        </w:rPr>
      </w:pPr>
      <w:r w:rsidRPr="004F3BDE">
        <w:rPr>
          <w:rFonts w:ascii="Arial" w:hAnsi="Arial" w:cs="Arial"/>
          <w:sz w:val="22"/>
          <w:szCs w:val="22"/>
          <w:lang w:val="en-GB"/>
        </w:rPr>
        <w:t xml:space="preserve">Antibody responses were lower in geriatric subjects who </w:t>
      </w:r>
      <w:proofErr w:type="gramStart"/>
      <w:r w:rsidRPr="004F3BDE">
        <w:rPr>
          <w:rFonts w:ascii="Arial" w:hAnsi="Arial" w:cs="Arial"/>
          <w:sz w:val="22"/>
          <w:szCs w:val="22"/>
          <w:lang w:val="en-GB"/>
        </w:rPr>
        <w:t xml:space="preserve">received </w:t>
      </w:r>
      <w:r w:rsidR="005800D7">
        <w:rPr>
          <w:rFonts w:ascii="Arial" w:hAnsi="Arial" w:cs="Arial"/>
          <w:sz w:val="22"/>
          <w:szCs w:val="22"/>
          <w:lang w:val="en-GB"/>
        </w:rPr>
        <w:t xml:space="preserve"> Fluarix</w:t>
      </w:r>
      <w:proofErr w:type="gramEnd"/>
      <w:r w:rsidR="005800D7">
        <w:rPr>
          <w:rFonts w:ascii="Arial" w:hAnsi="Arial" w:cs="Arial"/>
          <w:sz w:val="22"/>
          <w:szCs w:val="22"/>
          <w:lang w:val="en-GB"/>
        </w:rPr>
        <w:t xml:space="preserve"> Tetra </w:t>
      </w:r>
      <w:r w:rsidRPr="004F3BDE">
        <w:rPr>
          <w:rFonts w:ascii="Arial" w:hAnsi="Arial" w:cs="Arial"/>
          <w:sz w:val="22"/>
          <w:szCs w:val="22"/>
          <w:lang w:val="en-GB"/>
        </w:rPr>
        <w:t>than in younger subjects</w:t>
      </w:r>
      <w:r>
        <w:rPr>
          <w:rFonts w:ascii="Arial" w:hAnsi="Arial" w:cs="Arial"/>
          <w:sz w:val="22"/>
          <w:szCs w:val="22"/>
          <w:lang w:val="en-GB"/>
        </w:rPr>
        <w:t xml:space="preserve">. </w:t>
      </w:r>
      <w:r w:rsidR="00205245" w:rsidRPr="00396126">
        <w:rPr>
          <w:rFonts w:ascii="Arial" w:hAnsi="Arial" w:cs="Arial"/>
          <w:sz w:val="22"/>
          <w:szCs w:val="22"/>
          <w:lang w:val="en-GB"/>
        </w:rPr>
        <w:t xml:space="preserve">In a randomized, double-blind (2 arms) and open-label (one arm), active-controlled study, immunogenicity and safety were evaluated in a cohort of subjects 65 years of age and older who received </w:t>
      </w:r>
      <w:r w:rsidR="00BE69EB">
        <w:rPr>
          <w:rFonts w:ascii="Arial" w:hAnsi="Arial" w:cs="Arial"/>
          <w:sz w:val="22"/>
          <w:szCs w:val="22"/>
          <w:lang w:val="en-GB"/>
        </w:rPr>
        <w:t>Fluarix Tetra</w:t>
      </w:r>
      <w:r w:rsidR="00205245" w:rsidRPr="00396126">
        <w:rPr>
          <w:rFonts w:ascii="Arial" w:hAnsi="Arial" w:cs="Arial"/>
          <w:sz w:val="22"/>
          <w:szCs w:val="22"/>
          <w:lang w:val="en-GB"/>
        </w:rPr>
        <w:t xml:space="preserve"> (N = 1,517); 469 of these subjects were 75 years of age and older. In subjects 65 years of age and older, the geometric mean antibody titers post-vaccination and seroconversion rates were lower than in younger subjects (18 through 64 years of age) and the frequencies of solicited and unsolicited adverse events were generally lower than in younger subjects.</w:t>
      </w:r>
    </w:p>
    <w:p w:rsidR="00E8070F" w:rsidRDefault="00E8070F" w:rsidP="00E81E59">
      <w:pPr>
        <w:jc w:val="both"/>
        <w:rPr>
          <w:rFonts w:ascii="Arial" w:hAnsi="Arial" w:cs="Arial"/>
          <w:b/>
          <w:sz w:val="22"/>
          <w:szCs w:val="22"/>
          <w:lang w:val="en-GB"/>
        </w:rPr>
      </w:pPr>
    </w:p>
    <w:p w:rsidR="00242B97" w:rsidRPr="00937EBC" w:rsidRDefault="00242B97" w:rsidP="00242B97">
      <w:pPr>
        <w:jc w:val="both"/>
        <w:rPr>
          <w:rFonts w:ascii="Arial" w:hAnsi="Arial" w:cs="Arial"/>
          <w:b/>
          <w:sz w:val="22"/>
          <w:szCs w:val="22"/>
          <w:lang w:val="en-GB"/>
        </w:rPr>
      </w:pPr>
      <w:r w:rsidRPr="00937EBC">
        <w:rPr>
          <w:rFonts w:ascii="Arial" w:hAnsi="Arial" w:cs="Arial"/>
          <w:b/>
          <w:sz w:val="22"/>
          <w:szCs w:val="22"/>
          <w:lang w:val="en-GB"/>
        </w:rPr>
        <w:t>Effect on Laboratory Tests:</w:t>
      </w:r>
    </w:p>
    <w:p w:rsidR="00500DE6" w:rsidRDefault="00500DE6" w:rsidP="00500DE6">
      <w:pPr>
        <w:tabs>
          <w:tab w:val="left" w:pos="10173"/>
          <w:tab w:val="left" w:pos="10456"/>
        </w:tabs>
        <w:spacing w:line="360" w:lineRule="atLeast"/>
        <w:ind w:right="27"/>
        <w:jc w:val="both"/>
        <w:rPr>
          <w:rFonts w:ascii="Arial" w:hAnsi="Arial"/>
          <w:sz w:val="22"/>
          <w:lang w:val="en-GB"/>
        </w:rPr>
      </w:pPr>
      <w:r w:rsidRPr="00500DE6">
        <w:rPr>
          <w:rFonts w:ascii="Arial" w:hAnsi="Arial"/>
          <w:sz w:val="22"/>
          <w:lang w:val="en-GB"/>
        </w:rPr>
        <w:t xml:space="preserve">False positive ELISA serologic tests for HIV-1, Hepatitis C, and especially HTLV-1 may </w:t>
      </w:r>
      <w:proofErr w:type="gramStart"/>
      <w:r w:rsidRPr="00500DE6">
        <w:rPr>
          <w:rFonts w:ascii="Arial" w:hAnsi="Arial"/>
          <w:sz w:val="22"/>
          <w:lang w:val="en-GB"/>
        </w:rPr>
        <w:t>occur</w:t>
      </w:r>
      <w:proofErr w:type="gramEnd"/>
      <w:r w:rsidRPr="00500DE6">
        <w:rPr>
          <w:rFonts w:ascii="Arial" w:hAnsi="Arial"/>
          <w:sz w:val="22"/>
          <w:lang w:val="en-GB"/>
        </w:rPr>
        <w:t xml:space="preserve"> following influenza vaccination.  These transient false-positive results may be due to cross-reactive IgM elicited by the vaccine. For this reason, a definitive diagnosis of HIV-1, Hepatitis C, or HTLV-1 infection requires a positive result from a virus-specific confirmatory test (</w:t>
      </w:r>
      <w:proofErr w:type="spellStart"/>
      <w:r w:rsidRPr="00500DE6">
        <w:rPr>
          <w:rFonts w:ascii="Arial" w:hAnsi="Arial"/>
          <w:sz w:val="22"/>
          <w:lang w:val="en-GB"/>
        </w:rPr>
        <w:t>e.g</w:t>
      </w:r>
      <w:proofErr w:type="spellEnd"/>
      <w:r w:rsidRPr="00500DE6">
        <w:rPr>
          <w:rFonts w:ascii="Arial" w:hAnsi="Arial"/>
          <w:sz w:val="22"/>
          <w:lang w:val="en-GB"/>
        </w:rPr>
        <w:t>,</w:t>
      </w:r>
      <w:r w:rsidR="0098178C">
        <w:rPr>
          <w:rFonts w:ascii="Arial" w:hAnsi="Arial"/>
          <w:sz w:val="22"/>
          <w:lang w:val="en-GB"/>
        </w:rPr>
        <w:t xml:space="preserve"> </w:t>
      </w:r>
      <w:r w:rsidRPr="00500DE6">
        <w:rPr>
          <w:rFonts w:ascii="Arial" w:hAnsi="Arial"/>
          <w:sz w:val="22"/>
          <w:lang w:val="en-GB"/>
        </w:rPr>
        <w:t xml:space="preserve">Western Blot or </w:t>
      </w:r>
      <w:proofErr w:type="spellStart"/>
      <w:r w:rsidRPr="00500DE6">
        <w:rPr>
          <w:rFonts w:ascii="Arial" w:hAnsi="Arial"/>
          <w:sz w:val="22"/>
          <w:lang w:val="en-GB"/>
        </w:rPr>
        <w:t>immunoblot</w:t>
      </w:r>
      <w:proofErr w:type="spellEnd"/>
      <w:r w:rsidRPr="00500DE6">
        <w:rPr>
          <w:rFonts w:ascii="Arial" w:hAnsi="Arial"/>
          <w:sz w:val="22"/>
          <w:lang w:val="en-GB"/>
        </w:rPr>
        <w:t>).</w:t>
      </w:r>
    </w:p>
    <w:p w:rsidR="00C83E3B" w:rsidRDefault="00C83E3B" w:rsidP="00D21DEF">
      <w:pPr>
        <w:spacing w:line="360" w:lineRule="atLeast"/>
        <w:jc w:val="both"/>
        <w:rPr>
          <w:rFonts w:ascii="Arial" w:hAnsi="Arial" w:cs="Arial"/>
          <w:b/>
          <w:sz w:val="22"/>
          <w:szCs w:val="22"/>
          <w:lang w:val="en-GB"/>
        </w:rPr>
      </w:pPr>
    </w:p>
    <w:p w:rsidR="00D21DEF" w:rsidRPr="005242ED" w:rsidRDefault="00D21DEF" w:rsidP="00D21DEF">
      <w:pPr>
        <w:spacing w:line="360" w:lineRule="atLeast"/>
        <w:jc w:val="both"/>
        <w:rPr>
          <w:rFonts w:ascii="Arial" w:hAnsi="Arial" w:cs="Arial"/>
          <w:b/>
          <w:sz w:val="22"/>
          <w:szCs w:val="22"/>
          <w:lang w:val="en-GB"/>
        </w:rPr>
      </w:pPr>
      <w:r w:rsidRPr="005242ED">
        <w:rPr>
          <w:rFonts w:ascii="Arial" w:hAnsi="Arial" w:cs="Arial"/>
          <w:b/>
          <w:sz w:val="22"/>
          <w:szCs w:val="22"/>
          <w:lang w:val="en-GB"/>
        </w:rPr>
        <w:t>Latex:</w:t>
      </w:r>
    </w:p>
    <w:p w:rsidR="00622600" w:rsidRDefault="00622600" w:rsidP="00D21DEF">
      <w:pPr>
        <w:spacing w:after="240" w:line="360" w:lineRule="atLeast"/>
        <w:jc w:val="both"/>
        <w:rPr>
          <w:rFonts w:ascii="Arial" w:hAnsi="Arial" w:cs="Arial"/>
          <w:sz w:val="22"/>
          <w:szCs w:val="22"/>
          <w:lang w:val="en-GB"/>
        </w:rPr>
      </w:pPr>
      <w:r w:rsidRPr="005242ED">
        <w:rPr>
          <w:rFonts w:ascii="Arial" w:hAnsi="Arial" w:cs="Arial"/>
          <w:sz w:val="22"/>
          <w:szCs w:val="22"/>
          <w:lang w:val="en-GB"/>
        </w:rPr>
        <w:t>The removable rubber needle shield of the prefilled syringes contains natural rubber latex, and therefore Fluarix-Tetra cannot be considered latex-free</w:t>
      </w:r>
      <w:r w:rsidR="005242ED">
        <w:rPr>
          <w:rFonts w:ascii="Arial" w:hAnsi="Arial" w:cs="Arial"/>
          <w:sz w:val="22"/>
          <w:szCs w:val="22"/>
          <w:lang w:val="en-GB"/>
        </w:rPr>
        <w:t>.</w:t>
      </w:r>
    </w:p>
    <w:p w:rsidR="005242ED" w:rsidRPr="005242ED" w:rsidRDefault="005242ED" w:rsidP="00D21DEF">
      <w:pPr>
        <w:spacing w:after="240" w:line="360" w:lineRule="atLeast"/>
        <w:jc w:val="both"/>
        <w:rPr>
          <w:rFonts w:ascii="Arial" w:hAnsi="Arial" w:cs="Arial"/>
          <w:sz w:val="22"/>
          <w:szCs w:val="22"/>
          <w:lang w:val="en-GB"/>
        </w:rPr>
      </w:pPr>
    </w:p>
    <w:p w:rsidR="00E81E59" w:rsidRPr="00937EBC" w:rsidRDefault="00E81E59" w:rsidP="00053893">
      <w:pPr>
        <w:spacing w:before="120" w:after="240"/>
        <w:jc w:val="both"/>
        <w:rPr>
          <w:rFonts w:ascii="Arial" w:hAnsi="Arial" w:cs="Arial"/>
          <w:b/>
          <w:sz w:val="22"/>
          <w:szCs w:val="22"/>
          <w:lang w:val="en-GB"/>
        </w:rPr>
      </w:pPr>
      <w:r w:rsidRPr="00937EBC">
        <w:rPr>
          <w:rFonts w:ascii="Arial" w:hAnsi="Arial" w:cs="Arial"/>
          <w:b/>
          <w:sz w:val="22"/>
          <w:szCs w:val="22"/>
          <w:lang w:val="en-GB"/>
        </w:rPr>
        <w:t xml:space="preserve">INTERACTIONS WITH </w:t>
      </w:r>
      <w:r w:rsidR="004F640B" w:rsidRPr="00937EBC">
        <w:rPr>
          <w:rFonts w:ascii="Arial" w:hAnsi="Arial" w:cs="Arial"/>
          <w:b/>
          <w:sz w:val="22"/>
          <w:szCs w:val="22"/>
          <w:lang w:val="en-GB"/>
        </w:rPr>
        <w:t>OTHER MEDICINES</w:t>
      </w:r>
    </w:p>
    <w:p w:rsidR="00500DE6" w:rsidRDefault="00500DE6" w:rsidP="00500DE6">
      <w:pPr>
        <w:tabs>
          <w:tab w:val="left" w:pos="10173"/>
          <w:tab w:val="left" w:pos="10456"/>
        </w:tabs>
        <w:spacing w:line="360" w:lineRule="atLeast"/>
        <w:ind w:right="27"/>
        <w:jc w:val="both"/>
        <w:rPr>
          <w:rFonts w:ascii="Arial" w:hAnsi="Arial"/>
          <w:sz w:val="22"/>
          <w:lang w:val="en-GB"/>
        </w:rPr>
      </w:pPr>
      <w:r w:rsidRPr="00500DE6">
        <w:rPr>
          <w:rFonts w:ascii="Arial" w:hAnsi="Arial"/>
          <w:sz w:val="22"/>
          <w:lang w:val="en-GB"/>
        </w:rPr>
        <w:t>No interaction studies have been performed. If Fluarix Tetra is to be given at the same time as another injectable vaccine, the vaccines should always be administered at different injection sites.</w:t>
      </w:r>
    </w:p>
    <w:p w:rsidR="00843EDB" w:rsidRDefault="00843EDB" w:rsidP="00500DE6">
      <w:pPr>
        <w:tabs>
          <w:tab w:val="left" w:pos="10173"/>
          <w:tab w:val="left" w:pos="10456"/>
        </w:tabs>
        <w:spacing w:line="360" w:lineRule="atLeast"/>
        <w:ind w:right="27"/>
        <w:jc w:val="both"/>
        <w:rPr>
          <w:rFonts w:ascii="Arial" w:hAnsi="Arial"/>
          <w:sz w:val="22"/>
          <w:lang w:val="en-GB"/>
        </w:rPr>
      </w:pPr>
      <w:r w:rsidRPr="00843EDB">
        <w:rPr>
          <w:rFonts w:ascii="Arial" w:hAnsi="Arial"/>
          <w:sz w:val="22"/>
          <w:lang w:val="en-GB"/>
        </w:rPr>
        <w:t xml:space="preserve">Influenza vaccine can impair the metabolism of warfarin, theophylline, phenytoin, </w:t>
      </w:r>
      <w:proofErr w:type="spellStart"/>
      <w:r w:rsidRPr="00843EDB">
        <w:rPr>
          <w:rFonts w:ascii="Arial" w:hAnsi="Arial"/>
          <w:sz w:val="22"/>
          <w:lang w:val="en-GB"/>
        </w:rPr>
        <w:t>phenobarbitone</w:t>
      </w:r>
      <w:proofErr w:type="spellEnd"/>
      <w:r w:rsidRPr="00843EDB">
        <w:rPr>
          <w:rFonts w:ascii="Arial" w:hAnsi="Arial"/>
          <w:sz w:val="22"/>
          <w:lang w:val="en-GB"/>
        </w:rPr>
        <w:t xml:space="preserve"> and carbamazepine by the hepatic cytochrome P450 system.  Results from studies have been variable in degree of interaction and time after vaccination for the interaction to take effect.  The interaction may be variable from individual to individual.  Patients taking warfarin, theophylline, phenytoin, </w:t>
      </w:r>
      <w:proofErr w:type="spellStart"/>
      <w:r w:rsidRPr="00843EDB">
        <w:rPr>
          <w:rFonts w:ascii="Arial" w:hAnsi="Arial"/>
          <w:sz w:val="22"/>
          <w:lang w:val="en-GB"/>
        </w:rPr>
        <w:t>p</w:t>
      </w:r>
      <w:r>
        <w:rPr>
          <w:rFonts w:ascii="Arial" w:hAnsi="Arial"/>
          <w:sz w:val="22"/>
          <w:lang w:val="en-GB"/>
        </w:rPr>
        <w:t>henobarbitone</w:t>
      </w:r>
      <w:proofErr w:type="spellEnd"/>
      <w:r>
        <w:rPr>
          <w:rFonts w:ascii="Arial" w:hAnsi="Arial"/>
          <w:sz w:val="22"/>
          <w:lang w:val="en-GB"/>
        </w:rPr>
        <w:t xml:space="preserve"> or carbamazepine </w:t>
      </w:r>
      <w:r w:rsidRPr="00843EDB">
        <w:rPr>
          <w:rFonts w:ascii="Arial" w:hAnsi="Arial"/>
          <w:sz w:val="22"/>
          <w:lang w:val="en-GB"/>
        </w:rPr>
        <w:lastRenderedPageBreak/>
        <w:t>should be advised of the possibility of an interaction and told to look out for signs of elevated levels of their medication.</w:t>
      </w:r>
    </w:p>
    <w:p w:rsidR="00A247DB" w:rsidRPr="00A247DB" w:rsidRDefault="00A247DB" w:rsidP="00A247DB">
      <w:pPr>
        <w:tabs>
          <w:tab w:val="left" w:pos="10173"/>
          <w:tab w:val="left" w:pos="10456"/>
        </w:tabs>
        <w:spacing w:line="360" w:lineRule="atLeast"/>
        <w:ind w:right="27"/>
        <w:jc w:val="both"/>
        <w:rPr>
          <w:rFonts w:ascii="Arial" w:hAnsi="Arial"/>
          <w:sz w:val="22"/>
          <w:lang w:val="en-GB"/>
        </w:rPr>
      </w:pPr>
    </w:p>
    <w:p w:rsidR="009014ED" w:rsidRPr="00A247DB" w:rsidRDefault="009014ED" w:rsidP="00A247DB">
      <w:pPr>
        <w:tabs>
          <w:tab w:val="left" w:pos="10173"/>
          <w:tab w:val="left" w:pos="10456"/>
        </w:tabs>
        <w:spacing w:line="360" w:lineRule="atLeast"/>
        <w:ind w:right="27"/>
        <w:jc w:val="both"/>
        <w:rPr>
          <w:rFonts w:ascii="Arial" w:hAnsi="Arial"/>
          <w:b/>
          <w:sz w:val="22"/>
          <w:lang w:val="en-GB"/>
        </w:rPr>
      </w:pPr>
      <w:r w:rsidRPr="009014ED">
        <w:rPr>
          <w:rFonts w:ascii="Arial" w:hAnsi="Arial"/>
          <w:b/>
          <w:sz w:val="22"/>
          <w:lang w:val="en-GB"/>
        </w:rPr>
        <w:t>In the absence of compatibility studies, this medicinal product must not be mixed with other medicinal products.</w:t>
      </w:r>
    </w:p>
    <w:p w:rsidR="00A247DB" w:rsidRDefault="00A247DB" w:rsidP="00A247DB">
      <w:pPr>
        <w:tabs>
          <w:tab w:val="left" w:pos="10173"/>
          <w:tab w:val="left" w:pos="10456"/>
        </w:tabs>
        <w:spacing w:line="360" w:lineRule="atLeast"/>
        <w:ind w:right="27"/>
        <w:jc w:val="both"/>
        <w:rPr>
          <w:rFonts w:ascii="Arial" w:hAnsi="Arial"/>
          <w:sz w:val="22"/>
          <w:lang w:val="en-GB"/>
        </w:rPr>
      </w:pPr>
    </w:p>
    <w:p w:rsidR="0077380F" w:rsidRPr="00937EBC" w:rsidRDefault="0077380F" w:rsidP="00053893">
      <w:pPr>
        <w:spacing w:before="120" w:after="240"/>
        <w:jc w:val="both"/>
        <w:rPr>
          <w:rFonts w:ascii="Arial" w:hAnsi="Arial" w:cs="Arial"/>
          <w:b/>
          <w:sz w:val="22"/>
          <w:szCs w:val="22"/>
          <w:lang w:val="en-GB"/>
        </w:rPr>
      </w:pPr>
      <w:r w:rsidRPr="00937EBC">
        <w:rPr>
          <w:rFonts w:ascii="Arial" w:hAnsi="Arial" w:cs="Arial"/>
          <w:b/>
          <w:sz w:val="22"/>
          <w:szCs w:val="22"/>
          <w:lang w:val="en-GB"/>
        </w:rPr>
        <w:t>AD</w:t>
      </w:r>
      <w:smartTag w:uri="schemas-GSKSiteLocations-com/fourthcoffee" w:element="flavor">
        <w:r w:rsidRPr="00937EBC">
          <w:rPr>
            <w:rFonts w:ascii="Arial" w:hAnsi="Arial" w:cs="Arial"/>
            <w:b/>
            <w:sz w:val="22"/>
            <w:szCs w:val="22"/>
            <w:lang w:val="en-GB"/>
          </w:rPr>
          <w:t>VER</w:t>
        </w:r>
      </w:smartTag>
      <w:r w:rsidRPr="00937EBC">
        <w:rPr>
          <w:rFonts w:ascii="Arial" w:hAnsi="Arial" w:cs="Arial"/>
          <w:b/>
          <w:sz w:val="22"/>
          <w:szCs w:val="22"/>
          <w:lang w:val="en-GB"/>
        </w:rPr>
        <w:t>SE EFFECTS</w:t>
      </w:r>
    </w:p>
    <w:p w:rsidR="005F52C2" w:rsidRDefault="005F52C2" w:rsidP="005F52C2">
      <w:pPr>
        <w:spacing w:before="120" w:after="240"/>
        <w:jc w:val="both"/>
        <w:rPr>
          <w:rFonts w:ascii="Arial" w:hAnsi="Arial"/>
          <w:sz w:val="22"/>
          <w:u w:val="single"/>
          <w:lang w:val="en-GB"/>
        </w:rPr>
      </w:pPr>
      <w:r w:rsidRPr="005F52C2">
        <w:rPr>
          <w:rFonts w:ascii="Arial" w:hAnsi="Arial"/>
          <w:sz w:val="22"/>
          <w:u w:val="single"/>
          <w:lang w:val="en-GB"/>
        </w:rPr>
        <w:t>Clinical trial data</w:t>
      </w:r>
    </w:p>
    <w:p w:rsidR="005F52C2" w:rsidRDefault="005F52C2" w:rsidP="005F52C2">
      <w:pPr>
        <w:tabs>
          <w:tab w:val="left" w:pos="10173"/>
          <w:tab w:val="left" w:pos="10456"/>
        </w:tabs>
        <w:spacing w:line="360" w:lineRule="atLeast"/>
        <w:ind w:right="27"/>
        <w:jc w:val="both"/>
        <w:rPr>
          <w:rFonts w:ascii="Arial" w:hAnsi="Arial"/>
          <w:sz w:val="22"/>
          <w:lang w:val="en-GB"/>
        </w:rPr>
      </w:pPr>
      <w:r w:rsidRPr="005F52C2">
        <w:rPr>
          <w:rFonts w:ascii="Arial" w:hAnsi="Arial"/>
          <w:sz w:val="22"/>
          <w:lang w:val="en-GB"/>
        </w:rPr>
        <w:t xml:space="preserve">In two clinical studies, adults 18 years of age and older and children 3 years to 17 years of age were administered Fluarix Tetra (more than 3,000 adults and 900 children) or Fluarix (more than 1,000 adults and 900 children). Similar rates of solicited adverse events were observed in recipients of Fluarix Tetra and Fluarix. </w:t>
      </w:r>
    </w:p>
    <w:p w:rsidR="005F52C2" w:rsidRPr="005F52C2" w:rsidRDefault="005F52C2" w:rsidP="005F52C2">
      <w:pPr>
        <w:tabs>
          <w:tab w:val="left" w:pos="10173"/>
          <w:tab w:val="left" w:pos="10456"/>
        </w:tabs>
        <w:spacing w:line="360" w:lineRule="atLeast"/>
        <w:ind w:right="27"/>
        <w:jc w:val="both"/>
        <w:rPr>
          <w:rFonts w:ascii="Arial" w:hAnsi="Arial"/>
          <w:sz w:val="22"/>
          <w:lang w:val="en-GB"/>
        </w:rPr>
      </w:pPr>
    </w:p>
    <w:p w:rsidR="005F52C2" w:rsidRPr="005F52C2" w:rsidRDefault="005F52C2" w:rsidP="00196A99">
      <w:pPr>
        <w:tabs>
          <w:tab w:val="left" w:pos="10173"/>
          <w:tab w:val="left" w:pos="10456"/>
        </w:tabs>
        <w:spacing w:line="360" w:lineRule="atLeast"/>
        <w:ind w:right="27"/>
        <w:jc w:val="both"/>
        <w:rPr>
          <w:rFonts w:ascii="Arial" w:hAnsi="Arial"/>
          <w:sz w:val="22"/>
          <w:lang w:val="en-GB"/>
        </w:rPr>
      </w:pPr>
      <w:r w:rsidRPr="005F52C2">
        <w:rPr>
          <w:rFonts w:ascii="Arial" w:hAnsi="Arial"/>
          <w:sz w:val="22"/>
          <w:lang w:val="en-GB"/>
        </w:rPr>
        <w:t>Adverse reactions reported for Fluarix Tetra are listed according to the following frequency categories:</w:t>
      </w:r>
    </w:p>
    <w:p w:rsidR="005F52C2" w:rsidRPr="005F52C2" w:rsidRDefault="005F52C2" w:rsidP="00196A99">
      <w:pPr>
        <w:tabs>
          <w:tab w:val="left" w:pos="10173"/>
          <w:tab w:val="left" w:pos="10456"/>
        </w:tabs>
        <w:spacing w:line="360" w:lineRule="atLeast"/>
        <w:ind w:right="27"/>
        <w:jc w:val="both"/>
        <w:rPr>
          <w:rFonts w:ascii="Arial" w:hAnsi="Arial"/>
          <w:sz w:val="22"/>
          <w:lang w:val="en-GB"/>
        </w:rPr>
      </w:pPr>
      <w:r w:rsidRPr="005F52C2">
        <w:rPr>
          <w:rFonts w:ascii="Arial" w:hAnsi="Arial"/>
          <w:sz w:val="22"/>
          <w:lang w:val="en-GB"/>
        </w:rPr>
        <w:t>Very common ≥1/10</w:t>
      </w:r>
    </w:p>
    <w:p w:rsidR="005F52C2" w:rsidRPr="005F52C2" w:rsidRDefault="005F52C2" w:rsidP="00196A99">
      <w:pPr>
        <w:tabs>
          <w:tab w:val="left" w:pos="10173"/>
          <w:tab w:val="left" w:pos="10456"/>
        </w:tabs>
        <w:spacing w:line="360" w:lineRule="atLeast"/>
        <w:ind w:right="27"/>
        <w:jc w:val="both"/>
        <w:rPr>
          <w:rFonts w:ascii="Arial" w:hAnsi="Arial"/>
          <w:sz w:val="22"/>
          <w:lang w:val="en-GB"/>
        </w:rPr>
      </w:pPr>
      <w:r w:rsidRPr="005F52C2">
        <w:rPr>
          <w:rFonts w:ascii="Arial" w:hAnsi="Arial"/>
          <w:sz w:val="22"/>
          <w:lang w:val="en-GB"/>
        </w:rPr>
        <w:t>Common ≥1/100 to &lt;1/10</w:t>
      </w:r>
    </w:p>
    <w:p w:rsidR="005F52C2" w:rsidRPr="005F52C2" w:rsidRDefault="005F52C2" w:rsidP="00196A99">
      <w:pPr>
        <w:tabs>
          <w:tab w:val="left" w:pos="10173"/>
          <w:tab w:val="left" w:pos="10456"/>
        </w:tabs>
        <w:spacing w:line="360" w:lineRule="atLeast"/>
        <w:ind w:right="27"/>
        <w:jc w:val="both"/>
        <w:rPr>
          <w:rFonts w:ascii="Arial" w:hAnsi="Arial"/>
          <w:sz w:val="22"/>
          <w:lang w:val="en-GB"/>
        </w:rPr>
      </w:pPr>
      <w:r w:rsidRPr="005F52C2">
        <w:rPr>
          <w:rFonts w:ascii="Arial" w:hAnsi="Arial"/>
          <w:sz w:val="22"/>
          <w:lang w:val="en-GB"/>
        </w:rPr>
        <w:t>Uncommon ≥1/1,000 to &lt;1/100</w:t>
      </w:r>
    </w:p>
    <w:p w:rsidR="005F52C2" w:rsidRPr="005F52C2" w:rsidRDefault="005F52C2" w:rsidP="00196A99">
      <w:pPr>
        <w:tabs>
          <w:tab w:val="left" w:pos="10173"/>
          <w:tab w:val="left" w:pos="10456"/>
        </w:tabs>
        <w:spacing w:line="360" w:lineRule="atLeast"/>
        <w:ind w:right="27"/>
        <w:jc w:val="both"/>
        <w:rPr>
          <w:rFonts w:ascii="Arial" w:hAnsi="Arial"/>
          <w:sz w:val="22"/>
          <w:lang w:val="en-GB"/>
        </w:rPr>
      </w:pPr>
      <w:r w:rsidRPr="005F52C2">
        <w:rPr>
          <w:rFonts w:ascii="Arial" w:hAnsi="Arial"/>
          <w:sz w:val="22"/>
          <w:lang w:val="en-GB"/>
        </w:rPr>
        <w:t>Rare ≥1/10,000 to &lt;1/1,000</w:t>
      </w:r>
    </w:p>
    <w:p w:rsidR="005F52C2" w:rsidRDefault="005F52C2" w:rsidP="00196A99">
      <w:pPr>
        <w:tabs>
          <w:tab w:val="left" w:pos="10173"/>
          <w:tab w:val="left" w:pos="10456"/>
        </w:tabs>
        <w:spacing w:line="360" w:lineRule="atLeast"/>
        <w:ind w:right="27"/>
        <w:jc w:val="both"/>
        <w:rPr>
          <w:rFonts w:ascii="Arial" w:hAnsi="Arial"/>
          <w:sz w:val="22"/>
          <w:lang w:val="en-GB"/>
        </w:rPr>
      </w:pPr>
      <w:r w:rsidRPr="005F52C2">
        <w:rPr>
          <w:rFonts w:ascii="Arial" w:hAnsi="Arial"/>
          <w:sz w:val="22"/>
          <w:lang w:val="en-GB"/>
        </w:rPr>
        <w:t>Very rare &lt;1/10,000</w:t>
      </w:r>
    </w:p>
    <w:p w:rsidR="005F52C2" w:rsidRDefault="005F52C2" w:rsidP="00196A99">
      <w:pPr>
        <w:tabs>
          <w:tab w:val="left" w:pos="10173"/>
          <w:tab w:val="left" w:pos="10456"/>
        </w:tabs>
        <w:spacing w:line="360" w:lineRule="atLeast"/>
        <w:ind w:right="27"/>
        <w:jc w:val="both"/>
        <w:rPr>
          <w:rFonts w:ascii="Arial" w:hAnsi="Arial"/>
          <w:sz w:val="22"/>
          <w:lang w:val="en-GB"/>
        </w:rPr>
      </w:pPr>
    </w:p>
    <w:p w:rsidR="00622600" w:rsidRDefault="00622600" w:rsidP="00196A99">
      <w:pPr>
        <w:tabs>
          <w:tab w:val="left" w:pos="10173"/>
          <w:tab w:val="left" w:pos="10456"/>
        </w:tabs>
        <w:spacing w:line="360" w:lineRule="atLeast"/>
        <w:ind w:right="27"/>
        <w:jc w:val="both"/>
        <w:rPr>
          <w:rFonts w:ascii="Arial" w:hAnsi="Arial"/>
          <w:sz w:val="22"/>
          <w:lang w:val="en-GB"/>
        </w:rPr>
      </w:pPr>
      <w:r>
        <w:rPr>
          <w:rFonts w:ascii="Arial" w:hAnsi="Arial"/>
          <w:sz w:val="22"/>
          <w:lang w:val="en-GB"/>
        </w:rPr>
        <w:t xml:space="preserve">Adverse events observed in children </w:t>
      </w:r>
      <w:r w:rsidRPr="00622600">
        <w:rPr>
          <w:rFonts w:ascii="Arial" w:hAnsi="Arial"/>
          <w:sz w:val="22"/>
          <w:lang w:val="en-GB"/>
        </w:rPr>
        <w:t>3 years to 17 years of age</w:t>
      </w:r>
      <w:r>
        <w:rPr>
          <w:rFonts w:ascii="Arial" w:hAnsi="Arial"/>
          <w:sz w:val="22"/>
          <w:lang w:val="en-GB"/>
        </w:rPr>
        <w:t>:</w:t>
      </w:r>
    </w:p>
    <w:p w:rsidR="00622600" w:rsidRPr="00196A99" w:rsidRDefault="00622600" w:rsidP="00196A99">
      <w:pPr>
        <w:tabs>
          <w:tab w:val="left" w:pos="10173"/>
          <w:tab w:val="left" w:pos="10456"/>
        </w:tabs>
        <w:spacing w:line="360" w:lineRule="atLeast"/>
        <w:ind w:right="27"/>
        <w:jc w:val="both"/>
        <w:rPr>
          <w:rFonts w:ascii="Arial" w:hAnsi="Arial"/>
          <w:sz w:val="22"/>
          <w:lang w:val="en-GB"/>
        </w:rPr>
      </w:pPr>
    </w:p>
    <w:p w:rsidR="00196A99" w:rsidRPr="00196A99" w:rsidRDefault="00196A99" w:rsidP="00196A99">
      <w:pPr>
        <w:spacing w:line="360" w:lineRule="atLeast"/>
        <w:jc w:val="both"/>
        <w:rPr>
          <w:rFonts w:ascii="Arial" w:hAnsi="Arial" w:cs="Arial"/>
          <w:sz w:val="22"/>
          <w:szCs w:val="22"/>
          <w:u w:val="single"/>
          <w:lang w:val="en-GB"/>
        </w:rPr>
      </w:pPr>
      <w:r w:rsidRPr="00196A99">
        <w:rPr>
          <w:rFonts w:ascii="Arial" w:hAnsi="Arial" w:cs="Arial"/>
          <w:sz w:val="22"/>
          <w:szCs w:val="22"/>
          <w:u w:val="single"/>
          <w:lang w:val="en-GB"/>
        </w:rPr>
        <w:t>Metabolism and nutrition disorders</w:t>
      </w:r>
    </w:p>
    <w:p w:rsidR="00196A99" w:rsidRPr="00196A99" w:rsidRDefault="00196A99" w:rsidP="00196A99">
      <w:pPr>
        <w:spacing w:line="360" w:lineRule="atLeast"/>
        <w:jc w:val="both"/>
        <w:rPr>
          <w:rFonts w:ascii="Arial" w:hAnsi="Arial" w:cs="Arial"/>
          <w:sz w:val="22"/>
          <w:szCs w:val="22"/>
          <w:lang w:val="en-GB"/>
        </w:rPr>
      </w:pPr>
      <w:r w:rsidRPr="00196A99">
        <w:rPr>
          <w:rFonts w:ascii="Arial" w:hAnsi="Arial" w:cs="Arial"/>
          <w:sz w:val="22"/>
          <w:szCs w:val="22"/>
          <w:lang w:val="en-GB"/>
        </w:rPr>
        <w:t>Common: appetite loss</w:t>
      </w:r>
      <w:r w:rsidRPr="00196A99">
        <w:rPr>
          <w:rFonts w:ascii="Arial" w:hAnsi="Arial" w:cs="Arial"/>
          <w:sz w:val="22"/>
          <w:szCs w:val="22"/>
          <w:vertAlign w:val="superscript"/>
          <w:lang w:val="en-GB"/>
        </w:rPr>
        <w:t>1</w:t>
      </w:r>
    </w:p>
    <w:p w:rsidR="00196A99" w:rsidRPr="00196A99" w:rsidRDefault="00196A99" w:rsidP="00196A99">
      <w:pPr>
        <w:spacing w:line="360" w:lineRule="atLeast"/>
        <w:jc w:val="both"/>
        <w:rPr>
          <w:rFonts w:ascii="Arial" w:hAnsi="Arial" w:cs="Arial"/>
          <w:sz w:val="22"/>
          <w:szCs w:val="22"/>
          <w:u w:val="single"/>
          <w:lang w:val="en-GB"/>
        </w:rPr>
      </w:pPr>
      <w:r w:rsidRPr="00196A99">
        <w:rPr>
          <w:rFonts w:ascii="Arial" w:hAnsi="Arial" w:cs="Arial"/>
          <w:sz w:val="22"/>
          <w:szCs w:val="22"/>
          <w:u w:val="single"/>
          <w:lang w:val="en-GB"/>
        </w:rPr>
        <w:t>Psychiatric disorders</w:t>
      </w:r>
    </w:p>
    <w:p w:rsidR="00196A99" w:rsidRPr="00196A99" w:rsidRDefault="00196A99" w:rsidP="00196A99">
      <w:pPr>
        <w:spacing w:line="360" w:lineRule="atLeast"/>
        <w:jc w:val="both"/>
        <w:rPr>
          <w:rFonts w:ascii="Arial" w:hAnsi="Arial" w:cs="Arial"/>
          <w:sz w:val="22"/>
          <w:szCs w:val="22"/>
          <w:u w:val="single"/>
          <w:lang w:val="en-GB"/>
        </w:rPr>
      </w:pPr>
      <w:r w:rsidRPr="00196A99">
        <w:rPr>
          <w:rFonts w:ascii="Arial" w:hAnsi="Arial" w:cs="Arial"/>
          <w:sz w:val="22"/>
          <w:szCs w:val="22"/>
          <w:lang w:val="en-GB"/>
        </w:rPr>
        <w:t>Very common: irritability</w:t>
      </w:r>
      <w:r w:rsidRPr="00196A99">
        <w:rPr>
          <w:rFonts w:ascii="Arial" w:hAnsi="Arial" w:cs="Arial"/>
          <w:sz w:val="22"/>
          <w:szCs w:val="22"/>
          <w:vertAlign w:val="superscript"/>
          <w:lang w:val="en-GB"/>
        </w:rPr>
        <w:t>1</w:t>
      </w:r>
      <w:r w:rsidRPr="00196A99">
        <w:rPr>
          <w:rFonts w:ascii="Arial" w:hAnsi="Arial" w:cs="Arial"/>
          <w:sz w:val="22"/>
          <w:szCs w:val="22"/>
          <w:u w:val="single"/>
          <w:lang w:val="en-GB"/>
        </w:rPr>
        <w:t>Nervous system disorders</w:t>
      </w:r>
    </w:p>
    <w:p w:rsidR="00196A99" w:rsidRPr="00196A99" w:rsidRDefault="00196A99" w:rsidP="00196A99">
      <w:pPr>
        <w:spacing w:line="360" w:lineRule="atLeast"/>
        <w:jc w:val="both"/>
        <w:rPr>
          <w:rFonts w:ascii="Arial" w:hAnsi="Arial" w:cs="Arial"/>
          <w:sz w:val="22"/>
          <w:szCs w:val="22"/>
          <w:lang w:val="en-GB"/>
        </w:rPr>
      </w:pPr>
      <w:r w:rsidRPr="00196A99">
        <w:rPr>
          <w:rFonts w:ascii="Arial" w:hAnsi="Arial" w:cs="Arial"/>
          <w:sz w:val="22"/>
          <w:szCs w:val="22"/>
          <w:lang w:val="en-GB"/>
        </w:rPr>
        <w:t>Common: drowsiness</w:t>
      </w:r>
      <w:r w:rsidRPr="00196A99">
        <w:rPr>
          <w:rFonts w:ascii="Arial" w:hAnsi="Arial" w:cs="Arial"/>
          <w:sz w:val="22"/>
          <w:szCs w:val="22"/>
          <w:vertAlign w:val="superscript"/>
          <w:lang w:val="en-GB"/>
        </w:rPr>
        <w:t>1</w:t>
      </w:r>
      <w:r w:rsidRPr="00196A99">
        <w:rPr>
          <w:rFonts w:ascii="Arial" w:hAnsi="Arial" w:cs="Arial"/>
          <w:sz w:val="22"/>
          <w:szCs w:val="22"/>
          <w:lang w:val="en-GB"/>
        </w:rPr>
        <w:t>, headache</w:t>
      </w:r>
    </w:p>
    <w:p w:rsidR="00196A99" w:rsidRPr="00196A99" w:rsidRDefault="00196A99" w:rsidP="00196A99">
      <w:pPr>
        <w:spacing w:line="360" w:lineRule="atLeast"/>
        <w:jc w:val="both"/>
        <w:rPr>
          <w:rFonts w:ascii="Arial" w:hAnsi="Arial" w:cs="Arial"/>
          <w:sz w:val="22"/>
          <w:szCs w:val="22"/>
          <w:u w:val="single"/>
          <w:lang w:val="en-GB"/>
        </w:rPr>
      </w:pPr>
      <w:r w:rsidRPr="00196A99">
        <w:rPr>
          <w:rFonts w:ascii="Arial" w:hAnsi="Arial" w:cs="Arial"/>
          <w:sz w:val="22"/>
          <w:szCs w:val="22"/>
          <w:u w:val="single"/>
          <w:lang w:val="en-GB"/>
        </w:rPr>
        <w:t>Gastrointestinal disorders</w:t>
      </w:r>
    </w:p>
    <w:p w:rsidR="00196A99" w:rsidRPr="00196A99" w:rsidRDefault="00196A99" w:rsidP="00196A99">
      <w:pPr>
        <w:spacing w:line="360" w:lineRule="atLeast"/>
        <w:jc w:val="both"/>
        <w:rPr>
          <w:rFonts w:ascii="Arial" w:hAnsi="Arial" w:cs="Arial"/>
          <w:sz w:val="22"/>
          <w:szCs w:val="22"/>
          <w:lang w:val="en-GB"/>
        </w:rPr>
      </w:pPr>
      <w:r w:rsidRPr="00196A99">
        <w:rPr>
          <w:rFonts w:ascii="Arial" w:hAnsi="Arial" w:cs="Arial"/>
          <w:sz w:val="22"/>
          <w:szCs w:val="22"/>
          <w:lang w:val="en-GB"/>
        </w:rPr>
        <w:t>Common: gastrointestinal symptoms (including nausea, vomiting, diarrhoea and/or abdominal pain)</w:t>
      </w:r>
    </w:p>
    <w:p w:rsidR="00196A99" w:rsidRPr="00196A99" w:rsidRDefault="00196A99" w:rsidP="00196A99">
      <w:pPr>
        <w:spacing w:line="360" w:lineRule="atLeast"/>
        <w:jc w:val="both"/>
        <w:rPr>
          <w:rFonts w:ascii="Arial" w:hAnsi="Arial" w:cs="Arial"/>
          <w:sz w:val="22"/>
          <w:szCs w:val="22"/>
          <w:u w:val="single"/>
          <w:lang w:val="en-GB"/>
        </w:rPr>
      </w:pPr>
      <w:r w:rsidRPr="00196A99">
        <w:rPr>
          <w:rFonts w:ascii="Arial" w:hAnsi="Arial" w:cs="Arial"/>
          <w:sz w:val="22"/>
          <w:szCs w:val="22"/>
          <w:u w:val="single"/>
          <w:lang w:val="en-GB"/>
        </w:rPr>
        <w:t>Skin and subcutaneous tissue disorders</w:t>
      </w:r>
    </w:p>
    <w:p w:rsidR="00196A99" w:rsidRPr="00196A99" w:rsidRDefault="00196A99" w:rsidP="00196A99">
      <w:pPr>
        <w:spacing w:line="360" w:lineRule="atLeast"/>
        <w:jc w:val="both"/>
        <w:rPr>
          <w:rFonts w:ascii="Arial" w:hAnsi="Arial" w:cs="Arial"/>
          <w:sz w:val="22"/>
          <w:szCs w:val="22"/>
          <w:lang w:val="en-GB"/>
        </w:rPr>
      </w:pPr>
      <w:r w:rsidRPr="00196A99">
        <w:rPr>
          <w:rFonts w:ascii="Arial" w:hAnsi="Arial" w:cs="Arial"/>
          <w:sz w:val="22"/>
          <w:szCs w:val="22"/>
          <w:lang w:val="en-GB"/>
        </w:rPr>
        <w:t>Uncommon: rash</w:t>
      </w:r>
    </w:p>
    <w:p w:rsidR="00196A99" w:rsidRPr="00196A99" w:rsidRDefault="00196A99" w:rsidP="00196A99">
      <w:pPr>
        <w:spacing w:line="360" w:lineRule="atLeast"/>
        <w:jc w:val="both"/>
        <w:rPr>
          <w:rFonts w:ascii="Arial" w:hAnsi="Arial" w:cs="Arial"/>
          <w:sz w:val="22"/>
          <w:szCs w:val="22"/>
          <w:u w:val="single"/>
          <w:lang w:val="en-GB"/>
        </w:rPr>
      </w:pPr>
      <w:r w:rsidRPr="00196A99">
        <w:rPr>
          <w:rFonts w:ascii="Arial" w:hAnsi="Arial" w:cs="Arial"/>
          <w:sz w:val="22"/>
          <w:szCs w:val="22"/>
          <w:u w:val="single"/>
          <w:lang w:val="en-GB"/>
        </w:rPr>
        <w:t>Musculoskeletal and connective tissue disorders</w:t>
      </w:r>
    </w:p>
    <w:p w:rsidR="00196A99" w:rsidRPr="00196A99" w:rsidRDefault="00196A99" w:rsidP="00196A99">
      <w:pPr>
        <w:spacing w:line="360" w:lineRule="atLeast"/>
        <w:jc w:val="both"/>
        <w:rPr>
          <w:rFonts w:ascii="Arial" w:hAnsi="Arial" w:cs="Arial"/>
          <w:sz w:val="22"/>
          <w:szCs w:val="22"/>
          <w:lang w:val="en-GB"/>
        </w:rPr>
      </w:pPr>
      <w:r w:rsidRPr="00196A99">
        <w:rPr>
          <w:rFonts w:ascii="Arial" w:hAnsi="Arial" w:cs="Arial"/>
          <w:sz w:val="22"/>
          <w:szCs w:val="22"/>
          <w:lang w:val="en-GB"/>
        </w:rPr>
        <w:t>Very common: myalgia</w:t>
      </w:r>
    </w:p>
    <w:p w:rsidR="00196A99" w:rsidRPr="00196A99" w:rsidRDefault="00196A99" w:rsidP="00196A99">
      <w:pPr>
        <w:spacing w:line="360" w:lineRule="atLeast"/>
        <w:jc w:val="both"/>
        <w:rPr>
          <w:rFonts w:ascii="Arial" w:hAnsi="Arial" w:cs="Arial"/>
          <w:sz w:val="22"/>
          <w:szCs w:val="22"/>
          <w:lang w:val="en-GB"/>
        </w:rPr>
      </w:pPr>
      <w:r w:rsidRPr="00196A99">
        <w:rPr>
          <w:rFonts w:ascii="Arial" w:hAnsi="Arial" w:cs="Arial"/>
          <w:sz w:val="22"/>
          <w:szCs w:val="22"/>
          <w:lang w:val="en-GB"/>
        </w:rPr>
        <w:t>Common: arthralgia</w:t>
      </w:r>
    </w:p>
    <w:p w:rsidR="00196A99" w:rsidRPr="00196A99" w:rsidRDefault="00196A99" w:rsidP="00196A99">
      <w:pPr>
        <w:spacing w:line="360" w:lineRule="atLeast"/>
        <w:jc w:val="both"/>
        <w:rPr>
          <w:rFonts w:ascii="Arial" w:hAnsi="Arial" w:cs="Arial"/>
          <w:sz w:val="22"/>
          <w:szCs w:val="22"/>
          <w:u w:val="single"/>
          <w:lang w:val="en-GB"/>
        </w:rPr>
      </w:pPr>
      <w:r w:rsidRPr="00196A99">
        <w:rPr>
          <w:rFonts w:ascii="Arial" w:hAnsi="Arial" w:cs="Arial"/>
          <w:sz w:val="22"/>
          <w:szCs w:val="22"/>
          <w:u w:val="single"/>
          <w:lang w:val="en-GB"/>
        </w:rPr>
        <w:lastRenderedPageBreak/>
        <w:t>General disorders and administration site conditions</w:t>
      </w:r>
    </w:p>
    <w:p w:rsidR="00196A99" w:rsidRPr="00196A99" w:rsidRDefault="00196A99" w:rsidP="00196A99">
      <w:pPr>
        <w:spacing w:line="360" w:lineRule="atLeast"/>
        <w:jc w:val="both"/>
        <w:rPr>
          <w:rFonts w:ascii="Arial" w:hAnsi="Arial" w:cs="Arial"/>
          <w:sz w:val="22"/>
          <w:szCs w:val="22"/>
          <w:lang w:val="en-GB"/>
        </w:rPr>
      </w:pPr>
      <w:r w:rsidRPr="00196A99">
        <w:rPr>
          <w:rFonts w:ascii="Arial" w:hAnsi="Arial" w:cs="Arial"/>
          <w:sz w:val="22"/>
          <w:szCs w:val="22"/>
          <w:lang w:val="en-GB"/>
        </w:rPr>
        <w:t>Very common: fatigue</w:t>
      </w:r>
      <w:r w:rsidR="00B87083">
        <w:rPr>
          <w:rFonts w:ascii="Arial" w:hAnsi="Arial" w:cs="Arial"/>
          <w:sz w:val="22"/>
          <w:szCs w:val="22"/>
          <w:lang w:val="en-GB"/>
        </w:rPr>
        <w:t xml:space="preserve">, </w:t>
      </w:r>
      <w:r w:rsidR="00B87083" w:rsidRPr="00196A99">
        <w:rPr>
          <w:rFonts w:ascii="Arial" w:hAnsi="Arial" w:cs="Arial"/>
          <w:sz w:val="22"/>
          <w:szCs w:val="22"/>
          <w:lang w:val="en-GB"/>
        </w:rPr>
        <w:t>injection site redness, injection site swelling</w:t>
      </w:r>
    </w:p>
    <w:p w:rsidR="00196A99" w:rsidRPr="00196A99" w:rsidRDefault="00196A99" w:rsidP="00196A99">
      <w:pPr>
        <w:spacing w:line="360" w:lineRule="atLeast"/>
        <w:jc w:val="both"/>
        <w:rPr>
          <w:rFonts w:ascii="Arial" w:hAnsi="Arial" w:cs="Arial"/>
          <w:sz w:val="22"/>
          <w:szCs w:val="22"/>
          <w:lang w:val="en-GB"/>
        </w:rPr>
      </w:pPr>
      <w:r w:rsidRPr="00196A99">
        <w:rPr>
          <w:rFonts w:ascii="Arial" w:hAnsi="Arial" w:cs="Arial"/>
          <w:sz w:val="22"/>
          <w:szCs w:val="22"/>
          <w:lang w:val="en-GB"/>
        </w:rPr>
        <w:t>Common</w:t>
      </w:r>
      <w:proofErr w:type="gramStart"/>
      <w:r w:rsidRPr="00196A99">
        <w:rPr>
          <w:rFonts w:ascii="Arial" w:hAnsi="Arial" w:cs="Arial"/>
          <w:sz w:val="22"/>
          <w:szCs w:val="22"/>
          <w:lang w:val="en-GB"/>
        </w:rPr>
        <w:t>:,</w:t>
      </w:r>
      <w:proofErr w:type="gramEnd"/>
      <w:r w:rsidRPr="00196A99">
        <w:rPr>
          <w:rFonts w:ascii="Arial" w:hAnsi="Arial" w:cs="Arial"/>
          <w:sz w:val="22"/>
          <w:szCs w:val="22"/>
          <w:lang w:val="en-GB"/>
        </w:rPr>
        <w:t xml:space="preserve"> shivering, fever</w:t>
      </w:r>
    </w:p>
    <w:p w:rsidR="00196A99" w:rsidRPr="00196A99" w:rsidRDefault="00196A99" w:rsidP="00196A99">
      <w:pPr>
        <w:spacing w:line="360" w:lineRule="atLeast"/>
        <w:jc w:val="both"/>
        <w:rPr>
          <w:rFonts w:ascii="Arial" w:hAnsi="Arial" w:cs="Arial"/>
          <w:sz w:val="22"/>
          <w:szCs w:val="22"/>
          <w:lang w:val="en-GB"/>
        </w:rPr>
      </w:pPr>
      <w:r w:rsidRPr="00196A99">
        <w:rPr>
          <w:rFonts w:ascii="Arial" w:hAnsi="Arial" w:cs="Arial"/>
          <w:sz w:val="22"/>
          <w:szCs w:val="22"/>
          <w:lang w:val="en-GB"/>
        </w:rPr>
        <w:t xml:space="preserve">Uncommon: injection site </w:t>
      </w:r>
      <w:r w:rsidR="00173511">
        <w:rPr>
          <w:rFonts w:ascii="Arial" w:hAnsi="Arial" w:cs="Arial"/>
          <w:sz w:val="22"/>
          <w:szCs w:val="22"/>
          <w:lang w:val="en-GB"/>
        </w:rPr>
        <w:t>pruritis</w:t>
      </w:r>
    </w:p>
    <w:p w:rsidR="00196A99" w:rsidRPr="00196A99" w:rsidRDefault="00196A99" w:rsidP="00196A99">
      <w:pPr>
        <w:spacing w:line="360" w:lineRule="atLeast"/>
        <w:jc w:val="both"/>
        <w:rPr>
          <w:rFonts w:ascii="Arial" w:hAnsi="Arial" w:cs="Arial"/>
          <w:sz w:val="22"/>
          <w:szCs w:val="22"/>
          <w:lang w:val="en-GB"/>
        </w:rPr>
      </w:pPr>
      <w:r w:rsidRPr="00196A99">
        <w:rPr>
          <w:rFonts w:ascii="Arial" w:hAnsi="Arial" w:cs="Arial"/>
          <w:sz w:val="22"/>
          <w:szCs w:val="22"/>
          <w:vertAlign w:val="superscript"/>
          <w:lang w:val="en-GB"/>
        </w:rPr>
        <w:t>1</w:t>
      </w:r>
      <w:r w:rsidRPr="00196A99">
        <w:rPr>
          <w:rFonts w:ascii="Arial" w:hAnsi="Arial" w:cs="Arial"/>
          <w:sz w:val="22"/>
          <w:szCs w:val="22"/>
          <w:lang w:val="en-GB"/>
        </w:rPr>
        <w:t xml:space="preserve">reported as a solicited symptom in </w:t>
      </w:r>
      <w:r w:rsidR="00822070" w:rsidRPr="00822070">
        <w:rPr>
          <w:rFonts w:ascii="Arial" w:hAnsi="Arial" w:cs="Arial"/>
          <w:sz w:val="22"/>
          <w:szCs w:val="22"/>
          <w:lang w:val="en-GB"/>
        </w:rPr>
        <w:t>individuals</w:t>
      </w:r>
      <w:r w:rsidRPr="00196A99">
        <w:rPr>
          <w:rFonts w:ascii="Arial" w:hAnsi="Arial" w:cs="Arial"/>
          <w:sz w:val="22"/>
          <w:szCs w:val="22"/>
          <w:lang w:val="en-GB"/>
        </w:rPr>
        <w:t xml:space="preserve"> less than 6 years of age </w:t>
      </w:r>
    </w:p>
    <w:p w:rsidR="00196A99" w:rsidRDefault="00196A99" w:rsidP="00196A99">
      <w:pPr>
        <w:spacing w:line="360" w:lineRule="atLeast"/>
        <w:jc w:val="both"/>
        <w:rPr>
          <w:rFonts w:ascii="Arial" w:hAnsi="Arial" w:cs="Arial"/>
          <w:sz w:val="22"/>
          <w:szCs w:val="22"/>
          <w:lang w:val="en-GB"/>
        </w:rPr>
      </w:pPr>
    </w:p>
    <w:p w:rsidR="00622600" w:rsidRDefault="00622600" w:rsidP="00196A99">
      <w:pPr>
        <w:spacing w:line="360" w:lineRule="atLeast"/>
        <w:jc w:val="both"/>
        <w:rPr>
          <w:rFonts w:ascii="Arial" w:hAnsi="Arial" w:cs="Arial"/>
          <w:sz w:val="22"/>
          <w:szCs w:val="22"/>
          <w:lang w:val="en-GB"/>
        </w:rPr>
      </w:pPr>
      <w:r w:rsidRPr="00622600">
        <w:rPr>
          <w:rFonts w:ascii="Arial" w:hAnsi="Arial" w:cs="Arial"/>
          <w:sz w:val="22"/>
          <w:szCs w:val="22"/>
          <w:lang w:val="en-GB"/>
        </w:rPr>
        <w:t xml:space="preserve">Adverse events observed in </w:t>
      </w:r>
      <w:r>
        <w:rPr>
          <w:rFonts w:ascii="Arial" w:hAnsi="Arial" w:cs="Arial"/>
          <w:sz w:val="22"/>
          <w:szCs w:val="22"/>
          <w:lang w:val="en-GB"/>
        </w:rPr>
        <w:t>adults</w:t>
      </w:r>
      <w:r w:rsidRPr="00622600">
        <w:rPr>
          <w:rFonts w:ascii="Arial" w:hAnsi="Arial" w:cs="Arial"/>
          <w:sz w:val="22"/>
          <w:szCs w:val="22"/>
          <w:lang w:val="en-GB"/>
        </w:rPr>
        <w:t>:</w:t>
      </w:r>
    </w:p>
    <w:p w:rsidR="00622600" w:rsidRPr="00196A99" w:rsidRDefault="00622600" w:rsidP="00622600">
      <w:pPr>
        <w:spacing w:line="360" w:lineRule="atLeast"/>
        <w:jc w:val="both"/>
        <w:rPr>
          <w:rFonts w:ascii="Arial" w:hAnsi="Arial" w:cs="Arial"/>
          <w:sz w:val="22"/>
          <w:szCs w:val="22"/>
          <w:u w:val="single"/>
          <w:lang w:val="en-GB"/>
        </w:rPr>
      </w:pPr>
      <w:r w:rsidRPr="00196A99">
        <w:rPr>
          <w:rFonts w:ascii="Arial" w:hAnsi="Arial" w:cs="Arial"/>
          <w:sz w:val="22"/>
          <w:szCs w:val="22"/>
          <w:u w:val="single"/>
          <w:lang w:val="en-GB"/>
        </w:rPr>
        <w:t>Nervous system disorders</w:t>
      </w:r>
    </w:p>
    <w:p w:rsidR="00622600" w:rsidRPr="00196A99" w:rsidRDefault="00622600" w:rsidP="00622600">
      <w:pPr>
        <w:spacing w:line="360" w:lineRule="atLeast"/>
        <w:jc w:val="both"/>
        <w:rPr>
          <w:rFonts w:ascii="Arial" w:hAnsi="Arial" w:cs="Arial"/>
          <w:sz w:val="22"/>
          <w:szCs w:val="22"/>
          <w:lang w:val="en-GB"/>
        </w:rPr>
      </w:pPr>
      <w:r w:rsidRPr="00196A99">
        <w:rPr>
          <w:rFonts w:ascii="Arial" w:hAnsi="Arial" w:cs="Arial"/>
          <w:sz w:val="22"/>
          <w:szCs w:val="22"/>
          <w:lang w:val="en-GB"/>
        </w:rPr>
        <w:t>Common: headache</w:t>
      </w:r>
    </w:p>
    <w:p w:rsidR="00622600" w:rsidRPr="00196A99" w:rsidRDefault="00622600" w:rsidP="00622600">
      <w:pPr>
        <w:spacing w:line="360" w:lineRule="atLeast"/>
        <w:jc w:val="both"/>
        <w:rPr>
          <w:rFonts w:ascii="Arial" w:hAnsi="Arial" w:cs="Arial"/>
          <w:sz w:val="22"/>
          <w:szCs w:val="22"/>
          <w:lang w:val="en-GB"/>
        </w:rPr>
      </w:pPr>
      <w:r w:rsidRPr="00196A99">
        <w:rPr>
          <w:rFonts w:ascii="Arial" w:hAnsi="Arial" w:cs="Arial"/>
          <w:sz w:val="22"/>
          <w:szCs w:val="22"/>
          <w:lang w:val="en-GB"/>
        </w:rPr>
        <w:t>Uncommon: dizziness</w:t>
      </w:r>
    </w:p>
    <w:p w:rsidR="00622600" w:rsidRPr="00196A99" w:rsidRDefault="00622600" w:rsidP="00622600">
      <w:pPr>
        <w:spacing w:line="360" w:lineRule="atLeast"/>
        <w:jc w:val="both"/>
        <w:rPr>
          <w:rFonts w:ascii="Arial" w:hAnsi="Arial" w:cs="Arial"/>
          <w:sz w:val="22"/>
          <w:szCs w:val="22"/>
          <w:u w:val="single"/>
          <w:lang w:val="en-GB"/>
        </w:rPr>
      </w:pPr>
      <w:r w:rsidRPr="00196A99">
        <w:rPr>
          <w:rFonts w:ascii="Arial" w:hAnsi="Arial" w:cs="Arial"/>
          <w:sz w:val="22"/>
          <w:szCs w:val="22"/>
          <w:u w:val="single"/>
          <w:lang w:val="en-GB"/>
        </w:rPr>
        <w:t>Gastrointestinal disorders</w:t>
      </w:r>
    </w:p>
    <w:p w:rsidR="00622600" w:rsidRDefault="00622600" w:rsidP="00622600">
      <w:pPr>
        <w:spacing w:line="360" w:lineRule="atLeast"/>
        <w:jc w:val="both"/>
        <w:rPr>
          <w:rFonts w:ascii="Arial" w:hAnsi="Arial" w:cs="Arial"/>
          <w:sz w:val="22"/>
          <w:szCs w:val="22"/>
          <w:lang w:val="en-GB"/>
        </w:rPr>
      </w:pPr>
      <w:r w:rsidRPr="00196A99">
        <w:rPr>
          <w:rFonts w:ascii="Arial" w:hAnsi="Arial" w:cs="Arial"/>
          <w:sz w:val="22"/>
          <w:szCs w:val="22"/>
          <w:lang w:val="en-GB"/>
        </w:rPr>
        <w:t>Common: gastrointestinal symptoms (including nausea, vomiting, diarrhoea and/or abdominal pain)</w:t>
      </w:r>
    </w:p>
    <w:p w:rsidR="00225B5E" w:rsidRPr="00225B5E" w:rsidRDefault="00225B5E" w:rsidP="00225B5E">
      <w:pPr>
        <w:spacing w:line="360" w:lineRule="atLeast"/>
        <w:jc w:val="both"/>
        <w:rPr>
          <w:rFonts w:ascii="Arial" w:hAnsi="Arial" w:cs="Arial"/>
          <w:sz w:val="22"/>
          <w:szCs w:val="22"/>
          <w:lang w:val="en-GB"/>
        </w:rPr>
      </w:pPr>
      <w:r w:rsidRPr="00225B5E">
        <w:rPr>
          <w:rFonts w:ascii="Arial" w:hAnsi="Arial" w:cs="Arial"/>
          <w:sz w:val="22"/>
          <w:szCs w:val="22"/>
          <w:lang w:val="en-GB"/>
        </w:rPr>
        <w:t>Skin and subcutaneous tissue disorders</w:t>
      </w:r>
    </w:p>
    <w:p w:rsidR="00622600" w:rsidRPr="00196A99" w:rsidRDefault="00622600" w:rsidP="00622600">
      <w:pPr>
        <w:spacing w:line="360" w:lineRule="atLeast"/>
        <w:jc w:val="both"/>
        <w:rPr>
          <w:rFonts w:ascii="Arial" w:hAnsi="Arial" w:cs="Arial"/>
          <w:sz w:val="22"/>
          <w:szCs w:val="22"/>
          <w:u w:val="single"/>
          <w:lang w:val="en-GB"/>
        </w:rPr>
      </w:pPr>
      <w:r w:rsidRPr="00196A99">
        <w:rPr>
          <w:rFonts w:ascii="Arial" w:hAnsi="Arial" w:cs="Arial"/>
          <w:sz w:val="22"/>
          <w:szCs w:val="22"/>
          <w:u w:val="single"/>
          <w:lang w:val="en-GB"/>
        </w:rPr>
        <w:t>Musculoskeletal and connective tissue disorders</w:t>
      </w:r>
    </w:p>
    <w:p w:rsidR="00622600" w:rsidRPr="00196A99" w:rsidRDefault="00622600" w:rsidP="00622600">
      <w:pPr>
        <w:spacing w:line="360" w:lineRule="atLeast"/>
        <w:jc w:val="both"/>
        <w:rPr>
          <w:rFonts w:ascii="Arial" w:hAnsi="Arial" w:cs="Arial"/>
          <w:sz w:val="22"/>
          <w:szCs w:val="22"/>
          <w:lang w:val="en-GB"/>
        </w:rPr>
      </w:pPr>
      <w:r w:rsidRPr="00196A99">
        <w:rPr>
          <w:rFonts w:ascii="Arial" w:hAnsi="Arial" w:cs="Arial"/>
          <w:sz w:val="22"/>
          <w:szCs w:val="22"/>
          <w:lang w:val="en-GB"/>
        </w:rPr>
        <w:t>Very common: myalgia</w:t>
      </w:r>
    </w:p>
    <w:p w:rsidR="00622600" w:rsidRPr="00196A99" w:rsidRDefault="00622600" w:rsidP="00622600">
      <w:pPr>
        <w:spacing w:line="360" w:lineRule="atLeast"/>
        <w:jc w:val="both"/>
        <w:rPr>
          <w:rFonts w:ascii="Arial" w:hAnsi="Arial" w:cs="Arial"/>
          <w:sz w:val="22"/>
          <w:szCs w:val="22"/>
          <w:lang w:val="en-GB"/>
        </w:rPr>
      </w:pPr>
      <w:r w:rsidRPr="00196A99">
        <w:rPr>
          <w:rFonts w:ascii="Arial" w:hAnsi="Arial" w:cs="Arial"/>
          <w:sz w:val="22"/>
          <w:szCs w:val="22"/>
          <w:lang w:val="en-GB"/>
        </w:rPr>
        <w:t>Common: arthralgia</w:t>
      </w:r>
    </w:p>
    <w:p w:rsidR="00622600" w:rsidRPr="00196A99" w:rsidRDefault="00622600" w:rsidP="00622600">
      <w:pPr>
        <w:spacing w:line="360" w:lineRule="atLeast"/>
        <w:jc w:val="both"/>
        <w:rPr>
          <w:rFonts w:ascii="Arial" w:hAnsi="Arial" w:cs="Arial"/>
          <w:sz w:val="22"/>
          <w:szCs w:val="22"/>
          <w:u w:val="single"/>
          <w:lang w:val="en-GB"/>
        </w:rPr>
      </w:pPr>
      <w:r w:rsidRPr="00196A99">
        <w:rPr>
          <w:rFonts w:ascii="Arial" w:hAnsi="Arial" w:cs="Arial"/>
          <w:sz w:val="22"/>
          <w:szCs w:val="22"/>
          <w:u w:val="single"/>
          <w:lang w:val="en-GB"/>
        </w:rPr>
        <w:t>General disorders and administration site conditions</w:t>
      </w:r>
    </w:p>
    <w:p w:rsidR="00622600" w:rsidRPr="00196A99" w:rsidRDefault="00622600" w:rsidP="00622600">
      <w:pPr>
        <w:spacing w:line="360" w:lineRule="atLeast"/>
        <w:jc w:val="both"/>
        <w:rPr>
          <w:rFonts w:ascii="Arial" w:hAnsi="Arial" w:cs="Arial"/>
          <w:sz w:val="22"/>
          <w:szCs w:val="22"/>
          <w:lang w:val="en-GB"/>
        </w:rPr>
      </w:pPr>
      <w:r w:rsidRPr="00196A99">
        <w:rPr>
          <w:rFonts w:ascii="Arial" w:hAnsi="Arial" w:cs="Arial"/>
          <w:sz w:val="22"/>
          <w:szCs w:val="22"/>
          <w:lang w:val="en-GB"/>
        </w:rPr>
        <w:t>Very common: injection site pain, fatigue</w:t>
      </w:r>
    </w:p>
    <w:p w:rsidR="00622600" w:rsidRPr="00196A99" w:rsidRDefault="00622600" w:rsidP="00622600">
      <w:pPr>
        <w:spacing w:line="360" w:lineRule="atLeast"/>
        <w:jc w:val="both"/>
        <w:rPr>
          <w:rFonts w:ascii="Arial" w:hAnsi="Arial" w:cs="Arial"/>
          <w:sz w:val="22"/>
          <w:szCs w:val="22"/>
          <w:lang w:val="en-GB"/>
        </w:rPr>
      </w:pPr>
      <w:r w:rsidRPr="00196A99">
        <w:rPr>
          <w:rFonts w:ascii="Arial" w:hAnsi="Arial" w:cs="Arial"/>
          <w:sz w:val="22"/>
          <w:szCs w:val="22"/>
          <w:lang w:val="en-GB"/>
        </w:rPr>
        <w:t xml:space="preserve">Common: </w:t>
      </w:r>
      <w:r w:rsidR="007149A3" w:rsidRPr="007149A3">
        <w:rPr>
          <w:rFonts w:ascii="Arial" w:hAnsi="Arial" w:cs="Arial"/>
          <w:sz w:val="22"/>
          <w:szCs w:val="22"/>
          <w:lang w:val="en-GB"/>
        </w:rPr>
        <w:t>injection site re</w:t>
      </w:r>
      <w:r w:rsidR="007149A3">
        <w:rPr>
          <w:rFonts w:ascii="Arial" w:hAnsi="Arial" w:cs="Arial"/>
          <w:sz w:val="22"/>
          <w:szCs w:val="22"/>
          <w:lang w:val="en-GB"/>
        </w:rPr>
        <w:t>dness</w:t>
      </w:r>
      <w:r w:rsidR="007149A3" w:rsidRPr="007149A3">
        <w:rPr>
          <w:rFonts w:ascii="Arial" w:hAnsi="Arial" w:cs="Arial"/>
          <w:sz w:val="22"/>
          <w:szCs w:val="22"/>
          <w:vertAlign w:val="superscript"/>
          <w:lang w:val="en-GB"/>
        </w:rPr>
        <w:t>1</w:t>
      </w:r>
      <w:r w:rsidR="007149A3">
        <w:rPr>
          <w:rFonts w:ascii="Arial" w:hAnsi="Arial" w:cs="Arial"/>
          <w:sz w:val="22"/>
          <w:szCs w:val="22"/>
          <w:lang w:val="en-GB"/>
        </w:rPr>
        <w:t>, injection site swelling</w:t>
      </w:r>
      <w:r w:rsidR="007149A3" w:rsidRPr="007149A3">
        <w:rPr>
          <w:rFonts w:ascii="Arial" w:hAnsi="Arial" w:cs="Arial"/>
          <w:sz w:val="22"/>
          <w:szCs w:val="22"/>
          <w:vertAlign w:val="superscript"/>
          <w:lang w:val="en-GB"/>
        </w:rPr>
        <w:t>1</w:t>
      </w:r>
      <w:r w:rsidR="007149A3">
        <w:rPr>
          <w:rFonts w:ascii="Arial" w:hAnsi="Arial" w:cs="Arial"/>
          <w:sz w:val="22"/>
          <w:szCs w:val="22"/>
          <w:lang w:val="en-GB"/>
        </w:rPr>
        <w:t xml:space="preserve">, </w:t>
      </w:r>
      <w:r w:rsidRPr="00196A99">
        <w:rPr>
          <w:rFonts w:ascii="Arial" w:hAnsi="Arial" w:cs="Arial"/>
          <w:sz w:val="22"/>
          <w:szCs w:val="22"/>
          <w:lang w:val="en-GB"/>
        </w:rPr>
        <w:t>shivering, fever</w:t>
      </w:r>
    </w:p>
    <w:p w:rsidR="00622600" w:rsidRDefault="00622600" w:rsidP="00622600">
      <w:pPr>
        <w:spacing w:line="360" w:lineRule="atLeast"/>
        <w:jc w:val="both"/>
        <w:rPr>
          <w:rFonts w:ascii="Arial" w:hAnsi="Arial" w:cs="Arial"/>
          <w:sz w:val="22"/>
          <w:szCs w:val="22"/>
          <w:lang w:val="en-GB"/>
        </w:rPr>
      </w:pPr>
      <w:r w:rsidRPr="00196A99">
        <w:rPr>
          <w:rFonts w:ascii="Arial" w:hAnsi="Arial" w:cs="Arial"/>
          <w:sz w:val="22"/>
          <w:szCs w:val="22"/>
          <w:lang w:val="en-GB"/>
        </w:rPr>
        <w:t>Uncommon: injection site hematoma, injection site pruritus</w:t>
      </w:r>
    </w:p>
    <w:p w:rsidR="007149A3" w:rsidRPr="00196A99" w:rsidRDefault="007149A3" w:rsidP="00622600">
      <w:pPr>
        <w:spacing w:line="360" w:lineRule="atLeast"/>
        <w:jc w:val="both"/>
        <w:rPr>
          <w:rFonts w:ascii="Arial" w:hAnsi="Arial" w:cs="Arial"/>
          <w:sz w:val="22"/>
          <w:szCs w:val="22"/>
          <w:lang w:val="en-GB"/>
        </w:rPr>
      </w:pPr>
      <w:r w:rsidRPr="007149A3">
        <w:rPr>
          <w:rFonts w:ascii="Arial" w:hAnsi="Arial" w:cs="Arial"/>
          <w:sz w:val="22"/>
          <w:szCs w:val="22"/>
          <w:vertAlign w:val="superscript"/>
          <w:lang w:val="en-GB"/>
        </w:rPr>
        <w:t>1</w:t>
      </w:r>
      <w:r w:rsidRPr="007149A3">
        <w:rPr>
          <w:rFonts w:ascii="Arial" w:hAnsi="Arial" w:cs="Arial"/>
          <w:sz w:val="22"/>
          <w:szCs w:val="22"/>
          <w:lang w:val="en-GB"/>
        </w:rPr>
        <w:t>reported in subjects 5 yea</w:t>
      </w:r>
      <w:r>
        <w:rPr>
          <w:rFonts w:ascii="Arial" w:hAnsi="Arial" w:cs="Arial"/>
          <w:sz w:val="22"/>
          <w:szCs w:val="22"/>
          <w:lang w:val="en-GB"/>
        </w:rPr>
        <w:t>rs and older</w:t>
      </w:r>
    </w:p>
    <w:p w:rsidR="00225B5E" w:rsidRDefault="00225B5E" w:rsidP="00196A99">
      <w:pPr>
        <w:spacing w:line="360" w:lineRule="atLeast"/>
        <w:jc w:val="both"/>
        <w:rPr>
          <w:rFonts w:ascii="Arial" w:hAnsi="Arial" w:cs="Arial"/>
          <w:sz w:val="22"/>
          <w:szCs w:val="22"/>
          <w:lang w:val="en-GB"/>
        </w:rPr>
      </w:pPr>
    </w:p>
    <w:p w:rsidR="00196A99" w:rsidRPr="00196A99" w:rsidRDefault="00196A99" w:rsidP="00196A99">
      <w:pPr>
        <w:spacing w:line="360" w:lineRule="atLeast"/>
        <w:jc w:val="both"/>
        <w:rPr>
          <w:rFonts w:ascii="Arial" w:hAnsi="Arial" w:cs="Arial"/>
          <w:sz w:val="22"/>
          <w:szCs w:val="22"/>
          <w:lang w:val="en-GB"/>
        </w:rPr>
      </w:pPr>
      <w:r w:rsidRPr="00196A99">
        <w:rPr>
          <w:rFonts w:ascii="Arial" w:hAnsi="Arial" w:cs="Arial"/>
          <w:sz w:val="22"/>
          <w:szCs w:val="22"/>
          <w:lang w:val="en-GB"/>
        </w:rPr>
        <w:t>In addition, the following adverse reactions were reported in previous Fluarix trials:</w:t>
      </w:r>
    </w:p>
    <w:p w:rsidR="00196A99" w:rsidRPr="00F96A18" w:rsidRDefault="00196A99" w:rsidP="00196A99">
      <w:pPr>
        <w:spacing w:line="360" w:lineRule="atLeast"/>
        <w:jc w:val="both"/>
        <w:rPr>
          <w:rFonts w:ascii="Arial" w:hAnsi="Arial" w:cs="Arial"/>
          <w:sz w:val="22"/>
          <w:szCs w:val="22"/>
          <w:u w:val="single"/>
          <w:lang w:val="en-GB"/>
        </w:rPr>
      </w:pPr>
      <w:r w:rsidRPr="00F96A18">
        <w:rPr>
          <w:rFonts w:ascii="Arial" w:hAnsi="Arial" w:cs="Arial"/>
          <w:sz w:val="22"/>
          <w:szCs w:val="22"/>
          <w:u w:val="single"/>
          <w:lang w:val="en-GB"/>
        </w:rPr>
        <w:t>Skin and subcutaneous tissue disorders</w:t>
      </w:r>
    </w:p>
    <w:p w:rsidR="00196A99" w:rsidRPr="00196A99" w:rsidRDefault="00196A99" w:rsidP="00196A99">
      <w:pPr>
        <w:spacing w:line="360" w:lineRule="atLeast"/>
        <w:jc w:val="both"/>
        <w:rPr>
          <w:rFonts w:ascii="Arial" w:hAnsi="Arial" w:cs="Arial"/>
          <w:sz w:val="22"/>
          <w:szCs w:val="22"/>
          <w:lang w:val="en-GB"/>
        </w:rPr>
      </w:pPr>
      <w:r w:rsidRPr="00196A99">
        <w:rPr>
          <w:rFonts w:ascii="Arial" w:hAnsi="Arial" w:cs="Arial"/>
          <w:sz w:val="22"/>
          <w:szCs w:val="22"/>
          <w:lang w:val="en-GB"/>
        </w:rPr>
        <w:t>Common: sweating</w:t>
      </w:r>
    </w:p>
    <w:p w:rsidR="00196A99" w:rsidRPr="00F96A18" w:rsidRDefault="00196A99" w:rsidP="00196A99">
      <w:pPr>
        <w:spacing w:line="360" w:lineRule="atLeast"/>
        <w:jc w:val="both"/>
        <w:rPr>
          <w:rFonts w:ascii="Arial" w:hAnsi="Arial" w:cs="Arial"/>
          <w:sz w:val="22"/>
          <w:szCs w:val="22"/>
          <w:u w:val="single"/>
          <w:lang w:val="en-GB"/>
        </w:rPr>
      </w:pPr>
      <w:r w:rsidRPr="00F96A18">
        <w:rPr>
          <w:rFonts w:ascii="Arial" w:hAnsi="Arial" w:cs="Arial"/>
          <w:sz w:val="22"/>
          <w:szCs w:val="22"/>
          <w:u w:val="single"/>
          <w:lang w:val="en-GB"/>
        </w:rPr>
        <w:t>General disorders and administration site conditions</w:t>
      </w:r>
    </w:p>
    <w:p w:rsidR="005F52C2" w:rsidRDefault="00196A99" w:rsidP="00196A99">
      <w:pPr>
        <w:spacing w:line="360" w:lineRule="atLeast"/>
        <w:jc w:val="both"/>
        <w:rPr>
          <w:rFonts w:ascii="Arial" w:hAnsi="Arial" w:cs="Arial"/>
          <w:sz w:val="22"/>
          <w:szCs w:val="22"/>
          <w:lang w:val="en-GB"/>
        </w:rPr>
      </w:pPr>
      <w:r w:rsidRPr="00196A99">
        <w:rPr>
          <w:rFonts w:ascii="Arial" w:hAnsi="Arial" w:cs="Arial"/>
          <w:sz w:val="22"/>
          <w:szCs w:val="22"/>
          <w:lang w:val="en-GB"/>
        </w:rPr>
        <w:t>Common: injection site induration</w:t>
      </w:r>
    </w:p>
    <w:p w:rsidR="00F96A18" w:rsidRDefault="00F96A18" w:rsidP="00196A99">
      <w:pPr>
        <w:spacing w:line="360" w:lineRule="atLeast"/>
        <w:jc w:val="both"/>
        <w:rPr>
          <w:rFonts w:ascii="Arial" w:hAnsi="Arial" w:cs="Arial"/>
          <w:sz w:val="22"/>
          <w:szCs w:val="22"/>
          <w:lang w:val="en-GB"/>
        </w:rPr>
      </w:pPr>
    </w:p>
    <w:p w:rsidR="00F96A18" w:rsidRPr="00F96A18" w:rsidRDefault="00F96A18" w:rsidP="00F96A18">
      <w:pPr>
        <w:spacing w:line="360" w:lineRule="atLeast"/>
        <w:jc w:val="both"/>
        <w:rPr>
          <w:rFonts w:ascii="Arial" w:hAnsi="Arial" w:cs="Arial"/>
          <w:sz w:val="22"/>
          <w:szCs w:val="22"/>
          <w:u w:val="single"/>
          <w:lang w:val="en-GB"/>
        </w:rPr>
      </w:pPr>
      <w:r w:rsidRPr="00F96A18">
        <w:rPr>
          <w:rFonts w:ascii="Arial" w:hAnsi="Arial" w:cs="Arial"/>
          <w:sz w:val="22"/>
          <w:szCs w:val="22"/>
          <w:u w:val="single"/>
          <w:lang w:val="en-GB"/>
        </w:rPr>
        <w:t>Post-marketing data</w:t>
      </w:r>
    </w:p>
    <w:p w:rsidR="00F96A18" w:rsidRDefault="00F96A18" w:rsidP="00F96A18">
      <w:pPr>
        <w:spacing w:line="360" w:lineRule="atLeast"/>
        <w:jc w:val="both"/>
        <w:rPr>
          <w:rFonts w:ascii="Arial" w:hAnsi="Arial" w:cs="Arial"/>
          <w:sz w:val="22"/>
          <w:szCs w:val="22"/>
          <w:lang w:val="en-GB"/>
        </w:rPr>
      </w:pPr>
      <w:r w:rsidRPr="00F96A18">
        <w:rPr>
          <w:rFonts w:ascii="Arial" w:hAnsi="Arial" w:cs="Arial"/>
          <w:sz w:val="22"/>
          <w:szCs w:val="22"/>
          <w:lang w:val="en-GB"/>
        </w:rPr>
        <w:t xml:space="preserve">There has been no post-marketing exposure to Fluarix Tetra. </w:t>
      </w:r>
      <w:r w:rsidR="00CB0C3E">
        <w:rPr>
          <w:rFonts w:ascii="Arial" w:hAnsi="Arial" w:cs="Arial"/>
          <w:sz w:val="22"/>
          <w:szCs w:val="22"/>
          <w:lang w:val="en-GB"/>
        </w:rPr>
        <w:t>The</w:t>
      </w:r>
      <w:r w:rsidR="00761BAF">
        <w:rPr>
          <w:rFonts w:ascii="Arial" w:hAnsi="Arial" w:cs="Arial"/>
          <w:sz w:val="22"/>
          <w:szCs w:val="22"/>
          <w:lang w:val="en-GB"/>
        </w:rPr>
        <w:t xml:space="preserve"> post-marketing experience with Fluarix, which is manufactured according to the same </w:t>
      </w:r>
      <w:r w:rsidR="0009565C">
        <w:rPr>
          <w:rFonts w:ascii="Arial" w:hAnsi="Arial" w:cs="Arial"/>
          <w:sz w:val="22"/>
          <w:szCs w:val="22"/>
          <w:lang w:val="en-GB"/>
        </w:rPr>
        <w:t xml:space="preserve">antigen </w:t>
      </w:r>
      <w:r w:rsidR="00BC1565">
        <w:rPr>
          <w:rFonts w:ascii="Arial" w:hAnsi="Arial" w:cs="Arial"/>
          <w:sz w:val="22"/>
          <w:szCs w:val="22"/>
          <w:lang w:val="en-GB"/>
        </w:rPr>
        <w:t>production</w:t>
      </w:r>
      <w:r w:rsidR="0009565C">
        <w:rPr>
          <w:rFonts w:ascii="Arial" w:hAnsi="Arial" w:cs="Arial"/>
          <w:sz w:val="22"/>
          <w:szCs w:val="22"/>
          <w:lang w:val="en-GB"/>
        </w:rPr>
        <w:t xml:space="preserve"> and formulation </w:t>
      </w:r>
      <w:r w:rsidR="00761BAF">
        <w:rPr>
          <w:rFonts w:ascii="Arial" w:hAnsi="Arial" w:cs="Arial"/>
          <w:sz w:val="22"/>
          <w:szCs w:val="22"/>
          <w:lang w:val="en-GB"/>
        </w:rPr>
        <w:t xml:space="preserve">process as </w:t>
      </w:r>
      <w:r w:rsidR="00761BAF" w:rsidRPr="00F96A18">
        <w:rPr>
          <w:rFonts w:ascii="Arial" w:hAnsi="Arial" w:cs="Arial"/>
          <w:sz w:val="22"/>
          <w:szCs w:val="22"/>
          <w:lang w:val="en-GB"/>
        </w:rPr>
        <w:t>Fluarix Tetra</w:t>
      </w:r>
      <w:r w:rsidR="00761BAF" w:rsidRPr="00761BAF">
        <w:rPr>
          <w:rFonts w:ascii="Arial" w:hAnsi="Arial" w:cs="Arial"/>
          <w:sz w:val="22"/>
          <w:szCs w:val="22"/>
          <w:lang w:val="en-GB"/>
        </w:rPr>
        <w:t xml:space="preserve"> </w:t>
      </w:r>
      <w:r w:rsidR="00CB0C3E">
        <w:rPr>
          <w:rFonts w:ascii="Arial" w:hAnsi="Arial" w:cs="Arial"/>
          <w:sz w:val="22"/>
          <w:szCs w:val="22"/>
          <w:lang w:val="en-GB"/>
        </w:rPr>
        <w:t xml:space="preserve">and is essentially similar other </w:t>
      </w:r>
      <w:proofErr w:type="gramStart"/>
      <w:r w:rsidR="00CB0C3E">
        <w:rPr>
          <w:rFonts w:ascii="Arial" w:hAnsi="Arial" w:cs="Arial"/>
          <w:sz w:val="22"/>
          <w:szCs w:val="22"/>
          <w:lang w:val="en-GB"/>
        </w:rPr>
        <w:t>than</w:t>
      </w:r>
      <w:proofErr w:type="gramEnd"/>
      <w:r w:rsidR="00CB0C3E">
        <w:rPr>
          <w:rFonts w:ascii="Arial" w:hAnsi="Arial" w:cs="Arial"/>
          <w:sz w:val="22"/>
          <w:szCs w:val="22"/>
          <w:lang w:val="en-GB"/>
        </w:rPr>
        <w:t xml:space="preserve"> lacking</w:t>
      </w:r>
      <w:r w:rsidR="00761BAF">
        <w:rPr>
          <w:rFonts w:ascii="Arial" w:hAnsi="Arial" w:cs="Arial"/>
          <w:sz w:val="22"/>
          <w:szCs w:val="22"/>
          <w:lang w:val="en-GB"/>
        </w:rPr>
        <w:t xml:space="preserve"> a second B-strain</w:t>
      </w:r>
      <w:r w:rsidRPr="00F96A18">
        <w:rPr>
          <w:rFonts w:ascii="Arial" w:hAnsi="Arial" w:cs="Arial"/>
          <w:sz w:val="22"/>
          <w:szCs w:val="22"/>
          <w:lang w:val="en-GB"/>
        </w:rPr>
        <w:t xml:space="preserve">, </w:t>
      </w:r>
      <w:r w:rsidR="00CB0C3E">
        <w:rPr>
          <w:rFonts w:ascii="Arial" w:hAnsi="Arial" w:cs="Arial"/>
          <w:sz w:val="22"/>
          <w:szCs w:val="22"/>
          <w:lang w:val="en-GB"/>
        </w:rPr>
        <w:t xml:space="preserve">identified </w:t>
      </w:r>
      <w:r w:rsidRPr="00F96A18">
        <w:rPr>
          <w:rFonts w:ascii="Arial" w:hAnsi="Arial" w:cs="Arial"/>
          <w:sz w:val="22"/>
          <w:szCs w:val="22"/>
          <w:lang w:val="en-GB"/>
        </w:rPr>
        <w:t xml:space="preserve">the following adverse events </w:t>
      </w:r>
      <w:r w:rsidR="00BC1565">
        <w:rPr>
          <w:rFonts w:ascii="Arial" w:hAnsi="Arial" w:cs="Arial"/>
          <w:sz w:val="22"/>
          <w:szCs w:val="22"/>
          <w:lang w:val="en-GB"/>
        </w:rPr>
        <w:t>- these</w:t>
      </w:r>
      <w:r w:rsidRPr="00F96A18">
        <w:rPr>
          <w:rFonts w:ascii="Arial" w:hAnsi="Arial" w:cs="Arial"/>
          <w:sz w:val="22"/>
          <w:szCs w:val="22"/>
          <w:lang w:val="en-GB"/>
        </w:rPr>
        <w:t xml:space="preserve"> may occur in patients receiving Fluarix Tetra.</w:t>
      </w:r>
    </w:p>
    <w:p w:rsidR="00AD7DD7" w:rsidRDefault="00AD7DD7" w:rsidP="00F96A18">
      <w:pPr>
        <w:spacing w:line="360" w:lineRule="atLeast"/>
        <w:jc w:val="both"/>
        <w:rPr>
          <w:rFonts w:ascii="Arial" w:hAnsi="Arial" w:cs="Arial"/>
          <w:sz w:val="22"/>
          <w:szCs w:val="22"/>
          <w:lang w:val="en-GB"/>
        </w:rPr>
      </w:pPr>
    </w:p>
    <w:p w:rsidR="00C83E3B" w:rsidRDefault="00C83E3B" w:rsidP="00F96A18">
      <w:pPr>
        <w:spacing w:line="360" w:lineRule="atLeast"/>
        <w:jc w:val="both"/>
        <w:rPr>
          <w:rFonts w:ascii="Arial" w:hAnsi="Arial" w:cs="Arial"/>
          <w:sz w:val="22"/>
          <w:szCs w:val="22"/>
          <w:lang w:val="en-GB"/>
        </w:rPr>
      </w:pPr>
    </w:p>
    <w:p w:rsidR="00F96A18" w:rsidRPr="00F96A18" w:rsidRDefault="00F96A18" w:rsidP="00F96A18">
      <w:pPr>
        <w:spacing w:line="360" w:lineRule="atLeast"/>
        <w:jc w:val="both"/>
        <w:rPr>
          <w:rFonts w:ascii="Arial" w:hAnsi="Arial" w:cs="Arial"/>
          <w:sz w:val="22"/>
          <w:szCs w:val="22"/>
          <w:u w:val="single"/>
          <w:lang w:val="en-GB"/>
        </w:rPr>
      </w:pPr>
      <w:r w:rsidRPr="00F96A18">
        <w:rPr>
          <w:rFonts w:ascii="Arial" w:hAnsi="Arial" w:cs="Arial"/>
          <w:sz w:val="22"/>
          <w:szCs w:val="22"/>
          <w:u w:val="single"/>
          <w:lang w:val="en-GB"/>
        </w:rPr>
        <w:lastRenderedPageBreak/>
        <w:t>Blood and lymphatic system disorders</w:t>
      </w:r>
    </w:p>
    <w:p w:rsidR="00F96A18" w:rsidRPr="00F96A18" w:rsidRDefault="00F96A18" w:rsidP="00F96A18">
      <w:pPr>
        <w:spacing w:line="360" w:lineRule="atLeast"/>
        <w:jc w:val="both"/>
        <w:rPr>
          <w:rFonts w:ascii="Arial" w:hAnsi="Arial" w:cs="Arial"/>
          <w:sz w:val="22"/>
          <w:szCs w:val="22"/>
          <w:lang w:val="en-GB"/>
        </w:rPr>
      </w:pPr>
      <w:r w:rsidRPr="00F96A18">
        <w:rPr>
          <w:rFonts w:ascii="Arial" w:hAnsi="Arial" w:cs="Arial"/>
          <w:sz w:val="22"/>
          <w:szCs w:val="22"/>
          <w:lang w:val="en-GB"/>
        </w:rPr>
        <w:t>Rare: transient lymphadenopathy</w:t>
      </w:r>
    </w:p>
    <w:p w:rsidR="00F96A18" w:rsidRPr="00F96A18" w:rsidRDefault="00F96A18" w:rsidP="00F96A18">
      <w:pPr>
        <w:spacing w:line="360" w:lineRule="atLeast"/>
        <w:jc w:val="both"/>
        <w:rPr>
          <w:rFonts w:ascii="Arial" w:hAnsi="Arial" w:cs="Arial"/>
          <w:sz w:val="22"/>
          <w:szCs w:val="22"/>
          <w:u w:val="single"/>
          <w:lang w:val="en-GB"/>
        </w:rPr>
      </w:pPr>
      <w:r w:rsidRPr="00F96A18">
        <w:rPr>
          <w:rFonts w:ascii="Arial" w:hAnsi="Arial" w:cs="Arial"/>
          <w:sz w:val="22"/>
          <w:szCs w:val="22"/>
          <w:u w:val="single"/>
          <w:lang w:val="en-GB"/>
        </w:rPr>
        <w:t>Immune system disorders</w:t>
      </w:r>
    </w:p>
    <w:p w:rsidR="00F96A18" w:rsidRPr="00F96A18" w:rsidRDefault="00F96A18" w:rsidP="00F96A18">
      <w:pPr>
        <w:spacing w:line="360" w:lineRule="atLeast"/>
        <w:jc w:val="both"/>
        <w:rPr>
          <w:rFonts w:ascii="Arial" w:hAnsi="Arial" w:cs="Arial"/>
          <w:sz w:val="22"/>
          <w:szCs w:val="22"/>
          <w:lang w:val="en-GB"/>
        </w:rPr>
      </w:pPr>
      <w:r w:rsidRPr="00F96A18">
        <w:rPr>
          <w:rFonts w:ascii="Arial" w:hAnsi="Arial" w:cs="Arial"/>
          <w:sz w:val="22"/>
          <w:szCs w:val="22"/>
          <w:lang w:val="en-GB"/>
        </w:rPr>
        <w:t>Rare: allergic reactions (including anaphylactic reactions)</w:t>
      </w:r>
    </w:p>
    <w:p w:rsidR="00F96A18" w:rsidRPr="00F96A18" w:rsidRDefault="00F96A18" w:rsidP="00F96A18">
      <w:pPr>
        <w:spacing w:line="360" w:lineRule="atLeast"/>
        <w:jc w:val="both"/>
        <w:rPr>
          <w:rFonts w:ascii="Arial" w:hAnsi="Arial" w:cs="Arial"/>
          <w:sz w:val="22"/>
          <w:szCs w:val="22"/>
          <w:u w:val="single"/>
          <w:lang w:val="en-GB"/>
        </w:rPr>
      </w:pPr>
      <w:r w:rsidRPr="00F96A18">
        <w:rPr>
          <w:rFonts w:ascii="Arial" w:hAnsi="Arial" w:cs="Arial"/>
          <w:sz w:val="22"/>
          <w:szCs w:val="22"/>
          <w:u w:val="single"/>
          <w:lang w:val="en-GB"/>
        </w:rPr>
        <w:t>Nervous system disorders</w:t>
      </w:r>
    </w:p>
    <w:p w:rsidR="00F96A18" w:rsidRPr="00F96A18" w:rsidRDefault="00F96A18" w:rsidP="00F96A18">
      <w:pPr>
        <w:spacing w:line="360" w:lineRule="atLeast"/>
        <w:jc w:val="both"/>
        <w:rPr>
          <w:rFonts w:ascii="Arial" w:hAnsi="Arial" w:cs="Arial"/>
          <w:sz w:val="22"/>
          <w:szCs w:val="22"/>
          <w:lang w:val="en-GB"/>
        </w:rPr>
      </w:pPr>
      <w:r w:rsidRPr="00F96A18">
        <w:rPr>
          <w:rFonts w:ascii="Arial" w:hAnsi="Arial" w:cs="Arial"/>
          <w:sz w:val="22"/>
          <w:szCs w:val="22"/>
          <w:lang w:val="en-GB"/>
        </w:rPr>
        <w:t>Rare: neuritis, acute disseminated encephalomyelitis, Guillain-Barré syndrome*</w:t>
      </w:r>
    </w:p>
    <w:p w:rsidR="00F96A18" w:rsidRPr="00F96A18" w:rsidRDefault="00F96A18" w:rsidP="00F96A18">
      <w:pPr>
        <w:spacing w:line="360" w:lineRule="atLeast"/>
        <w:jc w:val="both"/>
        <w:rPr>
          <w:rFonts w:ascii="Arial" w:hAnsi="Arial" w:cs="Arial"/>
          <w:sz w:val="22"/>
          <w:szCs w:val="22"/>
          <w:lang w:val="en-GB"/>
        </w:rPr>
      </w:pPr>
      <w:r w:rsidRPr="00F96A18">
        <w:rPr>
          <w:rFonts w:ascii="Arial" w:hAnsi="Arial" w:cs="Arial"/>
          <w:sz w:val="22"/>
          <w:szCs w:val="22"/>
          <w:lang w:val="en-GB"/>
        </w:rPr>
        <w:t>*Spontaneous reports of Guillain-Barré syndrome have been received following vaccination with Fluarix; however, a causal association between vaccination and Guillain-Barré syndrome has not been established.</w:t>
      </w:r>
    </w:p>
    <w:p w:rsidR="00F96A18" w:rsidRPr="00F96A18" w:rsidRDefault="00F96A18" w:rsidP="00F96A18">
      <w:pPr>
        <w:spacing w:line="360" w:lineRule="atLeast"/>
        <w:jc w:val="both"/>
        <w:rPr>
          <w:rFonts w:ascii="Arial" w:hAnsi="Arial" w:cs="Arial"/>
          <w:sz w:val="22"/>
          <w:szCs w:val="22"/>
          <w:u w:val="single"/>
          <w:lang w:val="en-GB"/>
        </w:rPr>
      </w:pPr>
      <w:r w:rsidRPr="00F96A18">
        <w:rPr>
          <w:rFonts w:ascii="Arial" w:hAnsi="Arial" w:cs="Arial"/>
          <w:sz w:val="22"/>
          <w:szCs w:val="22"/>
          <w:u w:val="single"/>
          <w:lang w:val="en-GB"/>
        </w:rPr>
        <w:t>Skin and subcutaneous tissue disorders</w:t>
      </w:r>
    </w:p>
    <w:p w:rsidR="00F96A18" w:rsidRPr="00F96A18" w:rsidRDefault="00F96A18" w:rsidP="00F96A18">
      <w:pPr>
        <w:spacing w:line="360" w:lineRule="atLeast"/>
        <w:jc w:val="both"/>
        <w:rPr>
          <w:rFonts w:ascii="Arial" w:hAnsi="Arial" w:cs="Arial"/>
          <w:sz w:val="22"/>
          <w:szCs w:val="22"/>
          <w:lang w:val="en-GB"/>
        </w:rPr>
      </w:pPr>
      <w:r w:rsidRPr="00F96A18">
        <w:rPr>
          <w:rFonts w:ascii="Arial" w:hAnsi="Arial" w:cs="Arial"/>
          <w:sz w:val="22"/>
          <w:szCs w:val="22"/>
          <w:lang w:val="en-GB"/>
        </w:rPr>
        <w:t xml:space="preserve">Rare: </w:t>
      </w:r>
      <w:proofErr w:type="spellStart"/>
      <w:r w:rsidRPr="00F96A18">
        <w:rPr>
          <w:rFonts w:ascii="Arial" w:hAnsi="Arial" w:cs="Arial"/>
          <w:sz w:val="22"/>
          <w:szCs w:val="22"/>
          <w:lang w:val="en-GB"/>
        </w:rPr>
        <w:t>urticaria</w:t>
      </w:r>
      <w:proofErr w:type="spellEnd"/>
      <w:r w:rsidRPr="00F96A18">
        <w:rPr>
          <w:rFonts w:ascii="Arial" w:hAnsi="Arial" w:cs="Arial"/>
          <w:sz w:val="22"/>
          <w:szCs w:val="22"/>
          <w:lang w:val="en-GB"/>
        </w:rPr>
        <w:t xml:space="preserve">, pruritus, erythema, </w:t>
      </w:r>
      <w:proofErr w:type="spellStart"/>
      <w:r w:rsidRPr="00F96A18">
        <w:rPr>
          <w:rFonts w:ascii="Arial" w:hAnsi="Arial" w:cs="Arial"/>
          <w:sz w:val="22"/>
          <w:szCs w:val="22"/>
          <w:lang w:val="en-GB"/>
        </w:rPr>
        <w:t>angioedoema</w:t>
      </w:r>
      <w:proofErr w:type="spellEnd"/>
    </w:p>
    <w:p w:rsidR="00F96A18" w:rsidRPr="00F96A18" w:rsidRDefault="00F96A18" w:rsidP="00F96A18">
      <w:pPr>
        <w:spacing w:line="360" w:lineRule="atLeast"/>
        <w:jc w:val="both"/>
        <w:rPr>
          <w:rFonts w:ascii="Arial" w:hAnsi="Arial" w:cs="Arial"/>
          <w:sz w:val="22"/>
          <w:szCs w:val="22"/>
          <w:u w:val="single"/>
          <w:lang w:val="en-GB"/>
        </w:rPr>
      </w:pPr>
      <w:r w:rsidRPr="00F96A18">
        <w:rPr>
          <w:rFonts w:ascii="Arial" w:hAnsi="Arial" w:cs="Arial"/>
          <w:sz w:val="22"/>
          <w:szCs w:val="22"/>
          <w:u w:val="single"/>
          <w:lang w:val="en-GB"/>
        </w:rPr>
        <w:t>General disorders and administration site conditions</w:t>
      </w:r>
    </w:p>
    <w:p w:rsidR="00F96A18" w:rsidRPr="00196A99" w:rsidRDefault="00F96A18" w:rsidP="00F96A18">
      <w:pPr>
        <w:spacing w:line="360" w:lineRule="atLeast"/>
        <w:jc w:val="both"/>
        <w:rPr>
          <w:rFonts w:ascii="Arial" w:hAnsi="Arial" w:cs="Arial"/>
          <w:sz w:val="22"/>
          <w:szCs w:val="22"/>
          <w:lang w:val="en-GB"/>
        </w:rPr>
      </w:pPr>
      <w:r w:rsidRPr="00F96A18">
        <w:rPr>
          <w:rFonts w:ascii="Arial" w:hAnsi="Arial" w:cs="Arial"/>
          <w:sz w:val="22"/>
          <w:szCs w:val="22"/>
          <w:lang w:val="en-GB"/>
        </w:rPr>
        <w:t>Rare: influenza-like illness, malaise</w:t>
      </w:r>
    </w:p>
    <w:p w:rsidR="00196A99" w:rsidRPr="00937EBC" w:rsidRDefault="00196A99" w:rsidP="005F52C2">
      <w:pPr>
        <w:spacing w:before="120" w:after="240"/>
        <w:jc w:val="both"/>
        <w:rPr>
          <w:rFonts w:ascii="Arial" w:hAnsi="Arial" w:cs="Arial"/>
          <w:b/>
          <w:sz w:val="22"/>
          <w:szCs w:val="22"/>
          <w:lang w:val="en-GB"/>
        </w:rPr>
      </w:pPr>
    </w:p>
    <w:p w:rsidR="0077380F" w:rsidRPr="00937EBC" w:rsidRDefault="0077380F" w:rsidP="00053893">
      <w:pPr>
        <w:spacing w:before="120" w:after="240"/>
        <w:jc w:val="both"/>
        <w:rPr>
          <w:rFonts w:ascii="Arial" w:hAnsi="Arial" w:cs="Arial"/>
          <w:b/>
          <w:sz w:val="22"/>
          <w:szCs w:val="22"/>
          <w:lang w:val="en-GB"/>
        </w:rPr>
      </w:pPr>
      <w:r w:rsidRPr="00937EBC">
        <w:rPr>
          <w:rFonts w:ascii="Arial" w:hAnsi="Arial" w:cs="Arial"/>
          <w:b/>
          <w:sz w:val="22"/>
          <w:szCs w:val="22"/>
          <w:lang w:val="en-GB"/>
        </w:rPr>
        <w:t xml:space="preserve">DOSAGE </w:t>
      </w:r>
      <w:smartTag w:uri="urn:schemas-microsoft-com:office:smarttags" w:element="stockticker">
        <w:r w:rsidRPr="00937EBC">
          <w:rPr>
            <w:rFonts w:ascii="Arial" w:hAnsi="Arial" w:cs="Arial"/>
            <w:b/>
            <w:sz w:val="22"/>
            <w:szCs w:val="22"/>
            <w:lang w:val="en-GB"/>
          </w:rPr>
          <w:t>AND</w:t>
        </w:r>
      </w:smartTag>
      <w:r w:rsidRPr="00937EBC">
        <w:rPr>
          <w:rFonts w:ascii="Arial" w:hAnsi="Arial" w:cs="Arial"/>
          <w:b/>
          <w:sz w:val="22"/>
          <w:szCs w:val="22"/>
          <w:lang w:val="en-GB"/>
        </w:rPr>
        <w:t xml:space="preserve"> ADMINISTRATION</w:t>
      </w:r>
    </w:p>
    <w:p w:rsidR="0000277F" w:rsidRDefault="0000277F" w:rsidP="0000277F">
      <w:pPr>
        <w:spacing w:line="360" w:lineRule="atLeast"/>
        <w:jc w:val="both"/>
        <w:rPr>
          <w:rFonts w:ascii="Arial" w:hAnsi="Arial"/>
          <w:b/>
          <w:sz w:val="22"/>
        </w:rPr>
      </w:pPr>
      <w:r>
        <w:rPr>
          <w:rFonts w:ascii="Arial" w:hAnsi="Arial"/>
          <w:b/>
          <w:sz w:val="22"/>
        </w:rPr>
        <w:t>Fluarix Tetra should under no circumstances be administered intravascularly.</w:t>
      </w:r>
    </w:p>
    <w:p w:rsidR="0000277F" w:rsidRDefault="0000277F" w:rsidP="008D5046">
      <w:pPr>
        <w:tabs>
          <w:tab w:val="left" w:pos="10173"/>
          <w:tab w:val="left" w:pos="10456"/>
        </w:tabs>
        <w:spacing w:line="360" w:lineRule="atLeast"/>
        <w:ind w:right="27"/>
        <w:jc w:val="both"/>
        <w:rPr>
          <w:rFonts w:ascii="Arial" w:hAnsi="Arial"/>
          <w:sz w:val="22"/>
          <w:u w:val="single"/>
          <w:lang w:val="en-GB"/>
        </w:rPr>
      </w:pPr>
    </w:p>
    <w:p w:rsidR="008D5046" w:rsidRPr="008D5046" w:rsidRDefault="008D5046" w:rsidP="008D5046">
      <w:pPr>
        <w:tabs>
          <w:tab w:val="left" w:pos="10173"/>
          <w:tab w:val="left" w:pos="10456"/>
        </w:tabs>
        <w:spacing w:line="360" w:lineRule="atLeast"/>
        <w:ind w:right="27"/>
        <w:jc w:val="both"/>
        <w:rPr>
          <w:rFonts w:ascii="Arial" w:hAnsi="Arial"/>
          <w:sz w:val="22"/>
          <w:u w:val="single"/>
          <w:lang w:val="en-GB"/>
        </w:rPr>
      </w:pPr>
      <w:r w:rsidRPr="008D5046">
        <w:rPr>
          <w:rFonts w:ascii="Arial" w:hAnsi="Arial"/>
          <w:sz w:val="22"/>
          <w:u w:val="single"/>
          <w:lang w:val="en-GB"/>
        </w:rPr>
        <w:t>Dosage</w:t>
      </w:r>
    </w:p>
    <w:p w:rsidR="008D5046" w:rsidRDefault="008D5046" w:rsidP="008D5046">
      <w:pPr>
        <w:tabs>
          <w:tab w:val="left" w:pos="10173"/>
          <w:tab w:val="left" w:pos="10456"/>
        </w:tabs>
        <w:spacing w:line="360" w:lineRule="atLeast"/>
        <w:ind w:right="27"/>
        <w:jc w:val="both"/>
        <w:rPr>
          <w:rFonts w:ascii="Arial" w:hAnsi="Arial"/>
          <w:sz w:val="22"/>
          <w:lang w:val="en-GB"/>
        </w:rPr>
      </w:pPr>
      <w:r w:rsidRPr="008D5046">
        <w:rPr>
          <w:rFonts w:ascii="Arial" w:hAnsi="Arial"/>
          <w:sz w:val="22"/>
          <w:lang w:val="en-GB"/>
        </w:rPr>
        <w:t>Fluarix Tetra should be administered as a single 0.5 ml injection.</w:t>
      </w:r>
    </w:p>
    <w:p w:rsidR="008D5046" w:rsidRPr="008D5046" w:rsidRDefault="008D5046" w:rsidP="008D5046">
      <w:pPr>
        <w:tabs>
          <w:tab w:val="left" w:pos="10173"/>
          <w:tab w:val="left" w:pos="10456"/>
        </w:tabs>
        <w:spacing w:line="360" w:lineRule="atLeast"/>
        <w:ind w:right="27"/>
        <w:jc w:val="both"/>
        <w:rPr>
          <w:rFonts w:ascii="Arial" w:hAnsi="Arial"/>
          <w:sz w:val="22"/>
          <w:lang w:val="en-GB"/>
        </w:rPr>
      </w:pPr>
    </w:p>
    <w:p w:rsidR="008D5046" w:rsidRDefault="008D5046" w:rsidP="008D5046">
      <w:pPr>
        <w:tabs>
          <w:tab w:val="left" w:pos="10173"/>
          <w:tab w:val="left" w:pos="10456"/>
        </w:tabs>
        <w:spacing w:line="360" w:lineRule="atLeast"/>
        <w:ind w:right="27"/>
        <w:jc w:val="both"/>
        <w:rPr>
          <w:rFonts w:ascii="Arial" w:hAnsi="Arial"/>
          <w:sz w:val="22"/>
          <w:lang w:val="en-GB"/>
        </w:rPr>
      </w:pPr>
      <w:r w:rsidRPr="008D5046">
        <w:rPr>
          <w:rFonts w:ascii="Arial" w:hAnsi="Arial"/>
          <w:sz w:val="22"/>
          <w:lang w:val="en-GB"/>
        </w:rPr>
        <w:t>Children 3 years to less than 9 years of age who have not previously been vaccinated against influenza should receive a second dose of 0.5 ml after an interval of at least 4 weeks.</w:t>
      </w:r>
    </w:p>
    <w:p w:rsidR="008D5046" w:rsidRPr="008D5046" w:rsidRDefault="008D5046" w:rsidP="008D5046">
      <w:pPr>
        <w:tabs>
          <w:tab w:val="left" w:pos="10173"/>
          <w:tab w:val="left" w:pos="10456"/>
        </w:tabs>
        <w:spacing w:line="360" w:lineRule="atLeast"/>
        <w:ind w:right="27"/>
        <w:jc w:val="both"/>
        <w:rPr>
          <w:rFonts w:ascii="Arial" w:hAnsi="Arial"/>
          <w:sz w:val="22"/>
          <w:lang w:val="en-GB"/>
        </w:rPr>
      </w:pPr>
    </w:p>
    <w:p w:rsidR="008D5046" w:rsidRPr="008D5046" w:rsidRDefault="008D5046" w:rsidP="008D5046">
      <w:pPr>
        <w:tabs>
          <w:tab w:val="left" w:pos="10173"/>
          <w:tab w:val="left" w:pos="10456"/>
        </w:tabs>
        <w:spacing w:line="360" w:lineRule="atLeast"/>
        <w:ind w:right="27"/>
        <w:jc w:val="both"/>
        <w:rPr>
          <w:rFonts w:ascii="Arial" w:hAnsi="Arial"/>
          <w:sz w:val="22"/>
          <w:u w:val="single"/>
          <w:lang w:val="en-GB"/>
        </w:rPr>
      </w:pPr>
      <w:r w:rsidRPr="008D5046">
        <w:rPr>
          <w:rFonts w:ascii="Arial" w:hAnsi="Arial"/>
          <w:sz w:val="22"/>
          <w:u w:val="single"/>
          <w:lang w:val="en-GB"/>
        </w:rPr>
        <w:t>Administration</w:t>
      </w:r>
    </w:p>
    <w:p w:rsidR="008D5046" w:rsidRDefault="008D5046" w:rsidP="008D5046">
      <w:pPr>
        <w:tabs>
          <w:tab w:val="left" w:pos="10173"/>
          <w:tab w:val="left" w:pos="10456"/>
        </w:tabs>
        <w:spacing w:line="360" w:lineRule="atLeast"/>
        <w:ind w:right="27"/>
        <w:jc w:val="both"/>
        <w:rPr>
          <w:rFonts w:ascii="Arial" w:hAnsi="Arial"/>
          <w:sz w:val="22"/>
          <w:lang w:val="en-GB"/>
        </w:rPr>
      </w:pPr>
      <w:r w:rsidRPr="008D5046">
        <w:rPr>
          <w:rFonts w:ascii="Arial" w:hAnsi="Arial"/>
          <w:sz w:val="22"/>
          <w:lang w:val="en-GB"/>
        </w:rPr>
        <w:t>Vaccination should be carried out by intramuscular injection preferably into the deltoid muscle or anterolateral thigh (depending on the muscle mass).</w:t>
      </w:r>
    </w:p>
    <w:p w:rsidR="00BA4F7C" w:rsidRDefault="00BA4F7C" w:rsidP="008D5046">
      <w:pPr>
        <w:tabs>
          <w:tab w:val="left" w:pos="10173"/>
          <w:tab w:val="left" w:pos="10456"/>
        </w:tabs>
        <w:spacing w:line="360" w:lineRule="atLeast"/>
        <w:ind w:right="27"/>
        <w:jc w:val="both"/>
        <w:rPr>
          <w:rFonts w:ascii="Arial" w:hAnsi="Arial"/>
          <w:sz w:val="22"/>
          <w:lang w:val="en-GB"/>
        </w:rPr>
      </w:pPr>
    </w:p>
    <w:p w:rsidR="00BA4F7C" w:rsidRPr="00BA4F7C" w:rsidRDefault="00BA4F7C" w:rsidP="008D5046">
      <w:pPr>
        <w:tabs>
          <w:tab w:val="left" w:pos="10173"/>
          <w:tab w:val="left" w:pos="10456"/>
        </w:tabs>
        <w:spacing w:line="360" w:lineRule="atLeast"/>
        <w:ind w:right="27"/>
        <w:jc w:val="both"/>
        <w:rPr>
          <w:rFonts w:ascii="Arial" w:hAnsi="Arial"/>
          <w:sz w:val="22"/>
          <w:u w:val="single"/>
          <w:lang w:val="en-GB"/>
        </w:rPr>
      </w:pPr>
      <w:r w:rsidRPr="00BA4F7C">
        <w:rPr>
          <w:rFonts w:ascii="Arial" w:hAnsi="Arial"/>
          <w:sz w:val="22"/>
          <w:u w:val="single"/>
          <w:lang w:val="en-GB"/>
        </w:rPr>
        <w:t>Instructions for use and handling</w:t>
      </w:r>
    </w:p>
    <w:p w:rsidR="00BA4F7C" w:rsidRDefault="00BA4F7C" w:rsidP="00BA4F7C">
      <w:pPr>
        <w:tabs>
          <w:tab w:val="left" w:pos="10173"/>
          <w:tab w:val="left" w:pos="10456"/>
        </w:tabs>
        <w:spacing w:line="360" w:lineRule="atLeast"/>
        <w:ind w:right="27"/>
        <w:jc w:val="both"/>
        <w:rPr>
          <w:rFonts w:ascii="Arial" w:hAnsi="Arial"/>
          <w:sz w:val="22"/>
          <w:lang w:val="en-GB"/>
        </w:rPr>
      </w:pPr>
      <w:r w:rsidRPr="00BA4F7C">
        <w:rPr>
          <w:rFonts w:ascii="Arial" w:hAnsi="Arial"/>
          <w:sz w:val="22"/>
          <w:lang w:val="en-GB"/>
        </w:rPr>
        <w:t>The vaccine presents as a colourless to slightly opalescent suspension.</w:t>
      </w:r>
    </w:p>
    <w:p w:rsidR="00BA4F7C" w:rsidRPr="00BA4F7C" w:rsidRDefault="00BA4F7C" w:rsidP="00BA4F7C">
      <w:pPr>
        <w:tabs>
          <w:tab w:val="left" w:pos="10173"/>
          <w:tab w:val="left" w:pos="10456"/>
        </w:tabs>
        <w:spacing w:line="360" w:lineRule="atLeast"/>
        <w:ind w:right="27"/>
        <w:jc w:val="both"/>
        <w:rPr>
          <w:rFonts w:ascii="Arial" w:hAnsi="Arial"/>
          <w:sz w:val="22"/>
          <w:lang w:val="en-GB"/>
        </w:rPr>
      </w:pPr>
    </w:p>
    <w:p w:rsidR="00BA4F7C" w:rsidRDefault="00BA4F7C" w:rsidP="00BA4F7C">
      <w:pPr>
        <w:tabs>
          <w:tab w:val="left" w:pos="10173"/>
          <w:tab w:val="left" w:pos="10456"/>
        </w:tabs>
        <w:spacing w:line="360" w:lineRule="atLeast"/>
        <w:ind w:right="27"/>
        <w:jc w:val="both"/>
        <w:rPr>
          <w:rFonts w:ascii="Arial" w:hAnsi="Arial"/>
          <w:sz w:val="22"/>
          <w:lang w:val="en-GB"/>
        </w:rPr>
      </w:pPr>
      <w:r w:rsidRPr="00BA4F7C">
        <w:rPr>
          <w:rFonts w:ascii="Arial" w:hAnsi="Arial"/>
          <w:sz w:val="22"/>
          <w:lang w:val="en-GB"/>
        </w:rPr>
        <w:t xml:space="preserve">The syringe should be shaken and inspected visually for any foreign particulate matter and/or variation of physical aspect prior to administration. In the event of either being observed, discard the vaccine. </w:t>
      </w:r>
    </w:p>
    <w:p w:rsidR="00BA4F7C" w:rsidRPr="00BA4F7C" w:rsidRDefault="00BA4F7C" w:rsidP="00BA4F7C">
      <w:pPr>
        <w:tabs>
          <w:tab w:val="left" w:pos="10173"/>
          <w:tab w:val="left" w:pos="10456"/>
        </w:tabs>
        <w:spacing w:line="360" w:lineRule="atLeast"/>
        <w:ind w:right="27"/>
        <w:jc w:val="both"/>
        <w:rPr>
          <w:rFonts w:ascii="Arial" w:hAnsi="Arial"/>
          <w:sz w:val="22"/>
          <w:lang w:val="en-GB"/>
        </w:rPr>
      </w:pPr>
    </w:p>
    <w:p w:rsidR="00503942" w:rsidRDefault="00503942" w:rsidP="00503942">
      <w:pPr>
        <w:spacing w:after="240"/>
        <w:jc w:val="both"/>
        <w:rPr>
          <w:rFonts w:ascii="Arial" w:hAnsi="Arial"/>
          <w:sz w:val="22"/>
          <w:lang w:val="en-GB"/>
        </w:rPr>
      </w:pPr>
      <w:r w:rsidRPr="00503942">
        <w:rPr>
          <w:rFonts w:ascii="Arial" w:hAnsi="Arial"/>
          <w:sz w:val="22"/>
          <w:lang w:val="en-GB"/>
        </w:rPr>
        <w:lastRenderedPageBreak/>
        <w:t>Any unused product of waste material should be disposed of in accordance with local requirements.</w:t>
      </w:r>
    </w:p>
    <w:p w:rsidR="00733B85" w:rsidRDefault="00480F68" w:rsidP="00503942">
      <w:pPr>
        <w:spacing w:after="240"/>
        <w:jc w:val="both"/>
        <w:rPr>
          <w:rFonts w:ascii="Arial" w:hAnsi="Arial"/>
          <w:sz w:val="22"/>
          <w:lang w:val="en-GB"/>
        </w:rPr>
      </w:pPr>
      <w:r w:rsidRPr="00480F68">
        <w:rPr>
          <w:rFonts w:ascii="Arial" w:hAnsi="Arial"/>
          <w:sz w:val="22"/>
          <w:lang w:val="en-GB"/>
        </w:rPr>
        <w:t xml:space="preserve">Fluarix </w:t>
      </w:r>
      <w:r w:rsidR="005800D7">
        <w:rPr>
          <w:rFonts w:ascii="Arial" w:hAnsi="Arial"/>
          <w:sz w:val="22"/>
          <w:lang w:val="en-GB"/>
        </w:rPr>
        <w:t xml:space="preserve">Tetra </w:t>
      </w:r>
      <w:r w:rsidRPr="00480F68">
        <w:rPr>
          <w:rFonts w:ascii="Arial" w:hAnsi="Arial"/>
          <w:sz w:val="22"/>
          <w:lang w:val="en-GB"/>
        </w:rPr>
        <w:t xml:space="preserve">is for single use </w:t>
      </w:r>
      <w:r>
        <w:rPr>
          <w:rFonts w:ascii="Arial" w:hAnsi="Arial"/>
          <w:sz w:val="22"/>
          <w:lang w:val="en-GB"/>
        </w:rPr>
        <w:t>in one patient only</w:t>
      </w:r>
      <w:r w:rsidRPr="00480F68">
        <w:rPr>
          <w:rFonts w:ascii="Arial" w:hAnsi="Arial"/>
          <w:sz w:val="22"/>
          <w:lang w:val="en-GB"/>
        </w:rPr>
        <w:t>.</w:t>
      </w:r>
    </w:p>
    <w:p w:rsidR="000B3F7C" w:rsidRPr="00937EBC" w:rsidRDefault="0077380F" w:rsidP="00E8070F">
      <w:pPr>
        <w:spacing w:before="120" w:after="240"/>
        <w:jc w:val="both"/>
        <w:rPr>
          <w:rFonts w:ascii="Arial" w:hAnsi="Arial" w:cs="Arial"/>
          <w:b/>
          <w:sz w:val="22"/>
          <w:szCs w:val="22"/>
          <w:lang w:val="en-GB"/>
        </w:rPr>
      </w:pPr>
      <w:r w:rsidRPr="00937EBC">
        <w:rPr>
          <w:rFonts w:ascii="Arial" w:hAnsi="Arial" w:cs="Arial"/>
          <w:b/>
          <w:sz w:val="22"/>
          <w:szCs w:val="22"/>
          <w:lang w:val="en-GB"/>
        </w:rPr>
        <w:t>OVERDOSAGE</w:t>
      </w:r>
    </w:p>
    <w:p w:rsidR="00F96A18" w:rsidRDefault="00F96A18" w:rsidP="004F640B">
      <w:pPr>
        <w:pStyle w:val="NormalWeb"/>
        <w:rPr>
          <w:rFonts w:ascii="Arial" w:hAnsi="Arial"/>
          <w:sz w:val="22"/>
          <w:szCs w:val="20"/>
          <w:lang w:val="en-GB"/>
        </w:rPr>
      </w:pPr>
      <w:r w:rsidRPr="00F96A18">
        <w:rPr>
          <w:rFonts w:ascii="Arial" w:hAnsi="Arial"/>
          <w:sz w:val="22"/>
          <w:szCs w:val="20"/>
          <w:lang w:val="en-GB"/>
        </w:rPr>
        <w:t>Insufficient data are available.</w:t>
      </w:r>
    </w:p>
    <w:p w:rsidR="00F96A18" w:rsidRDefault="00F96A18" w:rsidP="00F96A18">
      <w:pPr>
        <w:tabs>
          <w:tab w:val="left" w:pos="10173"/>
          <w:tab w:val="left" w:pos="10456"/>
        </w:tabs>
        <w:spacing w:line="360" w:lineRule="atLeast"/>
        <w:ind w:right="27"/>
        <w:jc w:val="both"/>
        <w:rPr>
          <w:rFonts w:ascii="Arial" w:hAnsi="Arial"/>
          <w:sz w:val="22"/>
          <w:lang w:val="en-GB"/>
        </w:rPr>
      </w:pPr>
      <w:r w:rsidRPr="00F96A18">
        <w:rPr>
          <w:rFonts w:ascii="Arial" w:hAnsi="Arial"/>
          <w:sz w:val="22"/>
          <w:lang w:val="en-GB"/>
        </w:rPr>
        <w:t>For information on the management of overdose, contact the Poison Information Centre on 131126 (Australia).</w:t>
      </w:r>
    </w:p>
    <w:p w:rsidR="00F96A18" w:rsidRDefault="00F96A18" w:rsidP="00F96A18">
      <w:pPr>
        <w:tabs>
          <w:tab w:val="left" w:pos="10173"/>
          <w:tab w:val="left" w:pos="10456"/>
        </w:tabs>
        <w:spacing w:line="360" w:lineRule="atLeast"/>
        <w:ind w:right="27"/>
        <w:jc w:val="both"/>
        <w:rPr>
          <w:rFonts w:ascii="Arial" w:hAnsi="Arial"/>
          <w:sz w:val="22"/>
          <w:lang w:val="en-GB"/>
        </w:rPr>
      </w:pPr>
    </w:p>
    <w:p w:rsidR="0077380F" w:rsidRPr="00937EBC" w:rsidRDefault="0077380F" w:rsidP="00053893">
      <w:pPr>
        <w:spacing w:before="120" w:after="240"/>
        <w:jc w:val="both"/>
        <w:rPr>
          <w:rFonts w:ascii="Arial" w:hAnsi="Arial" w:cs="Arial"/>
          <w:b/>
          <w:sz w:val="22"/>
          <w:szCs w:val="22"/>
          <w:lang w:val="en-GB"/>
        </w:rPr>
      </w:pPr>
      <w:r w:rsidRPr="00937EBC">
        <w:rPr>
          <w:rFonts w:ascii="Arial" w:hAnsi="Arial" w:cs="Arial"/>
          <w:b/>
          <w:sz w:val="22"/>
          <w:szCs w:val="22"/>
          <w:lang w:val="en-GB"/>
        </w:rPr>
        <w:t xml:space="preserve">PRESENTATION </w:t>
      </w:r>
      <w:smartTag w:uri="urn:schemas-microsoft-com:office:smarttags" w:element="stockticker">
        <w:r w:rsidRPr="00937EBC">
          <w:rPr>
            <w:rFonts w:ascii="Arial" w:hAnsi="Arial" w:cs="Arial"/>
            <w:b/>
            <w:sz w:val="22"/>
            <w:szCs w:val="22"/>
            <w:lang w:val="en-GB"/>
          </w:rPr>
          <w:t>AND</w:t>
        </w:r>
      </w:smartTag>
      <w:r w:rsidRPr="00937EBC">
        <w:rPr>
          <w:rFonts w:ascii="Arial" w:hAnsi="Arial" w:cs="Arial"/>
          <w:b/>
          <w:sz w:val="22"/>
          <w:szCs w:val="22"/>
          <w:lang w:val="en-GB"/>
        </w:rPr>
        <w:t xml:space="preserve"> STORAGE CONDITIONS</w:t>
      </w:r>
    </w:p>
    <w:p w:rsidR="008D5046" w:rsidRDefault="008D5046" w:rsidP="008D5046">
      <w:pPr>
        <w:spacing w:line="360" w:lineRule="atLeast"/>
        <w:jc w:val="both"/>
        <w:rPr>
          <w:rFonts w:ascii="Arial" w:hAnsi="Arial"/>
          <w:sz w:val="22"/>
        </w:rPr>
      </w:pPr>
      <w:r>
        <w:rPr>
          <w:rFonts w:ascii="Arial" w:hAnsi="Arial"/>
          <w:sz w:val="22"/>
        </w:rPr>
        <w:t>Fluarix Tetra is presented in pre-filled syringes</w:t>
      </w:r>
      <w:r w:rsidR="00DC4427">
        <w:rPr>
          <w:rFonts w:ascii="Arial" w:hAnsi="Arial"/>
          <w:sz w:val="22"/>
        </w:rPr>
        <w:t xml:space="preserve"> as pack sizes of 1 or 10</w:t>
      </w:r>
      <w:r>
        <w:rPr>
          <w:rFonts w:ascii="Arial" w:hAnsi="Arial"/>
          <w:sz w:val="22"/>
        </w:rPr>
        <w:t xml:space="preserve">. </w:t>
      </w:r>
    </w:p>
    <w:p w:rsidR="008D5046" w:rsidRDefault="008D5046" w:rsidP="008D5046">
      <w:pPr>
        <w:spacing w:line="360" w:lineRule="atLeast"/>
        <w:jc w:val="both"/>
        <w:rPr>
          <w:rFonts w:ascii="Arial" w:hAnsi="Arial"/>
          <w:sz w:val="22"/>
        </w:rPr>
      </w:pPr>
    </w:p>
    <w:p w:rsidR="008D5046" w:rsidRDefault="008D5046" w:rsidP="008D5046">
      <w:pPr>
        <w:spacing w:line="360" w:lineRule="atLeast"/>
        <w:jc w:val="both"/>
        <w:rPr>
          <w:rFonts w:ascii="Arial" w:hAnsi="Arial"/>
          <w:sz w:val="22"/>
        </w:rPr>
      </w:pPr>
      <w:r>
        <w:rPr>
          <w:rFonts w:ascii="Arial" w:hAnsi="Arial"/>
          <w:sz w:val="22"/>
        </w:rPr>
        <w:t>The pre-filled syringes are made of neutral glass type I, which conforms to European Pharmacopoeia requirements.</w:t>
      </w:r>
    </w:p>
    <w:p w:rsidR="008D5046" w:rsidRDefault="008D5046" w:rsidP="008D5046">
      <w:pPr>
        <w:spacing w:line="360" w:lineRule="atLeast"/>
        <w:jc w:val="both"/>
        <w:rPr>
          <w:rFonts w:ascii="Arial" w:hAnsi="Arial"/>
          <w:sz w:val="22"/>
        </w:rPr>
      </w:pPr>
    </w:p>
    <w:p w:rsidR="008D5046" w:rsidRDefault="008D5046" w:rsidP="008D5046">
      <w:pPr>
        <w:spacing w:line="360" w:lineRule="atLeast"/>
        <w:jc w:val="both"/>
        <w:rPr>
          <w:rFonts w:ascii="Arial" w:hAnsi="Arial"/>
          <w:sz w:val="22"/>
        </w:rPr>
      </w:pPr>
      <w:r>
        <w:rPr>
          <w:rFonts w:ascii="Arial" w:hAnsi="Arial"/>
          <w:sz w:val="22"/>
        </w:rPr>
        <w:t xml:space="preserve">Fluarix Tetra must be stored between +2°C and +8°C and be protected from light.  </w:t>
      </w:r>
    </w:p>
    <w:p w:rsidR="008D5046" w:rsidRDefault="008D5046" w:rsidP="008D5046">
      <w:pPr>
        <w:spacing w:line="360" w:lineRule="atLeast"/>
        <w:jc w:val="both"/>
        <w:rPr>
          <w:rFonts w:ascii="Arial" w:hAnsi="Arial"/>
          <w:sz w:val="22"/>
        </w:rPr>
      </w:pPr>
    </w:p>
    <w:p w:rsidR="008D5046" w:rsidRDefault="008D5046" w:rsidP="008D5046">
      <w:pPr>
        <w:spacing w:line="360" w:lineRule="atLeast"/>
        <w:jc w:val="both"/>
        <w:rPr>
          <w:rFonts w:ascii="Arial" w:hAnsi="Arial"/>
          <w:sz w:val="22"/>
        </w:rPr>
      </w:pPr>
      <w:r>
        <w:rPr>
          <w:rFonts w:ascii="Arial" w:hAnsi="Arial"/>
          <w:sz w:val="22"/>
        </w:rPr>
        <w:t xml:space="preserve">DO NOT FREEZE.  Discard if vaccine has been frozen. </w:t>
      </w:r>
    </w:p>
    <w:p w:rsidR="008D5046" w:rsidRDefault="008D5046" w:rsidP="008D5046">
      <w:pPr>
        <w:spacing w:line="360" w:lineRule="atLeast"/>
        <w:jc w:val="both"/>
        <w:rPr>
          <w:rFonts w:ascii="Arial" w:hAnsi="Arial"/>
          <w:sz w:val="22"/>
        </w:rPr>
      </w:pPr>
    </w:p>
    <w:p w:rsidR="008D5046" w:rsidRDefault="008D5046" w:rsidP="008D5046">
      <w:pPr>
        <w:spacing w:line="360" w:lineRule="atLeast"/>
        <w:jc w:val="both"/>
        <w:rPr>
          <w:rFonts w:ascii="Arial" w:hAnsi="Arial"/>
          <w:sz w:val="22"/>
        </w:rPr>
      </w:pPr>
      <w:r>
        <w:rPr>
          <w:rFonts w:ascii="Arial" w:hAnsi="Arial"/>
          <w:sz w:val="22"/>
        </w:rPr>
        <w:t xml:space="preserve">The expiry date of the vaccine is indicated on the label and packaging.  The shelf life of Fluarix </w:t>
      </w:r>
      <w:r w:rsidR="00F26D54">
        <w:rPr>
          <w:rFonts w:ascii="Arial" w:hAnsi="Arial"/>
          <w:sz w:val="22"/>
        </w:rPr>
        <w:t xml:space="preserve">Tetra </w:t>
      </w:r>
      <w:r>
        <w:rPr>
          <w:rFonts w:ascii="Arial" w:hAnsi="Arial"/>
          <w:sz w:val="22"/>
        </w:rPr>
        <w:t>is 12 months from the date of manufacture if stored between temperatures of +2</w:t>
      </w:r>
      <w:r w:rsidR="00CD56B0">
        <w:rPr>
          <w:rFonts w:ascii="Arial" w:hAnsi="Arial"/>
          <w:sz w:val="22"/>
        </w:rPr>
        <w:fldChar w:fldCharType="begin"/>
      </w:r>
      <w:r>
        <w:rPr>
          <w:rFonts w:ascii="Arial" w:hAnsi="Arial"/>
          <w:sz w:val="22"/>
        </w:rPr>
        <w:instrText>SYMBOL 176 \f "Symbol"</w:instrText>
      </w:r>
      <w:r w:rsidR="00CD56B0">
        <w:rPr>
          <w:rFonts w:ascii="Arial" w:hAnsi="Arial"/>
          <w:sz w:val="22"/>
        </w:rPr>
        <w:fldChar w:fldCharType="end"/>
      </w:r>
      <w:r>
        <w:rPr>
          <w:rFonts w:ascii="Arial" w:hAnsi="Arial"/>
          <w:sz w:val="22"/>
        </w:rPr>
        <w:t>C and +8</w:t>
      </w:r>
      <w:r w:rsidR="00CD56B0">
        <w:rPr>
          <w:rFonts w:ascii="Arial" w:hAnsi="Arial"/>
          <w:sz w:val="22"/>
        </w:rPr>
        <w:fldChar w:fldCharType="begin"/>
      </w:r>
      <w:r>
        <w:rPr>
          <w:rFonts w:ascii="Arial" w:hAnsi="Arial"/>
          <w:sz w:val="22"/>
        </w:rPr>
        <w:instrText>SYMBOL 176 \f "Symbol"</w:instrText>
      </w:r>
      <w:r w:rsidR="00CD56B0">
        <w:rPr>
          <w:rFonts w:ascii="Arial" w:hAnsi="Arial"/>
          <w:sz w:val="22"/>
        </w:rPr>
        <w:fldChar w:fldCharType="end"/>
      </w:r>
      <w:r>
        <w:rPr>
          <w:rFonts w:ascii="Arial" w:hAnsi="Arial"/>
          <w:sz w:val="22"/>
        </w:rPr>
        <w:t>C.</w:t>
      </w:r>
    </w:p>
    <w:p w:rsidR="00733B85" w:rsidRDefault="00733B85" w:rsidP="008D5046">
      <w:pPr>
        <w:spacing w:line="360" w:lineRule="atLeast"/>
        <w:jc w:val="both"/>
        <w:rPr>
          <w:rFonts w:ascii="Arial" w:hAnsi="Arial"/>
          <w:sz w:val="22"/>
        </w:rPr>
      </w:pPr>
    </w:p>
    <w:p w:rsidR="00E8070F" w:rsidRDefault="00733B85" w:rsidP="00733B85">
      <w:pPr>
        <w:spacing w:line="360" w:lineRule="atLeast"/>
        <w:jc w:val="both"/>
        <w:rPr>
          <w:rFonts w:ascii="Arial" w:hAnsi="Arial"/>
          <w:sz w:val="22"/>
        </w:rPr>
      </w:pPr>
      <w:r w:rsidRPr="00733B85">
        <w:rPr>
          <w:rFonts w:ascii="Arial" w:hAnsi="Arial"/>
          <w:sz w:val="22"/>
        </w:rPr>
        <w:t>Not all pack sizes may be distributed in Australia</w:t>
      </w:r>
      <w:r>
        <w:rPr>
          <w:rFonts w:ascii="Arial" w:hAnsi="Arial"/>
          <w:sz w:val="22"/>
        </w:rPr>
        <w:t>.</w:t>
      </w:r>
    </w:p>
    <w:p w:rsidR="00733B85" w:rsidRPr="00937EBC" w:rsidRDefault="00733B85" w:rsidP="00733B85">
      <w:pPr>
        <w:spacing w:line="360" w:lineRule="atLeast"/>
        <w:jc w:val="both"/>
        <w:rPr>
          <w:rFonts w:ascii="Arial" w:hAnsi="Arial" w:cs="Arial"/>
          <w:sz w:val="22"/>
          <w:szCs w:val="22"/>
          <w:lang w:val="en-GB"/>
        </w:rPr>
      </w:pPr>
    </w:p>
    <w:p w:rsidR="0077380F" w:rsidRPr="00937EBC" w:rsidRDefault="0077380F" w:rsidP="00053893">
      <w:pPr>
        <w:spacing w:before="120" w:after="240"/>
        <w:jc w:val="both"/>
        <w:rPr>
          <w:rFonts w:ascii="Arial" w:hAnsi="Arial" w:cs="Arial"/>
          <w:b/>
          <w:sz w:val="22"/>
          <w:szCs w:val="22"/>
          <w:lang w:val="en-GB"/>
        </w:rPr>
      </w:pPr>
      <w:r w:rsidRPr="00937EBC">
        <w:rPr>
          <w:rFonts w:ascii="Arial" w:hAnsi="Arial" w:cs="Arial"/>
          <w:b/>
          <w:sz w:val="22"/>
          <w:szCs w:val="22"/>
          <w:lang w:val="en-GB"/>
        </w:rPr>
        <w:t xml:space="preserve">NAME </w:t>
      </w:r>
      <w:smartTag w:uri="urn:schemas-microsoft-com:office:smarttags" w:element="stockticker">
        <w:r w:rsidRPr="00937EBC">
          <w:rPr>
            <w:rFonts w:ascii="Arial" w:hAnsi="Arial" w:cs="Arial"/>
            <w:b/>
            <w:sz w:val="22"/>
            <w:szCs w:val="22"/>
            <w:lang w:val="en-GB"/>
          </w:rPr>
          <w:t>AND</w:t>
        </w:r>
      </w:smartTag>
      <w:r w:rsidRPr="00937EBC">
        <w:rPr>
          <w:rFonts w:ascii="Arial" w:hAnsi="Arial" w:cs="Arial"/>
          <w:b/>
          <w:sz w:val="22"/>
          <w:szCs w:val="22"/>
          <w:lang w:val="en-GB"/>
        </w:rPr>
        <w:t xml:space="preserve"> ADDRESS OF THE SPONSOR</w:t>
      </w:r>
    </w:p>
    <w:p w:rsidR="003A21A0" w:rsidRPr="00937EBC" w:rsidRDefault="003A21A0" w:rsidP="00DC4427">
      <w:pPr>
        <w:spacing w:line="360" w:lineRule="atLeast"/>
        <w:jc w:val="both"/>
        <w:rPr>
          <w:rFonts w:ascii="Arial" w:hAnsi="Arial"/>
          <w:sz w:val="22"/>
          <w:lang w:val="en-GB"/>
        </w:rPr>
      </w:pPr>
      <w:r w:rsidRPr="00937EBC">
        <w:rPr>
          <w:rFonts w:ascii="Arial" w:hAnsi="Arial"/>
          <w:sz w:val="22"/>
          <w:lang w:val="en-GB"/>
        </w:rPr>
        <w:t>GlaxoSmithKline Australia Pty Ltd,</w:t>
      </w:r>
    </w:p>
    <w:p w:rsidR="003A21A0" w:rsidRPr="00937EBC" w:rsidRDefault="003A21A0" w:rsidP="00DC4427">
      <w:pPr>
        <w:spacing w:line="360" w:lineRule="atLeast"/>
        <w:rPr>
          <w:rStyle w:val="HTMLTypewriter"/>
          <w:rFonts w:ascii="Arial" w:hAnsi="Arial" w:cs="Arial"/>
          <w:color w:val="000000"/>
          <w:sz w:val="22"/>
          <w:szCs w:val="22"/>
          <w:lang w:val="en-GB"/>
        </w:rPr>
      </w:pPr>
      <w:r w:rsidRPr="00937EBC">
        <w:rPr>
          <w:rStyle w:val="HTMLTypewriter"/>
          <w:rFonts w:ascii="Arial" w:hAnsi="Arial" w:cs="Arial"/>
          <w:color w:val="000000"/>
          <w:sz w:val="22"/>
          <w:szCs w:val="22"/>
          <w:lang w:val="en-GB"/>
        </w:rPr>
        <w:t xml:space="preserve">Level 4, 436 Johnston Street, </w:t>
      </w:r>
    </w:p>
    <w:p w:rsidR="00DC4427" w:rsidRDefault="003A21A0" w:rsidP="00DC4427">
      <w:pPr>
        <w:spacing w:line="360" w:lineRule="atLeast"/>
        <w:jc w:val="both"/>
        <w:rPr>
          <w:rStyle w:val="HTMLTypewriter"/>
          <w:rFonts w:ascii="Arial" w:hAnsi="Arial" w:cs="Arial"/>
          <w:color w:val="000000"/>
          <w:sz w:val="22"/>
          <w:szCs w:val="22"/>
          <w:lang w:val="en-GB"/>
        </w:rPr>
      </w:pPr>
      <w:r w:rsidRPr="00937EBC">
        <w:rPr>
          <w:rStyle w:val="HTMLTypewriter"/>
          <w:rFonts w:ascii="Arial" w:hAnsi="Arial" w:cs="Arial"/>
          <w:color w:val="000000"/>
          <w:sz w:val="22"/>
          <w:szCs w:val="22"/>
          <w:lang w:val="en-GB"/>
        </w:rPr>
        <w:t>Abbotsford, Victoria, 3067</w:t>
      </w:r>
    </w:p>
    <w:p w:rsidR="00DC4427" w:rsidRDefault="00DC4427" w:rsidP="00DC4427">
      <w:pPr>
        <w:spacing w:line="360" w:lineRule="atLeast"/>
        <w:jc w:val="both"/>
        <w:rPr>
          <w:rFonts w:ascii="Arial" w:hAnsi="Arial" w:cs="Arial"/>
          <w:b/>
          <w:sz w:val="22"/>
          <w:szCs w:val="22"/>
          <w:lang w:val="en-GB"/>
        </w:rPr>
      </w:pPr>
    </w:p>
    <w:p w:rsidR="00053893" w:rsidRPr="00937EBC" w:rsidRDefault="00D06FFC" w:rsidP="00053893">
      <w:pPr>
        <w:spacing w:before="120" w:after="240"/>
        <w:jc w:val="both"/>
        <w:rPr>
          <w:rFonts w:ascii="Arial" w:hAnsi="Arial" w:cs="Arial"/>
          <w:b/>
          <w:sz w:val="22"/>
          <w:szCs w:val="22"/>
          <w:lang w:val="en-GB"/>
        </w:rPr>
      </w:pPr>
      <w:r w:rsidRPr="00937EBC">
        <w:rPr>
          <w:rFonts w:ascii="Arial" w:hAnsi="Arial" w:cs="Arial"/>
          <w:b/>
          <w:sz w:val="22"/>
          <w:szCs w:val="22"/>
          <w:lang w:val="en-GB"/>
        </w:rPr>
        <w:t>POISON SCHEDULE OF THE MEDICINE</w:t>
      </w:r>
    </w:p>
    <w:p w:rsidR="00571510" w:rsidRDefault="00053893" w:rsidP="00053893">
      <w:pPr>
        <w:spacing w:after="240"/>
        <w:jc w:val="both"/>
        <w:rPr>
          <w:rFonts w:ascii="Arial" w:hAnsi="Arial" w:cs="Arial"/>
          <w:color w:val="000000"/>
          <w:sz w:val="22"/>
          <w:szCs w:val="22"/>
          <w:lang w:val="en-GB"/>
        </w:rPr>
      </w:pPr>
      <w:r w:rsidRPr="00937EBC">
        <w:rPr>
          <w:rFonts w:ascii="Arial" w:hAnsi="Arial" w:cs="Arial"/>
          <w:color w:val="000000"/>
          <w:sz w:val="22"/>
          <w:szCs w:val="22"/>
          <w:lang w:val="en-GB"/>
        </w:rPr>
        <w:t>Schedule 4 – Prescription Only Medicine</w:t>
      </w:r>
    </w:p>
    <w:p w:rsidR="00AC3812" w:rsidRDefault="004F640B" w:rsidP="004F640B">
      <w:pPr>
        <w:pStyle w:val="Heading4"/>
        <w:rPr>
          <w:rFonts w:ascii="Arial" w:hAnsi="Arial" w:cs="Arial"/>
          <w:b w:val="0"/>
          <w:color w:val="0000FF"/>
          <w:sz w:val="22"/>
          <w:szCs w:val="22"/>
          <w:lang w:val="en-GB"/>
        </w:rPr>
      </w:pPr>
      <w:r w:rsidRPr="00937EBC">
        <w:rPr>
          <w:rFonts w:ascii="Arial" w:hAnsi="Arial" w:cs="Arial"/>
          <w:sz w:val="22"/>
          <w:szCs w:val="22"/>
          <w:lang w:val="en-GB"/>
        </w:rPr>
        <w:lastRenderedPageBreak/>
        <w:t xml:space="preserve">Date of first inclusion in the Australian Register of Therapeutic Goods (the ARTG): </w:t>
      </w:r>
      <w:r w:rsidR="00D93C28">
        <w:rPr>
          <w:rFonts w:ascii="Arial" w:hAnsi="Arial" w:cs="Arial"/>
          <w:b w:val="0"/>
          <w:color w:val="0000FF"/>
          <w:sz w:val="22"/>
          <w:szCs w:val="22"/>
          <w:lang w:val="en-GB"/>
        </w:rPr>
        <w:t>28 August 2013</w:t>
      </w:r>
    </w:p>
    <w:p w:rsidR="003D5F03" w:rsidRPr="003D5F03" w:rsidRDefault="003D5F03" w:rsidP="003D5F03">
      <w:pPr>
        <w:rPr>
          <w:rFonts w:ascii="Arial" w:hAnsi="Arial" w:cs="Arial"/>
          <w:sz w:val="22"/>
          <w:szCs w:val="22"/>
          <w:lang w:val="en-GB"/>
        </w:rPr>
      </w:pPr>
    </w:p>
    <w:p w:rsidR="00DC4427" w:rsidRDefault="003D5F03" w:rsidP="00AC3812">
      <w:pPr>
        <w:spacing w:after="240"/>
        <w:jc w:val="both"/>
        <w:rPr>
          <w:rFonts w:ascii="Arial" w:hAnsi="Arial" w:cs="Arial"/>
          <w:color w:val="0000FF"/>
          <w:lang w:val="en-GB"/>
        </w:rPr>
      </w:pPr>
      <w:r w:rsidRPr="003D5F03">
        <w:rPr>
          <w:rFonts w:ascii="Arial" w:hAnsi="Arial" w:cs="Arial"/>
          <w:b/>
          <w:sz w:val="22"/>
          <w:szCs w:val="22"/>
          <w:lang w:val="en-GB"/>
        </w:rPr>
        <w:t>Date of most recent amendment:</w:t>
      </w:r>
      <w:r>
        <w:rPr>
          <w:rFonts w:ascii="Arial" w:hAnsi="Arial" w:cs="Arial"/>
          <w:sz w:val="22"/>
          <w:szCs w:val="22"/>
          <w:lang w:val="en-GB"/>
        </w:rPr>
        <w:t xml:space="preserve"> </w:t>
      </w:r>
      <w:r w:rsidR="00CB73E2">
        <w:rPr>
          <w:rFonts w:ascii="Arial" w:hAnsi="Arial" w:cs="Arial"/>
          <w:sz w:val="22"/>
          <w:szCs w:val="22"/>
          <w:lang w:val="en-GB"/>
        </w:rPr>
        <w:t>10 February 2014</w:t>
      </w:r>
    </w:p>
    <w:p w:rsidR="00DC4427" w:rsidRDefault="00DC4427" w:rsidP="00AC3812">
      <w:pPr>
        <w:spacing w:after="240"/>
        <w:jc w:val="both"/>
        <w:rPr>
          <w:rFonts w:ascii="Arial" w:hAnsi="Arial" w:cs="Arial"/>
          <w:color w:val="0000FF"/>
          <w:lang w:val="en-GB"/>
        </w:rPr>
      </w:pPr>
    </w:p>
    <w:p w:rsidR="005D14FF" w:rsidRPr="00937EBC" w:rsidRDefault="00733B85" w:rsidP="00AC3812">
      <w:pPr>
        <w:spacing w:after="240"/>
        <w:jc w:val="both"/>
        <w:rPr>
          <w:rFonts w:ascii="Arial" w:hAnsi="Arial" w:cs="Arial"/>
          <w:lang w:val="en-GB"/>
        </w:rPr>
      </w:pPr>
      <w:r w:rsidRPr="00733B85">
        <w:rPr>
          <w:rFonts w:ascii="Arial" w:hAnsi="Arial" w:cs="Arial"/>
          <w:color w:val="0000FF"/>
          <w:lang w:val="en-GB"/>
        </w:rPr>
        <w:t>[FLUARIX</w:t>
      </w:r>
      <w:r w:rsidR="006710B4" w:rsidRPr="006710B4">
        <w:rPr>
          <w:rFonts w:ascii="Arial" w:hAnsi="Arial" w:cs="Arial"/>
          <w:color w:val="0000FF"/>
          <w:vertAlign w:val="superscript"/>
          <w:lang w:val="en-GB"/>
        </w:rPr>
        <w:t>TM</w:t>
      </w:r>
      <w:r w:rsidRPr="00733B85">
        <w:rPr>
          <w:rFonts w:ascii="Arial" w:hAnsi="Arial" w:cs="Arial"/>
          <w:color w:val="0000FF"/>
          <w:lang w:val="en-GB"/>
        </w:rPr>
        <w:t xml:space="preserve"> TETRA]</w:t>
      </w:r>
      <w:r w:rsidR="005D14FF" w:rsidRPr="00937EBC">
        <w:rPr>
          <w:rFonts w:ascii="Arial" w:hAnsi="Arial" w:cs="Arial"/>
          <w:lang w:val="en-GB"/>
        </w:rPr>
        <w:t xml:space="preserve"> is a registered trade mark of the GlaxoSmithKline group of companies.</w:t>
      </w:r>
    </w:p>
    <w:p w:rsidR="004F640B" w:rsidRDefault="004F640B" w:rsidP="00053893">
      <w:pPr>
        <w:spacing w:after="240"/>
        <w:jc w:val="both"/>
        <w:rPr>
          <w:rFonts w:ascii="Arial" w:hAnsi="Arial" w:cs="Arial"/>
          <w:sz w:val="22"/>
          <w:szCs w:val="22"/>
          <w:lang w:val="en-GB"/>
        </w:rPr>
      </w:pPr>
    </w:p>
    <w:p w:rsidR="00DC4427" w:rsidRDefault="00DC4427" w:rsidP="00053893">
      <w:pPr>
        <w:spacing w:after="240"/>
        <w:jc w:val="both"/>
        <w:rPr>
          <w:rFonts w:ascii="Arial" w:hAnsi="Arial" w:cs="Arial"/>
          <w:sz w:val="22"/>
          <w:szCs w:val="22"/>
          <w:lang w:val="en-GB"/>
        </w:rPr>
      </w:pPr>
    </w:p>
    <w:p w:rsidR="00DC4427" w:rsidRDefault="00DC4427" w:rsidP="00053893">
      <w:pPr>
        <w:spacing w:after="240"/>
        <w:jc w:val="both"/>
        <w:rPr>
          <w:rFonts w:ascii="Arial" w:hAnsi="Arial" w:cs="Arial"/>
          <w:sz w:val="22"/>
          <w:szCs w:val="22"/>
          <w:lang w:val="en-GB"/>
        </w:rPr>
      </w:pPr>
    </w:p>
    <w:p w:rsidR="00DC4427" w:rsidRPr="00937EBC" w:rsidRDefault="00DC4427" w:rsidP="00053893">
      <w:pPr>
        <w:spacing w:after="240"/>
        <w:jc w:val="both"/>
        <w:rPr>
          <w:rFonts w:ascii="Arial" w:hAnsi="Arial" w:cs="Arial"/>
          <w:sz w:val="22"/>
          <w:szCs w:val="22"/>
          <w:lang w:val="en-GB"/>
        </w:rPr>
      </w:pPr>
    </w:p>
    <w:p w:rsidR="0077380F" w:rsidRPr="00937EBC" w:rsidRDefault="004F640B" w:rsidP="00053893">
      <w:pPr>
        <w:spacing w:after="240"/>
        <w:jc w:val="both"/>
        <w:rPr>
          <w:rFonts w:ascii="Arial" w:hAnsi="Arial" w:cs="Arial"/>
          <w:color w:val="0000FF"/>
          <w:sz w:val="22"/>
          <w:szCs w:val="22"/>
          <w:lang w:val="en-GB"/>
        </w:rPr>
      </w:pPr>
      <w:r w:rsidRPr="00937EBC">
        <w:rPr>
          <w:rFonts w:ascii="Arial" w:hAnsi="Arial" w:cs="Arial"/>
          <w:sz w:val="22"/>
          <w:szCs w:val="22"/>
          <w:lang w:val="en-GB"/>
        </w:rPr>
        <w:t xml:space="preserve">Version </w:t>
      </w:r>
      <w:r w:rsidR="003D5F03">
        <w:rPr>
          <w:rFonts w:ascii="Arial" w:hAnsi="Arial" w:cs="Arial"/>
          <w:sz w:val="22"/>
          <w:szCs w:val="22"/>
          <w:lang w:val="en-GB"/>
        </w:rPr>
        <w:t>2.0</w:t>
      </w:r>
    </w:p>
    <w:p w:rsidR="00053893" w:rsidRPr="00937EBC" w:rsidRDefault="00053893" w:rsidP="00E8070F">
      <w:pPr>
        <w:pStyle w:val="NormalWeb"/>
        <w:rPr>
          <w:rFonts w:ascii="Arial" w:hAnsi="Arial" w:cs="Arial"/>
          <w:sz w:val="22"/>
          <w:szCs w:val="22"/>
          <w:lang w:val="en-GB"/>
        </w:rPr>
      </w:pPr>
    </w:p>
    <w:sectPr w:rsidR="00053893" w:rsidRPr="00937EBC" w:rsidSect="00C556BA">
      <w:headerReference w:type="default" r:id="rId9"/>
      <w:footerReference w:type="default" r:id="rId10"/>
      <w:pgSz w:w="11906" w:h="16838" w:code="9"/>
      <w:pgMar w:top="1440" w:right="1540" w:bottom="1440" w:left="1540" w:header="720" w:footer="720" w:gutter="0"/>
      <w:paperSrc w:first="4"/>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4270" w:rsidRDefault="00534270" w:rsidP="007E0C5E">
      <w:r>
        <w:separator/>
      </w:r>
    </w:p>
  </w:endnote>
  <w:endnote w:type="continuationSeparator" w:id="0">
    <w:p w:rsidR="00534270" w:rsidRDefault="00534270" w:rsidP="007E0C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altName w:val="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Narrow">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7083" w:rsidRPr="00E8070F" w:rsidRDefault="00B87083" w:rsidP="00AD2C82">
    <w:pPr>
      <w:pStyle w:val="Footer"/>
      <w:tabs>
        <w:tab w:val="clear" w:pos="8306"/>
        <w:tab w:val="right" w:pos="8880"/>
      </w:tabs>
      <w:spacing w:before="240"/>
      <w:rPr>
        <w:rFonts w:ascii="Arial" w:hAnsi="Arial" w:cs="Arial"/>
        <w:sz w:val="22"/>
        <w:szCs w:val="16"/>
      </w:rPr>
    </w:pPr>
    <w:r w:rsidRPr="005D14FF">
      <w:rPr>
        <w:rFonts w:ascii="Arial" w:hAnsi="Arial" w:cs="Arial"/>
        <w:sz w:val="16"/>
        <w:szCs w:val="16"/>
      </w:rPr>
      <w:tab/>
    </w:r>
    <w:r w:rsidR="00CD56B0" w:rsidRPr="00E8070F">
      <w:rPr>
        <w:rStyle w:val="PageNumber"/>
        <w:rFonts w:ascii="Arial" w:hAnsi="Arial" w:cs="Arial"/>
        <w:sz w:val="22"/>
        <w:szCs w:val="16"/>
      </w:rPr>
      <w:fldChar w:fldCharType="begin"/>
    </w:r>
    <w:r w:rsidRPr="00E8070F">
      <w:rPr>
        <w:rStyle w:val="PageNumber"/>
        <w:rFonts w:ascii="Arial" w:hAnsi="Arial" w:cs="Arial"/>
        <w:sz w:val="22"/>
        <w:szCs w:val="16"/>
      </w:rPr>
      <w:instrText xml:space="preserve"> PAGE </w:instrText>
    </w:r>
    <w:r w:rsidR="00CD56B0" w:rsidRPr="00E8070F">
      <w:rPr>
        <w:rStyle w:val="PageNumber"/>
        <w:rFonts w:ascii="Arial" w:hAnsi="Arial" w:cs="Arial"/>
        <w:sz w:val="22"/>
        <w:szCs w:val="16"/>
      </w:rPr>
      <w:fldChar w:fldCharType="separate"/>
    </w:r>
    <w:r w:rsidR="00C83E3B">
      <w:rPr>
        <w:rStyle w:val="PageNumber"/>
        <w:rFonts w:ascii="Arial" w:hAnsi="Arial" w:cs="Arial"/>
        <w:noProof/>
        <w:sz w:val="22"/>
        <w:szCs w:val="16"/>
      </w:rPr>
      <w:t>1</w:t>
    </w:r>
    <w:r w:rsidR="00CD56B0" w:rsidRPr="00E8070F">
      <w:rPr>
        <w:rStyle w:val="PageNumber"/>
        <w:rFonts w:ascii="Arial" w:hAnsi="Arial" w:cs="Arial"/>
        <w:sz w:val="22"/>
        <w:szCs w:val="16"/>
      </w:rPr>
      <w:fldChar w:fldCharType="end"/>
    </w:r>
    <w:r w:rsidRPr="00E8070F">
      <w:rPr>
        <w:rStyle w:val="PageNumber"/>
        <w:rFonts w:ascii="Arial" w:hAnsi="Arial" w:cs="Arial"/>
        <w:sz w:val="22"/>
        <w:szCs w:val="16"/>
      </w:rPr>
      <w:tab/>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4270" w:rsidRDefault="00534270" w:rsidP="007E0C5E">
      <w:r>
        <w:separator/>
      </w:r>
    </w:p>
  </w:footnote>
  <w:footnote w:type="continuationSeparator" w:id="0">
    <w:p w:rsidR="00534270" w:rsidRDefault="00534270" w:rsidP="007E0C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3E3B" w:rsidRPr="00C83E3B" w:rsidRDefault="00C83E3B" w:rsidP="00C83E3B">
    <w:pPr>
      <w:pBdr>
        <w:top w:val="single" w:sz="4" w:space="1" w:color="auto"/>
        <w:left w:val="single" w:sz="4" w:space="4" w:color="auto"/>
        <w:bottom w:val="single" w:sz="4" w:space="1" w:color="auto"/>
        <w:right w:val="single" w:sz="4" w:space="4" w:color="auto"/>
      </w:pBdr>
      <w:shd w:val="clear" w:color="auto" w:fill="E4F2E0"/>
      <w:spacing w:before="40" w:after="40"/>
      <w:rPr>
        <w:rFonts w:ascii="Cambria" w:hAnsi="Cambria"/>
        <w:b/>
      </w:rPr>
    </w:pPr>
    <w:r w:rsidRPr="00C83E3B">
      <w:rPr>
        <w:rFonts w:ascii="Cambria" w:hAnsi="Cambria"/>
        <w:b/>
      </w:rPr>
      <w:t xml:space="preserve">Attachment 1: Product information for </w:t>
    </w:r>
    <w:proofErr w:type="spellStart"/>
    <w:r w:rsidRPr="00C83E3B">
      <w:rPr>
        <w:rFonts w:ascii="Cambria" w:hAnsi="Cambria"/>
        <w:b/>
      </w:rPr>
      <w:t>AusPAR</w:t>
    </w:r>
    <w:proofErr w:type="spellEnd"/>
    <w:r w:rsidRPr="00C83E3B">
      <w:rPr>
        <w:rFonts w:ascii="Cambria" w:hAnsi="Cambria"/>
        <w:b/>
      </w:rPr>
      <w:t xml:space="preserve"> </w:t>
    </w:r>
    <w:proofErr w:type="spellStart"/>
    <w:r w:rsidRPr="00C83E3B">
      <w:rPr>
        <w:rFonts w:ascii="Cambria" w:hAnsi="Cambria"/>
        <w:b/>
      </w:rPr>
      <w:t>Fluarix</w:t>
    </w:r>
    <w:proofErr w:type="spellEnd"/>
    <w:r w:rsidRPr="00C83E3B">
      <w:rPr>
        <w:rFonts w:ascii="Cambria" w:hAnsi="Cambria"/>
        <w:b/>
      </w:rPr>
      <w:t xml:space="preserve"> Tetra Influenza virus </w:t>
    </w:r>
    <w:proofErr w:type="spellStart"/>
    <w:r w:rsidRPr="00C83E3B">
      <w:rPr>
        <w:rFonts w:ascii="Cambria" w:hAnsi="Cambria"/>
        <w:b/>
      </w:rPr>
      <w:t>haemagglutinin</w:t>
    </w:r>
    <w:proofErr w:type="spellEnd"/>
    <w:r w:rsidRPr="00C83E3B">
      <w:rPr>
        <w:rFonts w:ascii="Cambria" w:hAnsi="Cambria"/>
        <w:b/>
      </w:rPr>
      <w:t xml:space="preserve"> inactivated split influenza vaccine GlaxoSmithKline Australia Pty Ltd PM-2012-02287-3-2 Final 6 February 2014. This Product Information was approved at the time this </w:t>
    </w:r>
    <w:proofErr w:type="spellStart"/>
    <w:r w:rsidRPr="00C83E3B">
      <w:rPr>
        <w:rFonts w:ascii="Cambria" w:hAnsi="Cambria"/>
        <w:b/>
      </w:rPr>
      <w:t>AusPAR</w:t>
    </w:r>
    <w:proofErr w:type="spellEnd"/>
    <w:r w:rsidRPr="00C83E3B">
      <w:rPr>
        <w:rFonts w:ascii="Cambria" w:hAnsi="Cambria"/>
        <w:b/>
      </w:rPr>
      <w:t xml:space="preserve"> was published.</w:t>
    </w:r>
  </w:p>
  <w:p w:rsidR="00C83E3B" w:rsidRDefault="00C83E3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162EC"/>
    <w:multiLevelType w:val="multilevel"/>
    <w:tmpl w:val="9D38E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3A031A"/>
    <w:multiLevelType w:val="multilevel"/>
    <w:tmpl w:val="7A0A5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E462E8"/>
    <w:multiLevelType w:val="multilevel"/>
    <w:tmpl w:val="6A7C8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8BF7AB6"/>
    <w:multiLevelType w:val="multilevel"/>
    <w:tmpl w:val="FA02A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ACD6691"/>
    <w:multiLevelType w:val="multilevel"/>
    <w:tmpl w:val="1B167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459349F"/>
    <w:multiLevelType w:val="multilevel"/>
    <w:tmpl w:val="F6BE8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D5256FC"/>
    <w:multiLevelType w:val="multilevel"/>
    <w:tmpl w:val="B8CAC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D5B4587"/>
    <w:multiLevelType w:val="hybridMultilevel"/>
    <w:tmpl w:val="1CD2115E"/>
    <w:lvl w:ilvl="0" w:tplc="D9E015D6">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nsid w:val="36354D2E"/>
    <w:multiLevelType w:val="hybridMultilevel"/>
    <w:tmpl w:val="5CA8F6C2"/>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9">
    <w:nsid w:val="39983C65"/>
    <w:multiLevelType w:val="multilevel"/>
    <w:tmpl w:val="5DD04D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F4F7C09"/>
    <w:multiLevelType w:val="multilevel"/>
    <w:tmpl w:val="5B74C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12C6AD2"/>
    <w:multiLevelType w:val="hybridMultilevel"/>
    <w:tmpl w:val="71B49B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497439B9"/>
    <w:multiLevelType w:val="multilevel"/>
    <w:tmpl w:val="776A77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20135FE"/>
    <w:multiLevelType w:val="multilevel"/>
    <w:tmpl w:val="053E6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2E679B7"/>
    <w:multiLevelType w:val="hybridMultilevel"/>
    <w:tmpl w:val="A274A580"/>
    <w:lvl w:ilvl="0" w:tplc="C6D0CF6C">
      <w:start w:val="2"/>
      <w:numFmt w:val="bullet"/>
      <w:lvlText w:val="-"/>
      <w:lvlJc w:val="left"/>
      <w:pPr>
        <w:tabs>
          <w:tab w:val="num" w:pos="720"/>
        </w:tabs>
        <w:ind w:left="720" w:hanging="360"/>
      </w:pPr>
      <w:rPr>
        <w:rFonts w:ascii="Arial" w:eastAsia="Times New Roman" w:hAnsi="Arial" w:cs="Aria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nsid w:val="53955171"/>
    <w:multiLevelType w:val="multilevel"/>
    <w:tmpl w:val="3A183D5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nsid w:val="55E85F40"/>
    <w:multiLevelType w:val="hybridMultilevel"/>
    <w:tmpl w:val="B26EBB80"/>
    <w:lvl w:ilvl="0" w:tplc="D9E015D6">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nsid w:val="58225F29"/>
    <w:multiLevelType w:val="hybridMultilevel"/>
    <w:tmpl w:val="10AE4C6A"/>
    <w:lvl w:ilvl="0" w:tplc="D9E015D6">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nsid w:val="66CD1F93"/>
    <w:multiLevelType w:val="hybridMultilevel"/>
    <w:tmpl w:val="EFAEAA3A"/>
    <w:lvl w:ilvl="0" w:tplc="C6D0CF6C">
      <w:start w:val="2"/>
      <w:numFmt w:val="bullet"/>
      <w:lvlText w:val="-"/>
      <w:lvlJc w:val="left"/>
      <w:pPr>
        <w:tabs>
          <w:tab w:val="num" w:pos="720"/>
        </w:tabs>
        <w:ind w:left="720" w:hanging="360"/>
      </w:pPr>
      <w:rPr>
        <w:rFonts w:ascii="Arial" w:eastAsia="Times New Roman" w:hAnsi="Arial" w:cs="Aria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nsid w:val="68566F33"/>
    <w:multiLevelType w:val="multilevel"/>
    <w:tmpl w:val="6BAE8A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C88767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6CDE616F"/>
    <w:multiLevelType w:val="multilevel"/>
    <w:tmpl w:val="667E79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5615C46"/>
    <w:multiLevelType w:val="multilevel"/>
    <w:tmpl w:val="5498BE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7F006623"/>
    <w:multiLevelType w:val="multilevel"/>
    <w:tmpl w:val="43C2F2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21"/>
  </w:num>
  <w:num w:numId="3">
    <w:abstractNumId w:val="15"/>
  </w:num>
  <w:num w:numId="4">
    <w:abstractNumId w:val="12"/>
  </w:num>
  <w:num w:numId="5">
    <w:abstractNumId w:val="3"/>
  </w:num>
  <w:num w:numId="6">
    <w:abstractNumId w:val="13"/>
  </w:num>
  <w:num w:numId="7">
    <w:abstractNumId w:val="23"/>
  </w:num>
  <w:num w:numId="8">
    <w:abstractNumId w:val="6"/>
  </w:num>
  <w:num w:numId="9">
    <w:abstractNumId w:val="2"/>
  </w:num>
  <w:num w:numId="10">
    <w:abstractNumId w:val="22"/>
  </w:num>
  <w:num w:numId="11">
    <w:abstractNumId w:val="19"/>
  </w:num>
  <w:num w:numId="12">
    <w:abstractNumId w:val="5"/>
  </w:num>
  <w:num w:numId="13">
    <w:abstractNumId w:val="9"/>
  </w:num>
  <w:num w:numId="14">
    <w:abstractNumId w:val="0"/>
  </w:num>
  <w:num w:numId="15">
    <w:abstractNumId w:val="4"/>
  </w:num>
  <w:num w:numId="16">
    <w:abstractNumId w:val="1"/>
  </w:num>
  <w:num w:numId="17">
    <w:abstractNumId w:val="10"/>
  </w:num>
  <w:num w:numId="18">
    <w:abstractNumId w:val="11"/>
  </w:num>
  <w:num w:numId="19">
    <w:abstractNumId w:val="20"/>
  </w:num>
  <w:num w:numId="20">
    <w:abstractNumId w:val="16"/>
  </w:num>
  <w:num w:numId="21">
    <w:abstractNumId w:val="18"/>
  </w:num>
  <w:num w:numId="22">
    <w:abstractNumId w:val="7"/>
  </w:num>
  <w:num w:numId="23">
    <w:abstractNumId w:val="14"/>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7"/>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7380F"/>
    <w:rsid w:val="0000277F"/>
    <w:rsid w:val="0000520C"/>
    <w:rsid w:val="00012481"/>
    <w:rsid w:val="000204CF"/>
    <w:rsid w:val="00034B65"/>
    <w:rsid w:val="00053893"/>
    <w:rsid w:val="00053DEC"/>
    <w:rsid w:val="00065D04"/>
    <w:rsid w:val="00070FFF"/>
    <w:rsid w:val="00074957"/>
    <w:rsid w:val="000905D0"/>
    <w:rsid w:val="0009565C"/>
    <w:rsid w:val="000A3AE6"/>
    <w:rsid w:val="000B3F7C"/>
    <w:rsid w:val="000C5F9C"/>
    <w:rsid w:val="000D3389"/>
    <w:rsid w:val="000D697A"/>
    <w:rsid w:val="000E53BC"/>
    <w:rsid w:val="000F0B17"/>
    <w:rsid w:val="00107DCC"/>
    <w:rsid w:val="00117601"/>
    <w:rsid w:val="00147238"/>
    <w:rsid w:val="001508CD"/>
    <w:rsid w:val="00161C6A"/>
    <w:rsid w:val="00173511"/>
    <w:rsid w:val="00184E4A"/>
    <w:rsid w:val="00196A99"/>
    <w:rsid w:val="00197076"/>
    <w:rsid w:val="001A3375"/>
    <w:rsid w:val="001B7A99"/>
    <w:rsid w:val="001C3CBA"/>
    <w:rsid w:val="001D3244"/>
    <w:rsid w:val="001D7259"/>
    <w:rsid w:val="001E3B9A"/>
    <w:rsid w:val="00205245"/>
    <w:rsid w:val="0022557A"/>
    <w:rsid w:val="00225B5E"/>
    <w:rsid w:val="00235829"/>
    <w:rsid w:val="00242B97"/>
    <w:rsid w:val="00253CA2"/>
    <w:rsid w:val="002566AE"/>
    <w:rsid w:val="002618D0"/>
    <w:rsid w:val="002735C6"/>
    <w:rsid w:val="002737E1"/>
    <w:rsid w:val="0028449F"/>
    <w:rsid w:val="00291B92"/>
    <w:rsid w:val="002A1C97"/>
    <w:rsid w:val="002A6612"/>
    <w:rsid w:val="002D55F6"/>
    <w:rsid w:val="002E086B"/>
    <w:rsid w:val="002E6AF3"/>
    <w:rsid w:val="002E716A"/>
    <w:rsid w:val="003211AA"/>
    <w:rsid w:val="00321200"/>
    <w:rsid w:val="0035387D"/>
    <w:rsid w:val="003742B4"/>
    <w:rsid w:val="00384C25"/>
    <w:rsid w:val="0038699B"/>
    <w:rsid w:val="003929BA"/>
    <w:rsid w:val="00396126"/>
    <w:rsid w:val="003A08D5"/>
    <w:rsid w:val="003A21A0"/>
    <w:rsid w:val="003A78E3"/>
    <w:rsid w:val="003B0279"/>
    <w:rsid w:val="003B19D6"/>
    <w:rsid w:val="003B63E3"/>
    <w:rsid w:val="003D1656"/>
    <w:rsid w:val="003D5F03"/>
    <w:rsid w:val="003F4EBA"/>
    <w:rsid w:val="00404D30"/>
    <w:rsid w:val="00410A71"/>
    <w:rsid w:val="004437FD"/>
    <w:rsid w:val="0045317D"/>
    <w:rsid w:val="0046166A"/>
    <w:rsid w:val="00464893"/>
    <w:rsid w:val="00480F68"/>
    <w:rsid w:val="0049193B"/>
    <w:rsid w:val="00492034"/>
    <w:rsid w:val="00495E08"/>
    <w:rsid w:val="004B0757"/>
    <w:rsid w:val="004C05D0"/>
    <w:rsid w:val="004D6628"/>
    <w:rsid w:val="004E70F6"/>
    <w:rsid w:val="004F3BDE"/>
    <w:rsid w:val="004F640B"/>
    <w:rsid w:val="00500DE6"/>
    <w:rsid w:val="00503942"/>
    <w:rsid w:val="005105FB"/>
    <w:rsid w:val="005125A9"/>
    <w:rsid w:val="00516468"/>
    <w:rsid w:val="005242ED"/>
    <w:rsid w:val="00525CE1"/>
    <w:rsid w:val="00534270"/>
    <w:rsid w:val="0054209E"/>
    <w:rsid w:val="00545450"/>
    <w:rsid w:val="0055231B"/>
    <w:rsid w:val="00571510"/>
    <w:rsid w:val="005741B5"/>
    <w:rsid w:val="005800D7"/>
    <w:rsid w:val="005A198B"/>
    <w:rsid w:val="005A317C"/>
    <w:rsid w:val="005B12B7"/>
    <w:rsid w:val="005D14FF"/>
    <w:rsid w:val="005D7032"/>
    <w:rsid w:val="005E657D"/>
    <w:rsid w:val="005F52C2"/>
    <w:rsid w:val="006029CC"/>
    <w:rsid w:val="00620CAA"/>
    <w:rsid w:val="00622600"/>
    <w:rsid w:val="0062350F"/>
    <w:rsid w:val="00630A80"/>
    <w:rsid w:val="00634BA7"/>
    <w:rsid w:val="00636111"/>
    <w:rsid w:val="00644BAD"/>
    <w:rsid w:val="006555DF"/>
    <w:rsid w:val="006710B4"/>
    <w:rsid w:val="00693269"/>
    <w:rsid w:val="00697766"/>
    <w:rsid w:val="006A3961"/>
    <w:rsid w:val="006A5D2A"/>
    <w:rsid w:val="006C6CA8"/>
    <w:rsid w:val="006E37C3"/>
    <w:rsid w:val="006F6351"/>
    <w:rsid w:val="007041E9"/>
    <w:rsid w:val="00711536"/>
    <w:rsid w:val="007141EB"/>
    <w:rsid w:val="007149A3"/>
    <w:rsid w:val="0071758C"/>
    <w:rsid w:val="00726E6E"/>
    <w:rsid w:val="00733B85"/>
    <w:rsid w:val="007447C6"/>
    <w:rsid w:val="00761BAF"/>
    <w:rsid w:val="0077220F"/>
    <w:rsid w:val="0077380F"/>
    <w:rsid w:val="00774595"/>
    <w:rsid w:val="00774F3B"/>
    <w:rsid w:val="00776579"/>
    <w:rsid w:val="007919B9"/>
    <w:rsid w:val="007946A0"/>
    <w:rsid w:val="00794D99"/>
    <w:rsid w:val="00796D87"/>
    <w:rsid w:val="007A0414"/>
    <w:rsid w:val="007A4294"/>
    <w:rsid w:val="007E0C5E"/>
    <w:rsid w:val="00822070"/>
    <w:rsid w:val="008400D1"/>
    <w:rsid w:val="00843EDB"/>
    <w:rsid w:val="00882490"/>
    <w:rsid w:val="008905B9"/>
    <w:rsid w:val="008B64FD"/>
    <w:rsid w:val="008D02D4"/>
    <w:rsid w:val="008D5046"/>
    <w:rsid w:val="008F5C5D"/>
    <w:rsid w:val="00900677"/>
    <w:rsid w:val="009014ED"/>
    <w:rsid w:val="00912B2E"/>
    <w:rsid w:val="00937EBC"/>
    <w:rsid w:val="0095734D"/>
    <w:rsid w:val="009637B7"/>
    <w:rsid w:val="009663F2"/>
    <w:rsid w:val="009724EA"/>
    <w:rsid w:val="0098178C"/>
    <w:rsid w:val="0098267A"/>
    <w:rsid w:val="009B5D15"/>
    <w:rsid w:val="009B6E92"/>
    <w:rsid w:val="009C7AF1"/>
    <w:rsid w:val="009E76F1"/>
    <w:rsid w:val="00A06D92"/>
    <w:rsid w:val="00A247DB"/>
    <w:rsid w:val="00A4094D"/>
    <w:rsid w:val="00A40A85"/>
    <w:rsid w:val="00A93928"/>
    <w:rsid w:val="00AC0897"/>
    <w:rsid w:val="00AC3812"/>
    <w:rsid w:val="00AD2C82"/>
    <w:rsid w:val="00AD5EC5"/>
    <w:rsid w:val="00AD7DD7"/>
    <w:rsid w:val="00B1220E"/>
    <w:rsid w:val="00B279A6"/>
    <w:rsid w:val="00B30E4B"/>
    <w:rsid w:val="00B3570C"/>
    <w:rsid w:val="00B40093"/>
    <w:rsid w:val="00B4216E"/>
    <w:rsid w:val="00B466E6"/>
    <w:rsid w:val="00B47B0C"/>
    <w:rsid w:val="00B57901"/>
    <w:rsid w:val="00B64EE6"/>
    <w:rsid w:val="00B708D1"/>
    <w:rsid w:val="00B72009"/>
    <w:rsid w:val="00B87083"/>
    <w:rsid w:val="00B90FA7"/>
    <w:rsid w:val="00B9255B"/>
    <w:rsid w:val="00B93E83"/>
    <w:rsid w:val="00BA4F7C"/>
    <w:rsid w:val="00BC1565"/>
    <w:rsid w:val="00BC7F72"/>
    <w:rsid w:val="00BE69EB"/>
    <w:rsid w:val="00C04BE5"/>
    <w:rsid w:val="00C10F10"/>
    <w:rsid w:val="00C12727"/>
    <w:rsid w:val="00C1454D"/>
    <w:rsid w:val="00C17D52"/>
    <w:rsid w:val="00C21D93"/>
    <w:rsid w:val="00C221D7"/>
    <w:rsid w:val="00C327DB"/>
    <w:rsid w:val="00C42AF2"/>
    <w:rsid w:val="00C44C8B"/>
    <w:rsid w:val="00C556BA"/>
    <w:rsid w:val="00C63332"/>
    <w:rsid w:val="00C824B2"/>
    <w:rsid w:val="00C83E3B"/>
    <w:rsid w:val="00C93639"/>
    <w:rsid w:val="00CB06AD"/>
    <w:rsid w:val="00CB0C3E"/>
    <w:rsid w:val="00CB2F52"/>
    <w:rsid w:val="00CB73E2"/>
    <w:rsid w:val="00CD56B0"/>
    <w:rsid w:val="00CF6AA9"/>
    <w:rsid w:val="00D06FFC"/>
    <w:rsid w:val="00D0777C"/>
    <w:rsid w:val="00D21DEF"/>
    <w:rsid w:val="00D22279"/>
    <w:rsid w:val="00D26FC8"/>
    <w:rsid w:val="00D32123"/>
    <w:rsid w:val="00D35B9B"/>
    <w:rsid w:val="00D37BE1"/>
    <w:rsid w:val="00D4677C"/>
    <w:rsid w:val="00D467CF"/>
    <w:rsid w:val="00D47210"/>
    <w:rsid w:val="00D568FA"/>
    <w:rsid w:val="00D60294"/>
    <w:rsid w:val="00D6132E"/>
    <w:rsid w:val="00D62C6D"/>
    <w:rsid w:val="00D669CE"/>
    <w:rsid w:val="00D93C28"/>
    <w:rsid w:val="00DA606D"/>
    <w:rsid w:val="00DA7A33"/>
    <w:rsid w:val="00DB0EA6"/>
    <w:rsid w:val="00DC4427"/>
    <w:rsid w:val="00DC6402"/>
    <w:rsid w:val="00DD6980"/>
    <w:rsid w:val="00E00888"/>
    <w:rsid w:val="00E11E2E"/>
    <w:rsid w:val="00E15F33"/>
    <w:rsid w:val="00E16D7E"/>
    <w:rsid w:val="00E17279"/>
    <w:rsid w:val="00E350CA"/>
    <w:rsid w:val="00E8070F"/>
    <w:rsid w:val="00E80D81"/>
    <w:rsid w:val="00E81E59"/>
    <w:rsid w:val="00EA4824"/>
    <w:rsid w:val="00EA58A4"/>
    <w:rsid w:val="00EA7278"/>
    <w:rsid w:val="00EC1BFB"/>
    <w:rsid w:val="00F25281"/>
    <w:rsid w:val="00F26D54"/>
    <w:rsid w:val="00F531D1"/>
    <w:rsid w:val="00F71B59"/>
    <w:rsid w:val="00F96A18"/>
    <w:rsid w:val="00FC10B6"/>
    <w:rsid w:val="00FD3CBE"/>
    <w:rsid w:val="00FF126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schemas-GSKSiteLocations-com/fourthcoffee" w:name="flavo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52C2"/>
    <w:rPr>
      <w:lang w:val="en-AU" w:eastAsia="en-AU"/>
    </w:rPr>
  </w:style>
  <w:style w:type="paragraph" w:styleId="Heading2">
    <w:name w:val="heading 2"/>
    <w:basedOn w:val="Normal"/>
    <w:link w:val="Heading2Char"/>
    <w:uiPriority w:val="9"/>
    <w:qFormat/>
    <w:rsid w:val="001E3B9A"/>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semiHidden/>
    <w:unhideWhenUsed/>
    <w:qFormat/>
    <w:rsid w:val="00EA58A4"/>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unhideWhenUsed/>
    <w:qFormat/>
    <w:rsid w:val="001E3B9A"/>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rsid w:val="001E3B9A"/>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D14F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5D14FF"/>
    <w:pPr>
      <w:tabs>
        <w:tab w:val="center" w:pos="4153"/>
        <w:tab w:val="right" w:pos="8306"/>
      </w:tabs>
    </w:pPr>
  </w:style>
  <w:style w:type="paragraph" w:styleId="Footer">
    <w:name w:val="footer"/>
    <w:basedOn w:val="Normal"/>
    <w:rsid w:val="005D14FF"/>
    <w:pPr>
      <w:tabs>
        <w:tab w:val="center" w:pos="4153"/>
        <w:tab w:val="right" w:pos="8306"/>
      </w:tabs>
    </w:pPr>
  </w:style>
  <w:style w:type="character" w:styleId="PageNumber">
    <w:name w:val="page number"/>
    <w:basedOn w:val="DefaultParagraphFont"/>
    <w:rsid w:val="005D14FF"/>
  </w:style>
  <w:style w:type="paragraph" w:customStyle="1" w:styleId="lefthead">
    <w:name w:val="left head"/>
    <w:basedOn w:val="Normal"/>
    <w:next w:val="Normal"/>
    <w:rsid w:val="006E37C3"/>
    <w:pPr>
      <w:keepNext/>
      <w:spacing w:after="240"/>
    </w:pPr>
    <w:rPr>
      <w:rFonts w:ascii="Arial" w:hAnsi="Arial"/>
      <w:b/>
      <w:sz w:val="28"/>
      <w:lang w:val="en-GB" w:eastAsia="en-US"/>
    </w:rPr>
  </w:style>
  <w:style w:type="character" w:customStyle="1" w:styleId="Heading2Char">
    <w:name w:val="Heading 2 Char"/>
    <w:link w:val="Heading2"/>
    <w:uiPriority w:val="9"/>
    <w:rsid w:val="001E3B9A"/>
    <w:rPr>
      <w:b/>
      <w:bCs/>
      <w:sz w:val="36"/>
      <w:szCs w:val="36"/>
    </w:rPr>
  </w:style>
  <w:style w:type="character" w:customStyle="1" w:styleId="Heading4Char">
    <w:name w:val="Heading 4 Char"/>
    <w:link w:val="Heading4"/>
    <w:uiPriority w:val="9"/>
    <w:rsid w:val="001E3B9A"/>
    <w:rPr>
      <w:rFonts w:ascii="Calibri" w:eastAsia="Times New Roman" w:hAnsi="Calibri" w:cs="Times New Roman"/>
      <w:b/>
      <w:bCs/>
      <w:sz w:val="28"/>
      <w:szCs w:val="28"/>
    </w:rPr>
  </w:style>
  <w:style w:type="character" w:customStyle="1" w:styleId="Heading5Char">
    <w:name w:val="Heading 5 Char"/>
    <w:link w:val="Heading5"/>
    <w:uiPriority w:val="9"/>
    <w:semiHidden/>
    <w:rsid w:val="001E3B9A"/>
    <w:rPr>
      <w:rFonts w:ascii="Calibri" w:eastAsia="Times New Roman" w:hAnsi="Calibri" w:cs="Times New Roman"/>
      <w:b/>
      <w:bCs/>
      <w:i/>
      <w:iCs/>
      <w:sz w:val="26"/>
      <w:szCs w:val="26"/>
    </w:rPr>
  </w:style>
  <w:style w:type="paragraph" w:styleId="NormalWeb">
    <w:name w:val="Normal (Web)"/>
    <w:basedOn w:val="Normal"/>
    <w:uiPriority w:val="99"/>
    <w:unhideWhenUsed/>
    <w:rsid w:val="001E3B9A"/>
    <w:pPr>
      <w:spacing w:before="100" w:beforeAutospacing="1" w:after="100" w:afterAutospacing="1"/>
    </w:pPr>
    <w:rPr>
      <w:sz w:val="24"/>
      <w:szCs w:val="24"/>
    </w:rPr>
  </w:style>
  <w:style w:type="character" w:styleId="HTMLTypewriter">
    <w:name w:val="HTML Typewriter"/>
    <w:uiPriority w:val="99"/>
    <w:semiHidden/>
    <w:unhideWhenUsed/>
    <w:rsid w:val="003A21A0"/>
    <w:rPr>
      <w:rFonts w:ascii="Courier New" w:eastAsia="Calibri" w:hAnsi="Courier New" w:cs="Courier New" w:hint="default"/>
      <w:sz w:val="20"/>
      <w:szCs w:val="20"/>
    </w:rPr>
  </w:style>
  <w:style w:type="character" w:styleId="CommentReference">
    <w:name w:val="annotation reference"/>
    <w:uiPriority w:val="99"/>
    <w:semiHidden/>
    <w:unhideWhenUsed/>
    <w:rsid w:val="002A6612"/>
    <w:rPr>
      <w:sz w:val="16"/>
      <w:szCs w:val="16"/>
    </w:rPr>
  </w:style>
  <w:style w:type="paragraph" w:styleId="CommentText">
    <w:name w:val="annotation text"/>
    <w:basedOn w:val="Normal"/>
    <w:link w:val="CommentTextChar"/>
    <w:unhideWhenUsed/>
    <w:rsid w:val="002A6612"/>
  </w:style>
  <w:style w:type="character" w:customStyle="1" w:styleId="CommentTextChar">
    <w:name w:val="Comment Text Char"/>
    <w:basedOn w:val="DefaultParagraphFont"/>
    <w:link w:val="CommentText"/>
    <w:uiPriority w:val="99"/>
    <w:rsid w:val="002A6612"/>
  </w:style>
  <w:style w:type="paragraph" w:styleId="CommentSubject">
    <w:name w:val="annotation subject"/>
    <w:basedOn w:val="CommentText"/>
    <w:next w:val="CommentText"/>
    <w:link w:val="CommentSubjectChar"/>
    <w:uiPriority w:val="99"/>
    <w:semiHidden/>
    <w:unhideWhenUsed/>
    <w:rsid w:val="002A6612"/>
    <w:rPr>
      <w:b/>
      <w:bCs/>
    </w:rPr>
  </w:style>
  <w:style w:type="character" w:customStyle="1" w:styleId="CommentSubjectChar">
    <w:name w:val="Comment Subject Char"/>
    <w:link w:val="CommentSubject"/>
    <w:uiPriority w:val="99"/>
    <w:semiHidden/>
    <w:rsid w:val="002A6612"/>
    <w:rPr>
      <w:b/>
      <w:bCs/>
    </w:rPr>
  </w:style>
  <w:style w:type="paragraph" w:styleId="BalloonText">
    <w:name w:val="Balloon Text"/>
    <w:basedOn w:val="Normal"/>
    <w:link w:val="BalloonTextChar"/>
    <w:uiPriority w:val="99"/>
    <w:semiHidden/>
    <w:unhideWhenUsed/>
    <w:rsid w:val="002A6612"/>
    <w:rPr>
      <w:rFonts w:ascii="Tahoma" w:hAnsi="Tahoma"/>
      <w:sz w:val="16"/>
      <w:szCs w:val="16"/>
    </w:rPr>
  </w:style>
  <w:style w:type="character" w:customStyle="1" w:styleId="BalloonTextChar">
    <w:name w:val="Balloon Text Char"/>
    <w:link w:val="BalloonText"/>
    <w:uiPriority w:val="99"/>
    <w:semiHidden/>
    <w:rsid w:val="002A6612"/>
    <w:rPr>
      <w:rFonts w:ascii="Tahoma" w:hAnsi="Tahoma" w:cs="Tahoma"/>
      <w:sz w:val="16"/>
      <w:szCs w:val="16"/>
    </w:rPr>
  </w:style>
  <w:style w:type="paragraph" w:styleId="BodyText2">
    <w:name w:val="Body Text 2"/>
    <w:basedOn w:val="Normal"/>
    <w:link w:val="BodyText2Char"/>
    <w:rsid w:val="009B6E92"/>
    <w:pPr>
      <w:tabs>
        <w:tab w:val="left" w:pos="5103"/>
      </w:tabs>
      <w:spacing w:line="360" w:lineRule="atLeast"/>
      <w:jc w:val="both"/>
    </w:pPr>
    <w:rPr>
      <w:sz w:val="24"/>
    </w:rPr>
  </w:style>
  <w:style w:type="character" w:customStyle="1" w:styleId="BodyText2Char">
    <w:name w:val="Body Text 2 Char"/>
    <w:link w:val="BodyText2"/>
    <w:rsid w:val="009B6E92"/>
    <w:rPr>
      <w:sz w:val="24"/>
    </w:rPr>
  </w:style>
  <w:style w:type="paragraph" w:customStyle="1" w:styleId="Text">
    <w:name w:val="Text"/>
    <w:basedOn w:val="Normal"/>
    <w:rsid w:val="009B6E92"/>
    <w:pPr>
      <w:spacing w:line="312" w:lineRule="exact"/>
    </w:pPr>
    <w:rPr>
      <w:rFonts w:ascii="Arial" w:hAnsi="Arial"/>
      <w:sz w:val="24"/>
      <w:lang w:val="en-GB" w:eastAsia="en-US"/>
    </w:rPr>
  </w:style>
  <w:style w:type="character" w:customStyle="1" w:styleId="Heading3Char">
    <w:name w:val="Heading 3 Char"/>
    <w:link w:val="Heading3"/>
    <w:uiPriority w:val="9"/>
    <w:semiHidden/>
    <w:rsid w:val="00EA58A4"/>
    <w:rPr>
      <w:rFonts w:ascii="Cambria" w:eastAsia="Times New Roman" w:hAnsi="Cambria" w:cs="Times New Roman"/>
      <w:b/>
      <w:bCs/>
      <w:sz w:val="26"/>
      <w:szCs w:val="26"/>
    </w:rPr>
  </w:style>
  <w:style w:type="paragraph" w:styleId="Revision">
    <w:name w:val="Revision"/>
    <w:hidden/>
    <w:uiPriority w:val="99"/>
    <w:semiHidden/>
    <w:rsid w:val="00B87083"/>
    <w:rPr>
      <w:lang w:val="en-AU"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2821160">
      <w:bodyDiv w:val="1"/>
      <w:marLeft w:val="0"/>
      <w:marRight w:val="0"/>
      <w:marTop w:val="0"/>
      <w:marBottom w:val="0"/>
      <w:divBdr>
        <w:top w:val="none" w:sz="0" w:space="0" w:color="auto"/>
        <w:left w:val="none" w:sz="0" w:space="0" w:color="auto"/>
        <w:bottom w:val="none" w:sz="0" w:space="0" w:color="auto"/>
        <w:right w:val="none" w:sz="0" w:space="0" w:color="auto"/>
      </w:divBdr>
      <w:divsChild>
        <w:div w:id="1630476581">
          <w:marLeft w:val="0"/>
          <w:marRight w:val="0"/>
          <w:marTop w:val="0"/>
          <w:marBottom w:val="0"/>
          <w:divBdr>
            <w:top w:val="none" w:sz="0" w:space="0" w:color="auto"/>
            <w:left w:val="none" w:sz="0" w:space="0" w:color="auto"/>
            <w:bottom w:val="none" w:sz="0" w:space="0" w:color="auto"/>
            <w:right w:val="none" w:sz="0" w:space="0" w:color="auto"/>
          </w:divBdr>
          <w:divsChild>
            <w:div w:id="727264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03197">
      <w:bodyDiv w:val="1"/>
      <w:marLeft w:val="0"/>
      <w:marRight w:val="0"/>
      <w:marTop w:val="0"/>
      <w:marBottom w:val="0"/>
      <w:divBdr>
        <w:top w:val="none" w:sz="0" w:space="0" w:color="auto"/>
        <w:left w:val="none" w:sz="0" w:space="0" w:color="auto"/>
        <w:bottom w:val="none" w:sz="0" w:space="0" w:color="auto"/>
        <w:right w:val="none" w:sz="0" w:space="0" w:color="auto"/>
      </w:divBdr>
      <w:divsChild>
        <w:div w:id="1857426886">
          <w:marLeft w:val="0"/>
          <w:marRight w:val="0"/>
          <w:marTop w:val="0"/>
          <w:marBottom w:val="0"/>
          <w:divBdr>
            <w:top w:val="none" w:sz="0" w:space="0" w:color="auto"/>
            <w:left w:val="none" w:sz="0" w:space="0" w:color="auto"/>
            <w:bottom w:val="none" w:sz="0" w:space="0" w:color="auto"/>
            <w:right w:val="none" w:sz="0" w:space="0" w:color="auto"/>
          </w:divBdr>
          <w:divsChild>
            <w:div w:id="80762956">
              <w:marLeft w:val="0"/>
              <w:marRight w:val="0"/>
              <w:marTop w:val="0"/>
              <w:marBottom w:val="0"/>
              <w:divBdr>
                <w:top w:val="none" w:sz="0" w:space="0" w:color="auto"/>
                <w:left w:val="none" w:sz="0" w:space="0" w:color="auto"/>
                <w:bottom w:val="none" w:sz="0" w:space="0" w:color="auto"/>
                <w:right w:val="none" w:sz="0" w:space="0" w:color="auto"/>
              </w:divBdr>
              <w:divsChild>
                <w:div w:id="247348018">
                  <w:blockQuote w:val="1"/>
                  <w:marLeft w:val="720"/>
                  <w:marRight w:val="0"/>
                  <w:marTop w:val="100"/>
                  <w:marBottom w:val="100"/>
                  <w:divBdr>
                    <w:top w:val="none" w:sz="0" w:space="0" w:color="auto"/>
                    <w:left w:val="none" w:sz="0" w:space="0" w:color="auto"/>
                    <w:bottom w:val="none" w:sz="0" w:space="0" w:color="auto"/>
                    <w:right w:val="none" w:sz="0" w:space="0" w:color="auto"/>
                  </w:divBdr>
                </w:div>
                <w:div w:id="577443526">
                  <w:blockQuote w:val="1"/>
                  <w:marLeft w:val="720"/>
                  <w:marRight w:val="0"/>
                  <w:marTop w:val="100"/>
                  <w:marBottom w:val="100"/>
                  <w:divBdr>
                    <w:top w:val="none" w:sz="0" w:space="0" w:color="auto"/>
                    <w:left w:val="none" w:sz="0" w:space="0" w:color="auto"/>
                    <w:bottom w:val="none" w:sz="0" w:space="0" w:color="auto"/>
                    <w:right w:val="none" w:sz="0" w:space="0" w:color="auto"/>
                  </w:divBdr>
                </w:div>
                <w:div w:id="2068645165">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1611206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rr71091\My%20Documents\DRAFT%20-%20Aus%20-%20Product%20Information%20-%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C089F4-FD04-4AB7-A879-F131CEDD8C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DRAFT - Aus - Product Information - Template.dot</Template>
  <TotalTime>9</TotalTime>
  <Pages>12</Pages>
  <Words>3169</Words>
  <Characters>17273</Characters>
  <Application>Microsoft Office Word</Application>
  <DocSecurity>0</DocSecurity>
  <Lines>325</Lines>
  <Paragraphs>168</Paragraphs>
  <ScaleCrop>false</ScaleCrop>
  <HeadingPairs>
    <vt:vector size="2" baseType="variant">
      <vt:variant>
        <vt:lpstr>Title</vt:lpstr>
      </vt:variant>
      <vt:variant>
        <vt:i4>1</vt:i4>
      </vt:variant>
    </vt:vector>
  </HeadingPairs>
  <TitlesOfParts>
    <vt:vector size="1" baseType="lpstr">
      <vt:lpstr>AUDIT TRAIL</vt:lpstr>
    </vt:vector>
  </TitlesOfParts>
  <Company>GlaxoSmithKline</Company>
  <LinksUpToDate>false</LinksUpToDate>
  <CharactersWithSpaces>20274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AusPAR Attachment 1: Product Information for Fluarix Tetra (Influenza virus haemagglutinin inactivated split influenza vaccine</dc:title>
  <dc:subject>prescription medicine regulation</dc:subject>
  <dc:creator>GlaxoSmithKline Australia Pty Ltd</dc:creator>
  <cp:keywords>pi, product information, prescription, medicine, regulation, influenza, virus, haemagglutinin, inactivated, split, vaccine, fluarix tetra</cp:keywords>
  <cp:lastModifiedBy>Sheppard, Fran</cp:lastModifiedBy>
  <cp:revision>3</cp:revision>
  <cp:lastPrinted>2012-08-24T15:10:00Z</cp:lastPrinted>
  <dcterms:created xsi:type="dcterms:W3CDTF">2014-02-17T01:00:00Z</dcterms:created>
  <dcterms:modified xsi:type="dcterms:W3CDTF">2014-03-24T08:22:00Z</dcterms:modified>
</cp:coreProperties>
</file>