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9F" w:rsidRPr="00EC244E" w:rsidRDefault="001F579B">
      <w:pPr>
        <w:spacing w:line="360" w:lineRule="atLeast"/>
        <w:jc w:val="center"/>
        <w:rPr>
          <w:rFonts w:ascii="Arial" w:hAnsi="Arial"/>
          <w:b/>
          <w:sz w:val="22"/>
          <w:u w:val="single"/>
        </w:rPr>
      </w:pPr>
      <w:r w:rsidRPr="00EC244E">
        <w:rPr>
          <w:rFonts w:ascii="Arial" w:hAnsi="Arial"/>
          <w:b/>
          <w:sz w:val="22"/>
          <w:u w:val="single"/>
        </w:rPr>
        <w:t>PANDEMRIX</w:t>
      </w:r>
      <w:r w:rsidR="002B41B9">
        <w:rPr>
          <w:rFonts w:ascii="Arial" w:hAnsi="Arial" w:cs="Arial"/>
          <w:b/>
          <w:position w:val="6"/>
          <w:sz w:val="22"/>
          <w:u w:val="single"/>
        </w:rPr>
        <w:t>™</w:t>
      </w:r>
      <w:r w:rsidR="00D63FE3">
        <w:rPr>
          <w:rFonts w:ascii="Arial" w:hAnsi="Arial" w:cs="Arial"/>
          <w:b/>
          <w:position w:val="6"/>
          <w:sz w:val="22"/>
          <w:u w:val="single"/>
        </w:rPr>
        <w:t xml:space="preserve"> </w:t>
      </w:r>
      <w:r w:rsidR="00D63FE3" w:rsidRPr="008234F1">
        <w:rPr>
          <w:rFonts w:ascii="Arial" w:hAnsi="Arial" w:cs="Arial"/>
          <w:b/>
          <w:sz w:val="22"/>
          <w:u w:val="single"/>
        </w:rPr>
        <w:t>H1N1</w:t>
      </w:r>
      <w:r w:rsidR="009F009F" w:rsidRPr="008234F1">
        <w:rPr>
          <w:rFonts w:ascii="Arial" w:hAnsi="Arial"/>
          <w:b/>
          <w:sz w:val="22"/>
          <w:u w:val="single"/>
        </w:rPr>
        <w:t xml:space="preserve"> </w:t>
      </w:r>
      <w:r w:rsidR="009F009F" w:rsidRPr="00EC244E">
        <w:rPr>
          <w:rFonts w:ascii="Arial" w:hAnsi="Arial"/>
          <w:b/>
          <w:sz w:val="22"/>
          <w:u w:val="single"/>
        </w:rPr>
        <w:t xml:space="preserve">PRODUCT INFORMATION </w:t>
      </w:r>
    </w:p>
    <w:p w:rsidR="009F009F" w:rsidRPr="0010546A" w:rsidRDefault="001F579B">
      <w:pPr>
        <w:jc w:val="center"/>
        <w:rPr>
          <w:rFonts w:ascii="Arial" w:hAnsi="Arial"/>
          <w:b/>
          <w:sz w:val="22"/>
        </w:rPr>
      </w:pPr>
      <w:r w:rsidRPr="0010546A">
        <w:rPr>
          <w:rFonts w:ascii="Arial" w:hAnsi="Arial"/>
          <w:b/>
          <w:sz w:val="22"/>
        </w:rPr>
        <w:t xml:space="preserve">Pandemic influenza vaccine (split virion, inactivated, AS03 adjuvanted) </w:t>
      </w:r>
    </w:p>
    <w:p w:rsidR="0010546A" w:rsidRPr="00EC244E" w:rsidRDefault="0010546A" w:rsidP="0010546A">
      <w:pPr>
        <w:pStyle w:val="Heading2"/>
        <w:rPr>
          <w:rFonts w:ascii="Arial" w:hAnsi="Arial"/>
          <w:sz w:val="22"/>
        </w:rPr>
      </w:pPr>
      <w:r>
        <w:rPr>
          <w:rFonts w:ascii="Arial" w:hAnsi="Arial"/>
          <w:sz w:val="22"/>
        </w:rPr>
        <w:t>NAME OF THE MEDICINE</w:t>
      </w:r>
    </w:p>
    <w:p w:rsidR="0010546A" w:rsidRDefault="0010546A" w:rsidP="00517673">
      <w:pPr>
        <w:spacing w:line="360" w:lineRule="atLeast"/>
        <w:rPr>
          <w:rFonts w:ascii="Arial" w:hAnsi="Arial"/>
          <w:sz w:val="22"/>
        </w:rPr>
      </w:pPr>
      <w:r w:rsidRPr="002B41B9">
        <w:rPr>
          <w:rFonts w:ascii="Arial" w:hAnsi="Arial"/>
          <w:i/>
          <w:sz w:val="22"/>
        </w:rPr>
        <w:t>PANDEMRIX</w:t>
      </w:r>
      <w:r w:rsidR="00D63FE3">
        <w:rPr>
          <w:rFonts w:ascii="Arial" w:hAnsi="Arial"/>
          <w:i/>
          <w:sz w:val="22"/>
        </w:rPr>
        <w:t xml:space="preserve"> H1N1</w:t>
      </w:r>
      <w:r>
        <w:rPr>
          <w:rFonts w:ascii="Arial" w:hAnsi="Arial"/>
          <w:sz w:val="22"/>
        </w:rPr>
        <w:t>, emulsion and suspension for emulsion for injection.</w:t>
      </w:r>
    </w:p>
    <w:p w:rsidR="0010546A" w:rsidRDefault="0010546A" w:rsidP="00517673">
      <w:pPr>
        <w:spacing w:line="360" w:lineRule="atLeast"/>
      </w:pPr>
      <w:r>
        <w:rPr>
          <w:rFonts w:ascii="Arial" w:hAnsi="Arial"/>
          <w:sz w:val="22"/>
        </w:rPr>
        <w:t>Pandemic influenza vaccine (split virion, inactivated, AS03 adjuvanted).</w:t>
      </w:r>
    </w:p>
    <w:p w:rsidR="009F009F" w:rsidRPr="00EC244E" w:rsidRDefault="009F009F" w:rsidP="00517673">
      <w:pPr>
        <w:pStyle w:val="Heading2"/>
        <w:rPr>
          <w:rFonts w:ascii="Arial" w:hAnsi="Arial"/>
          <w:sz w:val="22"/>
        </w:rPr>
      </w:pPr>
      <w:r w:rsidRPr="00EC244E">
        <w:rPr>
          <w:rFonts w:ascii="Arial" w:hAnsi="Arial"/>
          <w:sz w:val="22"/>
        </w:rPr>
        <w:t>DESCRIPTION</w:t>
      </w:r>
    </w:p>
    <w:p w:rsidR="00042EFD" w:rsidRPr="0006384D" w:rsidRDefault="00E75045" w:rsidP="00E75045">
      <w:pPr>
        <w:tabs>
          <w:tab w:val="right" w:pos="7938"/>
        </w:tabs>
        <w:spacing w:line="360" w:lineRule="atLeast"/>
        <w:rPr>
          <w:rFonts w:ascii="Arial" w:hAnsi="Arial" w:cs="Arial"/>
          <w:sz w:val="22"/>
          <w:szCs w:val="22"/>
          <w:lang w:val="en-US"/>
        </w:rPr>
      </w:pPr>
      <w:r w:rsidRPr="00CC1509">
        <w:rPr>
          <w:rFonts w:ascii="Arial" w:hAnsi="Arial"/>
          <w:sz w:val="22"/>
        </w:rPr>
        <w:t>Each 0.5mL vaccine dose contains 3.75 micrograms</w:t>
      </w:r>
      <w:r w:rsidRPr="00CC1509">
        <w:rPr>
          <w:rFonts w:ascii="Arial" w:hAnsi="Arial"/>
          <w:sz w:val="22"/>
          <w:szCs w:val="22"/>
          <w:vertAlign w:val="superscript"/>
        </w:rPr>
        <w:t>1</w:t>
      </w:r>
      <w:r w:rsidRPr="00CC1509">
        <w:rPr>
          <w:rFonts w:ascii="Arial" w:hAnsi="Arial"/>
          <w:sz w:val="22"/>
          <w:szCs w:val="22"/>
        </w:rPr>
        <w:t xml:space="preserve"> of antigen</w:t>
      </w:r>
      <w:r w:rsidRPr="00CC1509">
        <w:rPr>
          <w:rFonts w:ascii="Arial" w:hAnsi="Arial"/>
          <w:sz w:val="22"/>
          <w:szCs w:val="22"/>
          <w:vertAlign w:val="superscript"/>
        </w:rPr>
        <w:t>2</w:t>
      </w:r>
      <w:r w:rsidRPr="00CC1509">
        <w:rPr>
          <w:rFonts w:ascii="Arial" w:hAnsi="Arial"/>
          <w:sz w:val="22"/>
          <w:szCs w:val="22"/>
        </w:rPr>
        <w:t xml:space="preserve"> of </w:t>
      </w:r>
      <w:r w:rsidR="00812C85">
        <w:rPr>
          <w:rFonts w:ascii="Arial" w:hAnsi="Arial"/>
          <w:sz w:val="22"/>
          <w:szCs w:val="22"/>
        </w:rPr>
        <w:t>A/California/7/2009 (H1N1)v</w:t>
      </w:r>
      <w:r w:rsidR="00AF398B">
        <w:rPr>
          <w:rFonts w:ascii="Arial" w:hAnsi="Arial"/>
          <w:sz w:val="22"/>
          <w:szCs w:val="22"/>
        </w:rPr>
        <w:t xml:space="preserve">-like strain </w:t>
      </w:r>
      <w:r w:rsidRPr="00CC1509">
        <w:rPr>
          <w:rFonts w:ascii="Arial" w:hAnsi="Arial"/>
          <w:sz w:val="22"/>
          <w:szCs w:val="22"/>
        </w:rPr>
        <w:t>and is</w:t>
      </w:r>
      <w:r>
        <w:rPr>
          <w:rFonts w:ascii="Arial" w:hAnsi="Arial" w:cs="Arial"/>
          <w:sz w:val="22"/>
          <w:szCs w:val="22"/>
          <w:lang w:val="en-US"/>
        </w:rPr>
        <w:t xml:space="preserve"> </w:t>
      </w:r>
      <w:r w:rsidR="00042EFD" w:rsidRPr="0006384D">
        <w:rPr>
          <w:rFonts w:ascii="Arial" w:hAnsi="Arial" w:cs="Arial"/>
          <w:sz w:val="22"/>
          <w:szCs w:val="22"/>
          <w:lang w:val="en-US"/>
        </w:rPr>
        <w:t>adjuvanted with AS03</w:t>
      </w:r>
      <w:r w:rsidR="00042EFD" w:rsidRPr="0006384D">
        <w:rPr>
          <w:rFonts w:ascii="Arial" w:hAnsi="Arial" w:cs="Arial"/>
          <w:sz w:val="22"/>
          <w:szCs w:val="22"/>
          <w:vertAlign w:val="superscript"/>
        </w:rPr>
        <w:t>3</w:t>
      </w:r>
      <w:r w:rsidRPr="00CC1509">
        <w:rPr>
          <w:rFonts w:ascii="Arial" w:hAnsi="Arial" w:cs="Arial"/>
          <w:sz w:val="22"/>
          <w:szCs w:val="22"/>
        </w:rPr>
        <w:t>.</w:t>
      </w:r>
    </w:p>
    <w:p w:rsidR="00042EFD" w:rsidRDefault="00E75045" w:rsidP="0006384D">
      <w:pPr>
        <w:spacing w:line="360" w:lineRule="atLeast"/>
        <w:rPr>
          <w:rFonts w:ascii="Arial" w:hAnsi="Arial" w:cs="Arial"/>
          <w:sz w:val="22"/>
          <w:szCs w:val="22"/>
        </w:rPr>
      </w:pPr>
      <w:r>
        <w:rPr>
          <w:rFonts w:ascii="Arial" w:hAnsi="Arial" w:cs="Arial"/>
          <w:sz w:val="22"/>
          <w:szCs w:val="22"/>
          <w:vertAlign w:val="superscript"/>
        </w:rPr>
        <w:t>1</w:t>
      </w:r>
      <w:r w:rsidR="00042EFD" w:rsidRPr="0006384D">
        <w:rPr>
          <w:rFonts w:ascii="Arial" w:hAnsi="Arial" w:cs="Arial"/>
          <w:sz w:val="22"/>
          <w:szCs w:val="22"/>
        </w:rPr>
        <w:t>haemagglutinin</w:t>
      </w:r>
    </w:p>
    <w:p w:rsidR="00E75045" w:rsidRPr="00CC1509" w:rsidRDefault="00E75045" w:rsidP="0006384D">
      <w:pPr>
        <w:spacing w:line="360" w:lineRule="atLeast"/>
        <w:rPr>
          <w:rFonts w:ascii="Arial" w:hAnsi="Arial" w:cs="Arial"/>
          <w:sz w:val="22"/>
          <w:szCs w:val="22"/>
        </w:rPr>
      </w:pPr>
      <w:r w:rsidRPr="00CC1509">
        <w:rPr>
          <w:rFonts w:ascii="Arial" w:hAnsi="Arial" w:cs="Arial"/>
          <w:sz w:val="22"/>
          <w:szCs w:val="22"/>
          <w:vertAlign w:val="superscript"/>
        </w:rPr>
        <w:t>2</w:t>
      </w:r>
      <w:r w:rsidRPr="00CC1509">
        <w:rPr>
          <w:rFonts w:ascii="Arial" w:hAnsi="Arial" w:cs="Arial"/>
          <w:sz w:val="22"/>
          <w:szCs w:val="22"/>
        </w:rPr>
        <w:t>propagated in eggs</w:t>
      </w:r>
    </w:p>
    <w:p w:rsidR="00042EFD" w:rsidRPr="0006384D" w:rsidRDefault="00042EFD" w:rsidP="0006384D">
      <w:pPr>
        <w:spacing w:line="360" w:lineRule="atLeast"/>
        <w:rPr>
          <w:rFonts w:ascii="Arial" w:hAnsi="Arial" w:cs="Arial"/>
          <w:sz w:val="22"/>
          <w:szCs w:val="22"/>
        </w:rPr>
      </w:pPr>
      <w:r w:rsidRPr="0006384D">
        <w:rPr>
          <w:rFonts w:ascii="Arial" w:hAnsi="Arial" w:cs="Arial"/>
          <w:sz w:val="22"/>
          <w:szCs w:val="22"/>
          <w:vertAlign w:val="superscript"/>
        </w:rPr>
        <w:t>3</w:t>
      </w:r>
      <w:r w:rsidRPr="0006384D">
        <w:rPr>
          <w:rFonts w:ascii="Arial" w:hAnsi="Arial" w:cs="Arial"/>
          <w:sz w:val="22"/>
          <w:szCs w:val="22"/>
        </w:rPr>
        <w:t>The GlaxoSmithKline proprietary AS03 adjuvant system is composed of squalene (10.</w:t>
      </w:r>
      <w:r w:rsidR="00E75045" w:rsidRPr="00CC1509">
        <w:rPr>
          <w:rFonts w:ascii="Arial" w:hAnsi="Arial" w:cs="Arial"/>
          <w:sz w:val="22"/>
          <w:szCs w:val="22"/>
        </w:rPr>
        <w:t>68</w:t>
      </w:r>
      <w:r w:rsidR="00E75045" w:rsidRPr="0006384D">
        <w:rPr>
          <w:rFonts w:ascii="Arial" w:hAnsi="Arial" w:cs="Arial"/>
          <w:sz w:val="22"/>
          <w:szCs w:val="22"/>
        </w:rPr>
        <w:t xml:space="preserve"> </w:t>
      </w:r>
      <w:r w:rsidRPr="0006384D">
        <w:rPr>
          <w:rFonts w:ascii="Arial" w:hAnsi="Arial" w:cs="Arial"/>
          <w:sz w:val="22"/>
          <w:szCs w:val="22"/>
        </w:rPr>
        <w:t>milligrams), DL-</w:t>
      </w:r>
      <w:r w:rsidR="000E1D6B">
        <w:rPr>
          <w:rFonts w:ascii="Arial" w:hAnsi="Arial" w:cs="Arial"/>
          <w:sz w:val="22"/>
          <w:szCs w:val="22"/>
        </w:rPr>
        <w:sym w:font="Symbol" w:char="F061"/>
      </w:r>
      <w:r w:rsidR="00E75045">
        <w:rPr>
          <w:rFonts w:ascii="Arial" w:hAnsi="Arial" w:cs="Arial"/>
          <w:sz w:val="22"/>
          <w:szCs w:val="22"/>
        </w:rPr>
        <w:t>-</w:t>
      </w:r>
      <w:r w:rsidRPr="0006384D">
        <w:rPr>
          <w:rFonts w:ascii="Arial" w:hAnsi="Arial" w:cs="Arial"/>
          <w:sz w:val="22"/>
          <w:szCs w:val="22"/>
        </w:rPr>
        <w:t>tocopherol (11.86 milligrams) and polysorbate 80 (4.85 milligrams)</w:t>
      </w:r>
    </w:p>
    <w:p w:rsidR="00AF398B" w:rsidRPr="00A522FB" w:rsidRDefault="00AF398B" w:rsidP="000E1D6B">
      <w:pPr>
        <w:spacing w:before="160" w:after="160" w:line="360" w:lineRule="atLeast"/>
        <w:ind w:right="-108"/>
        <w:jc w:val="both"/>
        <w:rPr>
          <w:rFonts w:ascii="Arial" w:hAnsi="Arial"/>
          <w:color w:val="000000"/>
          <w:sz w:val="22"/>
        </w:rPr>
      </w:pPr>
      <w:r w:rsidRPr="00A522FB">
        <w:rPr>
          <w:rFonts w:ascii="Arial" w:hAnsi="Arial"/>
          <w:color w:val="000000"/>
          <w:sz w:val="22"/>
        </w:rPr>
        <w:t>This vaccine complies with the World Health Organisation (WHO) recommendation for the pandemic.</w:t>
      </w:r>
    </w:p>
    <w:p w:rsidR="00517673" w:rsidRPr="006362B0" w:rsidRDefault="00517673">
      <w:pPr>
        <w:spacing w:line="360" w:lineRule="atLeast"/>
        <w:ind w:right="-108"/>
        <w:jc w:val="both"/>
        <w:rPr>
          <w:rFonts w:ascii="Arial" w:hAnsi="Arial"/>
          <w:b/>
          <w:sz w:val="22"/>
          <w:u w:val="single"/>
        </w:rPr>
      </w:pPr>
      <w:r>
        <w:rPr>
          <w:rFonts w:ascii="Arial" w:hAnsi="Arial"/>
          <w:sz w:val="22"/>
        </w:rPr>
        <w:t>Each 0.5mL vaccine dose also contains the excipients Polysorbate 80, Octox</w:t>
      </w:r>
      <w:r w:rsidR="00917D2B">
        <w:rPr>
          <w:rFonts w:ascii="Arial" w:hAnsi="Arial"/>
          <w:sz w:val="22"/>
        </w:rPr>
        <w:t>i</w:t>
      </w:r>
      <w:r>
        <w:rPr>
          <w:rFonts w:ascii="Arial" w:hAnsi="Arial"/>
          <w:sz w:val="22"/>
        </w:rPr>
        <w:t>nol 10, Thiomersal, Sodium Chloride, Disodium hydrogen phosphate, Potassium dihydrogen phosphate, Potassium Chloride and Magnesium chloride.</w:t>
      </w:r>
      <w:r w:rsidR="006362B0">
        <w:rPr>
          <w:rFonts w:ascii="Arial" w:hAnsi="Arial"/>
          <w:sz w:val="22"/>
        </w:rPr>
        <w:t xml:space="preserve">  </w:t>
      </w:r>
      <w:r w:rsidR="006362B0" w:rsidRPr="00CC1509">
        <w:rPr>
          <w:rFonts w:ascii="Arial" w:hAnsi="Arial"/>
          <w:sz w:val="22"/>
        </w:rPr>
        <w:t>The vaccine may also contain the following residues: egg residues including ovalbumin, gentamicin sulfate, formaldehyde, sucrose and sodium deoxycholate.</w:t>
      </w:r>
    </w:p>
    <w:p w:rsidR="001F579B" w:rsidRPr="00EC244E" w:rsidRDefault="00333C64" w:rsidP="000E1D6B">
      <w:pPr>
        <w:pStyle w:val="Heading2"/>
      </w:pPr>
      <w:r>
        <w:t>CLINICAL TRIALS</w:t>
      </w:r>
    </w:p>
    <w:p w:rsidR="00676FB7" w:rsidRPr="00CC1509" w:rsidRDefault="00676FB7" w:rsidP="001F579B">
      <w:pPr>
        <w:spacing w:line="360" w:lineRule="atLeast"/>
        <w:jc w:val="both"/>
        <w:rPr>
          <w:rFonts w:ascii="Arial" w:hAnsi="Arial" w:cs="Arial"/>
          <w:sz w:val="22"/>
          <w:szCs w:val="22"/>
        </w:rPr>
      </w:pPr>
      <w:r w:rsidRPr="00CC1509">
        <w:rPr>
          <w:rFonts w:ascii="Arial" w:hAnsi="Arial" w:cs="Arial"/>
          <w:sz w:val="22"/>
          <w:szCs w:val="22"/>
        </w:rPr>
        <w:t xml:space="preserve">This section describes the clinical experience with </w:t>
      </w:r>
      <w:r w:rsidR="00327B72" w:rsidRPr="00A40E50">
        <w:rPr>
          <w:rFonts w:ascii="Arial" w:hAnsi="Arial" w:cs="Arial"/>
          <w:i/>
          <w:sz w:val="22"/>
          <w:szCs w:val="22"/>
        </w:rPr>
        <w:t xml:space="preserve">PANDEMRIX </w:t>
      </w:r>
      <w:r w:rsidR="00327B72">
        <w:rPr>
          <w:rFonts w:ascii="Arial" w:hAnsi="Arial" w:cs="Arial"/>
          <w:sz w:val="22"/>
          <w:szCs w:val="22"/>
        </w:rPr>
        <w:t xml:space="preserve">H1N1 after a single dose in healthy adults aged 18 years and older and </w:t>
      </w:r>
      <w:r w:rsidRPr="00CC1509">
        <w:rPr>
          <w:rFonts w:ascii="Arial" w:hAnsi="Arial" w:cs="Arial"/>
          <w:sz w:val="22"/>
          <w:szCs w:val="22"/>
        </w:rPr>
        <w:t>the mock-up vaccines</w:t>
      </w:r>
      <w:r w:rsidR="00327B72">
        <w:rPr>
          <w:rFonts w:ascii="Arial" w:hAnsi="Arial" w:cs="Arial"/>
          <w:sz w:val="22"/>
          <w:szCs w:val="22"/>
        </w:rPr>
        <w:t xml:space="preserve"> (Pandemrix H5N1)</w:t>
      </w:r>
      <w:r w:rsidRPr="00CC1509">
        <w:rPr>
          <w:rFonts w:ascii="Arial" w:hAnsi="Arial" w:cs="Arial"/>
          <w:sz w:val="22"/>
          <w:szCs w:val="22"/>
        </w:rPr>
        <w:t xml:space="preserve"> following a two-dose administration.</w:t>
      </w:r>
    </w:p>
    <w:p w:rsidR="00676FB7" w:rsidRPr="00CC1509" w:rsidRDefault="00676FB7" w:rsidP="000E1D6B">
      <w:pPr>
        <w:spacing w:before="160" w:after="160" w:line="360" w:lineRule="atLeast"/>
        <w:jc w:val="both"/>
        <w:rPr>
          <w:rFonts w:ascii="Arial" w:hAnsi="Arial" w:cs="Arial"/>
          <w:sz w:val="22"/>
          <w:szCs w:val="22"/>
        </w:rPr>
      </w:pPr>
      <w:r w:rsidRPr="00CC1509">
        <w:rPr>
          <w:rFonts w:ascii="Arial" w:hAnsi="Arial" w:cs="Arial"/>
          <w:sz w:val="22"/>
          <w:szCs w:val="22"/>
        </w:rPr>
        <w:t>Mock-up vaccines contain influenza antigens that are different from those in the currently circulating influenza viruses.  These antigens can be considered as “novel” antigens and simulate a situation where the target population for vaccination is immunologically naïve.  Data obtained with the mock-up vaccine will support a vaccination strategy that is likely to be used for the pandemic vaccine: clinical efficacy and safety data obtained with mock-up vaccines are relevant for the pandemic vaccines.</w:t>
      </w:r>
    </w:p>
    <w:p w:rsidR="00AF398B" w:rsidRDefault="00AF398B" w:rsidP="001F579B">
      <w:pPr>
        <w:spacing w:line="360" w:lineRule="atLeast"/>
        <w:jc w:val="both"/>
        <w:rPr>
          <w:rFonts w:ascii="Arial" w:hAnsi="Arial" w:cs="Arial"/>
          <w:b/>
          <w:sz w:val="22"/>
          <w:szCs w:val="22"/>
        </w:rPr>
      </w:pPr>
      <w:r>
        <w:rPr>
          <w:rFonts w:ascii="Arial" w:hAnsi="Arial" w:cs="Arial"/>
          <w:b/>
          <w:sz w:val="22"/>
          <w:szCs w:val="22"/>
        </w:rPr>
        <w:t>Immune response to</w:t>
      </w:r>
      <w:r w:rsidRPr="00AF398B">
        <w:rPr>
          <w:rFonts w:ascii="Arial" w:hAnsi="Arial" w:cs="Arial"/>
          <w:sz w:val="22"/>
          <w:szCs w:val="22"/>
        </w:rPr>
        <w:t xml:space="preserve"> </w:t>
      </w:r>
      <w:r w:rsidR="00A40E50" w:rsidRPr="00A40E50">
        <w:rPr>
          <w:rFonts w:ascii="Arial" w:hAnsi="Arial" w:cs="Arial"/>
          <w:b/>
          <w:i/>
          <w:sz w:val="22"/>
          <w:szCs w:val="22"/>
        </w:rPr>
        <w:t>PANDEMRIX</w:t>
      </w:r>
      <w:r w:rsidRPr="00AF398B">
        <w:rPr>
          <w:rFonts w:ascii="Arial" w:hAnsi="Arial" w:cs="Arial"/>
          <w:b/>
          <w:sz w:val="22"/>
          <w:szCs w:val="22"/>
        </w:rPr>
        <w:t xml:space="preserve"> </w:t>
      </w:r>
      <w:r w:rsidR="00E74AFA" w:rsidRPr="00E74AFA">
        <w:rPr>
          <w:rFonts w:ascii="Arial" w:hAnsi="Arial" w:cs="Arial"/>
          <w:b/>
          <w:i/>
          <w:sz w:val="22"/>
          <w:szCs w:val="22"/>
        </w:rPr>
        <w:t>H1N1</w:t>
      </w:r>
    </w:p>
    <w:p w:rsidR="008221F6" w:rsidRPr="008221F6" w:rsidRDefault="008221F6" w:rsidP="001F579B">
      <w:pPr>
        <w:spacing w:line="360" w:lineRule="atLeast"/>
        <w:jc w:val="both"/>
        <w:rPr>
          <w:rFonts w:ascii="Arial" w:hAnsi="Arial" w:cs="Arial"/>
          <w:b/>
          <w:i/>
          <w:sz w:val="22"/>
          <w:szCs w:val="22"/>
        </w:rPr>
      </w:pPr>
      <w:r w:rsidRPr="008221F6">
        <w:rPr>
          <w:rFonts w:ascii="Arial" w:hAnsi="Arial" w:cs="Arial"/>
          <w:b/>
          <w:i/>
          <w:sz w:val="22"/>
          <w:szCs w:val="22"/>
        </w:rPr>
        <w:t>Adults aged 18-60 years</w:t>
      </w:r>
    </w:p>
    <w:p w:rsidR="000E1D6B" w:rsidRDefault="008110F0" w:rsidP="000E1D6B">
      <w:pPr>
        <w:spacing w:after="100" w:afterAutospacing="1" w:line="360" w:lineRule="atLeast"/>
        <w:jc w:val="both"/>
        <w:rPr>
          <w:rFonts w:ascii="Arial" w:hAnsi="Arial" w:cs="Arial"/>
          <w:sz w:val="22"/>
          <w:szCs w:val="22"/>
        </w:rPr>
      </w:pPr>
      <w:r>
        <w:rPr>
          <w:rFonts w:ascii="Arial" w:hAnsi="Arial" w:cs="Arial"/>
          <w:sz w:val="22"/>
          <w:szCs w:val="22"/>
        </w:rPr>
        <w:t>T</w:t>
      </w:r>
      <w:r w:rsidR="00D24E0C">
        <w:rPr>
          <w:rFonts w:ascii="Arial" w:hAnsi="Arial" w:cs="Arial"/>
          <w:sz w:val="22"/>
          <w:szCs w:val="22"/>
        </w:rPr>
        <w:t>wo clinical studies (D-Pan H1N1-007 and D-Pan H1N1-008)</w:t>
      </w:r>
      <w:r w:rsidR="00AF398B">
        <w:rPr>
          <w:rFonts w:ascii="Arial" w:hAnsi="Arial" w:cs="Arial"/>
          <w:sz w:val="22"/>
          <w:szCs w:val="22"/>
        </w:rPr>
        <w:t xml:space="preserve"> evaluated the immunogenicity of AS03-adjuvanted vaccine containing 3.75 µ</w:t>
      </w:r>
      <w:r w:rsidR="00812C85">
        <w:rPr>
          <w:rFonts w:ascii="Arial" w:hAnsi="Arial" w:cs="Arial"/>
          <w:sz w:val="22"/>
          <w:szCs w:val="22"/>
        </w:rPr>
        <w:t xml:space="preserve">g HA derived from </w:t>
      </w:r>
      <w:r w:rsidR="00812C85">
        <w:rPr>
          <w:rFonts w:ascii="Arial" w:hAnsi="Arial"/>
          <w:sz w:val="22"/>
          <w:szCs w:val="22"/>
        </w:rPr>
        <w:t xml:space="preserve">A/California/7/2009 (H1N1)v-like </w:t>
      </w:r>
      <w:r w:rsidR="00D41FCB">
        <w:rPr>
          <w:rFonts w:ascii="Arial" w:hAnsi="Arial"/>
          <w:sz w:val="22"/>
          <w:szCs w:val="22"/>
        </w:rPr>
        <w:t xml:space="preserve">strain </w:t>
      </w:r>
      <w:r w:rsidR="00812C85">
        <w:rPr>
          <w:rFonts w:ascii="Arial" w:hAnsi="Arial"/>
          <w:sz w:val="22"/>
          <w:szCs w:val="22"/>
        </w:rPr>
        <w:t xml:space="preserve">in </w:t>
      </w:r>
      <w:r w:rsidR="00812C85">
        <w:rPr>
          <w:rFonts w:ascii="Arial" w:hAnsi="Arial" w:cs="Arial"/>
          <w:sz w:val="22"/>
          <w:szCs w:val="22"/>
        </w:rPr>
        <w:t>healthy adults aged 18-60 years</w:t>
      </w:r>
      <w:r>
        <w:rPr>
          <w:rFonts w:ascii="Arial" w:hAnsi="Arial" w:cs="Arial"/>
          <w:sz w:val="22"/>
          <w:szCs w:val="22"/>
        </w:rPr>
        <w:t xml:space="preserve">. </w:t>
      </w:r>
      <w:r w:rsidRPr="008110F0">
        <w:rPr>
          <w:rFonts w:ascii="Arial" w:hAnsi="Arial" w:cs="Arial"/>
          <w:sz w:val="22"/>
          <w:szCs w:val="22"/>
        </w:rPr>
        <w:t xml:space="preserve">In D-Pan H1N1-007 pre-vaccination antibody reciprocal titres </w:t>
      </w:r>
      <w:r w:rsidR="000E1D6B">
        <w:rPr>
          <w:rFonts w:ascii="Arial" w:hAnsi="Arial" w:cs="Arial"/>
          <w:sz w:val="22"/>
          <w:szCs w:val="22"/>
        </w:rPr>
        <w:sym w:font="Symbol" w:char="F0B3"/>
      </w:r>
      <w:r w:rsidRPr="008110F0">
        <w:rPr>
          <w:rFonts w:ascii="Arial" w:hAnsi="Arial" w:cs="Arial"/>
          <w:sz w:val="22"/>
          <w:szCs w:val="22"/>
        </w:rPr>
        <w:t xml:space="preserve">1:10 were present in 32.8% of adults and in D-Pan H1N1-008 pre-vaccination antibody reciprocal titres </w:t>
      </w:r>
      <w:r w:rsidR="000E1D6B">
        <w:rPr>
          <w:rFonts w:ascii="Arial" w:hAnsi="Arial" w:cs="Arial"/>
          <w:sz w:val="22"/>
          <w:szCs w:val="22"/>
        </w:rPr>
        <w:sym w:font="Symbol" w:char="F0B3"/>
      </w:r>
      <w:r w:rsidRPr="008110F0">
        <w:rPr>
          <w:rFonts w:ascii="Arial" w:hAnsi="Arial" w:cs="Arial"/>
          <w:sz w:val="22"/>
          <w:szCs w:val="22"/>
        </w:rPr>
        <w:t>1:10 were present in 36.7% of adults aged 18 to 60 years.</w:t>
      </w:r>
      <w:r w:rsidR="00812C85">
        <w:rPr>
          <w:rFonts w:ascii="Arial" w:hAnsi="Arial" w:cs="Arial"/>
          <w:sz w:val="22"/>
          <w:szCs w:val="22"/>
        </w:rPr>
        <w:t xml:space="preserve"> </w:t>
      </w:r>
      <w:r>
        <w:rPr>
          <w:rFonts w:ascii="Arial" w:hAnsi="Arial" w:cs="Arial"/>
          <w:sz w:val="22"/>
          <w:szCs w:val="22"/>
        </w:rPr>
        <w:t>T</w:t>
      </w:r>
      <w:r w:rsidR="00812C85">
        <w:rPr>
          <w:rFonts w:ascii="Arial" w:hAnsi="Arial" w:cs="Arial"/>
          <w:sz w:val="22"/>
          <w:szCs w:val="22"/>
        </w:rPr>
        <w:t xml:space="preserve">he anti-HA antibody responses </w:t>
      </w:r>
      <w:r w:rsidR="00D24E0C">
        <w:rPr>
          <w:rFonts w:ascii="Arial" w:hAnsi="Arial" w:cs="Arial"/>
          <w:sz w:val="22"/>
          <w:szCs w:val="22"/>
        </w:rPr>
        <w:t xml:space="preserve">21 days after a first dose </w:t>
      </w:r>
      <w:r w:rsidR="00812C85">
        <w:rPr>
          <w:rFonts w:ascii="Arial" w:hAnsi="Arial" w:cs="Arial"/>
          <w:sz w:val="22"/>
          <w:szCs w:val="22"/>
        </w:rPr>
        <w:t>were as follows:</w:t>
      </w:r>
      <w:r w:rsidR="000E1D6B">
        <w:rPr>
          <w:rFonts w:ascii="Arial" w:hAnsi="Arial" w:cs="Arial"/>
          <w:sz w:val="22"/>
          <w:szCs w:val="22"/>
        </w:rPr>
        <w:br w:type="page"/>
      </w:r>
    </w:p>
    <w:p w:rsidR="000E1D6B" w:rsidRDefault="000E1D6B" w:rsidP="000E1D6B">
      <w:pPr>
        <w:spacing w:line="360" w:lineRule="atLeas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843"/>
        <w:gridCol w:w="1825"/>
        <w:gridCol w:w="18"/>
        <w:gridCol w:w="1825"/>
        <w:gridCol w:w="1826"/>
      </w:tblGrid>
      <w:tr w:rsidR="00812C85" w:rsidRPr="00EC55A3" w:rsidTr="00EC55A3">
        <w:tc>
          <w:tcPr>
            <w:tcW w:w="2518" w:type="dxa"/>
          </w:tcPr>
          <w:p w:rsidR="00812C85" w:rsidRPr="00EC55A3" w:rsidRDefault="00812C85" w:rsidP="00EC55A3">
            <w:pPr>
              <w:tabs>
                <w:tab w:val="left" w:pos="567"/>
              </w:tabs>
              <w:spacing w:line="360" w:lineRule="atLeast"/>
              <w:jc w:val="both"/>
              <w:rPr>
                <w:rFonts w:ascii="Arial" w:hAnsi="Arial" w:cs="Arial"/>
                <w:b/>
                <w:sz w:val="22"/>
                <w:szCs w:val="22"/>
              </w:rPr>
            </w:pPr>
            <w:r w:rsidRPr="00EC55A3">
              <w:rPr>
                <w:rFonts w:ascii="Arial" w:hAnsi="Arial" w:cs="Arial"/>
                <w:b/>
                <w:sz w:val="22"/>
                <w:szCs w:val="22"/>
              </w:rPr>
              <w:t>anti-HA antibody</w:t>
            </w:r>
          </w:p>
        </w:tc>
        <w:tc>
          <w:tcPr>
            <w:tcW w:w="7337" w:type="dxa"/>
            <w:gridSpan w:val="5"/>
          </w:tcPr>
          <w:p w:rsidR="00812C85" w:rsidRPr="00EC55A3" w:rsidRDefault="00812C85" w:rsidP="00EC55A3">
            <w:pPr>
              <w:tabs>
                <w:tab w:val="left" w:pos="567"/>
              </w:tabs>
              <w:spacing w:line="360" w:lineRule="atLeast"/>
              <w:jc w:val="center"/>
              <w:rPr>
                <w:rFonts w:ascii="Arial" w:hAnsi="Arial" w:cs="Arial"/>
                <w:b/>
                <w:sz w:val="22"/>
                <w:szCs w:val="22"/>
              </w:rPr>
            </w:pPr>
            <w:r w:rsidRPr="00EC55A3">
              <w:rPr>
                <w:rFonts w:ascii="Arial" w:hAnsi="Arial" w:cs="Arial"/>
                <w:b/>
                <w:sz w:val="22"/>
                <w:szCs w:val="22"/>
              </w:rPr>
              <w:t xml:space="preserve">Immune response to </w:t>
            </w:r>
            <w:r w:rsidRPr="00EC55A3">
              <w:rPr>
                <w:rFonts w:ascii="Arial" w:hAnsi="Arial"/>
                <w:b/>
                <w:sz w:val="22"/>
                <w:szCs w:val="22"/>
              </w:rPr>
              <w:t>A/California/7/2009 (H1N1)v-like</w:t>
            </w:r>
            <w:r w:rsidR="00D41FCB">
              <w:rPr>
                <w:rFonts w:ascii="Arial" w:hAnsi="Arial"/>
                <w:b/>
                <w:sz w:val="22"/>
                <w:szCs w:val="22"/>
              </w:rPr>
              <w:t xml:space="preserve"> strain</w:t>
            </w:r>
          </w:p>
        </w:tc>
      </w:tr>
      <w:tr w:rsidR="00D24E0C" w:rsidRPr="00EC55A3" w:rsidTr="003A4B1A">
        <w:tc>
          <w:tcPr>
            <w:tcW w:w="2518" w:type="dxa"/>
          </w:tcPr>
          <w:p w:rsidR="00D24E0C" w:rsidRPr="00EC55A3" w:rsidRDefault="00D24E0C" w:rsidP="00EC55A3">
            <w:pPr>
              <w:tabs>
                <w:tab w:val="left" w:pos="567"/>
              </w:tabs>
              <w:spacing w:line="360" w:lineRule="atLeast"/>
              <w:jc w:val="both"/>
              <w:rPr>
                <w:rFonts w:ascii="Arial" w:hAnsi="Arial" w:cs="Arial"/>
                <w:b/>
                <w:sz w:val="22"/>
                <w:szCs w:val="22"/>
              </w:rPr>
            </w:pPr>
          </w:p>
        </w:tc>
        <w:tc>
          <w:tcPr>
            <w:tcW w:w="3668" w:type="dxa"/>
            <w:gridSpan w:val="2"/>
          </w:tcPr>
          <w:p w:rsidR="00D24E0C" w:rsidRPr="00EC55A3" w:rsidRDefault="00D24E0C" w:rsidP="00EC55A3">
            <w:pPr>
              <w:tabs>
                <w:tab w:val="left" w:pos="567"/>
              </w:tabs>
              <w:spacing w:line="360" w:lineRule="atLeast"/>
              <w:jc w:val="center"/>
              <w:rPr>
                <w:rFonts w:ascii="Arial" w:hAnsi="Arial" w:cs="Arial"/>
                <w:b/>
                <w:sz w:val="22"/>
                <w:szCs w:val="22"/>
              </w:rPr>
            </w:pPr>
            <w:r>
              <w:rPr>
                <w:rFonts w:ascii="Arial" w:hAnsi="Arial" w:cs="Arial"/>
                <w:b/>
                <w:sz w:val="22"/>
                <w:szCs w:val="22"/>
              </w:rPr>
              <w:t>D-Pan H1N1-007</w:t>
            </w:r>
          </w:p>
        </w:tc>
        <w:tc>
          <w:tcPr>
            <w:tcW w:w="3669" w:type="dxa"/>
            <w:gridSpan w:val="3"/>
          </w:tcPr>
          <w:p w:rsidR="00D24E0C" w:rsidRPr="00EC55A3" w:rsidRDefault="00D24E0C" w:rsidP="00EC55A3">
            <w:pPr>
              <w:tabs>
                <w:tab w:val="left" w:pos="567"/>
              </w:tabs>
              <w:spacing w:line="360" w:lineRule="atLeast"/>
              <w:jc w:val="center"/>
              <w:rPr>
                <w:rFonts w:ascii="Arial" w:hAnsi="Arial" w:cs="Arial"/>
                <w:b/>
                <w:sz w:val="22"/>
                <w:szCs w:val="22"/>
              </w:rPr>
            </w:pPr>
            <w:r>
              <w:rPr>
                <w:rFonts w:ascii="Arial" w:hAnsi="Arial" w:cs="Arial"/>
                <w:b/>
                <w:sz w:val="22"/>
                <w:szCs w:val="22"/>
              </w:rPr>
              <w:t>D-Pan H1N1-008</w:t>
            </w:r>
          </w:p>
        </w:tc>
      </w:tr>
      <w:tr w:rsidR="00D24E0C" w:rsidRPr="00EC55A3" w:rsidTr="003A4B1A">
        <w:tc>
          <w:tcPr>
            <w:tcW w:w="2518" w:type="dxa"/>
          </w:tcPr>
          <w:p w:rsidR="00D24E0C" w:rsidRPr="00EC55A3" w:rsidRDefault="00D24E0C" w:rsidP="00EC55A3">
            <w:pPr>
              <w:tabs>
                <w:tab w:val="left" w:pos="567"/>
              </w:tabs>
              <w:spacing w:line="360" w:lineRule="atLeast"/>
              <w:jc w:val="both"/>
              <w:rPr>
                <w:rFonts w:ascii="Arial" w:hAnsi="Arial" w:cs="Arial"/>
                <w:b/>
                <w:sz w:val="22"/>
                <w:szCs w:val="22"/>
              </w:rPr>
            </w:pPr>
          </w:p>
        </w:tc>
        <w:tc>
          <w:tcPr>
            <w:tcW w:w="1843" w:type="dxa"/>
          </w:tcPr>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Total enrolled subjects</w:t>
            </w:r>
          </w:p>
          <w:p w:rsidR="00D24E0C" w:rsidRDefault="00D24E0C" w:rsidP="008221F6">
            <w:pPr>
              <w:tabs>
                <w:tab w:val="left" w:pos="567"/>
              </w:tabs>
              <w:jc w:val="center"/>
              <w:rPr>
                <w:rFonts w:ascii="Arial" w:hAnsi="Arial" w:cs="Arial"/>
                <w:b/>
                <w:sz w:val="22"/>
                <w:szCs w:val="22"/>
              </w:rPr>
            </w:pPr>
            <w:r w:rsidRPr="00EC55A3">
              <w:rPr>
                <w:rFonts w:ascii="Arial" w:hAnsi="Arial" w:cs="Arial"/>
                <w:b/>
                <w:sz w:val="22"/>
                <w:szCs w:val="22"/>
              </w:rPr>
              <w:t>N = 61</w:t>
            </w:r>
          </w:p>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[95% CI]</w:t>
            </w:r>
          </w:p>
        </w:tc>
        <w:tc>
          <w:tcPr>
            <w:tcW w:w="1843" w:type="dxa"/>
            <w:gridSpan w:val="2"/>
          </w:tcPr>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Seronegative subjects prior to vaccination</w:t>
            </w:r>
          </w:p>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N = 40</w:t>
            </w:r>
          </w:p>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[95% CI]</w:t>
            </w:r>
          </w:p>
        </w:tc>
        <w:tc>
          <w:tcPr>
            <w:tcW w:w="1825" w:type="dxa"/>
          </w:tcPr>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Total enrolled subjects</w:t>
            </w:r>
          </w:p>
          <w:p w:rsidR="00D24E0C" w:rsidRDefault="00D24E0C" w:rsidP="008221F6">
            <w:pPr>
              <w:tabs>
                <w:tab w:val="left" w:pos="567"/>
              </w:tabs>
              <w:jc w:val="center"/>
              <w:rPr>
                <w:rFonts w:ascii="Arial" w:hAnsi="Arial" w:cs="Arial"/>
                <w:b/>
                <w:sz w:val="22"/>
                <w:szCs w:val="22"/>
              </w:rPr>
            </w:pPr>
            <w:r w:rsidRPr="00EC55A3">
              <w:rPr>
                <w:rFonts w:ascii="Arial" w:hAnsi="Arial" w:cs="Arial"/>
                <w:b/>
                <w:sz w:val="22"/>
                <w:szCs w:val="22"/>
              </w:rPr>
              <w:t xml:space="preserve">N = </w:t>
            </w:r>
            <w:r>
              <w:rPr>
                <w:rFonts w:ascii="Arial" w:hAnsi="Arial" w:cs="Arial"/>
                <w:b/>
                <w:sz w:val="22"/>
                <w:szCs w:val="22"/>
              </w:rPr>
              <w:t>120</w:t>
            </w:r>
          </w:p>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[95% CI]</w:t>
            </w:r>
          </w:p>
        </w:tc>
        <w:tc>
          <w:tcPr>
            <w:tcW w:w="1826" w:type="dxa"/>
          </w:tcPr>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Seronegative subjects prior to vaccination</w:t>
            </w:r>
          </w:p>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 xml:space="preserve">N = </w:t>
            </w:r>
            <w:r>
              <w:rPr>
                <w:rFonts w:ascii="Arial" w:hAnsi="Arial" w:cs="Arial"/>
                <w:b/>
                <w:sz w:val="22"/>
                <w:szCs w:val="22"/>
              </w:rPr>
              <w:t>76</w:t>
            </w:r>
          </w:p>
          <w:p w:rsidR="00D24E0C" w:rsidRPr="00EC55A3" w:rsidRDefault="00D24E0C" w:rsidP="008221F6">
            <w:pPr>
              <w:tabs>
                <w:tab w:val="left" w:pos="567"/>
              </w:tabs>
              <w:jc w:val="center"/>
              <w:rPr>
                <w:rFonts w:ascii="Arial" w:hAnsi="Arial" w:cs="Arial"/>
                <w:b/>
                <w:sz w:val="22"/>
                <w:szCs w:val="22"/>
              </w:rPr>
            </w:pPr>
            <w:r w:rsidRPr="00EC55A3">
              <w:rPr>
                <w:rFonts w:ascii="Arial" w:hAnsi="Arial" w:cs="Arial"/>
                <w:b/>
                <w:sz w:val="22"/>
                <w:szCs w:val="22"/>
              </w:rPr>
              <w:t>[95% CI]</w:t>
            </w:r>
          </w:p>
        </w:tc>
      </w:tr>
      <w:tr w:rsidR="00D24E0C" w:rsidRPr="00EC55A3" w:rsidTr="003A4B1A">
        <w:tc>
          <w:tcPr>
            <w:tcW w:w="2518" w:type="dxa"/>
          </w:tcPr>
          <w:p w:rsidR="00D24E0C" w:rsidRPr="00EC55A3" w:rsidRDefault="00D24E0C" w:rsidP="00EC55A3">
            <w:pPr>
              <w:tabs>
                <w:tab w:val="left" w:pos="567"/>
              </w:tabs>
              <w:spacing w:line="360" w:lineRule="atLeast"/>
              <w:jc w:val="both"/>
              <w:rPr>
                <w:rFonts w:ascii="Arial" w:hAnsi="Arial" w:cs="Arial"/>
                <w:sz w:val="22"/>
                <w:szCs w:val="22"/>
                <w:vertAlign w:val="superscript"/>
              </w:rPr>
            </w:pPr>
            <w:r w:rsidRPr="00EC55A3">
              <w:rPr>
                <w:rFonts w:ascii="Arial" w:hAnsi="Arial" w:cs="Arial"/>
                <w:sz w:val="22"/>
                <w:szCs w:val="22"/>
              </w:rPr>
              <w:t>Seroprotection rate</w:t>
            </w:r>
            <w:r w:rsidRPr="00EC55A3">
              <w:rPr>
                <w:rFonts w:ascii="Arial" w:hAnsi="Arial" w:cs="Arial"/>
                <w:sz w:val="22"/>
                <w:szCs w:val="22"/>
                <w:vertAlign w:val="superscript"/>
              </w:rPr>
              <w:t>1</w:t>
            </w:r>
          </w:p>
        </w:tc>
        <w:tc>
          <w:tcPr>
            <w:tcW w:w="1843" w:type="dxa"/>
          </w:tcPr>
          <w:p w:rsidR="00D24E0C" w:rsidRDefault="00D24E0C" w:rsidP="008221F6">
            <w:pPr>
              <w:tabs>
                <w:tab w:val="left" w:pos="567"/>
              </w:tabs>
              <w:jc w:val="center"/>
              <w:rPr>
                <w:rFonts w:ascii="Arial" w:hAnsi="Arial" w:cs="Arial"/>
                <w:sz w:val="22"/>
                <w:szCs w:val="22"/>
              </w:rPr>
            </w:pPr>
            <w:r w:rsidRPr="00EC55A3">
              <w:rPr>
                <w:rFonts w:ascii="Arial" w:hAnsi="Arial" w:cs="Arial"/>
                <w:sz w:val="22"/>
                <w:szCs w:val="22"/>
              </w:rPr>
              <w:t>100%</w:t>
            </w:r>
          </w:p>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[94.1;100]</w:t>
            </w:r>
          </w:p>
        </w:tc>
        <w:tc>
          <w:tcPr>
            <w:tcW w:w="1843" w:type="dxa"/>
            <w:gridSpan w:val="2"/>
          </w:tcPr>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100%</w:t>
            </w:r>
          </w:p>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[91.2;100]</w:t>
            </w:r>
          </w:p>
        </w:tc>
        <w:tc>
          <w:tcPr>
            <w:tcW w:w="1825" w:type="dxa"/>
          </w:tcPr>
          <w:p w:rsidR="00D24E0C" w:rsidRDefault="00D24E0C" w:rsidP="008221F6">
            <w:pPr>
              <w:tabs>
                <w:tab w:val="left" w:pos="567"/>
              </w:tabs>
              <w:jc w:val="center"/>
              <w:rPr>
                <w:rFonts w:ascii="Arial" w:hAnsi="Arial" w:cs="Arial"/>
                <w:sz w:val="22"/>
                <w:szCs w:val="22"/>
              </w:rPr>
            </w:pPr>
            <w:r>
              <w:rPr>
                <w:rFonts w:ascii="Arial" w:hAnsi="Arial" w:cs="Arial"/>
                <w:sz w:val="22"/>
                <w:szCs w:val="22"/>
              </w:rPr>
              <w:t>97.5%</w:t>
            </w:r>
          </w:p>
          <w:p w:rsidR="00D24E0C" w:rsidRPr="00EC55A3" w:rsidRDefault="00D24E0C" w:rsidP="008221F6">
            <w:pPr>
              <w:tabs>
                <w:tab w:val="left" w:pos="567"/>
              </w:tabs>
              <w:jc w:val="center"/>
              <w:rPr>
                <w:rFonts w:ascii="Arial" w:hAnsi="Arial" w:cs="Arial"/>
                <w:sz w:val="22"/>
                <w:szCs w:val="22"/>
              </w:rPr>
            </w:pPr>
            <w:r>
              <w:rPr>
                <w:rFonts w:ascii="Arial" w:hAnsi="Arial" w:cs="Arial"/>
                <w:sz w:val="22"/>
                <w:szCs w:val="22"/>
              </w:rPr>
              <w:t>[92.9;99.5]</w:t>
            </w:r>
          </w:p>
        </w:tc>
        <w:tc>
          <w:tcPr>
            <w:tcW w:w="1826" w:type="dxa"/>
          </w:tcPr>
          <w:p w:rsidR="00D24E0C" w:rsidRDefault="00D24E0C" w:rsidP="008221F6">
            <w:pPr>
              <w:tabs>
                <w:tab w:val="left" w:pos="567"/>
              </w:tabs>
              <w:jc w:val="center"/>
              <w:rPr>
                <w:rFonts w:ascii="Arial" w:hAnsi="Arial" w:cs="Arial"/>
                <w:sz w:val="22"/>
                <w:szCs w:val="22"/>
              </w:rPr>
            </w:pPr>
            <w:r>
              <w:rPr>
                <w:rFonts w:ascii="Arial" w:hAnsi="Arial" w:cs="Arial"/>
                <w:sz w:val="22"/>
                <w:szCs w:val="22"/>
              </w:rPr>
              <w:t>96.1%</w:t>
            </w:r>
          </w:p>
          <w:p w:rsidR="00D24E0C" w:rsidRPr="00EC55A3" w:rsidRDefault="00D24E0C" w:rsidP="008221F6">
            <w:pPr>
              <w:tabs>
                <w:tab w:val="left" w:pos="567"/>
              </w:tabs>
              <w:jc w:val="center"/>
              <w:rPr>
                <w:rFonts w:ascii="Arial" w:hAnsi="Arial" w:cs="Arial"/>
                <w:sz w:val="22"/>
                <w:szCs w:val="22"/>
              </w:rPr>
            </w:pPr>
            <w:r>
              <w:rPr>
                <w:rFonts w:ascii="Arial" w:hAnsi="Arial" w:cs="Arial"/>
                <w:sz w:val="22"/>
                <w:szCs w:val="22"/>
              </w:rPr>
              <w:t>[88.9;99.2]</w:t>
            </w:r>
          </w:p>
        </w:tc>
      </w:tr>
      <w:tr w:rsidR="00D24E0C" w:rsidRPr="00EC55A3" w:rsidTr="003A4B1A">
        <w:tc>
          <w:tcPr>
            <w:tcW w:w="2518" w:type="dxa"/>
          </w:tcPr>
          <w:p w:rsidR="00D24E0C" w:rsidRPr="00EC55A3" w:rsidRDefault="00D24E0C" w:rsidP="00EC55A3">
            <w:pPr>
              <w:tabs>
                <w:tab w:val="left" w:pos="567"/>
              </w:tabs>
              <w:spacing w:line="360" w:lineRule="atLeast"/>
              <w:jc w:val="both"/>
              <w:rPr>
                <w:rFonts w:ascii="Arial" w:hAnsi="Arial" w:cs="Arial"/>
                <w:sz w:val="22"/>
                <w:szCs w:val="22"/>
              </w:rPr>
            </w:pPr>
            <w:r w:rsidRPr="00EC55A3">
              <w:rPr>
                <w:rFonts w:ascii="Arial" w:hAnsi="Arial" w:cs="Arial"/>
                <w:sz w:val="22"/>
                <w:szCs w:val="22"/>
              </w:rPr>
              <w:t>Seroconversion rate</w:t>
            </w:r>
            <w:r w:rsidRPr="00EC55A3">
              <w:rPr>
                <w:rFonts w:ascii="Arial" w:hAnsi="Arial" w:cs="Arial"/>
                <w:sz w:val="22"/>
                <w:szCs w:val="22"/>
                <w:vertAlign w:val="superscript"/>
              </w:rPr>
              <w:t>2</w:t>
            </w:r>
          </w:p>
        </w:tc>
        <w:tc>
          <w:tcPr>
            <w:tcW w:w="1843" w:type="dxa"/>
          </w:tcPr>
          <w:p w:rsidR="00D24E0C" w:rsidRDefault="00D24E0C" w:rsidP="008221F6">
            <w:pPr>
              <w:tabs>
                <w:tab w:val="left" w:pos="567"/>
              </w:tabs>
              <w:jc w:val="center"/>
              <w:rPr>
                <w:rFonts w:ascii="Arial" w:hAnsi="Arial" w:cs="Arial"/>
                <w:sz w:val="22"/>
                <w:szCs w:val="22"/>
              </w:rPr>
            </w:pPr>
            <w:r w:rsidRPr="00EC55A3">
              <w:rPr>
                <w:rFonts w:ascii="Arial" w:hAnsi="Arial" w:cs="Arial"/>
                <w:sz w:val="22"/>
                <w:szCs w:val="22"/>
              </w:rPr>
              <w:t>96.7%</w:t>
            </w:r>
          </w:p>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[88.7;99.6]</w:t>
            </w:r>
          </w:p>
        </w:tc>
        <w:tc>
          <w:tcPr>
            <w:tcW w:w="1843" w:type="dxa"/>
            <w:gridSpan w:val="2"/>
          </w:tcPr>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100%</w:t>
            </w:r>
          </w:p>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[91.2;100]</w:t>
            </w:r>
          </w:p>
        </w:tc>
        <w:tc>
          <w:tcPr>
            <w:tcW w:w="1825" w:type="dxa"/>
          </w:tcPr>
          <w:p w:rsidR="00D24E0C" w:rsidRDefault="00D24E0C" w:rsidP="008221F6">
            <w:pPr>
              <w:tabs>
                <w:tab w:val="left" w:pos="567"/>
              </w:tabs>
              <w:jc w:val="center"/>
              <w:rPr>
                <w:rFonts w:ascii="Arial" w:hAnsi="Arial" w:cs="Arial"/>
                <w:sz w:val="22"/>
                <w:szCs w:val="22"/>
              </w:rPr>
            </w:pPr>
            <w:r>
              <w:rPr>
                <w:rFonts w:ascii="Arial" w:hAnsi="Arial" w:cs="Arial"/>
                <w:sz w:val="22"/>
                <w:szCs w:val="22"/>
              </w:rPr>
              <w:t>95.0%</w:t>
            </w:r>
          </w:p>
          <w:p w:rsidR="00D24E0C" w:rsidRPr="00EC55A3" w:rsidRDefault="00D24E0C" w:rsidP="008221F6">
            <w:pPr>
              <w:tabs>
                <w:tab w:val="left" w:pos="567"/>
              </w:tabs>
              <w:jc w:val="center"/>
              <w:rPr>
                <w:rFonts w:ascii="Arial" w:hAnsi="Arial" w:cs="Arial"/>
                <w:sz w:val="22"/>
                <w:szCs w:val="22"/>
              </w:rPr>
            </w:pPr>
            <w:r>
              <w:rPr>
                <w:rFonts w:ascii="Arial" w:hAnsi="Arial" w:cs="Arial"/>
                <w:sz w:val="22"/>
                <w:szCs w:val="22"/>
              </w:rPr>
              <w:t>[89.4;98.1]</w:t>
            </w:r>
          </w:p>
        </w:tc>
        <w:tc>
          <w:tcPr>
            <w:tcW w:w="1826" w:type="dxa"/>
          </w:tcPr>
          <w:p w:rsidR="00D24E0C" w:rsidRDefault="008221F6" w:rsidP="008221F6">
            <w:pPr>
              <w:tabs>
                <w:tab w:val="left" w:pos="567"/>
              </w:tabs>
              <w:jc w:val="center"/>
              <w:rPr>
                <w:rFonts w:ascii="Arial" w:hAnsi="Arial" w:cs="Arial"/>
                <w:sz w:val="22"/>
                <w:szCs w:val="22"/>
              </w:rPr>
            </w:pPr>
            <w:r>
              <w:rPr>
                <w:rFonts w:ascii="Arial" w:hAnsi="Arial" w:cs="Arial"/>
                <w:sz w:val="22"/>
                <w:szCs w:val="22"/>
              </w:rPr>
              <w:t>96.1%</w:t>
            </w:r>
          </w:p>
          <w:p w:rsidR="008221F6" w:rsidRPr="00EC55A3" w:rsidRDefault="008221F6" w:rsidP="008221F6">
            <w:pPr>
              <w:tabs>
                <w:tab w:val="left" w:pos="567"/>
              </w:tabs>
              <w:jc w:val="center"/>
              <w:rPr>
                <w:rFonts w:ascii="Arial" w:hAnsi="Arial" w:cs="Arial"/>
                <w:sz w:val="22"/>
                <w:szCs w:val="22"/>
              </w:rPr>
            </w:pPr>
            <w:r>
              <w:rPr>
                <w:rFonts w:ascii="Arial" w:hAnsi="Arial" w:cs="Arial"/>
                <w:sz w:val="22"/>
                <w:szCs w:val="22"/>
              </w:rPr>
              <w:t>[88.9;99.2]</w:t>
            </w:r>
          </w:p>
        </w:tc>
      </w:tr>
      <w:tr w:rsidR="00D24E0C" w:rsidRPr="00EC55A3" w:rsidTr="003A4B1A">
        <w:tc>
          <w:tcPr>
            <w:tcW w:w="2518" w:type="dxa"/>
          </w:tcPr>
          <w:p w:rsidR="00D24E0C" w:rsidRPr="00EC55A3" w:rsidRDefault="00D24E0C" w:rsidP="00EC55A3">
            <w:pPr>
              <w:tabs>
                <w:tab w:val="left" w:pos="567"/>
              </w:tabs>
              <w:spacing w:line="360" w:lineRule="atLeast"/>
              <w:jc w:val="both"/>
              <w:rPr>
                <w:rFonts w:ascii="Arial" w:hAnsi="Arial" w:cs="Arial"/>
                <w:sz w:val="22"/>
                <w:szCs w:val="22"/>
              </w:rPr>
            </w:pPr>
            <w:r w:rsidRPr="00EC55A3">
              <w:rPr>
                <w:rFonts w:ascii="Arial" w:hAnsi="Arial" w:cs="Arial"/>
                <w:sz w:val="22"/>
                <w:szCs w:val="22"/>
              </w:rPr>
              <w:t>Seroconversion factor</w:t>
            </w:r>
            <w:r w:rsidRPr="00EC55A3">
              <w:rPr>
                <w:rFonts w:ascii="Arial" w:hAnsi="Arial" w:cs="Arial"/>
                <w:sz w:val="22"/>
                <w:szCs w:val="22"/>
                <w:vertAlign w:val="superscript"/>
              </w:rPr>
              <w:t>3</w:t>
            </w:r>
          </w:p>
        </w:tc>
        <w:tc>
          <w:tcPr>
            <w:tcW w:w="1843" w:type="dxa"/>
          </w:tcPr>
          <w:p w:rsidR="00D24E0C" w:rsidRDefault="00D24E0C" w:rsidP="008221F6">
            <w:pPr>
              <w:tabs>
                <w:tab w:val="left" w:pos="567"/>
              </w:tabs>
              <w:jc w:val="center"/>
              <w:rPr>
                <w:rFonts w:ascii="Arial" w:hAnsi="Arial" w:cs="Arial"/>
                <w:sz w:val="22"/>
                <w:szCs w:val="22"/>
              </w:rPr>
            </w:pPr>
            <w:r w:rsidRPr="00EC55A3">
              <w:rPr>
                <w:rFonts w:ascii="Arial" w:hAnsi="Arial" w:cs="Arial"/>
                <w:sz w:val="22"/>
                <w:szCs w:val="22"/>
              </w:rPr>
              <w:t>43.3</w:t>
            </w:r>
          </w:p>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[31.8;59.0]</w:t>
            </w:r>
          </w:p>
        </w:tc>
        <w:tc>
          <w:tcPr>
            <w:tcW w:w="1843" w:type="dxa"/>
            <w:gridSpan w:val="2"/>
          </w:tcPr>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56.7</w:t>
            </w:r>
          </w:p>
          <w:p w:rsidR="00D24E0C" w:rsidRPr="00EC55A3" w:rsidRDefault="00D24E0C" w:rsidP="008221F6">
            <w:pPr>
              <w:tabs>
                <w:tab w:val="left" w:pos="567"/>
              </w:tabs>
              <w:jc w:val="center"/>
              <w:rPr>
                <w:rFonts w:ascii="Arial" w:hAnsi="Arial" w:cs="Arial"/>
                <w:sz w:val="22"/>
                <w:szCs w:val="22"/>
              </w:rPr>
            </w:pPr>
            <w:r w:rsidRPr="00EC55A3">
              <w:rPr>
                <w:rFonts w:ascii="Arial" w:hAnsi="Arial" w:cs="Arial"/>
                <w:sz w:val="22"/>
                <w:szCs w:val="22"/>
              </w:rPr>
              <w:t>[39.9;80.5]</w:t>
            </w:r>
          </w:p>
        </w:tc>
        <w:tc>
          <w:tcPr>
            <w:tcW w:w="1825" w:type="dxa"/>
          </w:tcPr>
          <w:p w:rsidR="00D24E0C" w:rsidRDefault="00D24E0C" w:rsidP="008221F6">
            <w:pPr>
              <w:tabs>
                <w:tab w:val="left" w:pos="567"/>
              </w:tabs>
              <w:jc w:val="center"/>
              <w:rPr>
                <w:rFonts w:ascii="Arial" w:hAnsi="Arial" w:cs="Arial"/>
                <w:sz w:val="22"/>
                <w:szCs w:val="22"/>
              </w:rPr>
            </w:pPr>
            <w:r>
              <w:rPr>
                <w:rFonts w:ascii="Arial" w:hAnsi="Arial" w:cs="Arial"/>
                <w:sz w:val="22"/>
                <w:szCs w:val="22"/>
              </w:rPr>
              <w:t>42.15</w:t>
            </w:r>
          </w:p>
          <w:p w:rsidR="00D24E0C" w:rsidRPr="00EC55A3" w:rsidRDefault="00D24E0C" w:rsidP="008221F6">
            <w:pPr>
              <w:tabs>
                <w:tab w:val="left" w:pos="567"/>
              </w:tabs>
              <w:jc w:val="center"/>
              <w:rPr>
                <w:rFonts w:ascii="Arial" w:hAnsi="Arial" w:cs="Arial"/>
                <w:sz w:val="22"/>
                <w:szCs w:val="22"/>
              </w:rPr>
            </w:pPr>
            <w:r>
              <w:rPr>
                <w:rFonts w:ascii="Arial" w:hAnsi="Arial" w:cs="Arial"/>
                <w:sz w:val="22"/>
                <w:szCs w:val="22"/>
              </w:rPr>
              <w:t>[33.43;53.16]</w:t>
            </w:r>
          </w:p>
        </w:tc>
        <w:tc>
          <w:tcPr>
            <w:tcW w:w="1826" w:type="dxa"/>
          </w:tcPr>
          <w:p w:rsidR="00D24E0C" w:rsidRDefault="008221F6" w:rsidP="008221F6">
            <w:pPr>
              <w:tabs>
                <w:tab w:val="left" w:pos="567"/>
              </w:tabs>
              <w:jc w:val="center"/>
              <w:rPr>
                <w:rFonts w:ascii="Arial" w:hAnsi="Arial" w:cs="Arial"/>
                <w:sz w:val="22"/>
                <w:szCs w:val="22"/>
              </w:rPr>
            </w:pPr>
            <w:r>
              <w:rPr>
                <w:rFonts w:ascii="Arial" w:hAnsi="Arial" w:cs="Arial"/>
                <w:sz w:val="22"/>
                <w:szCs w:val="22"/>
              </w:rPr>
              <w:t>50.73</w:t>
            </w:r>
          </w:p>
          <w:p w:rsidR="008221F6" w:rsidRPr="00EC55A3" w:rsidRDefault="008221F6" w:rsidP="008221F6">
            <w:pPr>
              <w:tabs>
                <w:tab w:val="left" w:pos="567"/>
              </w:tabs>
              <w:jc w:val="center"/>
              <w:rPr>
                <w:rFonts w:ascii="Arial" w:hAnsi="Arial" w:cs="Arial"/>
                <w:sz w:val="22"/>
                <w:szCs w:val="22"/>
              </w:rPr>
            </w:pPr>
            <w:r>
              <w:rPr>
                <w:rFonts w:ascii="Arial" w:hAnsi="Arial" w:cs="Arial"/>
                <w:sz w:val="22"/>
                <w:szCs w:val="22"/>
              </w:rPr>
              <w:t>[37.84;68.02]</w:t>
            </w:r>
          </w:p>
        </w:tc>
      </w:tr>
    </w:tbl>
    <w:p w:rsidR="00812C85" w:rsidRDefault="00936D4D" w:rsidP="00E74AFA">
      <w:pPr>
        <w:jc w:val="both"/>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seroprotection rate: proportion of subjects with haemagglutination inhibition (HI) titre </w:t>
      </w:r>
      <w:r w:rsidR="000E1D6B">
        <w:rPr>
          <w:rFonts w:ascii="Arial" w:hAnsi="Arial" w:cs="Arial"/>
          <w:sz w:val="18"/>
          <w:szCs w:val="18"/>
        </w:rPr>
        <w:sym w:font="Symbol" w:char="F0B3"/>
      </w:r>
      <w:r>
        <w:rPr>
          <w:rFonts w:ascii="Arial" w:hAnsi="Arial" w:cs="Arial"/>
          <w:sz w:val="18"/>
          <w:szCs w:val="18"/>
        </w:rPr>
        <w:t>1:40;</w:t>
      </w:r>
    </w:p>
    <w:p w:rsidR="00936D4D" w:rsidRDefault="00936D4D" w:rsidP="00E74AFA">
      <w:pPr>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seroconversion rate: proportion of subjects who are either seronegative at pre-vaccination and have a protective post-vaccination titre of </w:t>
      </w:r>
      <w:r w:rsidR="000E1D6B">
        <w:rPr>
          <w:rFonts w:ascii="Arial" w:hAnsi="Arial" w:cs="Arial"/>
          <w:sz w:val="18"/>
          <w:szCs w:val="18"/>
        </w:rPr>
        <w:sym w:font="Symbol" w:char="F0B3"/>
      </w:r>
      <w:r>
        <w:rPr>
          <w:rFonts w:ascii="Arial" w:hAnsi="Arial" w:cs="Arial"/>
          <w:sz w:val="18"/>
          <w:szCs w:val="18"/>
        </w:rPr>
        <w:t>1:40, or who were seropositive at pre-vaccination and have a 4-fold increase in titre;</w:t>
      </w:r>
    </w:p>
    <w:p w:rsidR="00936D4D" w:rsidRPr="00936D4D" w:rsidRDefault="00936D4D" w:rsidP="00E74AFA">
      <w:pPr>
        <w:jc w:val="both"/>
        <w:rPr>
          <w:rFonts w:ascii="Arial" w:hAnsi="Arial" w:cs="Arial"/>
          <w:sz w:val="18"/>
          <w:szCs w:val="18"/>
        </w:rPr>
      </w:pPr>
      <w:r>
        <w:rPr>
          <w:rFonts w:ascii="Arial" w:hAnsi="Arial" w:cs="Arial"/>
          <w:sz w:val="18"/>
          <w:szCs w:val="18"/>
          <w:vertAlign w:val="superscript"/>
        </w:rPr>
        <w:t>3</w:t>
      </w:r>
      <w:r>
        <w:rPr>
          <w:rFonts w:ascii="Arial" w:hAnsi="Arial" w:cs="Arial"/>
          <w:sz w:val="18"/>
          <w:szCs w:val="18"/>
        </w:rPr>
        <w:t>seroconversion factor: ratio of the post-vaccination geometric mean titre (GMT) and the pre-vaccination GMT</w:t>
      </w:r>
    </w:p>
    <w:p w:rsidR="00936D4D" w:rsidRDefault="00936D4D" w:rsidP="001F579B">
      <w:pPr>
        <w:spacing w:line="360" w:lineRule="atLeast"/>
        <w:jc w:val="both"/>
        <w:rPr>
          <w:rFonts w:ascii="Arial" w:hAnsi="Arial" w:cs="Arial"/>
          <w:sz w:val="22"/>
          <w:szCs w:val="22"/>
        </w:rPr>
      </w:pPr>
    </w:p>
    <w:p w:rsidR="008221F6" w:rsidRDefault="008221F6" w:rsidP="001F579B">
      <w:pPr>
        <w:spacing w:line="360" w:lineRule="atLeast"/>
        <w:jc w:val="both"/>
        <w:rPr>
          <w:rFonts w:ascii="Arial" w:hAnsi="Arial" w:cs="Arial"/>
          <w:b/>
          <w:i/>
          <w:sz w:val="22"/>
          <w:szCs w:val="22"/>
        </w:rPr>
      </w:pPr>
      <w:r>
        <w:rPr>
          <w:rFonts w:ascii="Arial" w:hAnsi="Arial" w:cs="Arial"/>
          <w:b/>
          <w:i/>
          <w:sz w:val="22"/>
          <w:szCs w:val="22"/>
        </w:rPr>
        <w:t>Elderly (&gt;60 years)</w:t>
      </w:r>
    </w:p>
    <w:p w:rsidR="008221F6" w:rsidRDefault="008221F6" w:rsidP="000E1D6B">
      <w:pPr>
        <w:spacing w:after="160" w:line="360" w:lineRule="atLeast"/>
        <w:jc w:val="both"/>
        <w:rPr>
          <w:rFonts w:ascii="Arial" w:hAnsi="Arial" w:cs="Arial"/>
          <w:sz w:val="22"/>
          <w:szCs w:val="22"/>
        </w:rPr>
      </w:pPr>
      <w:r>
        <w:rPr>
          <w:rFonts w:ascii="Arial" w:hAnsi="Arial" w:cs="Arial"/>
          <w:sz w:val="22"/>
          <w:szCs w:val="22"/>
        </w:rPr>
        <w:t xml:space="preserve">Study D-Pan H1N1-008 also evaluated the immunogenicity of AS03-adjuvanted vaccine containing 3.75 </w:t>
      </w:r>
      <w:r w:rsidR="000E1D6B">
        <w:rPr>
          <w:rFonts w:ascii="Arial" w:hAnsi="Arial" w:cs="Arial"/>
          <w:sz w:val="22"/>
          <w:szCs w:val="22"/>
        </w:rPr>
        <w:sym w:font="Symbol" w:char="F06D"/>
      </w:r>
      <w:r>
        <w:rPr>
          <w:rFonts w:ascii="Arial" w:hAnsi="Arial" w:cs="Arial"/>
          <w:sz w:val="22"/>
          <w:szCs w:val="22"/>
        </w:rPr>
        <w:t xml:space="preserve">g HA derived from A/California/7/2009 (H1N1)v-like in healthy subjects aged </w:t>
      </w:r>
      <w:r w:rsidR="008110F0">
        <w:rPr>
          <w:rFonts w:ascii="Arial" w:hAnsi="Arial" w:cs="Arial"/>
          <w:sz w:val="22"/>
          <w:szCs w:val="22"/>
        </w:rPr>
        <w:t xml:space="preserve">above </w:t>
      </w:r>
      <w:r>
        <w:rPr>
          <w:rFonts w:ascii="Arial" w:hAnsi="Arial" w:cs="Arial"/>
          <w:sz w:val="22"/>
          <w:szCs w:val="22"/>
        </w:rPr>
        <w:t>60 years</w:t>
      </w:r>
      <w:r w:rsidR="008110F0" w:rsidRPr="008110F0">
        <w:rPr>
          <w:rFonts w:ascii="Arial" w:hAnsi="Arial" w:cs="Arial"/>
          <w:sz w:val="22"/>
          <w:szCs w:val="22"/>
        </w:rPr>
        <w:t xml:space="preserve">. The mean age was 69.1 years. Pre-vaccination antibody reciprocal titres </w:t>
      </w:r>
      <w:r w:rsidR="000E1D6B">
        <w:rPr>
          <w:rFonts w:ascii="Arial" w:hAnsi="Arial" w:cs="Arial"/>
          <w:sz w:val="22"/>
          <w:szCs w:val="22"/>
        </w:rPr>
        <w:sym w:font="Symbol" w:char="F0B3"/>
      </w:r>
      <w:r w:rsidR="008110F0" w:rsidRPr="008110F0">
        <w:rPr>
          <w:rFonts w:ascii="Arial" w:hAnsi="Arial" w:cs="Arial"/>
          <w:sz w:val="22"/>
          <w:szCs w:val="22"/>
        </w:rPr>
        <w:t>1:10 were present in 42.5% of adults &gt; 60 years</w:t>
      </w:r>
      <w:r w:rsidR="008110F0" w:rsidDel="008110F0">
        <w:rPr>
          <w:rFonts w:ascii="Arial" w:hAnsi="Arial" w:cs="Arial"/>
          <w:sz w:val="22"/>
          <w:szCs w:val="22"/>
        </w:rPr>
        <w:t xml:space="preserve"> </w:t>
      </w:r>
      <w:r w:rsidR="008110F0">
        <w:rPr>
          <w:rFonts w:ascii="Arial" w:hAnsi="Arial" w:cs="Arial"/>
          <w:sz w:val="22"/>
          <w:szCs w:val="22"/>
        </w:rPr>
        <w:t>T</w:t>
      </w:r>
      <w:r>
        <w:rPr>
          <w:rFonts w:ascii="Arial" w:hAnsi="Arial" w:cs="Arial"/>
          <w:sz w:val="22"/>
          <w:szCs w:val="22"/>
        </w:rPr>
        <w:t>he anti-HA antibody responses 21 days after a first dose were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1162"/>
        <w:gridCol w:w="1465"/>
        <w:gridCol w:w="1162"/>
        <w:gridCol w:w="1465"/>
        <w:gridCol w:w="1162"/>
        <w:gridCol w:w="1395"/>
      </w:tblGrid>
      <w:tr w:rsidR="008221F6" w:rsidRPr="003A4B1A" w:rsidTr="003A4B1A">
        <w:tc>
          <w:tcPr>
            <w:tcW w:w="2044" w:type="dxa"/>
          </w:tcPr>
          <w:p w:rsidR="008221F6" w:rsidRPr="003A4B1A" w:rsidRDefault="008221F6" w:rsidP="003A4B1A">
            <w:pPr>
              <w:tabs>
                <w:tab w:val="left" w:pos="567"/>
              </w:tabs>
              <w:spacing w:line="360" w:lineRule="atLeast"/>
              <w:jc w:val="center"/>
              <w:rPr>
                <w:rFonts w:ascii="Arial" w:hAnsi="Arial" w:cs="Arial"/>
                <w:sz w:val="22"/>
                <w:szCs w:val="22"/>
              </w:rPr>
            </w:pPr>
            <w:r w:rsidRPr="003A4B1A">
              <w:rPr>
                <w:rFonts w:ascii="Arial" w:hAnsi="Arial" w:cs="Arial"/>
                <w:b/>
                <w:sz w:val="22"/>
                <w:szCs w:val="22"/>
              </w:rPr>
              <w:t>anti-HA antibody</w:t>
            </w:r>
          </w:p>
        </w:tc>
        <w:tc>
          <w:tcPr>
            <w:tcW w:w="7811" w:type="dxa"/>
            <w:gridSpan w:val="6"/>
          </w:tcPr>
          <w:p w:rsidR="008221F6" w:rsidRPr="003A4B1A" w:rsidRDefault="008221F6" w:rsidP="003A4B1A">
            <w:pPr>
              <w:tabs>
                <w:tab w:val="left" w:pos="567"/>
              </w:tabs>
              <w:spacing w:line="360" w:lineRule="atLeast"/>
              <w:jc w:val="center"/>
              <w:rPr>
                <w:rFonts w:ascii="Arial" w:hAnsi="Arial" w:cs="Arial"/>
                <w:sz w:val="22"/>
                <w:szCs w:val="22"/>
              </w:rPr>
            </w:pPr>
            <w:r w:rsidRPr="003A4B1A">
              <w:rPr>
                <w:rFonts w:ascii="Arial" w:hAnsi="Arial" w:cs="Arial"/>
                <w:b/>
                <w:sz w:val="22"/>
                <w:szCs w:val="22"/>
              </w:rPr>
              <w:t xml:space="preserve">Immune response to </w:t>
            </w:r>
            <w:r w:rsidRPr="003A4B1A">
              <w:rPr>
                <w:rFonts w:ascii="Arial" w:hAnsi="Arial"/>
                <w:b/>
                <w:sz w:val="22"/>
                <w:szCs w:val="22"/>
              </w:rPr>
              <w:t>A/California/7/2009 (H1N1)v-like strain</w:t>
            </w:r>
          </w:p>
        </w:tc>
      </w:tr>
      <w:tr w:rsidR="00225CEE" w:rsidRPr="003A4B1A" w:rsidTr="003A4B1A">
        <w:tc>
          <w:tcPr>
            <w:tcW w:w="2044" w:type="dxa"/>
          </w:tcPr>
          <w:p w:rsidR="008221F6" w:rsidRPr="003A4B1A" w:rsidRDefault="008221F6" w:rsidP="003A4B1A">
            <w:pPr>
              <w:tabs>
                <w:tab w:val="left" w:pos="567"/>
              </w:tabs>
              <w:spacing w:line="360" w:lineRule="atLeast"/>
              <w:jc w:val="both"/>
              <w:rPr>
                <w:rFonts w:ascii="Arial" w:hAnsi="Arial" w:cs="Arial"/>
                <w:sz w:val="22"/>
                <w:szCs w:val="22"/>
              </w:rPr>
            </w:pPr>
          </w:p>
        </w:tc>
        <w:tc>
          <w:tcPr>
            <w:tcW w:w="2627" w:type="dxa"/>
            <w:gridSpan w:val="2"/>
          </w:tcPr>
          <w:p w:rsidR="008221F6" w:rsidRPr="003A4B1A" w:rsidRDefault="008221F6" w:rsidP="003A4B1A">
            <w:pPr>
              <w:tabs>
                <w:tab w:val="left" w:pos="567"/>
              </w:tabs>
              <w:spacing w:line="360" w:lineRule="atLeast"/>
              <w:jc w:val="center"/>
              <w:rPr>
                <w:rFonts w:ascii="Arial" w:hAnsi="Arial" w:cs="Arial"/>
                <w:sz w:val="22"/>
                <w:szCs w:val="22"/>
              </w:rPr>
            </w:pPr>
            <w:r w:rsidRPr="003A4B1A">
              <w:rPr>
                <w:rFonts w:ascii="Arial" w:hAnsi="Arial" w:cs="Arial"/>
                <w:sz w:val="22"/>
                <w:szCs w:val="22"/>
              </w:rPr>
              <w:t>61 -70 years</w:t>
            </w:r>
          </w:p>
        </w:tc>
        <w:tc>
          <w:tcPr>
            <w:tcW w:w="2627" w:type="dxa"/>
            <w:gridSpan w:val="2"/>
          </w:tcPr>
          <w:p w:rsidR="008221F6" w:rsidRPr="003A4B1A" w:rsidRDefault="008221F6" w:rsidP="003A4B1A">
            <w:pPr>
              <w:tabs>
                <w:tab w:val="left" w:pos="567"/>
              </w:tabs>
              <w:spacing w:line="360" w:lineRule="atLeast"/>
              <w:jc w:val="center"/>
              <w:rPr>
                <w:rFonts w:ascii="Arial" w:hAnsi="Arial" w:cs="Arial"/>
                <w:sz w:val="22"/>
                <w:szCs w:val="22"/>
              </w:rPr>
            </w:pPr>
            <w:r w:rsidRPr="003A4B1A">
              <w:rPr>
                <w:rFonts w:ascii="Arial" w:hAnsi="Arial" w:cs="Arial"/>
                <w:sz w:val="22"/>
                <w:szCs w:val="22"/>
              </w:rPr>
              <w:t>71 – 80 years</w:t>
            </w:r>
          </w:p>
        </w:tc>
        <w:tc>
          <w:tcPr>
            <w:tcW w:w="2557" w:type="dxa"/>
            <w:gridSpan w:val="2"/>
          </w:tcPr>
          <w:p w:rsidR="008221F6" w:rsidRPr="003A4B1A" w:rsidRDefault="008221F6" w:rsidP="003A4B1A">
            <w:pPr>
              <w:tabs>
                <w:tab w:val="left" w:pos="567"/>
              </w:tabs>
              <w:spacing w:line="360" w:lineRule="atLeast"/>
              <w:jc w:val="center"/>
              <w:rPr>
                <w:rFonts w:ascii="Arial" w:hAnsi="Arial" w:cs="Arial"/>
                <w:sz w:val="22"/>
                <w:szCs w:val="22"/>
              </w:rPr>
            </w:pPr>
            <w:r w:rsidRPr="003A4B1A">
              <w:rPr>
                <w:rFonts w:ascii="Arial" w:hAnsi="Arial" w:cs="Arial"/>
                <w:sz w:val="22"/>
                <w:szCs w:val="22"/>
              </w:rPr>
              <w:t>&gt;80 years</w:t>
            </w:r>
          </w:p>
        </w:tc>
      </w:tr>
      <w:tr w:rsidR="00225CEE" w:rsidRPr="003A4B1A" w:rsidTr="003A4B1A">
        <w:tc>
          <w:tcPr>
            <w:tcW w:w="2044" w:type="dxa"/>
          </w:tcPr>
          <w:p w:rsidR="008221F6" w:rsidRPr="003A4B1A" w:rsidRDefault="008221F6" w:rsidP="003A4B1A">
            <w:pPr>
              <w:tabs>
                <w:tab w:val="left" w:pos="567"/>
              </w:tabs>
              <w:spacing w:line="360" w:lineRule="atLeast"/>
              <w:jc w:val="center"/>
              <w:rPr>
                <w:rFonts w:ascii="Arial" w:hAnsi="Arial" w:cs="Arial"/>
                <w:sz w:val="22"/>
                <w:szCs w:val="22"/>
              </w:rPr>
            </w:pPr>
          </w:p>
        </w:tc>
        <w:tc>
          <w:tcPr>
            <w:tcW w:w="1162" w:type="dxa"/>
          </w:tcPr>
          <w:p w:rsidR="008221F6" w:rsidRPr="003A4B1A" w:rsidRDefault="008221F6" w:rsidP="003A4B1A">
            <w:pPr>
              <w:tabs>
                <w:tab w:val="left" w:pos="567"/>
              </w:tabs>
              <w:jc w:val="center"/>
              <w:rPr>
                <w:rFonts w:ascii="Arial" w:hAnsi="Arial" w:cs="Arial"/>
              </w:rPr>
            </w:pPr>
            <w:r w:rsidRPr="003A4B1A">
              <w:rPr>
                <w:rFonts w:ascii="Arial" w:hAnsi="Arial" w:cs="Arial"/>
              </w:rPr>
              <w:t>Total enrolled subjects</w:t>
            </w:r>
          </w:p>
          <w:p w:rsidR="008221F6" w:rsidRPr="003A4B1A" w:rsidRDefault="008221F6" w:rsidP="003A4B1A">
            <w:pPr>
              <w:tabs>
                <w:tab w:val="left" w:pos="567"/>
              </w:tabs>
              <w:jc w:val="center"/>
              <w:rPr>
                <w:rFonts w:ascii="Arial" w:hAnsi="Arial" w:cs="Arial"/>
              </w:rPr>
            </w:pPr>
            <w:r w:rsidRPr="003A4B1A">
              <w:rPr>
                <w:rFonts w:ascii="Arial" w:hAnsi="Arial" w:cs="Arial"/>
              </w:rPr>
              <w:t xml:space="preserve">N = </w:t>
            </w:r>
            <w:r w:rsidR="00225CEE" w:rsidRPr="003A4B1A">
              <w:rPr>
                <w:rFonts w:ascii="Arial" w:hAnsi="Arial" w:cs="Arial"/>
              </w:rPr>
              <w:t>75</w:t>
            </w:r>
          </w:p>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[95% CI]</w:t>
            </w:r>
          </w:p>
        </w:tc>
        <w:tc>
          <w:tcPr>
            <w:tcW w:w="1465" w:type="dxa"/>
          </w:tcPr>
          <w:p w:rsidR="008221F6" w:rsidRPr="003A4B1A" w:rsidRDefault="008221F6" w:rsidP="003A4B1A">
            <w:pPr>
              <w:tabs>
                <w:tab w:val="left" w:pos="567"/>
              </w:tabs>
              <w:jc w:val="center"/>
              <w:rPr>
                <w:rFonts w:ascii="Arial" w:hAnsi="Arial" w:cs="Arial"/>
              </w:rPr>
            </w:pPr>
            <w:r w:rsidRPr="003A4B1A">
              <w:rPr>
                <w:rFonts w:ascii="Arial" w:hAnsi="Arial" w:cs="Arial"/>
              </w:rPr>
              <w:t>Seronegative subjects prior to vaccination</w:t>
            </w:r>
          </w:p>
          <w:p w:rsidR="008221F6" w:rsidRPr="003A4B1A" w:rsidRDefault="00225CEE" w:rsidP="003A4B1A">
            <w:pPr>
              <w:tabs>
                <w:tab w:val="left" w:pos="567"/>
              </w:tabs>
              <w:jc w:val="center"/>
              <w:rPr>
                <w:rFonts w:ascii="Arial" w:hAnsi="Arial" w:cs="Arial"/>
              </w:rPr>
            </w:pPr>
            <w:r w:rsidRPr="003A4B1A">
              <w:rPr>
                <w:rFonts w:ascii="Arial" w:hAnsi="Arial" w:cs="Arial"/>
              </w:rPr>
              <w:t>N = 43</w:t>
            </w:r>
          </w:p>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[95% CI]</w:t>
            </w:r>
          </w:p>
        </w:tc>
        <w:tc>
          <w:tcPr>
            <w:tcW w:w="1162" w:type="dxa"/>
          </w:tcPr>
          <w:p w:rsidR="008221F6" w:rsidRPr="003A4B1A" w:rsidRDefault="008221F6" w:rsidP="003A4B1A">
            <w:pPr>
              <w:tabs>
                <w:tab w:val="left" w:pos="567"/>
              </w:tabs>
              <w:jc w:val="center"/>
              <w:rPr>
                <w:rFonts w:ascii="Arial" w:hAnsi="Arial" w:cs="Arial"/>
              </w:rPr>
            </w:pPr>
            <w:r w:rsidRPr="003A4B1A">
              <w:rPr>
                <w:rFonts w:ascii="Arial" w:hAnsi="Arial" w:cs="Arial"/>
              </w:rPr>
              <w:t>Total enrolled subjects</w:t>
            </w:r>
          </w:p>
          <w:p w:rsidR="008221F6" w:rsidRPr="003A4B1A" w:rsidRDefault="008221F6" w:rsidP="003A4B1A">
            <w:pPr>
              <w:tabs>
                <w:tab w:val="left" w:pos="567"/>
              </w:tabs>
              <w:jc w:val="center"/>
              <w:rPr>
                <w:rFonts w:ascii="Arial" w:hAnsi="Arial" w:cs="Arial"/>
              </w:rPr>
            </w:pPr>
            <w:r w:rsidRPr="003A4B1A">
              <w:rPr>
                <w:rFonts w:ascii="Arial" w:hAnsi="Arial" w:cs="Arial"/>
              </w:rPr>
              <w:t xml:space="preserve">N = </w:t>
            </w:r>
            <w:r w:rsidR="00225CEE" w:rsidRPr="003A4B1A">
              <w:rPr>
                <w:rFonts w:ascii="Arial" w:hAnsi="Arial" w:cs="Arial"/>
              </w:rPr>
              <w:t>40</w:t>
            </w:r>
          </w:p>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[95% CI]</w:t>
            </w:r>
          </w:p>
        </w:tc>
        <w:tc>
          <w:tcPr>
            <w:tcW w:w="1465" w:type="dxa"/>
          </w:tcPr>
          <w:p w:rsidR="008221F6" w:rsidRPr="003A4B1A" w:rsidRDefault="008221F6" w:rsidP="003A4B1A">
            <w:pPr>
              <w:tabs>
                <w:tab w:val="left" w:pos="567"/>
              </w:tabs>
              <w:jc w:val="center"/>
              <w:rPr>
                <w:rFonts w:ascii="Arial" w:hAnsi="Arial" w:cs="Arial"/>
              </w:rPr>
            </w:pPr>
            <w:r w:rsidRPr="003A4B1A">
              <w:rPr>
                <w:rFonts w:ascii="Arial" w:hAnsi="Arial" w:cs="Arial"/>
              </w:rPr>
              <w:t>Seronegative subjects prior to vaccination</w:t>
            </w:r>
          </w:p>
          <w:p w:rsidR="008221F6" w:rsidRPr="003A4B1A" w:rsidRDefault="008221F6" w:rsidP="003A4B1A">
            <w:pPr>
              <w:tabs>
                <w:tab w:val="left" w:pos="567"/>
              </w:tabs>
              <w:jc w:val="center"/>
              <w:rPr>
                <w:rFonts w:ascii="Arial" w:hAnsi="Arial" w:cs="Arial"/>
              </w:rPr>
            </w:pPr>
            <w:r w:rsidRPr="003A4B1A">
              <w:rPr>
                <w:rFonts w:ascii="Arial" w:hAnsi="Arial" w:cs="Arial"/>
              </w:rPr>
              <w:t xml:space="preserve">N = </w:t>
            </w:r>
            <w:r w:rsidR="00225CEE" w:rsidRPr="003A4B1A">
              <w:rPr>
                <w:rFonts w:ascii="Arial" w:hAnsi="Arial" w:cs="Arial"/>
              </w:rPr>
              <w:t>23</w:t>
            </w:r>
          </w:p>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[95% CI]</w:t>
            </w:r>
          </w:p>
        </w:tc>
        <w:tc>
          <w:tcPr>
            <w:tcW w:w="1162" w:type="dxa"/>
          </w:tcPr>
          <w:p w:rsidR="008221F6" w:rsidRPr="003A4B1A" w:rsidRDefault="008221F6" w:rsidP="003A4B1A">
            <w:pPr>
              <w:tabs>
                <w:tab w:val="left" w:pos="567"/>
              </w:tabs>
              <w:jc w:val="center"/>
              <w:rPr>
                <w:rFonts w:ascii="Arial" w:hAnsi="Arial" w:cs="Arial"/>
              </w:rPr>
            </w:pPr>
            <w:r w:rsidRPr="003A4B1A">
              <w:rPr>
                <w:rFonts w:ascii="Arial" w:hAnsi="Arial" w:cs="Arial"/>
              </w:rPr>
              <w:t>Total enrolled subjects</w:t>
            </w:r>
          </w:p>
          <w:p w:rsidR="008221F6" w:rsidRPr="003A4B1A" w:rsidRDefault="008221F6" w:rsidP="003A4B1A">
            <w:pPr>
              <w:tabs>
                <w:tab w:val="left" w:pos="567"/>
              </w:tabs>
              <w:jc w:val="center"/>
              <w:rPr>
                <w:rFonts w:ascii="Arial" w:hAnsi="Arial" w:cs="Arial"/>
              </w:rPr>
            </w:pPr>
            <w:r w:rsidRPr="003A4B1A">
              <w:rPr>
                <w:rFonts w:ascii="Arial" w:hAnsi="Arial" w:cs="Arial"/>
              </w:rPr>
              <w:t xml:space="preserve">N = </w:t>
            </w:r>
            <w:r w:rsidR="00225CEE" w:rsidRPr="003A4B1A">
              <w:rPr>
                <w:rFonts w:ascii="Arial" w:hAnsi="Arial" w:cs="Arial"/>
              </w:rPr>
              <w:t>5</w:t>
            </w:r>
          </w:p>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[95% CI]</w:t>
            </w:r>
          </w:p>
        </w:tc>
        <w:tc>
          <w:tcPr>
            <w:tcW w:w="1395" w:type="dxa"/>
          </w:tcPr>
          <w:p w:rsidR="008221F6" w:rsidRPr="003A4B1A" w:rsidRDefault="008221F6" w:rsidP="003A4B1A">
            <w:pPr>
              <w:tabs>
                <w:tab w:val="left" w:pos="567"/>
              </w:tabs>
              <w:jc w:val="center"/>
              <w:rPr>
                <w:rFonts w:ascii="Arial" w:hAnsi="Arial" w:cs="Arial"/>
              </w:rPr>
            </w:pPr>
            <w:r w:rsidRPr="003A4B1A">
              <w:rPr>
                <w:rFonts w:ascii="Arial" w:hAnsi="Arial" w:cs="Arial"/>
              </w:rPr>
              <w:t>Seronegative subjects prior to vaccination</w:t>
            </w:r>
          </w:p>
          <w:p w:rsidR="008221F6" w:rsidRPr="003A4B1A" w:rsidRDefault="008221F6" w:rsidP="003A4B1A">
            <w:pPr>
              <w:tabs>
                <w:tab w:val="left" w:pos="567"/>
              </w:tabs>
              <w:jc w:val="center"/>
              <w:rPr>
                <w:rFonts w:ascii="Arial" w:hAnsi="Arial" w:cs="Arial"/>
              </w:rPr>
            </w:pPr>
            <w:r w:rsidRPr="003A4B1A">
              <w:rPr>
                <w:rFonts w:ascii="Arial" w:hAnsi="Arial" w:cs="Arial"/>
              </w:rPr>
              <w:t xml:space="preserve">N = </w:t>
            </w:r>
            <w:r w:rsidR="00225CEE" w:rsidRPr="003A4B1A">
              <w:rPr>
                <w:rFonts w:ascii="Arial" w:hAnsi="Arial" w:cs="Arial"/>
              </w:rPr>
              <w:t>3</w:t>
            </w:r>
          </w:p>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[95% CI]</w:t>
            </w:r>
          </w:p>
        </w:tc>
      </w:tr>
      <w:tr w:rsidR="00225CEE" w:rsidRPr="003A4B1A" w:rsidTr="003A4B1A">
        <w:tc>
          <w:tcPr>
            <w:tcW w:w="2044" w:type="dxa"/>
          </w:tcPr>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Seroprotection rate</w:t>
            </w:r>
            <w:r w:rsidRPr="003A4B1A">
              <w:rPr>
                <w:rFonts w:ascii="Arial" w:hAnsi="Arial" w:cs="Arial"/>
                <w:vertAlign w:val="superscript"/>
              </w:rPr>
              <w:t>1</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88.0%</w:t>
            </w:r>
          </w:p>
          <w:p w:rsidR="00225CEE" w:rsidRPr="003A4B1A" w:rsidRDefault="00225CEE" w:rsidP="003A4B1A">
            <w:pPr>
              <w:tabs>
                <w:tab w:val="left" w:pos="567"/>
              </w:tabs>
              <w:jc w:val="center"/>
              <w:rPr>
                <w:rFonts w:ascii="Arial" w:hAnsi="Arial" w:cs="Arial"/>
              </w:rPr>
            </w:pPr>
            <w:r w:rsidRPr="003A4B1A">
              <w:rPr>
                <w:rFonts w:ascii="Arial" w:hAnsi="Arial" w:cs="Arial"/>
              </w:rPr>
              <w:t>[78.4;94.4]</w:t>
            </w:r>
          </w:p>
        </w:tc>
        <w:tc>
          <w:tcPr>
            <w:tcW w:w="1465" w:type="dxa"/>
          </w:tcPr>
          <w:p w:rsidR="008221F6" w:rsidRPr="003A4B1A" w:rsidRDefault="00225CEE" w:rsidP="003A4B1A">
            <w:pPr>
              <w:tabs>
                <w:tab w:val="left" w:pos="567"/>
              </w:tabs>
              <w:jc w:val="center"/>
              <w:rPr>
                <w:rFonts w:ascii="Arial" w:hAnsi="Arial" w:cs="Arial"/>
              </w:rPr>
            </w:pPr>
            <w:r w:rsidRPr="003A4B1A">
              <w:rPr>
                <w:rFonts w:ascii="Arial" w:hAnsi="Arial" w:cs="Arial"/>
              </w:rPr>
              <w:t>81.4%</w:t>
            </w:r>
          </w:p>
          <w:p w:rsidR="00225CEE" w:rsidRPr="003A4B1A" w:rsidRDefault="00225CEE" w:rsidP="003A4B1A">
            <w:pPr>
              <w:tabs>
                <w:tab w:val="left" w:pos="567"/>
              </w:tabs>
              <w:jc w:val="center"/>
              <w:rPr>
                <w:rFonts w:ascii="Arial" w:hAnsi="Arial" w:cs="Arial"/>
              </w:rPr>
            </w:pPr>
            <w:r w:rsidRPr="003A4B1A">
              <w:rPr>
                <w:rFonts w:ascii="Arial" w:hAnsi="Arial" w:cs="Arial"/>
              </w:rPr>
              <w:t>[66.6;91.6]</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87.5%</w:t>
            </w:r>
          </w:p>
          <w:p w:rsidR="00225CEE" w:rsidRPr="003A4B1A" w:rsidRDefault="00225CEE" w:rsidP="003A4B1A">
            <w:pPr>
              <w:tabs>
                <w:tab w:val="left" w:pos="567"/>
              </w:tabs>
              <w:jc w:val="center"/>
              <w:rPr>
                <w:rFonts w:ascii="Arial" w:hAnsi="Arial" w:cs="Arial"/>
              </w:rPr>
            </w:pPr>
            <w:r w:rsidRPr="003A4B1A">
              <w:rPr>
                <w:rFonts w:ascii="Arial" w:hAnsi="Arial" w:cs="Arial"/>
              </w:rPr>
              <w:t>[73.2;95.8]</w:t>
            </w:r>
          </w:p>
        </w:tc>
        <w:tc>
          <w:tcPr>
            <w:tcW w:w="1465" w:type="dxa"/>
          </w:tcPr>
          <w:p w:rsidR="008221F6" w:rsidRPr="003A4B1A" w:rsidRDefault="00225CEE" w:rsidP="003A4B1A">
            <w:pPr>
              <w:tabs>
                <w:tab w:val="left" w:pos="567"/>
              </w:tabs>
              <w:jc w:val="center"/>
              <w:rPr>
                <w:rFonts w:ascii="Arial" w:hAnsi="Arial" w:cs="Arial"/>
              </w:rPr>
            </w:pPr>
            <w:r w:rsidRPr="003A4B1A">
              <w:rPr>
                <w:rFonts w:ascii="Arial" w:hAnsi="Arial" w:cs="Arial"/>
              </w:rPr>
              <w:t>82.6%</w:t>
            </w:r>
          </w:p>
          <w:p w:rsidR="00225CEE" w:rsidRPr="003A4B1A" w:rsidRDefault="00225CEE" w:rsidP="003A4B1A">
            <w:pPr>
              <w:tabs>
                <w:tab w:val="left" w:pos="567"/>
              </w:tabs>
              <w:jc w:val="center"/>
              <w:rPr>
                <w:rFonts w:ascii="Arial" w:hAnsi="Arial" w:cs="Arial"/>
              </w:rPr>
            </w:pPr>
            <w:r w:rsidRPr="003A4B1A">
              <w:rPr>
                <w:rFonts w:ascii="Arial" w:hAnsi="Arial" w:cs="Arial"/>
              </w:rPr>
              <w:t>[61.2;95.0]</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80.0%</w:t>
            </w:r>
          </w:p>
          <w:p w:rsidR="00225CEE" w:rsidRPr="003A4B1A" w:rsidRDefault="00225CEE" w:rsidP="003A4B1A">
            <w:pPr>
              <w:tabs>
                <w:tab w:val="left" w:pos="567"/>
              </w:tabs>
              <w:jc w:val="center"/>
              <w:rPr>
                <w:rFonts w:ascii="Arial" w:hAnsi="Arial" w:cs="Arial"/>
              </w:rPr>
            </w:pPr>
            <w:r w:rsidRPr="003A4B1A">
              <w:rPr>
                <w:rFonts w:ascii="Arial" w:hAnsi="Arial" w:cs="Arial"/>
              </w:rPr>
              <w:t>[28.4;99.5]</w:t>
            </w:r>
          </w:p>
        </w:tc>
        <w:tc>
          <w:tcPr>
            <w:tcW w:w="1395" w:type="dxa"/>
          </w:tcPr>
          <w:p w:rsidR="008221F6" w:rsidRPr="003A4B1A" w:rsidRDefault="00225CEE" w:rsidP="003A4B1A">
            <w:pPr>
              <w:tabs>
                <w:tab w:val="left" w:pos="567"/>
              </w:tabs>
              <w:jc w:val="center"/>
              <w:rPr>
                <w:rFonts w:ascii="Arial" w:hAnsi="Arial" w:cs="Arial"/>
              </w:rPr>
            </w:pPr>
            <w:r w:rsidRPr="003A4B1A">
              <w:rPr>
                <w:rFonts w:ascii="Arial" w:hAnsi="Arial" w:cs="Arial"/>
              </w:rPr>
              <w:t>66.7%</w:t>
            </w:r>
          </w:p>
          <w:p w:rsidR="00225CEE" w:rsidRPr="003A4B1A" w:rsidRDefault="00225CEE" w:rsidP="003A4B1A">
            <w:pPr>
              <w:tabs>
                <w:tab w:val="left" w:pos="567"/>
              </w:tabs>
              <w:jc w:val="center"/>
              <w:rPr>
                <w:rFonts w:ascii="Arial" w:hAnsi="Arial" w:cs="Arial"/>
              </w:rPr>
            </w:pPr>
            <w:r w:rsidRPr="003A4B1A">
              <w:rPr>
                <w:rFonts w:ascii="Arial" w:hAnsi="Arial" w:cs="Arial"/>
              </w:rPr>
              <w:t>[9.4;99.2]</w:t>
            </w:r>
          </w:p>
        </w:tc>
      </w:tr>
      <w:tr w:rsidR="00225CEE" w:rsidRPr="003A4B1A" w:rsidTr="003A4B1A">
        <w:tc>
          <w:tcPr>
            <w:tcW w:w="2044" w:type="dxa"/>
          </w:tcPr>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Seroconversion rate</w:t>
            </w:r>
            <w:r w:rsidRPr="003A4B1A">
              <w:rPr>
                <w:rFonts w:ascii="Arial" w:hAnsi="Arial" w:cs="Arial"/>
                <w:vertAlign w:val="superscript"/>
              </w:rPr>
              <w:t>2</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80.0%</w:t>
            </w:r>
          </w:p>
          <w:p w:rsidR="00225CEE" w:rsidRPr="003A4B1A" w:rsidRDefault="00225CEE" w:rsidP="003A4B1A">
            <w:pPr>
              <w:tabs>
                <w:tab w:val="left" w:pos="567"/>
              </w:tabs>
              <w:jc w:val="center"/>
              <w:rPr>
                <w:rFonts w:ascii="Arial" w:hAnsi="Arial" w:cs="Arial"/>
              </w:rPr>
            </w:pPr>
            <w:r w:rsidRPr="003A4B1A">
              <w:rPr>
                <w:rFonts w:ascii="Arial" w:hAnsi="Arial" w:cs="Arial"/>
              </w:rPr>
              <w:t>[69.2;88.4]</w:t>
            </w:r>
          </w:p>
        </w:tc>
        <w:tc>
          <w:tcPr>
            <w:tcW w:w="1465" w:type="dxa"/>
          </w:tcPr>
          <w:p w:rsidR="008221F6" w:rsidRPr="003A4B1A" w:rsidRDefault="00225CEE" w:rsidP="003A4B1A">
            <w:pPr>
              <w:tabs>
                <w:tab w:val="left" w:pos="567"/>
              </w:tabs>
              <w:jc w:val="center"/>
              <w:rPr>
                <w:rFonts w:ascii="Arial" w:hAnsi="Arial" w:cs="Arial"/>
              </w:rPr>
            </w:pPr>
            <w:r w:rsidRPr="003A4B1A">
              <w:rPr>
                <w:rFonts w:ascii="Arial" w:hAnsi="Arial" w:cs="Arial"/>
              </w:rPr>
              <w:t>81.4%</w:t>
            </w:r>
          </w:p>
          <w:p w:rsidR="00225CEE" w:rsidRPr="003A4B1A" w:rsidRDefault="00225CEE" w:rsidP="003A4B1A">
            <w:pPr>
              <w:tabs>
                <w:tab w:val="left" w:pos="567"/>
              </w:tabs>
              <w:jc w:val="center"/>
              <w:rPr>
                <w:rFonts w:ascii="Arial" w:hAnsi="Arial" w:cs="Arial"/>
              </w:rPr>
            </w:pPr>
            <w:r w:rsidRPr="003A4B1A">
              <w:rPr>
                <w:rFonts w:ascii="Arial" w:hAnsi="Arial" w:cs="Arial"/>
              </w:rPr>
              <w:t>[66.6;91.6]</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77.5%</w:t>
            </w:r>
          </w:p>
          <w:p w:rsidR="00225CEE" w:rsidRPr="003A4B1A" w:rsidRDefault="00225CEE" w:rsidP="003A4B1A">
            <w:pPr>
              <w:tabs>
                <w:tab w:val="left" w:pos="567"/>
              </w:tabs>
              <w:jc w:val="center"/>
              <w:rPr>
                <w:rFonts w:ascii="Arial" w:hAnsi="Arial" w:cs="Arial"/>
              </w:rPr>
            </w:pPr>
            <w:r w:rsidRPr="003A4B1A">
              <w:rPr>
                <w:rFonts w:ascii="Arial" w:hAnsi="Arial" w:cs="Arial"/>
              </w:rPr>
              <w:t>[61.5;89.2]</w:t>
            </w:r>
          </w:p>
        </w:tc>
        <w:tc>
          <w:tcPr>
            <w:tcW w:w="1465" w:type="dxa"/>
          </w:tcPr>
          <w:p w:rsidR="008221F6" w:rsidRPr="003A4B1A" w:rsidRDefault="00225CEE" w:rsidP="003A4B1A">
            <w:pPr>
              <w:tabs>
                <w:tab w:val="left" w:pos="567"/>
              </w:tabs>
              <w:jc w:val="center"/>
              <w:rPr>
                <w:rFonts w:ascii="Arial" w:hAnsi="Arial" w:cs="Arial"/>
              </w:rPr>
            </w:pPr>
            <w:r w:rsidRPr="003A4B1A">
              <w:rPr>
                <w:rFonts w:ascii="Arial" w:hAnsi="Arial" w:cs="Arial"/>
              </w:rPr>
              <w:t>82.6%</w:t>
            </w:r>
          </w:p>
          <w:p w:rsidR="00225CEE" w:rsidRPr="003A4B1A" w:rsidRDefault="00225CEE" w:rsidP="003A4B1A">
            <w:pPr>
              <w:tabs>
                <w:tab w:val="left" w:pos="567"/>
              </w:tabs>
              <w:jc w:val="center"/>
              <w:rPr>
                <w:rFonts w:ascii="Arial" w:hAnsi="Arial" w:cs="Arial"/>
              </w:rPr>
            </w:pPr>
            <w:r w:rsidRPr="003A4B1A">
              <w:rPr>
                <w:rFonts w:ascii="Arial" w:hAnsi="Arial" w:cs="Arial"/>
              </w:rPr>
              <w:t>[61.2;95.0]</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80.0%</w:t>
            </w:r>
          </w:p>
          <w:p w:rsidR="00225CEE" w:rsidRPr="003A4B1A" w:rsidRDefault="00225CEE" w:rsidP="003A4B1A">
            <w:pPr>
              <w:tabs>
                <w:tab w:val="left" w:pos="567"/>
              </w:tabs>
              <w:jc w:val="center"/>
              <w:rPr>
                <w:rFonts w:ascii="Arial" w:hAnsi="Arial" w:cs="Arial"/>
              </w:rPr>
            </w:pPr>
            <w:r w:rsidRPr="003A4B1A">
              <w:rPr>
                <w:rFonts w:ascii="Arial" w:hAnsi="Arial" w:cs="Arial"/>
              </w:rPr>
              <w:t>[28.4;99.5]</w:t>
            </w:r>
          </w:p>
        </w:tc>
        <w:tc>
          <w:tcPr>
            <w:tcW w:w="1395" w:type="dxa"/>
          </w:tcPr>
          <w:p w:rsidR="008221F6" w:rsidRPr="003A4B1A" w:rsidRDefault="00225CEE" w:rsidP="003A4B1A">
            <w:pPr>
              <w:tabs>
                <w:tab w:val="left" w:pos="567"/>
              </w:tabs>
              <w:jc w:val="center"/>
              <w:rPr>
                <w:rFonts w:ascii="Arial" w:hAnsi="Arial" w:cs="Arial"/>
              </w:rPr>
            </w:pPr>
            <w:r w:rsidRPr="003A4B1A">
              <w:rPr>
                <w:rFonts w:ascii="Arial" w:hAnsi="Arial" w:cs="Arial"/>
              </w:rPr>
              <w:t>66.7%</w:t>
            </w:r>
          </w:p>
          <w:p w:rsidR="00FA68BB" w:rsidRPr="003A4B1A" w:rsidRDefault="00FA68BB" w:rsidP="003A4B1A">
            <w:pPr>
              <w:tabs>
                <w:tab w:val="left" w:pos="567"/>
              </w:tabs>
              <w:jc w:val="center"/>
              <w:rPr>
                <w:rFonts w:ascii="Arial" w:hAnsi="Arial" w:cs="Arial"/>
              </w:rPr>
            </w:pPr>
            <w:r w:rsidRPr="003A4B1A">
              <w:rPr>
                <w:rFonts w:ascii="Arial" w:hAnsi="Arial" w:cs="Arial"/>
              </w:rPr>
              <w:t>[9.4;99.2]</w:t>
            </w:r>
          </w:p>
        </w:tc>
      </w:tr>
      <w:tr w:rsidR="00225CEE" w:rsidRPr="003A4B1A" w:rsidTr="003A4B1A">
        <w:tc>
          <w:tcPr>
            <w:tcW w:w="2044" w:type="dxa"/>
          </w:tcPr>
          <w:p w:rsidR="008221F6" w:rsidRPr="003A4B1A" w:rsidRDefault="008221F6" w:rsidP="003A4B1A">
            <w:pPr>
              <w:tabs>
                <w:tab w:val="left" w:pos="567"/>
              </w:tabs>
              <w:spacing w:line="360" w:lineRule="atLeast"/>
              <w:jc w:val="center"/>
              <w:rPr>
                <w:rFonts w:ascii="Arial" w:hAnsi="Arial" w:cs="Arial"/>
              </w:rPr>
            </w:pPr>
            <w:r w:rsidRPr="003A4B1A">
              <w:rPr>
                <w:rFonts w:ascii="Arial" w:hAnsi="Arial" w:cs="Arial"/>
              </w:rPr>
              <w:t>Seroconversion factor</w:t>
            </w:r>
            <w:r w:rsidRPr="003A4B1A">
              <w:rPr>
                <w:rFonts w:ascii="Arial" w:hAnsi="Arial" w:cs="Arial"/>
                <w:vertAlign w:val="superscript"/>
              </w:rPr>
              <w:t>3</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13.5</w:t>
            </w:r>
          </w:p>
          <w:p w:rsidR="00225CEE" w:rsidRPr="003A4B1A" w:rsidRDefault="00225CEE" w:rsidP="003A4B1A">
            <w:pPr>
              <w:tabs>
                <w:tab w:val="left" w:pos="567"/>
              </w:tabs>
              <w:jc w:val="center"/>
              <w:rPr>
                <w:rFonts w:ascii="Arial" w:hAnsi="Arial" w:cs="Arial"/>
              </w:rPr>
            </w:pPr>
            <w:r w:rsidRPr="003A4B1A">
              <w:rPr>
                <w:rFonts w:ascii="Arial" w:hAnsi="Arial" w:cs="Arial"/>
              </w:rPr>
              <w:t>[10.3;17.7]</w:t>
            </w:r>
          </w:p>
        </w:tc>
        <w:tc>
          <w:tcPr>
            <w:tcW w:w="1465" w:type="dxa"/>
          </w:tcPr>
          <w:p w:rsidR="008221F6" w:rsidRPr="003A4B1A" w:rsidRDefault="00225CEE" w:rsidP="003A4B1A">
            <w:pPr>
              <w:tabs>
                <w:tab w:val="left" w:pos="567"/>
              </w:tabs>
              <w:jc w:val="center"/>
              <w:rPr>
                <w:rFonts w:ascii="Arial" w:hAnsi="Arial" w:cs="Arial"/>
              </w:rPr>
            </w:pPr>
            <w:r w:rsidRPr="003A4B1A">
              <w:rPr>
                <w:rFonts w:ascii="Arial" w:hAnsi="Arial" w:cs="Arial"/>
              </w:rPr>
              <w:t>20.3</w:t>
            </w:r>
          </w:p>
          <w:p w:rsidR="00225CEE" w:rsidRPr="003A4B1A" w:rsidRDefault="00225CEE" w:rsidP="003A4B1A">
            <w:pPr>
              <w:tabs>
                <w:tab w:val="left" w:pos="567"/>
              </w:tabs>
              <w:jc w:val="both"/>
              <w:rPr>
                <w:rFonts w:ascii="Arial" w:hAnsi="Arial" w:cs="Arial"/>
              </w:rPr>
            </w:pPr>
            <w:r w:rsidRPr="003A4B1A">
              <w:rPr>
                <w:rFonts w:ascii="Arial" w:hAnsi="Arial" w:cs="Arial"/>
              </w:rPr>
              <w:t>[13.94;28.78]</w:t>
            </w:r>
          </w:p>
          <w:p w:rsidR="00225CEE" w:rsidRPr="003A4B1A" w:rsidRDefault="00225CEE" w:rsidP="003A4B1A">
            <w:pPr>
              <w:tabs>
                <w:tab w:val="left" w:pos="567"/>
              </w:tabs>
              <w:jc w:val="center"/>
              <w:rPr>
                <w:rFonts w:ascii="Arial" w:hAnsi="Arial" w:cs="Arial"/>
              </w:rPr>
            </w:pP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13.5</w:t>
            </w:r>
          </w:p>
          <w:p w:rsidR="00225CEE" w:rsidRPr="003A4B1A" w:rsidRDefault="00225CEE" w:rsidP="003A4B1A">
            <w:pPr>
              <w:tabs>
                <w:tab w:val="left" w:pos="567"/>
              </w:tabs>
              <w:jc w:val="center"/>
              <w:rPr>
                <w:rFonts w:ascii="Arial" w:hAnsi="Arial" w:cs="Arial"/>
              </w:rPr>
            </w:pPr>
            <w:r w:rsidRPr="003A4B1A">
              <w:rPr>
                <w:rFonts w:ascii="Arial" w:hAnsi="Arial" w:cs="Arial"/>
              </w:rPr>
              <w:t>[8.6;21.1]</w:t>
            </w:r>
          </w:p>
        </w:tc>
        <w:tc>
          <w:tcPr>
            <w:tcW w:w="1465" w:type="dxa"/>
          </w:tcPr>
          <w:p w:rsidR="008221F6" w:rsidRPr="003A4B1A" w:rsidRDefault="00225CEE" w:rsidP="003A4B1A">
            <w:pPr>
              <w:tabs>
                <w:tab w:val="left" w:pos="567"/>
              </w:tabs>
              <w:jc w:val="center"/>
              <w:rPr>
                <w:rFonts w:ascii="Arial" w:hAnsi="Arial" w:cs="Arial"/>
              </w:rPr>
            </w:pPr>
            <w:r w:rsidRPr="003A4B1A">
              <w:rPr>
                <w:rFonts w:ascii="Arial" w:hAnsi="Arial" w:cs="Arial"/>
              </w:rPr>
              <w:t>20.67</w:t>
            </w:r>
          </w:p>
          <w:p w:rsidR="00225CEE" w:rsidRPr="003A4B1A" w:rsidRDefault="00225CEE" w:rsidP="003A4B1A">
            <w:pPr>
              <w:tabs>
                <w:tab w:val="left" w:pos="567"/>
              </w:tabs>
              <w:jc w:val="center"/>
              <w:rPr>
                <w:rFonts w:ascii="Arial" w:hAnsi="Arial" w:cs="Arial"/>
              </w:rPr>
            </w:pPr>
            <w:r w:rsidRPr="003A4B1A">
              <w:rPr>
                <w:rFonts w:ascii="Arial" w:hAnsi="Arial" w:cs="Arial"/>
              </w:rPr>
              <w:t>[11.58;36.88]</w:t>
            </w:r>
          </w:p>
        </w:tc>
        <w:tc>
          <w:tcPr>
            <w:tcW w:w="1162" w:type="dxa"/>
          </w:tcPr>
          <w:p w:rsidR="008221F6" w:rsidRPr="003A4B1A" w:rsidRDefault="00225CEE" w:rsidP="003A4B1A">
            <w:pPr>
              <w:tabs>
                <w:tab w:val="left" w:pos="567"/>
              </w:tabs>
              <w:jc w:val="center"/>
              <w:rPr>
                <w:rFonts w:ascii="Arial" w:hAnsi="Arial" w:cs="Arial"/>
              </w:rPr>
            </w:pPr>
            <w:r w:rsidRPr="003A4B1A">
              <w:rPr>
                <w:rFonts w:ascii="Arial" w:hAnsi="Arial" w:cs="Arial"/>
              </w:rPr>
              <w:t>18.4</w:t>
            </w:r>
          </w:p>
          <w:p w:rsidR="00225CEE" w:rsidRPr="003A4B1A" w:rsidRDefault="00225CEE" w:rsidP="003A4B1A">
            <w:pPr>
              <w:tabs>
                <w:tab w:val="left" w:pos="567"/>
              </w:tabs>
              <w:jc w:val="center"/>
              <w:rPr>
                <w:rFonts w:ascii="Arial" w:hAnsi="Arial" w:cs="Arial"/>
              </w:rPr>
            </w:pPr>
            <w:r w:rsidRPr="003A4B1A">
              <w:rPr>
                <w:rFonts w:ascii="Arial" w:hAnsi="Arial" w:cs="Arial"/>
              </w:rPr>
              <w:t>[4.3;78.1]</w:t>
            </w:r>
          </w:p>
        </w:tc>
        <w:tc>
          <w:tcPr>
            <w:tcW w:w="1395" w:type="dxa"/>
          </w:tcPr>
          <w:p w:rsidR="008221F6" w:rsidRPr="003A4B1A" w:rsidRDefault="00FA68BB" w:rsidP="003A4B1A">
            <w:pPr>
              <w:tabs>
                <w:tab w:val="left" w:pos="567"/>
              </w:tabs>
              <w:jc w:val="center"/>
              <w:rPr>
                <w:rFonts w:ascii="Arial" w:hAnsi="Arial" w:cs="Arial"/>
              </w:rPr>
            </w:pPr>
            <w:r w:rsidRPr="003A4B1A">
              <w:rPr>
                <w:rFonts w:ascii="Arial" w:hAnsi="Arial" w:cs="Arial"/>
              </w:rPr>
              <w:t>17.95</w:t>
            </w:r>
          </w:p>
          <w:p w:rsidR="00FA68BB" w:rsidRPr="003A4B1A" w:rsidRDefault="00FA68BB" w:rsidP="003A4B1A">
            <w:pPr>
              <w:tabs>
                <w:tab w:val="left" w:pos="567"/>
              </w:tabs>
              <w:jc w:val="center"/>
              <w:rPr>
                <w:rFonts w:ascii="Arial" w:hAnsi="Arial" w:cs="Arial"/>
              </w:rPr>
            </w:pPr>
            <w:r w:rsidRPr="003A4B1A">
              <w:rPr>
                <w:rFonts w:ascii="Arial" w:hAnsi="Arial" w:cs="Arial"/>
              </w:rPr>
              <w:t>[0.55;582.25]</w:t>
            </w:r>
          </w:p>
        </w:tc>
      </w:tr>
    </w:tbl>
    <w:p w:rsidR="00FA68BB" w:rsidRDefault="00FA68BB" w:rsidP="00E74AFA">
      <w:pPr>
        <w:jc w:val="both"/>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seroprotection rate: proportion of subjects with haemagglutination inhibition (HI) titre </w:t>
      </w:r>
      <w:r w:rsidR="000E1D6B">
        <w:rPr>
          <w:rFonts w:ascii="Arial" w:hAnsi="Arial" w:cs="Arial"/>
          <w:sz w:val="18"/>
          <w:szCs w:val="18"/>
        </w:rPr>
        <w:sym w:font="Symbol" w:char="F0B3"/>
      </w:r>
      <w:r>
        <w:rPr>
          <w:rFonts w:ascii="Arial" w:hAnsi="Arial" w:cs="Arial"/>
          <w:sz w:val="18"/>
          <w:szCs w:val="18"/>
        </w:rPr>
        <w:t>1:40;</w:t>
      </w:r>
    </w:p>
    <w:p w:rsidR="00FA68BB" w:rsidRDefault="00FA68BB" w:rsidP="00E74AFA">
      <w:pPr>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seroconversion rate: proportion of subjects who are either seronegative at pre-vaccination and have a protective post-vaccination titre of </w:t>
      </w:r>
      <w:r w:rsidR="000E1D6B">
        <w:rPr>
          <w:rFonts w:ascii="Arial" w:hAnsi="Arial" w:cs="Arial"/>
          <w:sz w:val="18"/>
          <w:szCs w:val="18"/>
        </w:rPr>
        <w:sym w:font="Symbol" w:char="F0B3"/>
      </w:r>
      <w:r>
        <w:rPr>
          <w:rFonts w:ascii="Arial" w:hAnsi="Arial" w:cs="Arial"/>
          <w:sz w:val="18"/>
          <w:szCs w:val="18"/>
        </w:rPr>
        <w:t>1:40, or who were seropositive at pre-vaccination and have a 4-fold increase in titre;</w:t>
      </w:r>
    </w:p>
    <w:p w:rsidR="000E1D6B" w:rsidRDefault="00FA68BB" w:rsidP="000E1D6B">
      <w:pPr>
        <w:jc w:val="both"/>
        <w:rPr>
          <w:rFonts w:ascii="Arial" w:hAnsi="Arial" w:cs="Arial"/>
          <w:sz w:val="18"/>
          <w:szCs w:val="18"/>
        </w:rPr>
      </w:pPr>
      <w:r>
        <w:rPr>
          <w:rFonts w:ascii="Arial" w:hAnsi="Arial" w:cs="Arial"/>
          <w:sz w:val="18"/>
          <w:szCs w:val="18"/>
          <w:vertAlign w:val="superscript"/>
        </w:rPr>
        <w:t>3</w:t>
      </w:r>
      <w:r>
        <w:rPr>
          <w:rFonts w:ascii="Arial" w:hAnsi="Arial" w:cs="Arial"/>
          <w:sz w:val="18"/>
          <w:szCs w:val="18"/>
        </w:rPr>
        <w:t>seroconversion factor: ratio of the post-vaccination geometric mean titre (GMT) and the pre-vaccination GMT</w:t>
      </w:r>
      <w:r w:rsidR="000E1D6B">
        <w:rPr>
          <w:rFonts w:ascii="Arial" w:hAnsi="Arial" w:cs="Arial"/>
          <w:sz w:val="18"/>
          <w:szCs w:val="18"/>
        </w:rPr>
        <w:br w:type="page"/>
      </w:r>
    </w:p>
    <w:p w:rsidR="00B20C9C" w:rsidRDefault="00E77FC5">
      <w:pPr>
        <w:spacing w:line="360" w:lineRule="atLeast"/>
        <w:rPr>
          <w:rFonts w:ascii="Arial" w:hAnsi="Arial" w:cs="Arial"/>
          <w:i/>
          <w:color w:val="000000"/>
          <w:sz w:val="22"/>
          <w:szCs w:val="22"/>
        </w:rPr>
      </w:pPr>
      <w:r w:rsidRPr="00E77FC5">
        <w:rPr>
          <w:rFonts w:ascii="Arial" w:hAnsi="Arial" w:cs="Arial"/>
          <w:b/>
          <w:bCs/>
          <w:i/>
          <w:color w:val="000000"/>
          <w:sz w:val="22"/>
          <w:szCs w:val="22"/>
        </w:rPr>
        <w:lastRenderedPageBreak/>
        <w:t>Children aged 10-17 years</w:t>
      </w:r>
    </w:p>
    <w:p w:rsidR="00B20C9C" w:rsidRDefault="00E77FC5" w:rsidP="000E1D6B">
      <w:pPr>
        <w:spacing w:after="160" w:line="360" w:lineRule="atLeast"/>
        <w:rPr>
          <w:rFonts w:ascii="Arial" w:hAnsi="Arial" w:cs="Arial"/>
          <w:color w:val="000000"/>
          <w:sz w:val="22"/>
          <w:szCs w:val="22"/>
        </w:rPr>
      </w:pPr>
      <w:r w:rsidRPr="00E77FC5">
        <w:rPr>
          <w:rFonts w:ascii="Arial" w:hAnsi="Arial" w:cs="Arial"/>
          <w:color w:val="000000"/>
          <w:sz w:val="22"/>
          <w:szCs w:val="22"/>
        </w:rPr>
        <w:t xml:space="preserve">Two clinical studies evaluated the administration of a half (0.25 ml) dose and a full (0.5 ml) adult dose of Pandemrix in healthy children 10 to 17 years of age. The anti-HA antibody responses 21 days after a first dose were as follows: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34"/>
        <w:gridCol w:w="1022"/>
        <w:gridCol w:w="1105"/>
        <w:gridCol w:w="1134"/>
        <w:gridCol w:w="1085"/>
        <w:gridCol w:w="1183"/>
        <w:gridCol w:w="1134"/>
        <w:gridCol w:w="992"/>
      </w:tblGrid>
      <w:tr w:rsidR="00410D42" w:rsidRPr="00617BCA" w:rsidTr="007827B9">
        <w:tc>
          <w:tcPr>
            <w:tcW w:w="1242" w:type="dxa"/>
            <w:vMerge w:val="restart"/>
          </w:tcPr>
          <w:p w:rsidR="00410D42" w:rsidRPr="00617BCA" w:rsidRDefault="00410D42" w:rsidP="007827B9">
            <w:pPr>
              <w:rPr>
                <w:sz w:val="22"/>
                <w:szCs w:val="22"/>
              </w:rPr>
            </w:pPr>
            <w:r w:rsidRPr="00617BCA">
              <w:rPr>
                <w:sz w:val="22"/>
                <w:szCs w:val="22"/>
              </w:rPr>
              <w:t>anti-HA antibody</w:t>
            </w:r>
          </w:p>
        </w:tc>
        <w:tc>
          <w:tcPr>
            <w:tcW w:w="8789" w:type="dxa"/>
            <w:gridSpan w:val="8"/>
          </w:tcPr>
          <w:p w:rsidR="00410D42" w:rsidRPr="00617BCA" w:rsidRDefault="00410D42" w:rsidP="007827B9">
            <w:pPr>
              <w:jc w:val="center"/>
              <w:rPr>
                <w:sz w:val="22"/>
                <w:szCs w:val="22"/>
              </w:rPr>
            </w:pPr>
            <w:r w:rsidRPr="00617BCA">
              <w:rPr>
                <w:sz w:val="22"/>
                <w:szCs w:val="22"/>
              </w:rPr>
              <w:t>Immune response to A/California/7/2009 (H1N1)v-like</w:t>
            </w:r>
          </w:p>
        </w:tc>
      </w:tr>
      <w:tr w:rsidR="00410D42" w:rsidRPr="00617BCA" w:rsidTr="007827B9">
        <w:tc>
          <w:tcPr>
            <w:tcW w:w="1242" w:type="dxa"/>
            <w:vMerge/>
          </w:tcPr>
          <w:p w:rsidR="00410D42" w:rsidRPr="00617BCA" w:rsidRDefault="00410D42" w:rsidP="007827B9">
            <w:pPr>
              <w:rPr>
                <w:sz w:val="22"/>
                <w:szCs w:val="22"/>
              </w:rPr>
            </w:pPr>
          </w:p>
        </w:tc>
        <w:tc>
          <w:tcPr>
            <w:tcW w:w="4395" w:type="dxa"/>
            <w:gridSpan w:val="4"/>
          </w:tcPr>
          <w:p w:rsidR="00410D42" w:rsidRPr="00617BCA" w:rsidRDefault="00410D42" w:rsidP="007827B9">
            <w:pPr>
              <w:jc w:val="center"/>
              <w:rPr>
                <w:sz w:val="22"/>
                <w:szCs w:val="22"/>
              </w:rPr>
            </w:pPr>
            <w:r w:rsidRPr="00617BCA">
              <w:rPr>
                <w:sz w:val="22"/>
                <w:szCs w:val="22"/>
              </w:rPr>
              <w:t>Half dose</w:t>
            </w:r>
          </w:p>
        </w:tc>
        <w:tc>
          <w:tcPr>
            <w:tcW w:w="4394" w:type="dxa"/>
            <w:gridSpan w:val="4"/>
          </w:tcPr>
          <w:p w:rsidR="00410D42" w:rsidRPr="00617BCA" w:rsidRDefault="00410D42" w:rsidP="007827B9">
            <w:pPr>
              <w:jc w:val="center"/>
              <w:rPr>
                <w:sz w:val="22"/>
                <w:szCs w:val="22"/>
              </w:rPr>
            </w:pPr>
            <w:r w:rsidRPr="00617BCA">
              <w:rPr>
                <w:sz w:val="22"/>
                <w:szCs w:val="22"/>
              </w:rPr>
              <w:t>Full dose</w:t>
            </w:r>
          </w:p>
        </w:tc>
      </w:tr>
      <w:tr w:rsidR="00410D42" w:rsidRPr="00617BCA" w:rsidTr="007827B9">
        <w:tc>
          <w:tcPr>
            <w:tcW w:w="1242" w:type="dxa"/>
            <w:vMerge/>
          </w:tcPr>
          <w:p w:rsidR="00410D42" w:rsidRPr="00617BCA" w:rsidRDefault="00410D42" w:rsidP="007827B9">
            <w:pPr>
              <w:rPr>
                <w:sz w:val="22"/>
                <w:szCs w:val="22"/>
              </w:rPr>
            </w:pPr>
          </w:p>
        </w:tc>
        <w:tc>
          <w:tcPr>
            <w:tcW w:w="2156" w:type="dxa"/>
            <w:gridSpan w:val="2"/>
          </w:tcPr>
          <w:p w:rsidR="00410D42" w:rsidRPr="00617BCA" w:rsidRDefault="00410D42" w:rsidP="007827B9">
            <w:pPr>
              <w:jc w:val="center"/>
              <w:rPr>
                <w:sz w:val="22"/>
                <w:szCs w:val="22"/>
              </w:rPr>
            </w:pPr>
            <w:r w:rsidRPr="00617BCA">
              <w:rPr>
                <w:sz w:val="22"/>
                <w:szCs w:val="22"/>
              </w:rPr>
              <w:t>Total subjects</w:t>
            </w:r>
            <w:r w:rsidRPr="00617BCA">
              <w:rPr>
                <w:sz w:val="22"/>
                <w:szCs w:val="22"/>
                <w:vertAlign w:val="superscript"/>
              </w:rPr>
              <w:t>4</w:t>
            </w:r>
          </w:p>
          <w:p w:rsidR="00410D42" w:rsidRPr="00617BCA" w:rsidRDefault="00410D42" w:rsidP="007827B9">
            <w:pPr>
              <w:jc w:val="center"/>
              <w:rPr>
                <w:sz w:val="22"/>
                <w:szCs w:val="22"/>
              </w:rPr>
            </w:pPr>
            <w:r w:rsidRPr="00617BCA" w:rsidDel="00F91A8F">
              <w:rPr>
                <w:sz w:val="22"/>
                <w:szCs w:val="22"/>
              </w:rPr>
              <w:t xml:space="preserve"> </w:t>
            </w:r>
            <w:r w:rsidRPr="00617BCA">
              <w:rPr>
                <w:sz w:val="22"/>
                <w:szCs w:val="22"/>
              </w:rPr>
              <w:t>[95% CI]</w:t>
            </w:r>
          </w:p>
        </w:tc>
        <w:tc>
          <w:tcPr>
            <w:tcW w:w="2239" w:type="dxa"/>
            <w:gridSpan w:val="2"/>
          </w:tcPr>
          <w:p w:rsidR="00410D42" w:rsidRPr="00617BCA" w:rsidRDefault="00410D42" w:rsidP="007827B9">
            <w:pPr>
              <w:jc w:val="center"/>
              <w:rPr>
                <w:sz w:val="22"/>
                <w:szCs w:val="22"/>
              </w:rPr>
            </w:pPr>
            <w:r w:rsidRPr="00617BCA">
              <w:rPr>
                <w:sz w:val="22"/>
                <w:szCs w:val="22"/>
              </w:rPr>
              <w:t>Seronegative subjects prior to vaccination</w:t>
            </w:r>
          </w:p>
          <w:p w:rsidR="00410D42" w:rsidRPr="00617BCA" w:rsidRDefault="00410D42" w:rsidP="007827B9">
            <w:pPr>
              <w:jc w:val="center"/>
              <w:rPr>
                <w:sz w:val="22"/>
                <w:szCs w:val="22"/>
              </w:rPr>
            </w:pPr>
            <w:r w:rsidRPr="00617BCA" w:rsidDel="00F91A8F">
              <w:rPr>
                <w:sz w:val="22"/>
                <w:szCs w:val="22"/>
              </w:rPr>
              <w:t xml:space="preserve"> </w:t>
            </w:r>
            <w:r w:rsidRPr="00617BCA">
              <w:rPr>
                <w:sz w:val="22"/>
                <w:szCs w:val="22"/>
              </w:rPr>
              <w:t>[95% CI]</w:t>
            </w:r>
          </w:p>
        </w:tc>
        <w:tc>
          <w:tcPr>
            <w:tcW w:w="2268" w:type="dxa"/>
            <w:gridSpan w:val="2"/>
          </w:tcPr>
          <w:p w:rsidR="00410D42" w:rsidRPr="00617BCA" w:rsidRDefault="00410D42" w:rsidP="007827B9">
            <w:pPr>
              <w:jc w:val="center"/>
              <w:rPr>
                <w:sz w:val="22"/>
                <w:szCs w:val="22"/>
              </w:rPr>
            </w:pPr>
            <w:r w:rsidRPr="00617BCA">
              <w:rPr>
                <w:sz w:val="22"/>
                <w:szCs w:val="22"/>
              </w:rPr>
              <w:t>Total subjects</w:t>
            </w:r>
            <w:r w:rsidRPr="00617BCA">
              <w:rPr>
                <w:sz w:val="22"/>
                <w:szCs w:val="22"/>
                <w:vertAlign w:val="superscript"/>
              </w:rPr>
              <w:t>4</w:t>
            </w:r>
          </w:p>
          <w:p w:rsidR="00410D42" w:rsidRPr="00617BCA" w:rsidRDefault="00410D42" w:rsidP="007827B9">
            <w:pPr>
              <w:jc w:val="center"/>
              <w:rPr>
                <w:sz w:val="22"/>
                <w:szCs w:val="22"/>
              </w:rPr>
            </w:pPr>
            <w:r w:rsidRPr="00617BCA" w:rsidDel="00471843">
              <w:rPr>
                <w:sz w:val="22"/>
                <w:szCs w:val="22"/>
              </w:rPr>
              <w:t xml:space="preserve"> </w:t>
            </w:r>
            <w:r w:rsidRPr="00617BCA">
              <w:rPr>
                <w:sz w:val="22"/>
                <w:szCs w:val="22"/>
              </w:rPr>
              <w:t>[95% CI]</w:t>
            </w:r>
          </w:p>
        </w:tc>
        <w:tc>
          <w:tcPr>
            <w:tcW w:w="2126" w:type="dxa"/>
            <w:gridSpan w:val="2"/>
          </w:tcPr>
          <w:p w:rsidR="00410D42" w:rsidRPr="00617BCA" w:rsidRDefault="00410D42" w:rsidP="007827B9">
            <w:pPr>
              <w:jc w:val="center"/>
              <w:rPr>
                <w:sz w:val="22"/>
                <w:szCs w:val="22"/>
              </w:rPr>
            </w:pPr>
            <w:r w:rsidRPr="00617BCA">
              <w:rPr>
                <w:sz w:val="22"/>
                <w:szCs w:val="22"/>
              </w:rPr>
              <w:t>Seronegative subjects prior to vaccination</w:t>
            </w:r>
          </w:p>
          <w:p w:rsidR="00410D42" w:rsidRPr="00617BCA" w:rsidRDefault="00410D42" w:rsidP="007827B9">
            <w:pPr>
              <w:jc w:val="center"/>
              <w:rPr>
                <w:sz w:val="22"/>
                <w:szCs w:val="22"/>
              </w:rPr>
            </w:pPr>
            <w:r w:rsidRPr="00617BCA" w:rsidDel="00471843">
              <w:rPr>
                <w:sz w:val="22"/>
                <w:szCs w:val="22"/>
              </w:rPr>
              <w:t xml:space="preserve"> </w:t>
            </w:r>
            <w:r w:rsidRPr="00617BCA">
              <w:rPr>
                <w:sz w:val="22"/>
                <w:szCs w:val="22"/>
              </w:rPr>
              <w:t>[95% CI]</w:t>
            </w:r>
          </w:p>
        </w:tc>
      </w:tr>
      <w:tr w:rsidR="00410D42" w:rsidRPr="00617BCA" w:rsidTr="007827B9">
        <w:tc>
          <w:tcPr>
            <w:tcW w:w="1242" w:type="dxa"/>
            <w:vMerge/>
          </w:tcPr>
          <w:p w:rsidR="00410D42" w:rsidRPr="00617BCA" w:rsidRDefault="00410D42" w:rsidP="007827B9">
            <w:pPr>
              <w:rPr>
                <w:sz w:val="22"/>
                <w:szCs w:val="22"/>
              </w:rPr>
            </w:pPr>
          </w:p>
        </w:tc>
        <w:tc>
          <w:tcPr>
            <w:tcW w:w="1134" w:type="dxa"/>
          </w:tcPr>
          <w:p w:rsidR="00410D42" w:rsidRPr="00617BCA" w:rsidRDefault="00410D42" w:rsidP="007827B9">
            <w:pPr>
              <w:jc w:val="center"/>
              <w:rPr>
                <w:sz w:val="22"/>
                <w:szCs w:val="22"/>
              </w:rPr>
            </w:pPr>
            <w:r w:rsidRPr="00617BCA">
              <w:rPr>
                <w:sz w:val="22"/>
                <w:szCs w:val="22"/>
              </w:rPr>
              <w:t>Post dose 1</w:t>
            </w:r>
          </w:p>
          <w:p w:rsidR="00410D42" w:rsidRPr="00617BCA" w:rsidRDefault="00410D42" w:rsidP="007827B9">
            <w:pPr>
              <w:jc w:val="center"/>
              <w:rPr>
                <w:sz w:val="22"/>
                <w:szCs w:val="22"/>
              </w:rPr>
            </w:pPr>
            <w:r w:rsidRPr="00617BCA">
              <w:rPr>
                <w:sz w:val="22"/>
                <w:szCs w:val="22"/>
              </w:rPr>
              <w:t>N=54</w:t>
            </w:r>
          </w:p>
        </w:tc>
        <w:tc>
          <w:tcPr>
            <w:tcW w:w="1022" w:type="dxa"/>
          </w:tcPr>
          <w:p w:rsidR="00410D42" w:rsidRPr="00617BCA" w:rsidRDefault="00410D42" w:rsidP="007827B9">
            <w:pPr>
              <w:jc w:val="center"/>
              <w:rPr>
                <w:sz w:val="22"/>
                <w:szCs w:val="22"/>
              </w:rPr>
            </w:pPr>
            <w:r w:rsidRPr="00617BCA">
              <w:rPr>
                <w:sz w:val="22"/>
                <w:szCs w:val="22"/>
              </w:rPr>
              <w:t>Post dose 2</w:t>
            </w:r>
          </w:p>
          <w:p w:rsidR="00410D42" w:rsidRPr="00617BCA" w:rsidRDefault="00410D42" w:rsidP="007827B9">
            <w:pPr>
              <w:jc w:val="center"/>
              <w:rPr>
                <w:sz w:val="22"/>
                <w:szCs w:val="22"/>
              </w:rPr>
            </w:pPr>
            <w:r w:rsidRPr="00617BCA">
              <w:rPr>
                <w:sz w:val="22"/>
                <w:szCs w:val="22"/>
              </w:rPr>
              <w:t>N=54</w:t>
            </w:r>
          </w:p>
        </w:tc>
        <w:tc>
          <w:tcPr>
            <w:tcW w:w="1105" w:type="dxa"/>
          </w:tcPr>
          <w:p w:rsidR="00410D42" w:rsidRPr="00617BCA" w:rsidRDefault="00410D42" w:rsidP="007827B9">
            <w:pPr>
              <w:jc w:val="center"/>
              <w:rPr>
                <w:sz w:val="22"/>
                <w:szCs w:val="22"/>
              </w:rPr>
            </w:pPr>
            <w:r w:rsidRPr="00617BCA">
              <w:rPr>
                <w:sz w:val="22"/>
                <w:szCs w:val="22"/>
              </w:rPr>
              <w:t>Post dose 1</w:t>
            </w:r>
          </w:p>
          <w:p w:rsidR="00410D42" w:rsidRPr="00617BCA" w:rsidRDefault="00410D42" w:rsidP="007827B9">
            <w:pPr>
              <w:jc w:val="center"/>
              <w:rPr>
                <w:sz w:val="22"/>
                <w:szCs w:val="22"/>
              </w:rPr>
            </w:pPr>
            <w:r w:rsidRPr="00617BCA">
              <w:rPr>
                <w:sz w:val="22"/>
                <w:szCs w:val="22"/>
              </w:rPr>
              <w:t>N=37</w:t>
            </w:r>
          </w:p>
        </w:tc>
        <w:tc>
          <w:tcPr>
            <w:tcW w:w="1134" w:type="dxa"/>
          </w:tcPr>
          <w:p w:rsidR="00410D42" w:rsidRPr="00617BCA" w:rsidRDefault="00410D42" w:rsidP="007827B9">
            <w:pPr>
              <w:jc w:val="center"/>
              <w:rPr>
                <w:sz w:val="22"/>
                <w:szCs w:val="22"/>
              </w:rPr>
            </w:pPr>
            <w:r w:rsidRPr="00617BCA">
              <w:rPr>
                <w:sz w:val="22"/>
                <w:szCs w:val="22"/>
              </w:rPr>
              <w:t>Post dose 2</w:t>
            </w:r>
          </w:p>
          <w:p w:rsidR="00410D42" w:rsidRPr="00617BCA" w:rsidRDefault="00410D42" w:rsidP="007827B9">
            <w:pPr>
              <w:jc w:val="center"/>
              <w:rPr>
                <w:sz w:val="22"/>
                <w:szCs w:val="22"/>
              </w:rPr>
            </w:pPr>
            <w:r w:rsidRPr="00617BCA">
              <w:rPr>
                <w:sz w:val="22"/>
                <w:szCs w:val="22"/>
              </w:rPr>
              <w:t>N=37</w:t>
            </w:r>
          </w:p>
        </w:tc>
        <w:tc>
          <w:tcPr>
            <w:tcW w:w="1085" w:type="dxa"/>
          </w:tcPr>
          <w:p w:rsidR="00410D42" w:rsidRPr="00617BCA" w:rsidRDefault="00410D42" w:rsidP="007827B9">
            <w:pPr>
              <w:jc w:val="center"/>
              <w:rPr>
                <w:sz w:val="22"/>
                <w:szCs w:val="22"/>
              </w:rPr>
            </w:pPr>
            <w:r w:rsidRPr="00617BCA">
              <w:rPr>
                <w:sz w:val="22"/>
                <w:szCs w:val="22"/>
              </w:rPr>
              <w:t>Post dose 1</w:t>
            </w:r>
          </w:p>
          <w:p w:rsidR="00410D42" w:rsidRPr="00617BCA" w:rsidRDefault="00410D42" w:rsidP="007827B9">
            <w:pPr>
              <w:jc w:val="center"/>
              <w:rPr>
                <w:sz w:val="22"/>
                <w:szCs w:val="22"/>
              </w:rPr>
            </w:pPr>
            <w:r w:rsidRPr="00617BCA">
              <w:rPr>
                <w:sz w:val="22"/>
                <w:szCs w:val="22"/>
              </w:rPr>
              <w:t>N=92</w:t>
            </w:r>
          </w:p>
        </w:tc>
        <w:tc>
          <w:tcPr>
            <w:tcW w:w="1183" w:type="dxa"/>
          </w:tcPr>
          <w:p w:rsidR="00410D42" w:rsidRPr="00617BCA" w:rsidRDefault="00410D42" w:rsidP="007827B9">
            <w:pPr>
              <w:jc w:val="center"/>
              <w:rPr>
                <w:sz w:val="22"/>
                <w:szCs w:val="22"/>
              </w:rPr>
            </w:pPr>
            <w:r w:rsidRPr="00617BCA">
              <w:rPr>
                <w:sz w:val="22"/>
                <w:szCs w:val="22"/>
              </w:rPr>
              <w:t>Post dose 2</w:t>
            </w:r>
          </w:p>
          <w:p w:rsidR="00410D42" w:rsidRPr="00617BCA" w:rsidRDefault="00410D42" w:rsidP="007827B9">
            <w:pPr>
              <w:jc w:val="center"/>
              <w:rPr>
                <w:sz w:val="22"/>
                <w:szCs w:val="22"/>
              </w:rPr>
            </w:pPr>
            <w:r w:rsidRPr="00617BCA">
              <w:rPr>
                <w:sz w:val="22"/>
                <w:szCs w:val="22"/>
              </w:rPr>
              <w:t>N=88</w:t>
            </w:r>
          </w:p>
        </w:tc>
        <w:tc>
          <w:tcPr>
            <w:tcW w:w="1134" w:type="dxa"/>
          </w:tcPr>
          <w:p w:rsidR="00410D42" w:rsidRPr="00617BCA" w:rsidRDefault="00410D42" w:rsidP="007827B9">
            <w:pPr>
              <w:jc w:val="center"/>
              <w:rPr>
                <w:sz w:val="22"/>
                <w:szCs w:val="22"/>
              </w:rPr>
            </w:pPr>
            <w:r w:rsidRPr="00617BCA">
              <w:rPr>
                <w:sz w:val="22"/>
                <w:szCs w:val="22"/>
              </w:rPr>
              <w:t>Post dose 1</w:t>
            </w:r>
          </w:p>
          <w:p w:rsidR="00410D42" w:rsidRPr="00617BCA" w:rsidRDefault="00410D42" w:rsidP="007827B9">
            <w:pPr>
              <w:jc w:val="center"/>
              <w:rPr>
                <w:sz w:val="22"/>
                <w:szCs w:val="22"/>
              </w:rPr>
            </w:pPr>
            <w:r w:rsidRPr="00617BCA">
              <w:rPr>
                <w:sz w:val="22"/>
                <w:szCs w:val="22"/>
              </w:rPr>
              <w:t>N=59</w:t>
            </w:r>
          </w:p>
        </w:tc>
        <w:tc>
          <w:tcPr>
            <w:tcW w:w="992" w:type="dxa"/>
          </w:tcPr>
          <w:p w:rsidR="00410D42" w:rsidRPr="00617BCA" w:rsidRDefault="00410D42" w:rsidP="007827B9">
            <w:pPr>
              <w:jc w:val="center"/>
              <w:rPr>
                <w:sz w:val="22"/>
                <w:szCs w:val="22"/>
              </w:rPr>
            </w:pPr>
            <w:r w:rsidRPr="00617BCA">
              <w:rPr>
                <w:sz w:val="22"/>
                <w:szCs w:val="22"/>
              </w:rPr>
              <w:t>Post dose 2</w:t>
            </w:r>
          </w:p>
          <w:p w:rsidR="00410D42" w:rsidRPr="00617BCA" w:rsidRDefault="00410D42" w:rsidP="007827B9">
            <w:pPr>
              <w:jc w:val="center"/>
              <w:rPr>
                <w:sz w:val="22"/>
                <w:szCs w:val="22"/>
              </w:rPr>
            </w:pPr>
            <w:r w:rsidRPr="00617BCA">
              <w:rPr>
                <w:sz w:val="22"/>
                <w:szCs w:val="22"/>
              </w:rPr>
              <w:t>N=57</w:t>
            </w:r>
          </w:p>
        </w:tc>
      </w:tr>
      <w:tr w:rsidR="00410D42" w:rsidRPr="00617BCA" w:rsidTr="007827B9">
        <w:tc>
          <w:tcPr>
            <w:tcW w:w="1242" w:type="dxa"/>
          </w:tcPr>
          <w:p w:rsidR="00410D42" w:rsidRPr="00617BCA" w:rsidRDefault="00410D42" w:rsidP="007827B9">
            <w:pPr>
              <w:rPr>
                <w:sz w:val="22"/>
                <w:szCs w:val="22"/>
              </w:rPr>
            </w:pPr>
            <w:r w:rsidRPr="00617BCA">
              <w:rPr>
                <w:sz w:val="22"/>
                <w:szCs w:val="22"/>
              </w:rPr>
              <w:t>Sero-protection rate</w:t>
            </w:r>
            <w:r w:rsidRPr="00617BCA">
              <w:rPr>
                <w:sz w:val="22"/>
                <w:szCs w:val="22"/>
                <w:vertAlign w:val="superscript"/>
              </w:rPr>
              <w:t>1</w:t>
            </w:r>
          </w:p>
        </w:tc>
        <w:tc>
          <w:tcPr>
            <w:tcW w:w="1134" w:type="dxa"/>
          </w:tcPr>
          <w:p w:rsidR="00410D42" w:rsidRPr="00617BCA" w:rsidRDefault="00410D42" w:rsidP="007827B9">
            <w:pPr>
              <w:jc w:val="center"/>
              <w:rPr>
                <w:sz w:val="22"/>
                <w:szCs w:val="22"/>
              </w:rPr>
            </w:pPr>
            <w:r w:rsidRPr="00617BCA">
              <w:rPr>
                <w:sz w:val="22"/>
                <w:szCs w:val="22"/>
              </w:rPr>
              <w:t>98.1%</w:t>
            </w:r>
          </w:p>
          <w:p w:rsidR="00410D42" w:rsidRPr="00617BCA" w:rsidRDefault="00410D42" w:rsidP="007827B9">
            <w:pPr>
              <w:jc w:val="center"/>
              <w:rPr>
                <w:sz w:val="22"/>
                <w:szCs w:val="22"/>
              </w:rPr>
            </w:pPr>
            <w:r w:rsidRPr="00617BCA">
              <w:rPr>
                <w:sz w:val="22"/>
                <w:szCs w:val="22"/>
              </w:rPr>
              <w:t>[90.1;</w:t>
            </w:r>
          </w:p>
          <w:p w:rsidR="00410D42" w:rsidRPr="00617BCA" w:rsidRDefault="00410D42" w:rsidP="007827B9">
            <w:pPr>
              <w:jc w:val="center"/>
              <w:rPr>
                <w:sz w:val="22"/>
                <w:szCs w:val="22"/>
              </w:rPr>
            </w:pPr>
            <w:r w:rsidRPr="00617BCA">
              <w:rPr>
                <w:sz w:val="22"/>
                <w:szCs w:val="22"/>
              </w:rPr>
              <w:t>100]</w:t>
            </w:r>
          </w:p>
        </w:tc>
        <w:tc>
          <w:tcPr>
            <w:tcW w:w="1022"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[93.4;</w:t>
            </w:r>
          </w:p>
          <w:p w:rsidR="00410D42" w:rsidRPr="00617BCA" w:rsidRDefault="00410D42" w:rsidP="007827B9">
            <w:pPr>
              <w:jc w:val="center"/>
              <w:rPr>
                <w:sz w:val="22"/>
                <w:szCs w:val="22"/>
              </w:rPr>
            </w:pPr>
            <w:r w:rsidRPr="00617BCA">
              <w:rPr>
                <w:sz w:val="22"/>
                <w:szCs w:val="22"/>
              </w:rPr>
              <w:t>100]</w:t>
            </w:r>
          </w:p>
        </w:tc>
        <w:tc>
          <w:tcPr>
            <w:tcW w:w="1105" w:type="dxa"/>
          </w:tcPr>
          <w:p w:rsidR="00410D42" w:rsidRPr="00617BCA" w:rsidRDefault="00410D42" w:rsidP="007827B9">
            <w:pPr>
              <w:jc w:val="center"/>
              <w:rPr>
                <w:sz w:val="22"/>
                <w:szCs w:val="22"/>
              </w:rPr>
            </w:pPr>
            <w:r w:rsidRPr="00617BCA">
              <w:rPr>
                <w:sz w:val="22"/>
                <w:szCs w:val="22"/>
              </w:rPr>
              <w:t>97.3%</w:t>
            </w:r>
          </w:p>
          <w:p w:rsidR="00410D42" w:rsidRDefault="00410D42" w:rsidP="007827B9">
            <w:pPr>
              <w:jc w:val="center"/>
              <w:rPr>
                <w:sz w:val="22"/>
                <w:szCs w:val="22"/>
              </w:rPr>
            </w:pPr>
            <w:r w:rsidRPr="00617BCA">
              <w:rPr>
                <w:sz w:val="22"/>
                <w:szCs w:val="22"/>
              </w:rPr>
              <w:t>[85.8;</w:t>
            </w:r>
          </w:p>
          <w:p w:rsidR="00410D42" w:rsidRPr="00617BCA" w:rsidRDefault="00410D42" w:rsidP="007827B9">
            <w:pPr>
              <w:jc w:val="center"/>
              <w:rPr>
                <w:sz w:val="22"/>
                <w:szCs w:val="22"/>
              </w:rPr>
            </w:pPr>
            <w:r w:rsidRPr="00617BCA">
              <w:rPr>
                <w:sz w:val="22"/>
                <w:szCs w:val="22"/>
              </w:rPr>
              <w:t>99.9]</w:t>
            </w:r>
          </w:p>
        </w:tc>
        <w:tc>
          <w:tcPr>
            <w:tcW w:w="1134"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[90.5;</w:t>
            </w:r>
          </w:p>
          <w:p w:rsidR="00410D42" w:rsidRPr="00617BCA" w:rsidRDefault="00410D42" w:rsidP="007827B9">
            <w:pPr>
              <w:jc w:val="center"/>
              <w:rPr>
                <w:sz w:val="22"/>
                <w:szCs w:val="22"/>
              </w:rPr>
            </w:pPr>
            <w:r w:rsidRPr="00617BCA">
              <w:rPr>
                <w:sz w:val="22"/>
                <w:szCs w:val="22"/>
              </w:rPr>
              <w:t>100]</w:t>
            </w:r>
          </w:p>
        </w:tc>
        <w:tc>
          <w:tcPr>
            <w:tcW w:w="1085"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[96.1;</w:t>
            </w:r>
          </w:p>
          <w:p w:rsidR="00410D42" w:rsidRPr="00617BCA" w:rsidRDefault="00410D42" w:rsidP="007827B9">
            <w:pPr>
              <w:jc w:val="center"/>
              <w:rPr>
                <w:sz w:val="22"/>
                <w:szCs w:val="22"/>
              </w:rPr>
            </w:pPr>
            <w:r w:rsidRPr="00617BCA">
              <w:rPr>
                <w:sz w:val="22"/>
                <w:szCs w:val="22"/>
              </w:rPr>
              <w:t>100]</w:t>
            </w:r>
          </w:p>
        </w:tc>
        <w:tc>
          <w:tcPr>
            <w:tcW w:w="1183"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[95.9;</w:t>
            </w:r>
          </w:p>
          <w:p w:rsidR="00410D42" w:rsidRPr="00617BCA" w:rsidRDefault="00410D42" w:rsidP="007827B9">
            <w:pPr>
              <w:jc w:val="center"/>
              <w:rPr>
                <w:sz w:val="22"/>
                <w:szCs w:val="22"/>
              </w:rPr>
            </w:pPr>
            <w:r w:rsidRPr="00617BCA">
              <w:rPr>
                <w:sz w:val="22"/>
                <w:szCs w:val="22"/>
              </w:rPr>
              <w:t>100]</w:t>
            </w:r>
          </w:p>
        </w:tc>
        <w:tc>
          <w:tcPr>
            <w:tcW w:w="1134" w:type="dxa"/>
          </w:tcPr>
          <w:p w:rsidR="00410D42" w:rsidRPr="00617BCA" w:rsidRDefault="00410D42" w:rsidP="007827B9">
            <w:pPr>
              <w:jc w:val="center"/>
              <w:rPr>
                <w:sz w:val="22"/>
                <w:szCs w:val="22"/>
              </w:rPr>
            </w:pPr>
            <w:r w:rsidRPr="00617BCA">
              <w:rPr>
                <w:sz w:val="22"/>
                <w:szCs w:val="22"/>
              </w:rPr>
              <w:t>100%</w:t>
            </w:r>
          </w:p>
          <w:p w:rsidR="00410D42" w:rsidRDefault="00410D42" w:rsidP="007827B9">
            <w:pPr>
              <w:jc w:val="center"/>
              <w:rPr>
                <w:sz w:val="22"/>
                <w:szCs w:val="22"/>
              </w:rPr>
            </w:pPr>
            <w:r w:rsidRPr="00617BCA">
              <w:rPr>
                <w:sz w:val="22"/>
                <w:szCs w:val="22"/>
              </w:rPr>
              <w:t>[93.9;</w:t>
            </w:r>
          </w:p>
          <w:p w:rsidR="00410D42" w:rsidRPr="00617BCA" w:rsidRDefault="00410D42" w:rsidP="007827B9">
            <w:pPr>
              <w:jc w:val="center"/>
              <w:rPr>
                <w:sz w:val="22"/>
                <w:szCs w:val="22"/>
              </w:rPr>
            </w:pPr>
            <w:r w:rsidRPr="00617BCA">
              <w:rPr>
                <w:sz w:val="22"/>
                <w:szCs w:val="22"/>
              </w:rPr>
              <w:t>100]</w:t>
            </w:r>
          </w:p>
        </w:tc>
        <w:tc>
          <w:tcPr>
            <w:tcW w:w="992"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[93.7;</w:t>
            </w:r>
          </w:p>
          <w:p w:rsidR="00410D42" w:rsidRPr="00617BCA" w:rsidRDefault="00410D42" w:rsidP="007827B9">
            <w:pPr>
              <w:jc w:val="center"/>
              <w:rPr>
                <w:sz w:val="22"/>
                <w:szCs w:val="22"/>
              </w:rPr>
            </w:pPr>
            <w:r w:rsidRPr="00617BCA">
              <w:rPr>
                <w:sz w:val="22"/>
                <w:szCs w:val="22"/>
              </w:rPr>
              <w:t>100]</w:t>
            </w:r>
          </w:p>
        </w:tc>
      </w:tr>
      <w:tr w:rsidR="00410D42" w:rsidRPr="00617BCA" w:rsidTr="007827B9">
        <w:tc>
          <w:tcPr>
            <w:tcW w:w="1242" w:type="dxa"/>
          </w:tcPr>
          <w:p w:rsidR="00410D42" w:rsidRPr="00617BCA" w:rsidRDefault="00410D42" w:rsidP="007827B9">
            <w:pPr>
              <w:rPr>
                <w:sz w:val="22"/>
                <w:szCs w:val="22"/>
              </w:rPr>
            </w:pPr>
            <w:r w:rsidRPr="00617BCA">
              <w:rPr>
                <w:sz w:val="22"/>
                <w:szCs w:val="22"/>
              </w:rPr>
              <w:t>Sero-conversion rate</w:t>
            </w:r>
            <w:r w:rsidRPr="00617BCA">
              <w:rPr>
                <w:sz w:val="22"/>
                <w:szCs w:val="22"/>
                <w:vertAlign w:val="superscript"/>
              </w:rPr>
              <w:t>2</w:t>
            </w:r>
          </w:p>
        </w:tc>
        <w:tc>
          <w:tcPr>
            <w:tcW w:w="1134" w:type="dxa"/>
          </w:tcPr>
          <w:p w:rsidR="00410D42" w:rsidRPr="00617BCA" w:rsidRDefault="00410D42" w:rsidP="007827B9">
            <w:pPr>
              <w:jc w:val="center"/>
              <w:rPr>
                <w:sz w:val="22"/>
                <w:szCs w:val="22"/>
              </w:rPr>
            </w:pPr>
            <w:r w:rsidRPr="00617BCA">
              <w:rPr>
                <w:sz w:val="22"/>
                <w:szCs w:val="22"/>
              </w:rPr>
              <w:t>96.3%</w:t>
            </w:r>
          </w:p>
          <w:p w:rsidR="00410D42" w:rsidRPr="00617BCA" w:rsidRDefault="00410D42" w:rsidP="007827B9">
            <w:pPr>
              <w:jc w:val="center"/>
              <w:rPr>
                <w:sz w:val="22"/>
                <w:szCs w:val="22"/>
              </w:rPr>
            </w:pPr>
            <w:r w:rsidRPr="00617BCA">
              <w:rPr>
                <w:sz w:val="22"/>
                <w:szCs w:val="22"/>
              </w:rPr>
              <w:t>[87.3;</w:t>
            </w:r>
          </w:p>
          <w:p w:rsidR="00410D42" w:rsidRPr="00617BCA" w:rsidRDefault="00410D42" w:rsidP="007827B9">
            <w:pPr>
              <w:jc w:val="center"/>
              <w:rPr>
                <w:sz w:val="22"/>
                <w:szCs w:val="22"/>
              </w:rPr>
            </w:pPr>
            <w:r w:rsidRPr="00617BCA">
              <w:rPr>
                <w:sz w:val="22"/>
                <w:szCs w:val="22"/>
              </w:rPr>
              <w:t>99.5]</w:t>
            </w:r>
          </w:p>
        </w:tc>
        <w:tc>
          <w:tcPr>
            <w:tcW w:w="1022" w:type="dxa"/>
          </w:tcPr>
          <w:p w:rsidR="00410D42" w:rsidRPr="00617BCA" w:rsidRDefault="00410D42" w:rsidP="007827B9">
            <w:pPr>
              <w:jc w:val="center"/>
              <w:rPr>
                <w:sz w:val="22"/>
                <w:szCs w:val="22"/>
              </w:rPr>
            </w:pPr>
            <w:r w:rsidRPr="00617BCA">
              <w:rPr>
                <w:sz w:val="22"/>
                <w:szCs w:val="22"/>
              </w:rPr>
              <w:t>98.1%</w:t>
            </w:r>
          </w:p>
          <w:p w:rsidR="00410D42" w:rsidRPr="00617BCA" w:rsidRDefault="00410D42" w:rsidP="007827B9">
            <w:pPr>
              <w:jc w:val="center"/>
              <w:rPr>
                <w:sz w:val="22"/>
                <w:szCs w:val="22"/>
              </w:rPr>
            </w:pPr>
            <w:r w:rsidRPr="00617BCA">
              <w:rPr>
                <w:sz w:val="22"/>
                <w:szCs w:val="22"/>
              </w:rPr>
              <w:t>[90.1;</w:t>
            </w:r>
          </w:p>
          <w:p w:rsidR="00410D42" w:rsidRPr="00617BCA" w:rsidRDefault="00410D42" w:rsidP="007827B9">
            <w:pPr>
              <w:jc w:val="center"/>
              <w:rPr>
                <w:sz w:val="22"/>
                <w:szCs w:val="22"/>
              </w:rPr>
            </w:pPr>
            <w:r w:rsidRPr="00617BCA">
              <w:rPr>
                <w:sz w:val="22"/>
                <w:szCs w:val="22"/>
              </w:rPr>
              <w:t>100]</w:t>
            </w:r>
          </w:p>
        </w:tc>
        <w:tc>
          <w:tcPr>
            <w:tcW w:w="1105" w:type="dxa"/>
          </w:tcPr>
          <w:p w:rsidR="00410D42" w:rsidRPr="00617BCA" w:rsidRDefault="00410D42" w:rsidP="007827B9">
            <w:pPr>
              <w:jc w:val="center"/>
              <w:rPr>
                <w:sz w:val="22"/>
                <w:szCs w:val="22"/>
              </w:rPr>
            </w:pPr>
            <w:r w:rsidRPr="00617BCA">
              <w:rPr>
                <w:sz w:val="22"/>
                <w:szCs w:val="22"/>
              </w:rPr>
              <w:t>97.3%</w:t>
            </w:r>
          </w:p>
          <w:p w:rsidR="00410D42" w:rsidRDefault="00410D42" w:rsidP="007827B9">
            <w:pPr>
              <w:jc w:val="center"/>
              <w:rPr>
                <w:sz w:val="22"/>
                <w:szCs w:val="22"/>
              </w:rPr>
            </w:pPr>
            <w:r w:rsidRPr="00617BCA">
              <w:rPr>
                <w:sz w:val="22"/>
                <w:szCs w:val="22"/>
              </w:rPr>
              <w:t>[85.8;</w:t>
            </w:r>
          </w:p>
          <w:p w:rsidR="00410D42" w:rsidRPr="00617BCA" w:rsidRDefault="00410D42" w:rsidP="007827B9">
            <w:pPr>
              <w:jc w:val="center"/>
              <w:rPr>
                <w:sz w:val="22"/>
                <w:szCs w:val="22"/>
              </w:rPr>
            </w:pPr>
            <w:r w:rsidRPr="00617BCA">
              <w:rPr>
                <w:sz w:val="22"/>
                <w:szCs w:val="22"/>
              </w:rPr>
              <w:t>99.9]</w:t>
            </w:r>
          </w:p>
        </w:tc>
        <w:tc>
          <w:tcPr>
            <w:tcW w:w="1134"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[90.5;</w:t>
            </w:r>
          </w:p>
          <w:p w:rsidR="00410D42" w:rsidRPr="00617BCA" w:rsidRDefault="00410D42" w:rsidP="007827B9">
            <w:pPr>
              <w:jc w:val="center"/>
              <w:rPr>
                <w:sz w:val="22"/>
                <w:szCs w:val="22"/>
              </w:rPr>
            </w:pPr>
            <w:r w:rsidRPr="00617BCA">
              <w:rPr>
                <w:sz w:val="22"/>
                <w:szCs w:val="22"/>
              </w:rPr>
              <w:t>100]</w:t>
            </w:r>
          </w:p>
        </w:tc>
        <w:tc>
          <w:tcPr>
            <w:tcW w:w="1085" w:type="dxa"/>
          </w:tcPr>
          <w:p w:rsidR="00410D42" w:rsidRPr="00617BCA" w:rsidRDefault="00410D42" w:rsidP="007827B9">
            <w:pPr>
              <w:jc w:val="center"/>
              <w:rPr>
                <w:sz w:val="22"/>
                <w:szCs w:val="22"/>
              </w:rPr>
            </w:pPr>
            <w:r w:rsidRPr="00617BCA">
              <w:rPr>
                <w:sz w:val="22"/>
                <w:szCs w:val="22"/>
              </w:rPr>
              <w:t>96.7%</w:t>
            </w:r>
          </w:p>
          <w:p w:rsidR="00410D42" w:rsidRPr="00617BCA" w:rsidRDefault="00410D42" w:rsidP="007827B9">
            <w:pPr>
              <w:jc w:val="center"/>
              <w:rPr>
                <w:sz w:val="22"/>
                <w:szCs w:val="22"/>
              </w:rPr>
            </w:pPr>
            <w:r w:rsidRPr="00617BCA">
              <w:rPr>
                <w:sz w:val="22"/>
                <w:szCs w:val="22"/>
              </w:rPr>
              <w:t>[90.8;</w:t>
            </w:r>
          </w:p>
          <w:p w:rsidR="00410D42" w:rsidRPr="00617BCA" w:rsidRDefault="00410D42" w:rsidP="007827B9">
            <w:pPr>
              <w:jc w:val="center"/>
              <w:rPr>
                <w:sz w:val="22"/>
                <w:szCs w:val="22"/>
              </w:rPr>
            </w:pPr>
            <w:r w:rsidRPr="00617BCA">
              <w:rPr>
                <w:sz w:val="22"/>
                <w:szCs w:val="22"/>
              </w:rPr>
              <w:t>99.3]</w:t>
            </w:r>
          </w:p>
        </w:tc>
        <w:tc>
          <w:tcPr>
            <w:tcW w:w="1183" w:type="dxa"/>
          </w:tcPr>
          <w:p w:rsidR="00410D42" w:rsidRPr="00617BCA" w:rsidRDefault="00410D42" w:rsidP="007827B9">
            <w:pPr>
              <w:jc w:val="center"/>
              <w:rPr>
                <w:sz w:val="22"/>
                <w:szCs w:val="22"/>
              </w:rPr>
            </w:pPr>
            <w:r w:rsidRPr="00617BCA">
              <w:rPr>
                <w:sz w:val="22"/>
                <w:szCs w:val="22"/>
              </w:rPr>
              <w:t>96.6%</w:t>
            </w:r>
          </w:p>
          <w:p w:rsidR="00410D42" w:rsidRPr="00617BCA" w:rsidRDefault="00410D42" w:rsidP="007827B9">
            <w:pPr>
              <w:jc w:val="center"/>
              <w:rPr>
                <w:sz w:val="22"/>
                <w:szCs w:val="22"/>
              </w:rPr>
            </w:pPr>
            <w:r w:rsidRPr="00617BCA">
              <w:rPr>
                <w:sz w:val="22"/>
                <w:szCs w:val="22"/>
              </w:rPr>
              <w:t>[90.4;</w:t>
            </w:r>
          </w:p>
          <w:p w:rsidR="00410D42" w:rsidRPr="00617BCA" w:rsidRDefault="00410D42" w:rsidP="007827B9">
            <w:pPr>
              <w:jc w:val="center"/>
              <w:rPr>
                <w:sz w:val="22"/>
                <w:szCs w:val="22"/>
              </w:rPr>
            </w:pPr>
            <w:r w:rsidRPr="00617BCA">
              <w:rPr>
                <w:sz w:val="22"/>
                <w:szCs w:val="22"/>
              </w:rPr>
              <w:t>99.3]</w:t>
            </w:r>
          </w:p>
        </w:tc>
        <w:tc>
          <w:tcPr>
            <w:tcW w:w="1134" w:type="dxa"/>
          </w:tcPr>
          <w:p w:rsidR="00410D42" w:rsidRPr="00617BCA" w:rsidRDefault="00410D42" w:rsidP="007827B9">
            <w:pPr>
              <w:jc w:val="center"/>
              <w:rPr>
                <w:sz w:val="22"/>
                <w:szCs w:val="22"/>
              </w:rPr>
            </w:pPr>
            <w:r w:rsidRPr="00617BCA">
              <w:rPr>
                <w:sz w:val="22"/>
                <w:szCs w:val="22"/>
              </w:rPr>
              <w:t>100%</w:t>
            </w:r>
          </w:p>
          <w:p w:rsidR="00410D42" w:rsidRDefault="00410D42" w:rsidP="007827B9">
            <w:pPr>
              <w:jc w:val="center"/>
              <w:rPr>
                <w:sz w:val="22"/>
                <w:szCs w:val="22"/>
              </w:rPr>
            </w:pPr>
            <w:r w:rsidRPr="00617BCA">
              <w:rPr>
                <w:sz w:val="22"/>
                <w:szCs w:val="22"/>
              </w:rPr>
              <w:t>[93.9;</w:t>
            </w:r>
          </w:p>
          <w:p w:rsidR="00410D42" w:rsidRPr="00617BCA" w:rsidRDefault="00410D42" w:rsidP="007827B9">
            <w:pPr>
              <w:jc w:val="center"/>
              <w:rPr>
                <w:sz w:val="22"/>
                <w:szCs w:val="22"/>
              </w:rPr>
            </w:pPr>
            <w:r w:rsidRPr="00617BCA">
              <w:rPr>
                <w:sz w:val="22"/>
                <w:szCs w:val="22"/>
              </w:rPr>
              <w:t>100]</w:t>
            </w:r>
          </w:p>
        </w:tc>
        <w:tc>
          <w:tcPr>
            <w:tcW w:w="992" w:type="dxa"/>
          </w:tcPr>
          <w:p w:rsidR="00410D42" w:rsidRPr="00617BCA" w:rsidRDefault="00410D42" w:rsidP="007827B9">
            <w:pPr>
              <w:jc w:val="center"/>
              <w:rPr>
                <w:sz w:val="22"/>
                <w:szCs w:val="22"/>
              </w:rPr>
            </w:pPr>
            <w:r w:rsidRPr="00617BCA">
              <w:rPr>
                <w:sz w:val="22"/>
                <w:szCs w:val="22"/>
              </w:rPr>
              <w:t>100%</w:t>
            </w:r>
          </w:p>
          <w:p w:rsidR="00410D42" w:rsidRPr="00617BCA" w:rsidRDefault="00410D42" w:rsidP="007827B9">
            <w:pPr>
              <w:jc w:val="center"/>
              <w:rPr>
                <w:sz w:val="22"/>
                <w:szCs w:val="22"/>
              </w:rPr>
            </w:pPr>
            <w:r w:rsidRPr="00617BCA">
              <w:rPr>
                <w:sz w:val="22"/>
                <w:szCs w:val="22"/>
              </w:rPr>
              <w:t>[93.7;</w:t>
            </w:r>
          </w:p>
          <w:p w:rsidR="00410D42" w:rsidRPr="00617BCA" w:rsidRDefault="00410D42" w:rsidP="007827B9">
            <w:pPr>
              <w:jc w:val="center"/>
              <w:rPr>
                <w:sz w:val="22"/>
                <w:szCs w:val="22"/>
              </w:rPr>
            </w:pPr>
            <w:r w:rsidRPr="00617BCA">
              <w:rPr>
                <w:sz w:val="22"/>
                <w:szCs w:val="22"/>
              </w:rPr>
              <w:t>100]</w:t>
            </w:r>
          </w:p>
        </w:tc>
      </w:tr>
      <w:tr w:rsidR="00410D42" w:rsidRPr="00617BCA" w:rsidTr="007827B9">
        <w:tc>
          <w:tcPr>
            <w:tcW w:w="1242" w:type="dxa"/>
          </w:tcPr>
          <w:p w:rsidR="00410D42" w:rsidRPr="00617BCA" w:rsidRDefault="00410D42" w:rsidP="007827B9">
            <w:pPr>
              <w:rPr>
                <w:sz w:val="22"/>
                <w:szCs w:val="22"/>
              </w:rPr>
            </w:pPr>
            <w:r w:rsidRPr="00617BCA">
              <w:rPr>
                <w:sz w:val="22"/>
                <w:szCs w:val="22"/>
              </w:rPr>
              <w:t>Sero-conversion factor</w:t>
            </w:r>
            <w:r w:rsidRPr="00617BCA">
              <w:rPr>
                <w:sz w:val="22"/>
                <w:szCs w:val="22"/>
                <w:vertAlign w:val="superscript"/>
              </w:rPr>
              <w:t>3</w:t>
            </w:r>
          </w:p>
        </w:tc>
        <w:tc>
          <w:tcPr>
            <w:tcW w:w="1134" w:type="dxa"/>
          </w:tcPr>
          <w:p w:rsidR="00410D42" w:rsidRPr="00617BCA" w:rsidRDefault="00410D42" w:rsidP="007827B9">
            <w:pPr>
              <w:jc w:val="center"/>
              <w:rPr>
                <w:sz w:val="22"/>
                <w:szCs w:val="22"/>
              </w:rPr>
            </w:pPr>
            <w:r w:rsidRPr="00617BCA">
              <w:rPr>
                <w:sz w:val="22"/>
                <w:szCs w:val="22"/>
              </w:rPr>
              <w:t>48.29</w:t>
            </w:r>
          </w:p>
          <w:p w:rsidR="00410D42" w:rsidRPr="00617BCA" w:rsidRDefault="00410D42" w:rsidP="007827B9">
            <w:pPr>
              <w:jc w:val="center"/>
              <w:rPr>
                <w:sz w:val="22"/>
                <w:szCs w:val="22"/>
              </w:rPr>
            </w:pPr>
            <w:r w:rsidRPr="00617BCA">
              <w:rPr>
                <w:sz w:val="22"/>
                <w:szCs w:val="22"/>
              </w:rPr>
              <w:t>[35.64;</w:t>
            </w:r>
          </w:p>
          <w:p w:rsidR="00410D42" w:rsidRPr="00617BCA" w:rsidRDefault="00410D42" w:rsidP="007827B9">
            <w:pPr>
              <w:jc w:val="center"/>
              <w:rPr>
                <w:sz w:val="22"/>
                <w:szCs w:val="22"/>
              </w:rPr>
            </w:pPr>
            <w:r w:rsidRPr="00617BCA">
              <w:rPr>
                <w:sz w:val="22"/>
                <w:szCs w:val="22"/>
              </w:rPr>
              <w:t>65.42]</w:t>
            </w:r>
          </w:p>
        </w:tc>
        <w:tc>
          <w:tcPr>
            <w:tcW w:w="1022" w:type="dxa"/>
          </w:tcPr>
          <w:p w:rsidR="00410D42" w:rsidRPr="00617BCA" w:rsidRDefault="00410D42" w:rsidP="007827B9">
            <w:pPr>
              <w:jc w:val="center"/>
              <w:rPr>
                <w:sz w:val="22"/>
                <w:szCs w:val="22"/>
              </w:rPr>
            </w:pPr>
            <w:r w:rsidRPr="00617BCA">
              <w:rPr>
                <w:sz w:val="22"/>
                <w:szCs w:val="22"/>
              </w:rPr>
              <w:t>107.74</w:t>
            </w:r>
          </w:p>
          <w:p w:rsidR="00410D42" w:rsidRPr="00617BCA" w:rsidRDefault="00410D42" w:rsidP="007827B9">
            <w:pPr>
              <w:jc w:val="center"/>
              <w:rPr>
                <w:sz w:val="22"/>
                <w:szCs w:val="22"/>
              </w:rPr>
            </w:pPr>
            <w:r w:rsidRPr="00617BCA">
              <w:rPr>
                <w:sz w:val="22"/>
                <w:szCs w:val="22"/>
              </w:rPr>
              <w:t>[76.64;</w:t>
            </w:r>
          </w:p>
          <w:p w:rsidR="00410D42" w:rsidRPr="00617BCA" w:rsidRDefault="00410D42" w:rsidP="007827B9">
            <w:pPr>
              <w:jc w:val="center"/>
              <w:rPr>
                <w:sz w:val="22"/>
                <w:szCs w:val="22"/>
              </w:rPr>
            </w:pPr>
            <w:r w:rsidRPr="00617BCA">
              <w:rPr>
                <w:sz w:val="22"/>
                <w:szCs w:val="22"/>
              </w:rPr>
              <w:t>151.45]</w:t>
            </w:r>
          </w:p>
        </w:tc>
        <w:tc>
          <w:tcPr>
            <w:tcW w:w="1105" w:type="dxa"/>
          </w:tcPr>
          <w:p w:rsidR="00410D42" w:rsidRPr="00617BCA" w:rsidRDefault="00410D42" w:rsidP="007827B9">
            <w:pPr>
              <w:jc w:val="center"/>
              <w:rPr>
                <w:sz w:val="22"/>
                <w:szCs w:val="22"/>
              </w:rPr>
            </w:pPr>
            <w:r w:rsidRPr="00617BCA">
              <w:rPr>
                <w:sz w:val="22"/>
                <w:szCs w:val="22"/>
              </w:rPr>
              <w:t>67.7</w:t>
            </w:r>
          </w:p>
          <w:p w:rsidR="00410D42" w:rsidRDefault="00410D42" w:rsidP="007827B9">
            <w:pPr>
              <w:jc w:val="center"/>
              <w:rPr>
                <w:sz w:val="22"/>
                <w:szCs w:val="22"/>
              </w:rPr>
            </w:pPr>
            <w:r w:rsidRPr="00617BCA">
              <w:rPr>
                <w:sz w:val="22"/>
                <w:szCs w:val="22"/>
              </w:rPr>
              <w:t>[49.21;</w:t>
            </w:r>
          </w:p>
          <w:p w:rsidR="00410D42" w:rsidRPr="00617BCA" w:rsidRDefault="00410D42" w:rsidP="007827B9">
            <w:pPr>
              <w:jc w:val="center"/>
              <w:rPr>
                <w:sz w:val="22"/>
                <w:szCs w:val="22"/>
              </w:rPr>
            </w:pPr>
            <w:r w:rsidRPr="00617BCA">
              <w:rPr>
                <w:sz w:val="22"/>
                <w:szCs w:val="22"/>
              </w:rPr>
              <w:t>93.05</w:t>
            </w:r>
          </w:p>
        </w:tc>
        <w:tc>
          <w:tcPr>
            <w:tcW w:w="1134" w:type="dxa"/>
          </w:tcPr>
          <w:p w:rsidR="00410D42" w:rsidRPr="00617BCA" w:rsidRDefault="00410D42" w:rsidP="007827B9">
            <w:pPr>
              <w:jc w:val="center"/>
              <w:rPr>
                <w:sz w:val="22"/>
                <w:szCs w:val="22"/>
              </w:rPr>
            </w:pPr>
            <w:r w:rsidRPr="00617BCA">
              <w:rPr>
                <w:sz w:val="22"/>
                <w:szCs w:val="22"/>
              </w:rPr>
              <w:t>187.92</w:t>
            </w:r>
          </w:p>
          <w:p w:rsidR="00410D42" w:rsidRPr="00617BCA" w:rsidRDefault="00410D42" w:rsidP="007827B9">
            <w:pPr>
              <w:jc w:val="center"/>
              <w:rPr>
                <w:sz w:val="22"/>
                <w:szCs w:val="22"/>
              </w:rPr>
            </w:pPr>
            <w:r w:rsidRPr="00617BCA">
              <w:rPr>
                <w:sz w:val="22"/>
                <w:szCs w:val="22"/>
              </w:rPr>
              <w:t>[150.67;</w:t>
            </w:r>
          </w:p>
          <w:p w:rsidR="00410D42" w:rsidRPr="00617BCA" w:rsidRDefault="00410D42" w:rsidP="007827B9">
            <w:pPr>
              <w:jc w:val="center"/>
              <w:rPr>
                <w:sz w:val="22"/>
                <w:szCs w:val="22"/>
              </w:rPr>
            </w:pPr>
            <w:r w:rsidRPr="00617BCA">
              <w:rPr>
                <w:sz w:val="22"/>
                <w:szCs w:val="22"/>
              </w:rPr>
              <w:t>234.38]</w:t>
            </w:r>
          </w:p>
        </w:tc>
        <w:tc>
          <w:tcPr>
            <w:tcW w:w="1085" w:type="dxa"/>
          </w:tcPr>
          <w:p w:rsidR="00410D42" w:rsidRPr="00617BCA" w:rsidRDefault="00410D42" w:rsidP="007827B9">
            <w:pPr>
              <w:jc w:val="center"/>
              <w:rPr>
                <w:sz w:val="22"/>
                <w:szCs w:val="22"/>
              </w:rPr>
            </w:pPr>
            <w:r w:rsidRPr="00617BCA">
              <w:rPr>
                <w:sz w:val="22"/>
                <w:szCs w:val="22"/>
              </w:rPr>
              <w:t>72.2</w:t>
            </w:r>
          </w:p>
          <w:p w:rsidR="00410D42" w:rsidRPr="00617BCA" w:rsidRDefault="00410D42" w:rsidP="007827B9">
            <w:pPr>
              <w:jc w:val="center"/>
              <w:rPr>
                <w:sz w:val="22"/>
                <w:szCs w:val="22"/>
              </w:rPr>
            </w:pPr>
            <w:r w:rsidRPr="00617BCA">
              <w:rPr>
                <w:sz w:val="22"/>
                <w:szCs w:val="22"/>
              </w:rPr>
              <w:t>[57.2;</w:t>
            </w:r>
          </w:p>
          <w:p w:rsidR="00410D42" w:rsidRPr="00617BCA" w:rsidRDefault="00410D42" w:rsidP="007827B9">
            <w:pPr>
              <w:jc w:val="center"/>
              <w:rPr>
                <w:sz w:val="22"/>
                <w:szCs w:val="22"/>
              </w:rPr>
            </w:pPr>
            <w:r w:rsidRPr="00617BCA">
              <w:rPr>
                <w:sz w:val="22"/>
                <w:szCs w:val="22"/>
              </w:rPr>
              <w:t>91.2]</w:t>
            </w:r>
          </w:p>
        </w:tc>
        <w:tc>
          <w:tcPr>
            <w:tcW w:w="1183" w:type="dxa"/>
          </w:tcPr>
          <w:p w:rsidR="00410D42" w:rsidRPr="00617BCA" w:rsidRDefault="00410D42" w:rsidP="007827B9">
            <w:pPr>
              <w:jc w:val="center"/>
              <w:rPr>
                <w:sz w:val="22"/>
                <w:szCs w:val="22"/>
              </w:rPr>
            </w:pPr>
            <w:r w:rsidRPr="00617BCA">
              <w:rPr>
                <w:sz w:val="22"/>
                <w:szCs w:val="22"/>
              </w:rPr>
              <w:t>139.1</w:t>
            </w:r>
          </w:p>
          <w:p w:rsidR="00410D42" w:rsidRPr="00617BCA" w:rsidRDefault="00410D42" w:rsidP="007827B9">
            <w:pPr>
              <w:jc w:val="center"/>
              <w:rPr>
                <w:sz w:val="22"/>
                <w:szCs w:val="22"/>
              </w:rPr>
            </w:pPr>
            <w:r w:rsidRPr="00617BCA">
              <w:rPr>
                <w:sz w:val="22"/>
                <w:szCs w:val="22"/>
              </w:rPr>
              <w:t>[105.7;</w:t>
            </w:r>
          </w:p>
          <w:p w:rsidR="00410D42" w:rsidRPr="00617BCA" w:rsidRDefault="00410D42" w:rsidP="007827B9">
            <w:pPr>
              <w:jc w:val="center"/>
              <w:rPr>
                <w:sz w:val="22"/>
                <w:szCs w:val="22"/>
              </w:rPr>
            </w:pPr>
            <w:r w:rsidRPr="00617BCA">
              <w:rPr>
                <w:sz w:val="22"/>
                <w:szCs w:val="22"/>
              </w:rPr>
              <w:t>183.1]</w:t>
            </w:r>
          </w:p>
        </w:tc>
        <w:tc>
          <w:tcPr>
            <w:tcW w:w="1134" w:type="dxa"/>
          </w:tcPr>
          <w:p w:rsidR="00410D42" w:rsidRPr="00617BCA" w:rsidRDefault="00410D42" w:rsidP="007827B9">
            <w:pPr>
              <w:jc w:val="center"/>
              <w:rPr>
                <w:sz w:val="22"/>
                <w:szCs w:val="22"/>
              </w:rPr>
            </w:pPr>
            <w:r w:rsidRPr="00617BCA">
              <w:rPr>
                <w:sz w:val="22"/>
                <w:szCs w:val="22"/>
              </w:rPr>
              <w:t>99.4</w:t>
            </w:r>
          </w:p>
          <w:p w:rsidR="00410D42" w:rsidRPr="00617BCA" w:rsidRDefault="00410D42" w:rsidP="007827B9">
            <w:pPr>
              <w:jc w:val="center"/>
              <w:rPr>
                <w:sz w:val="22"/>
                <w:szCs w:val="22"/>
              </w:rPr>
            </w:pPr>
            <w:r w:rsidRPr="00617BCA">
              <w:rPr>
                <w:sz w:val="22"/>
                <w:szCs w:val="22"/>
              </w:rPr>
              <w:t>[81.0;</w:t>
            </w:r>
          </w:p>
          <w:p w:rsidR="00410D42" w:rsidRPr="00617BCA" w:rsidRDefault="00410D42" w:rsidP="007827B9">
            <w:pPr>
              <w:jc w:val="center"/>
              <w:rPr>
                <w:sz w:val="22"/>
                <w:szCs w:val="22"/>
              </w:rPr>
            </w:pPr>
            <w:r w:rsidRPr="00617BCA">
              <w:rPr>
                <w:sz w:val="22"/>
                <w:szCs w:val="22"/>
              </w:rPr>
              <w:t>122.1]</w:t>
            </w:r>
          </w:p>
        </w:tc>
        <w:tc>
          <w:tcPr>
            <w:tcW w:w="992" w:type="dxa"/>
          </w:tcPr>
          <w:p w:rsidR="00410D42" w:rsidRPr="00617BCA" w:rsidRDefault="00410D42" w:rsidP="007827B9">
            <w:pPr>
              <w:jc w:val="center"/>
              <w:rPr>
                <w:sz w:val="22"/>
                <w:szCs w:val="22"/>
              </w:rPr>
            </w:pPr>
            <w:r w:rsidRPr="00617BCA">
              <w:rPr>
                <w:sz w:val="22"/>
                <w:szCs w:val="22"/>
              </w:rPr>
              <w:t>249.8</w:t>
            </w:r>
          </w:p>
          <w:p w:rsidR="00410D42" w:rsidRPr="00617BCA" w:rsidRDefault="00410D42" w:rsidP="007827B9">
            <w:pPr>
              <w:jc w:val="center"/>
              <w:rPr>
                <w:sz w:val="22"/>
                <w:szCs w:val="22"/>
              </w:rPr>
            </w:pPr>
            <w:r w:rsidRPr="00617BCA">
              <w:rPr>
                <w:sz w:val="22"/>
                <w:szCs w:val="22"/>
              </w:rPr>
              <w:t>[212.9;</w:t>
            </w:r>
          </w:p>
          <w:p w:rsidR="00410D42" w:rsidRPr="00617BCA" w:rsidRDefault="00410D42" w:rsidP="007827B9">
            <w:pPr>
              <w:jc w:val="center"/>
              <w:rPr>
                <w:sz w:val="22"/>
                <w:szCs w:val="22"/>
              </w:rPr>
            </w:pPr>
            <w:r w:rsidRPr="00617BCA">
              <w:rPr>
                <w:sz w:val="22"/>
                <w:szCs w:val="22"/>
              </w:rPr>
              <w:t>293.2]</w:t>
            </w:r>
          </w:p>
        </w:tc>
      </w:tr>
    </w:tbl>
    <w:p w:rsidR="00410D42" w:rsidRPr="0021611F" w:rsidRDefault="00410D42" w:rsidP="00410D42">
      <w:pPr>
        <w:rPr>
          <w:szCs w:val="22"/>
        </w:rPr>
      </w:pPr>
      <w:r w:rsidRPr="0021611F">
        <w:rPr>
          <w:szCs w:val="22"/>
          <w:vertAlign w:val="superscript"/>
        </w:rPr>
        <w:t>1</w:t>
      </w:r>
      <w:r w:rsidRPr="0021611F">
        <w:rPr>
          <w:szCs w:val="22"/>
        </w:rPr>
        <w:t xml:space="preserve"> seroprotection rate: proportion of subjects with haemagglutination inhibition (HI) titre </w:t>
      </w:r>
      <w:r w:rsidRPr="0021611F">
        <w:rPr>
          <w:szCs w:val="22"/>
        </w:rPr>
        <w:sym w:font="Symbol" w:char="F0B3"/>
      </w:r>
      <w:r w:rsidRPr="0021611F">
        <w:rPr>
          <w:szCs w:val="22"/>
        </w:rPr>
        <w:t xml:space="preserve">1:40; </w:t>
      </w:r>
      <w:r w:rsidRPr="0021611F">
        <w:rPr>
          <w:szCs w:val="22"/>
          <w:vertAlign w:val="superscript"/>
        </w:rPr>
        <w:t>2</w:t>
      </w:r>
      <w:r w:rsidRPr="0021611F">
        <w:rPr>
          <w:szCs w:val="22"/>
        </w:rPr>
        <w:t xml:space="preserve">seroconversion rate: proportion of subjects who were either seronegative at pre-vaccination and have a protective post-vaccination titre of </w:t>
      </w:r>
      <w:r w:rsidRPr="0021611F">
        <w:rPr>
          <w:szCs w:val="22"/>
        </w:rPr>
        <w:sym w:font="Symbol" w:char="F0B3"/>
      </w:r>
      <w:r w:rsidRPr="0021611F">
        <w:rPr>
          <w:szCs w:val="22"/>
        </w:rPr>
        <w:t xml:space="preserve">1:40, or who were seropositive at pre-vaccination and have a 4-fold increase in titre; </w:t>
      </w:r>
    </w:p>
    <w:p w:rsidR="00410D42" w:rsidRPr="0021611F" w:rsidRDefault="00410D42" w:rsidP="00410D42">
      <w:pPr>
        <w:rPr>
          <w:szCs w:val="22"/>
        </w:rPr>
      </w:pPr>
      <w:r w:rsidRPr="0021611F">
        <w:rPr>
          <w:szCs w:val="22"/>
          <w:vertAlign w:val="superscript"/>
        </w:rPr>
        <w:t>3</w:t>
      </w:r>
      <w:r w:rsidRPr="0021611F">
        <w:rPr>
          <w:szCs w:val="22"/>
        </w:rPr>
        <w:t>seroconversion factor: ratio of the post-vaccination geometric mean titre (GMT) and the pre-vaccination GMT.</w:t>
      </w:r>
    </w:p>
    <w:p w:rsidR="00C8276C" w:rsidRPr="00C96336" w:rsidRDefault="00410D42" w:rsidP="000E1D6B">
      <w:pPr>
        <w:spacing w:line="0" w:lineRule="atLeast"/>
        <w:rPr>
          <w:rFonts w:ascii="Arial" w:hAnsi="Arial" w:cs="Arial"/>
          <w:color w:val="000000"/>
          <w:sz w:val="22"/>
          <w:szCs w:val="22"/>
        </w:rPr>
      </w:pPr>
      <w:r w:rsidRPr="0021611F">
        <w:rPr>
          <w:szCs w:val="22"/>
          <w:vertAlign w:val="superscript"/>
        </w:rPr>
        <w:t>4</w:t>
      </w:r>
      <w:r w:rsidRPr="0021611F">
        <w:rPr>
          <w:szCs w:val="22"/>
        </w:rPr>
        <w:t>according to protocol</w:t>
      </w:r>
    </w:p>
    <w:p w:rsidR="00B20C9C" w:rsidRDefault="00E77FC5" w:rsidP="000E1D6B">
      <w:pPr>
        <w:spacing w:before="160" w:after="160" w:line="360" w:lineRule="atLeast"/>
        <w:rPr>
          <w:rFonts w:ascii="Arial" w:hAnsi="Arial" w:cs="Arial"/>
          <w:color w:val="000000"/>
          <w:sz w:val="22"/>
          <w:szCs w:val="22"/>
        </w:rPr>
      </w:pPr>
      <w:r w:rsidRPr="00E77FC5">
        <w:rPr>
          <w:rFonts w:ascii="Arial" w:hAnsi="Arial" w:cs="Arial"/>
          <w:color w:val="000000"/>
          <w:sz w:val="22"/>
          <w:szCs w:val="22"/>
        </w:rPr>
        <w:t>The six months seroprotection rate in the children who had received two half adult doses was 100%.</w:t>
      </w:r>
    </w:p>
    <w:p w:rsidR="00B20C9C" w:rsidRDefault="00E77FC5" w:rsidP="000E1D6B">
      <w:pPr>
        <w:spacing w:before="160" w:after="160" w:line="360" w:lineRule="atLeast"/>
        <w:rPr>
          <w:rFonts w:ascii="Arial" w:hAnsi="Arial" w:cs="Arial"/>
          <w:color w:val="000000"/>
          <w:sz w:val="22"/>
          <w:szCs w:val="22"/>
        </w:rPr>
      </w:pPr>
      <w:r w:rsidRPr="00E77FC5">
        <w:rPr>
          <w:rFonts w:ascii="Arial" w:hAnsi="Arial" w:cs="Arial"/>
          <w:color w:val="000000"/>
          <w:sz w:val="22"/>
          <w:szCs w:val="22"/>
        </w:rPr>
        <w:t>Twelve months after the first dose, the seroprotection rates in the children who had received two half adult doses were 90.2% and 100% in those who had received two full adult doses.</w:t>
      </w:r>
    </w:p>
    <w:p w:rsidR="00B20C9C" w:rsidRDefault="00E77FC5" w:rsidP="000E1D6B">
      <w:pPr>
        <w:spacing w:before="160" w:after="160" w:line="360" w:lineRule="atLeast"/>
        <w:rPr>
          <w:rFonts w:ascii="Arial" w:hAnsi="Arial" w:cs="Arial"/>
          <w:color w:val="000000"/>
          <w:sz w:val="22"/>
          <w:szCs w:val="22"/>
        </w:rPr>
      </w:pPr>
      <w:r w:rsidRPr="00E77FC5">
        <w:rPr>
          <w:rFonts w:ascii="Arial" w:hAnsi="Arial" w:cs="Arial"/>
          <w:color w:val="000000"/>
          <w:sz w:val="22"/>
          <w:szCs w:val="22"/>
        </w:rPr>
        <w:t>The neutralising antibody responses at days 21 and 42 and at month 6 were 69.2%, 100% and 92.3%, respectively, for those children who received two half adult (0.25 ml) doses (21 days apart).  Neutralising antibody responses at days 21 and 42 and at month 12 were 86.7%, 100% and 89.3%, respectively, for those who received two full adult (0.5 ml) doses (21 days apart).</w:t>
      </w:r>
    </w:p>
    <w:p w:rsidR="00B20C9C" w:rsidRDefault="00E77FC5">
      <w:pPr>
        <w:spacing w:line="360" w:lineRule="atLeast"/>
        <w:rPr>
          <w:rFonts w:ascii="Arial" w:hAnsi="Arial" w:cs="Arial"/>
          <w:i/>
          <w:color w:val="000000"/>
          <w:sz w:val="22"/>
          <w:szCs w:val="22"/>
        </w:rPr>
      </w:pPr>
      <w:r w:rsidRPr="00E77FC5">
        <w:rPr>
          <w:rFonts w:ascii="Arial" w:hAnsi="Arial" w:cs="Arial"/>
          <w:b/>
          <w:bCs/>
          <w:i/>
          <w:color w:val="000000"/>
          <w:sz w:val="22"/>
          <w:szCs w:val="22"/>
        </w:rPr>
        <w:t>Children aged 3 to 9 years</w:t>
      </w:r>
    </w:p>
    <w:p w:rsidR="000E1D6B" w:rsidRDefault="00E77FC5" w:rsidP="000E1D6B">
      <w:pPr>
        <w:spacing w:after="160" w:line="360" w:lineRule="atLeast"/>
        <w:rPr>
          <w:rFonts w:ascii="Arial" w:hAnsi="Arial" w:cs="Arial"/>
          <w:color w:val="000000"/>
          <w:sz w:val="22"/>
          <w:szCs w:val="22"/>
        </w:rPr>
      </w:pPr>
      <w:r w:rsidRPr="00E77FC5">
        <w:rPr>
          <w:rFonts w:ascii="Arial" w:hAnsi="Arial" w:cs="Arial"/>
          <w:color w:val="000000"/>
          <w:sz w:val="22"/>
          <w:szCs w:val="22"/>
        </w:rPr>
        <w:t xml:space="preserve">In a clinical study in which children aged 3 to 9 years old received </w:t>
      </w:r>
      <w:r w:rsidR="000203B0">
        <w:rPr>
          <w:rFonts w:ascii="Arial" w:hAnsi="Arial" w:cs="Arial"/>
          <w:color w:val="000000"/>
          <w:sz w:val="22"/>
          <w:szCs w:val="22"/>
        </w:rPr>
        <w:t xml:space="preserve">two </w:t>
      </w:r>
      <w:r w:rsidRPr="00E77FC5">
        <w:rPr>
          <w:rFonts w:ascii="Arial" w:hAnsi="Arial" w:cs="Arial"/>
          <w:color w:val="000000"/>
          <w:sz w:val="22"/>
          <w:szCs w:val="22"/>
        </w:rPr>
        <w:t>half adult dose</w:t>
      </w:r>
      <w:r w:rsidR="000203B0">
        <w:rPr>
          <w:rFonts w:ascii="Arial" w:hAnsi="Arial" w:cs="Arial"/>
          <w:color w:val="000000"/>
          <w:sz w:val="22"/>
          <w:szCs w:val="22"/>
        </w:rPr>
        <w:t>s</w:t>
      </w:r>
      <w:r w:rsidRPr="00E77FC5">
        <w:rPr>
          <w:rFonts w:ascii="Arial" w:hAnsi="Arial" w:cs="Arial"/>
          <w:color w:val="000000"/>
          <w:sz w:val="22"/>
          <w:szCs w:val="22"/>
        </w:rPr>
        <w:t xml:space="preserve"> (0.25 ml) </w:t>
      </w:r>
      <w:r w:rsidR="000203B0">
        <w:rPr>
          <w:rFonts w:ascii="Arial" w:hAnsi="Arial" w:cs="Arial"/>
          <w:color w:val="000000"/>
          <w:sz w:val="22"/>
          <w:szCs w:val="22"/>
        </w:rPr>
        <w:t xml:space="preserve">21 days apart </w:t>
      </w:r>
      <w:r w:rsidRPr="00E77FC5">
        <w:rPr>
          <w:rFonts w:ascii="Arial" w:hAnsi="Arial" w:cs="Arial"/>
          <w:color w:val="000000"/>
          <w:sz w:val="22"/>
          <w:szCs w:val="22"/>
        </w:rPr>
        <w:t xml:space="preserve">of Pandemrix, the anti-HA antibody responses 21 days after a first </w:t>
      </w:r>
      <w:r w:rsidR="000203B0">
        <w:rPr>
          <w:rFonts w:ascii="Arial" w:hAnsi="Arial" w:cs="Arial"/>
          <w:color w:val="000000"/>
          <w:sz w:val="22"/>
          <w:szCs w:val="22"/>
        </w:rPr>
        <w:t xml:space="preserve"> and second </w:t>
      </w:r>
      <w:r w:rsidR="000E1D6B">
        <w:rPr>
          <w:rFonts w:ascii="Arial" w:hAnsi="Arial" w:cs="Arial"/>
          <w:color w:val="000000"/>
          <w:sz w:val="22"/>
          <w:szCs w:val="22"/>
        </w:rPr>
        <w:t>dose were as follows:</w:t>
      </w:r>
      <w:r w:rsidR="000E1D6B">
        <w:rPr>
          <w:rFonts w:ascii="Arial" w:hAnsi="Arial" w:cs="Arial"/>
          <w:color w:val="000000"/>
          <w:sz w:val="22"/>
          <w:szCs w:val="22"/>
        </w:rPr>
        <w:br w:type="page"/>
      </w:r>
    </w:p>
    <w:p w:rsidR="00B20C9C" w:rsidRDefault="00B20C9C" w:rsidP="000E1D6B">
      <w:pPr>
        <w:spacing w:line="0" w:lineRule="atLeast"/>
        <w:rPr>
          <w:rFonts w:ascii="Arial" w:hAnsi="Arial" w:cs="Arial"/>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0"/>
        <w:gridCol w:w="1106"/>
        <w:gridCol w:w="1276"/>
        <w:gridCol w:w="992"/>
        <w:gridCol w:w="1134"/>
        <w:gridCol w:w="993"/>
        <w:gridCol w:w="1134"/>
        <w:gridCol w:w="1134"/>
        <w:gridCol w:w="1134"/>
      </w:tblGrid>
      <w:tr w:rsidR="00410D42" w:rsidRPr="00D624A5" w:rsidTr="007827B9">
        <w:tc>
          <w:tcPr>
            <w:tcW w:w="1270" w:type="dxa"/>
          </w:tcPr>
          <w:p w:rsidR="00410D42" w:rsidRPr="00D624A5" w:rsidRDefault="00E77FC5" w:rsidP="007827B9">
            <w:pPr>
              <w:rPr>
                <w:rFonts w:ascii="Arial" w:hAnsi="Arial" w:cs="Arial"/>
              </w:rPr>
            </w:pPr>
            <w:r w:rsidRPr="00E77FC5">
              <w:rPr>
                <w:rFonts w:ascii="Arial" w:hAnsi="Arial" w:cs="Arial"/>
              </w:rPr>
              <w:br w:type="page"/>
              <w:t>anti-HA antibody</w:t>
            </w:r>
          </w:p>
        </w:tc>
        <w:tc>
          <w:tcPr>
            <w:tcW w:w="8903" w:type="dxa"/>
            <w:gridSpan w:val="8"/>
          </w:tcPr>
          <w:p w:rsidR="00410D42" w:rsidRPr="00D624A5" w:rsidRDefault="00E77FC5" w:rsidP="007827B9">
            <w:pPr>
              <w:jc w:val="center"/>
              <w:rPr>
                <w:rFonts w:ascii="Arial" w:hAnsi="Arial" w:cs="Arial"/>
              </w:rPr>
            </w:pPr>
            <w:r w:rsidRPr="00E77FC5">
              <w:rPr>
                <w:rFonts w:ascii="Arial" w:hAnsi="Arial" w:cs="Arial"/>
              </w:rPr>
              <w:t>Immune response to A/California/7/2009 (H1N1)v-like</w:t>
            </w:r>
          </w:p>
        </w:tc>
      </w:tr>
      <w:tr w:rsidR="00410D42" w:rsidRPr="00D624A5" w:rsidTr="007827B9">
        <w:tc>
          <w:tcPr>
            <w:tcW w:w="1270" w:type="dxa"/>
          </w:tcPr>
          <w:p w:rsidR="00410D42" w:rsidRPr="00D624A5" w:rsidRDefault="00410D42" w:rsidP="007827B9">
            <w:pPr>
              <w:rPr>
                <w:rFonts w:ascii="Arial" w:hAnsi="Arial" w:cs="Arial"/>
              </w:rPr>
            </w:pPr>
          </w:p>
        </w:tc>
        <w:tc>
          <w:tcPr>
            <w:tcW w:w="4508" w:type="dxa"/>
            <w:gridSpan w:val="4"/>
          </w:tcPr>
          <w:p w:rsidR="00410D42" w:rsidRPr="00D624A5" w:rsidRDefault="00E77FC5" w:rsidP="007827B9">
            <w:pPr>
              <w:jc w:val="center"/>
              <w:rPr>
                <w:rFonts w:ascii="Arial" w:hAnsi="Arial" w:cs="Arial"/>
              </w:rPr>
            </w:pPr>
            <w:r w:rsidRPr="00E77FC5">
              <w:rPr>
                <w:rFonts w:ascii="Arial" w:hAnsi="Arial" w:cs="Arial"/>
              </w:rPr>
              <w:t>3-5 years</w:t>
            </w:r>
          </w:p>
        </w:tc>
        <w:tc>
          <w:tcPr>
            <w:tcW w:w="4395" w:type="dxa"/>
            <w:gridSpan w:val="4"/>
          </w:tcPr>
          <w:p w:rsidR="00410D42" w:rsidRPr="00D624A5" w:rsidRDefault="00E77FC5" w:rsidP="007827B9">
            <w:pPr>
              <w:jc w:val="center"/>
              <w:rPr>
                <w:rFonts w:ascii="Arial" w:hAnsi="Arial" w:cs="Arial"/>
              </w:rPr>
            </w:pPr>
            <w:r w:rsidRPr="00E77FC5">
              <w:rPr>
                <w:rFonts w:ascii="Arial" w:hAnsi="Arial" w:cs="Arial"/>
              </w:rPr>
              <w:t>6-9 years</w:t>
            </w:r>
          </w:p>
        </w:tc>
      </w:tr>
      <w:tr w:rsidR="00410D42" w:rsidRPr="00D624A5" w:rsidTr="007827B9">
        <w:tc>
          <w:tcPr>
            <w:tcW w:w="1270" w:type="dxa"/>
          </w:tcPr>
          <w:p w:rsidR="00410D42" w:rsidRPr="00D624A5" w:rsidRDefault="00410D42" w:rsidP="007827B9">
            <w:pPr>
              <w:rPr>
                <w:rFonts w:ascii="Arial" w:hAnsi="Arial" w:cs="Arial"/>
              </w:rPr>
            </w:pPr>
          </w:p>
        </w:tc>
        <w:tc>
          <w:tcPr>
            <w:tcW w:w="2382" w:type="dxa"/>
            <w:gridSpan w:val="2"/>
          </w:tcPr>
          <w:p w:rsidR="00410D42" w:rsidRPr="00D624A5" w:rsidRDefault="00E77FC5" w:rsidP="007827B9">
            <w:pPr>
              <w:jc w:val="center"/>
              <w:rPr>
                <w:rFonts w:ascii="Arial" w:hAnsi="Arial" w:cs="Arial"/>
              </w:rPr>
            </w:pPr>
            <w:r w:rsidRPr="00E77FC5">
              <w:rPr>
                <w:rFonts w:ascii="Arial" w:hAnsi="Arial" w:cs="Arial"/>
              </w:rPr>
              <w:t>Total subjects</w:t>
            </w:r>
            <w:r w:rsidRPr="00E77FC5">
              <w:rPr>
                <w:rFonts w:ascii="Arial" w:hAnsi="Arial" w:cs="Arial"/>
                <w:vertAlign w:val="superscript"/>
              </w:rPr>
              <w:t>4</w:t>
            </w:r>
          </w:p>
          <w:p w:rsidR="00410D42" w:rsidRPr="00D624A5" w:rsidRDefault="00E77FC5" w:rsidP="007827B9">
            <w:pPr>
              <w:jc w:val="center"/>
              <w:rPr>
                <w:rFonts w:ascii="Arial" w:hAnsi="Arial" w:cs="Arial"/>
              </w:rPr>
            </w:pPr>
            <w:r w:rsidRPr="00E77FC5">
              <w:rPr>
                <w:rFonts w:ascii="Arial" w:hAnsi="Arial" w:cs="Arial"/>
              </w:rPr>
              <w:t>N=28</w:t>
            </w:r>
          </w:p>
          <w:p w:rsidR="00410D42" w:rsidRPr="00D624A5" w:rsidRDefault="00E77FC5" w:rsidP="007827B9">
            <w:pPr>
              <w:jc w:val="center"/>
              <w:rPr>
                <w:rFonts w:ascii="Arial" w:hAnsi="Arial" w:cs="Arial"/>
              </w:rPr>
            </w:pPr>
            <w:r w:rsidRPr="00E77FC5">
              <w:rPr>
                <w:rFonts w:ascii="Arial" w:hAnsi="Arial" w:cs="Arial"/>
              </w:rPr>
              <w:t>[95% CI]</w:t>
            </w:r>
          </w:p>
        </w:tc>
        <w:tc>
          <w:tcPr>
            <w:tcW w:w="2126" w:type="dxa"/>
            <w:gridSpan w:val="2"/>
          </w:tcPr>
          <w:p w:rsidR="00410D42" w:rsidRPr="00D624A5" w:rsidRDefault="00E77FC5" w:rsidP="007827B9">
            <w:pPr>
              <w:jc w:val="center"/>
              <w:rPr>
                <w:rFonts w:ascii="Arial" w:hAnsi="Arial" w:cs="Arial"/>
              </w:rPr>
            </w:pPr>
            <w:r w:rsidRPr="00E77FC5">
              <w:rPr>
                <w:rFonts w:ascii="Arial" w:hAnsi="Arial" w:cs="Arial"/>
              </w:rPr>
              <w:t>Seronegative subjects prior to vaccination</w:t>
            </w:r>
          </w:p>
          <w:p w:rsidR="00410D42" w:rsidRPr="00D624A5" w:rsidRDefault="00E77FC5" w:rsidP="007827B9">
            <w:pPr>
              <w:jc w:val="center"/>
              <w:rPr>
                <w:rFonts w:ascii="Arial" w:hAnsi="Arial" w:cs="Arial"/>
              </w:rPr>
            </w:pPr>
            <w:r w:rsidRPr="00E77FC5">
              <w:rPr>
                <w:rFonts w:ascii="Arial" w:hAnsi="Arial" w:cs="Arial"/>
              </w:rPr>
              <w:t>N=26</w:t>
            </w:r>
          </w:p>
          <w:p w:rsidR="00410D42" w:rsidRPr="00D624A5" w:rsidRDefault="00E77FC5" w:rsidP="007827B9">
            <w:pPr>
              <w:jc w:val="center"/>
              <w:rPr>
                <w:rFonts w:ascii="Arial" w:hAnsi="Arial" w:cs="Arial"/>
              </w:rPr>
            </w:pPr>
            <w:r w:rsidRPr="00E77FC5">
              <w:rPr>
                <w:rFonts w:ascii="Arial" w:hAnsi="Arial" w:cs="Arial"/>
              </w:rPr>
              <w:t>[95% CI]</w:t>
            </w:r>
          </w:p>
        </w:tc>
        <w:tc>
          <w:tcPr>
            <w:tcW w:w="2127" w:type="dxa"/>
            <w:gridSpan w:val="2"/>
          </w:tcPr>
          <w:p w:rsidR="00410D42" w:rsidRPr="00D624A5" w:rsidRDefault="00E77FC5" w:rsidP="007827B9">
            <w:pPr>
              <w:jc w:val="center"/>
              <w:rPr>
                <w:rFonts w:ascii="Arial" w:hAnsi="Arial" w:cs="Arial"/>
              </w:rPr>
            </w:pPr>
            <w:r w:rsidRPr="00E77FC5">
              <w:rPr>
                <w:rFonts w:ascii="Arial" w:hAnsi="Arial" w:cs="Arial"/>
              </w:rPr>
              <w:t>Total subjects</w:t>
            </w:r>
            <w:r w:rsidRPr="00E77FC5">
              <w:rPr>
                <w:rFonts w:ascii="Arial" w:hAnsi="Arial" w:cs="Arial"/>
                <w:vertAlign w:val="superscript"/>
              </w:rPr>
              <w:t>4</w:t>
            </w:r>
          </w:p>
          <w:p w:rsidR="00410D42" w:rsidRPr="00D624A5" w:rsidRDefault="00E77FC5" w:rsidP="007827B9">
            <w:pPr>
              <w:jc w:val="center"/>
              <w:rPr>
                <w:rFonts w:ascii="Arial" w:hAnsi="Arial" w:cs="Arial"/>
              </w:rPr>
            </w:pPr>
            <w:r w:rsidRPr="00E77FC5">
              <w:rPr>
                <w:rFonts w:ascii="Arial" w:hAnsi="Arial" w:cs="Arial"/>
              </w:rPr>
              <w:t>N=30</w:t>
            </w:r>
          </w:p>
          <w:p w:rsidR="00410D42" w:rsidRPr="00D624A5" w:rsidRDefault="00E77FC5" w:rsidP="007827B9">
            <w:pPr>
              <w:jc w:val="center"/>
              <w:rPr>
                <w:rFonts w:ascii="Arial" w:hAnsi="Arial" w:cs="Arial"/>
              </w:rPr>
            </w:pPr>
            <w:r w:rsidRPr="00E77FC5">
              <w:rPr>
                <w:rFonts w:ascii="Arial" w:hAnsi="Arial" w:cs="Arial"/>
              </w:rPr>
              <w:t>[95% CI]</w:t>
            </w:r>
          </w:p>
        </w:tc>
        <w:tc>
          <w:tcPr>
            <w:tcW w:w="2268" w:type="dxa"/>
            <w:gridSpan w:val="2"/>
          </w:tcPr>
          <w:p w:rsidR="00410D42" w:rsidRPr="00D624A5" w:rsidRDefault="00E77FC5" w:rsidP="007827B9">
            <w:pPr>
              <w:jc w:val="center"/>
              <w:rPr>
                <w:rFonts w:ascii="Arial" w:hAnsi="Arial" w:cs="Arial"/>
              </w:rPr>
            </w:pPr>
            <w:r w:rsidRPr="00E77FC5">
              <w:rPr>
                <w:rFonts w:ascii="Arial" w:hAnsi="Arial" w:cs="Arial"/>
              </w:rPr>
              <w:t>Seronegative subjects prior to vaccination</w:t>
            </w:r>
          </w:p>
          <w:p w:rsidR="00410D42" w:rsidRPr="00D624A5" w:rsidRDefault="00E77FC5" w:rsidP="007827B9">
            <w:pPr>
              <w:jc w:val="center"/>
              <w:rPr>
                <w:rFonts w:ascii="Arial" w:hAnsi="Arial" w:cs="Arial"/>
              </w:rPr>
            </w:pPr>
            <w:r w:rsidRPr="00E77FC5">
              <w:rPr>
                <w:rFonts w:ascii="Arial" w:hAnsi="Arial" w:cs="Arial"/>
              </w:rPr>
              <w:t>N=29</w:t>
            </w:r>
          </w:p>
          <w:p w:rsidR="00410D42" w:rsidRPr="00D624A5" w:rsidRDefault="00E77FC5" w:rsidP="007827B9">
            <w:pPr>
              <w:jc w:val="center"/>
              <w:rPr>
                <w:rFonts w:ascii="Arial" w:hAnsi="Arial" w:cs="Arial"/>
              </w:rPr>
            </w:pPr>
            <w:r w:rsidRPr="00E77FC5">
              <w:rPr>
                <w:rFonts w:ascii="Arial" w:hAnsi="Arial" w:cs="Arial"/>
              </w:rPr>
              <w:t>[95% CI]</w:t>
            </w:r>
          </w:p>
        </w:tc>
      </w:tr>
      <w:tr w:rsidR="00410D42" w:rsidRPr="00D624A5" w:rsidTr="007827B9">
        <w:tc>
          <w:tcPr>
            <w:tcW w:w="1270" w:type="dxa"/>
          </w:tcPr>
          <w:p w:rsidR="00410D42" w:rsidRPr="00D624A5" w:rsidRDefault="00410D42" w:rsidP="007827B9">
            <w:pPr>
              <w:rPr>
                <w:rFonts w:ascii="Arial" w:hAnsi="Arial" w:cs="Arial"/>
              </w:rPr>
            </w:pPr>
          </w:p>
        </w:tc>
        <w:tc>
          <w:tcPr>
            <w:tcW w:w="1106" w:type="dxa"/>
          </w:tcPr>
          <w:p w:rsidR="00410D42" w:rsidRPr="00D624A5" w:rsidRDefault="00E77FC5" w:rsidP="007827B9">
            <w:pPr>
              <w:jc w:val="center"/>
              <w:rPr>
                <w:rFonts w:ascii="Arial" w:hAnsi="Arial" w:cs="Arial"/>
              </w:rPr>
            </w:pPr>
            <w:r w:rsidRPr="00E77FC5">
              <w:rPr>
                <w:rFonts w:ascii="Arial" w:hAnsi="Arial" w:cs="Arial"/>
              </w:rPr>
              <w:t>Post dose 1</w:t>
            </w:r>
          </w:p>
        </w:tc>
        <w:tc>
          <w:tcPr>
            <w:tcW w:w="1276" w:type="dxa"/>
          </w:tcPr>
          <w:p w:rsidR="00410D42" w:rsidRPr="00D624A5" w:rsidRDefault="00E77FC5" w:rsidP="007827B9">
            <w:pPr>
              <w:jc w:val="center"/>
              <w:rPr>
                <w:rFonts w:ascii="Arial" w:hAnsi="Arial" w:cs="Arial"/>
              </w:rPr>
            </w:pPr>
            <w:r w:rsidRPr="00E77FC5">
              <w:rPr>
                <w:rFonts w:ascii="Arial" w:hAnsi="Arial" w:cs="Arial"/>
              </w:rPr>
              <w:t>Post dose 2</w:t>
            </w:r>
          </w:p>
        </w:tc>
        <w:tc>
          <w:tcPr>
            <w:tcW w:w="992" w:type="dxa"/>
          </w:tcPr>
          <w:p w:rsidR="00410D42" w:rsidRPr="00D624A5" w:rsidRDefault="00E77FC5" w:rsidP="007827B9">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c>
          <w:tcPr>
            <w:tcW w:w="993" w:type="dxa"/>
          </w:tcPr>
          <w:p w:rsidR="00410D42" w:rsidRPr="00D624A5" w:rsidRDefault="00E77FC5" w:rsidP="007827B9">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r>
      <w:tr w:rsidR="00410D42" w:rsidRPr="00D624A5" w:rsidTr="007827B9">
        <w:tc>
          <w:tcPr>
            <w:tcW w:w="1270" w:type="dxa"/>
          </w:tcPr>
          <w:p w:rsidR="00410D42" w:rsidRPr="00D624A5" w:rsidRDefault="00E77FC5" w:rsidP="007827B9">
            <w:pPr>
              <w:rPr>
                <w:rFonts w:ascii="Arial" w:hAnsi="Arial" w:cs="Arial"/>
              </w:rPr>
            </w:pPr>
            <w:r w:rsidRPr="00E77FC5">
              <w:rPr>
                <w:rFonts w:ascii="Arial" w:hAnsi="Arial" w:cs="Arial"/>
              </w:rPr>
              <w:t>Sero-</w:t>
            </w:r>
          </w:p>
          <w:p w:rsidR="00410D42" w:rsidRPr="00D624A5" w:rsidRDefault="00E77FC5" w:rsidP="007827B9">
            <w:pPr>
              <w:rPr>
                <w:rFonts w:ascii="Arial" w:hAnsi="Arial" w:cs="Arial"/>
              </w:rPr>
            </w:pPr>
            <w:r w:rsidRPr="00E77FC5">
              <w:rPr>
                <w:rFonts w:ascii="Arial" w:hAnsi="Arial" w:cs="Arial"/>
              </w:rPr>
              <w:t xml:space="preserve">protection </w:t>
            </w:r>
          </w:p>
          <w:p w:rsidR="00410D42" w:rsidRPr="00D624A5" w:rsidRDefault="00E77FC5" w:rsidP="007827B9">
            <w:pPr>
              <w:rPr>
                <w:rFonts w:ascii="Arial" w:hAnsi="Arial" w:cs="Arial"/>
              </w:rPr>
            </w:pPr>
            <w:r w:rsidRPr="00E77FC5">
              <w:rPr>
                <w:rFonts w:ascii="Arial" w:hAnsi="Arial" w:cs="Arial"/>
              </w:rPr>
              <w:t>rate</w:t>
            </w:r>
            <w:r w:rsidRPr="00E77FC5">
              <w:rPr>
                <w:rFonts w:ascii="Arial" w:hAnsi="Arial" w:cs="Arial"/>
                <w:vertAlign w:val="superscript"/>
              </w:rPr>
              <w:t>1</w:t>
            </w:r>
          </w:p>
        </w:tc>
        <w:tc>
          <w:tcPr>
            <w:tcW w:w="1106"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[87.7;</w:t>
            </w:r>
          </w:p>
          <w:p w:rsidR="00410D42" w:rsidRPr="00D624A5" w:rsidRDefault="00E77FC5" w:rsidP="007827B9">
            <w:pPr>
              <w:jc w:val="center"/>
              <w:rPr>
                <w:rFonts w:ascii="Arial" w:hAnsi="Arial" w:cs="Arial"/>
              </w:rPr>
            </w:pPr>
            <w:r w:rsidRPr="00E77FC5">
              <w:rPr>
                <w:rFonts w:ascii="Arial" w:hAnsi="Arial" w:cs="Arial"/>
              </w:rPr>
              <w:t>100]</w:t>
            </w:r>
          </w:p>
        </w:tc>
        <w:tc>
          <w:tcPr>
            <w:tcW w:w="1276"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[87.7;</w:t>
            </w:r>
          </w:p>
          <w:p w:rsidR="00410D42" w:rsidRPr="00D624A5" w:rsidRDefault="00E77FC5" w:rsidP="007827B9">
            <w:pPr>
              <w:jc w:val="center"/>
              <w:rPr>
                <w:rFonts w:ascii="Arial" w:hAnsi="Arial" w:cs="Arial"/>
              </w:rPr>
            </w:pPr>
            <w:r w:rsidRPr="00E77FC5">
              <w:rPr>
                <w:rFonts w:ascii="Arial" w:hAnsi="Arial" w:cs="Arial"/>
              </w:rPr>
              <w:t>100]</w:t>
            </w:r>
          </w:p>
        </w:tc>
        <w:tc>
          <w:tcPr>
            <w:tcW w:w="992"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[86.8;</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[86.8;</w:t>
            </w:r>
          </w:p>
          <w:p w:rsidR="00410D42" w:rsidRPr="00D624A5" w:rsidRDefault="00E77FC5" w:rsidP="007827B9">
            <w:pPr>
              <w:jc w:val="center"/>
              <w:rPr>
                <w:rFonts w:ascii="Arial" w:hAnsi="Arial" w:cs="Arial"/>
              </w:rPr>
            </w:pPr>
            <w:r w:rsidRPr="00E77FC5">
              <w:rPr>
                <w:rFonts w:ascii="Arial" w:hAnsi="Arial" w:cs="Arial"/>
              </w:rPr>
              <w:t>100]</w:t>
            </w:r>
          </w:p>
        </w:tc>
        <w:tc>
          <w:tcPr>
            <w:tcW w:w="993"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[88.4;</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[88.4;</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[88.1;</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[88.1;</w:t>
            </w:r>
          </w:p>
          <w:p w:rsidR="00410D42" w:rsidRPr="00D624A5" w:rsidRDefault="00E77FC5" w:rsidP="007827B9">
            <w:pPr>
              <w:jc w:val="center"/>
              <w:rPr>
                <w:rFonts w:ascii="Arial" w:hAnsi="Arial" w:cs="Arial"/>
              </w:rPr>
            </w:pPr>
            <w:r w:rsidRPr="00E77FC5">
              <w:rPr>
                <w:rFonts w:ascii="Arial" w:hAnsi="Arial" w:cs="Arial"/>
              </w:rPr>
              <w:t>100]</w:t>
            </w:r>
          </w:p>
        </w:tc>
      </w:tr>
      <w:tr w:rsidR="00410D42" w:rsidRPr="00D624A5" w:rsidTr="007827B9">
        <w:tc>
          <w:tcPr>
            <w:tcW w:w="1270" w:type="dxa"/>
          </w:tcPr>
          <w:p w:rsidR="00410D42" w:rsidRPr="00D624A5" w:rsidRDefault="00E77FC5" w:rsidP="007827B9">
            <w:pPr>
              <w:rPr>
                <w:rFonts w:ascii="Arial" w:hAnsi="Arial" w:cs="Arial"/>
              </w:rPr>
            </w:pPr>
            <w:r w:rsidRPr="00E77FC5">
              <w:rPr>
                <w:rFonts w:ascii="Arial" w:hAnsi="Arial" w:cs="Arial"/>
              </w:rPr>
              <w:t>Sero-conversion</w:t>
            </w:r>
          </w:p>
          <w:p w:rsidR="00410D42" w:rsidRPr="00D624A5" w:rsidRDefault="00E77FC5" w:rsidP="007827B9">
            <w:pPr>
              <w:rPr>
                <w:rFonts w:ascii="Arial" w:hAnsi="Arial" w:cs="Arial"/>
              </w:rPr>
            </w:pPr>
            <w:r w:rsidRPr="00E77FC5">
              <w:rPr>
                <w:rFonts w:ascii="Arial" w:hAnsi="Arial" w:cs="Arial"/>
              </w:rPr>
              <w:t>rate</w:t>
            </w:r>
            <w:r w:rsidRPr="00E77FC5">
              <w:rPr>
                <w:rFonts w:ascii="Arial" w:hAnsi="Arial" w:cs="Arial"/>
                <w:vertAlign w:val="superscript"/>
              </w:rPr>
              <w:t>2</w:t>
            </w:r>
          </w:p>
        </w:tc>
        <w:tc>
          <w:tcPr>
            <w:tcW w:w="1106"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[87.7;</w:t>
            </w:r>
          </w:p>
          <w:p w:rsidR="00410D42" w:rsidRPr="00D624A5" w:rsidRDefault="00E77FC5" w:rsidP="007827B9">
            <w:pPr>
              <w:jc w:val="center"/>
              <w:rPr>
                <w:rFonts w:ascii="Arial" w:hAnsi="Arial" w:cs="Arial"/>
              </w:rPr>
            </w:pPr>
            <w:r w:rsidRPr="00E77FC5">
              <w:rPr>
                <w:rFonts w:ascii="Arial" w:hAnsi="Arial" w:cs="Arial"/>
              </w:rPr>
              <w:t>100]</w:t>
            </w:r>
          </w:p>
        </w:tc>
        <w:tc>
          <w:tcPr>
            <w:tcW w:w="1276"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[87.7;</w:t>
            </w:r>
          </w:p>
          <w:p w:rsidR="00410D42" w:rsidRPr="00D624A5" w:rsidRDefault="00E77FC5" w:rsidP="007827B9">
            <w:pPr>
              <w:jc w:val="center"/>
              <w:rPr>
                <w:rFonts w:ascii="Arial" w:hAnsi="Arial" w:cs="Arial"/>
              </w:rPr>
            </w:pPr>
            <w:r w:rsidRPr="00E77FC5">
              <w:rPr>
                <w:rFonts w:ascii="Arial" w:hAnsi="Arial" w:cs="Arial"/>
              </w:rPr>
              <w:t>100]</w:t>
            </w:r>
          </w:p>
        </w:tc>
        <w:tc>
          <w:tcPr>
            <w:tcW w:w="992"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[86.8;</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[86.8;</w:t>
            </w:r>
          </w:p>
          <w:p w:rsidR="00410D42" w:rsidRPr="00D624A5" w:rsidRDefault="00E77FC5" w:rsidP="007827B9">
            <w:pPr>
              <w:jc w:val="center"/>
              <w:rPr>
                <w:rFonts w:ascii="Arial" w:hAnsi="Arial" w:cs="Arial"/>
              </w:rPr>
            </w:pPr>
            <w:r w:rsidRPr="00E77FC5">
              <w:rPr>
                <w:rFonts w:ascii="Arial" w:hAnsi="Arial" w:cs="Arial"/>
              </w:rPr>
              <w:t>100]</w:t>
            </w:r>
          </w:p>
        </w:tc>
        <w:tc>
          <w:tcPr>
            <w:tcW w:w="993"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[88.4;</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[88.4;</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[88.1;</w:t>
            </w:r>
          </w:p>
          <w:p w:rsidR="00410D42" w:rsidRPr="00D624A5" w:rsidRDefault="00E77FC5" w:rsidP="007827B9">
            <w:pPr>
              <w:jc w:val="center"/>
              <w:rPr>
                <w:rFonts w:ascii="Arial" w:hAnsi="Arial" w:cs="Arial"/>
              </w:rPr>
            </w:pPr>
            <w:r w:rsidRPr="00E77FC5">
              <w:rPr>
                <w:rFonts w:ascii="Arial" w:hAnsi="Arial" w:cs="Arial"/>
              </w:rPr>
              <w:t>100]</w:t>
            </w:r>
          </w:p>
        </w:tc>
        <w:tc>
          <w:tcPr>
            <w:tcW w:w="1134" w:type="dxa"/>
          </w:tcPr>
          <w:p w:rsidR="00410D42" w:rsidRPr="00D624A5" w:rsidRDefault="00E77FC5" w:rsidP="007827B9">
            <w:pPr>
              <w:jc w:val="center"/>
              <w:rPr>
                <w:rFonts w:ascii="Arial" w:hAnsi="Arial" w:cs="Arial"/>
              </w:rPr>
            </w:pPr>
            <w:r w:rsidRPr="00E77FC5">
              <w:rPr>
                <w:rFonts w:ascii="Arial" w:hAnsi="Arial" w:cs="Arial"/>
              </w:rPr>
              <w:t>100%</w:t>
            </w:r>
          </w:p>
          <w:p w:rsidR="00410D42" w:rsidRPr="00D624A5" w:rsidRDefault="00E77FC5" w:rsidP="007827B9">
            <w:pPr>
              <w:jc w:val="center"/>
              <w:rPr>
                <w:rFonts w:ascii="Arial" w:hAnsi="Arial" w:cs="Arial"/>
              </w:rPr>
            </w:pPr>
            <w:r w:rsidRPr="00E77FC5">
              <w:rPr>
                <w:rFonts w:ascii="Arial" w:hAnsi="Arial" w:cs="Arial"/>
              </w:rPr>
              <w:t>[88.1;</w:t>
            </w:r>
          </w:p>
          <w:p w:rsidR="00410D42" w:rsidRPr="00D624A5" w:rsidRDefault="00E77FC5" w:rsidP="007827B9">
            <w:pPr>
              <w:jc w:val="center"/>
              <w:rPr>
                <w:rFonts w:ascii="Arial" w:hAnsi="Arial" w:cs="Arial"/>
              </w:rPr>
            </w:pPr>
            <w:r w:rsidRPr="00E77FC5">
              <w:rPr>
                <w:rFonts w:ascii="Arial" w:hAnsi="Arial" w:cs="Arial"/>
              </w:rPr>
              <w:t>100]</w:t>
            </w:r>
          </w:p>
        </w:tc>
      </w:tr>
      <w:tr w:rsidR="00410D42" w:rsidRPr="00D624A5" w:rsidTr="007827B9">
        <w:tc>
          <w:tcPr>
            <w:tcW w:w="1270" w:type="dxa"/>
          </w:tcPr>
          <w:p w:rsidR="00410D42" w:rsidRPr="00D624A5" w:rsidRDefault="00E77FC5" w:rsidP="007827B9">
            <w:pPr>
              <w:rPr>
                <w:rFonts w:ascii="Arial" w:hAnsi="Arial" w:cs="Arial"/>
              </w:rPr>
            </w:pPr>
            <w:r w:rsidRPr="00E77FC5">
              <w:rPr>
                <w:rFonts w:ascii="Arial" w:hAnsi="Arial" w:cs="Arial"/>
              </w:rPr>
              <w:t>Sero-</w:t>
            </w:r>
          </w:p>
          <w:p w:rsidR="00410D42" w:rsidRPr="00D624A5" w:rsidRDefault="00E77FC5" w:rsidP="007827B9">
            <w:pPr>
              <w:rPr>
                <w:rFonts w:ascii="Arial" w:hAnsi="Arial" w:cs="Arial"/>
              </w:rPr>
            </w:pPr>
            <w:r w:rsidRPr="00E77FC5">
              <w:rPr>
                <w:rFonts w:ascii="Arial" w:hAnsi="Arial" w:cs="Arial"/>
              </w:rPr>
              <w:t>conversion factor</w:t>
            </w:r>
            <w:r w:rsidRPr="00E77FC5">
              <w:rPr>
                <w:rFonts w:ascii="Arial" w:hAnsi="Arial" w:cs="Arial"/>
                <w:vertAlign w:val="superscript"/>
              </w:rPr>
              <w:t>3</w:t>
            </w:r>
          </w:p>
        </w:tc>
        <w:tc>
          <w:tcPr>
            <w:tcW w:w="1106" w:type="dxa"/>
          </w:tcPr>
          <w:p w:rsidR="00410D42" w:rsidRPr="00D624A5" w:rsidRDefault="00E77FC5" w:rsidP="007827B9">
            <w:pPr>
              <w:jc w:val="center"/>
              <w:rPr>
                <w:rFonts w:ascii="Arial" w:hAnsi="Arial" w:cs="Arial"/>
              </w:rPr>
            </w:pPr>
            <w:r w:rsidRPr="00E77FC5">
              <w:rPr>
                <w:rFonts w:ascii="Arial" w:hAnsi="Arial" w:cs="Arial"/>
              </w:rPr>
              <w:t>33.62</w:t>
            </w:r>
          </w:p>
          <w:p w:rsidR="00410D42" w:rsidRPr="00D624A5" w:rsidRDefault="00E77FC5" w:rsidP="007827B9">
            <w:pPr>
              <w:jc w:val="center"/>
              <w:rPr>
                <w:rFonts w:ascii="Arial" w:hAnsi="Arial" w:cs="Arial"/>
              </w:rPr>
            </w:pPr>
            <w:r w:rsidRPr="00E77FC5">
              <w:rPr>
                <w:rFonts w:ascii="Arial" w:hAnsi="Arial" w:cs="Arial"/>
              </w:rPr>
              <w:t>[26.25;</w:t>
            </w:r>
          </w:p>
          <w:p w:rsidR="00410D42" w:rsidRPr="00D624A5" w:rsidRDefault="00E77FC5" w:rsidP="007827B9">
            <w:pPr>
              <w:jc w:val="center"/>
              <w:rPr>
                <w:rFonts w:ascii="Arial" w:hAnsi="Arial" w:cs="Arial"/>
              </w:rPr>
            </w:pPr>
            <w:r w:rsidRPr="00E77FC5">
              <w:rPr>
                <w:rFonts w:ascii="Arial" w:hAnsi="Arial" w:cs="Arial"/>
              </w:rPr>
              <w:t>43.05]</w:t>
            </w:r>
          </w:p>
        </w:tc>
        <w:tc>
          <w:tcPr>
            <w:tcW w:w="1276" w:type="dxa"/>
          </w:tcPr>
          <w:p w:rsidR="00410D42" w:rsidRPr="00D624A5" w:rsidRDefault="00E77FC5" w:rsidP="007827B9">
            <w:pPr>
              <w:jc w:val="center"/>
              <w:rPr>
                <w:rFonts w:ascii="Arial" w:hAnsi="Arial" w:cs="Arial"/>
              </w:rPr>
            </w:pPr>
            <w:r w:rsidRPr="00E77FC5">
              <w:rPr>
                <w:rFonts w:ascii="Arial" w:hAnsi="Arial" w:cs="Arial"/>
              </w:rPr>
              <w:t>237.68</w:t>
            </w:r>
          </w:p>
          <w:p w:rsidR="00410D42" w:rsidRPr="00D624A5" w:rsidRDefault="00E77FC5" w:rsidP="007827B9">
            <w:pPr>
              <w:jc w:val="center"/>
              <w:rPr>
                <w:rFonts w:ascii="Arial" w:hAnsi="Arial" w:cs="Arial"/>
              </w:rPr>
            </w:pPr>
            <w:r w:rsidRPr="00E77FC5">
              <w:rPr>
                <w:rFonts w:ascii="Arial" w:hAnsi="Arial" w:cs="Arial"/>
              </w:rPr>
              <w:t>[175.28;</w:t>
            </w:r>
          </w:p>
          <w:p w:rsidR="00410D42" w:rsidRPr="00D624A5" w:rsidRDefault="00E77FC5" w:rsidP="007827B9">
            <w:pPr>
              <w:jc w:val="center"/>
              <w:rPr>
                <w:rFonts w:ascii="Arial" w:hAnsi="Arial" w:cs="Arial"/>
              </w:rPr>
            </w:pPr>
            <w:r w:rsidRPr="00E77FC5">
              <w:rPr>
                <w:rFonts w:ascii="Arial" w:hAnsi="Arial" w:cs="Arial"/>
              </w:rPr>
              <w:t>322.29]</w:t>
            </w:r>
          </w:p>
        </w:tc>
        <w:tc>
          <w:tcPr>
            <w:tcW w:w="992" w:type="dxa"/>
          </w:tcPr>
          <w:p w:rsidR="00410D42" w:rsidRPr="00D624A5" w:rsidRDefault="00E77FC5" w:rsidP="007827B9">
            <w:pPr>
              <w:jc w:val="center"/>
              <w:rPr>
                <w:rFonts w:ascii="Arial" w:hAnsi="Arial" w:cs="Arial"/>
              </w:rPr>
            </w:pPr>
            <w:r w:rsidRPr="00E77FC5">
              <w:rPr>
                <w:rFonts w:ascii="Arial" w:hAnsi="Arial" w:cs="Arial"/>
              </w:rPr>
              <w:t>36.55</w:t>
            </w:r>
          </w:p>
          <w:p w:rsidR="00410D42" w:rsidRPr="00D624A5" w:rsidRDefault="00E77FC5" w:rsidP="007827B9">
            <w:pPr>
              <w:jc w:val="center"/>
              <w:rPr>
                <w:rFonts w:ascii="Arial" w:hAnsi="Arial" w:cs="Arial"/>
              </w:rPr>
            </w:pPr>
            <w:r w:rsidRPr="00E77FC5">
              <w:rPr>
                <w:rFonts w:ascii="Arial" w:hAnsi="Arial" w:cs="Arial"/>
              </w:rPr>
              <w:t>[29.01;</w:t>
            </w:r>
          </w:p>
          <w:p w:rsidR="00410D42" w:rsidRPr="00D624A5" w:rsidRDefault="00E77FC5" w:rsidP="007827B9">
            <w:pPr>
              <w:jc w:val="center"/>
              <w:rPr>
                <w:rFonts w:ascii="Arial" w:hAnsi="Arial" w:cs="Arial"/>
              </w:rPr>
            </w:pPr>
            <w:r w:rsidRPr="00E77FC5">
              <w:rPr>
                <w:rFonts w:ascii="Arial" w:hAnsi="Arial" w:cs="Arial"/>
              </w:rPr>
              <w:t>46.06]</w:t>
            </w:r>
          </w:p>
        </w:tc>
        <w:tc>
          <w:tcPr>
            <w:tcW w:w="1134" w:type="dxa"/>
          </w:tcPr>
          <w:p w:rsidR="00410D42" w:rsidRPr="00D624A5" w:rsidRDefault="00E77FC5" w:rsidP="007827B9">
            <w:pPr>
              <w:jc w:val="center"/>
              <w:rPr>
                <w:rFonts w:ascii="Arial" w:hAnsi="Arial" w:cs="Arial"/>
              </w:rPr>
            </w:pPr>
            <w:r w:rsidRPr="00E77FC5">
              <w:rPr>
                <w:rFonts w:ascii="Arial" w:hAnsi="Arial" w:cs="Arial"/>
              </w:rPr>
              <w:t>277.31</w:t>
            </w:r>
          </w:p>
          <w:p w:rsidR="00410D42" w:rsidRPr="00D624A5" w:rsidRDefault="00E77FC5" w:rsidP="007827B9">
            <w:pPr>
              <w:jc w:val="center"/>
              <w:rPr>
                <w:rFonts w:ascii="Arial" w:hAnsi="Arial" w:cs="Arial"/>
              </w:rPr>
            </w:pPr>
            <w:r w:rsidRPr="00E77FC5">
              <w:rPr>
                <w:rFonts w:ascii="Arial" w:hAnsi="Arial" w:cs="Arial"/>
              </w:rPr>
              <w:t>[223.81;</w:t>
            </w:r>
          </w:p>
          <w:p w:rsidR="00410D42" w:rsidRPr="00D624A5" w:rsidRDefault="00E77FC5" w:rsidP="007827B9">
            <w:pPr>
              <w:jc w:val="center"/>
              <w:rPr>
                <w:rFonts w:ascii="Arial" w:hAnsi="Arial" w:cs="Arial"/>
              </w:rPr>
            </w:pPr>
            <w:r w:rsidRPr="00E77FC5">
              <w:rPr>
                <w:rFonts w:ascii="Arial" w:hAnsi="Arial" w:cs="Arial"/>
              </w:rPr>
              <w:t>343.59]</w:t>
            </w:r>
          </w:p>
        </w:tc>
        <w:tc>
          <w:tcPr>
            <w:tcW w:w="993" w:type="dxa"/>
          </w:tcPr>
          <w:p w:rsidR="00410D42" w:rsidRPr="00D624A5" w:rsidRDefault="00E77FC5" w:rsidP="007827B9">
            <w:pPr>
              <w:jc w:val="center"/>
              <w:rPr>
                <w:rFonts w:ascii="Arial" w:hAnsi="Arial" w:cs="Arial"/>
              </w:rPr>
            </w:pPr>
            <w:r w:rsidRPr="00E77FC5">
              <w:rPr>
                <w:rFonts w:ascii="Arial" w:hAnsi="Arial" w:cs="Arial"/>
              </w:rPr>
              <w:t>36.33</w:t>
            </w:r>
          </w:p>
          <w:p w:rsidR="00410D42" w:rsidRPr="00D624A5" w:rsidRDefault="00E77FC5" w:rsidP="007827B9">
            <w:pPr>
              <w:jc w:val="center"/>
              <w:rPr>
                <w:rFonts w:ascii="Arial" w:hAnsi="Arial" w:cs="Arial"/>
              </w:rPr>
            </w:pPr>
            <w:r w:rsidRPr="00E77FC5">
              <w:rPr>
                <w:rFonts w:ascii="Arial" w:hAnsi="Arial" w:cs="Arial"/>
              </w:rPr>
              <w:t>[27.96;</w:t>
            </w:r>
          </w:p>
          <w:p w:rsidR="00410D42" w:rsidRPr="00D624A5" w:rsidRDefault="00E77FC5" w:rsidP="007827B9">
            <w:pPr>
              <w:jc w:val="center"/>
              <w:rPr>
                <w:rFonts w:ascii="Arial" w:hAnsi="Arial" w:cs="Arial"/>
              </w:rPr>
            </w:pPr>
            <w:r w:rsidRPr="00E77FC5">
              <w:rPr>
                <w:rFonts w:ascii="Arial" w:hAnsi="Arial" w:cs="Arial"/>
              </w:rPr>
              <w:t>47.22]</w:t>
            </w:r>
          </w:p>
        </w:tc>
        <w:tc>
          <w:tcPr>
            <w:tcW w:w="1134" w:type="dxa"/>
          </w:tcPr>
          <w:p w:rsidR="00410D42" w:rsidRPr="00D624A5" w:rsidRDefault="00E77FC5" w:rsidP="007827B9">
            <w:pPr>
              <w:jc w:val="center"/>
              <w:rPr>
                <w:rFonts w:ascii="Arial" w:hAnsi="Arial" w:cs="Arial"/>
              </w:rPr>
            </w:pPr>
            <w:r w:rsidRPr="00E77FC5">
              <w:rPr>
                <w:rFonts w:ascii="Arial" w:hAnsi="Arial" w:cs="Arial"/>
              </w:rPr>
              <w:t>185.25</w:t>
            </w:r>
          </w:p>
          <w:p w:rsidR="00410D42" w:rsidRPr="00D624A5" w:rsidRDefault="00E77FC5" w:rsidP="007827B9">
            <w:pPr>
              <w:jc w:val="center"/>
              <w:rPr>
                <w:rFonts w:ascii="Arial" w:hAnsi="Arial" w:cs="Arial"/>
              </w:rPr>
            </w:pPr>
            <w:r w:rsidRPr="00E77FC5">
              <w:rPr>
                <w:rFonts w:ascii="Arial" w:hAnsi="Arial" w:cs="Arial"/>
              </w:rPr>
              <w:t>[142.09;241.52]</w:t>
            </w:r>
          </w:p>
        </w:tc>
        <w:tc>
          <w:tcPr>
            <w:tcW w:w="1134" w:type="dxa"/>
          </w:tcPr>
          <w:p w:rsidR="00410D42" w:rsidRPr="00D624A5" w:rsidRDefault="00E77FC5" w:rsidP="007827B9">
            <w:pPr>
              <w:jc w:val="center"/>
              <w:rPr>
                <w:rFonts w:ascii="Arial" w:hAnsi="Arial" w:cs="Arial"/>
              </w:rPr>
            </w:pPr>
            <w:r w:rsidRPr="00E77FC5">
              <w:rPr>
                <w:rFonts w:ascii="Arial" w:hAnsi="Arial" w:cs="Arial"/>
              </w:rPr>
              <w:t>37.7</w:t>
            </w:r>
          </w:p>
          <w:p w:rsidR="00410D42" w:rsidRPr="00D624A5" w:rsidRDefault="00E77FC5" w:rsidP="007827B9">
            <w:pPr>
              <w:jc w:val="center"/>
              <w:rPr>
                <w:rFonts w:ascii="Arial" w:hAnsi="Arial" w:cs="Arial"/>
              </w:rPr>
            </w:pPr>
            <w:r w:rsidRPr="00E77FC5">
              <w:rPr>
                <w:rFonts w:ascii="Arial" w:hAnsi="Arial" w:cs="Arial"/>
              </w:rPr>
              <w:t>[28.68;</w:t>
            </w:r>
          </w:p>
          <w:p w:rsidR="00410D42" w:rsidRPr="00D624A5" w:rsidRDefault="00E77FC5" w:rsidP="007827B9">
            <w:pPr>
              <w:jc w:val="center"/>
              <w:rPr>
                <w:rFonts w:ascii="Arial" w:hAnsi="Arial" w:cs="Arial"/>
              </w:rPr>
            </w:pPr>
            <w:r w:rsidRPr="00E77FC5">
              <w:rPr>
                <w:rFonts w:ascii="Arial" w:hAnsi="Arial" w:cs="Arial"/>
              </w:rPr>
              <w:t>48.71]</w:t>
            </w:r>
          </w:p>
        </w:tc>
        <w:tc>
          <w:tcPr>
            <w:tcW w:w="1134" w:type="dxa"/>
          </w:tcPr>
          <w:p w:rsidR="00410D42" w:rsidRPr="00D624A5" w:rsidRDefault="00E77FC5" w:rsidP="007827B9">
            <w:pPr>
              <w:jc w:val="center"/>
              <w:rPr>
                <w:rFonts w:ascii="Arial" w:hAnsi="Arial" w:cs="Arial"/>
              </w:rPr>
            </w:pPr>
            <w:r w:rsidRPr="00E77FC5">
              <w:rPr>
                <w:rFonts w:ascii="Arial" w:hAnsi="Arial" w:cs="Arial"/>
              </w:rPr>
              <w:t>196.81</w:t>
            </w:r>
          </w:p>
          <w:p w:rsidR="00410D42" w:rsidRPr="00D624A5" w:rsidRDefault="00E77FC5" w:rsidP="007827B9">
            <w:pPr>
              <w:jc w:val="center"/>
              <w:rPr>
                <w:rFonts w:ascii="Arial" w:hAnsi="Arial" w:cs="Arial"/>
              </w:rPr>
            </w:pPr>
            <w:r w:rsidRPr="00E77FC5">
              <w:rPr>
                <w:rFonts w:ascii="Arial" w:hAnsi="Arial" w:cs="Arial"/>
              </w:rPr>
              <w:t>[154.32;251.00]</w:t>
            </w:r>
          </w:p>
        </w:tc>
      </w:tr>
    </w:tbl>
    <w:p w:rsidR="00410D42" w:rsidRPr="0021611F" w:rsidRDefault="00410D42" w:rsidP="00410D42">
      <w:pPr>
        <w:rPr>
          <w:szCs w:val="22"/>
        </w:rPr>
      </w:pPr>
      <w:r w:rsidRPr="0021611F">
        <w:rPr>
          <w:szCs w:val="22"/>
          <w:vertAlign w:val="superscript"/>
        </w:rPr>
        <w:t>1</w:t>
      </w:r>
      <w:r w:rsidRPr="0021611F">
        <w:rPr>
          <w:szCs w:val="22"/>
        </w:rPr>
        <w:t xml:space="preserve"> seroprotection rate: proportion of subjects with haemagglutination inhibition (HI) titre </w:t>
      </w:r>
      <w:r w:rsidRPr="0021611F">
        <w:rPr>
          <w:szCs w:val="22"/>
        </w:rPr>
        <w:sym w:font="Symbol" w:char="F0B3"/>
      </w:r>
      <w:r w:rsidRPr="0021611F">
        <w:rPr>
          <w:szCs w:val="22"/>
        </w:rPr>
        <w:t xml:space="preserve">1:40; </w:t>
      </w:r>
      <w:r w:rsidRPr="0021611F">
        <w:rPr>
          <w:szCs w:val="22"/>
          <w:vertAlign w:val="superscript"/>
        </w:rPr>
        <w:t>2</w:t>
      </w:r>
      <w:r w:rsidRPr="0021611F">
        <w:rPr>
          <w:szCs w:val="22"/>
        </w:rPr>
        <w:t xml:space="preserve">seroconversion rate: proportion of subjects who were either seronegative at pre-vaccination and have a protective post-vaccination titre of </w:t>
      </w:r>
      <w:r w:rsidRPr="0021611F">
        <w:rPr>
          <w:szCs w:val="22"/>
        </w:rPr>
        <w:sym w:font="Symbol" w:char="F0B3"/>
      </w:r>
      <w:r w:rsidRPr="0021611F">
        <w:rPr>
          <w:szCs w:val="22"/>
        </w:rPr>
        <w:t xml:space="preserve">1:40, or who were seropositive at pre-vaccination and have a 4-fold increase in titre; </w:t>
      </w:r>
    </w:p>
    <w:p w:rsidR="00410D42" w:rsidRPr="0021611F" w:rsidRDefault="00410D42" w:rsidP="00410D42">
      <w:pPr>
        <w:rPr>
          <w:szCs w:val="22"/>
        </w:rPr>
      </w:pPr>
      <w:r w:rsidRPr="0021611F">
        <w:rPr>
          <w:szCs w:val="22"/>
          <w:vertAlign w:val="superscript"/>
        </w:rPr>
        <w:t>3</w:t>
      </w:r>
      <w:r w:rsidRPr="0021611F">
        <w:rPr>
          <w:szCs w:val="22"/>
        </w:rPr>
        <w:t>seroconversion factor: ratio of the post-vaccination geometric mean titre (GMT) and the pre-vaccination GMT.</w:t>
      </w:r>
    </w:p>
    <w:p w:rsidR="00410D42" w:rsidRPr="0021611F" w:rsidRDefault="00410D42" w:rsidP="000E1D6B">
      <w:pPr>
        <w:spacing w:after="160"/>
        <w:rPr>
          <w:szCs w:val="22"/>
        </w:rPr>
      </w:pPr>
      <w:r w:rsidRPr="0021611F">
        <w:rPr>
          <w:szCs w:val="22"/>
          <w:vertAlign w:val="superscript"/>
        </w:rPr>
        <w:t>4</w:t>
      </w:r>
      <w:r w:rsidRPr="0021611F">
        <w:rPr>
          <w:szCs w:val="22"/>
        </w:rPr>
        <w:t>according to protocol</w:t>
      </w:r>
    </w:p>
    <w:p w:rsidR="00B20C9C" w:rsidRDefault="00E77FC5" w:rsidP="000E1D6B">
      <w:pPr>
        <w:spacing w:before="160" w:after="160" w:line="360" w:lineRule="atLeast"/>
        <w:rPr>
          <w:rFonts w:ascii="Arial" w:hAnsi="Arial" w:cs="Arial"/>
          <w:color w:val="000000"/>
          <w:sz w:val="22"/>
          <w:szCs w:val="22"/>
        </w:rPr>
      </w:pPr>
      <w:r w:rsidRPr="00E77FC5">
        <w:rPr>
          <w:rFonts w:ascii="Arial" w:hAnsi="Arial" w:cs="Arial"/>
          <w:color w:val="000000"/>
          <w:sz w:val="22"/>
          <w:szCs w:val="22"/>
        </w:rPr>
        <w:t>The 6 months seroprotection rate in the children who had received two half (0.25 ml) doses was 100% in both age groups. Twelve months after the first dose, the seroprotection rate was 85% in both age groups.</w:t>
      </w:r>
    </w:p>
    <w:p w:rsidR="00B20C9C" w:rsidRDefault="00E77FC5" w:rsidP="000E1D6B">
      <w:pPr>
        <w:spacing w:before="160" w:after="160" w:line="360" w:lineRule="atLeast"/>
        <w:rPr>
          <w:rFonts w:ascii="Arial" w:hAnsi="Arial" w:cs="Arial"/>
          <w:color w:val="000000"/>
          <w:sz w:val="22"/>
          <w:szCs w:val="22"/>
        </w:rPr>
      </w:pPr>
      <w:r w:rsidRPr="00E77FC5">
        <w:rPr>
          <w:rFonts w:ascii="Arial" w:hAnsi="Arial" w:cs="Arial"/>
          <w:color w:val="000000"/>
          <w:sz w:val="22"/>
          <w:szCs w:val="22"/>
        </w:rPr>
        <w:t>The neutralising antibody responses at day 21 were 50% and at day 42 and month 6 100% for the children aged 3 to 5 years.  For the children aged 6 to 9 years, the neutralising antibody responses were 71.4%, 100% and 93.3% at days 21 and 42 and at month 6, respectively.</w:t>
      </w:r>
    </w:p>
    <w:p w:rsidR="00B20C9C" w:rsidRDefault="00E77FC5">
      <w:pPr>
        <w:spacing w:line="360" w:lineRule="atLeast"/>
        <w:rPr>
          <w:rFonts w:ascii="Arial" w:hAnsi="Arial" w:cs="Arial"/>
          <w:i/>
          <w:color w:val="000000"/>
          <w:sz w:val="22"/>
          <w:szCs w:val="22"/>
        </w:rPr>
      </w:pPr>
      <w:r w:rsidRPr="00E77FC5">
        <w:rPr>
          <w:rFonts w:ascii="Arial" w:hAnsi="Arial" w:cs="Arial"/>
          <w:b/>
          <w:bCs/>
          <w:i/>
          <w:color w:val="000000"/>
          <w:sz w:val="22"/>
          <w:szCs w:val="22"/>
        </w:rPr>
        <w:t>Children aged 6-35 months</w:t>
      </w:r>
    </w:p>
    <w:p w:rsidR="00B20C9C" w:rsidRDefault="00E77FC5" w:rsidP="000E1D6B">
      <w:pPr>
        <w:spacing w:after="160" w:line="360" w:lineRule="atLeast"/>
        <w:rPr>
          <w:rFonts w:ascii="Arial" w:hAnsi="Arial" w:cs="Arial"/>
          <w:color w:val="000000"/>
          <w:sz w:val="22"/>
          <w:szCs w:val="22"/>
        </w:rPr>
      </w:pPr>
      <w:r w:rsidRPr="00E77FC5">
        <w:rPr>
          <w:rFonts w:ascii="Arial" w:hAnsi="Arial" w:cs="Arial"/>
          <w:color w:val="000000"/>
          <w:sz w:val="22"/>
          <w:szCs w:val="22"/>
        </w:rPr>
        <w:t>In a clinical study in healthy children 6 months to 35 months of age (stratified in ranges from 6 to 11, 12 to 23 and 24-35 months of age) the anti-HA antibody responses 21 days after a first and a second half adult dose (i.e. 0.25 ml</w:t>
      </w:r>
      <w:r w:rsidR="000E1D6B">
        <w:rPr>
          <w:rFonts w:ascii="Arial" w:hAnsi="Arial" w:cs="Arial"/>
          <w:color w:val="000000"/>
          <w:sz w:val="22"/>
          <w:szCs w:val="22"/>
        </w:rPr>
        <w:t>) of Pandemrix were as follows: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34"/>
        <w:gridCol w:w="1134"/>
        <w:gridCol w:w="1134"/>
        <w:gridCol w:w="1134"/>
        <w:gridCol w:w="993"/>
        <w:gridCol w:w="1134"/>
        <w:gridCol w:w="992"/>
        <w:gridCol w:w="1134"/>
      </w:tblGrid>
      <w:tr w:rsidR="00410D42" w:rsidRPr="00377F1C" w:rsidTr="007827B9">
        <w:trPr>
          <w:trHeight w:val="516"/>
        </w:trPr>
        <w:tc>
          <w:tcPr>
            <w:tcW w:w="1242" w:type="dxa"/>
            <w:vMerge w:val="restart"/>
          </w:tcPr>
          <w:p w:rsidR="00410D42" w:rsidRPr="00D624A5" w:rsidRDefault="00E77FC5" w:rsidP="007827B9">
            <w:pPr>
              <w:rPr>
                <w:rFonts w:ascii="Arial" w:hAnsi="Arial" w:cs="Arial"/>
                <w:color w:val="000000"/>
              </w:rPr>
            </w:pPr>
            <w:r w:rsidRPr="00E77FC5">
              <w:rPr>
                <w:rFonts w:ascii="Arial" w:hAnsi="Arial" w:cs="Arial"/>
              </w:rPr>
              <w:br w:type="page"/>
              <w:t>anti-HA antibody</w:t>
            </w:r>
          </w:p>
        </w:tc>
        <w:tc>
          <w:tcPr>
            <w:tcW w:w="8789" w:type="dxa"/>
            <w:gridSpan w:val="8"/>
          </w:tcPr>
          <w:p w:rsidR="00410D42" w:rsidRPr="00D624A5" w:rsidRDefault="00E77FC5" w:rsidP="007827B9">
            <w:pPr>
              <w:jc w:val="center"/>
              <w:rPr>
                <w:rFonts w:ascii="Arial" w:hAnsi="Arial" w:cs="Arial"/>
              </w:rPr>
            </w:pPr>
            <w:r w:rsidRPr="00E77FC5">
              <w:rPr>
                <w:rFonts w:ascii="Arial" w:hAnsi="Arial" w:cs="Arial"/>
              </w:rPr>
              <w:t>Immune response to A/California/7/2009 (H1N1)v-like</w:t>
            </w:r>
          </w:p>
        </w:tc>
      </w:tr>
      <w:tr w:rsidR="00410D42" w:rsidRPr="00377F1C" w:rsidTr="007827B9">
        <w:tc>
          <w:tcPr>
            <w:tcW w:w="1242" w:type="dxa"/>
            <w:vMerge/>
          </w:tcPr>
          <w:p w:rsidR="00410D42" w:rsidRPr="00D624A5" w:rsidRDefault="00410D42" w:rsidP="007827B9">
            <w:pPr>
              <w:rPr>
                <w:rFonts w:ascii="Arial" w:hAnsi="Arial" w:cs="Arial"/>
                <w:color w:val="000000"/>
              </w:rPr>
            </w:pPr>
          </w:p>
        </w:tc>
        <w:tc>
          <w:tcPr>
            <w:tcW w:w="4536" w:type="dxa"/>
            <w:gridSpan w:val="4"/>
          </w:tcPr>
          <w:p w:rsidR="00410D42" w:rsidRDefault="00E77FC5" w:rsidP="007827B9">
            <w:pPr>
              <w:jc w:val="center"/>
              <w:rPr>
                <w:rFonts w:ascii="Arial" w:hAnsi="Arial" w:cs="Arial"/>
              </w:rPr>
            </w:pPr>
            <w:r w:rsidRPr="00E77FC5">
              <w:rPr>
                <w:rFonts w:ascii="Arial" w:hAnsi="Arial" w:cs="Arial"/>
              </w:rPr>
              <w:t>6-11 months</w:t>
            </w:r>
          </w:p>
          <w:p w:rsidR="000E1D6B" w:rsidRPr="00D624A5" w:rsidRDefault="000E1D6B" w:rsidP="007827B9">
            <w:pPr>
              <w:jc w:val="center"/>
              <w:rPr>
                <w:rFonts w:ascii="Arial" w:hAnsi="Arial" w:cs="Arial"/>
              </w:rPr>
            </w:pPr>
          </w:p>
        </w:tc>
        <w:tc>
          <w:tcPr>
            <w:tcW w:w="4253" w:type="dxa"/>
            <w:gridSpan w:val="4"/>
          </w:tcPr>
          <w:p w:rsidR="00410D42" w:rsidRPr="00D624A5" w:rsidRDefault="00E77FC5" w:rsidP="007827B9">
            <w:pPr>
              <w:jc w:val="center"/>
              <w:rPr>
                <w:rFonts w:ascii="Arial" w:hAnsi="Arial" w:cs="Arial"/>
              </w:rPr>
            </w:pPr>
            <w:r w:rsidRPr="00E77FC5">
              <w:rPr>
                <w:rFonts w:ascii="Arial" w:hAnsi="Arial" w:cs="Arial"/>
              </w:rPr>
              <w:t>12-23 months</w:t>
            </w:r>
          </w:p>
        </w:tc>
      </w:tr>
      <w:tr w:rsidR="00410D42" w:rsidRPr="00377F1C" w:rsidTr="000E1D6B">
        <w:trPr>
          <w:trHeight w:val="705"/>
        </w:trPr>
        <w:tc>
          <w:tcPr>
            <w:tcW w:w="1242" w:type="dxa"/>
            <w:vMerge/>
          </w:tcPr>
          <w:p w:rsidR="00410D42" w:rsidRPr="00D624A5" w:rsidRDefault="00410D42" w:rsidP="007827B9">
            <w:pPr>
              <w:rPr>
                <w:rFonts w:ascii="Arial" w:hAnsi="Arial" w:cs="Arial"/>
                <w:color w:val="000000"/>
              </w:rPr>
            </w:pPr>
          </w:p>
        </w:tc>
        <w:tc>
          <w:tcPr>
            <w:tcW w:w="2268" w:type="dxa"/>
            <w:gridSpan w:val="2"/>
          </w:tcPr>
          <w:p w:rsidR="00410D42" w:rsidRPr="00D624A5" w:rsidRDefault="00E77FC5" w:rsidP="007827B9">
            <w:pPr>
              <w:jc w:val="center"/>
              <w:rPr>
                <w:rFonts w:ascii="Arial" w:hAnsi="Arial" w:cs="Arial"/>
              </w:rPr>
            </w:pPr>
            <w:r w:rsidRPr="00E77FC5">
              <w:rPr>
                <w:rFonts w:ascii="Arial" w:hAnsi="Arial" w:cs="Arial"/>
              </w:rPr>
              <w:t>Total subjects</w:t>
            </w:r>
            <w:r w:rsidRPr="00E77FC5">
              <w:rPr>
                <w:rFonts w:ascii="Arial" w:hAnsi="Arial" w:cs="Arial"/>
                <w:vertAlign w:val="superscript"/>
              </w:rPr>
              <w:t>4</w:t>
            </w:r>
          </w:p>
          <w:p w:rsidR="00410D42" w:rsidRPr="00D624A5" w:rsidRDefault="00E77FC5" w:rsidP="007827B9">
            <w:pPr>
              <w:jc w:val="center"/>
              <w:rPr>
                <w:rFonts w:ascii="Arial" w:hAnsi="Arial" w:cs="Arial"/>
              </w:rPr>
            </w:pPr>
            <w:r w:rsidRPr="00E77FC5">
              <w:rPr>
                <w:rFonts w:ascii="Arial" w:hAnsi="Arial" w:cs="Arial"/>
              </w:rPr>
              <w:t xml:space="preserve"> [95% CI]</w:t>
            </w:r>
          </w:p>
        </w:tc>
        <w:tc>
          <w:tcPr>
            <w:tcW w:w="2268" w:type="dxa"/>
            <w:gridSpan w:val="2"/>
          </w:tcPr>
          <w:p w:rsidR="00410D42" w:rsidRPr="00D624A5" w:rsidRDefault="00E77FC5" w:rsidP="007827B9">
            <w:pPr>
              <w:jc w:val="center"/>
              <w:rPr>
                <w:rFonts w:ascii="Arial" w:hAnsi="Arial" w:cs="Arial"/>
              </w:rPr>
            </w:pPr>
            <w:r w:rsidRPr="00E77FC5">
              <w:rPr>
                <w:rFonts w:ascii="Arial" w:hAnsi="Arial" w:cs="Arial"/>
              </w:rPr>
              <w:t>Seronegative subjects prior to vaccination</w:t>
            </w:r>
          </w:p>
          <w:p w:rsidR="00410D42" w:rsidRPr="00D624A5" w:rsidRDefault="00E77FC5" w:rsidP="007827B9">
            <w:pPr>
              <w:jc w:val="center"/>
              <w:rPr>
                <w:rFonts w:ascii="Arial" w:hAnsi="Arial" w:cs="Arial"/>
              </w:rPr>
            </w:pPr>
            <w:r w:rsidRPr="00E77FC5">
              <w:rPr>
                <w:rFonts w:ascii="Arial" w:hAnsi="Arial" w:cs="Arial"/>
              </w:rPr>
              <w:t xml:space="preserve"> [95% CI]</w:t>
            </w:r>
          </w:p>
        </w:tc>
        <w:tc>
          <w:tcPr>
            <w:tcW w:w="2127" w:type="dxa"/>
            <w:gridSpan w:val="2"/>
          </w:tcPr>
          <w:p w:rsidR="00410D42" w:rsidRPr="00D624A5" w:rsidRDefault="00E77FC5" w:rsidP="007827B9">
            <w:pPr>
              <w:jc w:val="center"/>
              <w:rPr>
                <w:rFonts w:ascii="Arial" w:hAnsi="Arial" w:cs="Arial"/>
              </w:rPr>
            </w:pPr>
            <w:r w:rsidRPr="00E77FC5">
              <w:rPr>
                <w:rFonts w:ascii="Arial" w:hAnsi="Arial" w:cs="Arial"/>
              </w:rPr>
              <w:t>Total subjects</w:t>
            </w:r>
            <w:r w:rsidRPr="00E77FC5">
              <w:rPr>
                <w:rFonts w:ascii="Arial" w:hAnsi="Arial" w:cs="Arial"/>
                <w:vertAlign w:val="superscript"/>
              </w:rPr>
              <w:t>4</w:t>
            </w:r>
          </w:p>
          <w:p w:rsidR="00410D42" w:rsidRPr="00D624A5" w:rsidRDefault="00E77FC5" w:rsidP="007827B9">
            <w:pPr>
              <w:jc w:val="center"/>
              <w:rPr>
                <w:rFonts w:ascii="Arial" w:hAnsi="Arial" w:cs="Arial"/>
              </w:rPr>
            </w:pPr>
            <w:r w:rsidRPr="00E77FC5">
              <w:rPr>
                <w:rFonts w:ascii="Arial" w:hAnsi="Arial" w:cs="Arial"/>
              </w:rPr>
              <w:t xml:space="preserve"> [95% CI]</w:t>
            </w:r>
          </w:p>
        </w:tc>
        <w:tc>
          <w:tcPr>
            <w:tcW w:w="2126" w:type="dxa"/>
            <w:gridSpan w:val="2"/>
          </w:tcPr>
          <w:p w:rsidR="00410D42" w:rsidRPr="00D624A5" w:rsidRDefault="00E77FC5" w:rsidP="007827B9">
            <w:pPr>
              <w:jc w:val="center"/>
              <w:rPr>
                <w:rFonts w:ascii="Arial" w:hAnsi="Arial" w:cs="Arial"/>
              </w:rPr>
            </w:pPr>
            <w:r w:rsidRPr="00E77FC5">
              <w:rPr>
                <w:rFonts w:ascii="Arial" w:hAnsi="Arial" w:cs="Arial"/>
              </w:rPr>
              <w:t>Seronegative subjects prior to vaccination</w:t>
            </w:r>
          </w:p>
          <w:p w:rsidR="00410D42" w:rsidRPr="00D624A5" w:rsidRDefault="00E77FC5" w:rsidP="007827B9">
            <w:pPr>
              <w:jc w:val="center"/>
              <w:rPr>
                <w:rFonts w:ascii="Arial" w:hAnsi="Arial" w:cs="Arial"/>
              </w:rPr>
            </w:pPr>
            <w:r w:rsidRPr="00E77FC5">
              <w:rPr>
                <w:rFonts w:ascii="Arial" w:hAnsi="Arial" w:cs="Arial"/>
              </w:rPr>
              <w:t xml:space="preserve"> [95% CI]</w:t>
            </w:r>
          </w:p>
        </w:tc>
      </w:tr>
      <w:tr w:rsidR="00410D42" w:rsidRPr="00377F1C" w:rsidTr="007827B9">
        <w:tc>
          <w:tcPr>
            <w:tcW w:w="1242" w:type="dxa"/>
            <w:vMerge/>
          </w:tcPr>
          <w:p w:rsidR="00410D42" w:rsidRPr="00D624A5" w:rsidRDefault="00410D42" w:rsidP="007827B9">
            <w:pPr>
              <w:rPr>
                <w:rFonts w:ascii="Arial" w:hAnsi="Arial" w:cs="Arial"/>
                <w:color w:val="000000"/>
              </w:rPr>
            </w:pPr>
          </w:p>
        </w:tc>
        <w:tc>
          <w:tcPr>
            <w:tcW w:w="1134" w:type="dxa"/>
          </w:tcPr>
          <w:p w:rsidR="000E1D6B" w:rsidRPr="00D624A5" w:rsidRDefault="00E77FC5" w:rsidP="000E1D6B">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c>
          <w:tcPr>
            <w:tcW w:w="993" w:type="dxa"/>
          </w:tcPr>
          <w:p w:rsidR="00410D42" w:rsidRPr="00D624A5" w:rsidRDefault="00E77FC5" w:rsidP="007827B9">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c>
          <w:tcPr>
            <w:tcW w:w="992" w:type="dxa"/>
          </w:tcPr>
          <w:p w:rsidR="00410D42" w:rsidRPr="00D624A5" w:rsidRDefault="00E77FC5" w:rsidP="007827B9">
            <w:pPr>
              <w:jc w:val="center"/>
              <w:rPr>
                <w:rFonts w:ascii="Arial" w:hAnsi="Arial" w:cs="Arial"/>
              </w:rPr>
            </w:pPr>
            <w:r w:rsidRPr="00E77FC5">
              <w:rPr>
                <w:rFonts w:ascii="Arial" w:hAnsi="Arial" w:cs="Arial"/>
              </w:rPr>
              <w:t>Post dose 1</w:t>
            </w:r>
          </w:p>
        </w:tc>
        <w:tc>
          <w:tcPr>
            <w:tcW w:w="1134" w:type="dxa"/>
          </w:tcPr>
          <w:p w:rsidR="00410D42" w:rsidRPr="00D624A5" w:rsidRDefault="00E77FC5" w:rsidP="007827B9">
            <w:pPr>
              <w:jc w:val="center"/>
              <w:rPr>
                <w:rFonts w:ascii="Arial" w:hAnsi="Arial" w:cs="Arial"/>
              </w:rPr>
            </w:pPr>
            <w:r w:rsidRPr="00E77FC5">
              <w:rPr>
                <w:rFonts w:ascii="Arial" w:hAnsi="Arial" w:cs="Arial"/>
              </w:rPr>
              <w:t>Post dose 2</w:t>
            </w:r>
          </w:p>
        </w:tc>
      </w:tr>
      <w:tr w:rsidR="00410D42" w:rsidRPr="00377F1C" w:rsidTr="007827B9">
        <w:tc>
          <w:tcPr>
            <w:tcW w:w="1242" w:type="dxa"/>
            <w:vMerge/>
          </w:tcPr>
          <w:p w:rsidR="00410D42" w:rsidRPr="00D624A5" w:rsidRDefault="00410D42" w:rsidP="007827B9">
            <w:pPr>
              <w:rPr>
                <w:rFonts w:ascii="Arial" w:hAnsi="Arial" w:cs="Arial"/>
                <w:color w:val="000000"/>
              </w:rPr>
            </w:pPr>
          </w:p>
        </w:tc>
        <w:tc>
          <w:tcPr>
            <w:tcW w:w="1134" w:type="dxa"/>
          </w:tcPr>
          <w:p w:rsidR="00410D42" w:rsidRPr="00D624A5" w:rsidRDefault="00E77FC5" w:rsidP="007827B9">
            <w:pPr>
              <w:jc w:val="center"/>
              <w:rPr>
                <w:rFonts w:ascii="Arial" w:hAnsi="Arial" w:cs="Arial"/>
              </w:rPr>
            </w:pPr>
            <w:r w:rsidRPr="00E77FC5">
              <w:rPr>
                <w:rFonts w:ascii="Arial" w:hAnsi="Arial" w:cs="Arial"/>
              </w:rPr>
              <w:t>N=34</w:t>
            </w:r>
          </w:p>
          <w:p w:rsidR="00410D42" w:rsidRPr="00D624A5" w:rsidRDefault="00410D42" w:rsidP="007827B9">
            <w:pPr>
              <w:jc w:val="center"/>
              <w:rPr>
                <w:rFonts w:ascii="Arial" w:hAnsi="Arial" w:cs="Arial"/>
              </w:rPr>
            </w:pPr>
          </w:p>
        </w:tc>
        <w:tc>
          <w:tcPr>
            <w:tcW w:w="1134" w:type="dxa"/>
          </w:tcPr>
          <w:p w:rsidR="00410D42" w:rsidRPr="00D624A5" w:rsidRDefault="00E77FC5" w:rsidP="007827B9">
            <w:pPr>
              <w:jc w:val="center"/>
              <w:rPr>
                <w:rFonts w:ascii="Arial" w:hAnsi="Arial" w:cs="Arial"/>
              </w:rPr>
            </w:pPr>
            <w:r w:rsidRPr="00E77FC5">
              <w:rPr>
                <w:rFonts w:ascii="Arial" w:hAnsi="Arial" w:cs="Arial"/>
              </w:rPr>
              <w:t>N = 32</w:t>
            </w:r>
          </w:p>
        </w:tc>
        <w:tc>
          <w:tcPr>
            <w:tcW w:w="1134" w:type="dxa"/>
          </w:tcPr>
          <w:p w:rsidR="00410D42" w:rsidRPr="00D624A5" w:rsidRDefault="00E77FC5" w:rsidP="007827B9">
            <w:pPr>
              <w:jc w:val="center"/>
              <w:rPr>
                <w:rFonts w:ascii="Arial" w:hAnsi="Arial" w:cs="Arial"/>
              </w:rPr>
            </w:pPr>
            <w:r w:rsidRPr="00E77FC5">
              <w:rPr>
                <w:rFonts w:ascii="Arial" w:hAnsi="Arial" w:cs="Arial"/>
              </w:rPr>
              <w:t>N=30</w:t>
            </w:r>
          </w:p>
          <w:p w:rsidR="00410D42" w:rsidRPr="00D624A5" w:rsidRDefault="00410D42" w:rsidP="007827B9">
            <w:pPr>
              <w:jc w:val="center"/>
              <w:rPr>
                <w:rFonts w:ascii="Arial" w:hAnsi="Arial" w:cs="Arial"/>
              </w:rPr>
            </w:pPr>
          </w:p>
        </w:tc>
        <w:tc>
          <w:tcPr>
            <w:tcW w:w="1134" w:type="dxa"/>
          </w:tcPr>
          <w:p w:rsidR="00410D42" w:rsidRPr="00D624A5" w:rsidRDefault="00E77FC5" w:rsidP="007827B9">
            <w:pPr>
              <w:jc w:val="center"/>
              <w:rPr>
                <w:rFonts w:ascii="Arial" w:hAnsi="Arial" w:cs="Arial"/>
              </w:rPr>
            </w:pPr>
            <w:r w:rsidRPr="00E77FC5">
              <w:rPr>
                <w:rFonts w:ascii="Arial" w:hAnsi="Arial" w:cs="Arial"/>
              </w:rPr>
              <w:t>N=28</w:t>
            </w:r>
          </w:p>
        </w:tc>
        <w:tc>
          <w:tcPr>
            <w:tcW w:w="993" w:type="dxa"/>
          </w:tcPr>
          <w:p w:rsidR="00410D42" w:rsidRPr="00D624A5" w:rsidRDefault="00E77FC5" w:rsidP="007827B9">
            <w:pPr>
              <w:jc w:val="center"/>
              <w:rPr>
                <w:rFonts w:ascii="Arial" w:hAnsi="Arial" w:cs="Arial"/>
              </w:rPr>
            </w:pPr>
            <w:r w:rsidRPr="00E77FC5">
              <w:rPr>
                <w:rFonts w:ascii="Arial" w:hAnsi="Arial" w:cs="Arial"/>
              </w:rPr>
              <w:t>N=34</w:t>
            </w:r>
          </w:p>
          <w:p w:rsidR="00410D42" w:rsidRPr="00D624A5" w:rsidRDefault="00410D42" w:rsidP="007827B9">
            <w:pPr>
              <w:jc w:val="center"/>
              <w:rPr>
                <w:rFonts w:ascii="Arial" w:hAnsi="Arial" w:cs="Arial"/>
              </w:rPr>
            </w:pPr>
          </w:p>
        </w:tc>
        <w:tc>
          <w:tcPr>
            <w:tcW w:w="1134" w:type="dxa"/>
          </w:tcPr>
          <w:p w:rsidR="00410D42" w:rsidRPr="00D624A5" w:rsidRDefault="00E77FC5" w:rsidP="007827B9">
            <w:pPr>
              <w:jc w:val="center"/>
              <w:rPr>
                <w:rFonts w:ascii="Arial" w:hAnsi="Arial" w:cs="Arial"/>
              </w:rPr>
            </w:pPr>
            <w:r w:rsidRPr="00E77FC5">
              <w:rPr>
                <w:rFonts w:ascii="Arial" w:hAnsi="Arial" w:cs="Arial"/>
              </w:rPr>
              <w:t>N= 32</w:t>
            </w:r>
          </w:p>
        </w:tc>
        <w:tc>
          <w:tcPr>
            <w:tcW w:w="992" w:type="dxa"/>
          </w:tcPr>
          <w:p w:rsidR="00410D42" w:rsidRPr="00D624A5" w:rsidRDefault="00E77FC5" w:rsidP="007827B9">
            <w:pPr>
              <w:jc w:val="center"/>
              <w:rPr>
                <w:rFonts w:ascii="Arial" w:hAnsi="Arial" w:cs="Arial"/>
              </w:rPr>
            </w:pPr>
            <w:r w:rsidRPr="00E77FC5">
              <w:rPr>
                <w:rFonts w:ascii="Arial" w:hAnsi="Arial" w:cs="Arial"/>
              </w:rPr>
              <w:t>N=33</w:t>
            </w:r>
          </w:p>
        </w:tc>
        <w:tc>
          <w:tcPr>
            <w:tcW w:w="1134" w:type="dxa"/>
          </w:tcPr>
          <w:p w:rsidR="00410D42" w:rsidRPr="00D624A5" w:rsidRDefault="00E77FC5" w:rsidP="007827B9">
            <w:pPr>
              <w:jc w:val="center"/>
              <w:rPr>
                <w:rFonts w:ascii="Arial" w:hAnsi="Arial" w:cs="Arial"/>
              </w:rPr>
            </w:pPr>
            <w:r w:rsidRPr="00E77FC5">
              <w:rPr>
                <w:rFonts w:ascii="Arial" w:hAnsi="Arial" w:cs="Arial"/>
              </w:rPr>
              <w:t>N=31</w:t>
            </w:r>
          </w:p>
        </w:tc>
      </w:tr>
      <w:tr w:rsidR="00410D42" w:rsidRPr="00377F1C" w:rsidTr="007827B9">
        <w:tc>
          <w:tcPr>
            <w:tcW w:w="1242" w:type="dxa"/>
          </w:tcPr>
          <w:p w:rsidR="00410D42" w:rsidRPr="00D624A5" w:rsidRDefault="00E77FC5" w:rsidP="007827B9">
            <w:pPr>
              <w:rPr>
                <w:rFonts w:ascii="Arial" w:hAnsi="Arial" w:cs="Arial"/>
              </w:rPr>
            </w:pPr>
            <w:r w:rsidRPr="00E77FC5">
              <w:rPr>
                <w:rFonts w:ascii="Arial" w:hAnsi="Arial" w:cs="Arial"/>
              </w:rPr>
              <w:t>Sero-</w:t>
            </w:r>
          </w:p>
          <w:p w:rsidR="00410D42" w:rsidRPr="00D624A5" w:rsidRDefault="00E77FC5" w:rsidP="007827B9">
            <w:pPr>
              <w:rPr>
                <w:rFonts w:ascii="Arial" w:hAnsi="Arial" w:cs="Arial"/>
              </w:rPr>
            </w:pPr>
            <w:r w:rsidRPr="00E77FC5">
              <w:rPr>
                <w:rFonts w:ascii="Arial" w:hAnsi="Arial" w:cs="Arial"/>
              </w:rPr>
              <w:t xml:space="preserve">protection </w:t>
            </w:r>
          </w:p>
          <w:p w:rsidR="00410D42" w:rsidRPr="00D624A5" w:rsidRDefault="00E77FC5" w:rsidP="007827B9">
            <w:pPr>
              <w:rPr>
                <w:rFonts w:ascii="Arial" w:hAnsi="Arial" w:cs="Arial"/>
                <w:color w:val="000000"/>
              </w:rPr>
            </w:pPr>
            <w:r w:rsidRPr="00E77FC5">
              <w:rPr>
                <w:rFonts w:ascii="Arial" w:hAnsi="Arial" w:cs="Arial"/>
              </w:rPr>
              <w:t>rate</w:t>
            </w:r>
            <w:r w:rsidRPr="00E77FC5">
              <w:rPr>
                <w:rFonts w:ascii="Arial" w:hAnsi="Arial" w:cs="Arial"/>
                <w:vertAlign w:val="superscript"/>
              </w:rPr>
              <w:t>1</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[89.7; 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[89.1;</w:t>
            </w:r>
          </w:p>
          <w:p w:rsidR="00410D42" w:rsidRDefault="00E77FC5" w:rsidP="007827B9">
            <w:pPr>
              <w:jc w:val="center"/>
              <w:rPr>
                <w:rFonts w:ascii="Arial" w:hAnsi="Arial" w:cs="Arial"/>
                <w:color w:val="000000"/>
              </w:rPr>
            </w:pPr>
            <w:r w:rsidRPr="00E77FC5">
              <w:rPr>
                <w:rFonts w:ascii="Arial" w:hAnsi="Arial" w:cs="Arial"/>
                <w:color w:val="000000"/>
              </w:rPr>
              <w:t>100]</w:t>
            </w:r>
          </w:p>
          <w:p w:rsidR="000E1D6B" w:rsidRPr="00D624A5" w:rsidRDefault="000E1D6B" w:rsidP="007827B9">
            <w:pPr>
              <w:jc w:val="center"/>
              <w:rPr>
                <w:rFonts w:ascii="Arial" w:hAnsi="Arial" w:cs="Arial"/>
                <w:color w:val="000000"/>
              </w:rPr>
            </w:pP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r w:rsidRPr="00E77FC5">
              <w:rPr>
                <w:rFonts w:ascii="Arial" w:hAnsi="Arial" w:cs="Arial"/>
                <w:color w:val="000000"/>
              </w:rPr>
              <w:br/>
              <w:t>[88.4;</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[87.7;</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c>
          <w:tcPr>
            <w:tcW w:w="993"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[89.7; 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[89.1; 100]</w:t>
            </w:r>
          </w:p>
        </w:tc>
        <w:tc>
          <w:tcPr>
            <w:tcW w:w="992"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[89.4;</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[88.8;</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r>
      <w:tr w:rsidR="00410D42" w:rsidRPr="00377F1C" w:rsidTr="007827B9">
        <w:tc>
          <w:tcPr>
            <w:tcW w:w="1242" w:type="dxa"/>
          </w:tcPr>
          <w:p w:rsidR="00410D42" w:rsidRPr="00D624A5" w:rsidRDefault="00E77FC5" w:rsidP="007827B9">
            <w:pPr>
              <w:rPr>
                <w:rFonts w:ascii="Arial" w:hAnsi="Arial" w:cs="Arial"/>
              </w:rPr>
            </w:pPr>
            <w:r w:rsidRPr="00E77FC5">
              <w:rPr>
                <w:rFonts w:ascii="Arial" w:hAnsi="Arial" w:cs="Arial"/>
              </w:rPr>
              <w:lastRenderedPageBreak/>
              <w:t>Sero-</w:t>
            </w:r>
          </w:p>
          <w:p w:rsidR="00410D42" w:rsidRPr="00D624A5" w:rsidRDefault="00E77FC5" w:rsidP="007827B9">
            <w:pPr>
              <w:rPr>
                <w:rFonts w:ascii="Arial" w:hAnsi="Arial" w:cs="Arial"/>
              </w:rPr>
            </w:pPr>
            <w:r w:rsidRPr="00E77FC5">
              <w:rPr>
                <w:rFonts w:ascii="Arial" w:hAnsi="Arial" w:cs="Arial"/>
              </w:rPr>
              <w:t xml:space="preserve">conversion </w:t>
            </w:r>
          </w:p>
          <w:p w:rsidR="00410D42" w:rsidRPr="00D624A5" w:rsidRDefault="00E77FC5" w:rsidP="007827B9">
            <w:pPr>
              <w:rPr>
                <w:rFonts w:ascii="Arial" w:hAnsi="Arial" w:cs="Arial"/>
              </w:rPr>
            </w:pPr>
            <w:r w:rsidRPr="00E77FC5">
              <w:rPr>
                <w:rFonts w:ascii="Arial" w:hAnsi="Arial" w:cs="Arial"/>
              </w:rPr>
              <w:t>rate</w:t>
            </w:r>
            <w:r w:rsidRPr="00E77FC5">
              <w:rPr>
                <w:rFonts w:ascii="Arial" w:hAnsi="Arial" w:cs="Arial"/>
                <w:vertAlign w:val="superscript"/>
              </w:rPr>
              <w:t>2</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97.1%</w:t>
            </w:r>
          </w:p>
          <w:p w:rsidR="00410D42" w:rsidRPr="00D624A5" w:rsidRDefault="00E77FC5" w:rsidP="007827B9">
            <w:pPr>
              <w:jc w:val="center"/>
              <w:rPr>
                <w:rFonts w:ascii="Arial" w:hAnsi="Arial" w:cs="Arial"/>
                <w:color w:val="000000"/>
              </w:rPr>
            </w:pPr>
            <w:r w:rsidRPr="00E77FC5">
              <w:rPr>
                <w:rFonts w:ascii="Arial" w:hAnsi="Arial" w:cs="Arial"/>
                <w:color w:val="000000"/>
              </w:rPr>
              <w:t>[84.7;</w:t>
            </w:r>
          </w:p>
          <w:p w:rsidR="00410D42" w:rsidRPr="00D624A5" w:rsidRDefault="00E77FC5" w:rsidP="007827B9">
            <w:pPr>
              <w:jc w:val="center"/>
              <w:rPr>
                <w:rFonts w:ascii="Arial" w:hAnsi="Arial" w:cs="Arial"/>
                <w:color w:val="000000"/>
              </w:rPr>
            </w:pPr>
            <w:r w:rsidRPr="00E77FC5">
              <w:rPr>
                <w:rFonts w:ascii="Arial" w:hAnsi="Arial" w:cs="Arial"/>
                <w:color w:val="000000"/>
              </w:rPr>
              <w:t>99.9]</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[89.1;</w:t>
            </w:r>
          </w:p>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410D42" w:rsidP="007827B9">
            <w:pPr>
              <w:jc w:val="center"/>
              <w:rPr>
                <w:rFonts w:ascii="Arial" w:hAnsi="Arial" w:cs="Arial"/>
                <w:color w:val="000000"/>
              </w:rPr>
            </w:pP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r w:rsidRPr="00E77FC5">
              <w:rPr>
                <w:rFonts w:ascii="Arial" w:hAnsi="Arial" w:cs="Arial"/>
                <w:color w:val="000000"/>
              </w:rPr>
              <w:br/>
              <w:t>[88.4;</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[87.7;</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c>
          <w:tcPr>
            <w:tcW w:w="993"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[89.7; 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[89.1; 100]</w:t>
            </w:r>
          </w:p>
        </w:tc>
        <w:tc>
          <w:tcPr>
            <w:tcW w:w="992"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[89.4;</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100%</w:t>
            </w:r>
          </w:p>
          <w:p w:rsidR="00410D42" w:rsidRPr="00D624A5" w:rsidRDefault="00E77FC5" w:rsidP="007827B9">
            <w:pPr>
              <w:jc w:val="center"/>
              <w:rPr>
                <w:rFonts w:ascii="Arial" w:hAnsi="Arial" w:cs="Arial"/>
                <w:color w:val="000000"/>
              </w:rPr>
            </w:pPr>
            <w:r w:rsidRPr="00E77FC5">
              <w:rPr>
                <w:rFonts w:ascii="Arial" w:hAnsi="Arial" w:cs="Arial"/>
                <w:color w:val="000000"/>
              </w:rPr>
              <w:t>[88.8;</w:t>
            </w:r>
          </w:p>
          <w:p w:rsidR="00410D42" w:rsidRPr="00D624A5" w:rsidRDefault="00E77FC5" w:rsidP="007827B9">
            <w:pPr>
              <w:jc w:val="center"/>
              <w:rPr>
                <w:rFonts w:ascii="Arial" w:hAnsi="Arial" w:cs="Arial"/>
                <w:color w:val="000000"/>
              </w:rPr>
            </w:pPr>
            <w:r w:rsidRPr="00E77FC5">
              <w:rPr>
                <w:rFonts w:ascii="Arial" w:hAnsi="Arial" w:cs="Arial"/>
                <w:color w:val="000000"/>
              </w:rPr>
              <w:t>100]</w:t>
            </w:r>
          </w:p>
        </w:tc>
      </w:tr>
      <w:tr w:rsidR="00410D42" w:rsidRPr="00377F1C" w:rsidTr="007827B9">
        <w:tc>
          <w:tcPr>
            <w:tcW w:w="1242" w:type="dxa"/>
          </w:tcPr>
          <w:p w:rsidR="00410D42" w:rsidRPr="00D624A5" w:rsidRDefault="00E77FC5" w:rsidP="007827B9">
            <w:pPr>
              <w:rPr>
                <w:rFonts w:ascii="Arial" w:hAnsi="Arial" w:cs="Arial"/>
              </w:rPr>
            </w:pPr>
            <w:r w:rsidRPr="00E77FC5">
              <w:rPr>
                <w:rFonts w:ascii="Arial" w:hAnsi="Arial" w:cs="Arial"/>
              </w:rPr>
              <w:t>Sero-</w:t>
            </w:r>
          </w:p>
          <w:p w:rsidR="00410D42" w:rsidRPr="00D624A5" w:rsidRDefault="00E77FC5" w:rsidP="007827B9">
            <w:pPr>
              <w:rPr>
                <w:rFonts w:ascii="Arial" w:hAnsi="Arial" w:cs="Arial"/>
              </w:rPr>
            </w:pPr>
            <w:r w:rsidRPr="00E77FC5">
              <w:rPr>
                <w:rFonts w:ascii="Arial" w:hAnsi="Arial" w:cs="Arial"/>
              </w:rPr>
              <w:t>conversion factor</w:t>
            </w:r>
            <w:r w:rsidRPr="00E77FC5">
              <w:rPr>
                <w:rFonts w:ascii="Arial" w:hAnsi="Arial" w:cs="Arial"/>
                <w:vertAlign w:val="superscript"/>
              </w:rPr>
              <w:t>3</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48.12</w:t>
            </w:r>
          </w:p>
          <w:p w:rsidR="00410D42" w:rsidRPr="00D624A5" w:rsidRDefault="00E77FC5" w:rsidP="007827B9">
            <w:pPr>
              <w:jc w:val="center"/>
              <w:rPr>
                <w:rFonts w:ascii="Arial" w:hAnsi="Arial" w:cs="Arial"/>
                <w:color w:val="000000"/>
              </w:rPr>
            </w:pPr>
            <w:r w:rsidRPr="00E77FC5">
              <w:rPr>
                <w:rFonts w:ascii="Arial" w:hAnsi="Arial" w:cs="Arial"/>
                <w:color w:val="000000"/>
              </w:rPr>
              <w:t>[34.34;</w:t>
            </w:r>
          </w:p>
          <w:p w:rsidR="00410D42" w:rsidRPr="00D624A5" w:rsidRDefault="00E77FC5" w:rsidP="007827B9">
            <w:pPr>
              <w:jc w:val="center"/>
              <w:rPr>
                <w:rFonts w:ascii="Arial" w:hAnsi="Arial" w:cs="Arial"/>
                <w:color w:val="000000"/>
              </w:rPr>
            </w:pPr>
            <w:r w:rsidRPr="00E77FC5">
              <w:rPr>
                <w:rFonts w:ascii="Arial" w:hAnsi="Arial" w:cs="Arial"/>
                <w:color w:val="000000"/>
              </w:rPr>
              <w:t>67.42]</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276.14</w:t>
            </w:r>
          </w:p>
          <w:p w:rsidR="00410D42" w:rsidRPr="00D624A5" w:rsidRDefault="00E77FC5" w:rsidP="007827B9">
            <w:pPr>
              <w:jc w:val="center"/>
              <w:rPr>
                <w:rFonts w:ascii="Arial" w:hAnsi="Arial" w:cs="Arial"/>
                <w:color w:val="000000"/>
              </w:rPr>
            </w:pPr>
            <w:r w:rsidRPr="00E77FC5">
              <w:rPr>
                <w:rFonts w:ascii="Arial" w:hAnsi="Arial" w:cs="Arial"/>
                <w:color w:val="000000"/>
              </w:rPr>
              <w:t>[164.23;</w:t>
            </w:r>
          </w:p>
          <w:p w:rsidR="00410D42" w:rsidRPr="00D624A5" w:rsidRDefault="00E77FC5" w:rsidP="007827B9">
            <w:pPr>
              <w:jc w:val="center"/>
              <w:rPr>
                <w:rFonts w:ascii="Arial" w:hAnsi="Arial" w:cs="Arial"/>
                <w:color w:val="000000"/>
              </w:rPr>
            </w:pPr>
            <w:r w:rsidRPr="00E77FC5">
              <w:rPr>
                <w:rFonts w:ascii="Arial" w:hAnsi="Arial" w:cs="Arial"/>
                <w:color w:val="000000"/>
              </w:rPr>
              <w:t>455.99]</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64.0</w:t>
            </w:r>
          </w:p>
          <w:p w:rsidR="00410D42" w:rsidRPr="00D624A5" w:rsidRDefault="00E77FC5" w:rsidP="007827B9">
            <w:pPr>
              <w:jc w:val="center"/>
              <w:rPr>
                <w:rFonts w:ascii="Arial" w:hAnsi="Arial" w:cs="Arial"/>
                <w:color w:val="000000"/>
              </w:rPr>
            </w:pPr>
            <w:r w:rsidRPr="00E77FC5">
              <w:rPr>
                <w:rFonts w:ascii="Arial" w:hAnsi="Arial" w:cs="Arial"/>
                <w:color w:val="000000"/>
              </w:rPr>
              <w:t>[52.3;</w:t>
            </w:r>
          </w:p>
          <w:p w:rsidR="00410D42" w:rsidRPr="00D624A5" w:rsidRDefault="00E77FC5" w:rsidP="007827B9">
            <w:pPr>
              <w:jc w:val="center"/>
              <w:rPr>
                <w:rFonts w:ascii="Arial" w:hAnsi="Arial" w:cs="Arial"/>
                <w:color w:val="000000"/>
              </w:rPr>
            </w:pPr>
            <w:r w:rsidRPr="00E77FC5">
              <w:rPr>
                <w:rFonts w:ascii="Arial" w:hAnsi="Arial" w:cs="Arial"/>
                <w:color w:val="000000"/>
              </w:rPr>
              <w:t>78.3]</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441.3</w:t>
            </w:r>
          </w:p>
          <w:p w:rsidR="00410D42" w:rsidRPr="00D624A5" w:rsidRDefault="00E77FC5" w:rsidP="007827B9">
            <w:pPr>
              <w:jc w:val="center"/>
              <w:rPr>
                <w:rFonts w:ascii="Arial" w:hAnsi="Arial" w:cs="Arial"/>
                <w:color w:val="000000"/>
              </w:rPr>
            </w:pPr>
            <w:r w:rsidRPr="00E77FC5">
              <w:rPr>
                <w:rFonts w:ascii="Arial" w:hAnsi="Arial" w:cs="Arial"/>
                <w:color w:val="000000"/>
              </w:rPr>
              <w:t>[365.7;</w:t>
            </w:r>
          </w:p>
          <w:p w:rsidR="00410D42" w:rsidRPr="00D624A5" w:rsidRDefault="00E77FC5" w:rsidP="007827B9">
            <w:pPr>
              <w:jc w:val="center"/>
              <w:rPr>
                <w:rFonts w:ascii="Arial" w:hAnsi="Arial" w:cs="Arial"/>
                <w:color w:val="000000"/>
              </w:rPr>
            </w:pPr>
            <w:r w:rsidRPr="00E77FC5">
              <w:rPr>
                <w:rFonts w:ascii="Arial" w:hAnsi="Arial" w:cs="Arial"/>
                <w:color w:val="000000"/>
              </w:rPr>
              <w:t>532.6]</w:t>
            </w:r>
          </w:p>
        </w:tc>
        <w:tc>
          <w:tcPr>
            <w:tcW w:w="993" w:type="dxa"/>
          </w:tcPr>
          <w:p w:rsidR="00410D42" w:rsidRPr="00D624A5" w:rsidRDefault="00E77FC5" w:rsidP="007827B9">
            <w:pPr>
              <w:jc w:val="center"/>
              <w:rPr>
                <w:rFonts w:ascii="Arial" w:hAnsi="Arial" w:cs="Arial"/>
                <w:color w:val="000000"/>
              </w:rPr>
            </w:pPr>
            <w:r w:rsidRPr="00E77FC5">
              <w:rPr>
                <w:rFonts w:ascii="Arial" w:hAnsi="Arial" w:cs="Arial"/>
                <w:color w:val="000000"/>
              </w:rPr>
              <w:t>63.37</w:t>
            </w:r>
          </w:p>
          <w:p w:rsidR="00410D42" w:rsidRPr="00D624A5" w:rsidRDefault="00E77FC5" w:rsidP="007827B9">
            <w:pPr>
              <w:jc w:val="center"/>
              <w:rPr>
                <w:rFonts w:ascii="Arial" w:hAnsi="Arial" w:cs="Arial"/>
                <w:color w:val="000000"/>
              </w:rPr>
            </w:pPr>
            <w:r w:rsidRPr="00E77FC5">
              <w:rPr>
                <w:rFonts w:ascii="Arial" w:hAnsi="Arial" w:cs="Arial"/>
                <w:color w:val="000000"/>
              </w:rPr>
              <w:t>[48.13;</w:t>
            </w:r>
          </w:p>
          <w:p w:rsidR="00410D42" w:rsidRPr="00D624A5" w:rsidRDefault="00E77FC5" w:rsidP="007827B9">
            <w:pPr>
              <w:jc w:val="center"/>
              <w:rPr>
                <w:rFonts w:ascii="Arial" w:hAnsi="Arial" w:cs="Arial"/>
                <w:color w:val="000000"/>
              </w:rPr>
            </w:pPr>
            <w:r w:rsidRPr="00E77FC5">
              <w:rPr>
                <w:rFonts w:ascii="Arial" w:hAnsi="Arial" w:cs="Arial"/>
                <w:color w:val="000000"/>
              </w:rPr>
              <w:t>83.43]</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386.45</w:t>
            </w:r>
          </w:p>
          <w:p w:rsidR="00410D42" w:rsidRPr="00D624A5" w:rsidRDefault="00E77FC5" w:rsidP="007827B9">
            <w:pPr>
              <w:jc w:val="center"/>
              <w:rPr>
                <w:rFonts w:ascii="Arial" w:hAnsi="Arial" w:cs="Arial"/>
                <w:color w:val="000000"/>
              </w:rPr>
            </w:pPr>
            <w:r w:rsidRPr="00E77FC5">
              <w:rPr>
                <w:rFonts w:ascii="Arial" w:hAnsi="Arial" w:cs="Arial"/>
                <w:color w:val="000000"/>
              </w:rPr>
              <w:t>[308.54;</w:t>
            </w:r>
          </w:p>
          <w:p w:rsidR="00410D42" w:rsidRPr="00D624A5" w:rsidRDefault="00E77FC5" w:rsidP="007827B9">
            <w:pPr>
              <w:jc w:val="center"/>
              <w:rPr>
                <w:rFonts w:ascii="Arial" w:hAnsi="Arial" w:cs="Arial"/>
                <w:color w:val="000000"/>
              </w:rPr>
            </w:pPr>
            <w:r w:rsidRPr="00E77FC5">
              <w:rPr>
                <w:rFonts w:ascii="Arial" w:hAnsi="Arial" w:cs="Arial"/>
                <w:color w:val="000000"/>
              </w:rPr>
              <w:t>484.02]</w:t>
            </w:r>
          </w:p>
        </w:tc>
        <w:tc>
          <w:tcPr>
            <w:tcW w:w="992" w:type="dxa"/>
          </w:tcPr>
          <w:p w:rsidR="00410D42" w:rsidRPr="00D624A5" w:rsidRDefault="00E77FC5" w:rsidP="007827B9">
            <w:pPr>
              <w:jc w:val="center"/>
              <w:rPr>
                <w:rFonts w:ascii="Arial" w:hAnsi="Arial" w:cs="Arial"/>
                <w:color w:val="000000"/>
              </w:rPr>
            </w:pPr>
            <w:r w:rsidRPr="00E77FC5">
              <w:rPr>
                <w:rFonts w:ascii="Arial" w:hAnsi="Arial" w:cs="Arial"/>
                <w:color w:val="000000"/>
              </w:rPr>
              <w:t>66.7</w:t>
            </w:r>
          </w:p>
          <w:p w:rsidR="00410D42" w:rsidRPr="00D624A5" w:rsidRDefault="00E77FC5" w:rsidP="007827B9">
            <w:pPr>
              <w:jc w:val="center"/>
              <w:rPr>
                <w:rFonts w:ascii="Arial" w:hAnsi="Arial" w:cs="Arial"/>
                <w:color w:val="000000"/>
              </w:rPr>
            </w:pPr>
            <w:r w:rsidRPr="00E77FC5">
              <w:rPr>
                <w:rFonts w:ascii="Arial" w:hAnsi="Arial" w:cs="Arial"/>
                <w:color w:val="000000"/>
              </w:rPr>
              <w:t>[51.4;</w:t>
            </w:r>
          </w:p>
          <w:p w:rsidR="00410D42" w:rsidRPr="00D624A5" w:rsidRDefault="00E77FC5" w:rsidP="007827B9">
            <w:pPr>
              <w:jc w:val="center"/>
              <w:rPr>
                <w:rFonts w:ascii="Arial" w:hAnsi="Arial" w:cs="Arial"/>
                <w:color w:val="000000"/>
              </w:rPr>
            </w:pPr>
            <w:r w:rsidRPr="00E77FC5">
              <w:rPr>
                <w:rFonts w:ascii="Arial" w:hAnsi="Arial" w:cs="Arial"/>
                <w:color w:val="000000"/>
              </w:rPr>
              <w:t>86.7]</w:t>
            </w:r>
          </w:p>
        </w:tc>
        <w:tc>
          <w:tcPr>
            <w:tcW w:w="1134" w:type="dxa"/>
          </w:tcPr>
          <w:p w:rsidR="00410D42" w:rsidRPr="00D624A5" w:rsidRDefault="00E77FC5" w:rsidP="007827B9">
            <w:pPr>
              <w:jc w:val="center"/>
              <w:rPr>
                <w:rFonts w:ascii="Arial" w:hAnsi="Arial" w:cs="Arial"/>
                <w:color w:val="000000"/>
              </w:rPr>
            </w:pPr>
            <w:r w:rsidRPr="00E77FC5">
              <w:rPr>
                <w:rFonts w:ascii="Arial" w:hAnsi="Arial" w:cs="Arial"/>
                <w:color w:val="000000"/>
              </w:rPr>
              <w:t>404.8</w:t>
            </w:r>
          </w:p>
          <w:p w:rsidR="00410D42" w:rsidRPr="00D624A5" w:rsidRDefault="00E77FC5" w:rsidP="007827B9">
            <w:pPr>
              <w:jc w:val="center"/>
              <w:rPr>
                <w:rFonts w:ascii="Arial" w:hAnsi="Arial" w:cs="Arial"/>
                <w:color w:val="000000"/>
              </w:rPr>
            </w:pPr>
            <w:r w:rsidRPr="00E77FC5">
              <w:rPr>
                <w:rFonts w:ascii="Arial" w:hAnsi="Arial" w:cs="Arial"/>
                <w:color w:val="000000"/>
              </w:rPr>
              <w:t>[327.8;</w:t>
            </w:r>
          </w:p>
          <w:p w:rsidR="00410D42" w:rsidRPr="00D624A5" w:rsidRDefault="00E77FC5" w:rsidP="007827B9">
            <w:pPr>
              <w:jc w:val="center"/>
              <w:rPr>
                <w:rFonts w:ascii="Arial" w:hAnsi="Arial" w:cs="Arial"/>
                <w:color w:val="000000"/>
              </w:rPr>
            </w:pPr>
            <w:r w:rsidRPr="00E77FC5">
              <w:rPr>
                <w:rFonts w:ascii="Arial" w:hAnsi="Arial" w:cs="Arial"/>
                <w:color w:val="000000"/>
              </w:rPr>
              <w:t>500.0]</w:t>
            </w:r>
          </w:p>
        </w:tc>
      </w:tr>
    </w:tbl>
    <w:p w:rsidR="00410D42" w:rsidRPr="0021611F" w:rsidRDefault="00410D42" w:rsidP="00410D42">
      <w:pPr>
        <w:rPr>
          <w:szCs w:val="22"/>
        </w:rPr>
      </w:pPr>
      <w:r w:rsidRPr="0021611F">
        <w:rPr>
          <w:szCs w:val="22"/>
          <w:vertAlign w:val="superscript"/>
        </w:rPr>
        <w:t>1</w:t>
      </w:r>
      <w:r w:rsidRPr="0021611F">
        <w:rPr>
          <w:szCs w:val="22"/>
        </w:rPr>
        <w:t xml:space="preserve"> seroprotection rate: proportion of subjects with haemagglutination inhibition (HI) titre </w:t>
      </w:r>
      <w:r w:rsidRPr="0021611F">
        <w:rPr>
          <w:szCs w:val="22"/>
        </w:rPr>
        <w:sym w:font="Symbol" w:char="F0B3"/>
      </w:r>
      <w:r w:rsidRPr="0021611F">
        <w:rPr>
          <w:szCs w:val="22"/>
        </w:rPr>
        <w:t xml:space="preserve">1:40; </w:t>
      </w:r>
      <w:r w:rsidRPr="0021611F">
        <w:rPr>
          <w:szCs w:val="22"/>
          <w:vertAlign w:val="superscript"/>
        </w:rPr>
        <w:t>2</w:t>
      </w:r>
      <w:r w:rsidRPr="0021611F">
        <w:rPr>
          <w:szCs w:val="22"/>
        </w:rPr>
        <w:t xml:space="preserve">seroconversion rate: proportion of subjects who were either seronegative at pre-vaccination and have a protective post-vaccination titre of </w:t>
      </w:r>
      <w:r w:rsidRPr="0021611F">
        <w:rPr>
          <w:szCs w:val="22"/>
        </w:rPr>
        <w:sym w:font="Symbol" w:char="F0B3"/>
      </w:r>
      <w:r w:rsidRPr="0021611F">
        <w:rPr>
          <w:szCs w:val="22"/>
        </w:rPr>
        <w:t xml:space="preserve">1:40, or who were seropositive at pre-vaccination and have a 4-fold increase in titre; </w:t>
      </w:r>
    </w:p>
    <w:p w:rsidR="00410D42" w:rsidRPr="0021611F" w:rsidRDefault="00410D42" w:rsidP="00410D42">
      <w:pPr>
        <w:rPr>
          <w:szCs w:val="22"/>
        </w:rPr>
      </w:pPr>
      <w:r w:rsidRPr="0021611F">
        <w:rPr>
          <w:szCs w:val="22"/>
          <w:vertAlign w:val="superscript"/>
        </w:rPr>
        <w:t>3</w:t>
      </w:r>
      <w:r w:rsidRPr="0021611F">
        <w:rPr>
          <w:szCs w:val="22"/>
        </w:rPr>
        <w:t>seroconversion factor: ratio of the post-vaccination geometric mean titre (GMT) and the pre-vaccination GMT.</w:t>
      </w:r>
    </w:p>
    <w:p w:rsidR="00410D42" w:rsidRPr="00377F1C" w:rsidRDefault="00410D42" w:rsidP="000E1D6B">
      <w:pPr>
        <w:spacing w:after="160"/>
        <w:rPr>
          <w:szCs w:val="22"/>
        </w:rPr>
      </w:pPr>
      <w:r w:rsidRPr="0021611F">
        <w:rPr>
          <w:szCs w:val="22"/>
          <w:vertAlign w:val="superscript"/>
        </w:rPr>
        <w:t>4</w:t>
      </w:r>
      <w:r>
        <w:rPr>
          <w:szCs w:val="22"/>
        </w:rPr>
        <w:t>according to protocol</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835"/>
        <w:gridCol w:w="2835"/>
      </w:tblGrid>
      <w:tr w:rsidR="00410D42" w:rsidRPr="00D624A5" w:rsidTr="007827B9">
        <w:tc>
          <w:tcPr>
            <w:tcW w:w="2802" w:type="dxa"/>
            <w:vMerge w:val="restart"/>
          </w:tcPr>
          <w:p w:rsidR="00410D42" w:rsidRPr="00D624A5" w:rsidRDefault="00E77FC5" w:rsidP="007827B9">
            <w:pPr>
              <w:rPr>
                <w:rFonts w:ascii="Arial" w:hAnsi="Arial" w:cs="Arial"/>
                <w:color w:val="000000"/>
                <w:szCs w:val="22"/>
              </w:rPr>
            </w:pPr>
            <w:r w:rsidRPr="00E77FC5">
              <w:rPr>
                <w:rFonts w:ascii="Arial" w:hAnsi="Arial" w:cs="Arial"/>
                <w:szCs w:val="22"/>
              </w:rPr>
              <w:t>anti-HA antibody</w:t>
            </w:r>
          </w:p>
        </w:tc>
        <w:tc>
          <w:tcPr>
            <w:tcW w:w="5670" w:type="dxa"/>
            <w:gridSpan w:val="2"/>
          </w:tcPr>
          <w:p w:rsidR="00410D42" w:rsidRPr="00D624A5" w:rsidRDefault="00E77FC5" w:rsidP="007827B9">
            <w:pPr>
              <w:jc w:val="center"/>
              <w:rPr>
                <w:rFonts w:ascii="Arial" w:hAnsi="Arial" w:cs="Arial"/>
                <w:szCs w:val="22"/>
              </w:rPr>
            </w:pPr>
            <w:r w:rsidRPr="00E77FC5">
              <w:rPr>
                <w:rFonts w:ascii="Arial" w:hAnsi="Arial" w:cs="Arial"/>
                <w:szCs w:val="22"/>
              </w:rPr>
              <w:t>Immune response to A/California/7/2009 (H1N1)v-like</w:t>
            </w:r>
          </w:p>
        </w:tc>
      </w:tr>
      <w:tr w:rsidR="00410D42" w:rsidRPr="00D624A5" w:rsidTr="007827B9">
        <w:trPr>
          <w:trHeight w:val="562"/>
        </w:trPr>
        <w:tc>
          <w:tcPr>
            <w:tcW w:w="2802" w:type="dxa"/>
            <w:vMerge/>
          </w:tcPr>
          <w:p w:rsidR="00410D42" w:rsidRPr="00D624A5" w:rsidRDefault="00410D42" w:rsidP="007827B9">
            <w:pPr>
              <w:rPr>
                <w:rFonts w:ascii="Arial" w:hAnsi="Arial" w:cs="Arial"/>
                <w:color w:val="000000"/>
                <w:szCs w:val="22"/>
              </w:rPr>
            </w:pPr>
          </w:p>
        </w:tc>
        <w:tc>
          <w:tcPr>
            <w:tcW w:w="5670" w:type="dxa"/>
            <w:gridSpan w:val="2"/>
          </w:tcPr>
          <w:p w:rsidR="00410D42" w:rsidRPr="00D624A5" w:rsidRDefault="00E77FC5" w:rsidP="007827B9">
            <w:pPr>
              <w:jc w:val="center"/>
              <w:rPr>
                <w:rFonts w:ascii="Arial" w:hAnsi="Arial" w:cs="Arial"/>
                <w:szCs w:val="22"/>
              </w:rPr>
            </w:pPr>
            <w:r w:rsidRPr="00E77FC5">
              <w:rPr>
                <w:rFonts w:ascii="Arial" w:hAnsi="Arial" w:cs="Arial"/>
                <w:szCs w:val="22"/>
              </w:rPr>
              <w:t>24-35 months</w:t>
            </w:r>
            <w:r w:rsidRPr="00E77FC5">
              <w:rPr>
                <w:rFonts w:ascii="Arial" w:hAnsi="Arial" w:cs="Arial"/>
                <w:szCs w:val="22"/>
                <w:vertAlign w:val="superscript"/>
              </w:rPr>
              <w:t>4</w:t>
            </w:r>
          </w:p>
        </w:tc>
      </w:tr>
      <w:tr w:rsidR="00410D42" w:rsidRPr="00D624A5" w:rsidTr="007827B9">
        <w:tc>
          <w:tcPr>
            <w:tcW w:w="2802" w:type="dxa"/>
            <w:vMerge/>
          </w:tcPr>
          <w:p w:rsidR="00410D42" w:rsidRPr="00D624A5" w:rsidRDefault="00410D42" w:rsidP="007827B9">
            <w:pPr>
              <w:rPr>
                <w:rFonts w:ascii="Arial" w:hAnsi="Arial" w:cs="Arial"/>
                <w:color w:val="000000"/>
                <w:szCs w:val="22"/>
              </w:rPr>
            </w:pPr>
          </w:p>
        </w:tc>
        <w:tc>
          <w:tcPr>
            <w:tcW w:w="5670" w:type="dxa"/>
            <w:gridSpan w:val="2"/>
          </w:tcPr>
          <w:p w:rsidR="00410D42" w:rsidRPr="00D624A5" w:rsidRDefault="00E77FC5" w:rsidP="007827B9">
            <w:pPr>
              <w:jc w:val="center"/>
              <w:rPr>
                <w:rFonts w:ascii="Arial" w:hAnsi="Arial" w:cs="Arial"/>
                <w:szCs w:val="22"/>
              </w:rPr>
            </w:pPr>
            <w:r w:rsidRPr="00E77FC5">
              <w:rPr>
                <w:rFonts w:ascii="Arial" w:hAnsi="Arial" w:cs="Arial"/>
                <w:szCs w:val="22"/>
              </w:rPr>
              <w:t>Total subjects</w:t>
            </w:r>
            <w:r w:rsidRPr="00E77FC5">
              <w:rPr>
                <w:rFonts w:ascii="Arial" w:hAnsi="Arial" w:cs="Arial"/>
                <w:szCs w:val="22"/>
                <w:vertAlign w:val="superscript"/>
              </w:rPr>
              <w:t>5</w:t>
            </w:r>
          </w:p>
          <w:p w:rsidR="00410D42" w:rsidRPr="00D624A5" w:rsidRDefault="00E77FC5" w:rsidP="007827B9">
            <w:pPr>
              <w:jc w:val="center"/>
              <w:rPr>
                <w:rFonts w:ascii="Arial" w:hAnsi="Arial" w:cs="Arial"/>
                <w:szCs w:val="22"/>
              </w:rPr>
            </w:pPr>
            <w:r w:rsidRPr="00E77FC5">
              <w:rPr>
                <w:rFonts w:ascii="Arial" w:hAnsi="Arial" w:cs="Arial"/>
                <w:szCs w:val="22"/>
              </w:rPr>
              <w:t xml:space="preserve"> [95% CI]</w:t>
            </w:r>
          </w:p>
        </w:tc>
      </w:tr>
      <w:tr w:rsidR="00410D42" w:rsidRPr="00D624A5" w:rsidTr="007827B9">
        <w:tc>
          <w:tcPr>
            <w:tcW w:w="2802" w:type="dxa"/>
            <w:vMerge/>
          </w:tcPr>
          <w:p w:rsidR="00410D42" w:rsidRPr="00D624A5" w:rsidRDefault="00410D42" w:rsidP="007827B9">
            <w:pPr>
              <w:rPr>
                <w:rFonts w:ascii="Arial" w:hAnsi="Arial" w:cs="Arial"/>
                <w:color w:val="000000"/>
                <w:szCs w:val="22"/>
              </w:rPr>
            </w:pPr>
          </w:p>
        </w:tc>
        <w:tc>
          <w:tcPr>
            <w:tcW w:w="2835" w:type="dxa"/>
          </w:tcPr>
          <w:p w:rsidR="00410D42" w:rsidRPr="00D624A5" w:rsidRDefault="00E77FC5" w:rsidP="007827B9">
            <w:pPr>
              <w:jc w:val="center"/>
              <w:rPr>
                <w:rFonts w:ascii="Arial" w:hAnsi="Arial" w:cs="Arial"/>
                <w:szCs w:val="22"/>
              </w:rPr>
            </w:pPr>
            <w:r w:rsidRPr="00E77FC5">
              <w:rPr>
                <w:rFonts w:ascii="Arial" w:hAnsi="Arial" w:cs="Arial"/>
                <w:szCs w:val="22"/>
              </w:rPr>
              <w:t>Post dose 1</w:t>
            </w:r>
          </w:p>
        </w:tc>
        <w:tc>
          <w:tcPr>
            <w:tcW w:w="2835" w:type="dxa"/>
          </w:tcPr>
          <w:p w:rsidR="00410D42" w:rsidRPr="00D624A5" w:rsidRDefault="00E77FC5" w:rsidP="007827B9">
            <w:pPr>
              <w:jc w:val="center"/>
              <w:rPr>
                <w:rFonts w:ascii="Arial" w:hAnsi="Arial" w:cs="Arial"/>
                <w:szCs w:val="22"/>
              </w:rPr>
            </w:pPr>
            <w:r w:rsidRPr="00E77FC5">
              <w:rPr>
                <w:rFonts w:ascii="Arial" w:hAnsi="Arial" w:cs="Arial"/>
                <w:szCs w:val="22"/>
              </w:rPr>
              <w:t>Post dose 2</w:t>
            </w:r>
          </w:p>
        </w:tc>
      </w:tr>
      <w:tr w:rsidR="00410D42" w:rsidRPr="00D624A5" w:rsidTr="007827B9">
        <w:tc>
          <w:tcPr>
            <w:tcW w:w="2802" w:type="dxa"/>
            <w:vMerge/>
          </w:tcPr>
          <w:p w:rsidR="00410D42" w:rsidRPr="00D624A5" w:rsidRDefault="00410D42" w:rsidP="007827B9">
            <w:pPr>
              <w:rPr>
                <w:rFonts w:ascii="Arial" w:hAnsi="Arial" w:cs="Arial"/>
                <w:color w:val="000000"/>
                <w:szCs w:val="22"/>
              </w:rPr>
            </w:pPr>
          </w:p>
        </w:tc>
        <w:tc>
          <w:tcPr>
            <w:tcW w:w="2835" w:type="dxa"/>
          </w:tcPr>
          <w:p w:rsidR="00410D42" w:rsidRPr="00D624A5" w:rsidRDefault="00E77FC5" w:rsidP="007827B9">
            <w:pPr>
              <w:jc w:val="center"/>
              <w:rPr>
                <w:rFonts w:ascii="Arial" w:hAnsi="Arial" w:cs="Arial"/>
                <w:szCs w:val="22"/>
              </w:rPr>
            </w:pPr>
            <w:r w:rsidRPr="00E77FC5">
              <w:rPr>
                <w:rFonts w:ascii="Arial" w:hAnsi="Arial" w:cs="Arial"/>
                <w:szCs w:val="22"/>
              </w:rPr>
              <w:t>N=33</w:t>
            </w:r>
          </w:p>
          <w:p w:rsidR="00410D42" w:rsidRPr="00D624A5" w:rsidRDefault="00410D42" w:rsidP="007827B9">
            <w:pPr>
              <w:jc w:val="center"/>
              <w:rPr>
                <w:rFonts w:ascii="Arial" w:hAnsi="Arial" w:cs="Arial"/>
                <w:szCs w:val="22"/>
              </w:rPr>
            </w:pPr>
          </w:p>
        </w:tc>
        <w:tc>
          <w:tcPr>
            <w:tcW w:w="2835" w:type="dxa"/>
          </w:tcPr>
          <w:p w:rsidR="00410D42" w:rsidRPr="00D624A5" w:rsidRDefault="00E77FC5" w:rsidP="007827B9">
            <w:pPr>
              <w:jc w:val="center"/>
              <w:rPr>
                <w:rFonts w:ascii="Arial" w:hAnsi="Arial" w:cs="Arial"/>
                <w:szCs w:val="22"/>
              </w:rPr>
            </w:pPr>
            <w:r w:rsidRPr="00E77FC5">
              <w:rPr>
                <w:rFonts w:ascii="Arial" w:hAnsi="Arial" w:cs="Arial"/>
                <w:szCs w:val="22"/>
              </w:rPr>
              <w:t>N= 33</w:t>
            </w:r>
          </w:p>
        </w:tc>
      </w:tr>
      <w:tr w:rsidR="00410D42" w:rsidRPr="00D624A5" w:rsidTr="007827B9">
        <w:tc>
          <w:tcPr>
            <w:tcW w:w="2802" w:type="dxa"/>
          </w:tcPr>
          <w:p w:rsidR="00410D42" w:rsidRPr="00D624A5" w:rsidRDefault="00E77FC5" w:rsidP="007827B9">
            <w:pPr>
              <w:rPr>
                <w:rFonts w:ascii="Arial" w:hAnsi="Arial" w:cs="Arial"/>
                <w:color w:val="000000"/>
                <w:szCs w:val="22"/>
              </w:rPr>
            </w:pPr>
            <w:r w:rsidRPr="00E77FC5">
              <w:rPr>
                <w:rFonts w:ascii="Arial" w:hAnsi="Arial" w:cs="Arial"/>
                <w:szCs w:val="22"/>
              </w:rPr>
              <w:t>Seroprotection rate</w:t>
            </w:r>
            <w:r w:rsidRPr="00E77FC5">
              <w:rPr>
                <w:rFonts w:ascii="Arial" w:hAnsi="Arial" w:cs="Arial"/>
                <w:szCs w:val="22"/>
                <w:vertAlign w:val="superscript"/>
              </w:rPr>
              <w:t>1</w:t>
            </w:r>
          </w:p>
        </w:tc>
        <w:tc>
          <w:tcPr>
            <w:tcW w:w="2835" w:type="dxa"/>
          </w:tcPr>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100%</w:t>
            </w:r>
          </w:p>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[89.4; 100]</w:t>
            </w:r>
          </w:p>
        </w:tc>
        <w:tc>
          <w:tcPr>
            <w:tcW w:w="2835" w:type="dxa"/>
          </w:tcPr>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100%</w:t>
            </w:r>
          </w:p>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[89.4; 100]</w:t>
            </w:r>
          </w:p>
        </w:tc>
      </w:tr>
      <w:tr w:rsidR="00410D42" w:rsidRPr="00D624A5" w:rsidTr="007827B9">
        <w:tc>
          <w:tcPr>
            <w:tcW w:w="2802" w:type="dxa"/>
          </w:tcPr>
          <w:p w:rsidR="00410D42" w:rsidRPr="00D624A5" w:rsidRDefault="00E77FC5" w:rsidP="007827B9">
            <w:pPr>
              <w:rPr>
                <w:rFonts w:ascii="Arial" w:hAnsi="Arial" w:cs="Arial"/>
                <w:szCs w:val="22"/>
              </w:rPr>
            </w:pPr>
            <w:r w:rsidRPr="00E77FC5">
              <w:rPr>
                <w:rFonts w:ascii="Arial" w:hAnsi="Arial" w:cs="Arial"/>
                <w:szCs w:val="22"/>
              </w:rPr>
              <w:t>Seroconversion rate</w:t>
            </w:r>
            <w:r w:rsidRPr="00E77FC5">
              <w:rPr>
                <w:rFonts w:ascii="Arial" w:hAnsi="Arial" w:cs="Arial"/>
                <w:szCs w:val="22"/>
                <w:vertAlign w:val="superscript"/>
              </w:rPr>
              <w:t>2</w:t>
            </w:r>
          </w:p>
        </w:tc>
        <w:tc>
          <w:tcPr>
            <w:tcW w:w="2835" w:type="dxa"/>
          </w:tcPr>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100%</w:t>
            </w:r>
          </w:p>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[89.4; 100]</w:t>
            </w:r>
          </w:p>
        </w:tc>
        <w:tc>
          <w:tcPr>
            <w:tcW w:w="2835" w:type="dxa"/>
          </w:tcPr>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100%</w:t>
            </w:r>
          </w:p>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[89.4; 100]</w:t>
            </w:r>
          </w:p>
        </w:tc>
      </w:tr>
      <w:tr w:rsidR="00410D42" w:rsidRPr="00D624A5" w:rsidTr="007827B9">
        <w:tc>
          <w:tcPr>
            <w:tcW w:w="2802" w:type="dxa"/>
          </w:tcPr>
          <w:p w:rsidR="00410D42" w:rsidRPr="00D624A5" w:rsidRDefault="00E77FC5" w:rsidP="007827B9">
            <w:pPr>
              <w:rPr>
                <w:rFonts w:ascii="Arial" w:hAnsi="Arial" w:cs="Arial"/>
                <w:szCs w:val="22"/>
              </w:rPr>
            </w:pPr>
            <w:r w:rsidRPr="00E77FC5">
              <w:rPr>
                <w:rFonts w:ascii="Arial" w:hAnsi="Arial" w:cs="Arial"/>
                <w:szCs w:val="22"/>
              </w:rPr>
              <w:t>Seroconversion factor</w:t>
            </w:r>
            <w:r w:rsidRPr="00E77FC5">
              <w:rPr>
                <w:rFonts w:ascii="Arial" w:hAnsi="Arial" w:cs="Arial"/>
                <w:szCs w:val="22"/>
                <w:vertAlign w:val="superscript"/>
              </w:rPr>
              <w:t>3</w:t>
            </w:r>
          </w:p>
        </w:tc>
        <w:tc>
          <w:tcPr>
            <w:tcW w:w="2835" w:type="dxa"/>
          </w:tcPr>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52.97</w:t>
            </w:r>
          </w:p>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[42.08;66.68]</w:t>
            </w:r>
          </w:p>
        </w:tc>
        <w:tc>
          <w:tcPr>
            <w:tcW w:w="2835" w:type="dxa"/>
          </w:tcPr>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389.64</w:t>
            </w:r>
          </w:p>
          <w:p w:rsidR="00410D42" w:rsidRPr="00D624A5" w:rsidRDefault="00E77FC5" w:rsidP="007827B9">
            <w:pPr>
              <w:jc w:val="center"/>
              <w:rPr>
                <w:rFonts w:ascii="Arial" w:hAnsi="Arial" w:cs="Arial"/>
                <w:color w:val="000000"/>
                <w:szCs w:val="22"/>
              </w:rPr>
            </w:pPr>
            <w:r w:rsidRPr="00E77FC5">
              <w:rPr>
                <w:rFonts w:ascii="Arial" w:hAnsi="Arial" w:cs="Arial"/>
                <w:color w:val="000000"/>
                <w:szCs w:val="22"/>
              </w:rPr>
              <w:t>[324.25;468.21]</w:t>
            </w:r>
          </w:p>
        </w:tc>
      </w:tr>
    </w:tbl>
    <w:p w:rsidR="00410D42" w:rsidRPr="0021611F" w:rsidRDefault="00410D42" w:rsidP="00410D42">
      <w:pPr>
        <w:rPr>
          <w:szCs w:val="22"/>
        </w:rPr>
      </w:pPr>
      <w:r w:rsidRPr="0021611F">
        <w:rPr>
          <w:szCs w:val="22"/>
          <w:vertAlign w:val="superscript"/>
        </w:rPr>
        <w:t>1</w:t>
      </w:r>
      <w:r w:rsidRPr="0021611F">
        <w:rPr>
          <w:szCs w:val="22"/>
        </w:rPr>
        <w:t xml:space="preserve"> seroprotection rate: proportion of subjects with haemagglutination inhibition (HI) titre </w:t>
      </w:r>
      <w:r w:rsidRPr="0021611F">
        <w:rPr>
          <w:szCs w:val="22"/>
        </w:rPr>
        <w:sym w:font="Symbol" w:char="F0B3"/>
      </w:r>
      <w:r w:rsidRPr="0021611F">
        <w:rPr>
          <w:szCs w:val="22"/>
        </w:rPr>
        <w:t xml:space="preserve">1:40; </w:t>
      </w:r>
      <w:r w:rsidRPr="0021611F">
        <w:rPr>
          <w:szCs w:val="22"/>
          <w:vertAlign w:val="superscript"/>
        </w:rPr>
        <w:t>2</w:t>
      </w:r>
      <w:r w:rsidRPr="0021611F">
        <w:rPr>
          <w:szCs w:val="22"/>
        </w:rPr>
        <w:t xml:space="preserve">seroconversion rate: proportion of subjects who were either seronegative at pre-vaccination and have a protective post-vaccination titre of </w:t>
      </w:r>
      <w:r w:rsidRPr="0021611F">
        <w:rPr>
          <w:szCs w:val="22"/>
        </w:rPr>
        <w:sym w:font="Symbol" w:char="F0B3"/>
      </w:r>
      <w:r w:rsidRPr="0021611F">
        <w:rPr>
          <w:szCs w:val="22"/>
        </w:rPr>
        <w:t xml:space="preserve">1:40, or who were seropositive at pre-vaccination and have a 4-fold increase in titre; </w:t>
      </w:r>
    </w:p>
    <w:p w:rsidR="00410D42" w:rsidRPr="0021611F" w:rsidRDefault="00410D42" w:rsidP="00410D42">
      <w:pPr>
        <w:rPr>
          <w:szCs w:val="22"/>
        </w:rPr>
      </w:pPr>
      <w:r w:rsidRPr="0021611F">
        <w:rPr>
          <w:szCs w:val="22"/>
          <w:vertAlign w:val="superscript"/>
        </w:rPr>
        <w:t>3</w:t>
      </w:r>
      <w:r w:rsidRPr="0021611F">
        <w:rPr>
          <w:szCs w:val="22"/>
        </w:rPr>
        <w:t>seroconversion factor: ratio of the post-vaccination geometric mean titre (GMT) and the pre-vaccination GMT.</w:t>
      </w:r>
    </w:p>
    <w:p w:rsidR="00410D42" w:rsidRPr="0021611F" w:rsidRDefault="00410D42" w:rsidP="00410D42">
      <w:pPr>
        <w:rPr>
          <w:szCs w:val="22"/>
        </w:rPr>
      </w:pPr>
      <w:r w:rsidRPr="0021611F">
        <w:rPr>
          <w:szCs w:val="22"/>
          <w:vertAlign w:val="superscript"/>
        </w:rPr>
        <w:t>4</w:t>
      </w:r>
      <w:r w:rsidRPr="0021611F">
        <w:rPr>
          <w:szCs w:val="22"/>
        </w:rPr>
        <w:t>all subjects seronegative prior to vaccination</w:t>
      </w:r>
    </w:p>
    <w:p w:rsidR="00410D42" w:rsidRPr="0021611F" w:rsidRDefault="00410D42" w:rsidP="00410D42">
      <w:pPr>
        <w:rPr>
          <w:szCs w:val="22"/>
        </w:rPr>
      </w:pPr>
      <w:r w:rsidRPr="0021611F">
        <w:rPr>
          <w:szCs w:val="22"/>
          <w:vertAlign w:val="superscript"/>
        </w:rPr>
        <w:t>5</w:t>
      </w:r>
      <w:r w:rsidRPr="0021611F">
        <w:rPr>
          <w:szCs w:val="22"/>
        </w:rPr>
        <w:t>according to protocol</w:t>
      </w:r>
    </w:p>
    <w:p w:rsidR="00B20C9C" w:rsidRDefault="00E77FC5" w:rsidP="004722AC">
      <w:pPr>
        <w:spacing w:before="160" w:after="160" w:line="360" w:lineRule="atLeast"/>
        <w:rPr>
          <w:rFonts w:ascii="Arial" w:hAnsi="Arial" w:cs="Arial"/>
          <w:color w:val="000000"/>
          <w:sz w:val="22"/>
          <w:szCs w:val="22"/>
        </w:rPr>
      </w:pPr>
      <w:r w:rsidRPr="00E77FC5">
        <w:rPr>
          <w:rFonts w:ascii="Arial" w:hAnsi="Arial" w:cs="Arial"/>
          <w:color w:val="000000"/>
          <w:sz w:val="22"/>
          <w:szCs w:val="22"/>
        </w:rPr>
        <w:t>Twelve months after the first dose, the seroprotection rate was 100% in all age groups.</w:t>
      </w:r>
    </w:p>
    <w:p w:rsidR="00B20C9C" w:rsidRDefault="00E77FC5" w:rsidP="004722AC">
      <w:pPr>
        <w:spacing w:before="160" w:after="160" w:line="360" w:lineRule="atLeast"/>
        <w:rPr>
          <w:rFonts w:ascii="Arial" w:hAnsi="Arial" w:cs="Arial"/>
          <w:color w:val="000000"/>
          <w:sz w:val="22"/>
          <w:szCs w:val="22"/>
        </w:rPr>
      </w:pPr>
      <w:r w:rsidRPr="00E77FC5">
        <w:rPr>
          <w:rFonts w:ascii="Arial" w:hAnsi="Arial" w:cs="Arial"/>
          <w:color w:val="000000"/>
          <w:sz w:val="22"/>
          <w:szCs w:val="22"/>
        </w:rPr>
        <w:t xml:space="preserve">The clinical relevance of the haemagglutination inhibition (HI) titre </w:t>
      </w:r>
      <w:r w:rsidRPr="00E77FC5">
        <w:rPr>
          <w:rFonts w:ascii="Arial" w:hAnsi="Arial" w:cs="Arial"/>
          <w:color w:val="000000"/>
          <w:sz w:val="22"/>
          <w:szCs w:val="22"/>
        </w:rPr>
        <w:sym w:font="Symbol" w:char="F0B3"/>
      </w:r>
      <w:r w:rsidRPr="00E77FC5">
        <w:rPr>
          <w:rFonts w:ascii="Arial" w:hAnsi="Arial" w:cs="Arial"/>
          <w:color w:val="000000"/>
          <w:sz w:val="22"/>
          <w:szCs w:val="22"/>
        </w:rPr>
        <w:t>1:40 in children is unknown.</w:t>
      </w:r>
    </w:p>
    <w:p w:rsidR="00B20C9C" w:rsidRDefault="00E77FC5" w:rsidP="004722AC">
      <w:pPr>
        <w:spacing w:before="160" w:after="160" w:line="360" w:lineRule="atLeast"/>
        <w:rPr>
          <w:rFonts w:ascii="Arial" w:hAnsi="Arial" w:cs="Arial"/>
          <w:color w:val="000000"/>
          <w:sz w:val="22"/>
          <w:szCs w:val="22"/>
        </w:rPr>
      </w:pPr>
      <w:r w:rsidRPr="00E77FC5">
        <w:rPr>
          <w:rFonts w:ascii="Arial" w:hAnsi="Arial" w:cs="Arial"/>
          <w:color w:val="000000"/>
          <w:sz w:val="22"/>
          <w:szCs w:val="22"/>
        </w:rPr>
        <w:t>At days 21 and 42 and at month 6, the neutralising antibody responses were 57.1%, 96.4% and 86.4%, respectively, for the children aged 6 to 11 months; for the children aged 12 to 23 months, these were 57.1%, 100% and 92.3, respectively. For the children aged 24 to 35 months, these were 58.8% at day 21 and 100% at day 42 and month 6.</w:t>
      </w:r>
    </w:p>
    <w:p w:rsidR="00AF398B" w:rsidRDefault="00AF398B" w:rsidP="001F579B">
      <w:pPr>
        <w:spacing w:line="360" w:lineRule="atLeast"/>
        <w:jc w:val="both"/>
        <w:rPr>
          <w:rFonts w:ascii="Arial" w:hAnsi="Arial" w:cs="Arial"/>
          <w:b/>
          <w:sz w:val="22"/>
          <w:szCs w:val="22"/>
        </w:rPr>
      </w:pPr>
      <w:r>
        <w:rPr>
          <w:rFonts w:ascii="Arial" w:hAnsi="Arial" w:cs="Arial"/>
          <w:b/>
          <w:sz w:val="22"/>
          <w:szCs w:val="22"/>
        </w:rPr>
        <w:t>Immune response to</w:t>
      </w:r>
      <w:r w:rsidRPr="00AF398B">
        <w:rPr>
          <w:rFonts w:ascii="Arial" w:hAnsi="Arial" w:cs="Arial"/>
          <w:sz w:val="22"/>
          <w:szCs w:val="22"/>
        </w:rPr>
        <w:t xml:space="preserve"> </w:t>
      </w:r>
      <w:r w:rsidR="00A40E50" w:rsidRPr="00E74AFA">
        <w:rPr>
          <w:rFonts w:ascii="Arial" w:hAnsi="Arial" w:cs="Arial"/>
          <w:b/>
          <w:sz w:val="22"/>
          <w:szCs w:val="22"/>
        </w:rPr>
        <w:t>P</w:t>
      </w:r>
      <w:r w:rsidR="00E74AFA">
        <w:rPr>
          <w:rFonts w:ascii="Arial" w:hAnsi="Arial" w:cs="Arial"/>
          <w:b/>
          <w:sz w:val="22"/>
          <w:szCs w:val="22"/>
        </w:rPr>
        <w:t xml:space="preserve">andemrix </w:t>
      </w:r>
      <w:r>
        <w:rPr>
          <w:rFonts w:ascii="Arial" w:hAnsi="Arial" w:cs="Arial"/>
          <w:b/>
          <w:sz w:val="22"/>
          <w:szCs w:val="22"/>
        </w:rPr>
        <w:t>H5</w:t>
      </w:r>
      <w:r w:rsidR="00E74AFA">
        <w:rPr>
          <w:rFonts w:ascii="Arial" w:hAnsi="Arial" w:cs="Arial"/>
          <w:b/>
          <w:sz w:val="22"/>
          <w:szCs w:val="22"/>
        </w:rPr>
        <w:t>N1</w:t>
      </w:r>
      <w:r w:rsidRPr="00AF398B">
        <w:rPr>
          <w:rFonts w:ascii="Arial" w:hAnsi="Arial" w:cs="Arial"/>
          <w:b/>
          <w:sz w:val="22"/>
          <w:szCs w:val="22"/>
        </w:rPr>
        <w:t xml:space="preserve"> </w:t>
      </w:r>
    </w:p>
    <w:p w:rsidR="001F579B" w:rsidRDefault="00F12F7B" w:rsidP="001F579B">
      <w:pPr>
        <w:spacing w:line="360" w:lineRule="atLeast"/>
        <w:jc w:val="both"/>
        <w:rPr>
          <w:rFonts w:ascii="Arial" w:hAnsi="Arial" w:cs="Arial"/>
          <w:sz w:val="22"/>
          <w:szCs w:val="22"/>
        </w:rPr>
      </w:pPr>
      <w:r>
        <w:rPr>
          <w:rFonts w:ascii="Arial" w:hAnsi="Arial" w:cs="Arial"/>
          <w:sz w:val="22"/>
          <w:szCs w:val="22"/>
        </w:rPr>
        <w:t>Two clinical studies have</w:t>
      </w:r>
      <w:r w:rsidR="001F579B" w:rsidRPr="00EC244E">
        <w:rPr>
          <w:rFonts w:ascii="Arial" w:hAnsi="Arial" w:cs="Arial"/>
          <w:sz w:val="22"/>
          <w:szCs w:val="22"/>
        </w:rPr>
        <w:t xml:space="preserve"> evaluated the immunogenicity of </w:t>
      </w:r>
      <w:r>
        <w:rPr>
          <w:rFonts w:ascii="Arial" w:hAnsi="Arial" w:cs="Arial"/>
          <w:sz w:val="22"/>
          <w:szCs w:val="22"/>
        </w:rPr>
        <w:t xml:space="preserve">the monovalent </w:t>
      </w:r>
      <w:r w:rsidR="001F579B" w:rsidRPr="00EC244E">
        <w:rPr>
          <w:rFonts w:ascii="Arial" w:hAnsi="Arial" w:cs="Arial"/>
          <w:sz w:val="22"/>
          <w:szCs w:val="22"/>
        </w:rPr>
        <w:t>pandemic influenza A vaccine (H5N1).</w:t>
      </w:r>
    </w:p>
    <w:p w:rsidR="00F12F7B" w:rsidRDefault="00F12F7B" w:rsidP="004722AC">
      <w:pPr>
        <w:spacing w:before="160" w:after="160" w:line="360" w:lineRule="atLeast"/>
        <w:rPr>
          <w:rFonts w:ascii="Arial" w:hAnsi="Arial" w:cs="Arial"/>
          <w:sz w:val="22"/>
          <w:szCs w:val="22"/>
          <w:lang w:val="en-GB"/>
        </w:rPr>
      </w:pPr>
      <w:r w:rsidRPr="00F12F7B">
        <w:rPr>
          <w:rFonts w:ascii="Arial" w:hAnsi="Arial" w:cs="Arial"/>
          <w:sz w:val="22"/>
          <w:szCs w:val="22"/>
          <w:lang w:val="en-GB"/>
        </w:rPr>
        <w:t xml:space="preserve">A dose finding study tested different haemagglutinin dosages of the vaccine in a vaccine volume of 1 ml, which is twice the vaccine volume of the final formulation.  In this study, approximately 200 unprimed subjects aged 18-60 years received the adjuvanted vaccine following a 0, 21 days schedule.  Fifty out of these 200 subjects received 3.75 </w:t>
      </w:r>
      <w:r w:rsidR="004722AC">
        <w:rPr>
          <w:rFonts w:ascii="Arial" w:hAnsi="Arial" w:cs="Arial"/>
          <w:sz w:val="22"/>
          <w:szCs w:val="22"/>
          <w:lang w:val="en-GB"/>
        </w:rPr>
        <w:sym w:font="Symbol" w:char="F06D"/>
      </w:r>
      <w:r w:rsidRPr="00F12F7B">
        <w:rPr>
          <w:rFonts w:ascii="Arial" w:hAnsi="Arial" w:cs="Arial"/>
          <w:sz w:val="22"/>
          <w:szCs w:val="22"/>
          <w:lang w:val="en-GB"/>
        </w:rPr>
        <w:t>g HA/AS03, which is the haemagglutinin dosage of the final formulation.</w:t>
      </w:r>
    </w:p>
    <w:p w:rsidR="00F12F7B" w:rsidRPr="00F12F7B" w:rsidRDefault="00F12F7B" w:rsidP="004722AC">
      <w:pPr>
        <w:pStyle w:val="Heading2"/>
        <w:spacing w:after="160"/>
        <w:rPr>
          <w:rFonts w:ascii="Arial" w:hAnsi="Arial" w:cs="Arial"/>
          <w:b w:val="0"/>
          <w:sz w:val="22"/>
          <w:szCs w:val="22"/>
          <w:u w:val="none"/>
          <w:lang w:val="en-GB"/>
        </w:rPr>
      </w:pPr>
      <w:r w:rsidRPr="00F12F7B">
        <w:rPr>
          <w:rFonts w:ascii="Arial" w:hAnsi="Arial" w:cs="Arial"/>
          <w:b w:val="0"/>
          <w:sz w:val="22"/>
          <w:szCs w:val="22"/>
          <w:u w:val="none"/>
          <w:lang w:val="en-GB"/>
        </w:rPr>
        <w:lastRenderedPageBreak/>
        <w:t xml:space="preserve">In a consistency study, more than 900 unprimed subjects aged 18-60 years received 3.75 </w:t>
      </w:r>
      <w:r w:rsidR="004722AC">
        <w:rPr>
          <w:rFonts w:ascii="Arial" w:hAnsi="Arial" w:cs="Arial"/>
          <w:b w:val="0"/>
          <w:sz w:val="22"/>
          <w:szCs w:val="22"/>
          <w:u w:val="none"/>
          <w:lang w:val="en-GB"/>
        </w:rPr>
        <w:sym w:font="Symbol" w:char="F06D"/>
      </w:r>
      <w:r w:rsidRPr="00F12F7B">
        <w:rPr>
          <w:rFonts w:ascii="Arial" w:hAnsi="Arial" w:cs="Arial"/>
          <w:b w:val="0"/>
          <w:sz w:val="22"/>
          <w:szCs w:val="22"/>
          <w:u w:val="none"/>
          <w:lang w:val="en-GB"/>
        </w:rPr>
        <w:t>g HA/AS03 per 0.5 ml, which is the final formulation of the vaccine following a 0, 21 days schedule.</w:t>
      </w:r>
    </w:p>
    <w:p w:rsidR="00F12F7B" w:rsidRPr="00F12F7B" w:rsidRDefault="00F12F7B" w:rsidP="00F12F7B">
      <w:pPr>
        <w:pStyle w:val="Heading2"/>
        <w:rPr>
          <w:rFonts w:ascii="Arial" w:hAnsi="Arial" w:cs="Arial"/>
          <w:b w:val="0"/>
          <w:sz w:val="22"/>
          <w:szCs w:val="22"/>
          <w:lang w:val="en-GB"/>
        </w:rPr>
      </w:pPr>
      <w:r w:rsidRPr="00F12F7B">
        <w:rPr>
          <w:rFonts w:ascii="Arial" w:hAnsi="Arial" w:cs="Arial"/>
          <w:b w:val="0"/>
          <w:sz w:val="22"/>
          <w:szCs w:val="22"/>
          <w:lang w:val="en-GB"/>
        </w:rPr>
        <w:t>Immune response against vaccine strain:</w:t>
      </w:r>
    </w:p>
    <w:p w:rsidR="00F12F7B" w:rsidRDefault="00F12F7B" w:rsidP="004722AC">
      <w:pPr>
        <w:pStyle w:val="Heading2"/>
        <w:spacing w:before="0" w:after="160"/>
        <w:rPr>
          <w:rFonts w:ascii="Arial" w:hAnsi="Arial" w:cs="Arial"/>
          <w:b w:val="0"/>
          <w:sz w:val="22"/>
          <w:szCs w:val="22"/>
          <w:u w:val="none"/>
          <w:lang w:val="en-GB"/>
        </w:rPr>
      </w:pPr>
      <w:r w:rsidRPr="00F12F7B">
        <w:rPr>
          <w:rFonts w:ascii="Arial" w:hAnsi="Arial" w:cs="Arial"/>
          <w:b w:val="0"/>
          <w:sz w:val="22"/>
          <w:szCs w:val="22"/>
          <w:u w:val="none"/>
          <w:lang w:val="en-GB"/>
        </w:rPr>
        <w:t>Twenty-one days after the first and second dose of the vaccine, the seroprotection rate, the seroconversion rate and seroconversion factor for anti-haemagglutinin (anti-HA) antibody in the subjects who had received the final formulation of the vaccine were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12F7B" w:rsidRPr="00EC55A3" w:rsidTr="00EC55A3">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anti-HA antibody</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21 days after 1</w:t>
            </w:r>
            <w:r w:rsidRPr="00EC55A3">
              <w:rPr>
                <w:rFonts w:ascii="Arial" w:hAnsi="Arial" w:cs="Arial"/>
                <w:b w:val="0"/>
                <w:sz w:val="22"/>
                <w:szCs w:val="22"/>
                <w:u w:val="none"/>
                <w:vertAlign w:val="superscript"/>
                <w:lang w:val="en-GB"/>
              </w:rPr>
              <w:t>st</w:t>
            </w:r>
            <w:r w:rsidRPr="00EC55A3">
              <w:rPr>
                <w:rFonts w:ascii="Arial" w:hAnsi="Arial" w:cs="Arial"/>
                <w:b w:val="0"/>
                <w:sz w:val="22"/>
                <w:szCs w:val="22"/>
                <w:u w:val="none"/>
                <w:lang w:val="en-GB"/>
              </w:rPr>
              <w:t xml:space="preserve"> dose</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21 days after 2</w:t>
            </w:r>
            <w:r w:rsidRPr="00EC55A3">
              <w:rPr>
                <w:rFonts w:ascii="Arial" w:hAnsi="Arial" w:cs="Arial"/>
                <w:b w:val="0"/>
                <w:sz w:val="22"/>
                <w:szCs w:val="22"/>
                <w:u w:val="none"/>
                <w:vertAlign w:val="superscript"/>
                <w:lang w:val="en-GB"/>
              </w:rPr>
              <w:t>nd</w:t>
            </w:r>
            <w:r w:rsidRPr="00EC55A3">
              <w:rPr>
                <w:rFonts w:ascii="Arial" w:hAnsi="Arial" w:cs="Arial"/>
                <w:b w:val="0"/>
                <w:sz w:val="22"/>
                <w:szCs w:val="22"/>
                <w:u w:val="none"/>
                <w:lang w:val="en-GB"/>
              </w:rPr>
              <w:t xml:space="preserve"> dose</w:t>
            </w:r>
          </w:p>
        </w:tc>
      </w:tr>
      <w:tr w:rsidR="00F12F7B" w:rsidRPr="00EC55A3" w:rsidTr="00EC55A3">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Seroprotection rate*†</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 xml:space="preserve"> 44.5%</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 xml:space="preserve"> 94.3%</w:t>
            </w:r>
          </w:p>
        </w:tc>
      </w:tr>
      <w:tr w:rsidR="00F12F7B" w:rsidRPr="00EC55A3" w:rsidTr="00EC55A3">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Seroconversion rate†</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 xml:space="preserve"> 42.5%</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 xml:space="preserve"> 93.7%</w:t>
            </w:r>
          </w:p>
        </w:tc>
      </w:tr>
      <w:tr w:rsidR="00F12F7B" w:rsidRPr="00EC55A3" w:rsidTr="00EC55A3">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Seroconversion factor†</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 xml:space="preserve"> 4.1</w:t>
            </w:r>
          </w:p>
        </w:tc>
        <w:tc>
          <w:tcPr>
            <w:tcW w:w="2952" w:type="dxa"/>
          </w:tcPr>
          <w:p w:rsidR="00F12F7B" w:rsidRPr="00EC55A3" w:rsidRDefault="00F12F7B" w:rsidP="00EC55A3">
            <w:pPr>
              <w:pStyle w:val="Heading2"/>
              <w:tabs>
                <w:tab w:val="left" w:pos="567"/>
              </w:tabs>
              <w:rPr>
                <w:rFonts w:ascii="Arial" w:hAnsi="Arial" w:cs="Arial"/>
                <w:b w:val="0"/>
                <w:sz w:val="22"/>
                <w:szCs w:val="22"/>
                <w:u w:val="none"/>
                <w:lang w:val="en-GB"/>
              </w:rPr>
            </w:pPr>
            <w:r w:rsidRPr="00EC55A3">
              <w:rPr>
                <w:rFonts w:ascii="Arial" w:hAnsi="Arial" w:cs="Arial"/>
                <w:b w:val="0"/>
                <w:sz w:val="22"/>
                <w:szCs w:val="22"/>
                <w:u w:val="none"/>
                <w:lang w:val="en-GB"/>
              </w:rPr>
              <w:t xml:space="preserve"> 39.8</w:t>
            </w:r>
          </w:p>
        </w:tc>
      </w:tr>
    </w:tbl>
    <w:p w:rsidR="00F12F7B" w:rsidRPr="00E74AFA" w:rsidRDefault="00F12F7B" w:rsidP="00E74AFA">
      <w:pPr>
        <w:pStyle w:val="Heading2"/>
        <w:spacing w:line="240" w:lineRule="auto"/>
        <w:rPr>
          <w:rFonts w:ascii="Arial" w:hAnsi="Arial" w:cs="Arial"/>
          <w:b w:val="0"/>
          <w:sz w:val="20"/>
          <w:u w:val="none"/>
          <w:lang w:val="en-GB"/>
        </w:rPr>
      </w:pPr>
      <w:r w:rsidRPr="00E74AFA">
        <w:rPr>
          <w:rFonts w:ascii="Arial" w:hAnsi="Arial" w:cs="Arial"/>
          <w:b w:val="0"/>
          <w:sz w:val="20"/>
          <w:u w:val="none"/>
          <w:lang w:val="en-GB"/>
        </w:rPr>
        <w:t xml:space="preserve">* anti-HA </w:t>
      </w:r>
      <w:r w:rsidR="004722AC">
        <w:rPr>
          <w:rFonts w:ascii="Arial" w:hAnsi="Arial" w:cs="Arial"/>
          <w:b w:val="0"/>
          <w:sz w:val="20"/>
          <w:u w:val="none"/>
          <w:lang w:val="en-GB"/>
        </w:rPr>
        <w:sym w:font="Symbol" w:char="F0B3"/>
      </w:r>
      <w:r w:rsidRPr="00E74AFA">
        <w:rPr>
          <w:rFonts w:ascii="Arial" w:hAnsi="Arial" w:cs="Arial"/>
          <w:b w:val="0"/>
          <w:sz w:val="20"/>
          <w:u w:val="none"/>
          <w:lang w:val="en-GB"/>
        </w:rPr>
        <w:t>1:40</w:t>
      </w:r>
    </w:p>
    <w:p w:rsidR="00F12F7B" w:rsidRPr="00F12F7B" w:rsidRDefault="00F12F7B" w:rsidP="004722AC">
      <w:pPr>
        <w:pStyle w:val="Heading2"/>
        <w:spacing w:before="0" w:line="240" w:lineRule="auto"/>
        <w:rPr>
          <w:rFonts w:ascii="Arial" w:hAnsi="Arial" w:cs="Arial"/>
          <w:b w:val="0"/>
          <w:sz w:val="22"/>
          <w:szCs w:val="22"/>
          <w:u w:val="none"/>
          <w:lang w:val="en-GB"/>
        </w:rPr>
      </w:pPr>
      <w:r w:rsidRPr="00E74AFA">
        <w:rPr>
          <w:rFonts w:ascii="Arial" w:hAnsi="Arial" w:cs="Arial"/>
          <w:b w:val="0"/>
          <w:sz w:val="20"/>
          <w:u w:val="none"/>
          <w:lang w:val="en-GB"/>
        </w:rPr>
        <w:t xml:space="preserve">† seroprotection rate (i.e. proportion of subjects with HI titre </w:t>
      </w:r>
      <w:r w:rsidRPr="00E74AFA">
        <w:rPr>
          <w:rFonts w:ascii="Arial" w:hAnsi="Arial" w:cs="Arial"/>
          <w:b w:val="0"/>
          <w:sz w:val="20"/>
          <w:u w:val="none"/>
          <w:lang w:val="en-GB"/>
        </w:rPr>
        <w:sym w:font="Symbol" w:char="F0B3"/>
      </w:r>
      <w:r w:rsidRPr="00E74AFA">
        <w:rPr>
          <w:rFonts w:ascii="Arial" w:hAnsi="Arial" w:cs="Arial"/>
          <w:b w:val="0"/>
          <w:sz w:val="20"/>
          <w:u w:val="none"/>
          <w:lang w:val="en-GB"/>
        </w:rPr>
        <w:t xml:space="preserve"> 1:40); seroconversion rate (i.e. proportion of subjects who were either seronegative at pre-vaccination and have a protective post-vaccination titre of </w:t>
      </w:r>
      <w:r w:rsidRPr="00E74AFA">
        <w:rPr>
          <w:rFonts w:ascii="Arial" w:hAnsi="Arial" w:cs="Arial"/>
          <w:b w:val="0"/>
          <w:sz w:val="20"/>
          <w:u w:val="none"/>
          <w:lang w:val="en-GB"/>
        </w:rPr>
        <w:sym w:font="Symbol" w:char="F0B3"/>
      </w:r>
      <w:r w:rsidRPr="00E74AFA">
        <w:rPr>
          <w:rFonts w:ascii="Arial" w:hAnsi="Arial" w:cs="Arial"/>
          <w:b w:val="0"/>
          <w:sz w:val="20"/>
          <w:u w:val="none"/>
          <w:lang w:val="en-GB"/>
        </w:rPr>
        <w:t xml:space="preserve"> 1:40, or who were seropositive at pre-vaccination and have a 4-fold increase in titre); seroconversion factor (i.e; ratio of the post-vaccination </w:t>
      </w:r>
      <w:smartTag w:uri="urn:schemas-microsoft-com:office:smarttags" w:element="stockticker">
        <w:r w:rsidRPr="00E74AFA">
          <w:rPr>
            <w:rFonts w:ascii="Arial" w:hAnsi="Arial" w:cs="Arial"/>
            <w:b w:val="0"/>
            <w:sz w:val="20"/>
            <w:u w:val="none"/>
            <w:lang w:val="en-GB"/>
          </w:rPr>
          <w:t>GMT</w:t>
        </w:r>
      </w:smartTag>
      <w:r w:rsidRPr="00E74AFA">
        <w:rPr>
          <w:rFonts w:ascii="Arial" w:hAnsi="Arial" w:cs="Arial"/>
          <w:b w:val="0"/>
          <w:sz w:val="20"/>
          <w:u w:val="none"/>
          <w:lang w:val="en-GB"/>
        </w:rPr>
        <w:t xml:space="preserve"> and the pre-vaccination </w:t>
      </w:r>
      <w:smartTag w:uri="urn:schemas-microsoft-com:office:smarttags" w:element="stockticker">
        <w:r w:rsidRPr="00E74AFA">
          <w:rPr>
            <w:rFonts w:ascii="Arial" w:hAnsi="Arial" w:cs="Arial"/>
            <w:b w:val="0"/>
            <w:sz w:val="20"/>
            <w:u w:val="none"/>
            <w:lang w:val="en-GB"/>
          </w:rPr>
          <w:t>GMT</w:t>
        </w:r>
      </w:smartTag>
      <w:r w:rsidRPr="00E74AFA">
        <w:rPr>
          <w:rFonts w:ascii="Arial" w:hAnsi="Arial" w:cs="Arial"/>
          <w:b w:val="0"/>
          <w:sz w:val="20"/>
          <w:u w:val="none"/>
          <w:lang w:val="en-GB"/>
        </w:rPr>
        <w:t>)</w:t>
      </w:r>
    </w:p>
    <w:p w:rsidR="00F12F7B" w:rsidRDefault="00F12F7B" w:rsidP="004722AC">
      <w:pPr>
        <w:spacing w:before="160" w:after="160" w:line="360" w:lineRule="auto"/>
        <w:jc w:val="both"/>
        <w:rPr>
          <w:rFonts w:ascii="Arial" w:hAnsi="Arial" w:cs="Arial"/>
          <w:sz w:val="22"/>
          <w:szCs w:val="22"/>
          <w:lang w:val="en-GB"/>
        </w:rPr>
      </w:pPr>
      <w:r w:rsidRPr="00F12F7B">
        <w:rPr>
          <w:rFonts w:ascii="Arial" w:hAnsi="Arial" w:cs="Arial"/>
          <w:sz w:val="22"/>
          <w:szCs w:val="22"/>
          <w:lang w:val="en-GB"/>
        </w:rPr>
        <w:t>Twenty-one days after administration of the second dose, 96.0% of subjects had a 4-fold increase in serum neutralising antibody titr</w:t>
      </w:r>
      <w:r w:rsidR="00E74AFA">
        <w:rPr>
          <w:rFonts w:ascii="Arial" w:hAnsi="Arial" w:cs="Arial"/>
          <w:sz w:val="22"/>
          <w:szCs w:val="22"/>
          <w:lang w:val="en-GB"/>
        </w:rPr>
        <w:t>e</w:t>
      </w:r>
      <w:r w:rsidRPr="00F12F7B">
        <w:rPr>
          <w:rFonts w:ascii="Arial" w:hAnsi="Arial" w:cs="Arial"/>
          <w:sz w:val="22"/>
          <w:szCs w:val="22"/>
          <w:lang w:val="en-GB"/>
        </w:rPr>
        <w:t>s.</w:t>
      </w:r>
    </w:p>
    <w:p w:rsidR="00F12F7B" w:rsidRPr="00F12F7B" w:rsidRDefault="00F12F7B" w:rsidP="00F12F7B">
      <w:pPr>
        <w:spacing w:line="360" w:lineRule="auto"/>
        <w:jc w:val="both"/>
        <w:rPr>
          <w:rFonts w:ascii="Arial" w:hAnsi="Arial" w:cs="Arial"/>
          <w:sz w:val="22"/>
          <w:szCs w:val="22"/>
          <w:u w:val="single"/>
          <w:lang w:val="en-GB"/>
        </w:rPr>
      </w:pPr>
      <w:r w:rsidRPr="00F12F7B">
        <w:rPr>
          <w:rFonts w:ascii="Arial" w:hAnsi="Arial" w:cs="Arial"/>
          <w:sz w:val="22"/>
          <w:szCs w:val="22"/>
          <w:u w:val="single"/>
          <w:lang w:val="en-GB"/>
        </w:rPr>
        <w:t>Persistence of immunogenicity:</w:t>
      </w:r>
    </w:p>
    <w:p w:rsidR="00F12F7B" w:rsidRDefault="00F12F7B" w:rsidP="004722AC">
      <w:pPr>
        <w:spacing w:after="160" w:line="360" w:lineRule="auto"/>
        <w:jc w:val="both"/>
        <w:rPr>
          <w:rFonts w:ascii="Arial" w:hAnsi="Arial" w:cs="Arial"/>
          <w:sz w:val="22"/>
          <w:szCs w:val="22"/>
          <w:lang w:val="en-GB"/>
        </w:rPr>
      </w:pPr>
      <w:r w:rsidRPr="00F12F7B">
        <w:rPr>
          <w:rFonts w:ascii="Arial" w:hAnsi="Arial" w:cs="Arial"/>
          <w:sz w:val="22"/>
          <w:szCs w:val="22"/>
          <w:lang w:val="en-GB"/>
        </w:rPr>
        <w:t>In the dose finding study, persistence of immunogenicity up to 6 months after the second dose was evaluated in the 50 subjects who have received the 3.75 µg HA/AS03 formulation.  The seroprotection rate, the seroconversion rate and seroconversion factor for anti-haemagglutinin (anti-HA) antibody at day 180 were respectively 54.0%, 52.0% and 4.4.  A 4-fold increase in serum neutralising antibody titers at this time point was observed in 72% of subjects.</w:t>
      </w:r>
    </w:p>
    <w:p w:rsidR="00F12F7B" w:rsidRPr="00F12F7B" w:rsidRDefault="00F12F7B" w:rsidP="00F12F7B">
      <w:pPr>
        <w:spacing w:line="360" w:lineRule="auto"/>
        <w:jc w:val="both"/>
        <w:rPr>
          <w:rFonts w:ascii="Arial" w:hAnsi="Arial" w:cs="Arial"/>
          <w:sz w:val="22"/>
          <w:szCs w:val="22"/>
          <w:u w:val="single"/>
          <w:lang w:val="en-GB"/>
        </w:rPr>
      </w:pPr>
      <w:r w:rsidRPr="00F12F7B">
        <w:rPr>
          <w:rFonts w:ascii="Arial" w:hAnsi="Arial" w:cs="Arial"/>
          <w:sz w:val="22"/>
          <w:szCs w:val="22"/>
          <w:u w:val="single"/>
          <w:lang w:val="en-GB"/>
        </w:rPr>
        <w:t>Cross-reactivity:</w:t>
      </w:r>
    </w:p>
    <w:p w:rsidR="00F12F7B" w:rsidRDefault="00F12F7B" w:rsidP="00F12F7B">
      <w:pPr>
        <w:spacing w:line="360" w:lineRule="auto"/>
        <w:jc w:val="both"/>
        <w:rPr>
          <w:rFonts w:ascii="Arial" w:hAnsi="Arial" w:cs="Arial"/>
          <w:sz w:val="22"/>
          <w:szCs w:val="22"/>
          <w:lang w:val="en-GB"/>
        </w:rPr>
      </w:pPr>
      <w:r w:rsidRPr="00F12F7B">
        <w:rPr>
          <w:rFonts w:ascii="Arial" w:hAnsi="Arial" w:cs="Arial"/>
          <w:sz w:val="22"/>
          <w:szCs w:val="22"/>
          <w:lang w:val="en-GB"/>
        </w:rPr>
        <w:t xml:space="preserve">In both studies, the candidate vaccine showed the ability to induce a cross-reactive immune response against </w:t>
      </w:r>
      <w:r w:rsidR="004722AC">
        <w:rPr>
          <w:rFonts w:ascii="Arial" w:hAnsi="Arial" w:cs="Arial"/>
          <w:sz w:val="22"/>
          <w:szCs w:val="22"/>
          <w:lang w:val="en-GB"/>
        </w:rPr>
        <w:t>variants of the vaccine strain.</w:t>
      </w:r>
    </w:p>
    <w:p w:rsidR="00F12F7B" w:rsidRDefault="00F12F7B" w:rsidP="004722AC">
      <w:pPr>
        <w:spacing w:before="160" w:after="160" w:line="360" w:lineRule="auto"/>
        <w:jc w:val="both"/>
        <w:rPr>
          <w:rFonts w:ascii="Arial" w:hAnsi="Arial" w:cs="Arial"/>
          <w:sz w:val="22"/>
          <w:szCs w:val="22"/>
          <w:lang w:val="en-GB"/>
        </w:rPr>
      </w:pPr>
      <w:r w:rsidRPr="00F12F7B">
        <w:rPr>
          <w:rFonts w:ascii="Arial" w:hAnsi="Arial" w:cs="Arial"/>
          <w:sz w:val="22"/>
          <w:szCs w:val="22"/>
          <w:lang w:val="en-GB"/>
        </w:rPr>
        <w:t>In the dose finding study, the seroprotection rate, seroconversion rate and seroconversion factor against H5N1 drift variants 21 days after the second dose in a subset of subjects were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3"/>
        <w:gridCol w:w="2513"/>
        <w:gridCol w:w="2126"/>
        <w:gridCol w:w="2835"/>
      </w:tblGrid>
      <w:tr w:rsidR="00F12F7B" w:rsidRPr="00EC55A3" w:rsidTr="004722AC">
        <w:trPr>
          <w:trHeight w:val="900"/>
        </w:trPr>
        <w:tc>
          <w:tcPr>
            <w:tcW w:w="227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anti-HA antibody</w:t>
            </w:r>
          </w:p>
        </w:tc>
        <w:tc>
          <w:tcPr>
            <w:tcW w:w="251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A/Indonesia/5/2005</w:t>
            </w:r>
          </w:p>
          <w:p w:rsidR="004722AC"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N = 50</w:t>
            </w:r>
          </w:p>
        </w:tc>
        <w:tc>
          <w:tcPr>
            <w:tcW w:w="2126"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A/Anhui/01/2005</w:t>
            </w:r>
          </w:p>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N = 20</w:t>
            </w:r>
          </w:p>
        </w:tc>
        <w:tc>
          <w:tcPr>
            <w:tcW w:w="2835"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A/Turkey/Turkey/1/2005</w:t>
            </w:r>
          </w:p>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N = 20</w:t>
            </w:r>
          </w:p>
        </w:tc>
      </w:tr>
      <w:tr w:rsidR="00F12F7B" w:rsidRPr="00EC55A3" w:rsidTr="004722AC">
        <w:trPr>
          <w:trHeight w:val="971"/>
        </w:trPr>
        <w:tc>
          <w:tcPr>
            <w:tcW w:w="227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Seroprotection rate*†</w:t>
            </w:r>
          </w:p>
        </w:tc>
        <w:tc>
          <w:tcPr>
            <w:tcW w:w="251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20.0%</w:t>
            </w:r>
          </w:p>
        </w:tc>
        <w:tc>
          <w:tcPr>
            <w:tcW w:w="2126"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35.0%</w:t>
            </w:r>
          </w:p>
        </w:tc>
        <w:tc>
          <w:tcPr>
            <w:tcW w:w="2835"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60.0%</w:t>
            </w:r>
          </w:p>
        </w:tc>
      </w:tr>
      <w:tr w:rsidR="00F12F7B" w:rsidRPr="00EC55A3" w:rsidTr="00C8276C">
        <w:tc>
          <w:tcPr>
            <w:tcW w:w="227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lastRenderedPageBreak/>
              <w:t>Seroconversion rate†</w:t>
            </w:r>
          </w:p>
        </w:tc>
        <w:tc>
          <w:tcPr>
            <w:tcW w:w="251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20.0%</w:t>
            </w:r>
          </w:p>
        </w:tc>
        <w:tc>
          <w:tcPr>
            <w:tcW w:w="2126"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35.0%</w:t>
            </w:r>
          </w:p>
        </w:tc>
        <w:tc>
          <w:tcPr>
            <w:tcW w:w="2835"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60.0%</w:t>
            </w:r>
          </w:p>
        </w:tc>
      </w:tr>
      <w:tr w:rsidR="00F12F7B" w:rsidRPr="00EC55A3" w:rsidTr="00C8276C">
        <w:tc>
          <w:tcPr>
            <w:tcW w:w="227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Seroconversion factor†</w:t>
            </w:r>
          </w:p>
        </w:tc>
        <w:tc>
          <w:tcPr>
            <w:tcW w:w="2513"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2.0</w:t>
            </w:r>
          </w:p>
        </w:tc>
        <w:tc>
          <w:tcPr>
            <w:tcW w:w="2126"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3.4</w:t>
            </w:r>
          </w:p>
        </w:tc>
        <w:tc>
          <w:tcPr>
            <w:tcW w:w="2835" w:type="dxa"/>
          </w:tcPr>
          <w:p w:rsidR="00F12F7B" w:rsidRPr="00EC55A3" w:rsidRDefault="00F12F7B" w:rsidP="00EC55A3">
            <w:pPr>
              <w:spacing w:line="360" w:lineRule="auto"/>
              <w:jc w:val="both"/>
              <w:rPr>
                <w:rFonts w:ascii="Arial" w:hAnsi="Arial" w:cs="Arial"/>
                <w:sz w:val="22"/>
                <w:szCs w:val="22"/>
                <w:lang w:val="en-GB"/>
              </w:rPr>
            </w:pPr>
            <w:r w:rsidRPr="00EC55A3">
              <w:rPr>
                <w:rFonts w:ascii="Arial" w:hAnsi="Arial" w:cs="Arial"/>
                <w:sz w:val="22"/>
                <w:szCs w:val="22"/>
                <w:lang w:val="en-GB"/>
              </w:rPr>
              <w:t>4.7</w:t>
            </w:r>
          </w:p>
        </w:tc>
      </w:tr>
    </w:tbl>
    <w:p w:rsidR="00F12F7B" w:rsidRPr="00E74AFA" w:rsidRDefault="00F12F7B" w:rsidP="00E74AFA">
      <w:pPr>
        <w:jc w:val="both"/>
        <w:rPr>
          <w:rFonts w:ascii="Arial" w:hAnsi="Arial" w:cs="Arial"/>
          <w:lang w:val="en-GB"/>
        </w:rPr>
      </w:pPr>
      <w:r w:rsidRPr="00E74AFA">
        <w:rPr>
          <w:rFonts w:ascii="Arial" w:hAnsi="Arial" w:cs="Arial"/>
          <w:lang w:val="en-GB"/>
        </w:rPr>
        <w:t xml:space="preserve">* anti-HA </w:t>
      </w:r>
      <w:r w:rsidR="004722AC">
        <w:rPr>
          <w:rFonts w:ascii="Arial" w:hAnsi="Arial" w:cs="Arial"/>
          <w:lang w:val="en-GB"/>
        </w:rPr>
        <w:sym w:font="Symbol" w:char="F0B3"/>
      </w:r>
      <w:r w:rsidRPr="00E74AFA">
        <w:rPr>
          <w:rFonts w:ascii="Arial" w:hAnsi="Arial" w:cs="Arial"/>
          <w:lang w:val="en-GB"/>
        </w:rPr>
        <w:t>1:40</w:t>
      </w:r>
    </w:p>
    <w:p w:rsidR="00F12F7B" w:rsidRPr="00F12F7B" w:rsidRDefault="00F12F7B" w:rsidP="00E74AFA">
      <w:pPr>
        <w:jc w:val="both"/>
        <w:rPr>
          <w:rFonts w:ascii="Arial" w:hAnsi="Arial" w:cs="Arial"/>
          <w:sz w:val="22"/>
          <w:szCs w:val="22"/>
          <w:lang w:val="en-GB"/>
        </w:rPr>
      </w:pPr>
      <w:r w:rsidRPr="00E74AFA">
        <w:rPr>
          <w:rFonts w:ascii="Arial" w:hAnsi="Arial" w:cs="Arial"/>
          <w:lang w:val="en-GB"/>
        </w:rPr>
        <w:t xml:space="preserve">† seroprotection rate (i.e. proportion of subjects with HI titre </w:t>
      </w:r>
      <w:r w:rsidRPr="00E74AFA">
        <w:rPr>
          <w:rFonts w:ascii="Arial" w:hAnsi="Arial" w:cs="Arial"/>
          <w:lang w:val="en-GB"/>
        </w:rPr>
        <w:sym w:font="Symbol" w:char="F0B3"/>
      </w:r>
      <w:r w:rsidRPr="00E74AFA">
        <w:rPr>
          <w:rFonts w:ascii="Arial" w:hAnsi="Arial" w:cs="Arial"/>
          <w:lang w:val="en-GB"/>
        </w:rPr>
        <w:t xml:space="preserve"> 1:40); seroconversion rate (i.e. proportion of subjects who were either seronegative at pre-vaccination and have a protective post-vaccination titre of </w:t>
      </w:r>
      <w:r w:rsidRPr="00E74AFA">
        <w:rPr>
          <w:rFonts w:ascii="Arial" w:hAnsi="Arial" w:cs="Arial"/>
          <w:lang w:val="en-GB"/>
        </w:rPr>
        <w:sym w:font="Symbol" w:char="F0B3"/>
      </w:r>
      <w:r w:rsidRPr="00E74AFA">
        <w:rPr>
          <w:rFonts w:ascii="Arial" w:hAnsi="Arial" w:cs="Arial"/>
          <w:lang w:val="en-GB"/>
        </w:rPr>
        <w:t xml:space="preserve"> 1:40, or who were seropositive at pre-vaccination and have a 4-fold increase in titre); seroconversion factor (i.e; ratio of the post-vaccination </w:t>
      </w:r>
      <w:smartTag w:uri="urn:schemas-microsoft-com:office:smarttags" w:element="stockticker">
        <w:r w:rsidRPr="00E74AFA">
          <w:rPr>
            <w:rFonts w:ascii="Arial" w:hAnsi="Arial" w:cs="Arial"/>
            <w:lang w:val="en-GB"/>
          </w:rPr>
          <w:t>GMT</w:t>
        </w:r>
      </w:smartTag>
      <w:r w:rsidRPr="00E74AFA">
        <w:rPr>
          <w:rFonts w:ascii="Arial" w:hAnsi="Arial" w:cs="Arial"/>
          <w:lang w:val="en-GB"/>
        </w:rPr>
        <w:t xml:space="preserve"> and the pre-vaccination </w:t>
      </w:r>
      <w:smartTag w:uri="urn:schemas-microsoft-com:office:smarttags" w:element="stockticker">
        <w:r w:rsidRPr="00E74AFA">
          <w:rPr>
            <w:rFonts w:ascii="Arial" w:hAnsi="Arial" w:cs="Arial"/>
            <w:lang w:val="en-GB"/>
          </w:rPr>
          <w:t>GMT</w:t>
        </w:r>
      </w:smartTag>
      <w:r w:rsidRPr="00E74AFA">
        <w:rPr>
          <w:rFonts w:ascii="Arial" w:hAnsi="Arial" w:cs="Arial"/>
          <w:lang w:val="en-GB"/>
        </w:rPr>
        <w:t>)</w:t>
      </w:r>
    </w:p>
    <w:p w:rsidR="00F12F7B" w:rsidRDefault="00F12F7B" w:rsidP="004722AC">
      <w:pPr>
        <w:spacing w:before="160" w:after="160" w:line="360" w:lineRule="auto"/>
        <w:jc w:val="both"/>
        <w:rPr>
          <w:rFonts w:ascii="Arial" w:hAnsi="Arial" w:cs="Arial"/>
          <w:sz w:val="22"/>
          <w:szCs w:val="22"/>
          <w:lang w:val="en-GB"/>
        </w:rPr>
      </w:pPr>
      <w:r w:rsidRPr="00F12F7B">
        <w:rPr>
          <w:rFonts w:ascii="Arial" w:hAnsi="Arial" w:cs="Arial"/>
          <w:sz w:val="22"/>
          <w:szCs w:val="22"/>
          <w:lang w:val="en-GB"/>
        </w:rPr>
        <w:t xml:space="preserve">Twenty one days after the second dose, a 4-fold increase in serum neutralising antibody titers was obtained in 77.1% of subjects against the A/Indonesia/5/2005 strain, in 75.0% of subjects against A/Anhui/01/2005 and in 85.0% of subjects </w:t>
      </w:r>
      <w:r w:rsidR="004722AC">
        <w:rPr>
          <w:rFonts w:ascii="Arial" w:hAnsi="Arial" w:cs="Arial"/>
          <w:sz w:val="22"/>
          <w:szCs w:val="22"/>
          <w:lang w:val="en-GB"/>
        </w:rPr>
        <w:t>against A/Turkey/Turkey/1/2005.</w:t>
      </w:r>
    </w:p>
    <w:p w:rsidR="00F12F7B" w:rsidRPr="00F12F7B" w:rsidRDefault="00F12F7B" w:rsidP="004722AC">
      <w:pPr>
        <w:spacing w:after="160" w:line="360" w:lineRule="auto"/>
        <w:jc w:val="both"/>
        <w:rPr>
          <w:rFonts w:ascii="Arial" w:hAnsi="Arial" w:cs="Arial"/>
          <w:sz w:val="22"/>
          <w:szCs w:val="22"/>
          <w:lang w:val="en-GB"/>
        </w:rPr>
      </w:pPr>
      <w:r w:rsidRPr="00F12F7B">
        <w:rPr>
          <w:rFonts w:ascii="Arial" w:hAnsi="Arial" w:cs="Arial"/>
          <w:sz w:val="22"/>
          <w:szCs w:val="22"/>
          <w:lang w:val="en-GB"/>
        </w:rPr>
        <w:t>The consistency study confirmed that the candidate vaccine induces a cross-reactive immune response against A/Indonesia/5/2005.  Twenty-one days after the second dose, seroconversion and seroprotection rates against this strain variant were both 50.2% with a seroconversion factor of 4.9. A 4-fold increase in serum neutralising antibody titers was</w:t>
      </w:r>
      <w:r w:rsidR="004722AC">
        <w:rPr>
          <w:rFonts w:ascii="Arial" w:hAnsi="Arial" w:cs="Arial"/>
          <w:sz w:val="22"/>
          <w:szCs w:val="22"/>
          <w:lang w:val="en-GB"/>
        </w:rPr>
        <w:t xml:space="preserve"> obtained in 91.4% of subjects.</w:t>
      </w:r>
    </w:p>
    <w:p w:rsidR="00AE0455" w:rsidRPr="00E74AFA" w:rsidRDefault="00AE0455" w:rsidP="00AE0455">
      <w:pPr>
        <w:spacing w:line="360" w:lineRule="auto"/>
        <w:jc w:val="both"/>
        <w:rPr>
          <w:rFonts w:ascii="Arial" w:hAnsi="Arial" w:cs="Arial"/>
          <w:sz w:val="22"/>
          <w:szCs w:val="22"/>
          <w:u w:val="single"/>
          <w:lang w:val="en-US"/>
        </w:rPr>
      </w:pPr>
      <w:r>
        <w:rPr>
          <w:rFonts w:ascii="Arial" w:hAnsi="Arial" w:cs="Arial"/>
          <w:sz w:val="22"/>
          <w:szCs w:val="22"/>
          <w:u w:val="single"/>
          <w:lang w:val="en-US"/>
        </w:rPr>
        <w:t>Information from non clinical studies</w:t>
      </w:r>
    </w:p>
    <w:p w:rsidR="00AE0455" w:rsidRDefault="00AE0455" w:rsidP="004722AC">
      <w:pPr>
        <w:spacing w:after="160" w:line="360" w:lineRule="auto"/>
        <w:jc w:val="both"/>
        <w:rPr>
          <w:rFonts w:ascii="Arial" w:hAnsi="Arial" w:cs="Arial"/>
          <w:sz w:val="22"/>
          <w:szCs w:val="22"/>
          <w:lang w:val="en-US"/>
        </w:rPr>
      </w:pPr>
      <w:r>
        <w:rPr>
          <w:rFonts w:ascii="Arial" w:hAnsi="Arial" w:cs="Arial"/>
          <w:sz w:val="22"/>
          <w:szCs w:val="22"/>
          <w:lang w:val="en-US"/>
        </w:rPr>
        <w:t xml:space="preserve">The ability to induce protection against homologous and heterologous vaccine strains was assessed non-clinically using ferret challenge models. In each experiment, four groups of six ferrets were immunised intramuscularly with an AS03 adjuvanted vaccine containing HA derived from H5N1/A/Vietnam/1194/04 (NIBRG-14). </w:t>
      </w:r>
      <w:r w:rsidRPr="008110F0">
        <w:rPr>
          <w:rFonts w:ascii="Arial" w:hAnsi="Arial" w:cs="Arial"/>
          <w:color w:val="000000"/>
          <w:sz w:val="22"/>
          <w:szCs w:val="22"/>
          <w:lang w:val="en-US"/>
        </w:rPr>
        <w:t xml:space="preserve">Doses of 15, 5, 1.7 or 0.6 </w:t>
      </w:r>
      <w:r w:rsidR="004722AC">
        <w:rPr>
          <w:rFonts w:ascii="Arial" w:hAnsi="Arial" w:cs="Arial"/>
          <w:color w:val="000000"/>
          <w:sz w:val="22"/>
          <w:szCs w:val="22"/>
          <w:lang w:val="en-US"/>
        </w:rPr>
        <w:sym w:font="Symbol" w:char="F06D"/>
      </w:r>
      <w:r w:rsidRPr="008110F0">
        <w:rPr>
          <w:rFonts w:ascii="Arial" w:hAnsi="Arial" w:cs="Arial"/>
          <w:color w:val="000000"/>
          <w:sz w:val="22"/>
          <w:szCs w:val="22"/>
          <w:lang w:val="en-US"/>
        </w:rPr>
        <w:t>g HA were tested in the homologous challenge experiment, and doses of 15, 7.5, 3.8 or 1.75 µg HA were tested in the heterologous challenge experiment.</w:t>
      </w:r>
      <w:r>
        <w:rPr>
          <w:rFonts w:ascii="Arial" w:hAnsi="Arial" w:cs="Arial"/>
          <w:color w:val="FF0000"/>
          <w:sz w:val="22"/>
          <w:szCs w:val="22"/>
          <w:lang w:val="en-US"/>
        </w:rPr>
        <w:t xml:space="preserve"> </w:t>
      </w:r>
      <w:r>
        <w:rPr>
          <w:rFonts w:ascii="Arial" w:hAnsi="Arial" w:cs="Arial"/>
          <w:sz w:val="22"/>
          <w:szCs w:val="22"/>
          <w:lang w:val="en-US"/>
        </w:rPr>
        <w:t xml:space="preserve">Control groups included ferrets immunised with adjuvant alone, non-adjuvanted vaccine (15 </w:t>
      </w:r>
      <w:r w:rsidR="004722AC">
        <w:rPr>
          <w:rFonts w:ascii="Arial" w:hAnsi="Arial" w:cs="Arial"/>
          <w:sz w:val="22"/>
          <w:szCs w:val="22"/>
          <w:lang w:val="en-US"/>
        </w:rPr>
        <w:sym w:font="Symbol" w:char="F06D"/>
      </w:r>
      <w:r>
        <w:rPr>
          <w:rFonts w:ascii="Arial" w:hAnsi="Arial" w:cs="Arial"/>
          <w:sz w:val="22"/>
          <w:szCs w:val="22"/>
          <w:lang w:val="en-US"/>
        </w:rPr>
        <w:t>g HA) or phosphate buffered saline solution.</w:t>
      </w:r>
      <w:r w:rsidRPr="00F12F7B">
        <w:rPr>
          <w:rFonts w:ascii="Arial" w:hAnsi="Arial" w:cs="Arial"/>
          <w:sz w:val="22"/>
          <w:szCs w:val="22"/>
          <w:lang w:val="en-US"/>
        </w:rPr>
        <w:t xml:space="preserve"> Ferrets were vaccinated on days 0 and 21 and challenged intratracheally on day 49 with a lethal dose of </w:t>
      </w:r>
      <w:r>
        <w:rPr>
          <w:rFonts w:ascii="Arial" w:hAnsi="Arial" w:cs="Arial"/>
          <w:sz w:val="22"/>
          <w:szCs w:val="22"/>
          <w:lang w:val="en-US"/>
        </w:rPr>
        <w:t xml:space="preserve">either </w:t>
      </w:r>
      <w:r w:rsidRPr="00F12F7B">
        <w:rPr>
          <w:rFonts w:ascii="Arial" w:hAnsi="Arial" w:cs="Arial"/>
          <w:sz w:val="22"/>
          <w:szCs w:val="22"/>
          <w:lang w:val="en-US"/>
        </w:rPr>
        <w:t>H5N1/A/Vietnam/1194/04</w:t>
      </w:r>
      <w:r>
        <w:rPr>
          <w:rFonts w:ascii="Arial" w:hAnsi="Arial" w:cs="Arial"/>
          <w:sz w:val="22"/>
          <w:szCs w:val="22"/>
          <w:lang w:val="en-US"/>
        </w:rPr>
        <w:t xml:space="preserve"> or heterologous H5N1/A/Indonesia/5/05</w:t>
      </w:r>
      <w:r w:rsidRPr="00F12F7B">
        <w:rPr>
          <w:rFonts w:ascii="Arial" w:hAnsi="Arial" w:cs="Arial"/>
          <w:sz w:val="22"/>
          <w:szCs w:val="22"/>
          <w:lang w:val="en-US"/>
        </w:rPr>
        <w:t xml:space="preserve">. Of the animals receiving adjuvanted vaccine, 87 % </w:t>
      </w:r>
      <w:r>
        <w:rPr>
          <w:rFonts w:ascii="Arial" w:hAnsi="Arial" w:cs="Arial"/>
          <w:sz w:val="22"/>
          <w:szCs w:val="22"/>
          <w:lang w:val="en-US"/>
        </w:rPr>
        <w:t xml:space="preserve">and 96% </w:t>
      </w:r>
      <w:r w:rsidRPr="00F12F7B">
        <w:rPr>
          <w:rFonts w:ascii="Arial" w:hAnsi="Arial" w:cs="Arial"/>
          <w:sz w:val="22"/>
          <w:szCs w:val="22"/>
          <w:lang w:val="en-US"/>
        </w:rPr>
        <w:t xml:space="preserve">were protected against the lethal </w:t>
      </w:r>
      <w:r>
        <w:rPr>
          <w:rFonts w:ascii="Arial" w:hAnsi="Arial" w:cs="Arial"/>
          <w:sz w:val="22"/>
          <w:szCs w:val="22"/>
          <w:lang w:val="en-US"/>
        </w:rPr>
        <w:t xml:space="preserve">homologus or heterlogous </w:t>
      </w:r>
      <w:r w:rsidRPr="00F12F7B">
        <w:rPr>
          <w:rFonts w:ascii="Arial" w:hAnsi="Arial" w:cs="Arial"/>
          <w:sz w:val="22"/>
          <w:szCs w:val="22"/>
          <w:lang w:val="en-US"/>
        </w:rPr>
        <w:t>challenge</w:t>
      </w:r>
      <w:r>
        <w:rPr>
          <w:rFonts w:ascii="Arial" w:hAnsi="Arial" w:cs="Arial"/>
          <w:sz w:val="22"/>
          <w:szCs w:val="22"/>
          <w:lang w:val="en-US"/>
        </w:rPr>
        <w:t>, respectively</w:t>
      </w:r>
      <w:r w:rsidRPr="00F12F7B">
        <w:rPr>
          <w:rFonts w:ascii="Arial" w:hAnsi="Arial" w:cs="Arial"/>
          <w:sz w:val="22"/>
          <w:szCs w:val="22"/>
          <w:lang w:val="en-US"/>
        </w:rPr>
        <w:t>.  Viral shedding into the upper respiratory tract was also reduced in vaccinated animals relative to controls, suggesting a reduced risk of viral transmission. In the unadjuvanted control group, as well as in the adjuvant control group, all animals died or had to be euthanized as they were moribund, three to four days after the start of challenge.</w:t>
      </w:r>
    </w:p>
    <w:p w:rsidR="009F009F" w:rsidRPr="00EC244E" w:rsidRDefault="009F009F">
      <w:pPr>
        <w:pStyle w:val="Heading2"/>
        <w:rPr>
          <w:rFonts w:ascii="Arial" w:hAnsi="Arial"/>
          <w:sz w:val="22"/>
        </w:rPr>
      </w:pPr>
      <w:r w:rsidRPr="00EC244E">
        <w:rPr>
          <w:rFonts w:ascii="Arial" w:hAnsi="Arial"/>
          <w:sz w:val="22"/>
        </w:rPr>
        <w:t>INDICATIONS</w:t>
      </w:r>
    </w:p>
    <w:p w:rsidR="008110F0" w:rsidRPr="00EC244E" w:rsidRDefault="008110F0" w:rsidP="004722AC">
      <w:pPr>
        <w:spacing w:after="160" w:line="360" w:lineRule="atLeast"/>
        <w:rPr>
          <w:rFonts w:ascii="Arial" w:hAnsi="Arial" w:cs="Arial"/>
          <w:sz w:val="22"/>
          <w:szCs w:val="22"/>
        </w:rPr>
      </w:pPr>
      <w:r>
        <w:rPr>
          <w:rFonts w:ascii="Arial" w:hAnsi="Arial" w:cs="Arial"/>
          <w:i/>
          <w:sz w:val="22"/>
          <w:szCs w:val="22"/>
        </w:rPr>
        <w:t xml:space="preserve">PANDEMRIX H1N1 </w:t>
      </w:r>
      <w:r w:rsidRPr="00FF02AE">
        <w:rPr>
          <w:rFonts w:ascii="Arial" w:hAnsi="Arial" w:cs="Arial"/>
          <w:sz w:val="22"/>
          <w:szCs w:val="22"/>
        </w:rPr>
        <w:t>is</w:t>
      </w:r>
      <w:r>
        <w:rPr>
          <w:rFonts w:ascii="Arial" w:hAnsi="Arial" w:cs="Arial"/>
          <w:i/>
          <w:sz w:val="22"/>
          <w:szCs w:val="22"/>
        </w:rPr>
        <w:t xml:space="preserve"> </w:t>
      </w:r>
      <w:r>
        <w:rPr>
          <w:rFonts w:ascii="Arial" w:hAnsi="Arial" w:cs="Arial"/>
          <w:sz w:val="22"/>
          <w:szCs w:val="22"/>
        </w:rPr>
        <w:t xml:space="preserve">indicated for prophylaxis of influenza in an officially declared pandemic situation. </w:t>
      </w:r>
      <w:r w:rsidRPr="00FF02AE">
        <w:rPr>
          <w:rFonts w:ascii="Arial" w:hAnsi="Arial" w:cs="Arial"/>
          <w:i/>
          <w:sz w:val="22"/>
          <w:szCs w:val="22"/>
        </w:rPr>
        <w:t>PANDEMRIX</w:t>
      </w:r>
      <w:r>
        <w:rPr>
          <w:rFonts w:ascii="Arial" w:hAnsi="Arial" w:cs="Arial"/>
          <w:sz w:val="22"/>
          <w:szCs w:val="22"/>
        </w:rPr>
        <w:t xml:space="preserve"> should be used in accordance with official recommendations.</w:t>
      </w:r>
    </w:p>
    <w:p w:rsidR="009F009F" w:rsidRPr="00EC244E" w:rsidRDefault="009F009F">
      <w:pPr>
        <w:pStyle w:val="Heading2"/>
        <w:rPr>
          <w:rFonts w:ascii="Arial" w:hAnsi="Arial"/>
          <w:sz w:val="22"/>
        </w:rPr>
      </w:pPr>
      <w:r w:rsidRPr="00EC244E">
        <w:rPr>
          <w:rFonts w:ascii="Arial" w:hAnsi="Arial"/>
          <w:sz w:val="22"/>
        </w:rPr>
        <w:lastRenderedPageBreak/>
        <w:t>CONTRAINDICATIONS</w:t>
      </w:r>
    </w:p>
    <w:p w:rsidR="001F579B" w:rsidRPr="00EC244E" w:rsidRDefault="001F579B" w:rsidP="004722AC">
      <w:pPr>
        <w:spacing w:after="160" w:line="360" w:lineRule="atLeast"/>
        <w:rPr>
          <w:rFonts w:ascii="Arial" w:hAnsi="Arial" w:cs="Arial"/>
          <w:sz w:val="22"/>
          <w:szCs w:val="22"/>
        </w:rPr>
      </w:pPr>
      <w:r w:rsidRPr="004D5BD5">
        <w:rPr>
          <w:rFonts w:ascii="Arial" w:hAnsi="Arial" w:cs="Arial"/>
          <w:sz w:val="22"/>
          <w:szCs w:val="22"/>
        </w:rPr>
        <w:t xml:space="preserve">History of an anaphylactic reaction (i.e. life-threatening) to any of the constituents or trace residues of this vaccine. </w:t>
      </w:r>
      <w:r w:rsidR="000E242D">
        <w:rPr>
          <w:rFonts w:ascii="Arial" w:hAnsi="Arial" w:cs="Arial"/>
          <w:sz w:val="22"/>
          <w:szCs w:val="22"/>
        </w:rPr>
        <w:t>(A</w:t>
      </w:r>
      <w:r w:rsidRPr="00EC244E">
        <w:rPr>
          <w:rFonts w:ascii="Arial" w:hAnsi="Arial" w:cs="Arial"/>
          <w:sz w:val="22"/>
          <w:szCs w:val="22"/>
        </w:rPr>
        <w:t xml:space="preserve">lso </w:t>
      </w:r>
      <w:r w:rsidR="000E242D">
        <w:rPr>
          <w:rFonts w:ascii="Arial" w:hAnsi="Arial" w:cs="Arial"/>
          <w:sz w:val="22"/>
          <w:szCs w:val="22"/>
        </w:rPr>
        <w:t xml:space="preserve">see </w:t>
      </w:r>
      <w:r w:rsidRPr="00EC244E">
        <w:rPr>
          <w:rFonts w:ascii="Arial" w:hAnsi="Arial" w:cs="Arial"/>
          <w:sz w:val="22"/>
          <w:szCs w:val="22"/>
        </w:rPr>
        <w:t>Precautions</w:t>
      </w:r>
      <w:r w:rsidR="000E242D">
        <w:rPr>
          <w:rFonts w:ascii="Arial" w:hAnsi="Arial" w:cs="Arial"/>
          <w:sz w:val="22"/>
          <w:szCs w:val="22"/>
        </w:rPr>
        <w:t xml:space="preserve"> section).</w:t>
      </w:r>
    </w:p>
    <w:p w:rsidR="009F009F" w:rsidRPr="00EC244E" w:rsidRDefault="009F009F">
      <w:pPr>
        <w:pStyle w:val="Heading2"/>
        <w:rPr>
          <w:rFonts w:ascii="Arial" w:hAnsi="Arial"/>
          <w:sz w:val="22"/>
        </w:rPr>
      </w:pPr>
      <w:r w:rsidRPr="00EC244E">
        <w:rPr>
          <w:rFonts w:ascii="Arial" w:hAnsi="Arial"/>
          <w:sz w:val="22"/>
        </w:rPr>
        <w:t>PRECAUTIONS</w:t>
      </w:r>
    </w:p>
    <w:p w:rsidR="001F579B" w:rsidRPr="00EC244E" w:rsidRDefault="001F579B" w:rsidP="004722AC">
      <w:pPr>
        <w:spacing w:after="160" w:line="360" w:lineRule="atLeast"/>
        <w:rPr>
          <w:rFonts w:ascii="Arial" w:hAnsi="Arial" w:cs="Arial"/>
          <w:sz w:val="22"/>
          <w:szCs w:val="22"/>
        </w:rPr>
      </w:pPr>
      <w:r w:rsidRPr="00EC244E">
        <w:rPr>
          <w:rFonts w:ascii="Arial" w:hAnsi="Arial" w:cs="Arial"/>
          <w:sz w:val="22"/>
          <w:szCs w:val="22"/>
        </w:rPr>
        <w:t>Caution is needed when administ</w:t>
      </w:r>
      <w:r w:rsidR="000E242D">
        <w:rPr>
          <w:rFonts w:ascii="Arial" w:hAnsi="Arial" w:cs="Arial"/>
          <w:sz w:val="22"/>
          <w:szCs w:val="22"/>
        </w:rPr>
        <w:t>ering</w:t>
      </w:r>
      <w:r w:rsidRPr="00EC244E">
        <w:rPr>
          <w:rFonts w:ascii="Arial" w:hAnsi="Arial" w:cs="Arial"/>
          <w:sz w:val="22"/>
          <w:szCs w:val="22"/>
        </w:rPr>
        <w:t xml:space="preserve"> this vaccine to persons with a known hypersensitivity (other than anaphylactic reaction) to the active substance, to any of the excipients and to residues.</w:t>
      </w:r>
    </w:p>
    <w:p w:rsidR="001F579B" w:rsidRPr="00EC244E" w:rsidRDefault="001F579B" w:rsidP="004722AC">
      <w:pPr>
        <w:spacing w:after="160" w:line="360" w:lineRule="atLeast"/>
        <w:rPr>
          <w:rFonts w:ascii="Arial" w:hAnsi="Arial" w:cs="Arial"/>
          <w:sz w:val="22"/>
          <w:szCs w:val="22"/>
        </w:rPr>
      </w:pPr>
      <w:r w:rsidRPr="00EC244E">
        <w:rPr>
          <w:rFonts w:ascii="Arial" w:hAnsi="Arial" w:cs="Arial"/>
          <w:sz w:val="22"/>
          <w:szCs w:val="22"/>
        </w:rPr>
        <w:t>As with all injectable vaccines, appropriate medical treatment and supervision should always be readily available in case of a rare anaphylactic event following the administration of the vaccine.</w:t>
      </w:r>
    </w:p>
    <w:p w:rsidR="001F579B" w:rsidRPr="00EC244E" w:rsidRDefault="007522EE" w:rsidP="004722AC">
      <w:pPr>
        <w:spacing w:after="160" w:line="360" w:lineRule="atLeast"/>
        <w:rPr>
          <w:rFonts w:ascii="Arial" w:hAnsi="Arial" w:cs="Arial"/>
          <w:sz w:val="22"/>
          <w:szCs w:val="22"/>
        </w:rPr>
      </w:pPr>
      <w:r w:rsidRPr="00CC1509">
        <w:rPr>
          <w:rFonts w:ascii="Arial" w:hAnsi="Arial" w:cs="Arial"/>
          <w:sz w:val="22"/>
          <w:szCs w:val="22"/>
        </w:rPr>
        <w:t>If the pandemic situation allows, i</w:t>
      </w:r>
      <w:r w:rsidR="001F579B" w:rsidRPr="00EC244E">
        <w:rPr>
          <w:rFonts w:ascii="Arial" w:hAnsi="Arial" w:cs="Arial"/>
          <w:sz w:val="22"/>
          <w:szCs w:val="22"/>
        </w:rPr>
        <w:t xml:space="preserve">mmunisation </w:t>
      </w:r>
      <w:r w:rsidR="00CC1509">
        <w:rPr>
          <w:rFonts w:ascii="Arial" w:hAnsi="Arial" w:cs="Arial"/>
          <w:sz w:val="22"/>
          <w:szCs w:val="22"/>
        </w:rPr>
        <w:t>should</w:t>
      </w:r>
      <w:r w:rsidR="001F579B" w:rsidRPr="00EC244E">
        <w:rPr>
          <w:rFonts w:ascii="Arial" w:hAnsi="Arial" w:cs="Arial"/>
          <w:sz w:val="22"/>
          <w:szCs w:val="22"/>
        </w:rPr>
        <w:t xml:space="preserve"> be postponed in patients with severe febrile illness or acute infection.</w:t>
      </w:r>
      <w:r w:rsidR="00AE0455">
        <w:rPr>
          <w:rFonts w:ascii="Arial" w:hAnsi="Arial" w:cs="Arial"/>
          <w:sz w:val="22"/>
          <w:szCs w:val="22"/>
        </w:rPr>
        <w:t xml:space="preserve"> Health care providers need to assess the benefits and potential risks of administering the vaccine to those patients.</w:t>
      </w:r>
    </w:p>
    <w:p w:rsidR="001F579B" w:rsidRDefault="000E242D" w:rsidP="001F579B">
      <w:pPr>
        <w:spacing w:line="360" w:lineRule="atLeast"/>
        <w:rPr>
          <w:rFonts w:ascii="Arial" w:hAnsi="Arial" w:cs="Arial"/>
          <w:sz w:val="22"/>
          <w:szCs w:val="22"/>
        </w:rPr>
      </w:pPr>
      <w:r w:rsidRPr="000E242D">
        <w:rPr>
          <w:rFonts w:ascii="Arial" w:hAnsi="Arial" w:cs="Arial"/>
          <w:i/>
          <w:sz w:val="22"/>
          <w:szCs w:val="22"/>
        </w:rPr>
        <w:t>PANDEMRIX</w:t>
      </w:r>
      <w:r w:rsidR="001F579B" w:rsidRPr="00EC244E">
        <w:rPr>
          <w:rFonts w:ascii="Arial" w:hAnsi="Arial" w:cs="Arial"/>
          <w:sz w:val="22"/>
          <w:szCs w:val="22"/>
        </w:rPr>
        <w:t xml:space="preserve"> should under no circumstances be administered intravascularly</w:t>
      </w:r>
      <w:r w:rsidR="007522EE" w:rsidRPr="00CC1509">
        <w:rPr>
          <w:rFonts w:ascii="Arial" w:hAnsi="Arial" w:cs="Arial"/>
          <w:sz w:val="22"/>
          <w:szCs w:val="22"/>
        </w:rPr>
        <w:t xml:space="preserve"> or intradermally</w:t>
      </w:r>
      <w:r w:rsidR="001F579B" w:rsidRPr="00EC244E">
        <w:rPr>
          <w:rFonts w:ascii="Arial" w:hAnsi="Arial" w:cs="Arial"/>
          <w:sz w:val="22"/>
          <w:szCs w:val="22"/>
        </w:rPr>
        <w:t>.</w:t>
      </w:r>
    </w:p>
    <w:p w:rsidR="0013352A" w:rsidRPr="0079128A" w:rsidRDefault="0013352A" w:rsidP="004722AC">
      <w:pPr>
        <w:spacing w:after="160" w:line="360" w:lineRule="atLeast"/>
        <w:rPr>
          <w:rFonts w:ascii="Arial" w:hAnsi="Arial" w:cs="Arial"/>
          <w:sz w:val="22"/>
          <w:szCs w:val="22"/>
        </w:rPr>
      </w:pPr>
      <w:r>
        <w:rPr>
          <w:rFonts w:ascii="Arial" w:hAnsi="Arial" w:cs="Arial"/>
          <w:sz w:val="22"/>
          <w:szCs w:val="22"/>
        </w:rPr>
        <w:t xml:space="preserve">There are no data with </w:t>
      </w:r>
      <w:r w:rsidRPr="000E242D">
        <w:rPr>
          <w:rFonts w:ascii="Arial" w:hAnsi="Arial" w:cs="Arial"/>
          <w:i/>
          <w:sz w:val="22"/>
          <w:szCs w:val="22"/>
        </w:rPr>
        <w:t>PANDEMRIX</w:t>
      </w:r>
      <w:r>
        <w:rPr>
          <w:rFonts w:ascii="Arial" w:hAnsi="Arial" w:cs="Arial"/>
          <w:i/>
          <w:sz w:val="22"/>
          <w:szCs w:val="22"/>
        </w:rPr>
        <w:t xml:space="preserve"> </w:t>
      </w:r>
      <w:r w:rsidRPr="0079128A">
        <w:rPr>
          <w:rFonts w:ascii="Arial" w:hAnsi="Arial" w:cs="Arial"/>
          <w:sz w:val="22"/>
          <w:szCs w:val="22"/>
        </w:rPr>
        <w:t>using the subcutaneous route. Therefore healthcare providers need to assess the benefits and potential risks of administering the vaccine in individuals with thrombocytopenia or any bleeding disorder that would contraindicate intramuscular injection unless the potential benefit outweighs the risk of bleeding.</w:t>
      </w:r>
    </w:p>
    <w:p w:rsidR="001F579B" w:rsidRPr="00EC244E" w:rsidRDefault="001F579B" w:rsidP="004722AC">
      <w:pPr>
        <w:spacing w:after="160" w:line="360" w:lineRule="atLeast"/>
        <w:rPr>
          <w:rFonts w:ascii="Arial" w:hAnsi="Arial" w:cs="Arial"/>
          <w:sz w:val="22"/>
          <w:szCs w:val="22"/>
        </w:rPr>
      </w:pPr>
      <w:r w:rsidRPr="00EC244E">
        <w:rPr>
          <w:rFonts w:ascii="Arial" w:hAnsi="Arial" w:cs="Arial"/>
          <w:sz w:val="22"/>
          <w:szCs w:val="22"/>
        </w:rPr>
        <w:t>Antibody response in patients with endogenous or iatrogenic immunosuppression may be insufficient.</w:t>
      </w:r>
    </w:p>
    <w:p w:rsidR="002D685B" w:rsidRDefault="001F579B" w:rsidP="004722AC">
      <w:pPr>
        <w:spacing w:after="160" w:line="360" w:lineRule="atLeast"/>
        <w:rPr>
          <w:rFonts w:ascii="Arial" w:hAnsi="Arial" w:cs="Arial"/>
          <w:sz w:val="22"/>
          <w:szCs w:val="22"/>
        </w:rPr>
      </w:pPr>
      <w:r w:rsidRPr="00EC244E">
        <w:rPr>
          <w:rFonts w:ascii="Arial" w:hAnsi="Arial" w:cs="Arial"/>
          <w:sz w:val="22"/>
          <w:szCs w:val="22"/>
        </w:rPr>
        <w:t>A protective immune response may not be elicited in all vaccinees.</w:t>
      </w:r>
    </w:p>
    <w:p w:rsidR="00830E16" w:rsidRDefault="00830E16" w:rsidP="004722AC">
      <w:pPr>
        <w:spacing w:after="160" w:line="360" w:lineRule="atLeast"/>
        <w:rPr>
          <w:rFonts w:ascii="Arial" w:hAnsi="Arial" w:cs="Arial"/>
          <w:sz w:val="22"/>
          <w:szCs w:val="22"/>
        </w:rPr>
      </w:pPr>
      <w:r>
        <w:rPr>
          <w:rFonts w:ascii="Arial" w:hAnsi="Arial" w:cs="Arial"/>
          <w:sz w:val="22"/>
          <w:szCs w:val="22"/>
        </w:rPr>
        <w:t>Syncope (fainting) can occur following, or even before, any vaccination as a psychogenic response to the needle injection. It is important that procedures are in place to avoid injury from faints.</w:t>
      </w:r>
    </w:p>
    <w:p w:rsidR="002D685B" w:rsidRPr="002D685B" w:rsidRDefault="002D685B" w:rsidP="004722AC">
      <w:pPr>
        <w:spacing w:after="160" w:line="360" w:lineRule="atLeast"/>
        <w:jc w:val="both"/>
        <w:rPr>
          <w:rFonts w:ascii="Arial" w:hAnsi="Arial"/>
          <w:sz w:val="22"/>
        </w:rPr>
      </w:pPr>
      <w:r>
        <w:rPr>
          <w:rFonts w:ascii="Arial" w:hAnsi="Arial"/>
          <w:sz w:val="22"/>
        </w:rPr>
        <w:t xml:space="preserve">There are limited data are available from </w:t>
      </w:r>
      <w:r w:rsidR="00E74AFA">
        <w:rPr>
          <w:rFonts w:ascii="Arial" w:hAnsi="Arial"/>
          <w:i/>
          <w:sz w:val="22"/>
        </w:rPr>
        <w:t xml:space="preserve">PANDEMRIX </w:t>
      </w:r>
      <w:r w:rsidR="00E74AFA" w:rsidRPr="00E74AFA">
        <w:rPr>
          <w:rFonts w:ascii="Arial" w:hAnsi="Arial"/>
          <w:i/>
          <w:sz w:val="22"/>
        </w:rPr>
        <w:t>H1N1</w:t>
      </w:r>
      <w:r w:rsidR="00E74AFA">
        <w:rPr>
          <w:rFonts w:ascii="Arial" w:hAnsi="Arial"/>
          <w:sz w:val="22"/>
        </w:rPr>
        <w:t xml:space="preserve"> </w:t>
      </w:r>
      <w:r>
        <w:rPr>
          <w:rFonts w:ascii="Arial" w:hAnsi="Arial"/>
          <w:sz w:val="22"/>
        </w:rPr>
        <w:t>in adults a</w:t>
      </w:r>
      <w:r w:rsidR="00333C64">
        <w:rPr>
          <w:rFonts w:ascii="Arial" w:hAnsi="Arial"/>
          <w:sz w:val="22"/>
        </w:rPr>
        <w:t>g</w:t>
      </w:r>
      <w:r>
        <w:rPr>
          <w:rFonts w:ascii="Arial" w:hAnsi="Arial"/>
          <w:sz w:val="22"/>
        </w:rPr>
        <w:t xml:space="preserve">ed over 60 years and very limited data </w:t>
      </w:r>
      <w:r w:rsidR="00333C64">
        <w:rPr>
          <w:rFonts w:ascii="Arial" w:hAnsi="Arial"/>
          <w:sz w:val="22"/>
        </w:rPr>
        <w:t xml:space="preserve">with </w:t>
      </w:r>
      <w:r w:rsidR="00333C64">
        <w:rPr>
          <w:rFonts w:ascii="Arial" w:hAnsi="Arial"/>
          <w:i/>
          <w:sz w:val="22"/>
        </w:rPr>
        <w:t xml:space="preserve">PANDEMRIX </w:t>
      </w:r>
      <w:r w:rsidR="00E74AFA" w:rsidRPr="00E74AFA">
        <w:rPr>
          <w:rFonts w:ascii="Arial" w:hAnsi="Arial"/>
          <w:i/>
          <w:sz w:val="22"/>
        </w:rPr>
        <w:t>H1N1</w:t>
      </w:r>
      <w:r w:rsidR="00333C64">
        <w:rPr>
          <w:rFonts w:ascii="Arial" w:hAnsi="Arial"/>
          <w:sz w:val="22"/>
        </w:rPr>
        <w:t xml:space="preserve"> or with a version of the vaccine containing H1N1 antigen </w:t>
      </w:r>
      <w:r>
        <w:rPr>
          <w:rFonts w:ascii="Arial" w:hAnsi="Arial"/>
          <w:sz w:val="22"/>
        </w:rPr>
        <w:t>in adults aged over 80 years.</w:t>
      </w:r>
    </w:p>
    <w:p w:rsidR="00B20C9C" w:rsidRDefault="00E77FC5" w:rsidP="004722AC">
      <w:pPr>
        <w:pStyle w:val="NormalWeb"/>
        <w:spacing w:before="0" w:beforeAutospacing="0" w:after="160" w:line="360" w:lineRule="atLeast"/>
        <w:rPr>
          <w:rFonts w:ascii="Arial" w:hAnsi="Arial" w:cs="Arial"/>
          <w:sz w:val="22"/>
          <w:szCs w:val="22"/>
        </w:rPr>
      </w:pPr>
      <w:r w:rsidRPr="00E77FC5">
        <w:rPr>
          <w:rFonts w:ascii="Arial" w:hAnsi="Arial" w:cs="Arial"/>
          <w:sz w:val="22"/>
          <w:szCs w:val="22"/>
        </w:rPr>
        <w:t xml:space="preserve">There are no safety and immunogenicity data available from clinical studies with </w:t>
      </w:r>
      <w:r w:rsidR="00830E16">
        <w:rPr>
          <w:rFonts w:ascii="Arial" w:hAnsi="Arial"/>
          <w:i/>
          <w:sz w:val="22"/>
        </w:rPr>
        <w:t xml:space="preserve">PANDEMRIX </w:t>
      </w:r>
      <w:r w:rsidR="00830E16" w:rsidRPr="00E74AFA">
        <w:rPr>
          <w:rFonts w:ascii="Arial" w:hAnsi="Arial"/>
          <w:i/>
          <w:sz w:val="22"/>
        </w:rPr>
        <w:t>H1N1</w:t>
      </w:r>
      <w:r w:rsidR="00830E16">
        <w:rPr>
          <w:rFonts w:ascii="Arial" w:hAnsi="Arial"/>
          <w:sz w:val="22"/>
        </w:rPr>
        <w:t xml:space="preserve"> </w:t>
      </w:r>
      <w:r w:rsidRPr="00E77FC5">
        <w:rPr>
          <w:rFonts w:ascii="Arial" w:hAnsi="Arial" w:cs="Arial"/>
          <w:sz w:val="22"/>
          <w:szCs w:val="22"/>
        </w:rPr>
        <w:t xml:space="preserve">in children aged less than 6 months. Vaccination is not recommended in this age group. </w:t>
      </w:r>
    </w:p>
    <w:p w:rsidR="00B20C9C" w:rsidRDefault="00E77FC5" w:rsidP="004722AC">
      <w:pPr>
        <w:pStyle w:val="NormalWeb"/>
        <w:spacing w:before="0" w:beforeAutospacing="0" w:after="160" w:line="360" w:lineRule="atLeast"/>
        <w:rPr>
          <w:rFonts w:ascii="Arial" w:hAnsi="Arial" w:cs="Arial"/>
          <w:sz w:val="22"/>
          <w:szCs w:val="22"/>
        </w:rPr>
      </w:pPr>
      <w:r w:rsidRPr="00E77FC5">
        <w:rPr>
          <w:rFonts w:ascii="Arial" w:hAnsi="Arial" w:cs="Arial"/>
          <w:sz w:val="22"/>
          <w:szCs w:val="22"/>
        </w:rPr>
        <w:t xml:space="preserve">In children aged 6 to 35 months (N=51) who received two doses of 0.25 ml (half of the adult dose) with an interval of 3 weeks between doses there was an increase in the rates of injection site reactions and general symptoms after the second dose (see </w:t>
      </w:r>
      <w:r w:rsidR="003159E9" w:rsidRPr="001F6E13">
        <w:rPr>
          <w:rFonts w:ascii="Arial" w:hAnsi="Arial" w:cs="Arial"/>
          <w:sz w:val="22"/>
          <w:szCs w:val="22"/>
        </w:rPr>
        <w:t>ADVERSE REACTIONS</w:t>
      </w:r>
      <w:r w:rsidRPr="00E77FC5">
        <w:rPr>
          <w:rFonts w:ascii="Arial" w:hAnsi="Arial" w:cs="Arial"/>
          <w:sz w:val="22"/>
          <w:szCs w:val="22"/>
        </w:rPr>
        <w:t xml:space="preserve">). In particular rates of fever (axillary temperature </w:t>
      </w:r>
      <w:r w:rsidR="004722AC">
        <w:rPr>
          <w:rFonts w:ascii="Arial" w:hAnsi="Arial" w:cs="Arial"/>
          <w:noProof/>
          <w:sz w:val="22"/>
          <w:szCs w:val="22"/>
        </w:rPr>
        <w:sym w:font="Symbol" w:char="F0B3"/>
      </w:r>
      <w:r w:rsidRPr="00E77FC5">
        <w:rPr>
          <w:rFonts w:ascii="Arial" w:hAnsi="Arial" w:cs="Arial"/>
          <w:sz w:val="22"/>
          <w:szCs w:val="22"/>
        </w:rPr>
        <w:t xml:space="preserve">38°C) increased considerably after the second dose. Therefore, monitoring of temperature </w:t>
      </w:r>
      <w:r w:rsidR="003159E9">
        <w:rPr>
          <w:rFonts w:ascii="Arial" w:hAnsi="Arial" w:cs="Arial"/>
          <w:sz w:val="22"/>
          <w:szCs w:val="22"/>
        </w:rPr>
        <w:t>is</w:t>
      </w:r>
      <w:r w:rsidRPr="00E77FC5">
        <w:rPr>
          <w:rFonts w:ascii="Arial" w:hAnsi="Arial" w:cs="Arial"/>
          <w:sz w:val="22"/>
          <w:szCs w:val="22"/>
        </w:rPr>
        <w:t xml:space="preserve"> recommended in young children </w:t>
      </w:r>
      <w:r w:rsidR="003159E9">
        <w:rPr>
          <w:rFonts w:ascii="Arial" w:hAnsi="Arial" w:cs="Arial"/>
          <w:sz w:val="22"/>
          <w:szCs w:val="22"/>
        </w:rPr>
        <w:t>post vaccination</w:t>
      </w:r>
      <w:r w:rsidRPr="00E77FC5">
        <w:rPr>
          <w:rFonts w:ascii="Arial" w:hAnsi="Arial" w:cs="Arial"/>
          <w:sz w:val="22"/>
          <w:szCs w:val="22"/>
        </w:rPr>
        <w:t>.</w:t>
      </w:r>
    </w:p>
    <w:p w:rsidR="0091140D" w:rsidRDefault="00E77FC5" w:rsidP="004722AC">
      <w:pPr>
        <w:spacing w:after="160" w:line="360" w:lineRule="atLeast"/>
        <w:jc w:val="both"/>
        <w:rPr>
          <w:rFonts w:ascii="Arial" w:hAnsi="Arial" w:cs="Arial"/>
          <w:iCs/>
          <w:sz w:val="22"/>
          <w:szCs w:val="22"/>
        </w:rPr>
      </w:pPr>
      <w:r w:rsidRPr="00E77FC5">
        <w:rPr>
          <w:rFonts w:ascii="Arial" w:hAnsi="Arial" w:cs="Arial"/>
          <w:iCs/>
          <w:sz w:val="22"/>
          <w:szCs w:val="22"/>
        </w:rPr>
        <w:t xml:space="preserve">Epidemiological studies relating to Pandemrix in </w:t>
      </w:r>
      <w:r w:rsidR="0091140D">
        <w:rPr>
          <w:rFonts w:ascii="Arial" w:hAnsi="Arial" w:cs="Arial"/>
          <w:iCs/>
          <w:sz w:val="22"/>
          <w:szCs w:val="22"/>
        </w:rPr>
        <w:t>some EU</w:t>
      </w:r>
      <w:r w:rsidRPr="00E77FC5">
        <w:rPr>
          <w:rFonts w:ascii="Arial" w:hAnsi="Arial" w:cs="Arial"/>
          <w:iCs/>
          <w:sz w:val="22"/>
          <w:szCs w:val="22"/>
        </w:rPr>
        <w:t xml:space="preserve"> countries have indicated a six- to 13-fold increased risk of narcolepsy with or without cataplexy in vaccinated as compared with </w:t>
      </w:r>
      <w:r w:rsidRPr="00E77FC5">
        <w:rPr>
          <w:rFonts w:ascii="Arial" w:hAnsi="Arial" w:cs="Arial"/>
          <w:iCs/>
          <w:sz w:val="22"/>
          <w:szCs w:val="22"/>
        </w:rPr>
        <w:lastRenderedPageBreak/>
        <w:t>unvaccinated children/adolescents</w:t>
      </w:r>
      <w:r w:rsidR="0091140D">
        <w:rPr>
          <w:rFonts w:ascii="Arial" w:hAnsi="Arial" w:cs="Arial"/>
          <w:iCs/>
          <w:sz w:val="22"/>
          <w:szCs w:val="22"/>
        </w:rPr>
        <w:t xml:space="preserve">. </w:t>
      </w:r>
      <w:r w:rsidRPr="00E77FC5">
        <w:rPr>
          <w:rFonts w:ascii="Arial" w:hAnsi="Arial" w:cs="Arial"/>
          <w:iCs/>
          <w:sz w:val="22"/>
          <w:szCs w:val="22"/>
        </w:rPr>
        <w:t>This risk increase has not been found</w:t>
      </w:r>
      <w:r w:rsidR="004722AC">
        <w:rPr>
          <w:rFonts w:ascii="Arial" w:hAnsi="Arial" w:cs="Arial"/>
          <w:iCs/>
          <w:sz w:val="22"/>
          <w:szCs w:val="22"/>
        </w:rPr>
        <w:t xml:space="preserve"> in adults older than 20 years.</w:t>
      </w:r>
    </w:p>
    <w:p w:rsidR="0079128A" w:rsidRDefault="0079128A" w:rsidP="004722AC">
      <w:pPr>
        <w:spacing w:after="160" w:line="360" w:lineRule="atLeast"/>
        <w:jc w:val="both"/>
        <w:rPr>
          <w:rFonts w:ascii="Arial" w:hAnsi="Arial"/>
          <w:sz w:val="22"/>
        </w:rPr>
      </w:pPr>
      <w:r w:rsidRPr="0079128A">
        <w:rPr>
          <w:rFonts w:ascii="Arial" w:hAnsi="Arial"/>
          <w:sz w:val="22"/>
        </w:rPr>
        <w:t>There</w:t>
      </w:r>
      <w:r>
        <w:rPr>
          <w:rFonts w:ascii="Arial" w:hAnsi="Arial"/>
          <w:sz w:val="22"/>
        </w:rPr>
        <w:t xml:space="preserve"> are no safety, immunogenicity or efficacy data to support interchangeability of </w:t>
      </w:r>
      <w:r>
        <w:rPr>
          <w:rFonts w:ascii="Arial" w:hAnsi="Arial"/>
          <w:i/>
          <w:sz w:val="22"/>
        </w:rPr>
        <w:t>PANDEMRIX</w:t>
      </w:r>
      <w:r w:rsidR="00830E16">
        <w:rPr>
          <w:rFonts w:ascii="Arial" w:hAnsi="Arial"/>
          <w:i/>
          <w:sz w:val="22"/>
        </w:rPr>
        <w:t xml:space="preserve"> H1N1 </w:t>
      </w:r>
      <w:r>
        <w:rPr>
          <w:rFonts w:ascii="Arial" w:hAnsi="Arial"/>
          <w:sz w:val="22"/>
        </w:rPr>
        <w:t>with other H1N1 pandemic vaccines.</w:t>
      </w:r>
    </w:p>
    <w:p w:rsidR="00333C64" w:rsidRDefault="00333C64">
      <w:pPr>
        <w:spacing w:line="360" w:lineRule="atLeast"/>
        <w:jc w:val="both"/>
        <w:rPr>
          <w:rFonts w:ascii="Arial" w:hAnsi="Arial"/>
          <w:b/>
          <w:sz w:val="22"/>
        </w:rPr>
      </w:pPr>
      <w:r>
        <w:rPr>
          <w:rFonts w:ascii="Arial" w:hAnsi="Arial"/>
          <w:b/>
          <w:sz w:val="22"/>
        </w:rPr>
        <w:t>Effects on Fertility:</w:t>
      </w:r>
    </w:p>
    <w:p w:rsidR="00333C64" w:rsidRDefault="00333C64" w:rsidP="004722AC">
      <w:pPr>
        <w:spacing w:after="160" w:line="360" w:lineRule="atLeast"/>
        <w:jc w:val="both"/>
        <w:rPr>
          <w:rFonts w:ascii="Arial" w:hAnsi="Arial"/>
          <w:i/>
          <w:sz w:val="22"/>
        </w:rPr>
      </w:pPr>
      <w:r>
        <w:rPr>
          <w:rFonts w:ascii="Arial" w:hAnsi="Arial"/>
          <w:sz w:val="22"/>
        </w:rPr>
        <w:t xml:space="preserve">There were no effects on the mating performance or fertility of female rats in a reproductive and developmental toxicity study in which rats were intramuscularly injected with </w:t>
      </w:r>
      <w:r w:rsidR="00E74AFA">
        <w:rPr>
          <w:rFonts w:ascii="Arial" w:hAnsi="Arial"/>
          <w:sz w:val="22"/>
        </w:rPr>
        <w:t>Pandemrix</w:t>
      </w:r>
      <w:r>
        <w:rPr>
          <w:rFonts w:ascii="Arial" w:hAnsi="Arial"/>
          <w:i/>
          <w:sz w:val="22"/>
        </w:rPr>
        <w:t xml:space="preserve"> </w:t>
      </w:r>
      <w:r w:rsidR="00E74AFA">
        <w:rPr>
          <w:rFonts w:ascii="Arial" w:hAnsi="Arial"/>
          <w:sz w:val="22"/>
        </w:rPr>
        <w:t>H5N1</w:t>
      </w:r>
      <w:r>
        <w:rPr>
          <w:rFonts w:ascii="Arial" w:hAnsi="Arial"/>
          <w:sz w:val="22"/>
        </w:rPr>
        <w:t xml:space="preserve"> 30 days prior to </w:t>
      </w:r>
      <w:r w:rsidR="00A23674">
        <w:rPr>
          <w:rFonts w:ascii="Arial" w:hAnsi="Arial"/>
          <w:sz w:val="22"/>
        </w:rPr>
        <w:t xml:space="preserve">mating and on gestation days 6, 8, 11 and 15 (see also </w:t>
      </w:r>
      <w:r w:rsidR="00A23674" w:rsidRPr="00A23674">
        <w:rPr>
          <w:rFonts w:ascii="Arial" w:hAnsi="Arial"/>
          <w:sz w:val="22"/>
        </w:rPr>
        <w:t>Use in Pregnancy</w:t>
      </w:r>
      <w:r w:rsidR="00A23674">
        <w:rPr>
          <w:rFonts w:ascii="Arial" w:hAnsi="Arial"/>
          <w:i/>
          <w:sz w:val="22"/>
        </w:rPr>
        <w:t>).</w:t>
      </w:r>
    </w:p>
    <w:p w:rsidR="00A23674" w:rsidRDefault="00A23674">
      <w:pPr>
        <w:spacing w:line="360" w:lineRule="atLeast"/>
        <w:jc w:val="both"/>
        <w:rPr>
          <w:rFonts w:ascii="Arial" w:hAnsi="Arial"/>
          <w:b/>
          <w:sz w:val="22"/>
        </w:rPr>
      </w:pPr>
      <w:r>
        <w:rPr>
          <w:rFonts w:ascii="Arial" w:hAnsi="Arial"/>
          <w:b/>
          <w:sz w:val="22"/>
        </w:rPr>
        <w:t>Carcinogenicity:</w:t>
      </w:r>
    </w:p>
    <w:p w:rsidR="00A23674" w:rsidRDefault="00A23674" w:rsidP="004722AC">
      <w:pPr>
        <w:spacing w:after="160" w:line="360" w:lineRule="atLeast"/>
        <w:jc w:val="both"/>
        <w:rPr>
          <w:rFonts w:ascii="Arial" w:hAnsi="Arial"/>
          <w:sz w:val="22"/>
        </w:rPr>
      </w:pPr>
      <w:r>
        <w:rPr>
          <w:rFonts w:ascii="Arial" w:hAnsi="Arial"/>
          <w:sz w:val="22"/>
        </w:rPr>
        <w:t xml:space="preserve">No carcinogenicity studies have been conducted with </w:t>
      </w:r>
      <w:r>
        <w:rPr>
          <w:rFonts w:ascii="Arial" w:hAnsi="Arial"/>
          <w:i/>
          <w:sz w:val="22"/>
        </w:rPr>
        <w:t xml:space="preserve">PANDEMRIX </w:t>
      </w:r>
      <w:r>
        <w:rPr>
          <w:rFonts w:ascii="Arial" w:hAnsi="Arial"/>
          <w:sz w:val="22"/>
        </w:rPr>
        <w:t>or AS03 adjuvant.</w:t>
      </w:r>
    </w:p>
    <w:p w:rsidR="00A23674" w:rsidRDefault="00A23674">
      <w:pPr>
        <w:spacing w:line="360" w:lineRule="atLeast"/>
        <w:jc w:val="both"/>
        <w:rPr>
          <w:rFonts w:ascii="Arial" w:hAnsi="Arial"/>
          <w:b/>
          <w:sz w:val="22"/>
        </w:rPr>
      </w:pPr>
      <w:r>
        <w:rPr>
          <w:rFonts w:ascii="Arial" w:hAnsi="Arial"/>
          <w:b/>
          <w:sz w:val="22"/>
        </w:rPr>
        <w:t>Genotoxicity:</w:t>
      </w:r>
    </w:p>
    <w:p w:rsidR="00A23674" w:rsidRDefault="00A23674" w:rsidP="004722AC">
      <w:pPr>
        <w:spacing w:after="160" w:line="360" w:lineRule="atLeast"/>
        <w:jc w:val="both"/>
        <w:rPr>
          <w:rFonts w:ascii="Arial" w:hAnsi="Arial"/>
          <w:sz w:val="22"/>
        </w:rPr>
      </w:pPr>
      <w:r>
        <w:rPr>
          <w:rFonts w:ascii="Arial" w:hAnsi="Arial"/>
          <w:sz w:val="22"/>
        </w:rPr>
        <w:t xml:space="preserve">In standard genotoxicity tests, AS03 adjuvant was not mutagenic in </w:t>
      </w:r>
      <w:r>
        <w:rPr>
          <w:rFonts w:ascii="Arial" w:hAnsi="Arial"/>
          <w:i/>
          <w:sz w:val="22"/>
        </w:rPr>
        <w:t xml:space="preserve">Salmonella typhimurium, E. coli </w:t>
      </w:r>
      <w:r>
        <w:rPr>
          <w:rFonts w:ascii="Arial" w:hAnsi="Arial"/>
          <w:sz w:val="22"/>
        </w:rPr>
        <w:t>WP2</w:t>
      </w:r>
      <w:r>
        <w:rPr>
          <w:rFonts w:ascii="Arial" w:hAnsi="Arial"/>
          <w:i/>
          <w:sz w:val="22"/>
        </w:rPr>
        <w:t>uvr</w:t>
      </w:r>
      <w:r>
        <w:rPr>
          <w:rFonts w:ascii="Arial" w:hAnsi="Arial"/>
          <w:sz w:val="22"/>
        </w:rPr>
        <w:t xml:space="preserve">A or mouse lymphoma L5178Y cells </w:t>
      </w:r>
      <w:r>
        <w:rPr>
          <w:rFonts w:ascii="Arial" w:hAnsi="Arial"/>
          <w:i/>
          <w:sz w:val="22"/>
        </w:rPr>
        <w:t xml:space="preserve">in vitro, </w:t>
      </w:r>
      <w:r>
        <w:rPr>
          <w:rFonts w:ascii="Arial" w:hAnsi="Arial"/>
          <w:sz w:val="22"/>
        </w:rPr>
        <w:t xml:space="preserve">nor did it induce micronuclei in rat bone marrow erythrocytes </w:t>
      </w:r>
      <w:r>
        <w:rPr>
          <w:rFonts w:ascii="Arial" w:hAnsi="Arial"/>
          <w:i/>
          <w:sz w:val="22"/>
        </w:rPr>
        <w:t>in vivo</w:t>
      </w:r>
      <w:r>
        <w:rPr>
          <w:rFonts w:ascii="Arial" w:hAnsi="Arial"/>
          <w:sz w:val="22"/>
        </w:rPr>
        <w:t>.</w:t>
      </w:r>
    </w:p>
    <w:p w:rsidR="009F009F" w:rsidRPr="00EC244E" w:rsidRDefault="009F009F">
      <w:pPr>
        <w:spacing w:line="360" w:lineRule="atLeast"/>
        <w:jc w:val="both"/>
        <w:rPr>
          <w:rFonts w:ascii="Arial" w:hAnsi="Arial"/>
          <w:sz w:val="22"/>
        </w:rPr>
      </w:pPr>
      <w:r w:rsidRPr="00EC244E">
        <w:rPr>
          <w:rFonts w:ascii="Arial" w:hAnsi="Arial"/>
          <w:b/>
          <w:sz w:val="22"/>
        </w:rPr>
        <w:t xml:space="preserve">Use in Pregnancy (Category </w:t>
      </w:r>
      <w:r w:rsidR="0079725D" w:rsidRPr="00EC244E">
        <w:rPr>
          <w:rFonts w:ascii="Arial" w:hAnsi="Arial"/>
          <w:b/>
          <w:sz w:val="22"/>
        </w:rPr>
        <w:t>B2</w:t>
      </w:r>
      <w:r w:rsidRPr="00EC244E">
        <w:rPr>
          <w:rFonts w:ascii="Arial" w:hAnsi="Arial"/>
          <w:b/>
          <w:sz w:val="22"/>
        </w:rPr>
        <w:t>):</w:t>
      </w:r>
    </w:p>
    <w:p w:rsidR="001F579B" w:rsidRDefault="001F579B" w:rsidP="004722AC">
      <w:pPr>
        <w:spacing w:after="160" w:line="360" w:lineRule="atLeast"/>
        <w:rPr>
          <w:rFonts w:ascii="Arial" w:hAnsi="Arial" w:cs="Arial"/>
          <w:sz w:val="22"/>
          <w:szCs w:val="22"/>
        </w:rPr>
      </w:pPr>
      <w:r w:rsidRPr="00EC244E">
        <w:rPr>
          <w:rFonts w:ascii="Arial" w:hAnsi="Arial" w:cs="Arial"/>
          <w:sz w:val="22"/>
          <w:szCs w:val="22"/>
        </w:rPr>
        <w:t xml:space="preserve">No data have been generated in pregnant women with </w:t>
      </w:r>
      <w:r w:rsidR="000E242D" w:rsidRPr="002B41B9">
        <w:rPr>
          <w:rFonts w:ascii="Arial" w:hAnsi="Arial"/>
          <w:i/>
          <w:sz w:val="22"/>
        </w:rPr>
        <w:t>PANDEMRIX</w:t>
      </w:r>
      <w:r w:rsidR="000E242D" w:rsidRPr="00EC244E">
        <w:rPr>
          <w:rFonts w:ascii="Arial" w:hAnsi="Arial" w:cs="Arial"/>
          <w:sz w:val="22"/>
          <w:szCs w:val="22"/>
        </w:rPr>
        <w:t xml:space="preserve"> </w:t>
      </w:r>
      <w:r w:rsidRPr="00EC244E">
        <w:rPr>
          <w:rFonts w:ascii="Arial" w:hAnsi="Arial" w:cs="Arial"/>
          <w:sz w:val="22"/>
          <w:szCs w:val="22"/>
        </w:rPr>
        <w:t xml:space="preserve">and with the AS03 adjuvant contained in the vaccine. </w:t>
      </w:r>
      <w:r w:rsidR="00323A98">
        <w:rPr>
          <w:rFonts w:ascii="Arial" w:hAnsi="Arial" w:cs="Arial"/>
          <w:sz w:val="22"/>
          <w:szCs w:val="22"/>
        </w:rPr>
        <w:t>Data from vaccinations with intrapandemic trivalent vaccines in pregnant women do not indicate that adverse foetal and maternal outcomes were attributable to the vaccine.</w:t>
      </w:r>
    </w:p>
    <w:p w:rsidR="00333C64" w:rsidRPr="00333C64" w:rsidRDefault="00333C64" w:rsidP="004722AC">
      <w:pPr>
        <w:spacing w:after="160" w:line="360" w:lineRule="atLeast"/>
        <w:rPr>
          <w:rFonts w:ascii="Arial" w:hAnsi="Arial" w:cs="Arial"/>
          <w:sz w:val="22"/>
          <w:szCs w:val="22"/>
        </w:rPr>
      </w:pPr>
      <w:r>
        <w:rPr>
          <w:rFonts w:ascii="Arial" w:hAnsi="Arial" w:cs="Arial"/>
          <w:sz w:val="22"/>
          <w:szCs w:val="22"/>
        </w:rPr>
        <w:t xml:space="preserve">In a reproductive and developmental toxicity study in female rats intramuscularly injected with </w:t>
      </w:r>
      <w:r w:rsidR="00E74AFA">
        <w:rPr>
          <w:rFonts w:ascii="Arial" w:hAnsi="Arial"/>
          <w:sz w:val="22"/>
        </w:rPr>
        <w:t>Pandemrix</w:t>
      </w:r>
      <w:r w:rsidR="00E74AFA">
        <w:rPr>
          <w:rFonts w:ascii="Arial" w:hAnsi="Arial"/>
          <w:i/>
          <w:sz w:val="22"/>
        </w:rPr>
        <w:t xml:space="preserve"> </w:t>
      </w:r>
      <w:r w:rsidR="00E74AFA">
        <w:rPr>
          <w:rFonts w:ascii="Arial" w:hAnsi="Arial"/>
          <w:sz w:val="22"/>
        </w:rPr>
        <w:t xml:space="preserve">H5N1 </w:t>
      </w:r>
      <w:r>
        <w:rPr>
          <w:rFonts w:ascii="Arial" w:hAnsi="Arial" w:cs="Arial"/>
          <w:sz w:val="22"/>
          <w:szCs w:val="22"/>
        </w:rPr>
        <w:t>(6</w:t>
      </w:r>
      <w:r w:rsidR="004722AC">
        <w:rPr>
          <w:rFonts w:ascii="Arial" w:hAnsi="Arial" w:cs="Arial"/>
          <w:sz w:val="22"/>
          <w:szCs w:val="22"/>
        </w:rPr>
        <w:sym w:font="Symbol" w:char="F06D"/>
      </w:r>
      <w:r>
        <w:rPr>
          <w:rFonts w:ascii="Arial" w:hAnsi="Arial" w:cs="Arial"/>
          <w:sz w:val="22"/>
          <w:szCs w:val="22"/>
        </w:rPr>
        <w:t>g H5 antigen and 0.1mL AS03 adjuvant), 30 days prior to mating and on gestation days 6, 8, 11 and 15, there were no significant toxicological effects on the dams, or their foetuses or pups. Anti-H5 antibodies were detected in all vaccine-treated females and their foetuses and pups.</w:t>
      </w:r>
    </w:p>
    <w:p w:rsidR="00323A98" w:rsidRPr="00EC244E" w:rsidRDefault="00323A98" w:rsidP="004722AC">
      <w:pPr>
        <w:spacing w:after="160" w:line="360" w:lineRule="atLeast"/>
        <w:rPr>
          <w:rFonts w:ascii="Arial" w:hAnsi="Arial" w:cs="Arial"/>
          <w:sz w:val="22"/>
          <w:szCs w:val="22"/>
        </w:rPr>
      </w:pPr>
      <w:r>
        <w:rPr>
          <w:rFonts w:ascii="Arial" w:hAnsi="Arial" w:cs="Arial"/>
          <w:sz w:val="22"/>
          <w:szCs w:val="22"/>
        </w:rPr>
        <w:t>Healthcare providers need to assess the benefits and potential risks of administering the vaccine to pregnant women.</w:t>
      </w:r>
    </w:p>
    <w:p w:rsidR="009F009F" w:rsidRPr="00EC244E" w:rsidRDefault="009F009F">
      <w:pPr>
        <w:spacing w:line="360" w:lineRule="atLeast"/>
        <w:jc w:val="both"/>
        <w:rPr>
          <w:rFonts w:ascii="Arial" w:hAnsi="Arial"/>
          <w:b/>
          <w:sz w:val="22"/>
        </w:rPr>
      </w:pPr>
      <w:r w:rsidRPr="00EC244E">
        <w:rPr>
          <w:rFonts w:ascii="Arial" w:hAnsi="Arial"/>
          <w:b/>
          <w:sz w:val="22"/>
        </w:rPr>
        <w:t>Use in Lactation:</w:t>
      </w:r>
    </w:p>
    <w:p w:rsidR="0079725D" w:rsidRPr="00EC244E" w:rsidRDefault="0079725D" w:rsidP="004722AC">
      <w:pPr>
        <w:spacing w:after="160" w:line="360" w:lineRule="atLeast"/>
        <w:rPr>
          <w:rFonts w:ascii="Arial" w:hAnsi="Arial" w:cs="Arial"/>
          <w:sz w:val="22"/>
          <w:szCs w:val="22"/>
        </w:rPr>
      </w:pPr>
      <w:r w:rsidRPr="00EC244E">
        <w:rPr>
          <w:rFonts w:ascii="Arial" w:hAnsi="Arial" w:cs="Arial"/>
          <w:sz w:val="22"/>
          <w:szCs w:val="22"/>
        </w:rPr>
        <w:t>No data have been gen</w:t>
      </w:r>
      <w:r w:rsidR="004722AC">
        <w:rPr>
          <w:rFonts w:ascii="Arial" w:hAnsi="Arial" w:cs="Arial"/>
          <w:sz w:val="22"/>
          <w:szCs w:val="22"/>
        </w:rPr>
        <w:t>erated in breast-feeding women.</w:t>
      </w:r>
    </w:p>
    <w:p w:rsidR="00A23674" w:rsidRDefault="00A23674" w:rsidP="004722AC">
      <w:pPr>
        <w:spacing w:after="160" w:line="360" w:lineRule="atLeast"/>
        <w:jc w:val="both"/>
        <w:rPr>
          <w:rFonts w:ascii="Arial" w:hAnsi="Arial"/>
          <w:sz w:val="22"/>
        </w:rPr>
      </w:pPr>
      <w:r w:rsidRPr="00A23674">
        <w:rPr>
          <w:rFonts w:ascii="Arial" w:hAnsi="Arial"/>
          <w:sz w:val="22"/>
        </w:rPr>
        <w:t>In a reproductive and</w:t>
      </w:r>
      <w:r>
        <w:rPr>
          <w:rFonts w:ascii="Arial" w:hAnsi="Arial"/>
          <w:sz w:val="22"/>
        </w:rPr>
        <w:t xml:space="preserve"> developmental toxicity study with </w:t>
      </w:r>
      <w:r w:rsidR="00E74AFA">
        <w:rPr>
          <w:rFonts w:ascii="Arial" w:hAnsi="Arial"/>
          <w:sz w:val="22"/>
        </w:rPr>
        <w:t>Pandemrix</w:t>
      </w:r>
      <w:r w:rsidR="00E74AFA">
        <w:rPr>
          <w:rFonts w:ascii="Arial" w:hAnsi="Arial"/>
          <w:i/>
          <w:sz w:val="22"/>
        </w:rPr>
        <w:t xml:space="preserve"> </w:t>
      </w:r>
      <w:r w:rsidR="00E74AFA">
        <w:rPr>
          <w:rFonts w:ascii="Arial" w:hAnsi="Arial"/>
          <w:sz w:val="22"/>
        </w:rPr>
        <w:t>H5N1</w:t>
      </w:r>
      <w:r>
        <w:rPr>
          <w:rFonts w:ascii="Arial" w:hAnsi="Arial"/>
          <w:i/>
          <w:sz w:val="22"/>
        </w:rPr>
        <w:t xml:space="preserve"> </w:t>
      </w:r>
      <w:r>
        <w:rPr>
          <w:rFonts w:ascii="Arial" w:hAnsi="Arial"/>
          <w:sz w:val="22"/>
        </w:rPr>
        <w:t xml:space="preserve">in female rats, maternal treatment prior to mating and during gestation had no effect on pup bevelopment, assessed to lactation day 25. There was evidence of maternal antibodies to pup (see also </w:t>
      </w:r>
      <w:r w:rsidRPr="00A23674">
        <w:rPr>
          <w:rFonts w:ascii="Arial" w:hAnsi="Arial"/>
          <w:sz w:val="22"/>
        </w:rPr>
        <w:t>Use in Pregnancy</w:t>
      </w:r>
      <w:r>
        <w:rPr>
          <w:rFonts w:ascii="Arial" w:hAnsi="Arial"/>
          <w:sz w:val="22"/>
        </w:rPr>
        <w:t>).</w:t>
      </w:r>
    </w:p>
    <w:p w:rsidR="009F009F" w:rsidRPr="00EC244E" w:rsidRDefault="00D0001B">
      <w:pPr>
        <w:spacing w:line="360" w:lineRule="atLeast"/>
        <w:jc w:val="both"/>
        <w:rPr>
          <w:rFonts w:ascii="Arial" w:hAnsi="Arial"/>
          <w:b/>
          <w:sz w:val="22"/>
        </w:rPr>
      </w:pPr>
      <w:r w:rsidRPr="00EC244E">
        <w:rPr>
          <w:rFonts w:ascii="Arial" w:hAnsi="Arial"/>
          <w:b/>
          <w:sz w:val="22"/>
        </w:rPr>
        <w:t>INTERACTIONS</w:t>
      </w:r>
      <w:r>
        <w:rPr>
          <w:rFonts w:ascii="Arial" w:hAnsi="Arial"/>
          <w:b/>
          <w:sz w:val="22"/>
        </w:rPr>
        <w:t xml:space="preserve"> WITH OTHER MEDICINES</w:t>
      </w:r>
    </w:p>
    <w:p w:rsidR="0079725D" w:rsidRPr="00EC244E" w:rsidRDefault="0079725D" w:rsidP="004722AC">
      <w:pPr>
        <w:spacing w:after="160" w:line="360" w:lineRule="atLeast"/>
        <w:rPr>
          <w:rFonts w:ascii="Arial" w:hAnsi="Arial" w:cs="Arial"/>
          <w:sz w:val="22"/>
          <w:szCs w:val="22"/>
        </w:rPr>
      </w:pPr>
      <w:r w:rsidRPr="00EC244E">
        <w:rPr>
          <w:rFonts w:ascii="Arial" w:hAnsi="Arial" w:cs="Arial"/>
          <w:sz w:val="22"/>
          <w:szCs w:val="22"/>
        </w:rPr>
        <w:t xml:space="preserve">No data are available on the concomitant administration of </w:t>
      </w:r>
      <w:r w:rsidR="000E242D" w:rsidRPr="002B41B9">
        <w:rPr>
          <w:rFonts w:ascii="Arial" w:hAnsi="Arial"/>
          <w:i/>
          <w:sz w:val="22"/>
        </w:rPr>
        <w:t>PANDEMRIX</w:t>
      </w:r>
      <w:r w:rsidRPr="00EC244E">
        <w:rPr>
          <w:rFonts w:ascii="Arial" w:hAnsi="Arial" w:cs="Arial"/>
          <w:sz w:val="22"/>
          <w:szCs w:val="22"/>
        </w:rPr>
        <w:t xml:space="preserve"> with other vaccines.  Therefore, </w:t>
      </w:r>
      <w:r w:rsidR="00EE453E">
        <w:rPr>
          <w:rFonts w:ascii="Arial" w:hAnsi="Arial" w:cs="Arial"/>
          <w:sz w:val="22"/>
          <w:szCs w:val="22"/>
        </w:rPr>
        <w:t xml:space="preserve">co-administration of </w:t>
      </w:r>
      <w:r w:rsidR="000E242D" w:rsidRPr="002B41B9">
        <w:rPr>
          <w:rFonts w:ascii="Arial" w:hAnsi="Arial"/>
          <w:i/>
          <w:sz w:val="22"/>
        </w:rPr>
        <w:t>PANDEMRIX</w:t>
      </w:r>
      <w:r w:rsidR="000E242D">
        <w:rPr>
          <w:rFonts w:ascii="Arial" w:hAnsi="Arial"/>
          <w:i/>
          <w:sz w:val="22"/>
        </w:rPr>
        <w:t xml:space="preserve"> </w:t>
      </w:r>
      <w:r w:rsidRPr="00EC244E">
        <w:rPr>
          <w:rFonts w:ascii="Arial" w:hAnsi="Arial" w:cs="Arial"/>
          <w:sz w:val="22"/>
          <w:szCs w:val="22"/>
        </w:rPr>
        <w:t xml:space="preserve">is not </w:t>
      </w:r>
      <w:r w:rsidR="00EE453E">
        <w:rPr>
          <w:rFonts w:ascii="Arial" w:hAnsi="Arial" w:cs="Arial"/>
          <w:sz w:val="22"/>
          <w:szCs w:val="22"/>
        </w:rPr>
        <w:t>recommended</w:t>
      </w:r>
    </w:p>
    <w:p w:rsidR="0079725D" w:rsidRPr="00EC244E" w:rsidRDefault="0079725D" w:rsidP="004722AC">
      <w:pPr>
        <w:spacing w:after="160" w:line="360" w:lineRule="atLeast"/>
        <w:rPr>
          <w:rFonts w:ascii="Arial" w:hAnsi="Arial" w:cs="Arial"/>
          <w:sz w:val="22"/>
          <w:szCs w:val="22"/>
        </w:rPr>
      </w:pPr>
      <w:r w:rsidRPr="00EC244E">
        <w:rPr>
          <w:rFonts w:ascii="Arial" w:hAnsi="Arial" w:cs="Arial"/>
          <w:sz w:val="22"/>
          <w:szCs w:val="22"/>
        </w:rPr>
        <w:lastRenderedPageBreak/>
        <w:t xml:space="preserve">However, if co-administration with another vaccine is </w:t>
      </w:r>
      <w:r w:rsidR="00EE453E">
        <w:rPr>
          <w:rFonts w:ascii="Arial" w:hAnsi="Arial" w:cs="Arial"/>
          <w:sz w:val="22"/>
          <w:szCs w:val="22"/>
        </w:rPr>
        <w:t>deemed necessary following benefit/risk assessment</w:t>
      </w:r>
      <w:r w:rsidRPr="00EC244E">
        <w:rPr>
          <w:rFonts w:ascii="Arial" w:hAnsi="Arial" w:cs="Arial"/>
          <w:sz w:val="22"/>
          <w:szCs w:val="22"/>
        </w:rPr>
        <w:t>, immunisation should be carried out on separate limbs.</w:t>
      </w:r>
      <w:r w:rsidR="00EE453E">
        <w:rPr>
          <w:rFonts w:ascii="Arial" w:hAnsi="Arial" w:cs="Arial"/>
          <w:sz w:val="22"/>
          <w:szCs w:val="22"/>
        </w:rPr>
        <w:t xml:space="preserve"> In such cases,</w:t>
      </w:r>
      <w:r w:rsidRPr="00EC244E">
        <w:rPr>
          <w:rFonts w:ascii="Arial" w:hAnsi="Arial" w:cs="Arial"/>
          <w:sz w:val="22"/>
          <w:szCs w:val="22"/>
        </w:rPr>
        <w:t xml:space="preserve"> </w:t>
      </w:r>
      <w:r w:rsidR="00EE453E">
        <w:rPr>
          <w:rFonts w:ascii="Arial" w:hAnsi="Arial" w:cs="Arial"/>
          <w:sz w:val="22"/>
          <w:szCs w:val="22"/>
        </w:rPr>
        <w:t>i</w:t>
      </w:r>
      <w:r w:rsidRPr="00EC244E">
        <w:rPr>
          <w:rFonts w:ascii="Arial" w:hAnsi="Arial" w:cs="Arial"/>
          <w:sz w:val="22"/>
          <w:szCs w:val="22"/>
        </w:rPr>
        <w:t>t should be noted that the adverse reactions may be intensified.</w:t>
      </w:r>
    </w:p>
    <w:p w:rsidR="0079725D" w:rsidRPr="00EC244E" w:rsidRDefault="0079725D" w:rsidP="004722AC">
      <w:pPr>
        <w:spacing w:after="160" w:line="360" w:lineRule="atLeast"/>
        <w:rPr>
          <w:rFonts w:ascii="Arial" w:hAnsi="Arial" w:cs="Arial"/>
          <w:sz w:val="22"/>
          <w:szCs w:val="22"/>
        </w:rPr>
      </w:pPr>
      <w:r w:rsidRPr="00EC244E">
        <w:rPr>
          <w:rFonts w:ascii="Arial" w:hAnsi="Arial" w:cs="Arial"/>
          <w:sz w:val="22"/>
          <w:szCs w:val="22"/>
        </w:rPr>
        <w:t>The immunological response may be diminished if the patient is undergoing immunosuppressant treatment.</w:t>
      </w:r>
    </w:p>
    <w:p w:rsidR="00323A98" w:rsidRPr="00323A98" w:rsidRDefault="00323A98" w:rsidP="004722AC">
      <w:pPr>
        <w:spacing w:after="160" w:line="360" w:lineRule="atLeast"/>
        <w:rPr>
          <w:rFonts w:ascii="Arial" w:hAnsi="Arial" w:cs="Arial"/>
          <w:sz w:val="22"/>
          <w:szCs w:val="22"/>
          <w:lang w:val="en-GB"/>
        </w:rPr>
      </w:pPr>
      <w:r w:rsidRPr="00323A98">
        <w:rPr>
          <w:rFonts w:ascii="Arial" w:hAnsi="Arial" w:cs="Arial"/>
          <w:sz w:val="22"/>
          <w:szCs w:val="22"/>
          <w:lang w:val="en-GB"/>
        </w:rPr>
        <w:t>False positive ELISA serologic tests for HIV-1, Hepatitis C, and especially HTLV-1 may occur following influenza vaccination.  These transient false-positive results may be due to cross-reactive IgM elicited by the vaccine. For this reason, a definitive diagnosis of HIV-1, Hepatitis C, or HTLV-1 infection requires a positive result from a virus-specific confirmatory test (e.g,Western Blot or immunoblot).</w:t>
      </w:r>
    </w:p>
    <w:p w:rsidR="009F009F" w:rsidRPr="00EC244E" w:rsidRDefault="009F009F" w:rsidP="004722AC">
      <w:pPr>
        <w:pStyle w:val="Heading2"/>
        <w:spacing w:after="160"/>
        <w:rPr>
          <w:rFonts w:ascii="Arial" w:hAnsi="Arial"/>
          <w:sz w:val="22"/>
        </w:rPr>
      </w:pPr>
      <w:r w:rsidRPr="00EC244E">
        <w:rPr>
          <w:rFonts w:ascii="Arial" w:hAnsi="Arial"/>
          <w:sz w:val="22"/>
        </w:rPr>
        <w:t>AD</w:t>
      </w:r>
      <w:smartTag w:uri="schemas-GSKSiteLocations-com/fourthcoffee" w:element="flavor">
        <w:r w:rsidRPr="00EC244E">
          <w:rPr>
            <w:rFonts w:ascii="Arial" w:hAnsi="Arial"/>
            <w:sz w:val="22"/>
          </w:rPr>
          <w:t>VER</w:t>
        </w:r>
      </w:smartTag>
      <w:r w:rsidRPr="00EC244E">
        <w:rPr>
          <w:rFonts w:ascii="Arial" w:hAnsi="Arial"/>
          <w:sz w:val="22"/>
        </w:rPr>
        <w:t>SE REACTIONS</w:t>
      </w:r>
    </w:p>
    <w:p w:rsidR="009F009F" w:rsidRPr="00EC244E" w:rsidRDefault="009F009F" w:rsidP="004722AC">
      <w:pPr>
        <w:spacing w:after="160" w:line="360" w:lineRule="atLeast"/>
        <w:jc w:val="both"/>
        <w:rPr>
          <w:rFonts w:ascii="Arial" w:hAnsi="Arial"/>
          <w:b/>
          <w:sz w:val="22"/>
          <w:u w:val="single"/>
        </w:rPr>
      </w:pPr>
      <w:r w:rsidRPr="00EC244E">
        <w:rPr>
          <w:rFonts w:ascii="Arial" w:hAnsi="Arial"/>
          <w:b/>
          <w:sz w:val="22"/>
          <w:u w:val="single"/>
        </w:rPr>
        <w:t>Clinical Trial Experience</w:t>
      </w:r>
    </w:p>
    <w:p w:rsidR="0091140D" w:rsidRPr="00D624A5" w:rsidRDefault="00E77FC5" w:rsidP="0091140D">
      <w:pPr>
        <w:rPr>
          <w:rFonts w:ascii="Arial" w:hAnsi="Arial" w:cs="Arial"/>
          <w:b/>
          <w:sz w:val="22"/>
          <w:szCs w:val="22"/>
          <w:u w:val="single"/>
        </w:rPr>
      </w:pPr>
      <w:r w:rsidRPr="00E77FC5">
        <w:rPr>
          <w:rFonts w:ascii="Arial" w:hAnsi="Arial" w:cs="Arial"/>
          <w:b/>
          <w:sz w:val="22"/>
          <w:szCs w:val="22"/>
          <w:u w:val="single"/>
        </w:rPr>
        <w:t>Adults aged 18 years and above</w:t>
      </w:r>
    </w:p>
    <w:p w:rsidR="00B20C9C" w:rsidRDefault="00E77FC5" w:rsidP="004722AC">
      <w:pPr>
        <w:spacing w:after="160" w:line="360" w:lineRule="atLeast"/>
        <w:rPr>
          <w:rFonts w:ascii="Arial" w:hAnsi="Arial" w:cs="Arial"/>
          <w:sz w:val="22"/>
          <w:szCs w:val="22"/>
        </w:rPr>
      </w:pPr>
      <w:r w:rsidRPr="00E77FC5">
        <w:rPr>
          <w:rFonts w:ascii="Arial" w:hAnsi="Arial" w:cs="Arial"/>
          <w:sz w:val="22"/>
          <w:szCs w:val="22"/>
        </w:rPr>
        <w:t xml:space="preserve">Clinical studies have evaluated the incidence of adverse reactions listed below in </w:t>
      </w:r>
      <w:r w:rsidRPr="00E77FC5">
        <w:rPr>
          <w:rFonts w:ascii="Arial" w:hAnsi="Arial" w:cs="Arial"/>
          <w:i/>
          <w:sz w:val="22"/>
          <w:szCs w:val="22"/>
        </w:rPr>
        <w:t>more than 1,000</w:t>
      </w:r>
      <w:r w:rsidRPr="00E77FC5">
        <w:rPr>
          <w:rFonts w:ascii="Arial" w:hAnsi="Arial" w:cs="Arial"/>
          <w:sz w:val="22"/>
          <w:szCs w:val="22"/>
        </w:rPr>
        <w:t xml:space="preserve"> subjects 18 years old and above who received </w:t>
      </w:r>
      <w:r w:rsidRPr="00E77FC5">
        <w:rPr>
          <w:rFonts w:ascii="Arial" w:hAnsi="Arial" w:cs="Arial"/>
          <w:i/>
          <w:sz w:val="22"/>
          <w:szCs w:val="22"/>
        </w:rPr>
        <w:t>Pandemrix H1N1</w:t>
      </w:r>
      <w:r w:rsidRPr="00E77FC5">
        <w:rPr>
          <w:rFonts w:ascii="Arial" w:hAnsi="Arial" w:cs="Arial"/>
          <w:sz w:val="22"/>
          <w:szCs w:val="22"/>
        </w:rPr>
        <w:t xml:space="preserve">. </w:t>
      </w:r>
    </w:p>
    <w:p w:rsidR="00B20C9C" w:rsidRDefault="00E77FC5">
      <w:pPr>
        <w:spacing w:line="360" w:lineRule="atLeast"/>
        <w:rPr>
          <w:rFonts w:ascii="Arial" w:hAnsi="Arial" w:cs="Arial"/>
          <w:snapToGrid w:val="0"/>
          <w:sz w:val="22"/>
          <w:szCs w:val="22"/>
        </w:rPr>
      </w:pPr>
      <w:r w:rsidRPr="00E77FC5">
        <w:rPr>
          <w:rFonts w:ascii="Arial" w:hAnsi="Arial" w:cs="Arial"/>
          <w:snapToGrid w:val="0"/>
          <w:sz w:val="22"/>
          <w:szCs w:val="22"/>
        </w:rPr>
        <w:t>Adverse reactions reported are listed according to the following frequency:</w:t>
      </w:r>
    </w:p>
    <w:p w:rsidR="00B20C9C" w:rsidRDefault="00E77FC5">
      <w:pPr>
        <w:spacing w:line="360" w:lineRule="atLeast"/>
        <w:rPr>
          <w:rFonts w:ascii="Arial" w:hAnsi="Arial" w:cs="Arial"/>
          <w:snapToGrid w:val="0"/>
          <w:sz w:val="22"/>
          <w:szCs w:val="22"/>
        </w:rPr>
      </w:pPr>
      <w:r w:rsidRPr="00E77FC5">
        <w:rPr>
          <w:rFonts w:ascii="Arial" w:hAnsi="Arial" w:cs="Arial"/>
          <w:snapToGrid w:val="0"/>
          <w:sz w:val="22"/>
          <w:szCs w:val="22"/>
        </w:rPr>
        <w:t xml:space="preserve">Very common </w:t>
      </w:r>
      <w:r w:rsidR="004722AC">
        <w:rPr>
          <w:rFonts w:ascii="Arial" w:hAnsi="Arial" w:cs="Arial"/>
          <w:snapToGrid w:val="0"/>
          <w:sz w:val="22"/>
          <w:szCs w:val="22"/>
        </w:rPr>
        <w:sym w:font="Symbol" w:char="F0B3"/>
      </w:r>
      <w:r w:rsidRPr="00E77FC5">
        <w:rPr>
          <w:rFonts w:ascii="Arial" w:hAnsi="Arial" w:cs="Arial"/>
          <w:snapToGrid w:val="0"/>
          <w:sz w:val="22"/>
          <w:szCs w:val="22"/>
        </w:rPr>
        <w:t>1/10</w:t>
      </w:r>
    </w:p>
    <w:p w:rsidR="00B20C9C" w:rsidRDefault="00E77FC5">
      <w:pPr>
        <w:spacing w:line="360" w:lineRule="atLeast"/>
        <w:rPr>
          <w:rFonts w:ascii="Arial" w:hAnsi="Arial" w:cs="Arial"/>
          <w:snapToGrid w:val="0"/>
          <w:sz w:val="22"/>
          <w:szCs w:val="22"/>
        </w:rPr>
      </w:pPr>
      <w:r w:rsidRPr="00E77FC5">
        <w:rPr>
          <w:rFonts w:ascii="Arial" w:hAnsi="Arial" w:cs="Arial"/>
          <w:snapToGrid w:val="0"/>
          <w:sz w:val="22"/>
          <w:szCs w:val="22"/>
        </w:rPr>
        <w:t xml:space="preserve">Common </w:t>
      </w:r>
      <w:r w:rsidR="004722AC">
        <w:rPr>
          <w:rFonts w:ascii="Arial" w:hAnsi="Arial" w:cs="Arial"/>
          <w:snapToGrid w:val="0"/>
          <w:sz w:val="22"/>
          <w:szCs w:val="22"/>
        </w:rPr>
        <w:sym w:font="Symbol" w:char="F0B3"/>
      </w:r>
      <w:r w:rsidRPr="00E77FC5">
        <w:rPr>
          <w:rFonts w:ascii="Arial" w:hAnsi="Arial" w:cs="Arial"/>
          <w:snapToGrid w:val="0"/>
          <w:sz w:val="22"/>
          <w:szCs w:val="22"/>
        </w:rPr>
        <w:t>1/100 to &lt;1/10</w:t>
      </w:r>
    </w:p>
    <w:p w:rsidR="00B20C9C" w:rsidRDefault="00E77FC5">
      <w:pPr>
        <w:spacing w:line="360" w:lineRule="atLeast"/>
        <w:rPr>
          <w:rFonts w:ascii="Arial" w:hAnsi="Arial" w:cs="Arial"/>
          <w:snapToGrid w:val="0"/>
          <w:sz w:val="22"/>
          <w:szCs w:val="22"/>
        </w:rPr>
      </w:pPr>
      <w:r w:rsidRPr="00E77FC5">
        <w:rPr>
          <w:rFonts w:ascii="Arial" w:hAnsi="Arial" w:cs="Arial"/>
          <w:snapToGrid w:val="0"/>
          <w:sz w:val="22"/>
          <w:szCs w:val="22"/>
        </w:rPr>
        <w:t xml:space="preserve">Uncommon </w:t>
      </w:r>
      <w:r w:rsidR="004722AC">
        <w:rPr>
          <w:rFonts w:ascii="Arial" w:hAnsi="Arial" w:cs="Arial"/>
          <w:snapToGrid w:val="0"/>
          <w:sz w:val="22"/>
          <w:szCs w:val="22"/>
        </w:rPr>
        <w:sym w:font="Symbol" w:char="F0B3"/>
      </w:r>
      <w:r w:rsidRPr="00E77FC5">
        <w:rPr>
          <w:rFonts w:ascii="Arial" w:hAnsi="Arial" w:cs="Arial"/>
          <w:snapToGrid w:val="0"/>
          <w:sz w:val="22"/>
          <w:szCs w:val="22"/>
        </w:rPr>
        <w:t>1/1,000 to &lt;1/100</w:t>
      </w:r>
    </w:p>
    <w:p w:rsidR="00B20C9C" w:rsidRDefault="00E77FC5">
      <w:pPr>
        <w:spacing w:line="360" w:lineRule="atLeast"/>
        <w:rPr>
          <w:rFonts w:ascii="Arial" w:hAnsi="Arial" w:cs="Arial"/>
          <w:snapToGrid w:val="0"/>
          <w:sz w:val="22"/>
          <w:szCs w:val="22"/>
        </w:rPr>
      </w:pPr>
      <w:r w:rsidRPr="00E77FC5">
        <w:rPr>
          <w:rFonts w:ascii="Arial" w:hAnsi="Arial" w:cs="Arial"/>
          <w:snapToGrid w:val="0"/>
          <w:sz w:val="22"/>
          <w:szCs w:val="22"/>
        </w:rPr>
        <w:t xml:space="preserve">Rare </w:t>
      </w:r>
      <w:r w:rsidR="004722AC">
        <w:rPr>
          <w:rFonts w:ascii="Arial" w:hAnsi="Arial" w:cs="Arial"/>
          <w:snapToGrid w:val="0"/>
          <w:sz w:val="22"/>
          <w:szCs w:val="22"/>
        </w:rPr>
        <w:sym w:font="Symbol" w:char="F0B3"/>
      </w:r>
      <w:r w:rsidRPr="00E77FC5">
        <w:rPr>
          <w:rFonts w:ascii="Arial" w:hAnsi="Arial" w:cs="Arial"/>
          <w:snapToGrid w:val="0"/>
          <w:sz w:val="22"/>
          <w:szCs w:val="22"/>
        </w:rPr>
        <w:t>1/10,000 to &lt;1/1,000</w:t>
      </w:r>
    </w:p>
    <w:p w:rsidR="00B20C9C" w:rsidRDefault="00E77FC5">
      <w:pPr>
        <w:spacing w:line="360" w:lineRule="atLeast"/>
        <w:rPr>
          <w:rFonts w:ascii="Arial" w:hAnsi="Arial" w:cs="Arial"/>
          <w:snapToGrid w:val="0"/>
          <w:sz w:val="22"/>
          <w:szCs w:val="22"/>
        </w:rPr>
      </w:pPr>
      <w:r w:rsidRPr="00E77FC5">
        <w:rPr>
          <w:rFonts w:ascii="Arial" w:hAnsi="Arial" w:cs="Arial"/>
          <w:snapToGrid w:val="0"/>
          <w:sz w:val="22"/>
          <w:szCs w:val="22"/>
        </w:rPr>
        <w:t>Very rare &lt;1/10,000</w:t>
      </w:r>
    </w:p>
    <w:p w:rsidR="00B20C9C" w:rsidRDefault="00E77FC5" w:rsidP="004722AC">
      <w:pPr>
        <w:spacing w:after="160" w:line="360" w:lineRule="atLeast"/>
        <w:rPr>
          <w:rFonts w:ascii="Arial" w:hAnsi="Arial" w:cs="Arial"/>
          <w:sz w:val="22"/>
          <w:szCs w:val="22"/>
          <w:u w:val="single"/>
        </w:rPr>
      </w:pPr>
      <w:r w:rsidRPr="00E77FC5">
        <w:rPr>
          <w:rFonts w:ascii="Arial" w:hAnsi="Arial" w:cs="Arial"/>
          <w:snapToGrid w:val="0"/>
          <w:sz w:val="22"/>
          <w:szCs w:val="22"/>
        </w:rPr>
        <w:t>Not known (cannot be estimated from the available data)</w:t>
      </w:r>
    </w:p>
    <w:p w:rsidR="00B20C9C" w:rsidRDefault="00E77FC5">
      <w:pPr>
        <w:spacing w:line="360" w:lineRule="atLeast"/>
        <w:rPr>
          <w:rFonts w:ascii="Arial" w:hAnsi="Arial" w:cs="Arial"/>
          <w:sz w:val="22"/>
          <w:szCs w:val="22"/>
          <w:u w:val="single"/>
        </w:rPr>
      </w:pPr>
      <w:r w:rsidRPr="00E77FC5">
        <w:rPr>
          <w:rFonts w:ascii="Arial" w:hAnsi="Arial" w:cs="Arial"/>
          <w:sz w:val="22"/>
          <w:szCs w:val="22"/>
          <w:u w:val="single"/>
        </w:rPr>
        <w:t>Blood and lymphatic system disorders</w:t>
      </w:r>
    </w:p>
    <w:p w:rsidR="00B20C9C" w:rsidRDefault="00E77FC5" w:rsidP="004722AC">
      <w:pPr>
        <w:spacing w:after="160" w:line="360" w:lineRule="atLeast"/>
        <w:rPr>
          <w:rFonts w:ascii="Arial" w:hAnsi="Arial" w:cs="Arial"/>
          <w:sz w:val="22"/>
          <w:szCs w:val="22"/>
          <w:u w:val="double"/>
        </w:rPr>
      </w:pPr>
      <w:r w:rsidRPr="00E77FC5">
        <w:rPr>
          <w:rFonts w:ascii="Arial" w:hAnsi="Arial" w:cs="Arial"/>
          <w:sz w:val="22"/>
          <w:szCs w:val="22"/>
        </w:rPr>
        <w:t xml:space="preserve">Uncommon: </w:t>
      </w:r>
      <w:r w:rsidR="00291AF8">
        <w:rPr>
          <w:rFonts w:ascii="Arial" w:hAnsi="Arial" w:cs="Arial"/>
          <w:sz w:val="22"/>
          <w:szCs w:val="22"/>
        </w:rPr>
        <w:t xml:space="preserve"> lyphadenopathy </w:t>
      </w:r>
    </w:p>
    <w:p w:rsidR="00B20C9C" w:rsidRDefault="00E77FC5">
      <w:pPr>
        <w:spacing w:line="360" w:lineRule="atLeast"/>
        <w:rPr>
          <w:rFonts w:ascii="Arial" w:hAnsi="Arial" w:cs="Arial"/>
          <w:sz w:val="22"/>
          <w:szCs w:val="22"/>
          <w:u w:val="single"/>
        </w:rPr>
      </w:pPr>
      <w:r w:rsidRPr="00E77FC5">
        <w:rPr>
          <w:rFonts w:ascii="Arial" w:hAnsi="Arial" w:cs="Arial"/>
          <w:sz w:val="22"/>
          <w:szCs w:val="22"/>
          <w:u w:val="single"/>
        </w:rPr>
        <w:t>Psychiatric disorders</w:t>
      </w:r>
    </w:p>
    <w:p w:rsidR="00B20C9C" w:rsidRDefault="00E77FC5" w:rsidP="004722AC">
      <w:pPr>
        <w:spacing w:after="160" w:line="360" w:lineRule="atLeast"/>
        <w:rPr>
          <w:rFonts w:ascii="Arial" w:hAnsi="Arial" w:cs="Arial"/>
          <w:sz w:val="22"/>
          <w:szCs w:val="22"/>
        </w:rPr>
      </w:pPr>
      <w:r w:rsidRPr="00E77FC5">
        <w:rPr>
          <w:rFonts w:ascii="Arial" w:hAnsi="Arial" w:cs="Arial"/>
          <w:sz w:val="22"/>
          <w:szCs w:val="22"/>
        </w:rPr>
        <w:t>Uncommon:</w:t>
      </w:r>
      <w:r w:rsidR="00291AF8">
        <w:rPr>
          <w:rFonts w:ascii="Arial" w:hAnsi="Arial" w:cs="Arial"/>
          <w:sz w:val="22"/>
          <w:szCs w:val="22"/>
        </w:rPr>
        <w:t xml:space="preserve"> insomnia</w:t>
      </w:r>
    </w:p>
    <w:p w:rsidR="00B20C9C" w:rsidRDefault="00E77FC5">
      <w:pPr>
        <w:spacing w:line="360" w:lineRule="atLeast"/>
        <w:rPr>
          <w:rFonts w:ascii="Arial" w:hAnsi="Arial" w:cs="Arial"/>
          <w:sz w:val="22"/>
          <w:szCs w:val="22"/>
          <w:u w:val="single"/>
        </w:rPr>
      </w:pPr>
      <w:r w:rsidRPr="00E77FC5">
        <w:rPr>
          <w:rFonts w:ascii="Arial" w:hAnsi="Arial" w:cs="Arial"/>
          <w:sz w:val="22"/>
          <w:szCs w:val="22"/>
          <w:u w:val="single"/>
        </w:rPr>
        <w:t>Nervous system disorders</w:t>
      </w:r>
    </w:p>
    <w:p w:rsidR="00B20C9C" w:rsidRDefault="00E77FC5">
      <w:pPr>
        <w:spacing w:line="360" w:lineRule="atLeast"/>
        <w:rPr>
          <w:rFonts w:ascii="Arial" w:hAnsi="Arial" w:cs="Arial"/>
          <w:sz w:val="22"/>
          <w:szCs w:val="22"/>
        </w:rPr>
      </w:pPr>
      <w:r w:rsidRPr="00E77FC5">
        <w:rPr>
          <w:rFonts w:ascii="Arial" w:hAnsi="Arial" w:cs="Arial"/>
          <w:sz w:val="22"/>
          <w:szCs w:val="22"/>
        </w:rPr>
        <w:t>Very common:</w:t>
      </w:r>
      <w:r w:rsidR="00291AF8">
        <w:rPr>
          <w:rFonts w:ascii="Arial" w:hAnsi="Arial" w:cs="Arial"/>
          <w:sz w:val="22"/>
          <w:szCs w:val="22"/>
        </w:rPr>
        <w:t xml:space="preserve"> headache</w:t>
      </w:r>
    </w:p>
    <w:p w:rsidR="00B20C9C" w:rsidRDefault="00E77FC5" w:rsidP="004722AC">
      <w:pPr>
        <w:spacing w:after="160" w:line="360" w:lineRule="atLeast"/>
        <w:rPr>
          <w:rFonts w:ascii="Arial" w:hAnsi="Arial" w:cs="Arial"/>
          <w:sz w:val="22"/>
          <w:szCs w:val="22"/>
        </w:rPr>
      </w:pPr>
      <w:r w:rsidRPr="00E77FC5">
        <w:rPr>
          <w:rFonts w:ascii="Arial" w:hAnsi="Arial" w:cs="Arial"/>
          <w:sz w:val="22"/>
          <w:szCs w:val="22"/>
        </w:rPr>
        <w:t xml:space="preserve">Uncommon: </w:t>
      </w:r>
      <w:r w:rsidR="00291AF8">
        <w:rPr>
          <w:rFonts w:ascii="Arial" w:hAnsi="Arial" w:cs="Arial"/>
          <w:sz w:val="22"/>
          <w:szCs w:val="22"/>
        </w:rPr>
        <w:t>dizziness</w:t>
      </w:r>
      <w:r w:rsidRPr="00E77FC5">
        <w:rPr>
          <w:rFonts w:ascii="Arial" w:hAnsi="Arial" w:cs="Arial"/>
          <w:sz w:val="22"/>
          <w:szCs w:val="22"/>
        </w:rPr>
        <w:t xml:space="preserve">, </w:t>
      </w:r>
      <w:r w:rsidR="00291AF8">
        <w:rPr>
          <w:rFonts w:ascii="Arial" w:hAnsi="Arial" w:cs="Arial"/>
          <w:sz w:val="22"/>
          <w:szCs w:val="22"/>
        </w:rPr>
        <w:t>paraesthesia</w:t>
      </w:r>
    </w:p>
    <w:p w:rsidR="00B20C9C" w:rsidRDefault="00E77FC5">
      <w:pPr>
        <w:spacing w:line="360" w:lineRule="atLeast"/>
        <w:rPr>
          <w:rFonts w:ascii="Arial" w:hAnsi="Arial" w:cs="Arial"/>
          <w:sz w:val="22"/>
          <w:szCs w:val="22"/>
          <w:u w:val="single"/>
        </w:rPr>
      </w:pPr>
      <w:r w:rsidRPr="00E77FC5">
        <w:rPr>
          <w:rFonts w:ascii="Arial" w:hAnsi="Arial" w:cs="Arial"/>
          <w:sz w:val="22"/>
          <w:szCs w:val="22"/>
          <w:u w:val="single"/>
        </w:rPr>
        <w:t>Gastrointestinal disorders</w:t>
      </w:r>
    </w:p>
    <w:p w:rsidR="00B20C9C" w:rsidRDefault="00E77FC5" w:rsidP="004722AC">
      <w:pPr>
        <w:spacing w:after="160" w:line="360" w:lineRule="atLeast"/>
        <w:rPr>
          <w:rFonts w:ascii="Arial" w:hAnsi="Arial" w:cs="Arial"/>
          <w:sz w:val="22"/>
          <w:szCs w:val="22"/>
        </w:rPr>
      </w:pPr>
      <w:r w:rsidRPr="00E77FC5">
        <w:rPr>
          <w:rFonts w:ascii="Arial" w:hAnsi="Arial" w:cs="Arial"/>
          <w:sz w:val="22"/>
          <w:szCs w:val="22"/>
        </w:rPr>
        <w:t>Common:</w:t>
      </w:r>
      <w:r w:rsidR="00291AF8">
        <w:rPr>
          <w:rFonts w:ascii="Arial" w:hAnsi="Arial" w:cs="Arial"/>
          <w:sz w:val="22"/>
          <w:szCs w:val="22"/>
        </w:rPr>
        <w:t xml:space="preserve"> gastro-intestinal symptoms </w:t>
      </w:r>
      <w:r w:rsidRPr="00E77FC5">
        <w:rPr>
          <w:rFonts w:ascii="Arial" w:hAnsi="Arial" w:cs="Arial"/>
          <w:sz w:val="22"/>
          <w:szCs w:val="22"/>
        </w:rPr>
        <w:t>(such as</w:t>
      </w:r>
      <w:r w:rsidR="00291AF8">
        <w:rPr>
          <w:rFonts w:ascii="Arial" w:hAnsi="Arial" w:cs="Arial"/>
          <w:sz w:val="22"/>
          <w:szCs w:val="22"/>
        </w:rPr>
        <w:t xml:space="preserve"> nausea, diarrhoea, vomiting, abdominal pain</w:t>
      </w:r>
      <w:r w:rsidRPr="00E77FC5">
        <w:rPr>
          <w:rFonts w:ascii="Arial" w:hAnsi="Arial" w:cs="Arial"/>
          <w:sz w:val="22"/>
          <w:szCs w:val="22"/>
        </w:rPr>
        <w:t>)</w:t>
      </w:r>
    </w:p>
    <w:p w:rsidR="00B20C9C" w:rsidRDefault="00E77FC5">
      <w:pPr>
        <w:spacing w:line="360" w:lineRule="atLeast"/>
        <w:rPr>
          <w:rFonts w:ascii="Arial" w:hAnsi="Arial" w:cs="Arial"/>
          <w:sz w:val="22"/>
          <w:szCs w:val="22"/>
          <w:u w:val="single"/>
        </w:rPr>
      </w:pPr>
      <w:r w:rsidRPr="00E77FC5">
        <w:rPr>
          <w:rFonts w:ascii="Arial" w:hAnsi="Arial" w:cs="Arial"/>
          <w:sz w:val="22"/>
          <w:szCs w:val="22"/>
          <w:u w:val="single"/>
        </w:rPr>
        <w:t>Skin and subcutaneous tissue disorders</w:t>
      </w:r>
    </w:p>
    <w:p w:rsidR="00B20C9C" w:rsidRDefault="00E77FC5">
      <w:pPr>
        <w:spacing w:line="360" w:lineRule="atLeast"/>
        <w:rPr>
          <w:rFonts w:ascii="Arial" w:hAnsi="Arial" w:cs="Arial"/>
          <w:sz w:val="22"/>
          <w:szCs w:val="22"/>
        </w:rPr>
      </w:pPr>
      <w:r w:rsidRPr="00E77FC5">
        <w:rPr>
          <w:rFonts w:ascii="Arial" w:hAnsi="Arial" w:cs="Arial"/>
          <w:sz w:val="22"/>
          <w:szCs w:val="22"/>
        </w:rPr>
        <w:t>Very common:</w:t>
      </w:r>
      <w:r w:rsidR="00291AF8">
        <w:rPr>
          <w:rFonts w:ascii="Arial" w:hAnsi="Arial" w:cs="Arial"/>
          <w:sz w:val="22"/>
          <w:szCs w:val="22"/>
        </w:rPr>
        <w:t xml:space="preserve"> sweating increased</w:t>
      </w:r>
    </w:p>
    <w:p w:rsidR="00B20C9C" w:rsidRDefault="00E77FC5" w:rsidP="004722AC">
      <w:pPr>
        <w:spacing w:after="160" w:line="360" w:lineRule="atLeast"/>
        <w:rPr>
          <w:rFonts w:ascii="Arial" w:hAnsi="Arial" w:cs="Arial"/>
          <w:sz w:val="22"/>
          <w:szCs w:val="22"/>
        </w:rPr>
      </w:pPr>
      <w:r w:rsidRPr="00E77FC5">
        <w:rPr>
          <w:rFonts w:ascii="Arial" w:hAnsi="Arial" w:cs="Arial"/>
          <w:sz w:val="22"/>
          <w:szCs w:val="22"/>
        </w:rPr>
        <w:t>Uncommon:</w:t>
      </w:r>
      <w:r w:rsidR="00291AF8">
        <w:rPr>
          <w:rFonts w:ascii="Arial" w:hAnsi="Arial" w:cs="Arial"/>
          <w:sz w:val="22"/>
          <w:szCs w:val="22"/>
        </w:rPr>
        <w:t xml:space="preserve"> pruritus rash</w:t>
      </w:r>
    </w:p>
    <w:p w:rsidR="00B20C9C" w:rsidRDefault="00E77FC5">
      <w:pPr>
        <w:spacing w:line="360" w:lineRule="atLeast"/>
        <w:rPr>
          <w:rFonts w:ascii="Arial" w:hAnsi="Arial" w:cs="Arial"/>
          <w:sz w:val="22"/>
          <w:szCs w:val="22"/>
          <w:u w:val="single"/>
        </w:rPr>
      </w:pPr>
      <w:r w:rsidRPr="00E77FC5">
        <w:rPr>
          <w:rFonts w:ascii="Arial" w:hAnsi="Arial" w:cs="Arial"/>
          <w:sz w:val="22"/>
          <w:szCs w:val="22"/>
          <w:u w:val="single"/>
        </w:rPr>
        <w:lastRenderedPageBreak/>
        <w:t>Musculoskeletal and connective tissue disorders</w:t>
      </w:r>
    </w:p>
    <w:p w:rsidR="00B20C9C" w:rsidRDefault="00E77FC5" w:rsidP="004722AC">
      <w:pPr>
        <w:spacing w:after="160" w:line="360" w:lineRule="atLeast"/>
        <w:rPr>
          <w:rFonts w:ascii="Arial" w:hAnsi="Arial" w:cs="Arial"/>
          <w:sz w:val="22"/>
          <w:szCs w:val="22"/>
          <w:lang w:val="en-US"/>
        </w:rPr>
      </w:pPr>
      <w:r w:rsidRPr="00E77FC5">
        <w:rPr>
          <w:rFonts w:ascii="Arial" w:hAnsi="Arial" w:cs="Arial"/>
          <w:sz w:val="22"/>
          <w:szCs w:val="22"/>
          <w:lang w:val="en-US"/>
        </w:rPr>
        <w:t>Very common:</w:t>
      </w:r>
      <w:r w:rsidR="00291AF8">
        <w:rPr>
          <w:rFonts w:ascii="Arial" w:hAnsi="Arial" w:cs="Arial"/>
          <w:sz w:val="22"/>
          <w:szCs w:val="22"/>
          <w:lang w:val="en-US"/>
        </w:rPr>
        <w:t xml:space="preserve"> myalgia, arthralgia</w:t>
      </w:r>
    </w:p>
    <w:p w:rsidR="00B20C9C" w:rsidRDefault="00E77FC5">
      <w:pPr>
        <w:spacing w:line="360" w:lineRule="atLeast"/>
        <w:rPr>
          <w:rFonts w:ascii="Arial" w:hAnsi="Arial" w:cs="Arial"/>
          <w:sz w:val="22"/>
          <w:szCs w:val="22"/>
          <w:u w:val="single"/>
          <w:lang w:val="en-US"/>
        </w:rPr>
      </w:pPr>
      <w:r w:rsidRPr="00E77FC5">
        <w:rPr>
          <w:rFonts w:ascii="Arial" w:hAnsi="Arial" w:cs="Arial"/>
          <w:sz w:val="22"/>
          <w:szCs w:val="22"/>
          <w:u w:val="single"/>
          <w:lang w:val="en-US"/>
        </w:rPr>
        <w:t>General disorders and administration site conditions</w:t>
      </w:r>
    </w:p>
    <w:p w:rsidR="00B20C9C" w:rsidRDefault="00E77FC5">
      <w:pPr>
        <w:spacing w:line="360" w:lineRule="atLeast"/>
        <w:rPr>
          <w:rFonts w:ascii="Arial" w:hAnsi="Arial" w:cs="Arial"/>
          <w:sz w:val="22"/>
          <w:szCs w:val="22"/>
        </w:rPr>
      </w:pPr>
      <w:r w:rsidRPr="00E77FC5">
        <w:rPr>
          <w:rFonts w:ascii="Arial" w:hAnsi="Arial" w:cs="Arial"/>
          <w:sz w:val="22"/>
          <w:szCs w:val="22"/>
        </w:rPr>
        <w:t>Very common:</w:t>
      </w:r>
      <w:r w:rsidR="00291AF8">
        <w:rPr>
          <w:rFonts w:ascii="Arial" w:hAnsi="Arial" w:cs="Arial"/>
          <w:sz w:val="22"/>
          <w:szCs w:val="22"/>
        </w:rPr>
        <w:t xml:space="preserve"> pain and swelling at the injection site, fatigue, shivering</w:t>
      </w:r>
      <w:r w:rsidRPr="00E77FC5">
        <w:rPr>
          <w:rFonts w:ascii="Arial" w:hAnsi="Arial" w:cs="Arial"/>
          <w:sz w:val="22"/>
          <w:szCs w:val="22"/>
        </w:rPr>
        <w:t xml:space="preserve"> </w:t>
      </w:r>
    </w:p>
    <w:p w:rsidR="00B20C9C" w:rsidRDefault="00E77FC5">
      <w:pPr>
        <w:spacing w:line="360" w:lineRule="atLeast"/>
        <w:rPr>
          <w:rFonts w:ascii="Arial" w:hAnsi="Arial" w:cs="Arial"/>
          <w:sz w:val="22"/>
          <w:szCs w:val="22"/>
        </w:rPr>
      </w:pPr>
      <w:r w:rsidRPr="00E77FC5">
        <w:rPr>
          <w:rFonts w:ascii="Arial" w:hAnsi="Arial" w:cs="Arial"/>
          <w:sz w:val="22"/>
          <w:szCs w:val="22"/>
        </w:rPr>
        <w:t>Common:</w:t>
      </w:r>
      <w:r w:rsidR="00291AF8">
        <w:rPr>
          <w:rFonts w:ascii="Arial" w:hAnsi="Arial" w:cs="Arial"/>
          <w:sz w:val="22"/>
          <w:szCs w:val="22"/>
        </w:rPr>
        <w:t xml:space="preserve"> redness, prurit</w:t>
      </w:r>
      <w:r w:rsidR="004722AC">
        <w:rPr>
          <w:rFonts w:ascii="Arial" w:hAnsi="Arial" w:cs="Arial"/>
          <w:sz w:val="22"/>
          <w:szCs w:val="22"/>
        </w:rPr>
        <w:t>us at the injection site, fever</w:t>
      </w:r>
    </w:p>
    <w:p w:rsidR="00B20C9C" w:rsidRDefault="00E77FC5" w:rsidP="004722AC">
      <w:pPr>
        <w:spacing w:after="160" w:line="360" w:lineRule="atLeast"/>
        <w:rPr>
          <w:rFonts w:ascii="Arial" w:hAnsi="Arial" w:cs="Arial"/>
          <w:sz w:val="22"/>
          <w:szCs w:val="22"/>
          <w:lang w:val="en-US"/>
        </w:rPr>
      </w:pPr>
      <w:r w:rsidRPr="00E77FC5">
        <w:rPr>
          <w:rFonts w:ascii="Arial" w:hAnsi="Arial" w:cs="Arial"/>
          <w:sz w:val="22"/>
          <w:szCs w:val="22"/>
        </w:rPr>
        <w:t>Uncommon:</w:t>
      </w:r>
      <w:r w:rsidR="00291AF8">
        <w:rPr>
          <w:rFonts w:ascii="Arial" w:hAnsi="Arial" w:cs="Arial"/>
          <w:sz w:val="22"/>
          <w:szCs w:val="22"/>
        </w:rPr>
        <w:t xml:space="preserve"> induration and warmth at the injection site, influenza like illness, malaise</w:t>
      </w:r>
      <w:r w:rsidRPr="00E77FC5">
        <w:rPr>
          <w:rFonts w:ascii="Arial" w:hAnsi="Arial" w:cs="Arial"/>
          <w:sz w:val="22"/>
          <w:szCs w:val="22"/>
        </w:rPr>
        <w:t xml:space="preserve"> </w:t>
      </w:r>
    </w:p>
    <w:p w:rsidR="00291AF8" w:rsidRDefault="008110F0" w:rsidP="004722AC">
      <w:pPr>
        <w:spacing w:after="160" w:line="360" w:lineRule="atLeast"/>
        <w:rPr>
          <w:rFonts w:ascii="Arial" w:hAnsi="Arial" w:cs="Arial"/>
          <w:bCs/>
          <w:snapToGrid w:val="0"/>
          <w:sz w:val="22"/>
          <w:szCs w:val="22"/>
        </w:rPr>
      </w:pPr>
      <w:r>
        <w:rPr>
          <w:rFonts w:ascii="Arial" w:hAnsi="Arial" w:cs="Arial"/>
          <w:bCs/>
          <w:snapToGrid w:val="0"/>
          <w:sz w:val="22"/>
          <w:szCs w:val="22"/>
        </w:rPr>
        <w:t xml:space="preserve">The </w:t>
      </w:r>
      <w:r w:rsidR="00EB7AF8">
        <w:rPr>
          <w:rFonts w:ascii="Arial" w:hAnsi="Arial" w:cs="Arial"/>
          <w:bCs/>
          <w:snapToGrid w:val="0"/>
          <w:sz w:val="22"/>
          <w:szCs w:val="22"/>
        </w:rPr>
        <w:t xml:space="preserve">solicited local and general </w:t>
      </w:r>
      <w:r>
        <w:rPr>
          <w:rFonts w:ascii="Arial" w:hAnsi="Arial" w:cs="Arial"/>
          <w:bCs/>
          <w:snapToGrid w:val="0"/>
          <w:sz w:val="22"/>
          <w:szCs w:val="22"/>
        </w:rPr>
        <w:t xml:space="preserve">adverse events </w:t>
      </w:r>
      <w:r w:rsidR="00EB7AF8">
        <w:rPr>
          <w:rFonts w:ascii="Arial" w:hAnsi="Arial" w:cs="Arial"/>
          <w:bCs/>
          <w:snapToGrid w:val="0"/>
          <w:sz w:val="22"/>
          <w:szCs w:val="22"/>
        </w:rPr>
        <w:t>reported within 7 days of vaccination with</w:t>
      </w:r>
      <w:r>
        <w:rPr>
          <w:rFonts w:ascii="Arial" w:hAnsi="Arial" w:cs="Arial"/>
          <w:bCs/>
          <w:snapToGrid w:val="0"/>
          <w:sz w:val="22"/>
          <w:szCs w:val="22"/>
        </w:rPr>
        <w:t xml:space="preserve"> Pandemrix H1N1</w:t>
      </w:r>
      <w:r w:rsidR="00EB7AF8">
        <w:rPr>
          <w:rFonts w:ascii="Arial" w:hAnsi="Arial" w:cs="Arial"/>
          <w:bCs/>
          <w:snapToGrid w:val="0"/>
          <w:sz w:val="22"/>
          <w:szCs w:val="22"/>
        </w:rPr>
        <w:t>, in the</w:t>
      </w:r>
      <w:r>
        <w:rPr>
          <w:rFonts w:ascii="Arial" w:hAnsi="Arial" w:cs="Arial"/>
          <w:bCs/>
          <w:snapToGrid w:val="0"/>
          <w:sz w:val="22"/>
          <w:szCs w:val="22"/>
        </w:rPr>
        <w:t xml:space="preserve"> </w:t>
      </w:r>
      <w:r w:rsidR="00327B72">
        <w:rPr>
          <w:rFonts w:ascii="Arial" w:hAnsi="Arial" w:cs="Arial"/>
          <w:bCs/>
          <w:snapToGrid w:val="0"/>
          <w:sz w:val="22"/>
          <w:szCs w:val="22"/>
        </w:rPr>
        <w:t>studies</w:t>
      </w:r>
      <w:r>
        <w:rPr>
          <w:rFonts w:ascii="Arial" w:hAnsi="Arial" w:cs="Arial"/>
          <w:bCs/>
          <w:snapToGrid w:val="0"/>
          <w:sz w:val="22"/>
          <w:szCs w:val="22"/>
        </w:rPr>
        <w:t xml:space="preserve">, </w:t>
      </w:r>
      <w:r>
        <w:rPr>
          <w:rFonts w:ascii="Arial" w:hAnsi="Arial" w:cs="Arial"/>
          <w:sz w:val="22"/>
          <w:szCs w:val="22"/>
        </w:rPr>
        <w:t>D-Pan H1N1-007 and D-Pan H1N1-008</w:t>
      </w:r>
      <w:r w:rsidR="00EB7AF8">
        <w:rPr>
          <w:rFonts w:ascii="Arial" w:hAnsi="Arial" w:cs="Arial"/>
          <w:sz w:val="22"/>
          <w:szCs w:val="22"/>
        </w:rPr>
        <w:t xml:space="preserve"> are provided below</w:t>
      </w:r>
      <w:r>
        <w:rPr>
          <w:rFonts w:ascii="Arial" w:hAnsi="Arial" w:cs="Arial"/>
          <w:sz w:val="22"/>
          <w:szCs w:val="22"/>
        </w:rPr>
        <w:t>.</w:t>
      </w:r>
    </w:p>
    <w:p w:rsidR="008110F0" w:rsidRPr="00327B72" w:rsidRDefault="008110F0" w:rsidP="004722AC">
      <w:pPr>
        <w:spacing w:before="160"/>
        <w:rPr>
          <w:rFonts w:ascii="Arial" w:hAnsi="Arial" w:cs="Arial"/>
          <w:b/>
          <w:sz w:val="22"/>
          <w:szCs w:val="22"/>
        </w:rPr>
      </w:pPr>
      <w:r w:rsidRPr="00327B72">
        <w:rPr>
          <w:rFonts w:ascii="Arial" w:hAnsi="Arial" w:cs="Arial"/>
          <w:b/>
          <w:sz w:val="22"/>
          <w:szCs w:val="22"/>
        </w:rPr>
        <w:t xml:space="preserve">D-Pan-H1N1-007 </w:t>
      </w:r>
    </w:p>
    <w:p w:rsidR="00B20C9C" w:rsidRDefault="00EB7AF8" w:rsidP="004722AC">
      <w:pPr>
        <w:spacing w:after="160" w:line="360" w:lineRule="atLeast"/>
        <w:rPr>
          <w:rFonts w:ascii="Arial" w:hAnsi="Arial" w:cs="Arial"/>
          <w:sz w:val="22"/>
          <w:szCs w:val="22"/>
        </w:rPr>
      </w:pPr>
      <w:r>
        <w:rPr>
          <w:rFonts w:ascii="Arial" w:hAnsi="Arial" w:cs="Arial"/>
          <w:sz w:val="22"/>
          <w:szCs w:val="22"/>
        </w:rPr>
        <w:t>This</w:t>
      </w:r>
      <w:r w:rsidR="008110F0" w:rsidRPr="00327B72">
        <w:rPr>
          <w:rFonts w:ascii="Arial" w:hAnsi="Arial" w:cs="Arial"/>
          <w:sz w:val="22"/>
          <w:szCs w:val="22"/>
        </w:rPr>
        <w:t xml:space="preserve"> clinical study evaluated the reactogenicity of the first dose of Pandemrix H1N1 in healthy subjects aged 18-60 years.  A concurrent group of subjects received the vaccine without AS03 adjuvant.</w:t>
      </w:r>
    </w:p>
    <w:p w:rsidR="00B20C9C" w:rsidRDefault="008110F0" w:rsidP="004722AC">
      <w:pPr>
        <w:spacing w:after="160" w:line="360" w:lineRule="atLeast"/>
        <w:rPr>
          <w:rFonts w:ascii="Arial" w:hAnsi="Arial" w:cs="Arial"/>
          <w:b/>
        </w:rPr>
      </w:pPr>
      <w:r w:rsidRPr="00E74AFA">
        <w:rPr>
          <w:rFonts w:ascii="Arial" w:hAnsi="Arial" w:cs="Arial"/>
          <w:b/>
        </w:rPr>
        <w:t>D-Pan-H1N1-007 (Day 0 to Day 6 solicited adverse events following 1 dose of 3.75 µg HA+ AS03 vaccine versus 1 dose of 15 µg HA unadjuvanted H1N1 vaccine) - Adverse Events with a causal relationship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552"/>
        <w:gridCol w:w="2460"/>
      </w:tblGrid>
      <w:tr w:rsidR="008110F0" w:rsidRPr="00351D61" w:rsidTr="00FF37B8">
        <w:tc>
          <w:tcPr>
            <w:tcW w:w="3510" w:type="dxa"/>
          </w:tcPr>
          <w:p w:rsidR="00B20C9C" w:rsidRDefault="008110F0">
            <w:pPr>
              <w:spacing w:before="100" w:beforeAutospacing="1" w:after="100" w:afterAutospacing="1" w:line="276" w:lineRule="auto"/>
              <w:rPr>
                <w:rFonts w:ascii="Arial" w:hAnsi="Arial" w:cs="Arial"/>
                <w:b/>
                <w:sz w:val="22"/>
                <w:szCs w:val="22"/>
              </w:rPr>
            </w:pPr>
            <w:r w:rsidRPr="00E74AFA">
              <w:rPr>
                <w:rFonts w:ascii="Arial" w:hAnsi="Arial" w:cs="Arial"/>
                <w:b/>
                <w:sz w:val="22"/>
                <w:szCs w:val="22"/>
              </w:rPr>
              <w:t>Symptom</w:t>
            </w:r>
          </w:p>
        </w:tc>
        <w:tc>
          <w:tcPr>
            <w:tcW w:w="2552" w:type="dxa"/>
          </w:tcPr>
          <w:p w:rsidR="00B20C9C" w:rsidRDefault="008110F0">
            <w:pPr>
              <w:spacing w:before="100" w:beforeAutospacing="1" w:after="100" w:afterAutospacing="1" w:line="276" w:lineRule="auto"/>
              <w:jc w:val="center"/>
              <w:rPr>
                <w:rFonts w:ascii="Arial" w:hAnsi="Arial" w:cs="Arial"/>
                <w:b/>
                <w:sz w:val="22"/>
                <w:szCs w:val="22"/>
              </w:rPr>
            </w:pPr>
            <w:r w:rsidRPr="00E74AFA">
              <w:rPr>
                <w:rFonts w:ascii="Arial" w:hAnsi="Arial" w:cs="Arial"/>
                <w:b/>
                <w:sz w:val="22"/>
                <w:szCs w:val="22"/>
              </w:rPr>
              <w:t>H1N1+AS03</w:t>
            </w:r>
          </w:p>
          <w:p w:rsidR="00B20C9C" w:rsidRDefault="008110F0">
            <w:pPr>
              <w:spacing w:before="100" w:beforeAutospacing="1" w:after="100" w:afterAutospacing="1" w:line="276" w:lineRule="auto"/>
              <w:jc w:val="center"/>
              <w:rPr>
                <w:rFonts w:ascii="Arial" w:hAnsi="Arial" w:cs="Arial"/>
                <w:b/>
                <w:sz w:val="22"/>
                <w:szCs w:val="22"/>
              </w:rPr>
            </w:pPr>
            <w:r w:rsidRPr="00E74AFA">
              <w:rPr>
                <w:rFonts w:ascii="Arial" w:hAnsi="Arial" w:cs="Arial"/>
                <w:b/>
                <w:sz w:val="22"/>
                <w:szCs w:val="22"/>
              </w:rPr>
              <w:t>N=63</w:t>
            </w:r>
          </w:p>
        </w:tc>
        <w:tc>
          <w:tcPr>
            <w:tcW w:w="2460" w:type="dxa"/>
          </w:tcPr>
          <w:p w:rsidR="00B20C9C" w:rsidRDefault="008110F0">
            <w:pPr>
              <w:spacing w:before="100" w:beforeAutospacing="1" w:after="100" w:afterAutospacing="1" w:line="276" w:lineRule="auto"/>
              <w:jc w:val="center"/>
              <w:rPr>
                <w:rFonts w:ascii="Arial" w:hAnsi="Arial" w:cs="Arial"/>
                <w:b/>
                <w:sz w:val="22"/>
                <w:szCs w:val="22"/>
              </w:rPr>
            </w:pPr>
            <w:r w:rsidRPr="00E74AFA">
              <w:rPr>
                <w:rFonts w:ascii="Arial" w:hAnsi="Arial" w:cs="Arial"/>
                <w:b/>
                <w:sz w:val="22"/>
                <w:szCs w:val="22"/>
              </w:rPr>
              <w:t>H1N1</w:t>
            </w:r>
          </w:p>
          <w:p w:rsidR="00B20C9C" w:rsidRDefault="008110F0">
            <w:pPr>
              <w:spacing w:before="100" w:beforeAutospacing="1" w:after="100" w:afterAutospacing="1" w:line="276" w:lineRule="auto"/>
              <w:jc w:val="center"/>
              <w:rPr>
                <w:rFonts w:ascii="Arial" w:hAnsi="Arial" w:cs="Arial"/>
                <w:b/>
                <w:sz w:val="22"/>
                <w:szCs w:val="22"/>
              </w:rPr>
            </w:pPr>
            <w:r w:rsidRPr="00E74AFA">
              <w:rPr>
                <w:rFonts w:ascii="Arial" w:hAnsi="Arial" w:cs="Arial"/>
                <w:b/>
                <w:sz w:val="22"/>
                <w:szCs w:val="22"/>
              </w:rPr>
              <w:t>N=65</w:t>
            </w:r>
          </w:p>
        </w:tc>
      </w:tr>
      <w:tr w:rsidR="008110F0" w:rsidTr="00FF37B8">
        <w:trPr>
          <w:trHeight w:val="285"/>
        </w:trPr>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Pain at the injection site</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90.5%</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35.4%</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Redness at the injection site</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1.6%</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0.0%</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Swelling at the injection site</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7.9%</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0.0%</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Fatigue</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33.3%</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24.6%</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Headache</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23.8%</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12.3%</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Arthralgia</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11.1%</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4.6%</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Myalgia</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31.7%</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6.2%</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Shivering</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9.5%</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3.1%</w:t>
            </w:r>
          </w:p>
        </w:tc>
      </w:tr>
      <w:tr w:rsidR="008110F0" w:rsidTr="00FF37B8">
        <w:tc>
          <w:tcPr>
            <w:tcW w:w="3510" w:type="dxa"/>
          </w:tcPr>
          <w:p w:rsidR="00B20C9C" w:rsidRDefault="008110F0">
            <w:pPr>
              <w:spacing w:before="100" w:beforeAutospacing="1" w:after="100" w:afterAutospacing="1" w:line="276" w:lineRule="auto"/>
              <w:rPr>
                <w:rFonts w:ascii="Arial" w:hAnsi="Arial" w:cs="Arial"/>
                <w:sz w:val="22"/>
                <w:szCs w:val="22"/>
              </w:rPr>
            </w:pPr>
            <w:r w:rsidRPr="00E74AFA">
              <w:rPr>
                <w:rFonts w:ascii="Arial" w:hAnsi="Arial" w:cs="Arial"/>
                <w:sz w:val="22"/>
                <w:szCs w:val="22"/>
              </w:rPr>
              <w:t>Sweating</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9.5%</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7.7%</w:t>
            </w:r>
          </w:p>
        </w:tc>
      </w:tr>
      <w:tr w:rsidR="008110F0" w:rsidTr="00FF37B8">
        <w:tc>
          <w:tcPr>
            <w:tcW w:w="3510" w:type="dxa"/>
          </w:tcPr>
          <w:p w:rsidR="00B20C9C" w:rsidRDefault="008110F0" w:rsidP="004722AC">
            <w:pPr>
              <w:spacing w:before="100" w:beforeAutospacing="1" w:after="100" w:afterAutospacing="1" w:line="276" w:lineRule="auto"/>
              <w:rPr>
                <w:rFonts w:ascii="Arial" w:hAnsi="Arial" w:cs="Arial"/>
                <w:sz w:val="22"/>
                <w:szCs w:val="22"/>
              </w:rPr>
            </w:pPr>
            <w:r w:rsidRPr="00E74AFA">
              <w:rPr>
                <w:rFonts w:ascii="Arial" w:hAnsi="Arial" w:cs="Arial"/>
                <w:sz w:val="22"/>
                <w:szCs w:val="22"/>
              </w:rPr>
              <w:t xml:space="preserve">Fever </w:t>
            </w:r>
            <w:r w:rsidR="004722AC">
              <w:rPr>
                <w:rFonts w:ascii="Arial" w:hAnsi="Arial" w:cs="Arial"/>
                <w:sz w:val="22"/>
                <w:szCs w:val="22"/>
              </w:rPr>
              <w:sym w:font="Symbol" w:char="F0B3"/>
            </w:r>
            <w:r w:rsidRPr="00E74AFA">
              <w:rPr>
                <w:rFonts w:ascii="Arial" w:hAnsi="Arial" w:cs="Arial"/>
                <w:sz w:val="22"/>
                <w:szCs w:val="22"/>
              </w:rPr>
              <w:t>38°C</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0.0%</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0.0%</w:t>
            </w:r>
          </w:p>
        </w:tc>
      </w:tr>
      <w:tr w:rsidR="008110F0" w:rsidTr="00FF37B8">
        <w:tc>
          <w:tcPr>
            <w:tcW w:w="3510" w:type="dxa"/>
          </w:tcPr>
          <w:p w:rsidR="00B20C9C" w:rsidRDefault="008110F0" w:rsidP="004722AC">
            <w:pPr>
              <w:spacing w:before="100" w:beforeAutospacing="1" w:after="100" w:afterAutospacing="1" w:line="276" w:lineRule="auto"/>
              <w:rPr>
                <w:rFonts w:ascii="Arial" w:hAnsi="Arial" w:cs="Arial"/>
                <w:sz w:val="22"/>
                <w:szCs w:val="22"/>
              </w:rPr>
            </w:pPr>
            <w:r w:rsidRPr="00E74AFA">
              <w:rPr>
                <w:rFonts w:ascii="Arial" w:hAnsi="Arial" w:cs="Arial"/>
                <w:sz w:val="22"/>
                <w:szCs w:val="22"/>
              </w:rPr>
              <w:t xml:space="preserve">Fever </w:t>
            </w:r>
            <w:r w:rsidR="004722AC">
              <w:rPr>
                <w:rFonts w:ascii="Arial" w:hAnsi="Arial" w:cs="Arial"/>
                <w:sz w:val="22"/>
                <w:szCs w:val="22"/>
              </w:rPr>
              <w:sym w:font="Symbol" w:char="F0B3"/>
            </w:r>
            <w:r w:rsidRPr="00E74AFA">
              <w:rPr>
                <w:rFonts w:ascii="Arial" w:hAnsi="Arial" w:cs="Arial"/>
                <w:sz w:val="22"/>
                <w:szCs w:val="22"/>
              </w:rPr>
              <w:t>39°C</w:t>
            </w:r>
          </w:p>
        </w:tc>
        <w:tc>
          <w:tcPr>
            <w:tcW w:w="2552"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0.0%</w:t>
            </w:r>
          </w:p>
        </w:tc>
        <w:tc>
          <w:tcPr>
            <w:tcW w:w="2460" w:type="dxa"/>
          </w:tcPr>
          <w:p w:rsidR="00B20C9C" w:rsidRDefault="008110F0">
            <w:pPr>
              <w:spacing w:before="100" w:beforeAutospacing="1" w:after="100" w:afterAutospacing="1" w:line="276" w:lineRule="auto"/>
              <w:jc w:val="center"/>
              <w:rPr>
                <w:rFonts w:ascii="Arial" w:hAnsi="Arial" w:cs="Arial"/>
                <w:sz w:val="22"/>
                <w:szCs w:val="22"/>
              </w:rPr>
            </w:pPr>
            <w:r w:rsidRPr="00E74AFA">
              <w:rPr>
                <w:rFonts w:ascii="Arial" w:hAnsi="Arial" w:cs="Arial"/>
                <w:sz w:val="22"/>
                <w:szCs w:val="22"/>
              </w:rPr>
              <w:t>0.0%</w:t>
            </w:r>
          </w:p>
        </w:tc>
      </w:tr>
    </w:tbl>
    <w:p w:rsidR="008110F0" w:rsidRPr="00E74AFA" w:rsidRDefault="008110F0" w:rsidP="008110F0">
      <w:pPr>
        <w:pStyle w:val="tableref"/>
        <w:ind w:left="0" w:firstLine="0"/>
        <w:rPr>
          <w:rFonts w:ascii="Arial" w:hAnsi="Arial" w:cs="Arial"/>
        </w:rPr>
      </w:pPr>
      <w:r w:rsidRPr="00E74AFA">
        <w:rPr>
          <w:rFonts w:ascii="Arial" w:hAnsi="Arial" w:cs="Arial"/>
        </w:rPr>
        <w:t>H1N1+ AS03 = H1N1 containing antigen-sparing dose of HA+AS03 adjuvant</w:t>
      </w:r>
    </w:p>
    <w:p w:rsidR="008110F0" w:rsidRPr="00E74AFA" w:rsidRDefault="008110F0" w:rsidP="004722AC">
      <w:pPr>
        <w:pStyle w:val="tableref"/>
        <w:spacing w:after="160"/>
        <w:ind w:left="0" w:firstLine="0"/>
        <w:rPr>
          <w:rFonts w:ascii="Arial" w:hAnsi="Arial" w:cs="Arial"/>
        </w:rPr>
      </w:pPr>
      <w:r w:rsidRPr="00E74AFA">
        <w:rPr>
          <w:rFonts w:ascii="Arial" w:hAnsi="Arial" w:cs="Arial"/>
        </w:rPr>
        <w:t>H1N1 = H1N1 containing HA antigen without adjuvant</w:t>
      </w:r>
    </w:p>
    <w:p w:rsidR="00B20C9C" w:rsidRDefault="008110F0">
      <w:pPr>
        <w:spacing w:line="360" w:lineRule="atLeast"/>
        <w:rPr>
          <w:rFonts w:ascii="Arial" w:hAnsi="Arial" w:cs="Arial"/>
          <w:b/>
          <w:sz w:val="22"/>
          <w:szCs w:val="22"/>
        </w:rPr>
      </w:pPr>
      <w:r w:rsidRPr="00327B72">
        <w:rPr>
          <w:rFonts w:ascii="Arial" w:hAnsi="Arial" w:cs="Arial"/>
          <w:b/>
          <w:sz w:val="22"/>
          <w:szCs w:val="22"/>
        </w:rPr>
        <w:t xml:space="preserve">D-Pan-H1N1-008 – post dose 1 </w:t>
      </w:r>
    </w:p>
    <w:p w:rsidR="00B20C9C" w:rsidRDefault="00EB7AF8" w:rsidP="004722AC">
      <w:pPr>
        <w:spacing w:after="160" w:line="360" w:lineRule="atLeast"/>
        <w:rPr>
          <w:rFonts w:ascii="Arial" w:hAnsi="Arial" w:cs="Arial"/>
          <w:sz w:val="22"/>
          <w:szCs w:val="22"/>
        </w:rPr>
      </w:pPr>
      <w:r>
        <w:rPr>
          <w:rFonts w:ascii="Arial" w:hAnsi="Arial" w:cs="Arial"/>
          <w:sz w:val="22"/>
          <w:szCs w:val="22"/>
        </w:rPr>
        <w:t>This</w:t>
      </w:r>
      <w:r w:rsidR="008110F0" w:rsidRPr="00327B72">
        <w:rPr>
          <w:rFonts w:ascii="Arial" w:hAnsi="Arial" w:cs="Arial"/>
          <w:sz w:val="22"/>
          <w:szCs w:val="22"/>
        </w:rPr>
        <w:t xml:space="preserve"> clinical study evaluated th</w:t>
      </w:r>
      <w:r>
        <w:rPr>
          <w:rFonts w:ascii="Arial" w:hAnsi="Arial" w:cs="Arial"/>
          <w:sz w:val="22"/>
          <w:szCs w:val="22"/>
        </w:rPr>
        <w:t>e reactogenicity</w:t>
      </w:r>
      <w:r w:rsidR="008110F0" w:rsidRPr="00327B72">
        <w:rPr>
          <w:rFonts w:ascii="Arial" w:hAnsi="Arial" w:cs="Arial"/>
          <w:sz w:val="22"/>
          <w:szCs w:val="22"/>
        </w:rPr>
        <w:t xml:space="preserve"> of the first dose Pandemrix H1N1 in healthy adults aged 18-60 and above 60 years.</w:t>
      </w:r>
    </w:p>
    <w:p w:rsidR="004722AC" w:rsidRDefault="008110F0" w:rsidP="004722AC">
      <w:pPr>
        <w:spacing w:after="160" w:line="360" w:lineRule="atLeast"/>
        <w:rPr>
          <w:rFonts w:ascii="Arial" w:hAnsi="Arial" w:cs="Arial"/>
          <w:b/>
        </w:rPr>
      </w:pPr>
      <w:r w:rsidRPr="00E74AFA">
        <w:rPr>
          <w:rFonts w:ascii="Arial" w:hAnsi="Arial" w:cs="Arial"/>
          <w:b/>
          <w:lang w:val="en-CA"/>
        </w:rPr>
        <w:t>D-Pan H1N1-008 (</w:t>
      </w:r>
      <w:r w:rsidRPr="00E74AFA">
        <w:rPr>
          <w:rFonts w:ascii="Arial" w:hAnsi="Arial" w:cs="Arial"/>
          <w:b/>
        </w:rPr>
        <w:t>Day 0 to Day 6 solicited adverse events following a single dose of 3.75 µg HA + AS03 vaccine) - Adverse Events with a causal relationship</w:t>
      </w:r>
      <w:r w:rsidR="004722AC">
        <w:rPr>
          <w:rFonts w:ascii="Arial" w:hAnsi="Arial" w:cs="Arial"/>
          <w:b/>
        </w:rPr>
        <w:br w:type="page"/>
      </w:r>
    </w:p>
    <w:p w:rsidR="004722AC" w:rsidRDefault="004722AC" w:rsidP="004722AC">
      <w:pPr>
        <w:spacing w:line="360" w:lineRule="atLeast"/>
        <w:rPr>
          <w:rFonts w:ascii="Arial" w:hAnsi="Arial" w:cs="Arial"/>
          <w:b/>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552"/>
        <w:gridCol w:w="2460"/>
      </w:tblGrid>
      <w:tr w:rsidR="001D3F68" w:rsidRPr="001D3F68" w:rsidTr="001D3F68">
        <w:trPr>
          <w:trHeight w:val="1066"/>
        </w:trPr>
        <w:tc>
          <w:tcPr>
            <w:tcW w:w="3510" w:type="dxa"/>
          </w:tcPr>
          <w:p w:rsidR="00B20C9C" w:rsidRDefault="007B1110">
            <w:pPr>
              <w:spacing w:before="100" w:beforeAutospacing="1" w:after="100" w:afterAutospacing="1" w:line="276" w:lineRule="auto"/>
              <w:rPr>
                <w:rFonts w:ascii="Arial" w:hAnsi="Arial" w:cs="Arial"/>
                <w:b/>
                <w:sz w:val="22"/>
                <w:szCs w:val="22"/>
              </w:rPr>
            </w:pPr>
            <w:r>
              <w:rPr>
                <w:rFonts w:ascii="Arial" w:hAnsi="Arial" w:cs="Arial"/>
                <w:b/>
                <w:sz w:val="22"/>
                <w:szCs w:val="22"/>
              </w:rPr>
              <w:t>Symptom</w:t>
            </w:r>
          </w:p>
        </w:tc>
        <w:tc>
          <w:tcPr>
            <w:tcW w:w="2552" w:type="dxa"/>
          </w:tcPr>
          <w:p w:rsidR="00B20C9C" w:rsidRDefault="007B1110">
            <w:pPr>
              <w:spacing w:before="100" w:beforeAutospacing="1" w:after="100" w:afterAutospacing="1" w:line="276" w:lineRule="auto"/>
              <w:jc w:val="center"/>
              <w:rPr>
                <w:rFonts w:ascii="Arial" w:hAnsi="Arial" w:cs="Arial"/>
                <w:b/>
                <w:sz w:val="22"/>
                <w:szCs w:val="22"/>
              </w:rPr>
            </w:pPr>
            <w:r>
              <w:rPr>
                <w:rFonts w:ascii="Arial" w:hAnsi="Arial" w:cs="Arial"/>
                <w:b/>
                <w:sz w:val="22"/>
                <w:szCs w:val="22"/>
              </w:rPr>
              <w:t>18-60 years</w:t>
            </w:r>
          </w:p>
          <w:p w:rsidR="00B20C9C" w:rsidRDefault="007B1110">
            <w:pPr>
              <w:spacing w:before="100" w:beforeAutospacing="1" w:after="100" w:afterAutospacing="1" w:line="276" w:lineRule="auto"/>
              <w:jc w:val="center"/>
              <w:rPr>
                <w:rFonts w:ascii="Arial" w:hAnsi="Arial" w:cs="Arial"/>
                <w:b/>
                <w:sz w:val="22"/>
                <w:szCs w:val="22"/>
              </w:rPr>
            </w:pPr>
            <w:r>
              <w:rPr>
                <w:rFonts w:ascii="Arial" w:hAnsi="Arial" w:cs="Arial"/>
                <w:b/>
                <w:sz w:val="22"/>
                <w:szCs w:val="22"/>
              </w:rPr>
              <w:t>N=120</w:t>
            </w:r>
          </w:p>
        </w:tc>
        <w:tc>
          <w:tcPr>
            <w:tcW w:w="2460" w:type="dxa"/>
          </w:tcPr>
          <w:p w:rsidR="00B20C9C" w:rsidRDefault="007B1110">
            <w:pPr>
              <w:spacing w:before="100" w:beforeAutospacing="1" w:after="100" w:afterAutospacing="1" w:line="276" w:lineRule="auto"/>
              <w:jc w:val="center"/>
              <w:rPr>
                <w:rFonts w:ascii="Arial" w:hAnsi="Arial" w:cs="Arial"/>
                <w:b/>
                <w:sz w:val="22"/>
                <w:szCs w:val="22"/>
              </w:rPr>
            </w:pPr>
            <w:r>
              <w:rPr>
                <w:rFonts w:ascii="Arial" w:hAnsi="Arial" w:cs="Arial"/>
                <w:b/>
                <w:sz w:val="22"/>
                <w:szCs w:val="22"/>
              </w:rPr>
              <w:t>&gt;60 years</w:t>
            </w:r>
          </w:p>
          <w:p w:rsidR="001D3F68" w:rsidRPr="001D3F68" w:rsidRDefault="007B1110" w:rsidP="001D3F68">
            <w:pPr>
              <w:spacing w:before="100" w:beforeAutospacing="1" w:after="100" w:afterAutospacing="1" w:line="276" w:lineRule="auto"/>
              <w:jc w:val="center"/>
              <w:rPr>
                <w:rFonts w:ascii="Arial" w:hAnsi="Arial" w:cs="Arial"/>
                <w:b/>
                <w:sz w:val="22"/>
                <w:szCs w:val="22"/>
              </w:rPr>
            </w:pPr>
            <w:r>
              <w:rPr>
                <w:rFonts w:ascii="Arial" w:hAnsi="Arial" w:cs="Arial"/>
                <w:b/>
                <w:sz w:val="22"/>
                <w:szCs w:val="22"/>
              </w:rPr>
              <w:t>N=120</w:t>
            </w:r>
          </w:p>
        </w:tc>
      </w:tr>
      <w:tr w:rsidR="008110F0" w:rsidRPr="001D3F68" w:rsidTr="00FF37B8">
        <w:trPr>
          <w:trHeight w:val="285"/>
        </w:trPr>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Pain at the injection site</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87.5%</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65.0%</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Redness at the injection site</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0.8%</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7.5%</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Swelling at the injection site</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9.2%</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10.0%</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Fatigue</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33.3%</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20.0%</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Headache</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35.8%</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17.5%</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Arthralgia</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14.2%</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11.7%</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Myalgia</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20.8%</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19.2%</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Shivering</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18.3%</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5.8%</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Sweating</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14.2%</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5.0%</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Fever ≥38°C</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0.8%</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0.0%</w:t>
            </w:r>
          </w:p>
        </w:tc>
      </w:tr>
      <w:tr w:rsidR="008110F0" w:rsidRPr="001D3F68" w:rsidTr="00FF37B8">
        <w:tc>
          <w:tcPr>
            <w:tcW w:w="3510" w:type="dxa"/>
          </w:tcPr>
          <w:p w:rsidR="00B20C9C" w:rsidRDefault="007B1110">
            <w:pPr>
              <w:spacing w:before="100" w:beforeAutospacing="1" w:after="100" w:afterAutospacing="1" w:line="276" w:lineRule="auto"/>
              <w:rPr>
                <w:rFonts w:ascii="Arial" w:hAnsi="Arial" w:cs="Arial"/>
                <w:sz w:val="22"/>
                <w:szCs w:val="22"/>
              </w:rPr>
            </w:pPr>
            <w:r>
              <w:rPr>
                <w:rFonts w:ascii="Arial" w:hAnsi="Arial" w:cs="Arial"/>
                <w:sz w:val="22"/>
                <w:szCs w:val="22"/>
              </w:rPr>
              <w:t>Fever ≥39°C</w:t>
            </w:r>
          </w:p>
        </w:tc>
        <w:tc>
          <w:tcPr>
            <w:tcW w:w="2552"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0.0%</w:t>
            </w:r>
          </w:p>
        </w:tc>
        <w:tc>
          <w:tcPr>
            <w:tcW w:w="2460" w:type="dxa"/>
          </w:tcPr>
          <w:p w:rsidR="00B20C9C" w:rsidRDefault="007B1110">
            <w:pPr>
              <w:spacing w:before="100" w:beforeAutospacing="1" w:after="100" w:afterAutospacing="1" w:line="276" w:lineRule="auto"/>
              <w:jc w:val="center"/>
              <w:rPr>
                <w:rFonts w:ascii="Arial" w:hAnsi="Arial" w:cs="Arial"/>
                <w:sz w:val="22"/>
                <w:szCs w:val="22"/>
              </w:rPr>
            </w:pPr>
            <w:r>
              <w:rPr>
                <w:rFonts w:ascii="Arial" w:hAnsi="Arial" w:cs="Arial"/>
                <w:sz w:val="22"/>
                <w:szCs w:val="22"/>
              </w:rPr>
              <w:t>0.0%</w:t>
            </w:r>
          </w:p>
        </w:tc>
      </w:tr>
    </w:tbl>
    <w:p w:rsidR="00B20C9C" w:rsidRDefault="00E77FC5" w:rsidP="009422CA">
      <w:pPr>
        <w:spacing w:before="160" w:line="360" w:lineRule="atLeast"/>
        <w:rPr>
          <w:rFonts w:ascii="Arial" w:hAnsi="Arial" w:cs="Arial"/>
          <w:b/>
          <w:color w:val="000000"/>
          <w:sz w:val="22"/>
          <w:szCs w:val="22"/>
        </w:rPr>
      </w:pPr>
      <w:r w:rsidRPr="00E77FC5">
        <w:rPr>
          <w:rFonts w:ascii="Arial" w:hAnsi="Arial" w:cs="Arial"/>
          <w:b/>
          <w:color w:val="000000"/>
          <w:sz w:val="22"/>
          <w:szCs w:val="22"/>
          <w:u w:val="single"/>
        </w:rPr>
        <w:t>Children aged 10-17 years</w:t>
      </w:r>
    </w:p>
    <w:p w:rsidR="00B20C9C" w:rsidRDefault="00E77FC5" w:rsidP="009422CA">
      <w:pPr>
        <w:spacing w:after="160" w:line="360" w:lineRule="atLeast"/>
        <w:rPr>
          <w:rFonts w:ascii="Arial" w:hAnsi="Arial" w:cs="Arial"/>
          <w:sz w:val="22"/>
          <w:szCs w:val="22"/>
        </w:rPr>
      </w:pPr>
      <w:r w:rsidRPr="00E77FC5">
        <w:rPr>
          <w:rFonts w:ascii="Arial" w:hAnsi="Arial" w:cs="Arial"/>
          <w:color w:val="000000"/>
          <w:sz w:val="22"/>
          <w:szCs w:val="22"/>
        </w:rPr>
        <w:t>A clinical study evaluated the reactogenicity in children 10 to 17 years of age who received two doses of 0.5 ml (full dose) of Pandemrix H1N1</w:t>
      </w:r>
      <w:r w:rsidR="001D3F68">
        <w:rPr>
          <w:rFonts w:ascii="Arial" w:hAnsi="Arial" w:cs="Arial"/>
          <w:color w:val="000000"/>
          <w:sz w:val="22"/>
          <w:szCs w:val="22"/>
        </w:rPr>
        <w:t xml:space="preserve"> </w:t>
      </w:r>
      <w:r w:rsidRPr="00E77FC5">
        <w:rPr>
          <w:rFonts w:ascii="Arial" w:hAnsi="Arial" w:cs="Arial"/>
          <w:sz w:val="22"/>
          <w:szCs w:val="22"/>
        </w:rPr>
        <w:t>21 days apart. The per-dose frequency of the following adverse reactions was as follows: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977"/>
        <w:gridCol w:w="2977"/>
      </w:tblGrid>
      <w:tr w:rsidR="001D3F68" w:rsidRPr="00D624A5" w:rsidTr="001D3F68">
        <w:tc>
          <w:tcPr>
            <w:tcW w:w="2943" w:type="dxa"/>
          </w:tcPr>
          <w:p w:rsidR="00B20C9C" w:rsidRDefault="00E77FC5">
            <w:pPr>
              <w:spacing w:before="100" w:beforeAutospacing="1" w:after="100" w:afterAutospacing="1"/>
              <w:rPr>
                <w:rFonts w:ascii="Arial" w:hAnsi="Arial" w:cs="Arial"/>
                <w:b/>
                <w:sz w:val="22"/>
                <w:szCs w:val="22"/>
              </w:rPr>
            </w:pPr>
            <w:r w:rsidRPr="00E77FC5">
              <w:rPr>
                <w:rFonts w:ascii="Arial" w:hAnsi="Arial" w:cs="Arial"/>
                <w:b/>
                <w:sz w:val="22"/>
                <w:szCs w:val="22"/>
              </w:rPr>
              <w:t>Adverse reactions</w:t>
            </w:r>
          </w:p>
        </w:tc>
        <w:tc>
          <w:tcPr>
            <w:tcW w:w="2977" w:type="dxa"/>
          </w:tcPr>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Post dose 1</w:t>
            </w:r>
          </w:p>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N=98</w:t>
            </w:r>
          </w:p>
        </w:tc>
        <w:tc>
          <w:tcPr>
            <w:tcW w:w="2977" w:type="dxa"/>
          </w:tcPr>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Post dose 2</w:t>
            </w:r>
          </w:p>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N=93</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Pain at the injection site</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92.9%</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96.8%</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Redness at the injection site</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21.4%</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28.0%</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Swelling at the injection site</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41.8%</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53.8%</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Shivering</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14.3%</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26.9%</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Sweating</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5.1%</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7.5%</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Fever &gt;38°C</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3.1%</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9.7%</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Fever &gt;39°C</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0.0%</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1.1%</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Arthralgia</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26.5%</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34.4%</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Myalgia</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34.7%</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47.3%</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Fatigue</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40.8%</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51.6%</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Gastrointestinal</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6.1%</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6.5%</w:t>
            </w:r>
          </w:p>
        </w:tc>
      </w:tr>
      <w:tr w:rsidR="001D3F68" w:rsidRPr="00D624A5" w:rsidTr="001D3F68">
        <w:tc>
          <w:tcPr>
            <w:tcW w:w="2943"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Headache</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41.8%</w:t>
            </w:r>
          </w:p>
        </w:tc>
        <w:tc>
          <w:tcPr>
            <w:tcW w:w="297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53.8%</w:t>
            </w:r>
          </w:p>
        </w:tc>
      </w:tr>
    </w:tbl>
    <w:p w:rsidR="00B20C9C" w:rsidRDefault="00E77FC5" w:rsidP="009422CA">
      <w:pPr>
        <w:spacing w:before="160" w:line="360" w:lineRule="atLeast"/>
        <w:rPr>
          <w:rFonts w:ascii="Arial" w:hAnsi="Arial" w:cs="Arial"/>
          <w:b/>
          <w:color w:val="000000"/>
          <w:sz w:val="22"/>
          <w:szCs w:val="22"/>
        </w:rPr>
      </w:pPr>
      <w:r w:rsidRPr="00E77FC5">
        <w:rPr>
          <w:rFonts w:ascii="Arial" w:hAnsi="Arial" w:cs="Arial"/>
          <w:b/>
          <w:color w:val="000000"/>
          <w:sz w:val="22"/>
          <w:szCs w:val="22"/>
          <w:u w:val="single"/>
        </w:rPr>
        <w:t>Children aged 3-9 years</w:t>
      </w:r>
    </w:p>
    <w:p w:rsidR="009422CA" w:rsidRDefault="00E77FC5" w:rsidP="009422CA">
      <w:pPr>
        <w:spacing w:after="160" w:line="360" w:lineRule="atLeast"/>
        <w:rPr>
          <w:rFonts w:ascii="Arial" w:hAnsi="Arial" w:cs="Arial"/>
          <w:color w:val="000000"/>
          <w:sz w:val="22"/>
          <w:szCs w:val="22"/>
        </w:rPr>
      </w:pPr>
      <w:r w:rsidRPr="00E77FC5">
        <w:rPr>
          <w:rFonts w:ascii="Arial" w:hAnsi="Arial" w:cs="Arial"/>
          <w:color w:val="000000"/>
          <w:sz w:val="22"/>
          <w:szCs w:val="22"/>
        </w:rPr>
        <w:t>A clinical study evaluated the reactogenicity in children 3 to 5 and 6 to 9 years of age who rec</w:t>
      </w:r>
      <w:r w:rsidR="003159E9" w:rsidRPr="001F6E13">
        <w:rPr>
          <w:rFonts w:ascii="Arial" w:hAnsi="Arial" w:cs="Arial"/>
          <w:color w:val="000000"/>
          <w:sz w:val="22"/>
          <w:szCs w:val="22"/>
        </w:rPr>
        <w:t xml:space="preserve">eived a </w:t>
      </w:r>
      <w:r w:rsidR="00CC37CF">
        <w:rPr>
          <w:rFonts w:ascii="Arial" w:hAnsi="Arial" w:cs="Arial"/>
          <w:color w:val="000000"/>
          <w:sz w:val="22"/>
          <w:szCs w:val="22"/>
        </w:rPr>
        <w:t xml:space="preserve">two </w:t>
      </w:r>
      <w:r w:rsidR="003159E9" w:rsidRPr="001F6E13">
        <w:rPr>
          <w:rFonts w:ascii="Arial" w:hAnsi="Arial" w:cs="Arial"/>
          <w:color w:val="000000"/>
          <w:sz w:val="22"/>
          <w:szCs w:val="22"/>
        </w:rPr>
        <w:t>dose</w:t>
      </w:r>
      <w:r w:rsidR="00CC37CF">
        <w:rPr>
          <w:rFonts w:ascii="Arial" w:hAnsi="Arial" w:cs="Arial"/>
          <w:color w:val="000000"/>
          <w:sz w:val="22"/>
          <w:szCs w:val="22"/>
        </w:rPr>
        <w:t>s of 0.25 mL (half the adult dose)</w:t>
      </w:r>
      <w:r w:rsidR="003159E9" w:rsidRPr="001F6E13">
        <w:rPr>
          <w:rFonts w:ascii="Arial" w:hAnsi="Arial" w:cs="Arial"/>
          <w:color w:val="000000"/>
          <w:sz w:val="22"/>
          <w:szCs w:val="22"/>
        </w:rPr>
        <w:t xml:space="preserve"> of Pandemrix </w:t>
      </w:r>
      <w:r w:rsidRPr="00E77FC5">
        <w:rPr>
          <w:rFonts w:ascii="Arial" w:hAnsi="Arial" w:cs="Arial"/>
          <w:color w:val="000000"/>
          <w:sz w:val="22"/>
          <w:szCs w:val="22"/>
        </w:rPr>
        <w:t>H1N1</w:t>
      </w:r>
      <w:r w:rsidR="00CC37CF">
        <w:rPr>
          <w:rFonts w:ascii="Arial" w:hAnsi="Arial" w:cs="Arial"/>
          <w:color w:val="000000"/>
          <w:sz w:val="22"/>
          <w:szCs w:val="22"/>
        </w:rPr>
        <w:t xml:space="preserve"> 21 days apart</w:t>
      </w:r>
      <w:r w:rsidRPr="00E77FC5">
        <w:rPr>
          <w:rFonts w:ascii="Arial" w:hAnsi="Arial" w:cs="Arial"/>
          <w:color w:val="000000"/>
          <w:sz w:val="22"/>
          <w:szCs w:val="22"/>
        </w:rPr>
        <w:t>. The per-dose frequency of the following adverse reactions was as follows:</w:t>
      </w:r>
      <w:r w:rsidR="009422CA">
        <w:rPr>
          <w:rFonts w:ascii="Arial" w:hAnsi="Arial" w:cs="Arial"/>
          <w:color w:val="000000"/>
          <w:sz w:val="22"/>
          <w:szCs w:val="22"/>
        </w:rPr>
        <w:br w:type="page"/>
      </w:r>
    </w:p>
    <w:p w:rsidR="00B20C9C" w:rsidRDefault="00B20C9C" w:rsidP="009422CA">
      <w:pPr>
        <w:spacing w:line="360" w:lineRule="atLeast"/>
        <w:rPr>
          <w:rFonts w:ascii="Arial" w:hAnsi="Arial" w:cs="Arial"/>
          <w:color w:val="00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667"/>
        <w:gridCol w:w="1984"/>
        <w:gridCol w:w="1701"/>
        <w:gridCol w:w="2127"/>
      </w:tblGrid>
      <w:tr w:rsidR="00410D42" w:rsidRPr="001D3F68" w:rsidTr="007827B9">
        <w:trPr>
          <w:trHeight w:val="562"/>
        </w:trPr>
        <w:tc>
          <w:tcPr>
            <w:tcW w:w="2127" w:type="dxa"/>
            <w:vMerge w:val="restart"/>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Adverse reactions</w:t>
            </w:r>
          </w:p>
        </w:tc>
        <w:tc>
          <w:tcPr>
            <w:tcW w:w="3651" w:type="dxa"/>
            <w:gridSpan w:val="2"/>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3-5 years</w:t>
            </w:r>
          </w:p>
        </w:tc>
        <w:tc>
          <w:tcPr>
            <w:tcW w:w="3828" w:type="dxa"/>
            <w:gridSpan w:val="2"/>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6-9 years</w:t>
            </w:r>
          </w:p>
        </w:tc>
      </w:tr>
      <w:tr w:rsidR="00410D42" w:rsidRPr="001D3F68" w:rsidTr="007827B9">
        <w:tc>
          <w:tcPr>
            <w:tcW w:w="2127" w:type="dxa"/>
            <w:vMerge/>
          </w:tcPr>
          <w:p w:rsidR="00B20C9C" w:rsidRDefault="00B20C9C">
            <w:pPr>
              <w:spacing w:before="100" w:beforeAutospacing="1" w:after="100" w:afterAutospacing="1"/>
              <w:rPr>
                <w:rFonts w:ascii="Arial" w:hAnsi="Arial" w:cs="Arial"/>
                <w:sz w:val="22"/>
                <w:szCs w:val="22"/>
              </w:rPr>
            </w:pP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Post dose 1</w:t>
            </w:r>
          </w:p>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N=60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Post dose 2</w:t>
            </w:r>
          </w:p>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N=56</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Post dose 1</w:t>
            </w:r>
          </w:p>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N=65</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Post dose 2</w:t>
            </w:r>
          </w:p>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N=63</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 xml:space="preserve">Pain </w:t>
            </w:r>
            <w:r w:rsidR="007B1110">
              <w:rPr>
                <w:rFonts w:ascii="Arial" w:hAnsi="Arial" w:cs="Arial"/>
                <w:color w:val="000000"/>
                <w:sz w:val="22"/>
                <w:szCs w:val="22"/>
              </w:rPr>
              <w:t>at injection site</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60.0%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55.4%</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63.1%</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65.1%</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 xml:space="preserve">Redness </w:t>
            </w:r>
            <w:r w:rsidR="007B1110">
              <w:rPr>
                <w:rFonts w:ascii="Arial" w:hAnsi="Arial" w:cs="Arial"/>
                <w:color w:val="000000"/>
                <w:sz w:val="22"/>
                <w:szCs w:val="22"/>
              </w:rPr>
              <w:t>at injection site</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26.7%</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41.1%</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23.1%</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33.3%</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 xml:space="preserve">Swelling </w:t>
            </w:r>
            <w:r w:rsidR="007B1110">
              <w:rPr>
                <w:rFonts w:ascii="Arial" w:hAnsi="Arial" w:cs="Arial"/>
                <w:color w:val="000000"/>
                <w:sz w:val="22"/>
                <w:szCs w:val="22"/>
              </w:rPr>
              <w:t>at injection site</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21.7%</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28.6%</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23.1%</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25.4%</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Shivering</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13.3%</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7.1%</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10.8%</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6.3%</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Sweating</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10.0%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5.4%</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6.2%</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7.9%</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Fever &gt;38°C</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10.0%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14.3%</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4.6%</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6.4%</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Fever &gt;39°C</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1.7%</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5.4%</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0.0%</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3.2%</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Diarrhoea</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5.4%</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Drowsiness</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23.3%</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17.9%</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Irritability</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20.0%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26.8%</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Loss of appetite</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20.0%</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17.9%</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Arthralgia</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15.4%</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14.3%</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Myalgia</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16.9%</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17.5%</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Fatigue</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27.7%</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20.6%</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Gastrointestinal</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13.8%</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7.9%</w:t>
            </w:r>
          </w:p>
        </w:tc>
      </w:tr>
      <w:tr w:rsidR="00410D42" w:rsidRPr="001D3F68" w:rsidTr="007827B9">
        <w:tc>
          <w:tcPr>
            <w:tcW w:w="2127"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Headache</w:t>
            </w:r>
          </w:p>
        </w:tc>
        <w:tc>
          <w:tcPr>
            <w:tcW w:w="166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984"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NA</w:t>
            </w:r>
          </w:p>
        </w:tc>
        <w:tc>
          <w:tcPr>
            <w:tcW w:w="1701"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21.5%</w:t>
            </w:r>
          </w:p>
        </w:tc>
        <w:tc>
          <w:tcPr>
            <w:tcW w:w="2127"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20.6%</w:t>
            </w:r>
          </w:p>
        </w:tc>
      </w:tr>
    </w:tbl>
    <w:p w:rsidR="00B20C9C" w:rsidRDefault="00E77FC5">
      <w:pPr>
        <w:spacing w:line="360" w:lineRule="atLeast"/>
        <w:rPr>
          <w:rFonts w:ascii="Arial" w:hAnsi="Arial" w:cs="Arial"/>
          <w:color w:val="000000"/>
          <w:sz w:val="22"/>
          <w:szCs w:val="22"/>
        </w:rPr>
      </w:pPr>
      <w:r w:rsidRPr="00E77FC5">
        <w:rPr>
          <w:rFonts w:ascii="Arial" w:hAnsi="Arial" w:cs="Arial"/>
          <w:color w:val="000000"/>
          <w:sz w:val="22"/>
          <w:szCs w:val="22"/>
          <w:u w:val="single"/>
        </w:rPr>
        <w:t>Children aged 6-35 months</w:t>
      </w:r>
    </w:p>
    <w:p w:rsidR="00B20C9C" w:rsidRDefault="00CC37CF" w:rsidP="00C53ACE">
      <w:pPr>
        <w:spacing w:after="160" w:line="360" w:lineRule="atLeast"/>
        <w:rPr>
          <w:rFonts w:ascii="Arial" w:hAnsi="Arial" w:cs="Arial"/>
          <w:color w:val="000000"/>
          <w:sz w:val="22"/>
          <w:szCs w:val="22"/>
        </w:rPr>
      </w:pPr>
      <w:r>
        <w:rPr>
          <w:rFonts w:ascii="Arial" w:hAnsi="Arial" w:cs="Arial"/>
          <w:color w:val="000000"/>
          <w:sz w:val="22"/>
          <w:szCs w:val="22"/>
        </w:rPr>
        <w:t>A</w:t>
      </w:r>
      <w:r w:rsidR="00E77FC5" w:rsidRPr="00E77FC5">
        <w:rPr>
          <w:rFonts w:ascii="Arial" w:hAnsi="Arial" w:cs="Arial"/>
          <w:color w:val="000000"/>
          <w:sz w:val="22"/>
          <w:szCs w:val="22"/>
        </w:rPr>
        <w:t xml:space="preserve"> clinical study evaluated </w:t>
      </w:r>
      <w:r>
        <w:rPr>
          <w:rFonts w:ascii="Arial" w:hAnsi="Arial" w:cs="Arial"/>
          <w:color w:val="000000"/>
          <w:sz w:val="22"/>
          <w:szCs w:val="22"/>
        </w:rPr>
        <w:t xml:space="preserve">the </w:t>
      </w:r>
      <w:r w:rsidR="00E77FC5" w:rsidRPr="00E77FC5">
        <w:rPr>
          <w:rFonts w:ascii="Arial" w:hAnsi="Arial" w:cs="Arial"/>
          <w:color w:val="000000"/>
          <w:sz w:val="22"/>
          <w:szCs w:val="22"/>
        </w:rPr>
        <w:t xml:space="preserve">reactogenicity in children aged 6 to 35 months who received two </w:t>
      </w:r>
      <w:r>
        <w:rPr>
          <w:rFonts w:ascii="Arial" w:hAnsi="Arial" w:cs="Arial"/>
          <w:color w:val="000000"/>
          <w:sz w:val="22"/>
          <w:szCs w:val="22"/>
        </w:rPr>
        <w:t>doses of</w:t>
      </w:r>
      <w:r w:rsidR="00E77FC5" w:rsidRPr="00E77FC5">
        <w:rPr>
          <w:rFonts w:ascii="Arial" w:hAnsi="Arial" w:cs="Arial"/>
          <w:color w:val="000000"/>
          <w:sz w:val="22"/>
          <w:szCs w:val="22"/>
        </w:rPr>
        <w:t xml:space="preserve"> 0.25 ml</w:t>
      </w:r>
      <w:r w:rsidR="008234F1">
        <w:rPr>
          <w:rFonts w:ascii="Arial" w:hAnsi="Arial" w:cs="Arial"/>
          <w:color w:val="000000"/>
          <w:sz w:val="22"/>
          <w:szCs w:val="22"/>
        </w:rPr>
        <w:t xml:space="preserve"> </w:t>
      </w:r>
      <w:r>
        <w:rPr>
          <w:rFonts w:ascii="Arial" w:hAnsi="Arial" w:cs="Arial"/>
          <w:color w:val="000000"/>
          <w:sz w:val="22"/>
          <w:szCs w:val="22"/>
        </w:rPr>
        <w:t>following a 0, 21 days schedule.</w:t>
      </w:r>
      <w:r w:rsidR="008234F1">
        <w:rPr>
          <w:rFonts w:ascii="Arial" w:hAnsi="Arial" w:cs="Arial"/>
          <w:color w:val="000000"/>
          <w:sz w:val="22"/>
          <w:szCs w:val="22"/>
        </w:rPr>
        <w:t xml:space="preserve"> </w:t>
      </w:r>
      <w:r>
        <w:rPr>
          <w:rFonts w:ascii="Arial" w:hAnsi="Arial" w:cs="Arial"/>
          <w:color w:val="000000"/>
          <w:sz w:val="22"/>
          <w:szCs w:val="22"/>
        </w:rPr>
        <w:t>A</w:t>
      </w:r>
      <w:r w:rsidR="00E77FC5" w:rsidRPr="00E77FC5">
        <w:rPr>
          <w:rFonts w:ascii="Arial" w:hAnsi="Arial" w:cs="Arial"/>
          <w:color w:val="000000"/>
          <w:sz w:val="22"/>
          <w:szCs w:val="22"/>
        </w:rPr>
        <w:t>xillary fever (</w:t>
      </w:r>
      <w:r w:rsidR="009422CA">
        <w:rPr>
          <w:rFonts w:ascii="Arial" w:hAnsi="Arial" w:cs="Arial"/>
          <w:noProof/>
          <w:color w:val="000000"/>
          <w:sz w:val="22"/>
          <w:szCs w:val="22"/>
        </w:rPr>
        <w:sym w:font="Symbol" w:char="F0B3"/>
      </w:r>
      <w:r w:rsidR="00E77FC5" w:rsidRPr="00E77FC5">
        <w:rPr>
          <w:rFonts w:ascii="Arial" w:hAnsi="Arial" w:cs="Arial"/>
          <w:color w:val="000000"/>
          <w:sz w:val="22"/>
          <w:szCs w:val="22"/>
        </w:rPr>
        <w:t>38°C)</w:t>
      </w:r>
      <w:r>
        <w:rPr>
          <w:rFonts w:ascii="Arial" w:hAnsi="Arial" w:cs="Arial"/>
          <w:color w:val="000000"/>
          <w:sz w:val="22"/>
          <w:szCs w:val="22"/>
        </w:rPr>
        <w:t>, drowsiness and loss of ap</w:t>
      </w:r>
      <w:r w:rsidR="00AE0FD0">
        <w:rPr>
          <w:rFonts w:ascii="Arial" w:hAnsi="Arial" w:cs="Arial"/>
          <w:color w:val="000000"/>
          <w:sz w:val="22"/>
          <w:szCs w:val="22"/>
        </w:rPr>
        <w:t>p</w:t>
      </w:r>
      <w:r>
        <w:rPr>
          <w:rFonts w:ascii="Arial" w:hAnsi="Arial" w:cs="Arial"/>
          <w:color w:val="000000"/>
          <w:sz w:val="22"/>
          <w:szCs w:val="22"/>
        </w:rPr>
        <w:t>etite increased significantly after the second dose</w:t>
      </w:r>
      <w:r w:rsidR="00E77FC5" w:rsidRPr="00E77FC5">
        <w:rPr>
          <w:rFonts w:ascii="Arial" w:hAnsi="Arial" w:cs="Arial"/>
          <w:color w:val="000000"/>
          <w:sz w:val="22"/>
          <w:szCs w:val="22"/>
        </w:rPr>
        <w:t>. The per-dose frequency of the following adverse reactions was as shown in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835"/>
        <w:gridCol w:w="2835"/>
      </w:tblGrid>
      <w:tr w:rsidR="00410D42" w:rsidRPr="00D624A5" w:rsidTr="007827B9">
        <w:tc>
          <w:tcPr>
            <w:tcW w:w="2802" w:type="dxa"/>
          </w:tcPr>
          <w:p w:rsidR="00B20C9C" w:rsidRDefault="00E77FC5">
            <w:pPr>
              <w:spacing w:before="100" w:beforeAutospacing="1" w:after="100" w:afterAutospacing="1"/>
              <w:rPr>
                <w:rFonts w:ascii="Arial" w:hAnsi="Arial" w:cs="Arial"/>
                <w:b/>
                <w:sz w:val="22"/>
                <w:szCs w:val="22"/>
              </w:rPr>
            </w:pPr>
            <w:r w:rsidRPr="00E77FC5">
              <w:rPr>
                <w:rFonts w:ascii="Arial" w:hAnsi="Arial" w:cs="Arial"/>
                <w:b/>
                <w:sz w:val="22"/>
                <w:szCs w:val="22"/>
              </w:rPr>
              <w:t>Adverse reactions</w:t>
            </w:r>
          </w:p>
        </w:tc>
        <w:tc>
          <w:tcPr>
            <w:tcW w:w="2835" w:type="dxa"/>
          </w:tcPr>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Post dose 1</w:t>
            </w:r>
          </w:p>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N=104</w:t>
            </w:r>
          </w:p>
        </w:tc>
        <w:tc>
          <w:tcPr>
            <w:tcW w:w="2835" w:type="dxa"/>
          </w:tcPr>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Post dose 2</w:t>
            </w:r>
          </w:p>
          <w:p w:rsidR="00B20C9C" w:rsidRDefault="00E77FC5">
            <w:pPr>
              <w:spacing w:before="100" w:beforeAutospacing="1" w:after="100" w:afterAutospacing="1"/>
              <w:jc w:val="center"/>
              <w:rPr>
                <w:rFonts w:ascii="Arial" w:hAnsi="Arial" w:cs="Arial"/>
                <w:b/>
                <w:sz w:val="22"/>
                <w:szCs w:val="22"/>
              </w:rPr>
            </w:pPr>
            <w:r w:rsidRPr="00E77FC5">
              <w:rPr>
                <w:rFonts w:ascii="Arial" w:hAnsi="Arial" w:cs="Arial"/>
                <w:b/>
                <w:sz w:val="22"/>
                <w:szCs w:val="22"/>
              </w:rPr>
              <w:t>N=104</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Pain</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35.6%</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41.3%</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Redness</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18.3%</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32.7%</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Swelling</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11.5%</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28.8%</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Fever (&gt;38°C) axillary</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6.8%</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41.4%</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Fever (&gt;39°C) axillary</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1.0%</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2.9%</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 xml:space="preserve">Drowsiness </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16.3%</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33.7%</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Irritability</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26.9%</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43.3%</w:t>
            </w:r>
          </w:p>
        </w:tc>
      </w:tr>
      <w:tr w:rsidR="00410D42" w:rsidRPr="001D3F68" w:rsidTr="007827B9">
        <w:tc>
          <w:tcPr>
            <w:tcW w:w="2802" w:type="dxa"/>
          </w:tcPr>
          <w:p w:rsidR="00B20C9C" w:rsidRDefault="00E77FC5">
            <w:pPr>
              <w:spacing w:before="100" w:beforeAutospacing="1" w:after="100" w:afterAutospacing="1"/>
              <w:rPr>
                <w:rFonts w:ascii="Arial" w:hAnsi="Arial" w:cs="Arial"/>
                <w:sz w:val="22"/>
                <w:szCs w:val="22"/>
              </w:rPr>
            </w:pPr>
            <w:r w:rsidRPr="00E77FC5">
              <w:rPr>
                <w:rFonts w:ascii="Arial" w:hAnsi="Arial" w:cs="Arial"/>
                <w:sz w:val="22"/>
                <w:szCs w:val="22"/>
              </w:rPr>
              <w:t>Loss of appetite</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17.3%</w:t>
            </w:r>
          </w:p>
        </w:tc>
        <w:tc>
          <w:tcPr>
            <w:tcW w:w="2835" w:type="dxa"/>
          </w:tcPr>
          <w:p w:rsidR="00B20C9C" w:rsidRDefault="00E77FC5">
            <w:pPr>
              <w:spacing w:before="100" w:beforeAutospacing="1" w:after="100" w:afterAutospacing="1"/>
              <w:jc w:val="center"/>
              <w:rPr>
                <w:rFonts w:ascii="Arial" w:hAnsi="Arial" w:cs="Arial"/>
                <w:sz w:val="22"/>
                <w:szCs w:val="22"/>
              </w:rPr>
            </w:pPr>
            <w:r w:rsidRPr="00E77FC5">
              <w:rPr>
                <w:rFonts w:ascii="Arial" w:hAnsi="Arial" w:cs="Arial"/>
                <w:sz w:val="22"/>
                <w:szCs w:val="22"/>
              </w:rPr>
              <w:t>39.4%</w:t>
            </w:r>
          </w:p>
        </w:tc>
      </w:tr>
    </w:tbl>
    <w:p w:rsidR="0080306B" w:rsidRDefault="0080306B" w:rsidP="00C53ACE">
      <w:pPr>
        <w:spacing w:before="160" w:line="360" w:lineRule="atLeast"/>
        <w:rPr>
          <w:rFonts w:ascii="Arial" w:hAnsi="Arial" w:cs="Arial"/>
          <w:bCs/>
          <w:snapToGrid w:val="0"/>
          <w:sz w:val="22"/>
          <w:szCs w:val="22"/>
        </w:rPr>
      </w:pPr>
      <w:r>
        <w:rPr>
          <w:rFonts w:ascii="Arial" w:hAnsi="Arial" w:cs="Arial"/>
          <w:bCs/>
          <w:snapToGrid w:val="0"/>
          <w:sz w:val="22"/>
          <w:szCs w:val="22"/>
        </w:rPr>
        <w:t xml:space="preserve">The following adverse events have also been reported during post-marketing experience with </w:t>
      </w:r>
      <w:r>
        <w:rPr>
          <w:rFonts w:ascii="Arial" w:hAnsi="Arial" w:cs="Arial"/>
          <w:bCs/>
          <w:i/>
          <w:snapToGrid w:val="0"/>
          <w:sz w:val="22"/>
          <w:szCs w:val="22"/>
        </w:rPr>
        <w:t xml:space="preserve">PANDEMRIX </w:t>
      </w:r>
      <w:r>
        <w:rPr>
          <w:rFonts w:ascii="Arial" w:hAnsi="Arial" w:cs="Arial"/>
          <w:bCs/>
          <w:snapToGrid w:val="0"/>
          <w:sz w:val="22"/>
          <w:szCs w:val="22"/>
        </w:rPr>
        <w:t>H1N1v:</w:t>
      </w:r>
    </w:p>
    <w:p w:rsidR="00830E16" w:rsidRDefault="00830E16" w:rsidP="00830E16">
      <w:pPr>
        <w:spacing w:line="360" w:lineRule="atLeast"/>
        <w:rPr>
          <w:rFonts w:ascii="Arial" w:hAnsi="Arial" w:cs="Arial"/>
          <w:bCs/>
          <w:snapToGrid w:val="0"/>
          <w:sz w:val="22"/>
          <w:szCs w:val="22"/>
        </w:rPr>
      </w:pPr>
      <w:r>
        <w:rPr>
          <w:rFonts w:ascii="Arial" w:hAnsi="Arial" w:cs="Arial"/>
          <w:b/>
          <w:bCs/>
          <w:snapToGrid w:val="0"/>
          <w:sz w:val="22"/>
          <w:szCs w:val="22"/>
          <w:u w:val="single"/>
        </w:rPr>
        <w:t>Immune system disorders:</w:t>
      </w:r>
      <w:r>
        <w:rPr>
          <w:rFonts w:ascii="Arial" w:hAnsi="Arial" w:cs="Arial"/>
          <w:bCs/>
          <w:snapToGrid w:val="0"/>
          <w:sz w:val="22"/>
          <w:szCs w:val="22"/>
        </w:rPr>
        <w:t xml:space="preserve"> Anaphylaxis.</w:t>
      </w:r>
    </w:p>
    <w:p w:rsidR="00830E16" w:rsidRPr="00A71AD0" w:rsidRDefault="00830E16" w:rsidP="008A0174">
      <w:pPr>
        <w:spacing w:line="360" w:lineRule="atLeast"/>
        <w:rPr>
          <w:rFonts w:ascii="Arial" w:hAnsi="Arial" w:cs="Arial"/>
          <w:b/>
          <w:bCs/>
          <w:snapToGrid w:val="0"/>
          <w:color w:val="000000"/>
          <w:sz w:val="22"/>
          <w:szCs w:val="22"/>
          <w:u w:val="single"/>
        </w:rPr>
      </w:pPr>
      <w:r w:rsidRPr="00A71AD0">
        <w:rPr>
          <w:rFonts w:ascii="Arial" w:hAnsi="Arial" w:cs="Arial"/>
          <w:b/>
          <w:bCs/>
          <w:snapToGrid w:val="0"/>
          <w:color w:val="000000"/>
          <w:sz w:val="22"/>
          <w:szCs w:val="22"/>
          <w:u w:val="single"/>
        </w:rPr>
        <w:t xml:space="preserve">Nervous system disorders: </w:t>
      </w:r>
      <w:r w:rsidRPr="00A71AD0">
        <w:rPr>
          <w:rFonts w:ascii="Arial" w:hAnsi="Arial" w:cs="Arial"/>
          <w:bCs/>
          <w:snapToGrid w:val="0"/>
          <w:color w:val="000000"/>
          <w:sz w:val="22"/>
          <w:szCs w:val="22"/>
        </w:rPr>
        <w:t>Febrile convulsions</w:t>
      </w:r>
      <w:r w:rsidR="00671750">
        <w:rPr>
          <w:rFonts w:ascii="Arial" w:hAnsi="Arial" w:cs="Arial"/>
          <w:bCs/>
          <w:snapToGrid w:val="0"/>
          <w:color w:val="000000"/>
          <w:sz w:val="22"/>
          <w:szCs w:val="22"/>
        </w:rPr>
        <w:t>, somnolence</w:t>
      </w:r>
    </w:p>
    <w:p w:rsidR="00830E16" w:rsidRDefault="00830E16" w:rsidP="00830E16">
      <w:pPr>
        <w:spacing w:line="360" w:lineRule="atLeast"/>
        <w:rPr>
          <w:rFonts w:ascii="Arial" w:hAnsi="Arial" w:cs="Arial"/>
          <w:sz w:val="22"/>
          <w:szCs w:val="22"/>
          <w:lang w:val="en-US"/>
        </w:rPr>
      </w:pPr>
      <w:r w:rsidRPr="00EC244E">
        <w:rPr>
          <w:rFonts w:ascii="Arial" w:hAnsi="Arial" w:cs="Arial"/>
          <w:b/>
          <w:sz w:val="22"/>
          <w:szCs w:val="22"/>
          <w:u w:val="single"/>
          <w:lang w:val="en-US"/>
        </w:rPr>
        <w:t>Skin and subcutaneous tissue disorders:</w:t>
      </w:r>
      <w:r>
        <w:rPr>
          <w:rFonts w:ascii="Arial" w:hAnsi="Arial" w:cs="Arial"/>
          <w:sz w:val="22"/>
          <w:szCs w:val="22"/>
          <w:lang w:val="en-US"/>
        </w:rPr>
        <w:t xml:space="preserve"> Angioedema, urticaria.</w:t>
      </w:r>
    </w:p>
    <w:p w:rsidR="00B20C9C" w:rsidRDefault="00E77FC5" w:rsidP="00C53ACE">
      <w:pPr>
        <w:spacing w:after="160" w:line="360" w:lineRule="atLeast"/>
        <w:rPr>
          <w:rFonts w:ascii="Arial" w:hAnsi="Arial" w:cs="Arial"/>
          <w:sz w:val="22"/>
          <w:szCs w:val="22"/>
          <w:lang w:val="en-US"/>
        </w:rPr>
      </w:pPr>
      <w:r w:rsidRPr="00E77FC5">
        <w:rPr>
          <w:rFonts w:ascii="Arial" w:hAnsi="Arial" w:cs="Arial"/>
          <w:b/>
          <w:sz w:val="22"/>
          <w:szCs w:val="22"/>
          <w:u w:val="single"/>
          <w:lang w:val="en-US"/>
        </w:rPr>
        <w:lastRenderedPageBreak/>
        <w:t>General disorders and administration site conditions</w:t>
      </w:r>
      <w:r w:rsidRPr="00E77FC5">
        <w:rPr>
          <w:rFonts w:ascii="Arial" w:hAnsi="Arial" w:cs="Arial"/>
          <w:b/>
          <w:sz w:val="22"/>
          <w:szCs w:val="22"/>
          <w:lang w:val="en-US"/>
        </w:rPr>
        <w:t xml:space="preserve">: </w:t>
      </w:r>
      <w:r w:rsidRPr="00E77FC5">
        <w:rPr>
          <w:rFonts w:ascii="Arial" w:hAnsi="Arial" w:cs="Arial"/>
          <w:sz w:val="22"/>
          <w:szCs w:val="22"/>
          <w:lang w:val="en-US"/>
        </w:rPr>
        <w:t>Injection site reactio</w:t>
      </w:r>
      <w:r w:rsidR="00C53ACE">
        <w:rPr>
          <w:rFonts w:ascii="Arial" w:hAnsi="Arial" w:cs="Arial"/>
          <w:sz w:val="22"/>
          <w:szCs w:val="22"/>
          <w:lang w:val="en-US"/>
        </w:rPr>
        <w:t>ns (such as inflammation, mass)</w:t>
      </w:r>
    </w:p>
    <w:p w:rsidR="00830E16" w:rsidRDefault="00830E16" w:rsidP="00830E16">
      <w:pPr>
        <w:spacing w:line="360" w:lineRule="atLeast"/>
        <w:rPr>
          <w:rFonts w:ascii="Arial" w:hAnsi="Arial" w:cs="Arial"/>
          <w:bCs/>
          <w:snapToGrid w:val="0"/>
          <w:sz w:val="22"/>
          <w:szCs w:val="22"/>
        </w:rPr>
      </w:pPr>
      <w:r w:rsidRPr="00EC244E">
        <w:rPr>
          <w:rFonts w:ascii="Arial" w:hAnsi="Arial" w:cs="Arial"/>
          <w:bCs/>
          <w:snapToGrid w:val="0"/>
          <w:sz w:val="22"/>
          <w:szCs w:val="22"/>
        </w:rPr>
        <w:t>From Post-marketing surveillance with interpandemic trivalent vaccines, the following adverse events have been reported:</w:t>
      </w:r>
    </w:p>
    <w:p w:rsidR="00830E16" w:rsidRPr="00544CA7" w:rsidRDefault="00830E16" w:rsidP="00830E16">
      <w:pPr>
        <w:spacing w:line="360" w:lineRule="atLeast"/>
        <w:rPr>
          <w:rFonts w:ascii="Arial" w:hAnsi="Arial" w:cs="Arial"/>
          <w:sz w:val="22"/>
          <w:szCs w:val="22"/>
        </w:rPr>
      </w:pPr>
      <w:r w:rsidRPr="00EC244E">
        <w:rPr>
          <w:rFonts w:ascii="Arial" w:hAnsi="Arial" w:cs="Arial"/>
          <w:b/>
          <w:sz w:val="22"/>
          <w:szCs w:val="22"/>
          <w:u w:val="single"/>
          <w:lang w:val="en-US"/>
        </w:rPr>
        <w:t>Blood and lymphatic system disorders:</w:t>
      </w:r>
      <w:r w:rsidRPr="00EC244E">
        <w:rPr>
          <w:rFonts w:ascii="Arial" w:hAnsi="Arial" w:cs="Arial"/>
          <w:sz w:val="22"/>
          <w:szCs w:val="22"/>
          <w:lang w:val="en-US"/>
        </w:rPr>
        <w:t xml:space="preserve"> </w:t>
      </w:r>
      <w:r w:rsidRPr="00544CA7">
        <w:rPr>
          <w:rFonts w:ascii="Arial" w:hAnsi="Arial" w:cs="Arial"/>
          <w:sz w:val="22"/>
          <w:szCs w:val="22"/>
        </w:rPr>
        <w:t>Transient thrombocytopenia.</w:t>
      </w:r>
    </w:p>
    <w:p w:rsidR="00830E16" w:rsidRPr="00EC244E" w:rsidRDefault="00830E16" w:rsidP="00830E16">
      <w:pPr>
        <w:spacing w:line="360" w:lineRule="atLeast"/>
        <w:rPr>
          <w:rFonts w:ascii="Arial" w:hAnsi="Arial" w:cs="Arial"/>
          <w:sz w:val="22"/>
          <w:szCs w:val="22"/>
          <w:lang w:val="en-US"/>
        </w:rPr>
      </w:pPr>
      <w:r w:rsidRPr="00EC244E">
        <w:rPr>
          <w:rFonts w:ascii="Arial" w:hAnsi="Arial" w:cs="Arial"/>
          <w:b/>
          <w:sz w:val="22"/>
          <w:szCs w:val="22"/>
          <w:u w:val="single"/>
          <w:lang w:val="en-US"/>
        </w:rPr>
        <w:t>Immune system disorders:</w:t>
      </w:r>
      <w:r w:rsidRPr="00EC244E">
        <w:rPr>
          <w:rFonts w:ascii="Arial" w:hAnsi="Arial" w:cs="Arial"/>
          <w:sz w:val="22"/>
          <w:szCs w:val="22"/>
          <w:lang w:val="en-US"/>
        </w:rPr>
        <w:t xml:space="preserve"> </w:t>
      </w:r>
      <w:r w:rsidRPr="00EC244E">
        <w:rPr>
          <w:rFonts w:ascii="Arial" w:hAnsi="Arial" w:cs="Arial"/>
          <w:sz w:val="22"/>
          <w:szCs w:val="22"/>
        </w:rPr>
        <w:t>Allergic reactions, in rare cases leading to shock.</w:t>
      </w:r>
    </w:p>
    <w:p w:rsidR="00830E16" w:rsidRPr="00B91485" w:rsidRDefault="00830E16" w:rsidP="00B91485">
      <w:pPr>
        <w:spacing w:line="360" w:lineRule="atLeast"/>
        <w:rPr>
          <w:rFonts w:ascii="Arial" w:hAnsi="Arial" w:cs="Arial"/>
          <w:sz w:val="22"/>
          <w:szCs w:val="22"/>
        </w:rPr>
      </w:pPr>
      <w:r w:rsidRPr="00EC244E">
        <w:rPr>
          <w:rFonts w:ascii="Arial" w:hAnsi="Arial" w:cs="Arial"/>
          <w:b/>
          <w:sz w:val="22"/>
          <w:szCs w:val="22"/>
          <w:u w:val="single"/>
          <w:lang w:val="en-US"/>
        </w:rPr>
        <w:t>Nervous system disorders:</w:t>
      </w:r>
      <w:r w:rsidRPr="00EC244E">
        <w:rPr>
          <w:rFonts w:ascii="Arial" w:hAnsi="Arial" w:cs="Arial"/>
          <w:sz w:val="22"/>
          <w:szCs w:val="22"/>
          <w:lang w:val="en-US"/>
        </w:rPr>
        <w:t xml:space="preserve"> </w:t>
      </w:r>
      <w:r w:rsidRPr="00544CA7">
        <w:rPr>
          <w:rFonts w:ascii="Arial" w:hAnsi="Arial" w:cs="Arial"/>
          <w:sz w:val="22"/>
          <w:szCs w:val="22"/>
          <w:lang w:val="en-US"/>
        </w:rPr>
        <w:t xml:space="preserve">Neuralgia, convulsions. </w:t>
      </w:r>
      <w:r w:rsidRPr="00EC244E">
        <w:rPr>
          <w:rFonts w:ascii="Arial" w:hAnsi="Arial" w:cs="Arial"/>
          <w:sz w:val="22"/>
          <w:szCs w:val="22"/>
        </w:rPr>
        <w:t>Neurological disorders, such as encephalomyelitis</w:t>
      </w:r>
      <w:r w:rsidR="008A0174">
        <w:rPr>
          <w:rFonts w:ascii="Arial" w:hAnsi="Arial" w:cs="Arial"/>
          <w:sz w:val="22"/>
          <w:szCs w:val="22"/>
        </w:rPr>
        <w:t>,</w:t>
      </w:r>
      <w:r>
        <w:rPr>
          <w:rFonts w:ascii="Arial" w:hAnsi="Arial" w:cs="Arial"/>
          <w:sz w:val="22"/>
          <w:szCs w:val="22"/>
        </w:rPr>
        <w:t xml:space="preserve"> </w:t>
      </w:r>
      <w:r w:rsidRPr="00EC244E">
        <w:rPr>
          <w:rFonts w:ascii="Arial" w:hAnsi="Arial" w:cs="Arial"/>
          <w:sz w:val="22"/>
          <w:szCs w:val="22"/>
        </w:rPr>
        <w:t>neuritis</w:t>
      </w:r>
      <w:r w:rsidR="008A0174" w:rsidRPr="008A0174">
        <w:rPr>
          <w:rFonts w:ascii="Arial" w:hAnsi="Arial" w:cs="Arial"/>
          <w:sz w:val="22"/>
          <w:szCs w:val="22"/>
        </w:rPr>
        <w:t xml:space="preserve"> </w:t>
      </w:r>
      <w:r w:rsidR="008A0174">
        <w:rPr>
          <w:rFonts w:ascii="Arial" w:hAnsi="Arial" w:cs="Arial"/>
          <w:sz w:val="22"/>
          <w:szCs w:val="22"/>
        </w:rPr>
        <w:t xml:space="preserve">and </w:t>
      </w:r>
      <w:r w:rsidR="008A0174" w:rsidRPr="003B79DD">
        <w:rPr>
          <w:rFonts w:ascii="Arial" w:hAnsi="Arial" w:cs="Arial"/>
          <w:sz w:val="22"/>
          <w:szCs w:val="22"/>
        </w:rPr>
        <w:t>Guillain Barré syndrome</w:t>
      </w:r>
      <w:r w:rsidRPr="00EC244E">
        <w:rPr>
          <w:rFonts w:ascii="Arial" w:hAnsi="Arial" w:cs="Arial"/>
          <w:sz w:val="22"/>
          <w:szCs w:val="22"/>
        </w:rPr>
        <w:t>.</w:t>
      </w:r>
    </w:p>
    <w:p w:rsidR="00830E16" w:rsidRPr="00EC244E" w:rsidRDefault="00830E16" w:rsidP="00830E16">
      <w:pPr>
        <w:spacing w:line="360" w:lineRule="atLeast"/>
        <w:rPr>
          <w:rFonts w:ascii="Arial" w:hAnsi="Arial" w:cs="Arial"/>
          <w:sz w:val="22"/>
          <w:szCs w:val="22"/>
        </w:rPr>
      </w:pPr>
      <w:r w:rsidRPr="00EC244E">
        <w:rPr>
          <w:rFonts w:ascii="Arial" w:hAnsi="Arial" w:cs="Arial"/>
          <w:b/>
          <w:sz w:val="22"/>
          <w:szCs w:val="22"/>
          <w:u w:val="single"/>
          <w:lang w:val="en-US"/>
        </w:rPr>
        <w:t>Vascular disorders:</w:t>
      </w:r>
      <w:r w:rsidRPr="00EC244E">
        <w:rPr>
          <w:rFonts w:ascii="Arial" w:hAnsi="Arial" w:cs="Arial"/>
          <w:sz w:val="22"/>
          <w:szCs w:val="22"/>
          <w:lang w:val="en-US"/>
        </w:rPr>
        <w:t xml:space="preserve"> </w:t>
      </w:r>
      <w:r w:rsidRPr="00EC244E">
        <w:rPr>
          <w:rFonts w:ascii="Arial" w:hAnsi="Arial" w:cs="Arial"/>
          <w:sz w:val="22"/>
          <w:szCs w:val="22"/>
        </w:rPr>
        <w:t>Vasculitis with transient renal involvement.</w:t>
      </w:r>
    </w:p>
    <w:p w:rsidR="00A85FC7" w:rsidRDefault="00830E16" w:rsidP="00C53ACE">
      <w:pPr>
        <w:pStyle w:val="Heading2"/>
        <w:spacing w:before="0" w:after="160"/>
        <w:rPr>
          <w:rFonts w:ascii="Arial" w:hAnsi="Arial" w:cs="Arial"/>
          <w:snapToGrid w:val="0"/>
          <w:sz w:val="22"/>
          <w:szCs w:val="22"/>
        </w:rPr>
      </w:pPr>
      <w:r w:rsidRPr="00830E16">
        <w:rPr>
          <w:rFonts w:ascii="Arial" w:hAnsi="Arial" w:cs="Arial"/>
          <w:sz w:val="22"/>
          <w:szCs w:val="22"/>
          <w:lang w:val="en-US"/>
        </w:rPr>
        <w:t>Skin and subcutaneous tissue disorders:</w:t>
      </w:r>
      <w:r w:rsidRPr="00EC244E">
        <w:rPr>
          <w:rFonts w:ascii="Arial" w:hAnsi="Arial" w:cs="Arial"/>
          <w:sz w:val="22"/>
          <w:szCs w:val="22"/>
          <w:lang w:val="en-US"/>
        </w:rPr>
        <w:t xml:space="preserve"> </w:t>
      </w:r>
      <w:r w:rsidRPr="00830E16">
        <w:rPr>
          <w:rFonts w:ascii="Arial" w:hAnsi="Arial" w:cs="Arial"/>
          <w:b w:val="0"/>
          <w:snapToGrid w:val="0"/>
          <w:sz w:val="22"/>
          <w:szCs w:val="22"/>
          <w:u w:val="none"/>
        </w:rPr>
        <w:t>Generalised skin reactions including urticaria</w:t>
      </w:r>
    </w:p>
    <w:p w:rsidR="009F009F" w:rsidRPr="00EC244E" w:rsidRDefault="009F009F" w:rsidP="00C53ACE">
      <w:pPr>
        <w:pStyle w:val="Heading2"/>
        <w:spacing w:after="160"/>
        <w:rPr>
          <w:rFonts w:ascii="Arial" w:hAnsi="Arial"/>
          <w:sz w:val="22"/>
        </w:rPr>
      </w:pPr>
      <w:r w:rsidRPr="00EC244E">
        <w:rPr>
          <w:rFonts w:ascii="Arial" w:hAnsi="Arial"/>
          <w:sz w:val="22"/>
        </w:rPr>
        <w:t>DOSAGE AND ADMINISTRATION</w:t>
      </w:r>
    </w:p>
    <w:p w:rsidR="009F009F" w:rsidRPr="00EC244E" w:rsidRDefault="009F009F">
      <w:pPr>
        <w:pStyle w:val="Heading2"/>
        <w:rPr>
          <w:rFonts w:ascii="Arial" w:hAnsi="Arial"/>
          <w:sz w:val="22"/>
        </w:rPr>
      </w:pPr>
      <w:r w:rsidRPr="00EC244E">
        <w:rPr>
          <w:rFonts w:ascii="Arial" w:hAnsi="Arial"/>
          <w:sz w:val="22"/>
        </w:rPr>
        <w:t>Dosage</w:t>
      </w:r>
    </w:p>
    <w:p w:rsidR="008B2B97" w:rsidRDefault="00B20C9C" w:rsidP="00517673">
      <w:pPr>
        <w:spacing w:line="360" w:lineRule="atLeast"/>
        <w:rPr>
          <w:rFonts w:ascii="Arial" w:hAnsi="Arial" w:cs="Arial"/>
          <w:sz w:val="22"/>
          <w:szCs w:val="22"/>
        </w:rPr>
      </w:pPr>
      <w:r>
        <w:rPr>
          <w:rFonts w:ascii="Arial" w:hAnsi="Arial" w:cs="Arial"/>
          <w:sz w:val="22"/>
          <w:szCs w:val="22"/>
          <w:u w:val="single"/>
        </w:rPr>
        <w:t>Individuals</w:t>
      </w:r>
      <w:r w:rsidRPr="004A2136">
        <w:rPr>
          <w:rFonts w:ascii="Arial" w:hAnsi="Arial" w:cs="Arial"/>
          <w:sz w:val="22"/>
          <w:szCs w:val="22"/>
          <w:u w:val="single"/>
        </w:rPr>
        <w:t xml:space="preserve"> </w:t>
      </w:r>
      <w:r w:rsidR="008B2B97" w:rsidRPr="004A2136">
        <w:rPr>
          <w:rFonts w:ascii="Arial" w:hAnsi="Arial" w:cs="Arial"/>
          <w:sz w:val="22"/>
          <w:szCs w:val="22"/>
          <w:u w:val="single"/>
        </w:rPr>
        <w:t>aged</w:t>
      </w:r>
      <w:r>
        <w:rPr>
          <w:rFonts w:ascii="Arial" w:hAnsi="Arial" w:cs="Arial"/>
          <w:sz w:val="22"/>
          <w:szCs w:val="22"/>
          <w:u w:val="single"/>
        </w:rPr>
        <w:t xml:space="preserve"> 20</w:t>
      </w:r>
      <w:r w:rsidR="008B2B97" w:rsidRPr="004A2136">
        <w:rPr>
          <w:rFonts w:ascii="Arial" w:hAnsi="Arial" w:cs="Arial"/>
          <w:sz w:val="22"/>
          <w:szCs w:val="22"/>
          <w:u w:val="single"/>
        </w:rPr>
        <w:t xml:space="preserve"> years and older</w:t>
      </w:r>
      <w:r w:rsidR="008B2B97">
        <w:rPr>
          <w:rFonts w:ascii="Arial" w:hAnsi="Arial" w:cs="Arial"/>
          <w:sz w:val="22"/>
          <w:szCs w:val="22"/>
        </w:rPr>
        <w:t>:</w:t>
      </w:r>
    </w:p>
    <w:p w:rsidR="008B2B97" w:rsidRDefault="008B2B97" w:rsidP="00517673">
      <w:pPr>
        <w:spacing w:line="360" w:lineRule="atLeast"/>
        <w:rPr>
          <w:rFonts w:ascii="Arial" w:hAnsi="Arial" w:cs="Arial"/>
          <w:sz w:val="22"/>
          <w:szCs w:val="22"/>
        </w:rPr>
      </w:pPr>
      <w:r w:rsidRPr="008B2B97">
        <w:rPr>
          <w:rFonts w:ascii="Arial" w:hAnsi="Arial" w:cs="Arial"/>
          <w:sz w:val="22"/>
          <w:szCs w:val="22"/>
        </w:rPr>
        <w:t>One or two doses of 0.5 ml.</w:t>
      </w:r>
    </w:p>
    <w:p w:rsidR="008B2B97" w:rsidRDefault="008B2B97" w:rsidP="00C53ACE">
      <w:pPr>
        <w:spacing w:before="160" w:after="160" w:line="360" w:lineRule="atLeast"/>
        <w:rPr>
          <w:rFonts w:ascii="Arial" w:hAnsi="Arial" w:cs="Arial"/>
          <w:sz w:val="22"/>
          <w:szCs w:val="22"/>
        </w:rPr>
      </w:pPr>
      <w:r>
        <w:rPr>
          <w:rFonts w:ascii="Arial" w:hAnsi="Arial" w:cs="Arial"/>
          <w:sz w:val="22"/>
          <w:szCs w:val="22"/>
        </w:rPr>
        <w:t xml:space="preserve">Immunogenicity data obtained at three weeks after administration of </w:t>
      </w:r>
      <w:r w:rsidRPr="00E74AFA">
        <w:rPr>
          <w:rFonts w:ascii="Arial" w:hAnsi="Arial" w:cs="Arial"/>
          <w:i/>
          <w:sz w:val="22"/>
          <w:szCs w:val="22"/>
        </w:rPr>
        <w:t>P</w:t>
      </w:r>
      <w:r w:rsidR="00E74AFA">
        <w:rPr>
          <w:rFonts w:ascii="Arial" w:hAnsi="Arial" w:cs="Arial"/>
          <w:i/>
          <w:sz w:val="22"/>
          <w:szCs w:val="22"/>
        </w:rPr>
        <w:t>ANDEMRIX</w:t>
      </w:r>
      <w:r w:rsidRPr="00E74AFA">
        <w:rPr>
          <w:rFonts w:ascii="Arial" w:hAnsi="Arial" w:cs="Arial"/>
          <w:i/>
          <w:sz w:val="22"/>
          <w:szCs w:val="22"/>
        </w:rPr>
        <w:t xml:space="preserve"> H1N1</w:t>
      </w:r>
      <w:r>
        <w:rPr>
          <w:rFonts w:ascii="Arial" w:hAnsi="Arial" w:cs="Arial"/>
          <w:sz w:val="22"/>
          <w:szCs w:val="22"/>
        </w:rPr>
        <w:t xml:space="preserve"> in clinical studies suggest a single dose may be sufficient.</w:t>
      </w:r>
    </w:p>
    <w:p w:rsidR="008B2B97" w:rsidRDefault="008B2B97" w:rsidP="00C53ACE">
      <w:pPr>
        <w:spacing w:before="160" w:after="160" w:line="360" w:lineRule="atLeast"/>
        <w:rPr>
          <w:rFonts w:ascii="Arial" w:hAnsi="Arial" w:cs="Arial"/>
          <w:sz w:val="22"/>
          <w:szCs w:val="22"/>
        </w:rPr>
      </w:pPr>
      <w:r>
        <w:rPr>
          <w:rFonts w:ascii="Arial" w:hAnsi="Arial" w:cs="Arial"/>
          <w:sz w:val="22"/>
          <w:szCs w:val="22"/>
        </w:rPr>
        <w:t>If a second dose is administered there should be an interval of at least three weeks between the first and the second dose.</w:t>
      </w:r>
    </w:p>
    <w:p w:rsidR="00323A98" w:rsidRDefault="00323A98" w:rsidP="00C53ACE">
      <w:pPr>
        <w:spacing w:before="160" w:after="160" w:line="360" w:lineRule="atLeast"/>
        <w:rPr>
          <w:rFonts w:ascii="Arial" w:hAnsi="Arial" w:cs="Arial"/>
          <w:sz w:val="22"/>
          <w:szCs w:val="22"/>
        </w:rPr>
      </w:pPr>
      <w:r>
        <w:rPr>
          <w:rFonts w:ascii="Arial" w:hAnsi="Arial" w:cs="Arial"/>
          <w:sz w:val="22"/>
          <w:szCs w:val="22"/>
        </w:rPr>
        <w:t>Vaccination should be carried out by intramuscular injection.</w:t>
      </w:r>
    </w:p>
    <w:p w:rsidR="009F009F" w:rsidRPr="00EC244E" w:rsidRDefault="008B40C6">
      <w:pPr>
        <w:pStyle w:val="Heading2"/>
        <w:rPr>
          <w:rFonts w:ascii="Arial" w:hAnsi="Arial"/>
          <w:sz w:val="22"/>
        </w:rPr>
      </w:pPr>
      <w:r>
        <w:rPr>
          <w:rFonts w:ascii="Arial" w:hAnsi="Arial"/>
          <w:sz w:val="22"/>
        </w:rPr>
        <w:t xml:space="preserve">Method of </w:t>
      </w:r>
      <w:r w:rsidR="009F009F" w:rsidRPr="00EC244E">
        <w:rPr>
          <w:rFonts w:ascii="Arial" w:hAnsi="Arial"/>
          <w:sz w:val="22"/>
        </w:rPr>
        <w:t>Administration</w:t>
      </w:r>
    </w:p>
    <w:p w:rsidR="00830E16" w:rsidRPr="00EC3B84" w:rsidRDefault="00830E16" w:rsidP="00830E16">
      <w:pPr>
        <w:spacing w:line="360" w:lineRule="atLeast"/>
        <w:rPr>
          <w:rFonts w:ascii="Arial" w:hAnsi="Arial" w:cs="Arial"/>
          <w:sz w:val="22"/>
          <w:szCs w:val="22"/>
        </w:rPr>
      </w:pPr>
      <w:r w:rsidRPr="002B41B9">
        <w:rPr>
          <w:rFonts w:ascii="Arial" w:hAnsi="Arial"/>
          <w:i/>
          <w:sz w:val="22"/>
        </w:rPr>
        <w:t>PANDEMRIX</w:t>
      </w:r>
      <w:r>
        <w:rPr>
          <w:rFonts w:ascii="Arial" w:hAnsi="Arial"/>
          <w:i/>
          <w:sz w:val="22"/>
        </w:rPr>
        <w:t xml:space="preserve"> H1N1 </w:t>
      </w:r>
      <w:r w:rsidRPr="00EC3B84">
        <w:rPr>
          <w:rFonts w:ascii="Arial" w:hAnsi="Arial" w:cs="Arial"/>
          <w:sz w:val="22"/>
          <w:szCs w:val="22"/>
        </w:rPr>
        <w:t xml:space="preserve">consists of two containers: one multidose vial containing the antigen (suspension) and a second multidose vial containing the adjuvant (emulsion). The suspension is a colourless light opalescent liquid. The emulsion is a whitish </w:t>
      </w:r>
      <w:r>
        <w:rPr>
          <w:rFonts w:ascii="Arial" w:hAnsi="Arial" w:cs="Arial"/>
          <w:sz w:val="22"/>
          <w:szCs w:val="22"/>
        </w:rPr>
        <w:t xml:space="preserve">to yellowish (milky) </w:t>
      </w:r>
      <w:r w:rsidRPr="00EC3B84">
        <w:rPr>
          <w:rFonts w:ascii="Arial" w:hAnsi="Arial" w:cs="Arial"/>
          <w:sz w:val="22"/>
          <w:szCs w:val="22"/>
        </w:rPr>
        <w:t>homogeneous liquid.</w:t>
      </w:r>
    </w:p>
    <w:p w:rsidR="00830E16" w:rsidRPr="00EC3B84" w:rsidRDefault="00830E16" w:rsidP="00C53ACE">
      <w:pPr>
        <w:spacing w:before="160" w:after="160" w:line="360" w:lineRule="atLeast"/>
        <w:rPr>
          <w:rFonts w:ascii="Arial" w:hAnsi="Arial" w:cs="Arial"/>
          <w:sz w:val="22"/>
          <w:szCs w:val="22"/>
        </w:rPr>
      </w:pPr>
      <w:r w:rsidRPr="00EC3B84">
        <w:rPr>
          <w:rFonts w:ascii="Arial" w:hAnsi="Arial" w:cs="Arial"/>
          <w:sz w:val="22"/>
          <w:szCs w:val="22"/>
        </w:rPr>
        <w:t>Prior to administration, the two components should be mixed.</w:t>
      </w:r>
    </w:p>
    <w:p w:rsidR="00830E16" w:rsidRDefault="00830E16" w:rsidP="00C53ACE">
      <w:pPr>
        <w:spacing w:before="160" w:after="160" w:line="360" w:lineRule="atLeast"/>
        <w:rPr>
          <w:rFonts w:ascii="Arial" w:hAnsi="Arial" w:cs="Arial"/>
          <w:sz w:val="22"/>
          <w:szCs w:val="22"/>
        </w:rPr>
      </w:pPr>
      <w:r w:rsidRPr="00EC3B84">
        <w:rPr>
          <w:rFonts w:ascii="Arial" w:hAnsi="Arial" w:cs="Arial"/>
          <w:sz w:val="22"/>
          <w:szCs w:val="22"/>
        </w:rPr>
        <w:t>Instructions for mixing and administration of the vaccine:</w:t>
      </w:r>
    </w:p>
    <w:p w:rsidR="00830E16" w:rsidRPr="00EC3B84"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sidRPr="00EC3B84">
        <w:rPr>
          <w:rFonts w:ascii="Arial" w:hAnsi="Arial" w:cs="Arial"/>
          <w:sz w:val="22"/>
          <w:szCs w:val="22"/>
        </w:rPr>
        <w:t xml:space="preserve">Before mixing the two components, the emulsion </w:t>
      </w:r>
      <w:r>
        <w:rPr>
          <w:rFonts w:ascii="Arial" w:hAnsi="Arial" w:cs="Arial"/>
          <w:sz w:val="22"/>
          <w:szCs w:val="22"/>
        </w:rPr>
        <w:t xml:space="preserve">(adjuvant) </w:t>
      </w:r>
      <w:r w:rsidRPr="00EC3B84">
        <w:rPr>
          <w:rFonts w:ascii="Arial" w:hAnsi="Arial" w:cs="Arial"/>
          <w:sz w:val="22"/>
          <w:szCs w:val="22"/>
        </w:rPr>
        <w:t xml:space="preserve">and suspension </w:t>
      </w:r>
      <w:r>
        <w:rPr>
          <w:rFonts w:ascii="Arial" w:hAnsi="Arial" w:cs="Arial"/>
          <w:sz w:val="22"/>
          <w:szCs w:val="22"/>
        </w:rPr>
        <w:t xml:space="preserve">(antigen) </w:t>
      </w:r>
      <w:r w:rsidRPr="00EC3B84">
        <w:rPr>
          <w:rFonts w:ascii="Arial" w:hAnsi="Arial" w:cs="Arial"/>
          <w:sz w:val="22"/>
          <w:szCs w:val="22"/>
        </w:rPr>
        <w:t xml:space="preserve">should be </w:t>
      </w:r>
      <w:r>
        <w:rPr>
          <w:rFonts w:ascii="Arial" w:hAnsi="Arial" w:cs="Arial"/>
          <w:sz w:val="22"/>
          <w:szCs w:val="22"/>
        </w:rPr>
        <w:t xml:space="preserve">allowed to reach room temperature; each vial should be </w:t>
      </w:r>
      <w:r w:rsidRPr="00EC3B84">
        <w:rPr>
          <w:rFonts w:ascii="Arial" w:hAnsi="Arial" w:cs="Arial"/>
          <w:sz w:val="22"/>
          <w:szCs w:val="22"/>
        </w:rPr>
        <w:t>shaken and inspected visually for any foreign particulate matter and/or abnormal physical appearance.</w:t>
      </w:r>
      <w:r>
        <w:rPr>
          <w:rFonts w:ascii="Arial" w:hAnsi="Arial" w:cs="Arial"/>
          <w:sz w:val="22"/>
          <w:szCs w:val="22"/>
        </w:rPr>
        <w:t xml:space="preserve"> In the event of either being observed (including rubber particles from the stopper), discard the vaccine.</w:t>
      </w:r>
    </w:p>
    <w:p w:rsidR="00830E16" w:rsidRPr="00EC3B84"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sidRPr="00EC3B84">
        <w:rPr>
          <w:rFonts w:ascii="Arial" w:hAnsi="Arial" w:cs="Arial"/>
          <w:sz w:val="22"/>
          <w:szCs w:val="22"/>
        </w:rPr>
        <w:t xml:space="preserve">The vaccine is mixed by withdrawing the contents of the vial containing the </w:t>
      </w:r>
      <w:r>
        <w:rPr>
          <w:rFonts w:ascii="Arial" w:hAnsi="Arial" w:cs="Arial"/>
          <w:sz w:val="22"/>
          <w:szCs w:val="22"/>
        </w:rPr>
        <w:t>adjuvant</w:t>
      </w:r>
      <w:r w:rsidRPr="00EC3B84">
        <w:rPr>
          <w:rFonts w:ascii="Arial" w:hAnsi="Arial" w:cs="Arial"/>
          <w:sz w:val="22"/>
          <w:szCs w:val="22"/>
        </w:rPr>
        <w:t xml:space="preserve"> by means of a </w:t>
      </w:r>
      <w:r>
        <w:rPr>
          <w:rFonts w:ascii="Arial" w:hAnsi="Arial" w:cs="Arial"/>
          <w:sz w:val="22"/>
          <w:szCs w:val="22"/>
        </w:rPr>
        <w:t xml:space="preserve">5 mL </w:t>
      </w:r>
      <w:r w:rsidRPr="00EC3B84">
        <w:rPr>
          <w:rFonts w:ascii="Arial" w:hAnsi="Arial" w:cs="Arial"/>
          <w:sz w:val="22"/>
          <w:szCs w:val="22"/>
        </w:rPr>
        <w:t xml:space="preserve">syringe and by adding it to the vial containing the </w:t>
      </w:r>
      <w:r>
        <w:rPr>
          <w:rFonts w:ascii="Arial" w:hAnsi="Arial" w:cs="Arial"/>
          <w:sz w:val="22"/>
          <w:szCs w:val="22"/>
        </w:rPr>
        <w:t>antigen</w:t>
      </w:r>
      <w:r w:rsidRPr="00EC3B84">
        <w:rPr>
          <w:rFonts w:ascii="Arial" w:hAnsi="Arial" w:cs="Arial"/>
          <w:sz w:val="22"/>
          <w:szCs w:val="22"/>
        </w:rPr>
        <w:t xml:space="preserve">. </w:t>
      </w:r>
      <w:r>
        <w:rPr>
          <w:rFonts w:ascii="Arial" w:hAnsi="Arial" w:cs="Arial"/>
          <w:sz w:val="22"/>
          <w:szCs w:val="22"/>
        </w:rPr>
        <w:t xml:space="preserve">It is recommended to equip the syringe with a 23-G needle. The vial containing the adjuvant </w:t>
      </w:r>
      <w:r>
        <w:rPr>
          <w:rFonts w:ascii="Arial" w:hAnsi="Arial" w:cs="Arial"/>
          <w:sz w:val="22"/>
          <w:szCs w:val="22"/>
        </w:rPr>
        <w:lastRenderedPageBreak/>
        <w:t>should be maintained in an upside down position to facilitate the withdrawal of the full contents.</w:t>
      </w:r>
    </w:p>
    <w:p w:rsidR="00830E16" w:rsidRPr="00EC3B84"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sidRPr="00EC3B84">
        <w:rPr>
          <w:rFonts w:ascii="Arial" w:hAnsi="Arial" w:cs="Arial"/>
          <w:sz w:val="22"/>
          <w:szCs w:val="22"/>
        </w:rPr>
        <w:t xml:space="preserve">After the addition of the </w:t>
      </w:r>
      <w:r>
        <w:rPr>
          <w:rFonts w:ascii="Arial" w:hAnsi="Arial" w:cs="Arial"/>
          <w:sz w:val="22"/>
          <w:szCs w:val="22"/>
        </w:rPr>
        <w:t>adjuvant</w:t>
      </w:r>
      <w:r w:rsidRPr="00EC3B84">
        <w:rPr>
          <w:rFonts w:ascii="Arial" w:hAnsi="Arial" w:cs="Arial"/>
          <w:sz w:val="22"/>
          <w:szCs w:val="22"/>
        </w:rPr>
        <w:t xml:space="preserve"> to the </w:t>
      </w:r>
      <w:r>
        <w:rPr>
          <w:rFonts w:ascii="Arial" w:hAnsi="Arial" w:cs="Arial"/>
          <w:sz w:val="22"/>
          <w:szCs w:val="22"/>
        </w:rPr>
        <w:t>antigen</w:t>
      </w:r>
      <w:r w:rsidRPr="00EC3B84">
        <w:rPr>
          <w:rFonts w:ascii="Arial" w:hAnsi="Arial" w:cs="Arial"/>
          <w:sz w:val="22"/>
          <w:szCs w:val="22"/>
        </w:rPr>
        <w:t xml:space="preserve">, the mixture should be well shaken. The mixed vaccine is a whitish </w:t>
      </w:r>
      <w:r>
        <w:rPr>
          <w:rFonts w:ascii="Arial" w:hAnsi="Arial" w:cs="Arial"/>
          <w:sz w:val="22"/>
          <w:szCs w:val="22"/>
        </w:rPr>
        <w:t xml:space="preserve">to yellowish (milky) homogenous </w:t>
      </w:r>
      <w:r w:rsidRPr="00EC3B84">
        <w:rPr>
          <w:rFonts w:ascii="Arial" w:hAnsi="Arial" w:cs="Arial"/>
          <w:sz w:val="22"/>
          <w:szCs w:val="22"/>
        </w:rPr>
        <w:t>emulsion.  In the event of other variation being observed, discard the vaccine.</w:t>
      </w:r>
    </w:p>
    <w:p w:rsidR="00830E16" w:rsidRPr="00EC3B84"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sidRPr="00EC3B84">
        <w:rPr>
          <w:rFonts w:ascii="Arial" w:hAnsi="Arial" w:cs="Arial"/>
          <w:sz w:val="22"/>
          <w:szCs w:val="22"/>
        </w:rPr>
        <w:t xml:space="preserve">The volume of </w:t>
      </w:r>
      <w:r w:rsidRPr="002B41B9">
        <w:rPr>
          <w:rFonts w:ascii="Arial" w:hAnsi="Arial"/>
          <w:i/>
          <w:sz w:val="22"/>
        </w:rPr>
        <w:t>PANDEMRIX</w:t>
      </w:r>
      <w:r>
        <w:rPr>
          <w:rFonts w:ascii="Arial" w:hAnsi="Arial"/>
          <w:i/>
          <w:sz w:val="22"/>
        </w:rPr>
        <w:t xml:space="preserve"> H1N1 </w:t>
      </w:r>
      <w:r w:rsidRPr="00EC3B84">
        <w:rPr>
          <w:rFonts w:ascii="Arial" w:hAnsi="Arial" w:cs="Arial"/>
          <w:sz w:val="22"/>
          <w:szCs w:val="22"/>
        </w:rPr>
        <w:t xml:space="preserve"> </w:t>
      </w:r>
      <w:r>
        <w:rPr>
          <w:rFonts w:ascii="Arial" w:hAnsi="Arial" w:cs="Arial"/>
          <w:sz w:val="22"/>
          <w:szCs w:val="22"/>
        </w:rPr>
        <w:t>vial after mixing is at least 5 mL. The vaccine should be administered in accordance with the recommended posology (see Dosage and Administration).</w:t>
      </w:r>
    </w:p>
    <w:p w:rsidR="00830E16" w:rsidRPr="00EC3B84"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sidRPr="00EC3B84">
        <w:rPr>
          <w:rFonts w:ascii="Arial" w:hAnsi="Arial" w:cs="Arial"/>
          <w:sz w:val="22"/>
          <w:szCs w:val="22"/>
        </w:rPr>
        <w:t>The vial should be shaken prior to each administration</w:t>
      </w:r>
      <w:r>
        <w:rPr>
          <w:rFonts w:ascii="Arial" w:hAnsi="Arial" w:cs="Arial"/>
          <w:sz w:val="22"/>
          <w:szCs w:val="22"/>
        </w:rPr>
        <w:t xml:space="preserve"> and inspected visually for any foreign particulate matter and/or abnormal physical appearance. In the event of either being observed (including rubber particles from the stopper), discard the vaccine</w:t>
      </w:r>
      <w:r w:rsidRPr="00EC3B84">
        <w:rPr>
          <w:rFonts w:ascii="Arial" w:hAnsi="Arial" w:cs="Arial"/>
          <w:sz w:val="22"/>
          <w:szCs w:val="22"/>
        </w:rPr>
        <w:t>.</w:t>
      </w:r>
    </w:p>
    <w:p w:rsidR="00830E16" w:rsidRPr="00EC3B84"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sidRPr="00EC3B84">
        <w:rPr>
          <w:rFonts w:ascii="Arial" w:hAnsi="Arial" w:cs="Arial"/>
          <w:sz w:val="22"/>
          <w:szCs w:val="22"/>
        </w:rPr>
        <w:t>Each vaccine dose of 0.5 m</w:t>
      </w:r>
      <w:r>
        <w:rPr>
          <w:rFonts w:ascii="Arial" w:hAnsi="Arial" w:cs="Arial"/>
          <w:sz w:val="22"/>
          <w:szCs w:val="22"/>
        </w:rPr>
        <w:t>L</w:t>
      </w:r>
      <w:r w:rsidRPr="00EC3B84">
        <w:rPr>
          <w:rFonts w:ascii="Arial" w:hAnsi="Arial" w:cs="Arial"/>
          <w:sz w:val="22"/>
          <w:szCs w:val="22"/>
        </w:rPr>
        <w:t xml:space="preserve"> </w:t>
      </w:r>
      <w:r>
        <w:rPr>
          <w:rFonts w:ascii="Arial" w:hAnsi="Arial" w:cs="Arial"/>
          <w:sz w:val="22"/>
          <w:szCs w:val="22"/>
        </w:rPr>
        <w:t xml:space="preserve">(full dose) or 0.25 mL (half dose) </w:t>
      </w:r>
      <w:r w:rsidRPr="00EC3B84">
        <w:rPr>
          <w:rFonts w:ascii="Arial" w:hAnsi="Arial" w:cs="Arial"/>
          <w:sz w:val="22"/>
          <w:szCs w:val="22"/>
        </w:rPr>
        <w:t xml:space="preserve">is withdrawn into a </w:t>
      </w:r>
      <w:r>
        <w:rPr>
          <w:rFonts w:ascii="Arial" w:hAnsi="Arial" w:cs="Arial"/>
          <w:sz w:val="22"/>
          <w:szCs w:val="22"/>
        </w:rPr>
        <w:t xml:space="preserve">1 mL </w:t>
      </w:r>
      <w:r w:rsidRPr="00EC3B84">
        <w:rPr>
          <w:rFonts w:ascii="Arial" w:hAnsi="Arial" w:cs="Arial"/>
          <w:sz w:val="22"/>
          <w:szCs w:val="22"/>
        </w:rPr>
        <w:t>syringe for injection</w:t>
      </w:r>
      <w:r>
        <w:rPr>
          <w:rFonts w:ascii="Arial" w:hAnsi="Arial" w:cs="Arial"/>
          <w:sz w:val="22"/>
          <w:szCs w:val="22"/>
        </w:rPr>
        <w:t xml:space="preserve"> and administered intramuscularly</w:t>
      </w:r>
      <w:r w:rsidRPr="00EC3B84">
        <w:rPr>
          <w:rFonts w:ascii="Arial" w:hAnsi="Arial" w:cs="Arial"/>
          <w:sz w:val="22"/>
          <w:szCs w:val="22"/>
        </w:rPr>
        <w:t xml:space="preserve">. </w:t>
      </w:r>
      <w:r>
        <w:rPr>
          <w:rFonts w:ascii="Arial" w:hAnsi="Arial" w:cs="Arial"/>
          <w:sz w:val="22"/>
          <w:szCs w:val="22"/>
        </w:rPr>
        <w:t>It is recommended to equip the syringe with a needle gauge not larger than 23-G.</w:t>
      </w:r>
      <w:r w:rsidRPr="00EC3B84" w:rsidDel="0069698E">
        <w:rPr>
          <w:rFonts w:ascii="Arial" w:hAnsi="Arial" w:cs="Arial"/>
          <w:sz w:val="22"/>
          <w:szCs w:val="22"/>
        </w:rPr>
        <w:t xml:space="preserve"> </w:t>
      </w:r>
    </w:p>
    <w:p w:rsidR="00830E16" w:rsidRPr="0069698E" w:rsidRDefault="00830E16" w:rsidP="00830E16">
      <w:pPr>
        <w:numPr>
          <w:ilvl w:val="0"/>
          <w:numId w:val="2"/>
        </w:numPr>
        <w:tabs>
          <w:tab w:val="clear" w:pos="720"/>
          <w:tab w:val="left" w:pos="570"/>
        </w:tabs>
        <w:spacing w:after="240" w:line="360" w:lineRule="atLeast"/>
        <w:ind w:left="570" w:hanging="570"/>
        <w:rPr>
          <w:rFonts w:ascii="Arial" w:hAnsi="Arial" w:cs="Arial"/>
          <w:sz w:val="22"/>
          <w:szCs w:val="22"/>
        </w:rPr>
      </w:pPr>
      <w:r>
        <w:rPr>
          <w:rFonts w:ascii="Arial" w:hAnsi="Arial" w:cs="Arial"/>
          <w:sz w:val="22"/>
          <w:szCs w:val="22"/>
        </w:rPr>
        <w:t xml:space="preserve">After mixing, use the vaccine within 24 hours. The mixed vaccine can either be stored in a refrigerator (2ºC - 8ºC) or at room temperature not exceeding 25ºC. If the mixed vaccine is stored in a refrigerator, it should be allowed to reach room temperature before each withdrawal. </w:t>
      </w:r>
    </w:p>
    <w:p w:rsidR="00830E16" w:rsidRDefault="00830E16" w:rsidP="00294DA3">
      <w:pPr>
        <w:spacing w:after="160" w:line="360" w:lineRule="atLeast"/>
        <w:rPr>
          <w:rFonts w:ascii="Arial" w:hAnsi="Arial" w:cs="Arial"/>
          <w:sz w:val="22"/>
          <w:szCs w:val="22"/>
        </w:rPr>
      </w:pPr>
      <w:r>
        <w:rPr>
          <w:rFonts w:ascii="Arial" w:hAnsi="Arial" w:cs="Arial"/>
          <w:sz w:val="22"/>
          <w:szCs w:val="22"/>
        </w:rPr>
        <w:t>Any unused product or waste material should be disposed of in accordance with local requirements.</w:t>
      </w:r>
    </w:p>
    <w:p w:rsidR="00830E16" w:rsidRPr="0069698E" w:rsidRDefault="00830E16" w:rsidP="00294DA3">
      <w:pPr>
        <w:spacing w:after="160" w:line="360" w:lineRule="atLeast"/>
        <w:rPr>
          <w:rFonts w:ascii="Arial" w:hAnsi="Arial" w:cs="Arial"/>
          <w:sz w:val="22"/>
          <w:szCs w:val="22"/>
        </w:rPr>
      </w:pPr>
      <w:r w:rsidRPr="0069698E">
        <w:rPr>
          <w:rFonts w:ascii="Arial" w:hAnsi="Arial" w:cs="Arial"/>
          <w:sz w:val="22"/>
          <w:szCs w:val="22"/>
        </w:rPr>
        <w:t>In the absence of compatibility studies, this medicinal product must not be mixed with other medicinal products.</w:t>
      </w:r>
    </w:p>
    <w:p w:rsidR="009F009F" w:rsidRDefault="008B40C6">
      <w:pPr>
        <w:spacing w:line="360" w:lineRule="atLeast"/>
        <w:jc w:val="both"/>
        <w:rPr>
          <w:rFonts w:ascii="Arial" w:hAnsi="Arial"/>
          <w:b/>
          <w:sz w:val="22"/>
          <w:u w:val="single"/>
        </w:rPr>
      </w:pPr>
      <w:r>
        <w:rPr>
          <w:rFonts w:ascii="Arial" w:hAnsi="Arial"/>
          <w:b/>
          <w:sz w:val="22"/>
          <w:u w:val="single"/>
        </w:rPr>
        <w:t>O</w:t>
      </w:r>
      <w:smartTag w:uri="schemas-GSKSiteLocations-com/fourthcoffee" w:element="flavor">
        <w:r>
          <w:rPr>
            <w:rFonts w:ascii="Arial" w:hAnsi="Arial"/>
            <w:b/>
            <w:sz w:val="22"/>
            <w:u w:val="single"/>
          </w:rPr>
          <w:t>VER</w:t>
        </w:r>
      </w:smartTag>
      <w:r>
        <w:rPr>
          <w:rFonts w:ascii="Arial" w:hAnsi="Arial"/>
          <w:b/>
          <w:sz w:val="22"/>
          <w:u w:val="single"/>
        </w:rPr>
        <w:t>DO</w:t>
      </w:r>
      <w:r w:rsidR="00DC4BBF">
        <w:rPr>
          <w:rFonts w:ascii="Arial" w:hAnsi="Arial"/>
          <w:b/>
          <w:sz w:val="22"/>
          <w:u w:val="single"/>
        </w:rPr>
        <w:t>S</w:t>
      </w:r>
      <w:r>
        <w:rPr>
          <w:rFonts w:ascii="Arial" w:hAnsi="Arial"/>
          <w:b/>
          <w:sz w:val="22"/>
          <w:u w:val="single"/>
        </w:rPr>
        <w:t>AGE</w:t>
      </w:r>
    </w:p>
    <w:p w:rsidR="008B40C6" w:rsidRDefault="008B40C6">
      <w:pPr>
        <w:spacing w:line="360" w:lineRule="atLeast"/>
        <w:jc w:val="both"/>
        <w:rPr>
          <w:rFonts w:ascii="Arial" w:hAnsi="Arial"/>
          <w:sz w:val="22"/>
        </w:rPr>
      </w:pPr>
      <w:r>
        <w:rPr>
          <w:rFonts w:ascii="Arial" w:hAnsi="Arial"/>
          <w:sz w:val="22"/>
        </w:rPr>
        <w:t>Insufficient data are available.</w:t>
      </w:r>
    </w:p>
    <w:p w:rsidR="00323A98" w:rsidRDefault="00323A98" w:rsidP="00294DA3">
      <w:pPr>
        <w:spacing w:before="160" w:after="160" w:line="360" w:lineRule="atLeast"/>
        <w:jc w:val="both"/>
        <w:rPr>
          <w:rFonts w:ascii="Arial" w:hAnsi="Arial"/>
          <w:sz w:val="22"/>
        </w:rPr>
      </w:pPr>
      <w:r>
        <w:rPr>
          <w:rFonts w:ascii="Arial" w:hAnsi="Arial"/>
          <w:sz w:val="22"/>
        </w:rPr>
        <w:t>For advice on management of over dosage, please contact the Poisons Information Centre on 131126</w:t>
      </w:r>
    </w:p>
    <w:p w:rsidR="009F009F" w:rsidRPr="00EC244E" w:rsidRDefault="00D0001B">
      <w:pPr>
        <w:pStyle w:val="Heading2"/>
        <w:rPr>
          <w:rFonts w:ascii="Arial" w:hAnsi="Arial"/>
          <w:sz w:val="22"/>
        </w:rPr>
      </w:pPr>
      <w:r>
        <w:rPr>
          <w:rFonts w:ascii="Arial" w:hAnsi="Arial"/>
          <w:sz w:val="22"/>
        </w:rPr>
        <w:t xml:space="preserve">PRESENTATION AND </w:t>
      </w:r>
      <w:r w:rsidR="009F009F" w:rsidRPr="00EC244E">
        <w:rPr>
          <w:rFonts w:ascii="Arial" w:hAnsi="Arial"/>
          <w:sz w:val="22"/>
        </w:rPr>
        <w:t>STORAGE</w:t>
      </w:r>
      <w:r>
        <w:rPr>
          <w:rFonts w:ascii="Arial" w:hAnsi="Arial"/>
          <w:sz w:val="22"/>
        </w:rPr>
        <w:t xml:space="preserve"> CONDITIONS</w:t>
      </w:r>
    </w:p>
    <w:p w:rsidR="009F009F" w:rsidRPr="00EC244E" w:rsidRDefault="00D0001B" w:rsidP="00294DA3">
      <w:pPr>
        <w:pStyle w:val="Heading2"/>
        <w:rPr>
          <w:rFonts w:ascii="Arial" w:hAnsi="Arial"/>
          <w:sz w:val="22"/>
        </w:rPr>
      </w:pPr>
      <w:r w:rsidRPr="00EC244E">
        <w:rPr>
          <w:rFonts w:ascii="Arial" w:hAnsi="Arial"/>
          <w:sz w:val="22"/>
        </w:rPr>
        <w:t>Presentations</w:t>
      </w:r>
    </w:p>
    <w:p w:rsidR="00A85FC7" w:rsidRPr="00EC244E" w:rsidRDefault="00A85FC7" w:rsidP="00A85FC7">
      <w:pPr>
        <w:spacing w:line="360" w:lineRule="atLeast"/>
        <w:rPr>
          <w:rFonts w:ascii="Arial" w:hAnsi="Arial" w:cs="Arial"/>
          <w:sz w:val="22"/>
          <w:szCs w:val="22"/>
        </w:rPr>
      </w:pPr>
      <w:r w:rsidRPr="00EC244E">
        <w:rPr>
          <w:rFonts w:ascii="Arial" w:hAnsi="Arial" w:cs="Arial"/>
          <w:sz w:val="22"/>
          <w:szCs w:val="22"/>
        </w:rPr>
        <w:t>2.5 ml suspension in a vial (type I glass) for 10 doses with a stopper.  Pack size of 50.</w:t>
      </w:r>
    </w:p>
    <w:p w:rsidR="00294DA3" w:rsidRDefault="00A85FC7" w:rsidP="00A85FC7">
      <w:pPr>
        <w:spacing w:line="360" w:lineRule="atLeast"/>
        <w:rPr>
          <w:rFonts w:ascii="Arial" w:hAnsi="Arial" w:cs="Arial"/>
          <w:sz w:val="22"/>
          <w:szCs w:val="22"/>
        </w:rPr>
      </w:pPr>
      <w:r w:rsidRPr="00EC244E">
        <w:rPr>
          <w:rFonts w:ascii="Arial" w:hAnsi="Arial" w:cs="Arial"/>
          <w:sz w:val="22"/>
          <w:szCs w:val="22"/>
        </w:rPr>
        <w:t>2.5 ml emulsion in a vial (type I glass) for 10 doses with a stopper.  Pack size of 25 X 2.</w:t>
      </w:r>
    </w:p>
    <w:p w:rsidR="00294DA3" w:rsidRDefault="00294DA3">
      <w:pPr>
        <w:rPr>
          <w:rFonts w:ascii="Arial" w:hAnsi="Arial" w:cs="Arial"/>
          <w:sz w:val="22"/>
          <w:szCs w:val="22"/>
        </w:rPr>
      </w:pPr>
      <w:r>
        <w:rPr>
          <w:rFonts w:ascii="Arial" w:hAnsi="Arial" w:cs="Arial"/>
          <w:sz w:val="22"/>
          <w:szCs w:val="22"/>
        </w:rPr>
        <w:br w:type="page"/>
      </w:r>
    </w:p>
    <w:p w:rsidR="00A85FC7" w:rsidRPr="00D0001B" w:rsidRDefault="00E77FC5" w:rsidP="00294DA3">
      <w:pPr>
        <w:spacing w:before="160" w:line="360" w:lineRule="atLeast"/>
        <w:jc w:val="both"/>
        <w:rPr>
          <w:rFonts w:ascii="Arial" w:hAnsi="Arial"/>
          <w:b/>
          <w:sz w:val="22"/>
          <w:u w:val="single"/>
        </w:rPr>
      </w:pPr>
      <w:r w:rsidRPr="00E77FC5">
        <w:rPr>
          <w:rFonts w:ascii="Arial" w:hAnsi="Arial"/>
          <w:b/>
          <w:sz w:val="22"/>
          <w:u w:val="single"/>
        </w:rPr>
        <w:lastRenderedPageBreak/>
        <w:t>Storage</w:t>
      </w:r>
    </w:p>
    <w:p w:rsidR="00D0001B" w:rsidRPr="00EC244E" w:rsidRDefault="00D0001B" w:rsidP="00D0001B">
      <w:pPr>
        <w:spacing w:line="360" w:lineRule="atLeast"/>
        <w:rPr>
          <w:rFonts w:ascii="Arial" w:hAnsi="Arial" w:cs="Arial"/>
          <w:sz w:val="22"/>
          <w:szCs w:val="22"/>
        </w:rPr>
      </w:pPr>
      <w:r w:rsidRPr="002B41B9">
        <w:rPr>
          <w:rFonts w:ascii="Arial" w:hAnsi="Arial"/>
          <w:i/>
          <w:sz w:val="22"/>
        </w:rPr>
        <w:t>PANDEMRIX</w:t>
      </w:r>
      <w:r>
        <w:rPr>
          <w:rFonts w:ascii="Arial" w:hAnsi="Arial"/>
          <w:i/>
          <w:sz w:val="22"/>
        </w:rPr>
        <w:t xml:space="preserve"> H1N1 </w:t>
      </w:r>
      <w:r>
        <w:rPr>
          <w:rFonts w:ascii="Arial" w:hAnsi="Arial"/>
          <w:sz w:val="22"/>
        </w:rPr>
        <w:t xml:space="preserve">must be stored </w:t>
      </w:r>
      <w:r w:rsidRPr="00EC244E">
        <w:rPr>
          <w:rFonts w:ascii="Arial" w:hAnsi="Arial" w:cs="Arial"/>
          <w:sz w:val="22"/>
          <w:szCs w:val="22"/>
        </w:rPr>
        <w:t xml:space="preserve">in a refrigerator </w:t>
      </w:r>
      <w:r>
        <w:rPr>
          <w:rFonts w:ascii="Arial" w:hAnsi="Arial" w:cs="Arial"/>
          <w:sz w:val="22"/>
          <w:szCs w:val="22"/>
        </w:rPr>
        <w:t>between +</w:t>
      </w:r>
      <w:r w:rsidRPr="00EC244E">
        <w:rPr>
          <w:rFonts w:ascii="Arial" w:hAnsi="Arial" w:cs="Arial"/>
          <w:sz w:val="22"/>
          <w:szCs w:val="22"/>
        </w:rPr>
        <w:t xml:space="preserve">2°C </w:t>
      </w:r>
      <w:r>
        <w:rPr>
          <w:rFonts w:ascii="Arial" w:hAnsi="Arial" w:cs="Arial"/>
          <w:sz w:val="22"/>
          <w:szCs w:val="22"/>
        </w:rPr>
        <w:t>and +</w:t>
      </w:r>
      <w:r w:rsidRPr="00EC244E">
        <w:rPr>
          <w:rFonts w:ascii="Arial" w:hAnsi="Arial" w:cs="Arial"/>
          <w:sz w:val="22"/>
          <w:szCs w:val="22"/>
        </w:rPr>
        <w:t>8°C</w:t>
      </w:r>
      <w:r>
        <w:rPr>
          <w:rFonts w:ascii="Arial" w:hAnsi="Arial" w:cs="Arial"/>
          <w:sz w:val="22"/>
          <w:szCs w:val="22"/>
        </w:rPr>
        <w:t xml:space="preserve"> and be protected from light. DO NOT FREEZE.</w:t>
      </w:r>
    </w:p>
    <w:p w:rsidR="00D0001B" w:rsidRPr="008B40C6" w:rsidRDefault="00D0001B" w:rsidP="00294DA3">
      <w:pPr>
        <w:spacing w:before="160" w:after="160" w:line="360" w:lineRule="atLeast"/>
        <w:jc w:val="both"/>
        <w:rPr>
          <w:rFonts w:ascii="Arial" w:hAnsi="Arial"/>
          <w:sz w:val="22"/>
        </w:rPr>
      </w:pPr>
      <w:r>
        <w:rPr>
          <w:rFonts w:ascii="Arial" w:hAnsi="Arial"/>
          <w:sz w:val="22"/>
        </w:rPr>
        <w:t xml:space="preserve">The expiry date of the vaccine is indicated on the label and packaging.  The shelf life of </w:t>
      </w:r>
      <w:r w:rsidRPr="002B41B9">
        <w:rPr>
          <w:rFonts w:ascii="Arial" w:hAnsi="Arial"/>
          <w:i/>
          <w:sz w:val="22"/>
        </w:rPr>
        <w:t>PANDEMRIX</w:t>
      </w:r>
      <w:r>
        <w:rPr>
          <w:rFonts w:ascii="Arial" w:hAnsi="Arial"/>
          <w:i/>
          <w:sz w:val="22"/>
        </w:rPr>
        <w:t xml:space="preserve"> H1N1 </w:t>
      </w:r>
      <w:r>
        <w:rPr>
          <w:rFonts w:ascii="Arial" w:hAnsi="Arial"/>
          <w:sz w:val="22"/>
        </w:rPr>
        <w:t xml:space="preserve">is 3 years from the date of manufacture if stored between temperatures of </w:t>
      </w:r>
      <w:r>
        <w:rPr>
          <w:rFonts w:ascii="Arial" w:hAnsi="Arial" w:cs="Arial"/>
          <w:sz w:val="22"/>
          <w:szCs w:val="22"/>
        </w:rPr>
        <w:t>+</w:t>
      </w:r>
      <w:r w:rsidRPr="00EC244E">
        <w:rPr>
          <w:rFonts w:ascii="Arial" w:hAnsi="Arial" w:cs="Arial"/>
          <w:sz w:val="22"/>
          <w:szCs w:val="22"/>
        </w:rPr>
        <w:t xml:space="preserve">2°C </w:t>
      </w:r>
      <w:r>
        <w:rPr>
          <w:rFonts w:ascii="Arial" w:hAnsi="Arial" w:cs="Arial"/>
          <w:sz w:val="22"/>
          <w:szCs w:val="22"/>
        </w:rPr>
        <w:t>and +</w:t>
      </w:r>
      <w:r w:rsidRPr="00EC244E">
        <w:rPr>
          <w:rFonts w:ascii="Arial" w:hAnsi="Arial" w:cs="Arial"/>
          <w:sz w:val="22"/>
          <w:szCs w:val="22"/>
        </w:rPr>
        <w:t>8°C</w:t>
      </w:r>
      <w:r>
        <w:rPr>
          <w:rFonts w:ascii="Arial" w:hAnsi="Arial" w:cs="Arial"/>
          <w:sz w:val="22"/>
          <w:szCs w:val="22"/>
        </w:rPr>
        <w:t>.</w:t>
      </w:r>
    </w:p>
    <w:p w:rsidR="00D0001B" w:rsidRPr="00CC1509" w:rsidRDefault="00D0001B" w:rsidP="00294DA3">
      <w:pPr>
        <w:spacing w:before="160" w:after="160" w:line="360" w:lineRule="atLeast"/>
        <w:jc w:val="both"/>
        <w:rPr>
          <w:rFonts w:ascii="Arial" w:hAnsi="Arial"/>
          <w:sz w:val="22"/>
        </w:rPr>
      </w:pPr>
      <w:r w:rsidRPr="00CC1509">
        <w:rPr>
          <w:rFonts w:ascii="Arial" w:hAnsi="Arial"/>
          <w:sz w:val="22"/>
        </w:rPr>
        <w:t>After mixing, the vaccine should be used within one working day.</w:t>
      </w:r>
    </w:p>
    <w:p w:rsidR="009F009F" w:rsidRPr="00544CA7" w:rsidRDefault="009F009F">
      <w:pPr>
        <w:spacing w:line="360" w:lineRule="atLeast"/>
        <w:jc w:val="both"/>
        <w:rPr>
          <w:rFonts w:ascii="Arial" w:hAnsi="Arial"/>
          <w:b/>
          <w:sz w:val="22"/>
        </w:rPr>
      </w:pPr>
      <w:r w:rsidRPr="00544CA7">
        <w:rPr>
          <w:rFonts w:ascii="Arial" w:hAnsi="Arial"/>
          <w:b/>
          <w:sz w:val="22"/>
        </w:rPr>
        <w:t>MANUFACTURER:</w:t>
      </w:r>
    </w:p>
    <w:p w:rsidR="009F009F" w:rsidRPr="00544CA7" w:rsidRDefault="009F009F">
      <w:pPr>
        <w:pStyle w:val="Heading3"/>
        <w:rPr>
          <w:rFonts w:ascii="Arial" w:hAnsi="Arial"/>
          <w:sz w:val="22"/>
        </w:rPr>
      </w:pPr>
      <w:r w:rsidRPr="00544CA7">
        <w:rPr>
          <w:rFonts w:ascii="Arial" w:hAnsi="Arial"/>
          <w:sz w:val="22"/>
        </w:rPr>
        <w:t>GlaxoSmithKline Biologicals SA</w:t>
      </w:r>
    </w:p>
    <w:p w:rsidR="009F009F" w:rsidRPr="00544CA7" w:rsidRDefault="009F009F">
      <w:pPr>
        <w:spacing w:line="360" w:lineRule="atLeast"/>
        <w:jc w:val="both"/>
        <w:rPr>
          <w:rFonts w:ascii="Arial" w:hAnsi="Arial"/>
          <w:sz w:val="22"/>
        </w:rPr>
      </w:pPr>
      <w:r w:rsidRPr="00544CA7">
        <w:rPr>
          <w:rFonts w:ascii="Arial" w:hAnsi="Arial"/>
          <w:sz w:val="22"/>
        </w:rPr>
        <w:t>Rue de l'Institut 89</w:t>
      </w:r>
    </w:p>
    <w:p w:rsidR="009F009F" w:rsidRPr="00EC244E" w:rsidRDefault="009F009F">
      <w:pPr>
        <w:spacing w:line="360" w:lineRule="atLeast"/>
        <w:jc w:val="both"/>
        <w:rPr>
          <w:rFonts w:ascii="Arial" w:hAnsi="Arial"/>
          <w:sz w:val="22"/>
        </w:rPr>
      </w:pPr>
      <w:r w:rsidRPr="00EC244E">
        <w:rPr>
          <w:rFonts w:ascii="Arial" w:hAnsi="Arial"/>
          <w:sz w:val="22"/>
        </w:rPr>
        <w:t>1330 Rixensart, Belgium.</w:t>
      </w:r>
    </w:p>
    <w:p w:rsidR="009F009F" w:rsidRPr="00EC244E" w:rsidRDefault="00D0001B" w:rsidP="00294DA3">
      <w:pPr>
        <w:spacing w:before="160" w:line="360" w:lineRule="atLeast"/>
        <w:jc w:val="both"/>
        <w:rPr>
          <w:rFonts w:ascii="Arial" w:hAnsi="Arial"/>
          <w:b/>
          <w:sz w:val="22"/>
        </w:rPr>
      </w:pPr>
      <w:r>
        <w:rPr>
          <w:rFonts w:ascii="Arial" w:hAnsi="Arial"/>
          <w:b/>
          <w:sz w:val="22"/>
        </w:rPr>
        <w:t>NAME AND ADDRESS OF THE SPONSOR</w:t>
      </w:r>
      <w:r w:rsidR="009F009F" w:rsidRPr="00EC244E">
        <w:rPr>
          <w:rFonts w:ascii="Arial" w:hAnsi="Arial"/>
          <w:b/>
          <w:sz w:val="22"/>
        </w:rPr>
        <w:t>:</w:t>
      </w:r>
    </w:p>
    <w:p w:rsidR="009F009F" w:rsidRDefault="009F009F">
      <w:pPr>
        <w:spacing w:line="360" w:lineRule="atLeast"/>
        <w:jc w:val="both"/>
        <w:rPr>
          <w:rFonts w:ascii="Arial" w:hAnsi="Arial"/>
          <w:sz w:val="22"/>
        </w:rPr>
      </w:pPr>
      <w:r w:rsidRPr="00EC244E">
        <w:rPr>
          <w:rFonts w:ascii="Arial" w:hAnsi="Arial"/>
          <w:sz w:val="22"/>
        </w:rPr>
        <w:t>GlaxoSmithKline Australia Pty Ltd,</w:t>
      </w:r>
    </w:p>
    <w:p w:rsidR="00E74AFA" w:rsidRPr="00E74AFA" w:rsidRDefault="00E74AFA" w:rsidP="00E74AFA">
      <w:pPr>
        <w:spacing w:line="360" w:lineRule="auto"/>
        <w:rPr>
          <w:rStyle w:val="HTMLTypewriter"/>
          <w:rFonts w:ascii="Arial" w:hAnsi="Arial" w:cs="Arial"/>
          <w:color w:val="000000"/>
          <w:sz w:val="22"/>
          <w:szCs w:val="22"/>
        </w:rPr>
      </w:pPr>
      <w:r w:rsidRPr="00E74AFA">
        <w:rPr>
          <w:rStyle w:val="HTMLTypewriter"/>
          <w:rFonts w:ascii="Arial" w:hAnsi="Arial" w:cs="Arial"/>
          <w:color w:val="000000"/>
          <w:sz w:val="22"/>
          <w:szCs w:val="22"/>
        </w:rPr>
        <w:t xml:space="preserve">Level 4, </w:t>
      </w:r>
    </w:p>
    <w:p w:rsidR="00E74AFA" w:rsidRPr="00E74AFA" w:rsidRDefault="00E74AFA" w:rsidP="00E74AFA">
      <w:pPr>
        <w:spacing w:line="360" w:lineRule="auto"/>
        <w:rPr>
          <w:rStyle w:val="HTMLTypewriter"/>
          <w:rFonts w:ascii="Arial" w:hAnsi="Arial" w:cs="Arial"/>
          <w:color w:val="000000"/>
          <w:sz w:val="22"/>
          <w:szCs w:val="22"/>
        </w:rPr>
      </w:pPr>
      <w:r w:rsidRPr="00E74AFA">
        <w:rPr>
          <w:rStyle w:val="HTMLTypewriter"/>
          <w:rFonts w:ascii="Arial" w:hAnsi="Arial" w:cs="Arial"/>
          <w:color w:val="000000"/>
          <w:sz w:val="22"/>
          <w:szCs w:val="22"/>
        </w:rPr>
        <w:t xml:space="preserve">436 Johnston Street, </w:t>
      </w:r>
    </w:p>
    <w:p w:rsidR="00E74AFA" w:rsidRPr="00E74AFA" w:rsidRDefault="00E74AFA" w:rsidP="00E74AFA">
      <w:pPr>
        <w:spacing w:line="360" w:lineRule="auto"/>
        <w:jc w:val="both"/>
        <w:rPr>
          <w:rFonts w:ascii="Arial" w:hAnsi="Arial" w:cs="Arial"/>
          <w:sz w:val="22"/>
          <w:szCs w:val="22"/>
        </w:rPr>
      </w:pPr>
      <w:r w:rsidRPr="00E74AFA">
        <w:rPr>
          <w:rStyle w:val="HTMLTypewriter"/>
          <w:rFonts w:ascii="Arial" w:hAnsi="Arial" w:cs="Arial"/>
          <w:color w:val="000000"/>
          <w:sz w:val="22"/>
          <w:szCs w:val="22"/>
        </w:rPr>
        <w:t>Abbotsford, Victoria, 3067</w:t>
      </w:r>
    </w:p>
    <w:p w:rsidR="00D0001B" w:rsidRPr="00080A3B" w:rsidRDefault="00D0001B" w:rsidP="00294DA3">
      <w:pPr>
        <w:tabs>
          <w:tab w:val="left" w:pos="720"/>
          <w:tab w:val="left" w:pos="1560"/>
          <w:tab w:val="left" w:pos="2280"/>
        </w:tabs>
        <w:spacing w:before="160" w:line="360" w:lineRule="exact"/>
        <w:rPr>
          <w:rFonts w:ascii="Arial" w:hAnsi="Arial"/>
          <w:b/>
          <w:sz w:val="24"/>
          <w:lang w:val="en-GB"/>
        </w:rPr>
      </w:pPr>
      <w:r w:rsidRPr="00080A3B">
        <w:rPr>
          <w:rFonts w:ascii="Arial" w:hAnsi="Arial"/>
          <w:b/>
          <w:sz w:val="24"/>
          <w:lang w:val="en-GB"/>
        </w:rPr>
        <w:t>POISON SCHEDULE</w:t>
      </w:r>
      <w:r>
        <w:rPr>
          <w:rFonts w:ascii="Arial" w:hAnsi="Arial"/>
          <w:b/>
          <w:sz w:val="24"/>
          <w:lang w:val="en-GB"/>
        </w:rPr>
        <w:t xml:space="preserve"> OF THE MEDICINE</w:t>
      </w:r>
    </w:p>
    <w:p w:rsidR="00D0001B" w:rsidRPr="00042B4F" w:rsidRDefault="00E77FC5" w:rsidP="00D0001B">
      <w:pPr>
        <w:tabs>
          <w:tab w:val="left" w:pos="720"/>
          <w:tab w:val="left" w:pos="1560"/>
          <w:tab w:val="left" w:pos="2280"/>
        </w:tabs>
        <w:spacing w:line="360" w:lineRule="exact"/>
        <w:rPr>
          <w:rFonts w:ascii="Arial" w:hAnsi="Arial"/>
          <w:sz w:val="22"/>
          <w:szCs w:val="22"/>
          <w:lang w:val="en-GB"/>
        </w:rPr>
      </w:pPr>
      <w:r w:rsidRPr="00E77FC5">
        <w:rPr>
          <w:rFonts w:ascii="Arial" w:hAnsi="Arial"/>
          <w:sz w:val="22"/>
          <w:szCs w:val="22"/>
          <w:lang w:val="en-GB"/>
        </w:rPr>
        <w:t>Schedule 4 – Prescription only medicine</w:t>
      </w:r>
    </w:p>
    <w:p w:rsidR="00830E16" w:rsidRPr="00042B4F" w:rsidRDefault="007B1110" w:rsidP="00294DA3">
      <w:pPr>
        <w:spacing w:before="160" w:after="160"/>
        <w:rPr>
          <w:rFonts w:ascii="Arial" w:hAnsi="Arial" w:cs="Arial"/>
          <w:sz w:val="22"/>
          <w:szCs w:val="22"/>
        </w:rPr>
      </w:pPr>
      <w:r>
        <w:rPr>
          <w:rFonts w:ascii="Arial" w:hAnsi="Arial"/>
          <w:b/>
          <w:color w:val="000000"/>
          <w:sz w:val="22"/>
          <w:szCs w:val="22"/>
        </w:rPr>
        <w:t>DATE OF FIRST INCLUSION IN THE AUSTRALIAN REGISTER OF THERAPEUTIC GOODS (THE ARTG)</w:t>
      </w:r>
      <w:r w:rsidR="00E77FC5" w:rsidRPr="00E77FC5">
        <w:rPr>
          <w:rFonts w:ascii="Arial" w:hAnsi="Arial"/>
          <w:color w:val="000000"/>
          <w:sz w:val="22"/>
          <w:szCs w:val="22"/>
        </w:rPr>
        <w:t>:</w:t>
      </w:r>
      <w:r>
        <w:rPr>
          <w:rFonts w:ascii="Arial" w:hAnsi="Arial" w:cs="Arial"/>
          <w:sz w:val="22"/>
          <w:szCs w:val="22"/>
        </w:rPr>
        <w:t>9 August 2010</w:t>
      </w:r>
    </w:p>
    <w:p w:rsidR="00830E16" w:rsidRPr="009D1256" w:rsidRDefault="00E77FC5" w:rsidP="00294DA3">
      <w:pPr>
        <w:spacing w:before="160" w:after="160"/>
        <w:rPr>
          <w:rFonts w:ascii="Arial" w:hAnsi="Arial" w:cs="Arial"/>
          <w:sz w:val="22"/>
          <w:szCs w:val="22"/>
        </w:rPr>
      </w:pPr>
      <w:r w:rsidRPr="00E77FC5">
        <w:rPr>
          <w:rFonts w:ascii="Arial" w:hAnsi="Arial" w:cs="Arial"/>
          <w:b/>
          <w:sz w:val="22"/>
          <w:szCs w:val="22"/>
        </w:rPr>
        <w:t>Date of most recent amendment</w:t>
      </w:r>
      <w:r w:rsidR="00830E16" w:rsidRPr="009D1256">
        <w:rPr>
          <w:rFonts w:ascii="Arial" w:hAnsi="Arial" w:cs="Arial"/>
          <w:sz w:val="22"/>
          <w:szCs w:val="22"/>
        </w:rPr>
        <w:t xml:space="preserve">: </w:t>
      </w:r>
      <w:r w:rsidR="007358C0">
        <w:rPr>
          <w:rFonts w:ascii="Arial" w:hAnsi="Arial" w:cs="Arial"/>
          <w:sz w:val="22"/>
          <w:szCs w:val="22"/>
        </w:rPr>
        <w:t>4 July 2012</w:t>
      </w:r>
    </w:p>
    <w:p w:rsidR="00830E16" w:rsidRDefault="00830E16" w:rsidP="00294DA3">
      <w:pPr>
        <w:spacing w:before="160" w:after="160"/>
        <w:jc w:val="both"/>
        <w:rPr>
          <w:rFonts w:ascii="Arial" w:hAnsi="Arial"/>
        </w:rPr>
      </w:pPr>
      <w:r w:rsidRPr="002B41B9">
        <w:rPr>
          <w:rFonts w:ascii="Arial" w:hAnsi="Arial"/>
          <w:i/>
          <w:sz w:val="22"/>
        </w:rPr>
        <w:t>PANDEMRIX</w:t>
      </w:r>
      <w:r>
        <w:rPr>
          <w:rFonts w:ascii="Arial" w:hAnsi="Arial" w:cs="Arial"/>
        </w:rPr>
        <w:t xml:space="preserve">™ </w:t>
      </w:r>
      <w:r w:rsidRPr="00EC244E">
        <w:rPr>
          <w:rFonts w:ascii="Arial" w:hAnsi="Arial"/>
        </w:rPr>
        <w:t>is a trade</w:t>
      </w:r>
      <w:r>
        <w:rPr>
          <w:rFonts w:ascii="Arial" w:hAnsi="Arial"/>
        </w:rPr>
        <w:t xml:space="preserve"> </w:t>
      </w:r>
      <w:r w:rsidRPr="00EC244E">
        <w:rPr>
          <w:rFonts w:ascii="Arial" w:hAnsi="Arial"/>
        </w:rPr>
        <w:t>mark of the GlaxoSmithKline group of companies.</w:t>
      </w:r>
    </w:p>
    <w:p w:rsidR="00830E16" w:rsidRPr="00EC244E" w:rsidRDefault="00830E16" w:rsidP="00294DA3">
      <w:pPr>
        <w:spacing w:before="160" w:after="160"/>
        <w:jc w:val="both"/>
        <w:rPr>
          <w:rFonts w:ascii="Arial" w:hAnsi="Arial"/>
        </w:rPr>
      </w:pPr>
      <w:r>
        <w:rPr>
          <w:rFonts w:ascii="Arial" w:hAnsi="Arial"/>
        </w:rPr>
        <w:t xml:space="preserve">Version </w:t>
      </w:r>
      <w:r w:rsidR="00DA7537">
        <w:rPr>
          <w:rFonts w:ascii="Arial" w:hAnsi="Arial"/>
        </w:rPr>
        <w:t>5</w:t>
      </w:r>
      <w:r w:rsidR="00042B4F">
        <w:rPr>
          <w:rFonts w:ascii="Arial" w:hAnsi="Arial"/>
        </w:rPr>
        <w:t>.0</w:t>
      </w:r>
    </w:p>
    <w:sectPr w:rsidR="00830E16" w:rsidRPr="00EC244E" w:rsidSect="007B111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CCC" w:rsidRDefault="00414CCC">
      <w:r>
        <w:separator/>
      </w:r>
    </w:p>
  </w:endnote>
  <w:endnote w:type="continuationSeparator" w:id="0">
    <w:p w:rsidR="00414CCC" w:rsidRDefault="00414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F5" w:rsidRDefault="00F271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03" w:rsidRPr="00AF48C9" w:rsidRDefault="00864678" w:rsidP="00AF48C9">
    <w:pPr>
      <w:pStyle w:val="Footer"/>
      <w:jc w:val="center"/>
    </w:pPr>
    <w:r>
      <w:rPr>
        <w:rStyle w:val="PageNumber"/>
      </w:rPr>
      <w:fldChar w:fldCharType="begin"/>
    </w:r>
    <w:r w:rsidR="00791B03">
      <w:rPr>
        <w:rStyle w:val="PageNumber"/>
      </w:rPr>
      <w:instrText xml:space="preserve"> PAGE </w:instrText>
    </w:r>
    <w:r>
      <w:rPr>
        <w:rStyle w:val="PageNumber"/>
      </w:rPr>
      <w:fldChar w:fldCharType="separate"/>
    </w:r>
    <w:r w:rsidR="00F271F5">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F5" w:rsidRDefault="00F27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CCC" w:rsidRDefault="00414CCC">
      <w:r>
        <w:separator/>
      </w:r>
    </w:p>
  </w:footnote>
  <w:footnote w:type="continuationSeparator" w:id="0">
    <w:p w:rsidR="00414CCC" w:rsidRDefault="00414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F5" w:rsidRDefault="00F271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03" w:rsidRPr="000E1D6B" w:rsidRDefault="00791B03" w:rsidP="00791B03">
    <w:pPr>
      <w:pStyle w:val="Header"/>
      <w:pBdr>
        <w:top w:val="single" w:sz="4" w:space="1" w:color="auto"/>
        <w:left w:val="single" w:sz="4" w:space="4" w:color="auto"/>
        <w:bottom w:val="single" w:sz="4" w:space="1" w:color="auto"/>
        <w:right w:val="single" w:sz="4" w:space="4" w:color="auto"/>
      </w:pBdr>
      <w:shd w:val="clear" w:color="auto" w:fill="E4F2E0"/>
      <w:rPr>
        <w:rFonts w:ascii="Cambria" w:hAnsi="Cambria"/>
        <w:b/>
      </w:rPr>
    </w:pPr>
    <w:r w:rsidRPr="000E1D6B">
      <w:rPr>
        <w:rFonts w:ascii="Cambria" w:hAnsi="Cambria"/>
        <w:b/>
      </w:rPr>
      <w:t xml:space="preserve">Attachment 1: Product information for </w:t>
    </w:r>
    <w:r w:rsidR="000E1D6B" w:rsidRPr="000E1D6B">
      <w:rPr>
        <w:rFonts w:ascii="Cambria" w:hAnsi="Cambria"/>
        <w:b/>
      </w:rPr>
      <w:t>Pandemrix H1N1 pandemic influenza vaccine. Influenza virus haemagglutinin (A/California/7/2009(H1N1)v-like strain). GlaxoSmithKline Australia Pty Ltd. PM-2010-02995-3-2 Final 12 February 2013</w:t>
    </w:r>
    <w:r w:rsidRPr="000E1D6B">
      <w:rPr>
        <w:rFonts w:ascii="Cambria" w:hAnsi="Cambria"/>
        <w:b/>
      </w:rPr>
      <w:t>. This Product Information was approved at the time this AusPAR was published.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F5" w:rsidRDefault="00F271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3B577C"/>
    <w:multiLevelType w:val="hybridMultilevel"/>
    <w:tmpl w:val="78AAACFC"/>
    <w:lvl w:ilvl="0" w:tplc="6492C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DF6303"/>
    <w:multiLevelType w:val="hybridMultilevel"/>
    <w:tmpl w:val="8F60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97269"/>
    <w:multiLevelType w:val="hybridMultilevel"/>
    <w:tmpl w:val="3ABA843E"/>
    <w:lvl w:ilvl="0" w:tplc="D2BE740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intFractionalCharacterWidth/>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70"/>
  </w:hdrShapeDefaults>
  <w:footnotePr>
    <w:footnote w:id="-1"/>
    <w:footnote w:id="0"/>
  </w:footnotePr>
  <w:endnotePr>
    <w:endnote w:id="-1"/>
    <w:endnote w:id="0"/>
  </w:endnotePr>
  <w:compat/>
  <w:rsids>
    <w:rsidRoot w:val="003A4E06"/>
    <w:rsid w:val="00001592"/>
    <w:rsid w:val="000203B0"/>
    <w:rsid w:val="0003663E"/>
    <w:rsid w:val="00042B4F"/>
    <w:rsid w:val="00042EFD"/>
    <w:rsid w:val="0006132B"/>
    <w:rsid w:val="0006384D"/>
    <w:rsid w:val="000A1694"/>
    <w:rsid w:val="000D06A9"/>
    <w:rsid w:val="000E1D6B"/>
    <w:rsid w:val="000E242D"/>
    <w:rsid w:val="0010546A"/>
    <w:rsid w:val="001055FC"/>
    <w:rsid w:val="00113A09"/>
    <w:rsid w:val="0013352A"/>
    <w:rsid w:val="00163787"/>
    <w:rsid w:val="001A1733"/>
    <w:rsid w:val="001B05DD"/>
    <w:rsid w:val="001D3F68"/>
    <w:rsid w:val="001F579B"/>
    <w:rsid w:val="001F6E13"/>
    <w:rsid w:val="00225CEE"/>
    <w:rsid w:val="00291AF8"/>
    <w:rsid w:val="00294DA3"/>
    <w:rsid w:val="002B41B9"/>
    <w:rsid w:val="002D685B"/>
    <w:rsid w:val="003159E9"/>
    <w:rsid w:val="00323A98"/>
    <w:rsid w:val="00327B72"/>
    <w:rsid w:val="00333C64"/>
    <w:rsid w:val="003A4B1A"/>
    <w:rsid w:val="003A4E06"/>
    <w:rsid w:val="003C6ADA"/>
    <w:rsid w:val="00410D42"/>
    <w:rsid w:val="00414CCC"/>
    <w:rsid w:val="004368FE"/>
    <w:rsid w:val="004535B6"/>
    <w:rsid w:val="004722AC"/>
    <w:rsid w:val="00483808"/>
    <w:rsid w:val="004A2136"/>
    <w:rsid w:val="004C1D94"/>
    <w:rsid w:val="004C749F"/>
    <w:rsid w:val="004D5BD5"/>
    <w:rsid w:val="00517673"/>
    <w:rsid w:val="00534F10"/>
    <w:rsid w:val="00544CA7"/>
    <w:rsid w:val="005463CF"/>
    <w:rsid w:val="00584916"/>
    <w:rsid w:val="005F26BC"/>
    <w:rsid w:val="006362B0"/>
    <w:rsid w:val="00645778"/>
    <w:rsid w:val="00671750"/>
    <w:rsid w:val="00676FB7"/>
    <w:rsid w:val="006A6E71"/>
    <w:rsid w:val="006D2F50"/>
    <w:rsid w:val="006D3E50"/>
    <w:rsid w:val="006D4C5D"/>
    <w:rsid w:val="006F5935"/>
    <w:rsid w:val="00711C7A"/>
    <w:rsid w:val="007150B0"/>
    <w:rsid w:val="00721AC5"/>
    <w:rsid w:val="007358C0"/>
    <w:rsid w:val="00741117"/>
    <w:rsid w:val="0074560C"/>
    <w:rsid w:val="007522EE"/>
    <w:rsid w:val="007644E2"/>
    <w:rsid w:val="007827B9"/>
    <w:rsid w:val="0079128A"/>
    <w:rsid w:val="00791B03"/>
    <w:rsid w:val="0079725D"/>
    <w:rsid w:val="007B1110"/>
    <w:rsid w:val="0080306B"/>
    <w:rsid w:val="008110F0"/>
    <w:rsid w:val="00812C85"/>
    <w:rsid w:val="008221F6"/>
    <w:rsid w:val="008234F1"/>
    <w:rsid w:val="00830E16"/>
    <w:rsid w:val="00864678"/>
    <w:rsid w:val="008719FF"/>
    <w:rsid w:val="0089563B"/>
    <w:rsid w:val="008A0174"/>
    <w:rsid w:val="008B2B97"/>
    <w:rsid w:val="008B40C6"/>
    <w:rsid w:val="008D7C9E"/>
    <w:rsid w:val="0091140D"/>
    <w:rsid w:val="00914B39"/>
    <w:rsid w:val="009171F6"/>
    <w:rsid w:val="00917D2B"/>
    <w:rsid w:val="00936D4D"/>
    <w:rsid w:val="009422CA"/>
    <w:rsid w:val="0094286E"/>
    <w:rsid w:val="009659CD"/>
    <w:rsid w:val="009A0A81"/>
    <w:rsid w:val="009C2027"/>
    <w:rsid w:val="009C4A73"/>
    <w:rsid w:val="009F009F"/>
    <w:rsid w:val="009F4718"/>
    <w:rsid w:val="00A23674"/>
    <w:rsid w:val="00A36A7E"/>
    <w:rsid w:val="00A40E50"/>
    <w:rsid w:val="00A522FB"/>
    <w:rsid w:val="00A71AD0"/>
    <w:rsid w:val="00A75A9B"/>
    <w:rsid w:val="00A85FC7"/>
    <w:rsid w:val="00A975E6"/>
    <w:rsid w:val="00AB5E6B"/>
    <w:rsid w:val="00AE0455"/>
    <w:rsid w:val="00AE0FD0"/>
    <w:rsid w:val="00AF398B"/>
    <w:rsid w:val="00AF48C9"/>
    <w:rsid w:val="00B20C9C"/>
    <w:rsid w:val="00B2436C"/>
    <w:rsid w:val="00B44723"/>
    <w:rsid w:val="00B5173E"/>
    <w:rsid w:val="00B91485"/>
    <w:rsid w:val="00B91596"/>
    <w:rsid w:val="00B961DE"/>
    <w:rsid w:val="00BB0B2B"/>
    <w:rsid w:val="00C24854"/>
    <w:rsid w:val="00C53ACE"/>
    <w:rsid w:val="00C63E93"/>
    <w:rsid w:val="00C66C07"/>
    <w:rsid w:val="00C74E80"/>
    <w:rsid w:val="00C75496"/>
    <w:rsid w:val="00C8276C"/>
    <w:rsid w:val="00C9190D"/>
    <w:rsid w:val="00C96336"/>
    <w:rsid w:val="00CB3ABB"/>
    <w:rsid w:val="00CC1509"/>
    <w:rsid w:val="00CC37CF"/>
    <w:rsid w:val="00D0001B"/>
    <w:rsid w:val="00D24E0C"/>
    <w:rsid w:val="00D266D2"/>
    <w:rsid w:val="00D41FCB"/>
    <w:rsid w:val="00D624A5"/>
    <w:rsid w:val="00D63FE3"/>
    <w:rsid w:val="00D90E1C"/>
    <w:rsid w:val="00DA1874"/>
    <w:rsid w:val="00DA32FF"/>
    <w:rsid w:val="00DA7537"/>
    <w:rsid w:val="00DC4BBF"/>
    <w:rsid w:val="00E02F51"/>
    <w:rsid w:val="00E11C05"/>
    <w:rsid w:val="00E37F55"/>
    <w:rsid w:val="00E474DD"/>
    <w:rsid w:val="00E7499A"/>
    <w:rsid w:val="00E74AFA"/>
    <w:rsid w:val="00E75045"/>
    <w:rsid w:val="00E77FC5"/>
    <w:rsid w:val="00EA70B9"/>
    <w:rsid w:val="00EB7AF8"/>
    <w:rsid w:val="00EC244E"/>
    <w:rsid w:val="00EC3B84"/>
    <w:rsid w:val="00EC4CAF"/>
    <w:rsid w:val="00EC55A3"/>
    <w:rsid w:val="00ED2A9B"/>
    <w:rsid w:val="00EE12A8"/>
    <w:rsid w:val="00EE453E"/>
    <w:rsid w:val="00EF7155"/>
    <w:rsid w:val="00F12F7B"/>
    <w:rsid w:val="00F240ED"/>
    <w:rsid w:val="00F271F5"/>
    <w:rsid w:val="00F97396"/>
    <w:rsid w:val="00FA68BB"/>
    <w:rsid w:val="00FC40D2"/>
    <w:rsid w:val="00FF37B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10"/>
  </w:style>
  <w:style w:type="paragraph" w:styleId="Heading1">
    <w:name w:val="heading 1"/>
    <w:basedOn w:val="Normal"/>
    <w:next w:val="Normal"/>
    <w:qFormat/>
    <w:rsid w:val="007B1110"/>
    <w:pPr>
      <w:keepNext/>
      <w:ind w:right="28"/>
      <w:jc w:val="both"/>
      <w:outlineLvl w:val="0"/>
    </w:pPr>
    <w:rPr>
      <w:color w:val="000000"/>
      <w:sz w:val="24"/>
    </w:rPr>
  </w:style>
  <w:style w:type="paragraph" w:styleId="Heading2">
    <w:name w:val="heading 2"/>
    <w:basedOn w:val="Normal"/>
    <w:next w:val="Normal"/>
    <w:qFormat/>
    <w:rsid w:val="000E1D6B"/>
    <w:pPr>
      <w:keepNext/>
      <w:spacing w:before="160" w:line="360" w:lineRule="atLeast"/>
      <w:jc w:val="both"/>
      <w:outlineLvl w:val="1"/>
    </w:pPr>
    <w:rPr>
      <w:b/>
      <w:sz w:val="24"/>
      <w:u w:val="single"/>
    </w:rPr>
  </w:style>
  <w:style w:type="paragraph" w:styleId="Heading3">
    <w:name w:val="heading 3"/>
    <w:basedOn w:val="Normal"/>
    <w:next w:val="Normal"/>
    <w:qFormat/>
    <w:rsid w:val="007B1110"/>
    <w:pPr>
      <w:keepNext/>
      <w:spacing w:line="360" w:lineRule="atLeast"/>
      <w:jc w:val="both"/>
      <w:outlineLvl w:val="2"/>
    </w:pPr>
    <w:rPr>
      <w:sz w:val="24"/>
    </w:rPr>
  </w:style>
  <w:style w:type="paragraph" w:styleId="Heading4">
    <w:name w:val="heading 4"/>
    <w:basedOn w:val="Normal"/>
    <w:next w:val="Normal"/>
    <w:qFormat/>
    <w:rsid w:val="007B1110"/>
    <w:pPr>
      <w:keepNext/>
      <w:outlineLvl w:val="3"/>
    </w:pPr>
    <w:rPr>
      <w:sz w:val="24"/>
    </w:rPr>
  </w:style>
  <w:style w:type="paragraph" w:styleId="Heading5">
    <w:name w:val="heading 5"/>
    <w:basedOn w:val="Normal"/>
    <w:next w:val="Normal"/>
    <w:qFormat/>
    <w:rsid w:val="007B1110"/>
    <w:pPr>
      <w:keepNext/>
      <w:spacing w:before="40" w:after="40"/>
      <w:jc w:val="both"/>
      <w:outlineLvl w:val="4"/>
    </w:pPr>
    <w:rPr>
      <w:b/>
      <w:vanish/>
      <w:sz w:val="24"/>
    </w:rPr>
  </w:style>
  <w:style w:type="paragraph" w:styleId="Heading6">
    <w:name w:val="heading 6"/>
    <w:basedOn w:val="Normal"/>
    <w:next w:val="Normal"/>
    <w:qFormat/>
    <w:rsid w:val="007B1110"/>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1110"/>
    <w:pPr>
      <w:tabs>
        <w:tab w:val="center" w:pos="4819"/>
        <w:tab w:val="right" w:pos="9071"/>
      </w:tabs>
    </w:pPr>
  </w:style>
  <w:style w:type="paragraph" w:styleId="Header">
    <w:name w:val="header"/>
    <w:basedOn w:val="Normal"/>
    <w:rsid w:val="007B1110"/>
    <w:pPr>
      <w:tabs>
        <w:tab w:val="center" w:pos="4819"/>
        <w:tab w:val="right" w:pos="9071"/>
      </w:tabs>
    </w:pPr>
  </w:style>
  <w:style w:type="character" w:styleId="PageNumber">
    <w:name w:val="page number"/>
    <w:basedOn w:val="DefaultParagraphFont"/>
    <w:rsid w:val="007B1110"/>
  </w:style>
  <w:style w:type="paragraph" w:styleId="BodyText">
    <w:name w:val="Body Text"/>
    <w:basedOn w:val="Normal"/>
    <w:rsid w:val="007B1110"/>
    <w:pPr>
      <w:spacing w:line="360" w:lineRule="atLeast"/>
      <w:jc w:val="both"/>
    </w:pPr>
    <w:rPr>
      <w:sz w:val="24"/>
    </w:rPr>
  </w:style>
  <w:style w:type="paragraph" w:customStyle="1" w:styleId="Text">
    <w:name w:val="Text"/>
    <w:basedOn w:val="Normal"/>
    <w:rsid w:val="007B1110"/>
    <w:pPr>
      <w:spacing w:line="312" w:lineRule="exact"/>
    </w:pPr>
    <w:rPr>
      <w:rFonts w:ascii="Arial" w:hAnsi="Arial"/>
      <w:sz w:val="24"/>
      <w:lang w:val="en-GB"/>
    </w:rPr>
  </w:style>
  <w:style w:type="paragraph" w:styleId="Title">
    <w:name w:val="Title"/>
    <w:basedOn w:val="Normal"/>
    <w:qFormat/>
    <w:rsid w:val="007B1110"/>
    <w:pPr>
      <w:pBdr>
        <w:top w:val="single" w:sz="18" w:space="1" w:color="FF0000"/>
        <w:bottom w:val="single" w:sz="18" w:space="1" w:color="FF0000"/>
      </w:pBdr>
      <w:jc w:val="center"/>
    </w:pPr>
    <w:rPr>
      <w:rFonts w:ascii="Arial" w:hAnsi="Arial"/>
      <w:b/>
      <w:i/>
      <w:color w:val="FF0000"/>
      <w:sz w:val="36"/>
      <w:lang w:val="en-GB"/>
    </w:rPr>
  </w:style>
  <w:style w:type="paragraph" w:styleId="BodyText2">
    <w:name w:val="Body Text 2"/>
    <w:basedOn w:val="Normal"/>
    <w:rsid w:val="007B1110"/>
    <w:pPr>
      <w:spacing w:line="360" w:lineRule="atLeast"/>
    </w:pPr>
    <w:rPr>
      <w:b/>
      <w:color w:val="0000FF"/>
      <w:sz w:val="24"/>
      <w:u w:val="single"/>
    </w:rPr>
  </w:style>
  <w:style w:type="paragraph" w:styleId="BodyText3">
    <w:name w:val="Body Text 3"/>
    <w:basedOn w:val="Normal"/>
    <w:rsid w:val="007B1110"/>
    <w:pPr>
      <w:spacing w:line="360" w:lineRule="atLeast"/>
      <w:jc w:val="both"/>
    </w:pPr>
    <w:rPr>
      <w:b/>
      <w:color w:val="0000FF"/>
      <w:sz w:val="24"/>
      <w:u w:val="single"/>
    </w:rPr>
  </w:style>
  <w:style w:type="table" w:styleId="TableGrid">
    <w:name w:val="Table Grid"/>
    <w:basedOn w:val="TableNormal"/>
    <w:rsid w:val="001F579B"/>
    <w:pPr>
      <w:tabs>
        <w:tab w:val="left" w:pos="567"/>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umHead3">
    <w:name w:val="NoNum:Head3"/>
    <w:basedOn w:val="Normal"/>
    <w:next w:val="Normal"/>
    <w:autoRedefine/>
    <w:rsid w:val="00A85FC7"/>
    <w:pPr>
      <w:keepNext/>
      <w:spacing w:before="120" w:after="240"/>
      <w:outlineLvl w:val="0"/>
    </w:pPr>
    <w:rPr>
      <w:rFonts w:ascii="Arial" w:hAnsi="Arial"/>
      <w:b/>
      <w:sz w:val="22"/>
      <w:lang w:val="en-GB" w:eastAsia="en-US"/>
    </w:rPr>
  </w:style>
  <w:style w:type="paragraph" w:customStyle="1" w:styleId="NoNumHead4">
    <w:name w:val="NoNum:Head4"/>
    <w:basedOn w:val="NoNumHead3"/>
    <w:next w:val="Normal"/>
    <w:autoRedefine/>
    <w:rsid w:val="00A85FC7"/>
    <w:rPr>
      <w:i/>
    </w:rPr>
  </w:style>
  <w:style w:type="paragraph" w:styleId="BalloonText">
    <w:name w:val="Balloon Text"/>
    <w:basedOn w:val="Normal"/>
    <w:semiHidden/>
    <w:rsid w:val="00E75045"/>
    <w:rPr>
      <w:rFonts w:ascii="Tahoma" w:hAnsi="Tahoma" w:cs="Tahoma"/>
      <w:sz w:val="16"/>
      <w:szCs w:val="16"/>
    </w:rPr>
  </w:style>
  <w:style w:type="character" w:styleId="CommentReference">
    <w:name w:val="annotation reference"/>
    <w:basedOn w:val="DefaultParagraphFont"/>
    <w:semiHidden/>
    <w:rsid w:val="00B961DE"/>
    <w:rPr>
      <w:sz w:val="16"/>
      <w:szCs w:val="16"/>
    </w:rPr>
  </w:style>
  <w:style w:type="paragraph" w:styleId="CommentText">
    <w:name w:val="annotation text"/>
    <w:basedOn w:val="Normal"/>
    <w:semiHidden/>
    <w:rsid w:val="00B961DE"/>
  </w:style>
  <w:style w:type="paragraph" w:styleId="CommentSubject">
    <w:name w:val="annotation subject"/>
    <w:basedOn w:val="CommentText"/>
    <w:next w:val="CommentText"/>
    <w:semiHidden/>
    <w:rsid w:val="00B961DE"/>
    <w:rPr>
      <w:b/>
      <w:bCs/>
    </w:rPr>
  </w:style>
  <w:style w:type="paragraph" w:customStyle="1" w:styleId="tableref">
    <w:name w:val="table:ref"/>
    <w:basedOn w:val="Normal"/>
    <w:rsid w:val="008110F0"/>
    <w:pPr>
      <w:tabs>
        <w:tab w:val="left" w:pos="360"/>
      </w:tabs>
      <w:ind w:left="360" w:hanging="360"/>
    </w:pPr>
    <w:rPr>
      <w:rFonts w:ascii="Arial Narrow" w:hAnsi="Arial Narrow" w:cs="Arial Narrow"/>
      <w:lang w:val="en-GB" w:eastAsia="en-US"/>
    </w:rPr>
  </w:style>
  <w:style w:type="character" w:styleId="HTMLTypewriter">
    <w:name w:val="HTML Typewriter"/>
    <w:basedOn w:val="DefaultParagraphFont"/>
    <w:uiPriority w:val="99"/>
    <w:semiHidden/>
    <w:unhideWhenUsed/>
    <w:rsid w:val="00E74AFA"/>
    <w:rPr>
      <w:rFonts w:ascii="Courier New" w:eastAsia="Calibri" w:hAnsi="Courier New" w:cs="Courier New" w:hint="default"/>
      <w:sz w:val="20"/>
      <w:szCs w:val="20"/>
    </w:rPr>
  </w:style>
  <w:style w:type="paragraph" w:styleId="NormalWeb">
    <w:name w:val="Normal (Web)"/>
    <w:basedOn w:val="Normal"/>
    <w:uiPriority w:val="99"/>
    <w:unhideWhenUsed/>
    <w:rsid w:val="00EE12A8"/>
    <w:pPr>
      <w:spacing w:before="100" w:beforeAutospacing="1" w:after="75"/>
    </w:pPr>
    <w:rPr>
      <w:color w:val="000000"/>
      <w:sz w:val="24"/>
      <w:szCs w:val="24"/>
    </w:rPr>
  </w:style>
  <w:style w:type="paragraph" w:styleId="ListParagraph">
    <w:name w:val="List Paragraph"/>
    <w:basedOn w:val="Normal"/>
    <w:uiPriority w:val="34"/>
    <w:qFormat/>
    <w:rsid w:val="008A0174"/>
    <w:pPr>
      <w:ind w:left="720"/>
      <w:contextualSpacing/>
    </w:pPr>
  </w:style>
  <w:style w:type="paragraph" w:styleId="Revision">
    <w:name w:val="Revision"/>
    <w:hidden/>
    <w:uiPriority w:val="99"/>
    <w:semiHidden/>
    <w:rsid w:val="00AE0FD0"/>
  </w:style>
</w:styles>
</file>

<file path=word/webSettings.xml><?xml version="1.0" encoding="utf-8"?>
<w:webSettings xmlns:r="http://schemas.openxmlformats.org/officeDocument/2006/relationships" xmlns:w="http://schemas.openxmlformats.org/wordprocessingml/2006/main">
  <w:divs>
    <w:div w:id="14694677">
      <w:bodyDiv w:val="1"/>
      <w:marLeft w:val="0"/>
      <w:marRight w:val="0"/>
      <w:marTop w:val="0"/>
      <w:marBottom w:val="0"/>
      <w:divBdr>
        <w:top w:val="none" w:sz="0" w:space="0" w:color="auto"/>
        <w:left w:val="none" w:sz="0" w:space="0" w:color="auto"/>
        <w:bottom w:val="none" w:sz="0" w:space="0" w:color="auto"/>
        <w:right w:val="none" w:sz="0" w:space="0" w:color="auto"/>
      </w:divBdr>
    </w:div>
    <w:div w:id="181287531">
      <w:bodyDiv w:val="1"/>
      <w:marLeft w:val="0"/>
      <w:marRight w:val="0"/>
      <w:marTop w:val="0"/>
      <w:marBottom w:val="0"/>
      <w:divBdr>
        <w:top w:val="none" w:sz="0" w:space="0" w:color="auto"/>
        <w:left w:val="none" w:sz="0" w:space="0" w:color="auto"/>
        <w:bottom w:val="none" w:sz="0" w:space="0" w:color="auto"/>
        <w:right w:val="none" w:sz="0" w:space="0" w:color="auto"/>
      </w:divBdr>
    </w:div>
    <w:div w:id="192564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8DCA-FD95-4406-B676-020D6DBB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5092</Words>
  <Characters>28770</Characters>
  <Application>Microsoft Office Word</Application>
  <DocSecurity>0</DocSecurity>
  <Lines>542</Lines>
  <Paragraphs>231</Paragraphs>
  <ScaleCrop>false</ScaleCrop>
  <HeadingPairs>
    <vt:vector size="2" baseType="variant">
      <vt:variant>
        <vt:lpstr>Title</vt:lpstr>
      </vt:variant>
      <vt:variant>
        <vt:i4>1</vt:i4>
      </vt:variant>
    </vt:vector>
  </HeadingPairs>
  <TitlesOfParts>
    <vt:vector size="1" baseType="lpstr">
      <vt:lpstr>Product information for Pandemrix H1N1</vt:lpstr>
    </vt:vector>
  </TitlesOfParts>
  <Company>SB International</Company>
  <LinksUpToDate>false</LinksUpToDate>
  <CharactersWithSpaces>33631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Pandemrix H1N1</dc:title>
  <dc:subject>prescription medicine regulation</dc:subject>
  <dc:creator>GlaxoSmithKline Australia Pty Ltd</dc:creator>
  <cp:keywords>auspar, prescription, medicine, assessment, regulation, australia, pandemrix, h1n1, pandemic influenza, vaccine</cp:keywords>
  <cp:lastModifiedBy>Sheppard, Fran</cp:lastModifiedBy>
  <cp:revision>10</cp:revision>
  <cp:lastPrinted>2010-07-28T02:11:00Z</cp:lastPrinted>
  <dcterms:created xsi:type="dcterms:W3CDTF">2013-02-04T02:11:00Z</dcterms:created>
  <dcterms:modified xsi:type="dcterms:W3CDTF">2013-03-10T02:56:00Z</dcterms:modified>
</cp:coreProperties>
</file>